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C42" w14:textId="77777777" w:rsidR="00754C9A" w:rsidRDefault="00754C9A" w:rsidP="00441B6F">
      <w:pPr>
        <w:pStyle w:val="Ttulo"/>
        <w:spacing w:after="0"/>
        <w:jc w:val="both"/>
        <w:rPr>
          <w:rFonts w:ascii="Arial" w:hAnsi="Arial" w:cs="Arial"/>
        </w:rPr>
      </w:pPr>
      <w:bookmarkStart w:id="0" w:name="_GoBack"/>
      <w:bookmarkEnd w:id="0"/>
    </w:p>
    <w:p w14:paraId="456C22FE" w14:textId="5F5B0800" w:rsidR="00163BC4" w:rsidRPr="00163BC4" w:rsidRDefault="00B06398" w:rsidP="00B06398">
      <w:pPr>
        <w:pStyle w:val="Author"/>
        <w:spacing w:line="240" w:lineRule="auto"/>
        <w:rPr>
          <w:rFonts w:ascii="Arial" w:hAnsi="Arial" w:cs="Arial"/>
          <w:bCs/>
          <w:iCs/>
          <w:kern w:val="28"/>
          <w:sz w:val="36"/>
        </w:rPr>
      </w:pPr>
      <w:r w:rsidRPr="00B06398">
        <w:rPr>
          <w:rFonts w:ascii="Arial" w:hAnsi="Arial" w:cs="Arial"/>
          <w:bCs/>
          <w:iCs/>
          <w:kern w:val="28"/>
          <w:sz w:val="36"/>
        </w:rPr>
        <w:t xml:space="preserve">Hydrogel </w:t>
      </w:r>
      <w:r w:rsidR="001E7544" w:rsidRPr="001E7544">
        <w:rPr>
          <w:rFonts w:ascii="Arial" w:hAnsi="Arial" w:cs="Arial"/>
          <w:bCs/>
          <w:iCs/>
          <w:kern w:val="28"/>
          <w:sz w:val="36"/>
          <w:highlight w:val="yellow"/>
        </w:rPr>
        <w:t>and Irrigation Frequency</w:t>
      </w:r>
      <w:r w:rsidR="001E7544">
        <w:rPr>
          <w:rFonts w:ascii="Arial" w:hAnsi="Arial" w:cs="Arial"/>
          <w:bCs/>
          <w:iCs/>
          <w:kern w:val="28"/>
          <w:sz w:val="36"/>
        </w:rPr>
        <w:t xml:space="preserve"> </w:t>
      </w:r>
      <w:r w:rsidRPr="00B06398">
        <w:rPr>
          <w:rFonts w:ascii="Arial" w:hAnsi="Arial" w:cs="Arial"/>
          <w:bCs/>
          <w:iCs/>
          <w:kern w:val="28"/>
          <w:sz w:val="36"/>
        </w:rPr>
        <w:t>in the Production of Tomato</w:t>
      </w:r>
      <w:r w:rsidR="002925C8">
        <w:rPr>
          <w:rFonts w:ascii="Arial" w:hAnsi="Arial" w:cs="Arial"/>
          <w:bCs/>
          <w:iCs/>
          <w:kern w:val="28"/>
          <w:sz w:val="36"/>
        </w:rPr>
        <w:t xml:space="preserve"> </w:t>
      </w:r>
      <w:r w:rsidRPr="00B06398">
        <w:rPr>
          <w:rFonts w:ascii="Arial" w:hAnsi="Arial" w:cs="Arial"/>
          <w:bCs/>
          <w:iCs/>
          <w:kern w:val="28"/>
          <w:sz w:val="36"/>
        </w:rPr>
        <w:t>Seedlings:</w:t>
      </w:r>
      <w:r>
        <w:rPr>
          <w:rFonts w:ascii="Arial" w:hAnsi="Arial" w:cs="Arial"/>
          <w:bCs/>
          <w:iCs/>
          <w:kern w:val="28"/>
          <w:sz w:val="36"/>
        </w:rPr>
        <w:t xml:space="preserve"> </w:t>
      </w:r>
      <w:r w:rsidRPr="00B06398">
        <w:rPr>
          <w:rFonts w:ascii="Arial" w:hAnsi="Arial" w:cs="Arial"/>
          <w:bCs/>
          <w:iCs/>
          <w:kern w:val="28"/>
          <w:sz w:val="36"/>
        </w:rPr>
        <w:t>Water Efficiency and Morpho-Physiological Quality</w:t>
      </w:r>
    </w:p>
    <w:p w14:paraId="3CEB91D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F7CD632" w14:textId="77777777" w:rsidTr="001E44FE">
        <w:tc>
          <w:tcPr>
            <w:tcW w:w="9576" w:type="dxa"/>
            <w:shd w:val="clear" w:color="auto" w:fill="F2F2F2"/>
          </w:tcPr>
          <w:p w14:paraId="34477D43" w14:textId="77777777"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szCs w:val="22"/>
              </w:rPr>
              <w:t>Aims:</w:t>
            </w:r>
            <w:r w:rsidR="0007598F" w:rsidRPr="00126BDD">
              <w:rPr>
                <w:rFonts w:ascii="Arial" w:eastAsia="Calibri" w:hAnsi="Arial" w:cs="Arial"/>
                <w:szCs w:val="22"/>
              </w:rPr>
              <w:t xml:space="preserve"> </w:t>
            </w:r>
            <w:r w:rsidR="00126BDD" w:rsidRPr="00126BDD">
              <w:rPr>
                <w:rFonts w:ascii="Arial" w:eastAsia="Calibri" w:hAnsi="Arial" w:cs="Arial"/>
                <w:szCs w:val="22"/>
              </w:rPr>
              <w:t>E</w:t>
            </w:r>
            <w:r w:rsidR="0007598F" w:rsidRPr="00126BDD">
              <w:rPr>
                <w:rFonts w:ascii="Arial" w:eastAsia="Calibri" w:hAnsi="Arial" w:cs="Arial"/>
                <w:szCs w:val="22"/>
              </w:rPr>
              <w:t>valuate the effects of hydrogel doses and irrigation frequencies on the morphophysiological development, vigor, and phytosanitary quality of tomato (</w:t>
            </w:r>
            <w:proofErr w:type="spellStart"/>
            <w:r w:rsidR="0007598F" w:rsidRPr="00126BDD">
              <w:rPr>
                <w:rFonts w:ascii="Arial" w:eastAsia="Calibri" w:hAnsi="Arial" w:cs="Arial"/>
                <w:i/>
                <w:szCs w:val="22"/>
              </w:rPr>
              <w:t>Solanum</w:t>
            </w:r>
            <w:proofErr w:type="spellEnd"/>
            <w:r w:rsidR="0007598F" w:rsidRPr="00126BDD">
              <w:rPr>
                <w:rFonts w:ascii="Arial" w:eastAsia="Calibri" w:hAnsi="Arial" w:cs="Arial"/>
                <w:i/>
                <w:szCs w:val="22"/>
              </w:rPr>
              <w:t xml:space="preserve"> </w:t>
            </w:r>
            <w:proofErr w:type="spellStart"/>
            <w:r w:rsidR="0007598F" w:rsidRPr="00126BDD">
              <w:rPr>
                <w:rFonts w:ascii="Arial" w:eastAsia="Calibri" w:hAnsi="Arial" w:cs="Arial"/>
                <w:i/>
                <w:szCs w:val="22"/>
              </w:rPr>
              <w:t>lycopersicum</w:t>
            </w:r>
            <w:proofErr w:type="spellEnd"/>
            <w:r w:rsidR="0007598F" w:rsidRPr="00126BDD">
              <w:rPr>
                <w:rFonts w:ascii="Arial" w:eastAsia="Calibri" w:hAnsi="Arial" w:cs="Arial"/>
                <w:szCs w:val="22"/>
              </w:rPr>
              <w:t>) seedlings, seeking to identify combinations that optimize water-use efficiency and shorten greenhouse production time.</w:t>
            </w:r>
          </w:p>
          <w:p w14:paraId="359D5319" w14:textId="6981B1C6"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szCs w:val="22"/>
              </w:rPr>
              <w:t>Study design:</w:t>
            </w:r>
            <w:r w:rsidRPr="00126BDD">
              <w:rPr>
                <w:rFonts w:ascii="Arial" w:eastAsia="Calibri" w:hAnsi="Arial" w:cs="Arial"/>
                <w:szCs w:val="22"/>
              </w:rPr>
              <w:t xml:space="preserve"> </w:t>
            </w:r>
            <w:r w:rsidR="00126BDD" w:rsidRPr="00126BDD">
              <w:rPr>
                <w:rFonts w:ascii="Arial" w:eastAsia="Calibri" w:hAnsi="Arial" w:cs="Arial"/>
                <w:szCs w:val="22"/>
              </w:rPr>
              <w:t>The experiment was conducted in a randomized complete block design with spl</w:t>
            </w:r>
            <w:r w:rsidR="00CF68A5">
              <w:rPr>
                <w:rFonts w:ascii="Arial" w:eastAsia="Calibri" w:hAnsi="Arial" w:cs="Arial"/>
                <w:szCs w:val="22"/>
              </w:rPr>
              <w:t>it-plots, using hydrogel doses [</w:t>
            </w:r>
            <w:r w:rsidR="00CF68A5" w:rsidRPr="004406F6">
              <w:rPr>
                <w:rFonts w:ascii="Arial" w:eastAsia="Calibri" w:hAnsi="Arial" w:cs="Arial"/>
                <w:szCs w:val="22"/>
                <w:highlight w:val="yellow"/>
              </w:rPr>
              <w:t>0 (control)</w:t>
            </w:r>
            <w:r w:rsidR="00CF68A5">
              <w:rPr>
                <w:rFonts w:ascii="Arial" w:eastAsia="Calibri" w:hAnsi="Arial" w:cs="Arial"/>
                <w:szCs w:val="22"/>
              </w:rPr>
              <w:t xml:space="preserve">, </w:t>
            </w:r>
            <w:r w:rsidR="00126BDD" w:rsidRPr="00126BDD">
              <w:rPr>
                <w:rFonts w:ascii="Arial" w:eastAsia="Calibri" w:hAnsi="Arial" w:cs="Arial"/>
                <w:szCs w:val="22"/>
              </w:rPr>
              <w:t>0.1, 0.5, 1.0 g cell</w:t>
            </w:r>
            <w:r w:rsidR="00126BDD" w:rsidRPr="00126BDD">
              <w:rPr>
                <w:rFonts w:ascii="Arial" w:eastAsia="Calibri" w:hAnsi="Arial" w:cs="Arial"/>
                <w:szCs w:val="22"/>
                <w:vertAlign w:val="superscript"/>
              </w:rPr>
              <w:t>-1</w:t>
            </w:r>
            <w:r w:rsidR="00CF68A5">
              <w:rPr>
                <w:rFonts w:ascii="Arial" w:eastAsia="Calibri" w:hAnsi="Arial" w:cs="Arial"/>
                <w:szCs w:val="22"/>
              </w:rPr>
              <w:t>]</w:t>
            </w:r>
            <w:r w:rsidR="00126BDD" w:rsidRPr="00126BDD">
              <w:rPr>
                <w:rFonts w:ascii="Arial" w:eastAsia="Calibri" w:hAnsi="Arial" w:cs="Arial"/>
                <w:szCs w:val="22"/>
              </w:rPr>
              <w:t xml:space="preserve"> and irrigation frequencies (once, twice, or three times per week), with four replications.</w:t>
            </w:r>
          </w:p>
          <w:p w14:paraId="6F89C52A" w14:textId="77777777"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szCs w:val="22"/>
              </w:rPr>
              <w:t>Place and Duration of Study:</w:t>
            </w:r>
            <w:r w:rsidRPr="00126BDD">
              <w:rPr>
                <w:rFonts w:ascii="Arial" w:eastAsia="Calibri" w:hAnsi="Arial" w:cs="Arial"/>
                <w:szCs w:val="22"/>
              </w:rPr>
              <w:t xml:space="preserve"> </w:t>
            </w:r>
            <w:r w:rsidR="00126BDD" w:rsidRPr="00126BDD">
              <w:rPr>
                <w:rFonts w:ascii="Arial" w:eastAsia="Calibri" w:hAnsi="Arial" w:cs="Arial"/>
                <w:szCs w:val="22"/>
              </w:rPr>
              <w:t>The study was carried out in a greenhouse at the</w:t>
            </w:r>
            <w:r w:rsidR="00126BDD" w:rsidRPr="00126BDD">
              <w:rPr>
                <w:rFonts w:ascii="Arial" w:hAnsi="Arial" w:cs="Arial"/>
              </w:rPr>
              <w:t xml:space="preserve"> </w:t>
            </w:r>
            <w:proofErr w:type="spellStart"/>
            <w:r w:rsidR="00126BDD" w:rsidRPr="00126BDD">
              <w:rPr>
                <w:rFonts w:ascii="Arial" w:eastAsia="Calibri" w:hAnsi="Arial" w:cs="Arial"/>
                <w:szCs w:val="22"/>
              </w:rPr>
              <w:t>Instituto</w:t>
            </w:r>
            <w:proofErr w:type="spellEnd"/>
            <w:r w:rsidR="00126BDD" w:rsidRPr="00126BDD">
              <w:rPr>
                <w:rFonts w:ascii="Arial" w:eastAsia="Calibri" w:hAnsi="Arial" w:cs="Arial"/>
                <w:szCs w:val="22"/>
              </w:rPr>
              <w:t xml:space="preserve"> Nacional de </w:t>
            </w:r>
            <w:proofErr w:type="spellStart"/>
            <w:r w:rsidR="00126BDD" w:rsidRPr="00126BDD">
              <w:rPr>
                <w:rFonts w:ascii="Arial" w:eastAsia="Calibri" w:hAnsi="Arial" w:cs="Arial"/>
                <w:szCs w:val="22"/>
              </w:rPr>
              <w:t>Innovación</w:t>
            </w:r>
            <w:proofErr w:type="spellEnd"/>
            <w:r w:rsidR="00126BDD" w:rsidRPr="00126BDD">
              <w:rPr>
                <w:rFonts w:ascii="Arial" w:eastAsia="Calibri" w:hAnsi="Arial" w:cs="Arial"/>
                <w:szCs w:val="22"/>
              </w:rPr>
              <w:t xml:space="preserve"> </w:t>
            </w:r>
            <w:proofErr w:type="spellStart"/>
            <w:r w:rsidR="00126BDD" w:rsidRPr="00126BDD">
              <w:rPr>
                <w:rFonts w:ascii="Arial" w:eastAsia="Calibri" w:hAnsi="Arial" w:cs="Arial"/>
                <w:szCs w:val="22"/>
              </w:rPr>
              <w:t>Agropecuaria</w:t>
            </w:r>
            <w:proofErr w:type="spellEnd"/>
            <w:r w:rsidR="00126BDD" w:rsidRPr="00126BDD">
              <w:rPr>
                <w:rFonts w:ascii="Arial" w:eastAsia="Calibri" w:hAnsi="Arial" w:cs="Arial"/>
                <w:szCs w:val="22"/>
              </w:rPr>
              <w:t xml:space="preserve"> y </w:t>
            </w:r>
            <w:proofErr w:type="spellStart"/>
            <w:r w:rsidR="00126BDD" w:rsidRPr="00126BDD">
              <w:rPr>
                <w:rFonts w:ascii="Arial" w:eastAsia="Calibri" w:hAnsi="Arial" w:cs="Arial"/>
                <w:szCs w:val="22"/>
              </w:rPr>
              <w:t>Forestal</w:t>
            </w:r>
            <w:proofErr w:type="spellEnd"/>
            <w:r w:rsidR="00126BDD" w:rsidRPr="00126BDD">
              <w:rPr>
                <w:rFonts w:ascii="Arial" w:eastAsia="Calibri" w:hAnsi="Arial" w:cs="Arial"/>
                <w:szCs w:val="22"/>
              </w:rPr>
              <w:t xml:space="preserve"> </w:t>
            </w:r>
            <w:r w:rsidR="00126BDD">
              <w:rPr>
                <w:rFonts w:ascii="Arial" w:eastAsia="Calibri" w:hAnsi="Arial" w:cs="Arial"/>
                <w:szCs w:val="22"/>
              </w:rPr>
              <w:t>-</w:t>
            </w:r>
            <w:r w:rsidR="00126BDD" w:rsidRPr="00126BDD">
              <w:rPr>
                <w:rFonts w:ascii="Arial" w:eastAsia="Calibri" w:hAnsi="Arial" w:cs="Arial"/>
                <w:szCs w:val="22"/>
              </w:rPr>
              <w:t xml:space="preserve"> </w:t>
            </w:r>
            <w:proofErr w:type="spellStart"/>
            <w:r w:rsidR="00126BDD" w:rsidRPr="00126BDD">
              <w:rPr>
                <w:rFonts w:ascii="Arial" w:eastAsia="Calibri" w:hAnsi="Arial" w:cs="Arial"/>
                <w:szCs w:val="22"/>
              </w:rPr>
              <w:t>INIAF</w:t>
            </w:r>
            <w:proofErr w:type="spellEnd"/>
            <w:r w:rsidR="00126BDD" w:rsidRPr="00126BDD">
              <w:rPr>
                <w:rFonts w:ascii="Arial" w:eastAsia="Calibri" w:hAnsi="Arial" w:cs="Arial"/>
                <w:szCs w:val="22"/>
              </w:rPr>
              <w:t xml:space="preserve">, in </w:t>
            </w:r>
            <w:proofErr w:type="spellStart"/>
            <w:r w:rsidR="00126BDD" w:rsidRPr="00126BDD">
              <w:rPr>
                <w:rFonts w:ascii="Arial" w:eastAsia="Calibri" w:hAnsi="Arial" w:cs="Arial"/>
                <w:szCs w:val="22"/>
              </w:rPr>
              <w:t>Sipe</w:t>
            </w:r>
            <w:proofErr w:type="spellEnd"/>
            <w:r w:rsidR="00126BDD" w:rsidRPr="00126BDD">
              <w:rPr>
                <w:rFonts w:ascii="Arial" w:eastAsia="Calibri" w:hAnsi="Arial" w:cs="Arial"/>
                <w:szCs w:val="22"/>
              </w:rPr>
              <w:t xml:space="preserve"> </w:t>
            </w:r>
            <w:proofErr w:type="spellStart"/>
            <w:r w:rsidR="00126BDD" w:rsidRPr="00126BDD">
              <w:rPr>
                <w:rFonts w:ascii="Arial" w:eastAsia="Calibri" w:hAnsi="Arial" w:cs="Arial"/>
                <w:szCs w:val="22"/>
              </w:rPr>
              <w:t>Sipe</w:t>
            </w:r>
            <w:proofErr w:type="spellEnd"/>
            <w:r w:rsidR="00126BDD" w:rsidRPr="00126BDD">
              <w:rPr>
                <w:rFonts w:ascii="Arial" w:eastAsia="Calibri" w:hAnsi="Arial" w:cs="Arial"/>
                <w:szCs w:val="22"/>
              </w:rPr>
              <w:t>, Cochabamba, Bolivia, during the 2023 growing season</w:t>
            </w:r>
            <w:r w:rsidRPr="00126BDD">
              <w:rPr>
                <w:rFonts w:ascii="Arial" w:eastAsia="Calibri" w:hAnsi="Arial" w:cs="Arial"/>
                <w:szCs w:val="22"/>
              </w:rPr>
              <w:t>.</w:t>
            </w:r>
          </w:p>
          <w:p w14:paraId="135DC95B" w14:textId="12CE2620"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bCs/>
                <w:szCs w:val="22"/>
              </w:rPr>
              <w:t>Methodology:</w:t>
            </w:r>
            <w:r w:rsidRPr="00126BDD">
              <w:rPr>
                <w:rFonts w:ascii="Arial" w:eastAsia="Calibri" w:hAnsi="Arial" w:cs="Arial"/>
                <w:szCs w:val="22"/>
              </w:rPr>
              <w:t xml:space="preserve"> </w:t>
            </w:r>
            <w:r w:rsidR="00126BDD" w:rsidRPr="00126BDD">
              <w:rPr>
                <w:rFonts w:ascii="Arial" w:eastAsia="Calibri" w:hAnsi="Arial" w:cs="Arial"/>
                <w:szCs w:val="22"/>
              </w:rPr>
              <w:t xml:space="preserve">Morphophysiological variables such as root dry weight, plant height, leaf number, chlorophyll index (SPAD), and disease incidence were evaluated. Data </w:t>
            </w:r>
            <w:proofErr w:type="gramStart"/>
            <w:r w:rsidR="00126BDD" w:rsidRPr="00126BDD">
              <w:rPr>
                <w:rFonts w:ascii="Arial" w:eastAsia="Calibri" w:hAnsi="Arial" w:cs="Arial"/>
                <w:szCs w:val="22"/>
              </w:rPr>
              <w:t>were analyzed</w:t>
            </w:r>
            <w:proofErr w:type="gramEnd"/>
            <w:r w:rsidR="00126BDD" w:rsidRPr="00126BDD">
              <w:rPr>
                <w:rFonts w:ascii="Arial" w:eastAsia="Calibri" w:hAnsi="Arial" w:cs="Arial"/>
                <w:szCs w:val="22"/>
              </w:rPr>
              <w:t xml:space="preserve"> to determine the interactive effects </w:t>
            </w:r>
            <w:r w:rsidR="003F04D4" w:rsidRPr="003F04D4">
              <w:rPr>
                <w:rFonts w:ascii="Arial" w:eastAsia="Calibri" w:hAnsi="Arial" w:cs="Arial"/>
                <w:szCs w:val="22"/>
                <w:highlight w:val="yellow"/>
              </w:rPr>
              <w:t xml:space="preserve">(p </w:t>
            </w:r>
            <w:r w:rsidR="003F04D4" w:rsidRPr="003F04D4">
              <w:rPr>
                <w:rFonts w:ascii="Arial" w:eastAsia="Calibri" w:hAnsi="Arial" w:cs="Arial"/>
                <w:sz w:val="18"/>
                <w:szCs w:val="22"/>
                <w:highlight w:val="yellow"/>
              </w:rPr>
              <w:sym w:font="Symbol" w:char="F0A3"/>
            </w:r>
            <w:r w:rsidR="003F04D4" w:rsidRPr="003F04D4">
              <w:rPr>
                <w:rFonts w:ascii="Arial" w:eastAsia="Calibri" w:hAnsi="Arial" w:cs="Arial"/>
                <w:szCs w:val="22"/>
                <w:highlight w:val="yellow"/>
              </w:rPr>
              <w:t xml:space="preserve"> 0.05)</w:t>
            </w:r>
            <w:r w:rsidR="003F04D4">
              <w:rPr>
                <w:rFonts w:ascii="Arial" w:eastAsia="Calibri" w:hAnsi="Arial" w:cs="Arial"/>
                <w:szCs w:val="22"/>
              </w:rPr>
              <w:t xml:space="preserve"> </w:t>
            </w:r>
            <w:r w:rsidR="00126BDD" w:rsidRPr="00126BDD">
              <w:rPr>
                <w:rFonts w:ascii="Arial" w:eastAsia="Calibri" w:hAnsi="Arial" w:cs="Arial"/>
                <w:szCs w:val="22"/>
              </w:rPr>
              <w:t>of hydrogel dose and irrigation frequency on seedling growth and acclimatization time</w:t>
            </w:r>
            <w:r w:rsidRPr="00126BDD">
              <w:rPr>
                <w:rFonts w:ascii="Arial" w:eastAsia="Calibri" w:hAnsi="Arial" w:cs="Arial"/>
                <w:szCs w:val="22"/>
              </w:rPr>
              <w:t>.</w:t>
            </w:r>
          </w:p>
          <w:p w14:paraId="10026D85" w14:textId="77777777" w:rsidR="00BA1B01" w:rsidRPr="00126BDD" w:rsidRDefault="00BA1B01" w:rsidP="00441B6F">
            <w:pPr>
              <w:pStyle w:val="Body"/>
              <w:spacing w:after="0"/>
              <w:rPr>
                <w:rFonts w:ascii="Arial" w:eastAsia="Calibri" w:hAnsi="Arial" w:cs="Arial"/>
                <w:b/>
                <w:bCs/>
                <w:szCs w:val="22"/>
              </w:rPr>
            </w:pPr>
            <w:r w:rsidRPr="00126BDD">
              <w:rPr>
                <w:rFonts w:ascii="Arial" w:eastAsia="Calibri" w:hAnsi="Arial" w:cs="Arial"/>
                <w:b/>
                <w:bCs/>
                <w:szCs w:val="22"/>
              </w:rPr>
              <w:t>Results:</w:t>
            </w:r>
            <w:r w:rsidRPr="00126BDD">
              <w:rPr>
                <w:rFonts w:ascii="Arial" w:eastAsia="Calibri" w:hAnsi="Arial" w:cs="Arial"/>
                <w:szCs w:val="22"/>
              </w:rPr>
              <w:t xml:space="preserve"> </w:t>
            </w:r>
            <w:r w:rsidR="00126BDD" w:rsidRPr="00126BDD">
              <w:rPr>
                <w:rFonts w:ascii="Arial" w:eastAsia="Calibri" w:hAnsi="Arial" w:cs="Arial"/>
                <w:szCs w:val="22"/>
              </w:rPr>
              <w:t>Low hydrogel doses (0.1 g cell</w:t>
            </w:r>
            <w:r w:rsidR="00126BDD" w:rsidRPr="00126BDD">
              <w:rPr>
                <w:rFonts w:ascii="Arial" w:eastAsia="Calibri" w:hAnsi="Arial" w:cs="Arial"/>
                <w:szCs w:val="22"/>
                <w:vertAlign w:val="superscript"/>
              </w:rPr>
              <w:t>-1</w:t>
            </w:r>
            <w:r w:rsidR="00126BDD" w:rsidRPr="00126BDD">
              <w:rPr>
                <w:rFonts w:ascii="Arial" w:eastAsia="Calibri" w:hAnsi="Arial" w:cs="Arial"/>
                <w:szCs w:val="22"/>
              </w:rPr>
              <w:t>) combined with reduced irrigation (2</w:t>
            </w:r>
            <w:r w:rsidR="00126BDD">
              <w:rPr>
                <w:rFonts w:ascii="Arial" w:eastAsia="Calibri" w:hAnsi="Arial" w:cs="Arial"/>
                <w:szCs w:val="22"/>
              </w:rPr>
              <w:t>-</w:t>
            </w:r>
            <w:r w:rsidR="00126BDD" w:rsidRPr="00126BDD">
              <w:rPr>
                <w:rFonts w:ascii="Arial" w:eastAsia="Calibri" w:hAnsi="Arial" w:cs="Arial"/>
                <w:szCs w:val="22"/>
              </w:rPr>
              <w:t>3 times per week) optimized seedling growth, resulting in a production cycle of approximately 35 days before acclimatization. Plants showed greater vigor, with root dry weight of 0.73</w:t>
            </w:r>
            <w:r w:rsidR="00126BDD">
              <w:rPr>
                <w:rFonts w:ascii="Arial" w:eastAsia="Calibri" w:hAnsi="Arial" w:cs="Arial"/>
                <w:szCs w:val="22"/>
              </w:rPr>
              <w:t>-</w:t>
            </w:r>
            <w:r w:rsidR="00126BDD" w:rsidRPr="00126BDD">
              <w:rPr>
                <w:rFonts w:ascii="Arial" w:eastAsia="Calibri" w:hAnsi="Arial" w:cs="Arial"/>
                <w:szCs w:val="22"/>
              </w:rPr>
              <w:t>0.76 g, height of 10.85</w:t>
            </w:r>
            <w:r w:rsidR="00126BDD">
              <w:rPr>
                <w:rFonts w:ascii="Arial" w:eastAsia="Calibri" w:hAnsi="Arial" w:cs="Arial"/>
                <w:szCs w:val="22"/>
              </w:rPr>
              <w:t>-</w:t>
            </w:r>
            <w:r w:rsidR="00126BDD" w:rsidRPr="00126BDD">
              <w:rPr>
                <w:rFonts w:ascii="Arial" w:eastAsia="Calibri" w:hAnsi="Arial" w:cs="Arial"/>
                <w:szCs w:val="22"/>
              </w:rPr>
              <w:t>11.55 cm, and chlorophyll index of 40</w:t>
            </w:r>
            <w:r w:rsidR="00126BDD">
              <w:rPr>
                <w:rFonts w:ascii="Arial" w:eastAsia="Calibri" w:hAnsi="Arial" w:cs="Arial"/>
                <w:szCs w:val="22"/>
              </w:rPr>
              <w:t>-</w:t>
            </w:r>
            <w:r w:rsidR="00126BDD" w:rsidRPr="00126BDD">
              <w:rPr>
                <w:rFonts w:ascii="Arial" w:eastAsia="Calibri" w:hAnsi="Arial" w:cs="Arial"/>
                <w:szCs w:val="22"/>
              </w:rPr>
              <w:t>43 SPAD, while disease incidence remained below 5%. Conversely, the highest hydrogel dose (1.0 g cell</w:t>
            </w:r>
            <w:r w:rsidR="00126BDD" w:rsidRPr="00126BDD">
              <w:rPr>
                <w:rFonts w:ascii="Arial" w:eastAsia="Calibri" w:hAnsi="Arial" w:cs="Arial"/>
                <w:szCs w:val="22"/>
                <w:vertAlign w:val="superscript"/>
              </w:rPr>
              <w:t>-1</w:t>
            </w:r>
            <w:r w:rsidR="00126BDD" w:rsidRPr="00126BDD">
              <w:rPr>
                <w:rFonts w:ascii="Arial" w:eastAsia="Calibri" w:hAnsi="Arial" w:cs="Arial"/>
                <w:szCs w:val="22"/>
              </w:rPr>
              <w:t>) reduced chlorophyll content and seedling health. Increased irrigation frequency shortened acclimatization time (37.5</w:t>
            </w:r>
            <w:r w:rsidR="00126BDD">
              <w:rPr>
                <w:rFonts w:ascii="Arial" w:eastAsia="Calibri" w:hAnsi="Arial" w:cs="Arial"/>
                <w:szCs w:val="22"/>
              </w:rPr>
              <w:t>-</w:t>
            </w:r>
            <w:r w:rsidR="00126BDD" w:rsidRPr="00126BDD">
              <w:rPr>
                <w:rFonts w:ascii="Arial" w:eastAsia="Calibri" w:hAnsi="Arial" w:cs="Arial"/>
                <w:szCs w:val="22"/>
              </w:rPr>
              <w:t>38.0 days for 2</w:t>
            </w:r>
            <w:r w:rsidR="00126BDD">
              <w:rPr>
                <w:rFonts w:ascii="Arial" w:eastAsia="Calibri" w:hAnsi="Arial" w:cs="Arial"/>
                <w:szCs w:val="22"/>
              </w:rPr>
              <w:t>-</w:t>
            </w:r>
            <w:r w:rsidR="00126BDD" w:rsidRPr="00126BDD">
              <w:rPr>
                <w:rFonts w:ascii="Arial" w:eastAsia="Calibri" w:hAnsi="Arial" w:cs="Arial"/>
                <w:szCs w:val="22"/>
              </w:rPr>
              <w:t>3 irrigations per week vs. 40.25 days for the control) and decreased disease incidence (control 8.00% ± 1.41; twice weekly 5.75% ± 1.96; thrice weekly 5.25% ± 1.90). Intermediate doses (0.5</w:t>
            </w:r>
            <w:r w:rsidR="00126BDD">
              <w:rPr>
                <w:rFonts w:ascii="Arial" w:eastAsia="Calibri" w:hAnsi="Arial" w:cs="Arial"/>
                <w:szCs w:val="22"/>
              </w:rPr>
              <w:t>-</w:t>
            </w:r>
            <w:r w:rsidR="00126BDD" w:rsidRPr="00126BDD">
              <w:rPr>
                <w:rFonts w:ascii="Arial" w:eastAsia="Calibri" w:hAnsi="Arial" w:cs="Arial"/>
                <w:szCs w:val="22"/>
              </w:rPr>
              <w:t>1.0 g) increased leaf number (≈ 4.15</w:t>
            </w:r>
            <w:r w:rsidR="00126BDD">
              <w:rPr>
                <w:rFonts w:ascii="Arial" w:eastAsia="Calibri" w:hAnsi="Arial" w:cs="Arial"/>
                <w:szCs w:val="22"/>
              </w:rPr>
              <w:t>-</w:t>
            </w:r>
            <w:r w:rsidR="00126BDD" w:rsidRPr="00126BDD">
              <w:rPr>
                <w:rFonts w:ascii="Arial" w:eastAsia="Calibri" w:hAnsi="Arial" w:cs="Arial"/>
                <w:szCs w:val="22"/>
              </w:rPr>
              <w:t>4.22 vs. 3.58 in control), but higher doses reduced root biomass</w:t>
            </w:r>
            <w:r w:rsidRPr="00126BDD">
              <w:rPr>
                <w:rFonts w:ascii="Arial" w:eastAsia="Calibri" w:hAnsi="Arial" w:cs="Arial"/>
                <w:szCs w:val="22"/>
              </w:rPr>
              <w:t>.</w:t>
            </w:r>
          </w:p>
          <w:p w14:paraId="4830496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26BDD" w:rsidRPr="00126BDD">
              <w:rPr>
                <w:rFonts w:ascii="Arial" w:eastAsia="Calibri" w:hAnsi="Arial" w:cs="Arial"/>
                <w:szCs w:val="22"/>
              </w:rPr>
              <w:t>The combined use of low-dose hydrogel and adjusted irrigation frequency constitutes a sustainable management strategy to enhance tomato seedling vigor, water-use efficiency, and phytosanitary quality under greenhouse conditions</w:t>
            </w:r>
            <w:r w:rsidRPr="00BA1B01">
              <w:rPr>
                <w:rFonts w:ascii="Arial" w:eastAsia="Calibri" w:hAnsi="Arial" w:cs="Arial"/>
                <w:szCs w:val="22"/>
              </w:rPr>
              <w:t>.</w:t>
            </w:r>
          </w:p>
        </w:tc>
      </w:tr>
    </w:tbl>
    <w:p w14:paraId="73323DF0" w14:textId="77777777" w:rsidR="00636EB2" w:rsidRDefault="00636EB2" w:rsidP="00441B6F">
      <w:pPr>
        <w:pStyle w:val="Body"/>
        <w:spacing w:after="0"/>
        <w:rPr>
          <w:rFonts w:ascii="Arial" w:hAnsi="Arial" w:cs="Arial"/>
          <w:i/>
        </w:rPr>
      </w:pPr>
    </w:p>
    <w:p w14:paraId="697F111A"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A51C9F" w:rsidRPr="00A51C9F">
        <w:rPr>
          <w:rFonts w:ascii="Arial" w:hAnsi="Arial" w:cs="Arial"/>
          <w:i/>
        </w:rPr>
        <w:t>Solanum</w:t>
      </w:r>
      <w:proofErr w:type="spellEnd"/>
      <w:r w:rsidR="00A51C9F" w:rsidRPr="00A51C9F">
        <w:rPr>
          <w:rFonts w:ascii="Arial" w:hAnsi="Arial" w:cs="Arial"/>
          <w:i/>
        </w:rPr>
        <w:t xml:space="preserve"> </w:t>
      </w:r>
      <w:proofErr w:type="spellStart"/>
      <w:r w:rsidR="00A51C9F" w:rsidRPr="00A51C9F">
        <w:rPr>
          <w:rFonts w:ascii="Arial" w:hAnsi="Arial" w:cs="Arial"/>
          <w:i/>
        </w:rPr>
        <w:t>lycopersicum</w:t>
      </w:r>
      <w:proofErr w:type="spellEnd"/>
      <w:r w:rsidR="00A51C9F" w:rsidRPr="00A51C9F">
        <w:rPr>
          <w:rFonts w:ascii="Arial" w:hAnsi="Arial" w:cs="Arial"/>
          <w:i/>
        </w:rPr>
        <w:t>, irrigation management, plant biometrics, chlorophyll index, plant health</w:t>
      </w:r>
    </w:p>
    <w:p w14:paraId="4AC00875" w14:textId="77777777" w:rsidR="00790ADA" w:rsidRDefault="00790ADA" w:rsidP="00441B6F">
      <w:pPr>
        <w:pStyle w:val="Body"/>
        <w:spacing w:after="0"/>
        <w:rPr>
          <w:rFonts w:ascii="Arial" w:hAnsi="Arial" w:cs="Arial"/>
        </w:rPr>
      </w:pPr>
    </w:p>
    <w:p w14:paraId="44114D9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6D97E14" w14:textId="77777777" w:rsidR="00AF76F4" w:rsidRDefault="00AF76F4" w:rsidP="00AF76F4">
      <w:pPr>
        <w:pStyle w:val="Body"/>
        <w:spacing w:after="0"/>
        <w:rPr>
          <w:rFonts w:ascii="Arial" w:hAnsi="Arial" w:cs="Arial"/>
        </w:rPr>
      </w:pPr>
    </w:p>
    <w:p w14:paraId="40C6AD44" w14:textId="77777777" w:rsidR="00AF76F4" w:rsidRPr="00AF76F4" w:rsidRDefault="00AF76F4" w:rsidP="00AF76F4">
      <w:pPr>
        <w:pStyle w:val="Body"/>
        <w:rPr>
          <w:rFonts w:ascii="Arial" w:hAnsi="Arial" w:cs="Arial"/>
        </w:rPr>
      </w:pPr>
      <w:r w:rsidRPr="00AF76F4">
        <w:rPr>
          <w:rFonts w:ascii="Arial" w:hAnsi="Arial" w:cs="Arial"/>
        </w:rPr>
        <w:t>The tomato (</w:t>
      </w:r>
      <w:proofErr w:type="spellStart"/>
      <w:r w:rsidRPr="00AF76F4">
        <w:rPr>
          <w:rFonts w:ascii="Arial" w:hAnsi="Arial" w:cs="Arial"/>
          <w:i/>
        </w:rPr>
        <w:t>Solanum</w:t>
      </w:r>
      <w:proofErr w:type="spellEnd"/>
      <w:r w:rsidRPr="00AF76F4">
        <w:rPr>
          <w:rFonts w:ascii="Arial" w:hAnsi="Arial" w:cs="Arial"/>
          <w:i/>
        </w:rPr>
        <w:t xml:space="preserve"> </w:t>
      </w:r>
      <w:proofErr w:type="spellStart"/>
      <w:r w:rsidRPr="00AF76F4">
        <w:rPr>
          <w:rFonts w:ascii="Arial" w:hAnsi="Arial" w:cs="Arial"/>
          <w:i/>
        </w:rPr>
        <w:t>lycopersicum</w:t>
      </w:r>
      <w:proofErr w:type="spellEnd"/>
      <w:r w:rsidRPr="00AF76F4">
        <w:rPr>
          <w:rFonts w:ascii="Arial" w:hAnsi="Arial" w:cs="Arial"/>
        </w:rPr>
        <w:t xml:space="preserve"> L.), native to the Andes of South America, is one of the globally important vegetables due to its nutritional value for a healthy diet </w:t>
      </w:r>
      <w:r w:rsidR="00212F21">
        <w:rPr>
          <w:rFonts w:ascii="Arial" w:hAnsi="Arial" w:cs="Arial"/>
        </w:rPr>
        <w:t>[1,2,3]</w:t>
      </w:r>
      <w:r w:rsidRPr="00AF76F4">
        <w:rPr>
          <w:rFonts w:ascii="Arial" w:hAnsi="Arial" w:cs="Arial"/>
        </w:rPr>
        <w:t xml:space="preserve"> and its substantial economic contribution to the agricultural sector </w:t>
      </w:r>
      <w:r w:rsidR="00B903FF">
        <w:rPr>
          <w:rFonts w:ascii="Arial" w:hAnsi="Arial" w:cs="Arial"/>
        </w:rPr>
        <w:t>[4]</w:t>
      </w:r>
      <w:r w:rsidRPr="00AF76F4">
        <w:rPr>
          <w:rFonts w:ascii="Arial" w:hAnsi="Arial" w:cs="Arial"/>
        </w:rPr>
        <w:t xml:space="preserve">. However, its production faces challenges </w:t>
      </w:r>
      <w:r w:rsidR="00B903FF">
        <w:rPr>
          <w:rFonts w:ascii="Arial" w:hAnsi="Arial" w:cs="Arial"/>
        </w:rPr>
        <w:t>associated with climate change [5]</w:t>
      </w:r>
      <w:r w:rsidRPr="00AF76F4">
        <w:rPr>
          <w:rFonts w:ascii="Arial" w:hAnsi="Arial" w:cs="Arial"/>
        </w:rPr>
        <w:t xml:space="preserve">, including water scarcity </w:t>
      </w:r>
      <w:r w:rsidR="00B903FF">
        <w:rPr>
          <w:rFonts w:ascii="Arial" w:hAnsi="Arial" w:cs="Arial"/>
        </w:rPr>
        <w:t>[6,7]</w:t>
      </w:r>
      <w:r w:rsidRPr="00AF76F4">
        <w:rPr>
          <w:rFonts w:ascii="Arial" w:hAnsi="Arial" w:cs="Arial"/>
        </w:rPr>
        <w:t xml:space="preserve">, which is particularly critical during the early stages of cultivation </w:t>
      </w:r>
      <w:r w:rsidR="00B903FF">
        <w:rPr>
          <w:rFonts w:ascii="Arial" w:hAnsi="Arial" w:cs="Arial"/>
        </w:rPr>
        <w:t>[8]</w:t>
      </w:r>
      <w:r w:rsidRPr="00AF76F4">
        <w:rPr>
          <w:rFonts w:ascii="Arial" w:hAnsi="Arial" w:cs="Arial"/>
        </w:rPr>
        <w:t xml:space="preserve">. During this phase, producing high-quality seedlings is essential to ensure the success of subsequent production </w:t>
      </w:r>
      <w:r w:rsidR="00B903FF">
        <w:rPr>
          <w:rFonts w:ascii="Arial" w:hAnsi="Arial" w:cs="Arial"/>
        </w:rPr>
        <w:t>[9]</w:t>
      </w:r>
      <w:r w:rsidRPr="00AF76F4">
        <w:rPr>
          <w:rFonts w:ascii="Arial" w:hAnsi="Arial" w:cs="Arial"/>
        </w:rPr>
        <w:t>.</w:t>
      </w:r>
    </w:p>
    <w:p w14:paraId="20F1E80A" w14:textId="77777777" w:rsidR="00AF76F4" w:rsidRPr="00AF76F4" w:rsidRDefault="00AF76F4" w:rsidP="00AF76F4">
      <w:pPr>
        <w:pStyle w:val="Body"/>
        <w:rPr>
          <w:rFonts w:ascii="Arial" w:hAnsi="Arial" w:cs="Arial"/>
        </w:rPr>
      </w:pPr>
      <w:r w:rsidRPr="00AF76F4">
        <w:rPr>
          <w:rFonts w:ascii="Arial" w:hAnsi="Arial" w:cs="Arial"/>
        </w:rPr>
        <w:t xml:space="preserve">The agricultural sector, which already consumes more than 70% of available freshwater, faces a pressing challenge: global demand for water is projected to be 50% higher than current levels by 2030, exacerbating its scarcity </w:t>
      </w:r>
      <w:r w:rsidR="00B903FF">
        <w:rPr>
          <w:rFonts w:ascii="Arial" w:hAnsi="Arial" w:cs="Arial"/>
        </w:rPr>
        <w:t>[10]</w:t>
      </w:r>
      <w:r w:rsidRPr="00AF76F4">
        <w:rPr>
          <w:rFonts w:ascii="Arial" w:hAnsi="Arial" w:cs="Arial"/>
        </w:rPr>
        <w:t>. This global context is reflected locally. In Bolivia, tomato production is concentrated in the departments of Cochabamba and Santa Cruz, with an average yield of 15,765 kg ha</w:t>
      </w:r>
      <w:r w:rsidRPr="00B903FF">
        <w:rPr>
          <w:rFonts w:ascii="Arial" w:hAnsi="Arial" w:cs="Arial"/>
          <w:vertAlign w:val="superscript"/>
        </w:rPr>
        <w:t>-1</w:t>
      </w:r>
      <w:r w:rsidRPr="00AF76F4">
        <w:rPr>
          <w:rFonts w:ascii="Arial" w:hAnsi="Arial" w:cs="Arial"/>
        </w:rPr>
        <w:t xml:space="preserve"> over a cultivated area of 5,101 ha, resulting in the production </w:t>
      </w:r>
      <w:r w:rsidRPr="00AF76F4">
        <w:rPr>
          <w:rFonts w:ascii="Arial" w:hAnsi="Arial" w:cs="Arial"/>
        </w:rPr>
        <w:lastRenderedPageBreak/>
        <w:t>of approximately 102 million seedli</w:t>
      </w:r>
      <w:r w:rsidR="00B903FF">
        <w:rPr>
          <w:rFonts w:ascii="Arial" w:hAnsi="Arial" w:cs="Arial"/>
        </w:rPr>
        <w:t>ngs in the 2023-2024 season [11]</w:t>
      </w:r>
      <w:r w:rsidRPr="00AF76F4">
        <w:rPr>
          <w:rFonts w:ascii="Arial" w:hAnsi="Arial" w:cs="Arial"/>
        </w:rPr>
        <w:t>. Although the transition to tray-based seedling production systems using substrates and hybrid varieties has markedly improved productivity, critical constraints related to water management remain, including inefficient irrigation practices and increasing water scarcity.</w:t>
      </w:r>
    </w:p>
    <w:p w14:paraId="7B5F9568" w14:textId="77777777" w:rsidR="00AF76F4" w:rsidRPr="00AF76F4" w:rsidRDefault="00AF76F4" w:rsidP="00AF76F4">
      <w:pPr>
        <w:pStyle w:val="Body"/>
        <w:rPr>
          <w:rFonts w:ascii="Arial" w:hAnsi="Arial" w:cs="Arial"/>
        </w:rPr>
      </w:pPr>
      <w:r w:rsidRPr="00AF76F4">
        <w:rPr>
          <w:rFonts w:ascii="Arial" w:hAnsi="Arial" w:cs="Arial"/>
        </w:rPr>
        <w:t xml:space="preserve">Seedling water consumption is influenced by factors such as temperature and relative humidity </w:t>
      </w:r>
      <w:r w:rsidR="00B903FF">
        <w:rPr>
          <w:rFonts w:ascii="Arial" w:hAnsi="Arial" w:cs="Arial"/>
        </w:rPr>
        <w:t>[12]</w:t>
      </w:r>
      <w:r w:rsidRPr="00AF76F4">
        <w:rPr>
          <w:rFonts w:ascii="Arial" w:hAnsi="Arial" w:cs="Arial"/>
        </w:rPr>
        <w:t xml:space="preserve">. Inadequate or untimely irrigation often leads to uneven seedling growth, nutritional deficiencies, weak plants, increased susceptibility to pathogens, and poor establishment in the field </w:t>
      </w:r>
      <w:r w:rsidR="00B903FF">
        <w:rPr>
          <w:rFonts w:ascii="Arial" w:hAnsi="Arial" w:cs="Arial"/>
        </w:rPr>
        <w:t>[13]</w:t>
      </w:r>
      <w:r w:rsidRPr="00AF76F4">
        <w:rPr>
          <w:rFonts w:ascii="Arial" w:hAnsi="Arial" w:cs="Arial"/>
        </w:rPr>
        <w:t xml:space="preserve">. The seedling phase is decisive in the tomato production cycle </w:t>
      </w:r>
      <w:r w:rsidR="00B903FF">
        <w:rPr>
          <w:rFonts w:ascii="Arial" w:hAnsi="Arial" w:cs="Arial"/>
        </w:rPr>
        <w:t>[14]</w:t>
      </w:r>
      <w:r w:rsidRPr="00AF76F4">
        <w:rPr>
          <w:rFonts w:ascii="Arial" w:hAnsi="Arial" w:cs="Arial"/>
        </w:rPr>
        <w:t xml:space="preserve">, as seedling quality directly affects final yield </w:t>
      </w:r>
      <w:r w:rsidR="00B903FF">
        <w:rPr>
          <w:rFonts w:ascii="Arial" w:hAnsi="Arial" w:cs="Arial"/>
        </w:rPr>
        <w:t>[15]</w:t>
      </w:r>
      <w:r w:rsidRPr="00AF76F4">
        <w:rPr>
          <w:rFonts w:ascii="Arial" w:hAnsi="Arial" w:cs="Arial"/>
        </w:rPr>
        <w:t>. However, in greenhouse production, conventional irrigation methods are often inefficient, resulting in water stress, low uniformity, and excessi</w:t>
      </w:r>
      <w:r w:rsidR="00B903FF">
        <w:rPr>
          <w:rFonts w:ascii="Arial" w:hAnsi="Arial" w:cs="Arial"/>
        </w:rPr>
        <w:t>ve water and labor consumption [16]</w:t>
      </w:r>
      <w:r w:rsidRPr="00AF76F4">
        <w:rPr>
          <w:rFonts w:ascii="Arial" w:hAnsi="Arial" w:cs="Arial"/>
        </w:rPr>
        <w:t>.</w:t>
      </w:r>
    </w:p>
    <w:p w14:paraId="1CF3A574" w14:textId="77777777" w:rsidR="00AF76F4" w:rsidRPr="00AF76F4" w:rsidRDefault="00AF76F4" w:rsidP="00AF76F4">
      <w:pPr>
        <w:pStyle w:val="Body"/>
        <w:rPr>
          <w:rFonts w:ascii="Arial" w:hAnsi="Arial" w:cs="Arial"/>
        </w:rPr>
      </w:pPr>
      <w:r w:rsidRPr="00AF76F4">
        <w:rPr>
          <w:rFonts w:ascii="Arial" w:hAnsi="Arial" w:cs="Arial"/>
        </w:rPr>
        <w:t xml:space="preserve">For this reason, the search for and implementation of technologies for efficient and sustainable management of water resources in this phase becomes an imperative need. An innovative technology to address this problem is the use of hydrogels </w:t>
      </w:r>
      <w:r w:rsidR="00B903FF">
        <w:rPr>
          <w:rFonts w:ascii="Arial" w:hAnsi="Arial" w:cs="Arial"/>
        </w:rPr>
        <w:t>[17,18</w:t>
      </w:r>
      <w:r w:rsidR="0006374B">
        <w:rPr>
          <w:rFonts w:ascii="Arial" w:hAnsi="Arial" w:cs="Arial"/>
        </w:rPr>
        <w:t>]</w:t>
      </w:r>
      <w:r w:rsidRPr="00AF76F4">
        <w:rPr>
          <w:rFonts w:ascii="Arial" w:hAnsi="Arial" w:cs="Arial"/>
        </w:rPr>
        <w:t xml:space="preserve">, marketed as "solid rain". Composed mainly of cross-linked potassium polyacrylate </w:t>
      </w:r>
      <w:r w:rsidR="0006374B">
        <w:rPr>
          <w:rFonts w:ascii="Arial" w:hAnsi="Arial" w:cs="Arial"/>
        </w:rPr>
        <w:t>[19]</w:t>
      </w:r>
      <w:r w:rsidRPr="00AF76F4">
        <w:rPr>
          <w:rFonts w:ascii="Arial" w:hAnsi="Arial" w:cs="Arial"/>
        </w:rPr>
        <w:t xml:space="preserve">, they absorb and retain large volumes of water </w:t>
      </w:r>
      <w:r w:rsidR="0006374B">
        <w:rPr>
          <w:rFonts w:ascii="Arial" w:hAnsi="Arial" w:cs="Arial"/>
        </w:rPr>
        <w:t>[20,21]</w:t>
      </w:r>
      <w:r w:rsidRPr="00AF76F4">
        <w:rPr>
          <w:rFonts w:ascii="Arial" w:hAnsi="Arial" w:cs="Arial"/>
        </w:rPr>
        <w:t xml:space="preserve"> and gradually release them into the root zone </w:t>
      </w:r>
      <w:r w:rsidR="0006374B">
        <w:rPr>
          <w:rFonts w:ascii="Arial" w:hAnsi="Arial" w:cs="Arial"/>
        </w:rPr>
        <w:t>[22]</w:t>
      </w:r>
      <w:r w:rsidRPr="00AF76F4">
        <w:rPr>
          <w:rFonts w:ascii="Arial" w:hAnsi="Arial" w:cs="Arial"/>
        </w:rPr>
        <w:t xml:space="preserve">, acting as moisture reservoirs </w:t>
      </w:r>
      <w:r w:rsidR="0006374B">
        <w:rPr>
          <w:rFonts w:ascii="Arial" w:hAnsi="Arial" w:cs="Arial"/>
        </w:rPr>
        <w:t>[23,24]</w:t>
      </w:r>
      <w:r w:rsidRPr="00AF76F4">
        <w:rPr>
          <w:rFonts w:ascii="Arial" w:hAnsi="Arial" w:cs="Arial"/>
        </w:rPr>
        <w:t>.</w:t>
      </w:r>
    </w:p>
    <w:p w14:paraId="4A1F118E" w14:textId="77777777" w:rsidR="00AF76F4" w:rsidRPr="00AF76F4" w:rsidRDefault="00AF76F4" w:rsidP="00AF76F4">
      <w:pPr>
        <w:pStyle w:val="Body"/>
        <w:rPr>
          <w:rFonts w:ascii="Arial" w:hAnsi="Arial" w:cs="Arial"/>
        </w:rPr>
      </w:pPr>
      <w:r w:rsidRPr="00AF76F4">
        <w:rPr>
          <w:rFonts w:ascii="Arial" w:hAnsi="Arial" w:cs="Arial"/>
        </w:rPr>
        <w:t xml:space="preserve">Recent research has characterized the key properties of hydrogels, such as their capacity for swelling, water retention, controlled release of nutrients, and their rate of degradation </w:t>
      </w:r>
      <w:r w:rsidR="0006374B">
        <w:rPr>
          <w:rFonts w:ascii="Arial" w:hAnsi="Arial" w:cs="Arial"/>
        </w:rPr>
        <w:t>[25,26,27]</w:t>
      </w:r>
      <w:r w:rsidRPr="00AF76F4">
        <w:rPr>
          <w:rFonts w:ascii="Arial" w:hAnsi="Arial" w:cs="Arial"/>
        </w:rPr>
        <w:t xml:space="preserve">. Its use optimizes fertigation efficiency </w:t>
      </w:r>
      <w:r w:rsidR="0006374B">
        <w:rPr>
          <w:rFonts w:ascii="Arial" w:hAnsi="Arial" w:cs="Arial"/>
        </w:rPr>
        <w:t>[28]</w:t>
      </w:r>
      <w:r w:rsidRPr="00AF76F4">
        <w:rPr>
          <w:rFonts w:ascii="Arial" w:hAnsi="Arial" w:cs="Arial"/>
        </w:rPr>
        <w:t xml:space="preserve">, improves soil physical properties </w:t>
      </w:r>
      <w:r w:rsidR="0006374B">
        <w:rPr>
          <w:rFonts w:ascii="Arial" w:hAnsi="Arial" w:cs="Arial"/>
        </w:rPr>
        <w:t>[29,30]</w:t>
      </w:r>
      <w:r w:rsidRPr="00AF76F4">
        <w:rPr>
          <w:rFonts w:ascii="Arial" w:hAnsi="Arial" w:cs="Arial"/>
        </w:rPr>
        <w:t xml:space="preserve"> and stimulates microbial activity in soil </w:t>
      </w:r>
      <w:r w:rsidR="0006374B">
        <w:rPr>
          <w:rFonts w:ascii="Arial" w:hAnsi="Arial" w:cs="Arial"/>
        </w:rPr>
        <w:t>[31,32]</w:t>
      </w:r>
      <w:r w:rsidRPr="00AF76F4">
        <w:rPr>
          <w:rFonts w:ascii="Arial" w:hAnsi="Arial" w:cs="Arial"/>
        </w:rPr>
        <w:t xml:space="preserve">. Although its application has been studied mainly in transplant agriculture and reforestation </w:t>
      </w:r>
      <w:r w:rsidR="003824AC">
        <w:rPr>
          <w:rFonts w:ascii="Arial" w:hAnsi="Arial" w:cs="Arial"/>
        </w:rPr>
        <w:t>[33]</w:t>
      </w:r>
      <w:r w:rsidRPr="00AF76F4">
        <w:rPr>
          <w:rFonts w:ascii="Arial" w:hAnsi="Arial" w:cs="Arial"/>
        </w:rPr>
        <w:t xml:space="preserve">, its specific implementation in the production of seedlings in nurseries constitutes a research gap. Exploring this area is crucial for its potential to reduce irrigation frequency, mitigate water stress, promote vigorous and uniform seedling development </w:t>
      </w:r>
      <w:r w:rsidR="003824AC">
        <w:rPr>
          <w:rFonts w:ascii="Arial" w:hAnsi="Arial" w:cs="Arial"/>
        </w:rPr>
        <w:t>[34]</w:t>
      </w:r>
      <w:r w:rsidRPr="00AF76F4">
        <w:rPr>
          <w:rFonts w:ascii="Arial" w:hAnsi="Arial" w:cs="Arial"/>
        </w:rPr>
        <w:t xml:space="preserve">, increase water use efficiency </w:t>
      </w:r>
      <w:r w:rsidR="003824AC">
        <w:rPr>
          <w:rFonts w:ascii="Arial" w:hAnsi="Arial" w:cs="Arial"/>
        </w:rPr>
        <w:t>[26,35]</w:t>
      </w:r>
      <w:r w:rsidRPr="00AF76F4">
        <w:rPr>
          <w:rFonts w:ascii="Arial" w:hAnsi="Arial" w:cs="Arial"/>
        </w:rPr>
        <w:t xml:space="preserve">, and improve the transplant success rate </w:t>
      </w:r>
      <w:r w:rsidR="003824AC">
        <w:rPr>
          <w:rFonts w:ascii="Arial" w:hAnsi="Arial" w:cs="Arial"/>
        </w:rPr>
        <w:t>[36]</w:t>
      </w:r>
      <w:r w:rsidRPr="00AF76F4">
        <w:rPr>
          <w:rFonts w:ascii="Arial" w:hAnsi="Arial" w:cs="Arial"/>
        </w:rPr>
        <w:t>.</w:t>
      </w:r>
    </w:p>
    <w:p w14:paraId="24F15A31" w14:textId="77777777" w:rsidR="00AF76F4" w:rsidRDefault="00AF76F4" w:rsidP="00AF76F4">
      <w:pPr>
        <w:pStyle w:val="Body"/>
        <w:spacing w:after="0"/>
        <w:rPr>
          <w:rFonts w:ascii="Arial" w:hAnsi="Arial" w:cs="Arial"/>
        </w:rPr>
      </w:pPr>
      <w:r w:rsidRPr="00AF76F4">
        <w:rPr>
          <w:rFonts w:ascii="Arial" w:hAnsi="Arial" w:cs="Arial"/>
        </w:rPr>
        <w:t xml:space="preserve">Therefore, this study proposes to evaluate the effect of the incorporation of different doses of hydrogel in the seedling production substrate, as well as different irrigation frequencies, on the morpho-physiological development and quality of tomato seedlings variety </w:t>
      </w:r>
      <w:proofErr w:type="spellStart"/>
      <w:r w:rsidRPr="00AF76F4">
        <w:rPr>
          <w:rFonts w:ascii="Arial" w:hAnsi="Arial" w:cs="Arial"/>
        </w:rPr>
        <w:t>INIAF</w:t>
      </w:r>
      <w:proofErr w:type="spellEnd"/>
      <w:r w:rsidRPr="00AF76F4">
        <w:rPr>
          <w:rFonts w:ascii="Arial" w:hAnsi="Arial" w:cs="Arial"/>
        </w:rPr>
        <w:t xml:space="preserve"> </w:t>
      </w:r>
      <w:proofErr w:type="spellStart"/>
      <w:r w:rsidRPr="00AF76F4">
        <w:rPr>
          <w:rFonts w:ascii="Arial" w:hAnsi="Arial" w:cs="Arial"/>
        </w:rPr>
        <w:t>Renacer</w:t>
      </w:r>
      <w:proofErr w:type="spellEnd"/>
      <w:r w:rsidRPr="00AF76F4">
        <w:rPr>
          <w:rFonts w:ascii="Arial" w:hAnsi="Arial" w:cs="Arial"/>
        </w:rPr>
        <w:t xml:space="preserve"> produced under controlled conditions. This evaluation seeks to determine the potential of this technology as a sustainable strategy to optimize productivity in the seedling phase, improve resilience to water-stressed conditions and contribute to the most efficient use of water. The findings aim to offer concrete evidence to assess the agronomic viability of hydrogels in the production of tomato seedlings with an efficient use of irrigation water.</w:t>
      </w:r>
    </w:p>
    <w:p w14:paraId="5A1DC8F7" w14:textId="77777777" w:rsidR="00AF76F4" w:rsidRDefault="00AF76F4" w:rsidP="00AF76F4">
      <w:pPr>
        <w:pStyle w:val="Body"/>
        <w:spacing w:after="0"/>
        <w:rPr>
          <w:rFonts w:ascii="Arial" w:hAnsi="Arial" w:cs="Arial"/>
        </w:rPr>
      </w:pPr>
    </w:p>
    <w:p w14:paraId="43B38A4A"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9CD1B90" w14:textId="77777777" w:rsidR="00AF76F4" w:rsidRDefault="00AF76F4" w:rsidP="00AF76F4">
      <w:pPr>
        <w:pStyle w:val="Body"/>
        <w:spacing w:after="0"/>
        <w:rPr>
          <w:rFonts w:ascii="Arial" w:hAnsi="Arial" w:cs="Arial"/>
        </w:rPr>
      </w:pPr>
    </w:p>
    <w:p w14:paraId="2CA7459F" w14:textId="77777777" w:rsidR="00AF76F4" w:rsidRDefault="00AF397E" w:rsidP="00AF76F4">
      <w:pPr>
        <w:pStyle w:val="Body"/>
        <w:spacing w:after="0"/>
        <w:rPr>
          <w:rFonts w:ascii="Arial" w:hAnsi="Arial" w:cs="Arial"/>
        </w:rPr>
      </w:pPr>
      <w:r w:rsidRPr="00C30A0F">
        <w:rPr>
          <w:rFonts w:ascii="Arial" w:hAnsi="Arial" w:cs="Arial"/>
          <w:b/>
          <w:caps/>
          <w:sz w:val="22"/>
        </w:rPr>
        <w:t xml:space="preserve">2.1 </w:t>
      </w:r>
      <w:r w:rsidRPr="00AF397E">
        <w:rPr>
          <w:rFonts w:ascii="Arial" w:hAnsi="Arial" w:cs="Arial"/>
          <w:b/>
          <w:sz w:val="22"/>
        </w:rPr>
        <w:t>Description of the Study Area</w:t>
      </w:r>
    </w:p>
    <w:p w14:paraId="2826A43A" w14:textId="77777777" w:rsidR="00AF76F4" w:rsidRDefault="00AF76F4" w:rsidP="00AF76F4">
      <w:pPr>
        <w:pStyle w:val="Body"/>
        <w:spacing w:after="0"/>
        <w:rPr>
          <w:rFonts w:ascii="Arial" w:hAnsi="Arial" w:cs="Arial"/>
        </w:rPr>
      </w:pPr>
    </w:p>
    <w:p w14:paraId="6D771923" w14:textId="77777777" w:rsidR="00AF397E" w:rsidRDefault="00AF397E" w:rsidP="00AF397E">
      <w:pPr>
        <w:pStyle w:val="Body"/>
        <w:rPr>
          <w:rFonts w:ascii="Arial" w:hAnsi="Arial" w:cs="Arial"/>
        </w:rPr>
      </w:pPr>
      <w:r w:rsidRPr="00AF397E">
        <w:rPr>
          <w:rFonts w:ascii="Arial" w:hAnsi="Arial" w:cs="Arial"/>
        </w:rPr>
        <w:t xml:space="preserve">The study was conducted in a vegetable seedling production greenhouse at the Centro Nacional de </w:t>
      </w:r>
      <w:proofErr w:type="spellStart"/>
      <w:r w:rsidRPr="00AF397E">
        <w:rPr>
          <w:rFonts w:ascii="Arial" w:hAnsi="Arial" w:cs="Arial"/>
        </w:rPr>
        <w:t>Producción</w:t>
      </w:r>
      <w:proofErr w:type="spellEnd"/>
      <w:r w:rsidRPr="00AF397E">
        <w:rPr>
          <w:rFonts w:ascii="Arial" w:hAnsi="Arial" w:cs="Arial"/>
        </w:rPr>
        <w:t xml:space="preserve"> de </w:t>
      </w:r>
      <w:proofErr w:type="spellStart"/>
      <w:r w:rsidRPr="00AF397E">
        <w:rPr>
          <w:rFonts w:ascii="Arial" w:hAnsi="Arial" w:cs="Arial"/>
        </w:rPr>
        <w:t>Semillas</w:t>
      </w:r>
      <w:proofErr w:type="spellEnd"/>
      <w:r w:rsidRPr="00AF397E">
        <w:rPr>
          <w:rFonts w:ascii="Arial" w:hAnsi="Arial" w:cs="Arial"/>
        </w:rPr>
        <w:t xml:space="preserve"> de </w:t>
      </w:r>
      <w:proofErr w:type="spellStart"/>
      <w:r w:rsidRPr="00AF397E">
        <w:rPr>
          <w:rFonts w:ascii="Arial" w:hAnsi="Arial" w:cs="Arial"/>
        </w:rPr>
        <w:t>Hortalizas</w:t>
      </w:r>
      <w:proofErr w:type="spellEnd"/>
      <w:r w:rsidRPr="00AF397E">
        <w:rPr>
          <w:rFonts w:ascii="Arial" w:hAnsi="Arial" w:cs="Arial"/>
        </w:rPr>
        <w:t xml:space="preserve"> (</w:t>
      </w:r>
      <w:proofErr w:type="spellStart"/>
      <w:r w:rsidRPr="00AF397E">
        <w:rPr>
          <w:rFonts w:ascii="Arial" w:hAnsi="Arial" w:cs="Arial"/>
        </w:rPr>
        <w:t>CNPSH</w:t>
      </w:r>
      <w:proofErr w:type="spellEnd"/>
      <w:r w:rsidRPr="00AF397E">
        <w:rPr>
          <w:rFonts w:ascii="Arial" w:hAnsi="Arial" w:cs="Arial"/>
        </w:rPr>
        <w:t xml:space="preserve">) of the </w:t>
      </w:r>
      <w:proofErr w:type="spellStart"/>
      <w:r w:rsidRPr="00AF397E">
        <w:rPr>
          <w:rFonts w:ascii="Arial" w:hAnsi="Arial" w:cs="Arial"/>
        </w:rPr>
        <w:t>Instituto</w:t>
      </w:r>
      <w:proofErr w:type="spellEnd"/>
      <w:r w:rsidRPr="00AF397E">
        <w:rPr>
          <w:rFonts w:ascii="Arial" w:hAnsi="Arial" w:cs="Arial"/>
        </w:rPr>
        <w:t xml:space="preserve"> Nacional de </w:t>
      </w:r>
      <w:proofErr w:type="spellStart"/>
      <w:r w:rsidRPr="00AF397E">
        <w:rPr>
          <w:rFonts w:ascii="Arial" w:hAnsi="Arial" w:cs="Arial"/>
        </w:rPr>
        <w:t>Innovación</w:t>
      </w:r>
      <w:proofErr w:type="spellEnd"/>
      <w:r w:rsidRPr="00AF397E">
        <w:rPr>
          <w:rFonts w:ascii="Arial" w:hAnsi="Arial" w:cs="Arial"/>
        </w:rPr>
        <w:t xml:space="preserve"> </w:t>
      </w:r>
      <w:proofErr w:type="spellStart"/>
      <w:r w:rsidRPr="00AF397E">
        <w:rPr>
          <w:rFonts w:ascii="Arial" w:hAnsi="Arial" w:cs="Arial"/>
        </w:rPr>
        <w:t>Agropecuaria</w:t>
      </w:r>
      <w:proofErr w:type="spellEnd"/>
      <w:r w:rsidRPr="00AF397E">
        <w:rPr>
          <w:rFonts w:ascii="Arial" w:hAnsi="Arial" w:cs="Arial"/>
        </w:rPr>
        <w:t xml:space="preserve"> y </w:t>
      </w:r>
      <w:proofErr w:type="spellStart"/>
      <w:r w:rsidRPr="00AF397E">
        <w:rPr>
          <w:rFonts w:ascii="Arial" w:hAnsi="Arial" w:cs="Arial"/>
        </w:rPr>
        <w:t>Forestal</w:t>
      </w:r>
      <w:proofErr w:type="spellEnd"/>
      <w:r w:rsidRPr="00AF397E">
        <w:rPr>
          <w:rFonts w:ascii="Arial" w:hAnsi="Arial" w:cs="Arial"/>
        </w:rPr>
        <w:t xml:space="preserve"> (</w:t>
      </w:r>
      <w:proofErr w:type="spellStart"/>
      <w:r w:rsidRPr="00AF397E">
        <w:rPr>
          <w:rFonts w:ascii="Arial" w:hAnsi="Arial" w:cs="Arial"/>
        </w:rPr>
        <w:t>INIAF</w:t>
      </w:r>
      <w:proofErr w:type="spellEnd"/>
      <w:r w:rsidRPr="00AF397E">
        <w:rPr>
          <w:rFonts w:ascii="Arial" w:hAnsi="Arial" w:cs="Arial"/>
        </w:rPr>
        <w:t xml:space="preserve">), located in </w:t>
      </w:r>
      <w:proofErr w:type="spellStart"/>
      <w:r w:rsidRPr="00AF397E">
        <w:rPr>
          <w:rFonts w:ascii="Arial" w:hAnsi="Arial" w:cs="Arial"/>
        </w:rPr>
        <w:t>Sipe</w:t>
      </w:r>
      <w:proofErr w:type="spellEnd"/>
      <w:r w:rsidRPr="00AF397E">
        <w:rPr>
          <w:rFonts w:ascii="Arial" w:hAnsi="Arial" w:cs="Arial"/>
        </w:rPr>
        <w:t xml:space="preserve"> </w:t>
      </w:r>
      <w:proofErr w:type="spellStart"/>
      <w:r w:rsidRPr="00AF397E">
        <w:rPr>
          <w:rFonts w:ascii="Arial" w:hAnsi="Arial" w:cs="Arial"/>
        </w:rPr>
        <w:t>Sipe</w:t>
      </w:r>
      <w:proofErr w:type="spellEnd"/>
      <w:r w:rsidRPr="00AF397E">
        <w:rPr>
          <w:rFonts w:ascii="Arial" w:hAnsi="Arial" w:cs="Arial"/>
        </w:rPr>
        <w:t xml:space="preserve">, Cochabamba, Bolivia (17°26’25.40” S, 66°20’44.47” W; 2,563 m </w:t>
      </w:r>
      <w:proofErr w:type="spellStart"/>
      <w:r w:rsidRPr="00AF397E">
        <w:rPr>
          <w:rFonts w:ascii="Arial" w:hAnsi="Arial" w:cs="Arial"/>
        </w:rPr>
        <w:t>a.</w:t>
      </w:r>
      <w:r>
        <w:rPr>
          <w:rFonts w:ascii="Arial" w:hAnsi="Arial" w:cs="Arial"/>
        </w:rPr>
        <w:t>s.l</w:t>
      </w:r>
      <w:proofErr w:type="spellEnd"/>
      <w:r>
        <w:rPr>
          <w:rFonts w:ascii="Arial" w:hAnsi="Arial" w:cs="Arial"/>
        </w:rPr>
        <w:t>.), from April to June 2024.</w:t>
      </w:r>
    </w:p>
    <w:p w14:paraId="0D0C4C47" w14:textId="77777777" w:rsidR="00AF397E" w:rsidRDefault="00AF397E" w:rsidP="00AF397E">
      <w:pPr>
        <w:pStyle w:val="Body"/>
        <w:spacing w:after="0"/>
        <w:rPr>
          <w:rFonts w:ascii="Arial" w:hAnsi="Arial" w:cs="Arial"/>
        </w:rPr>
      </w:pPr>
      <w:r w:rsidRPr="00AF397E">
        <w:rPr>
          <w:rFonts w:ascii="Arial" w:hAnsi="Arial" w:cs="Arial"/>
        </w:rPr>
        <w:t xml:space="preserve">During the experimental period, greenhouse conditions averaged 36 °C during the day and 18 °C at night, with a mean relative humidity of 60%. The irrigation water presented a pH of 8.16, an electrical conductivity of 1,728 </w:t>
      </w:r>
      <w:proofErr w:type="spellStart"/>
      <w:r w:rsidRPr="00AF397E">
        <w:rPr>
          <w:rFonts w:ascii="Arial" w:hAnsi="Arial" w:cs="Arial"/>
        </w:rPr>
        <w:t>μS</w:t>
      </w:r>
      <w:proofErr w:type="spellEnd"/>
      <w:r w:rsidRPr="00AF397E">
        <w:rPr>
          <w:rFonts w:ascii="Arial" w:hAnsi="Arial" w:cs="Arial"/>
        </w:rPr>
        <w:t xml:space="preserve"> m</w:t>
      </w:r>
      <w:r w:rsidR="005722FB">
        <w:rPr>
          <w:rFonts w:ascii="Arial" w:hAnsi="Arial" w:cs="Arial"/>
          <w:vertAlign w:val="superscript"/>
        </w:rPr>
        <w:t>-1</w:t>
      </w:r>
      <w:r w:rsidRPr="00AF397E">
        <w:rPr>
          <w:rFonts w:ascii="Arial" w:hAnsi="Arial" w:cs="Arial"/>
        </w:rPr>
        <w:t>, and a sodium adsorption ratio (SAR) of 0.49.</w:t>
      </w:r>
    </w:p>
    <w:p w14:paraId="2BD6FD50" w14:textId="77777777" w:rsidR="00AF397E" w:rsidRDefault="00AF397E" w:rsidP="00AF76F4">
      <w:pPr>
        <w:pStyle w:val="Body"/>
        <w:spacing w:after="0"/>
        <w:rPr>
          <w:rFonts w:ascii="Arial" w:hAnsi="Arial" w:cs="Arial"/>
        </w:rPr>
      </w:pPr>
    </w:p>
    <w:p w14:paraId="71C09E68" w14:textId="77777777" w:rsidR="00AF397E" w:rsidRDefault="00AF397E" w:rsidP="00AF76F4">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AF397E">
        <w:rPr>
          <w:rFonts w:ascii="Arial" w:hAnsi="Arial" w:cs="Arial"/>
          <w:b/>
          <w:sz w:val="22"/>
        </w:rPr>
        <w:t>Experimental Materials, Experimental Design and Treatments</w:t>
      </w:r>
    </w:p>
    <w:p w14:paraId="0589EC67" w14:textId="77777777" w:rsidR="00AF76F4" w:rsidRDefault="00AF76F4" w:rsidP="00AF76F4">
      <w:pPr>
        <w:pStyle w:val="Body"/>
        <w:spacing w:after="0"/>
        <w:rPr>
          <w:rFonts w:ascii="Arial" w:hAnsi="Arial" w:cs="Arial"/>
        </w:rPr>
      </w:pPr>
    </w:p>
    <w:p w14:paraId="173EDF32" w14:textId="77777777" w:rsidR="00AF397E" w:rsidRPr="00AF397E" w:rsidRDefault="00AF397E" w:rsidP="00AF397E">
      <w:pPr>
        <w:pStyle w:val="Body"/>
        <w:rPr>
          <w:rFonts w:ascii="Arial" w:hAnsi="Arial" w:cs="Arial"/>
        </w:rPr>
      </w:pPr>
      <w:r w:rsidRPr="00AF397E">
        <w:rPr>
          <w:rFonts w:ascii="Arial" w:hAnsi="Arial" w:cs="Arial"/>
        </w:rPr>
        <w:t xml:space="preserve">The genetic material consisted of tomato seeds of the </w:t>
      </w:r>
      <w:proofErr w:type="spellStart"/>
      <w:r w:rsidRPr="00AF397E">
        <w:rPr>
          <w:rFonts w:ascii="Arial" w:hAnsi="Arial" w:cs="Arial"/>
        </w:rPr>
        <w:t>INIAF</w:t>
      </w:r>
      <w:proofErr w:type="spellEnd"/>
      <w:r w:rsidRPr="00AF397E">
        <w:rPr>
          <w:rFonts w:ascii="Arial" w:hAnsi="Arial" w:cs="Arial"/>
        </w:rPr>
        <w:t xml:space="preserve"> </w:t>
      </w:r>
      <w:proofErr w:type="spellStart"/>
      <w:r w:rsidRPr="00AF397E">
        <w:rPr>
          <w:rFonts w:ascii="Arial" w:hAnsi="Arial" w:cs="Arial"/>
        </w:rPr>
        <w:t>Renacer</w:t>
      </w:r>
      <w:proofErr w:type="spellEnd"/>
      <w:r w:rsidRPr="00AF397E">
        <w:rPr>
          <w:rFonts w:ascii="Arial" w:hAnsi="Arial" w:cs="Arial"/>
        </w:rPr>
        <w:t xml:space="preserve"> variety, commercial brand Valle de Oro, supplied by the CNPSH. This variety exhibits a semi-determinate growth habit, a phenological cycle of approximately 120 days, vigorous development, and an average yield of 40-45 t ha</w:t>
      </w:r>
      <w:r w:rsidRPr="00B56925">
        <w:rPr>
          <w:rFonts w:ascii="Arial" w:hAnsi="Arial" w:cs="Arial"/>
          <w:vertAlign w:val="superscript"/>
        </w:rPr>
        <w:t>-1</w:t>
      </w:r>
      <w:r w:rsidRPr="00AF397E">
        <w:rPr>
          <w:rFonts w:ascii="Arial" w:hAnsi="Arial" w:cs="Arial"/>
        </w:rPr>
        <w:t>. It is characterized by medium to large fruits, oblong (pear-shaped), with semi-firm consistency.</w:t>
      </w:r>
    </w:p>
    <w:p w14:paraId="62054858" w14:textId="77777777" w:rsidR="00AF397E" w:rsidRPr="00AF397E" w:rsidRDefault="00AF397E" w:rsidP="00AF397E">
      <w:pPr>
        <w:pStyle w:val="Body"/>
        <w:rPr>
          <w:rFonts w:ascii="Arial" w:hAnsi="Arial" w:cs="Arial"/>
        </w:rPr>
      </w:pPr>
      <w:r w:rsidRPr="00AF397E">
        <w:rPr>
          <w:rFonts w:ascii="Arial" w:hAnsi="Arial" w:cs="Arial"/>
        </w:rPr>
        <w:t xml:space="preserve">The hydrogel (superabsorbent polymer, SAP) used was </w:t>
      </w:r>
      <w:proofErr w:type="spellStart"/>
      <w:r w:rsidRPr="00AF397E">
        <w:rPr>
          <w:rFonts w:ascii="Arial" w:hAnsi="Arial" w:cs="Arial"/>
        </w:rPr>
        <w:t>Soco</w:t>
      </w:r>
      <w:proofErr w:type="spellEnd"/>
      <w:r w:rsidRPr="00AF397E">
        <w:rPr>
          <w:rFonts w:ascii="Arial" w:hAnsi="Arial" w:cs="Arial"/>
        </w:rPr>
        <w:t>® Polymer, with a particle size of 20-80 mesh.</w:t>
      </w:r>
    </w:p>
    <w:p w14:paraId="7FB5473C" w14:textId="77777777" w:rsidR="00AF397E" w:rsidRDefault="00AF397E" w:rsidP="00AF397E">
      <w:pPr>
        <w:pStyle w:val="Body"/>
        <w:spacing w:after="0"/>
        <w:rPr>
          <w:rFonts w:ascii="Arial" w:hAnsi="Arial" w:cs="Arial"/>
        </w:rPr>
      </w:pPr>
      <w:r w:rsidRPr="00AF397E">
        <w:rPr>
          <w:rFonts w:ascii="Arial" w:hAnsi="Arial" w:cs="Arial"/>
        </w:rPr>
        <w:t>A randomized complete block design with a split-plot arrangement was employed. The main factor (main plot) corresponded to hydrogel dose (HD) per cell (0.1, 0.5, and 1 g), while the secondary factor (subplot) corresponded to irrigation frequency (IF) per week (once, twice, or three times), totaling nine treatments with four replications each. In addition, a control treatment consisting of the standard tomato seedling production method used at the CNPSH was included for comparison (n = 40).</w:t>
      </w:r>
    </w:p>
    <w:p w14:paraId="687ABEE2" w14:textId="77777777" w:rsidR="00AF76F4" w:rsidRPr="00A51C9F" w:rsidRDefault="00AF76F4" w:rsidP="00AF76F4">
      <w:pPr>
        <w:pStyle w:val="Body"/>
        <w:spacing w:after="0"/>
        <w:rPr>
          <w:rFonts w:ascii="Arial" w:hAnsi="Arial" w:cs="Arial"/>
        </w:rPr>
      </w:pPr>
    </w:p>
    <w:p w14:paraId="47F9C821" w14:textId="77777777" w:rsidR="00AF397E" w:rsidRDefault="00AF397E" w:rsidP="00AF397E">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5722FB">
        <w:rPr>
          <w:rFonts w:ascii="Arial" w:hAnsi="Arial" w:cs="Arial"/>
          <w:b/>
          <w:sz w:val="22"/>
        </w:rPr>
        <w:t>Treatments</w:t>
      </w:r>
    </w:p>
    <w:p w14:paraId="547F86A2" w14:textId="77777777" w:rsidR="00AF397E" w:rsidRDefault="00AF397E" w:rsidP="00AF397E">
      <w:pPr>
        <w:pStyle w:val="Body"/>
        <w:spacing w:after="0"/>
        <w:rPr>
          <w:rFonts w:ascii="Arial" w:hAnsi="Arial" w:cs="Arial"/>
        </w:rPr>
      </w:pPr>
    </w:p>
    <w:p w14:paraId="3B5CDD3A" w14:textId="77777777" w:rsidR="00AF397E" w:rsidRDefault="005722FB" w:rsidP="00470ABE">
      <w:pPr>
        <w:pStyle w:val="Body"/>
        <w:rPr>
          <w:rFonts w:ascii="Arial" w:hAnsi="Arial" w:cs="Arial"/>
        </w:rPr>
      </w:pPr>
      <w:r w:rsidRPr="005722FB">
        <w:rPr>
          <w:rFonts w:ascii="Arial" w:hAnsi="Arial" w:cs="Arial"/>
        </w:rPr>
        <w:t xml:space="preserve">The treatments evaluated in the experiment (Table 1) were designed to analyze the effect of HD and IF on the morph-physiological development of tomato seedlings of the </w:t>
      </w:r>
      <w:proofErr w:type="spellStart"/>
      <w:r w:rsidRPr="005722FB">
        <w:rPr>
          <w:rFonts w:ascii="Arial" w:hAnsi="Arial" w:cs="Arial"/>
        </w:rPr>
        <w:t>INIAF</w:t>
      </w:r>
      <w:proofErr w:type="spellEnd"/>
      <w:r w:rsidRPr="005722FB">
        <w:rPr>
          <w:rFonts w:ascii="Arial" w:hAnsi="Arial" w:cs="Arial"/>
        </w:rPr>
        <w:t xml:space="preserve"> </w:t>
      </w:r>
      <w:proofErr w:type="spellStart"/>
      <w:r w:rsidRPr="005722FB">
        <w:rPr>
          <w:rFonts w:ascii="Arial" w:hAnsi="Arial" w:cs="Arial"/>
        </w:rPr>
        <w:t>Renacer</w:t>
      </w:r>
      <w:proofErr w:type="spellEnd"/>
      <w:r w:rsidRPr="005722FB">
        <w:rPr>
          <w:rFonts w:ascii="Arial" w:hAnsi="Arial" w:cs="Arial"/>
        </w:rPr>
        <w:t xml:space="preserve"> variety.</w:t>
      </w:r>
    </w:p>
    <w:p w14:paraId="749FD4E1" w14:textId="77777777" w:rsidR="005722FB" w:rsidRPr="00B01FE4" w:rsidRDefault="005722FB" w:rsidP="00470ABE">
      <w:pPr>
        <w:spacing w:after="240"/>
        <w:jc w:val="both"/>
        <w:rPr>
          <w:rFonts w:ascii="Arial" w:hAnsi="Arial" w:cs="Arial"/>
          <w:b/>
          <w:szCs w:val="24"/>
        </w:rPr>
      </w:pPr>
      <w:r w:rsidRPr="00B01FE4">
        <w:rPr>
          <w:rFonts w:ascii="Arial" w:hAnsi="Arial" w:cs="Arial"/>
          <w:b/>
          <w:szCs w:val="24"/>
        </w:rPr>
        <w:t>Table 1. Description of the irrigation and hydrogel experimental treatments to tomato seedlings.</w:t>
      </w:r>
    </w:p>
    <w:tbl>
      <w:tblPr>
        <w:tblW w:w="8222" w:type="dxa"/>
        <w:jc w:val="center"/>
        <w:tblLayout w:type="fixed"/>
        <w:tblLook w:val="0600" w:firstRow="0" w:lastRow="0" w:firstColumn="0" w:lastColumn="0" w:noHBand="1" w:noVBand="1"/>
      </w:tblPr>
      <w:tblGrid>
        <w:gridCol w:w="1843"/>
        <w:gridCol w:w="6379"/>
      </w:tblGrid>
      <w:tr w:rsidR="005722FB" w:rsidRPr="005722FB" w14:paraId="3AC859A8" w14:textId="77777777" w:rsidTr="005722FB">
        <w:trPr>
          <w:trHeight w:val="240"/>
          <w:tblHeader/>
          <w:jc w:val="center"/>
        </w:trPr>
        <w:tc>
          <w:tcPr>
            <w:tcW w:w="1843" w:type="dxa"/>
            <w:tcBorders>
              <w:top w:val="single" w:sz="4" w:space="0" w:color="auto"/>
              <w:bottom w:val="single" w:sz="4" w:space="0" w:color="auto"/>
            </w:tcBorders>
            <w:tcMar>
              <w:top w:w="0" w:type="dxa"/>
              <w:left w:w="100" w:type="dxa"/>
              <w:bottom w:w="0" w:type="dxa"/>
              <w:right w:w="100" w:type="dxa"/>
            </w:tcMar>
          </w:tcPr>
          <w:p w14:paraId="32B6C1A3" w14:textId="77777777" w:rsidR="005722FB" w:rsidRPr="00B01FE4" w:rsidRDefault="005722FB" w:rsidP="00470ABE">
            <w:pPr>
              <w:pStyle w:val="SemEspaamento"/>
              <w:spacing w:after="240"/>
              <w:jc w:val="center"/>
              <w:rPr>
                <w:rFonts w:ascii="Arial" w:hAnsi="Arial" w:cs="Arial"/>
                <w:b/>
                <w:sz w:val="20"/>
                <w:szCs w:val="24"/>
                <w:lang w:val="en-US"/>
              </w:rPr>
            </w:pPr>
            <w:r w:rsidRPr="00B01FE4">
              <w:rPr>
                <w:rFonts w:ascii="Arial" w:hAnsi="Arial" w:cs="Arial"/>
                <w:b/>
                <w:sz w:val="20"/>
                <w:szCs w:val="24"/>
                <w:lang w:val="en-US"/>
              </w:rPr>
              <w:t>Treatment</w:t>
            </w:r>
          </w:p>
        </w:tc>
        <w:tc>
          <w:tcPr>
            <w:tcW w:w="6379" w:type="dxa"/>
            <w:tcBorders>
              <w:top w:val="single" w:sz="4" w:space="0" w:color="auto"/>
              <w:bottom w:val="single" w:sz="4" w:space="0" w:color="auto"/>
            </w:tcBorders>
            <w:tcMar>
              <w:top w:w="0" w:type="dxa"/>
              <w:left w:w="100" w:type="dxa"/>
              <w:bottom w:w="0" w:type="dxa"/>
              <w:right w:w="100" w:type="dxa"/>
            </w:tcMar>
          </w:tcPr>
          <w:p w14:paraId="282F5478" w14:textId="77777777" w:rsidR="005722FB" w:rsidRPr="00B01FE4" w:rsidRDefault="005722FB" w:rsidP="00470ABE">
            <w:pPr>
              <w:pStyle w:val="SemEspaamento"/>
              <w:spacing w:after="240"/>
              <w:jc w:val="center"/>
              <w:rPr>
                <w:rFonts w:ascii="Arial" w:hAnsi="Arial" w:cs="Arial"/>
                <w:b/>
                <w:sz w:val="20"/>
                <w:szCs w:val="24"/>
                <w:lang w:val="en-US"/>
              </w:rPr>
            </w:pPr>
            <w:r w:rsidRPr="00B01FE4">
              <w:rPr>
                <w:rFonts w:ascii="Arial" w:hAnsi="Arial" w:cs="Arial"/>
                <w:b/>
                <w:sz w:val="20"/>
                <w:szCs w:val="24"/>
                <w:lang w:val="en-US"/>
              </w:rPr>
              <w:t>Description</w:t>
            </w:r>
          </w:p>
        </w:tc>
      </w:tr>
      <w:tr w:rsidR="005722FB" w:rsidRPr="005722FB" w14:paraId="7657A360" w14:textId="77777777" w:rsidTr="005722FB">
        <w:trPr>
          <w:trHeight w:val="170"/>
          <w:jc w:val="center"/>
        </w:trPr>
        <w:tc>
          <w:tcPr>
            <w:tcW w:w="1843" w:type="dxa"/>
            <w:tcBorders>
              <w:top w:val="single" w:sz="4" w:space="0" w:color="auto"/>
            </w:tcBorders>
            <w:tcMar>
              <w:top w:w="0" w:type="dxa"/>
              <w:left w:w="100" w:type="dxa"/>
              <w:bottom w:w="0" w:type="dxa"/>
              <w:right w:w="100" w:type="dxa"/>
            </w:tcMar>
          </w:tcPr>
          <w:p w14:paraId="3324689C"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T1</w:t>
            </w:r>
          </w:p>
        </w:tc>
        <w:tc>
          <w:tcPr>
            <w:tcW w:w="6379" w:type="dxa"/>
            <w:tcBorders>
              <w:top w:val="single" w:sz="4" w:space="0" w:color="auto"/>
            </w:tcBorders>
            <w:tcMar>
              <w:top w:w="0" w:type="dxa"/>
              <w:left w:w="100" w:type="dxa"/>
              <w:bottom w:w="0" w:type="dxa"/>
              <w:right w:w="100" w:type="dxa"/>
            </w:tcMar>
          </w:tcPr>
          <w:p w14:paraId="16CDF5B3"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1 time a week and 0.1 g of absorbent polymer in the cell.</w:t>
            </w:r>
          </w:p>
        </w:tc>
      </w:tr>
      <w:tr w:rsidR="005722FB" w:rsidRPr="005722FB" w14:paraId="0DFCF44B" w14:textId="77777777" w:rsidTr="005722FB">
        <w:trPr>
          <w:trHeight w:val="170"/>
          <w:jc w:val="center"/>
        </w:trPr>
        <w:tc>
          <w:tcPr>
            <w:tcW w:w="1843" w:type="dxa"/>
            <w:tcMar>
              <w:top w:w="0" w:type="dxa"/>
              <w:left w:w="100" w:type="dxa"/>
              <w:bottom w:w="0" w:type="dxa"/>
              <w:right w:w="100" w:type="dxa"/>
            </w:tcMar>
          </w:tcPr>
          <w:p w14:paraId="1B23816E"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T2</w:t>
            </w:r>
          </w:p>
        </w:tc>
        <w:tc>
          <w:tcPr>
            <w:tcW w:w="6379" w:type="dxa"/>
            <w:tcMar>
              <w:top w:w="0" w:type="dxa"/>
              <w:left w:w="100" w:type="dxa"/>
              <w:bottom w:w="0" w:type="dxa"/>
              <w:right w:w="100" w:type="dxa"/>
            </w:tcMar>
          </w:tcPr>
          <w:p w14:paraId="3C290DA3"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1 time a week and 0.5 g of absorbent polymer in the cell.</w:t>
            </w:r>
          </w:p>
        </w:tc>
      </w:tr>
      <w:tr w:rsidR="005722FB" w:rsidRPr="005722FB" w14:paraId="71E5FC09" w14:textId="77777777" w:rsidTr="005722FB">
        <w:trPr>
          <w:trHeight w:val="170"/>
          <w:jc w:val="center"/>
        </w:trPr>
        <w:tc>
          <w:tcPr>
            <w:tcW w:w="1843" w:type="dxa"/>
            <w:tcBorders>
              <w:bottom w:val="dashed" w:sz="4" w:space="0" w:color="auto"/>
            </w:tcBorders>
            <w:tcMar>
              <w:top w:w="0" w:type="dxa"/>
              <w:left w:w="100" w:type="dxa"/>
              <w:bottom w:w="0" w:type="dxa"/>
              <w:right w:w="100" w:type="dxa"/>
            </w:tcMar>
          </w:tcPr>
          <w:p w14:paraId="3C349F10"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T3</w:t>
            </w:r>
          </w:p>
        </w:tc>
        <w:tc>
          <w:tcPr>
            <w:tcW w:w="6379" w:type="dxa"/>
            <w:tcBorders>
              <w:bottom w:val="dashed" w:sz="4" w:space="0" w:color="auto"/>
            </w:tcBorders>
            <w:tcMar>
              <w:top w:w="0" w:type="dxa"/>
              <w:left w:w="100" w:type="dxa"/>
              <w:bottom w:w="0" w:type="dxa"/>
              <w:right w:w="100" w:type="dxa"/>
            </w:tcMar>
          </w:tcPr>
          <w:p w14:paraId="49C6FD08"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1 time a week and 1 g of absorbent polymer in the cell.</w:t>
            </w:r>
          </w:p>
        </w:tc>
      </w:tr>
      <w:tr w:rsidR="005722FB" w:rsidRPr="005722FB" w14:paraId="4D25511B" w14:textId="77777777" w:rsidTr="005722FB">
        <w:trPr>
          <w:trHeight w:val="170"/>
          <w:jc w:val="center"/>
        </w:trPr>
        <w:tc>
          <w:tcPr>
            <w:tcW w:w="1843" w:type="dxa"/>
            <w:tcBorders>
              <w:top w:val="dashed" w:sz="4" w:space="0" w:color="auto"/>
            </w:tcBorders>
            <w:tcMar>
              <w:top w:w="0" w:type="dxa"/>
              <w:left w:w="100" w:type="dxa"/>
              <w:bottom w:w="0" w:type="dxa"/>
              <w:right w:w="100" w:type="dxa"/>
            </w:tcMar>
          </w:tcPr>
          <w:p w14:paraId="1F02E733"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T4</w:t>
            </w:r>
          </w:p>
        </w:tc>
        <w:tc>
          <w:tcPr>
            <w:tcW w:w="6379" w:type="dxa"/>
            <w:tcBorders>
              <w:top w:val="dashed" w:sz="4" w:space="0" w:color="auto"/>
            </w:tcBorders>
            <w:tcMar>
              <w:top w:w="0" w:type="dxa"/>
              <w:left w:w="100" w:type="dxa"/>
              <w:bottom w:w="0" w:type="dxa"/>
              <w:right w:w="100" w:type="dxa"/>
            </w:tcMar>
          </w:tcPr>
          <w:p w14:paraId="4D6C41CE"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2 times a week and 0.1 g of absorbent polymer in the cell.</w:t>
            </w:r>
          </w:p>
        </w:tc>
      </w:tr>
      <w:tr w:rsidR="005722FB" w:rsidRPr="005722FB" w14:paraId="733EF39C" w14:textId="77777777" w:rsidTr="005722FB">
        <w:trPr>
          <w:trHeight w:val="170"/>
          <w:jc w:val="center"/>
        </w:trPr>
        <w:tc>
          <w:tcPr>
            <w:tcW w:w="1843" w:type="dxa"/>
            <w:tcMar>
              <w:top w:w="0" w:type="dxa"/>
              <w:left w:w="100" w:type="dxa"/>
              <w:bottom w:w="0" w:type="dxa"/>
              <w:right w:w="100" w:type="dxa"/>
            </w:tcMar>
          </w:tcPr>
          <w:p w14:paraId="2BA54769"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T5</w:t>
            </w:r>
          </w:p>
        </w:tc>
        <w:tc>
          <w:tcPr>
            <w:tcW w:w="6379" w:type="dxa"/>
            <w:tcMar>
              <w:top w:w="0" w:type="dxa"/>
              <w:left w:w="100" w:type="dxa"/>
              <w:bottom w:w="0" w:type="dxa"/>
              <w:right w:w="100" w:type="dxa"/>
            </w:tcMar>
          </w:tcPr>
          <w:p w14:paraId="7EB14F5F"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2 times a week and 0.5 g of absorbent polymer in the cell.</w:t>
            </w:r>
          </w:p>
        </w:tc>
      </w:tr>
      <w:tr w:rsidR="005722FB" w:rsidRPr="005722FB" w14:paraId="034D767C" w14:textId="77777777" w:rsidTr="005722FB">
        <w:trPr>
          <w:trHeight w:val="170"/>
          <w:jc w:val="center"/>
        </w:trPr>
        <w:tc>
          <w:tcPr>
            <w:tcW w:w="1843" w:type="dxa"/>
            <w:tcBorders>
              <w:bottom w:val="dashed" w:sz="4" w:space="0" w:color="auto"/>
            </w:tcBorders>
            <w:tcMar>
              <w:top w:w="0" w:type="dxa"/>
              <w:left w:w="100" w:type="dxa"/>
              <w:bottom w:w="0" w:type="dxa"/>
              <w:right w:w="100" w:type="dxa"/>
            </w:tcMar>
          </w:tcPr>
          <w:p w14:paraId="51148A80"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T6</w:t>
            </w:r>
          </w:p>
        </w:tc>
        <w:tc>
          <w:tcPr>
            <w:tcW w:w="6379" w:type="dxa"/>
            <w:tcBorders>
              <w:bottom w:val="dashed" w:sz="4" w:space="0" w:color="auto"/>
            </w:tcBorders>
            <w:tcMar>
              <w:top w:w="0" w:type="dxa"/>
              <w:left w:w="100" w:type="dxa"/>
              <w:bottom w:w="0" w:type="dxa"/>
              <w:right w:w="100" w:type="dxa"/>
            </w:tcMar>
          </w:tcPr>
          <w:p w14:paraId="1C1240D2"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2 times a week and 1 g of absorbent polymer in the cell.</w:t>
            </w:r>
          </w:p>
        </w:tc>
      </w:tr>
      <w:tr w:rsidR="005722FB" w:rsidRPr="005722FB" w14:paraId="3D0E5A6D" w14:textId="77777777" w:rsidTr="005722FB">
        <w:trPr>
          <w:trHeight w:val="170"/>
          <w:jc w:val="center"/>
        </w:trPr>
        <w:tc>
          <w:tcPr>
            <w:tcW w:w="1843" w:type="dxa"/>
            <w:tcBorders>
              <w:top w:val="dashed" w:sz="4" w:space="0" w:color="auto"/>
            </w:tcBorders>
            <w:tcMar>
              <w:top w:w="0" w:type="dxa"/>
              <w:left w:w="100" w:type="dxa"/>
              <w:bottom w:w="0" w:type="dxa"/>
              <w:right w:w="100" w:type="dxa"/>
            </w:tcMar>
          </w:tcPr>
          <w:p w14:paraId="4DC71D61"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T7</w:t>
            </w:r>
          </w:p>
        </w:tc>
        <w:tc>
          <w:tcPr>
            <w:tcW w:w="6379" w:type="dxa"/>
            <w:tcBorders>
              <w:top w:val="dashed" w:sz="4" w:space="0" w:color="auto"/>
            </w:tcBorders>
            <w:tcMar>
              <w:top w:w="0" w:type="dxa"/>
              <w:left w:w="100" w:type="dxa"/>
              <w:bottom w:w="0" w:type="dxa"/>
              <w:right w:w="100" w:type="dxa"/>
            </w:tcMar>
          </w:tcPr>
          <w:p w14:paraId="6ABF0421"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3 times a week and 0.1 g of absorbent polymer in the cell.</w:t>
            </w:r>
          </w:p>
        </w:tc>
      </w:tr>
      <w:tr w:rsidR="005722FB" w:rsidRPr="005722FB" w14:paraId="47E152B9" w14:textId="77777777" w:rsidTr="005722FB">
        <w:trPr>
          <w:trHeight w:val="170"/>
          <w:jc w:val="center"/>
        </w:trPr>
        <w:tc>
          <w:tcPr>
            <w:tcW w:w="1843" w:type="dxa"/>
            <w:tcMar>
              <w:top w:w="0" w:type="dxa"/>
              <w:left w:w="100" w:type="dxa"/>
              <w:bottom w:w="0" w:type="dxa"/>
              <w:right w:w="100" w:type="dxa"/>
            </w:tcMar>
          </w:tcPr>
          <w:p w14:paraId="6AAFEBC6"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T8</w:t>
            </w:r>
          </w:p>
        </w:tc>
        <w:tc>
          <w:tcPr>
            <w:tcW w:w="6379" w:type="dxa"/>
            <w:tcMar>
              <w:top w:w="0" w:type="dxa"/>
              <w:left w:w="100" w:type="dxa"/>
              <w:bottom w:w="0" w:type="dxa"/>
              <w:right w:w="100" w:type="dxa"/>
            </w:tcMar>
          </w:tcPr>
          <w:p w14:paraId="79F50582"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3 times a week and 0.5 g of absorbent polymer in the cell.</w:t>
            </w:r>
          </w:p>
        </w:tc>
      </w:tr>
      <w:tr w:rsidR="005722FB" w:rsidRPr="005722FB" w14:paraId="6B4464AB" w14:textId="77777777" w:rsidTr="005722FB">
        <w:trPr>
          <w:trHeight w:val="170"/>
          <w:jc w:val="center"/>
        </w:trPr>
        <w:tc>
          <w:tcPr>
            <w:tcW w:w="1843" w:type="dxa"/>
            <w:tcBorders>
              <w:bottom w:val="single" w:sz="4" w:space="0" w:color="auto"/>
            </w:tcBorders>
            <w:tcMar>
              <w:top w:w="0" w:type="dxa"/>
              <w:left w:w="100" w:type="dxa"/>
              <w:bottom w:w="0" w:type="dxa"/>
              <w:right w:w="100" w:type="dxa"/>
            </w:tcMar>
          </w:tcPr>
          <w:p w14:paraId="2A2F5ED9" w14:textId="77777777" w:rsidR="005722FB" w:rsidRPr="005722FB" w:rsidRDefault="005722FB" w:rsidP="00470ABE">
            <w:pPr>
              <w:pStyle w:val="SemEspaamento"/>
              <w:spacing w:after="240"/>
              <w:jc w:val="center"/>
              <w:rPr>
                <w:rFonts w:ascii="Arial" w:hAnsi="Arial" w:cs="Arial"/>
                <w:sz w:val="20"/>
                <w:szCs w:val="24"/>
                <w:lang w:val="en-US"/>
              </w:rPr>
            </w:pPr>
            <w:r w:rsidRPr="005722FB">
              <w:rPr>
                <w:rFonts w:ascii="Arial" w:hAnsi="Arial" w:cs="Arial"/>
                <w:sz w:val="20"/>
                <w:szCs w:val="24"/>
                <w:lang w:val="en-US"/>
              </w:rPr>
              <w:t>T9</w:t>
            </w:r>
          </w:p>
        </w:tc>
        <w:tc>
          <w:tcPr>
            <w:tcW w:w="6379" w:type="dxa"/>
            <w:tcBorders>
              <w:bottom w:val="single" w:sz="4" w:space="0" w:color="auto"/>
            </w:tcBorders>
            <w:tcMar>
              <w:top w:w="0" w:type="dxa"/>
              <w:left w:w="100" w:type="dxa"/>
              <w:bottom w:w="0" w:type="dxa"/>
              <w:right w:w="100" w:type="dxa"/>
            </w:tcMar>
          </w:tcPr>
          <w:p w14:paraId="765663ED" w14:textId="77777777" w:rsidR="005722FB" w:rsidRPr="005722FB" w:rsidRDefault="005722FB" w:rsidP="00470ABE">
            <w:pPr>
              <w:pStyle w:val="SemEspaamento"/>
              <w:spacing w:after="240"/>
              <w:rPr>
                <w:rFonts w:ascii="Arial" w:hAnsi="Arial" w:cs="Arial"/>
                <w:sz w:val="20"/>
                <w:szCs w:val="24"/>
                <w:lang w:val="en-US"/>
              </w:rPr>
            </w:pPr>
            <w:r w:rsidRPr="005722FB">
              <w:rPr>
                <w:rFonts w:ascii="Arial" w:hAnsi="Arial" w:cs="Arial"/>
                <w:sz w:val="20"/>
                <w:szCs w:val="24"/>
                <w:lang w:val="en-US"/>
              </w:rPr>
              <w:t>Irrigation 3 times a week and 1 g of absorbent polymer in the cell.</w:t>
            </w:r>
          </w:p>
        </w:tc>
      </w:tr>
    </w:tbl>
    <w:p w14:paraId="39D6F1C7" w14:textId="77777777" w:rsidR="005722FB" w:rsidRDefault="005722FB" w:rsidP="00AF397E">
      <w:pPr>
        <w:pStyle w:val="Body"/>
        <w:spacing w:after="0"/>
        <w:rPr>
          <w:rFonts w:ascii="Arial" w:hAnsi="Arial" w:cs="Arial"/>
        </w:rPr>
      </w:pPr>
    </w:p>
    <w:p w14:paraId="06062A4D" w14:textId="77777777" w:rsidR="00AF397E" w:rsidRDefault="00AF397E" w:rsidP="00AF397E">
      <w:pPr>
        <w:pStyle w:val="Body"/>
        <w:spacing w:after="0"/>
        <w:rPr>
          <w:rFonts w:ascii="Arial" w:hAnsi="Arial" w:cs="Arial"/>
        </w:rPr>
      </w:pPr>
      <w:r w:rsidRPr="00C30A0F">
        <w:rPr>
          <w:rFonts w:ascii="Arial" w:hAnsi="Arial" w:cs="Arial"/>
          <w:b/>
          <w:caps/>
          <w:sz w:val="22"/>
        </w:rPr>
        <w:t>2.</w:t>
      </w:r>
      <w:r w:rsidR="005722FB">
        <w:rPr>
          <w:rFonts w:ascii="Arial" w:hAnsi="Arial" w:cs="Arial"/>
          <w:b/>
          <w:caps/>
          <w:sz w:val="22"/>
        </w:rPr>
        <w:t>4</w:t>
      </w:r>
      <w:r w:rsidRPr="00C30A0F">
        <w:rPr>
          <w:rFonts w:ascii="Arial" w:hAnsi="Arial" w:cs="Arial"/>
          <w:b/>
          <w:caps/>
          <w:sz w:val="22"/>
        </w:rPr>
        <w:t xml:space="preserve"> </w:t>
      </w:r>
      <w:r w:rsidR="005722FB" w:rsidRPr="005722FB">
        <w:rPr>
          <w:rFonts w:ascii="Arial" w:hAnsi="Arial" w:cs="Arial"/>
          <w:b/>
          <w:sz w:val="22"/>
        </w:rPr>
        <w:t xml:space="preserve">Experimental </w:t>
      </w:r>
      <w:r w:rsidR="005722FB">
        <w:rPr>
          <w:rFonts w:ascii="Arial" w:hAnsi="Arial" w:cs="Arial"/>
          <w:b/>
          <w:sz w:val="22"/>
        </w:rPr>
        <w:t>P</w:t>
      </w:r>
      <w:r w:rsidR="005722FB" w:rsidRPr="005722FB">
        <w:rPr>
          <w:rFonts w:ascii="Arial" w:hAnsi="Arial" w:cs="Arial"/>
          <w:b/>
          <w:sz w:val="22"/>
        </w:rPr>
        <w:t>rocedure</w:t>
      </w:r>
    </w:p>
    <w:p w14:paraId="359178A2" w14:textId="77777777" w:rsidR="00AF397E" w:rsidRDefault="00AF397E" w:rsidP="00AF397E">
      <w:pPr>
        <w:pStyle w:val="Body"/>
        <w:spacing w:after="0"/>
        <w:rPr>
          <w:rFonts w:ascii="Arial" w:hAnsi="Arial" w:cs="Arial"/>
        </w:rPr>
      </w:pPr>
    </w:p>
    <w:p w14:paraId="28CD9C38" w14:textId="77777777" w:rsidR="005722FB" w:rsidRPr="005722FB" w:rsidRDefault="005722FB" w:rsidP="005722FB">
      <w:pPr>
        <w:pStyle w:val="Body"/>
        <w:rPr>
          <w:rFonts w:ascii="Arial" w:hAnsi="Arial" w:cs="Arial"/>
        </w:rPr>
      </w:pPr>
      <w:r w:rsidRPr="005722FB">
        <w:rPr>
          <w:rFonts w:ascii="Arial" w:hAnsi="Arial" w:cs="Arial"/>
        </w:rPr>
        <w:t xml:space="preserve">The seedling substrate was formulated in a 1:1:1 ratio of slat, sifted topsoil and rice husks. The mixture was disinfected by water vapor at 80 °C for 40 minutes in a substrate disinfecting machine. Subsequently, polystyrene trays (30 × 40 × 5 cm) were filled with the sterilized </w:t>
      </w:r>
      <w:r w:rsidRPr="005722FB">
        <w:rPr>
          <w:rFonts w:ascii="Arial" w:hAnsi="Arial" w:cs="Arial"/>
        </w:rPr>
        <w:lastRenderedPageBreak/>
        <w:t>substrate. Sowing was carried out with a density of 5 g of tomato seed per tray. Irrigation was applied by means of nebulization, adjusting the frequency according to the water requirements of the nursery. The seedlings were kept under these conditions until they reached the phenological stage of expanded cotyledons, considered optimal for transplantation.</w:t>
      </w:r>
    </w:p>
    <w:p w14:paraId="72EEE11D" w14:textId="77777777" w:rsidR="005722FB" w:rsidRPr="005722FB" w:rsidRDefault="005722FB" w:rsidP="005722FB">
      <w:pPr>
        <w:pStyle w:val="Body"/>
        <w:rPr>
          <w:rFonts w:ascii="Arial" w:hAnsi="Arial" w:cs="Arial"/>
        </w:rPr>
      </w:pPr>
      <w:r w:rsidRPr="005722FB">
        <w:rPr>
          <w:rFonts w:ascii="Arial" w:hAnsi="Arial" w:cs="Arial"/>
        </w:rPr>
        <w:t>For the incorporation of the absorbent polymer, the substrate was prepared and disinfected following the same protocol (1:1:1 ratio and steam disinfection for 40 minutes). Subsequently, it was left to dry at room temperature until minimum residual humidity (7 days) was reached. The polymer was dosed according to the established treatments and homogeneously incorporated into the dry substrate. The resulting mixture was used to fill 128-cell polystyrene trays. The filling process consisted of: 1) placing the mixture up to 50% of the volumetric capacity of the cell, 2) applying irrigation to the substrate to hydrate the polymer, and 3) completing the remaining volume with dry substrate. Finally, additional irrigation was applied until controlled saturation before proceeding with the transplantation of seedlings.</w:t>
      </w:r>
    </w:p>
    <w:p w14:paraId="513F0E65" w14:textId="77777777" w:rsidR="00AF397E" w:rsidRDefault="005722FB" w:rsidP="005722FB">
      <w:pPr>
        <w:pStyle w:val="Body"/>
        <w:spacing w:after="0"/>
        <w:rPr>
          <w:rFonts w:ascii="Arial" w:hAnsi="Arial" w:cs="Arial"/>
        </w:rPr>
      </w:pPr>
      <w:r w:rsidRPr="005722FB">
        <w:rPr>
          <w:rFonts w:ascii="Arial" w:hAnsi="Arial" w:cs="Arial"/>
        </w:rPr>
        <w:t>The transplant was carried out by placing a tomato seedling in the cell. Subsequently, the trays were transferred to the production greenhouse and distributed according to the experimental design implemented. Irrigation was applied according to the specific protocols of each treatment, until the seedlings reached the optimal state of development for transfer to the acclimatization nursery and subsequent establishment in the field.</w:t>
      </w:r>
    </w:p>
    <w:p w14:paraId="7B181214" w14:textId="77777777" w:rsidR="00AF397E" w:rsidRPr="00A51C9F" w:rsidRDefault="00AF397E" w:rsidP="005722FB">
      <w:pPr>
        <w:pStyle w:val="Body"/>
        <w:spacing w:after="0"/>
        <w:rPr>
          <w:rFonts w:ascii="Arial" w:hAnsi="Arial" w:cs="Arial"/>
        </w:rPr>
      </w:pPr>
    </w:p>
    <w:p w14:paraId="657A7DDA" w14:textId="77777777" w:rsidR="005722FB" w:rsidRDefault="005722FB" w:rsidP="005722FB">
      <w:pPr>
        <w:pStyle w:val="Body"/>
        <w:spacing w:after="0"/>
        <w:rPr>
          <w:rFonts w:ascii="Arial" w:hAnsi="Arial" w:cs="Arial"/>
        </w:rPr>
      </w:pPr>
      <w:r w:rsidRPr="00AA3CBA">
        <w:rPr>
          <w:rFonts w:ascii="Arial" w:hAnsi="Arial" w:cs="Arial"/>
          <w:b/>
          <w:caps/>
          <w:sz w:val="22"/>
        </w:rPr>
        <w:t xml:space="preserve">2.5 </w:t>
      </w:r>
      <w:r w:rsidR="00A122BE" w:rsidRPr="00AA3CBA">
        <w:rPr>
          <w:rFonts w:ascii="Arial" w:hAnsi="Arial" w:cs="Arial"/>
          <w:b/>
          <w:sz w:val="22"/>
        </w:rPr>
        <w:t>Response Variables</w:t>
      </w:r>
    </w:p>
    <w:p w14:paraId="273B0650" w14:textId="77777777" w:rsidR="005722FB" w:rsidRDefault="005722FB" w:rsidP="005722FB">
      <w:pPr>
        <w:pStyle w:val="Body"/>
        <w:spacing w:after="0"/>
        <w:rPr>
          <w:rFonts w:ascii="Arial" w:hAnsi="Arial" w:cs="Arial"/>
        </w:rPr>
      </w:pPr>
    </w:p>
    <w:p w14:paraId="1E6DF70B" w14:textId="77777777" w:rsidR="00470ABE" w:rsidRPr="00470ABE" w:rsidRDefault="00470ABE" w:rsidP="00470ABE">
      <w:pPr>
        <w:pStyle w:val="Body"/>
        <w:rPr>
          <w:rFonts w:ascii="Arial" w:hAnsi="Arial" w:cs="Arial"/>
        </w:rPr>
      </w:pPr>
      <w:r w:rsidRPr="00470ABE">
        <w:rPr>
          <w:rFonts w:ascii="Arial" w:hAnsi="Arial" w:cs="Arial"/>
        </w:rPr>
        <w:t>The response variables were randomly evaluated following the methodology described for each one (Table 2).</w:t>
      </w:r>
    </w:p>
    <w:p w14:paraId="7BAB1B83" w14:textId="77777777" w:rsidR="00470ABE" w:rsidRPr="00B01FE4" w:rsidRDefault="00470ABE" w:rsidP="00470ABE">
      <w:pPr>
        <w:pStyle w:val="Body"/>
        <w:rPr>
          <w:rFonts w:ascii="Arial" w:hAnsi="Arial" w:cs="Arial"/>
          <w:b/>
        </w:rPr>
      </w:pPr>
      <w:r w:rsidRPr="00B01FE4">
        <w:rPr>
          <w:rFonts w:ascii="Arial" w:hAnsi="Arial" w:cs="Arial"/>
          <w:b/>
        </w:rPr>
        <w:t>Table 2. Response variables analyzed and description of the evaluation methodology on tomato seedlings.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78"/>
        <w:gridCol w:w="5630"/>
      </w:tblGrid>
      <w:tr w:rsidR="00470ABE" w:rsidRPr="00470ABE" w14:paraId="2A439D1A" w14:textId="77777777" w:rsidTr="007F23F8">
        <w:tc>
          <w:tcPr>
            <w:tcW w:w="2835" w:type="dxa"/>
            <w:tcBorders>
              <w:top w:val="single" w:sz="4" w:space="0" w:color="auto"/>
              <w:bottom w:val="single" w:sz="4" w:space="0" w:color="auto"/>
            </w:tcBorders>
          </w:tcPr>
          <w:p w14:paraId="6E4B6B78" w14:textId="77777777" w:rsidR="00470ABE" w:rsidRPr="00B01FE4" w:rsidRDefault="00470ABE" w:rsidP="00470ABE">
            <w:pPr>
              <w:pStyle w:val="Body"/>
              <w:rPr>
                <w:rFonts w:ascii="Arial" w:hAnsi="Arial" w:cs="Arial"/>
                <w:b/>
                <w:bCs/>
                <w:sz w:val="20"/>
              </w:rPr>
            </w:pPr>
            <w:r w:rsidRPr="00B01FE4">
              <w:rPr>
                <w:rFonts w:ascii="Arial" w:hAnsi="Arial" w:cs="Arial"/>
                <w:b/>
                <w:bCs/>
                <w:sz w:val="20"/>
                <w:lang w:val="es"/>
              </w:rPr>
              <w:t>Variable</w:t>
            </w:r>
          </w:p>
        </w:tc>
        <w:tc>
          <w:tcPr>
            <w:tcW w:w="6510" w:type="dxa"/>
            <w:tcBorders>
              <w:top w:val="single" w:sz="4" w:space="0" w:color="auto"/>
              <w:bottom w:val="single" w:sz="4" w:space="0" w:color="auto"/>
            </w:tcBorders>
            <w:vAlign w:val="center"/>
          </w:tcPr>
          <w:p w14:paraId="5E66D699" w14:textId="77777777" w:rsidR="00470ABE" w:rsidRPr="00B01FE4" w:rsidRDefault="00470ABE" w:rsidP="00470ABE">
            <w:pPr>
              <w:pStyle w:val="Body"/>
              <w:rPr>
                <w:rFonts w:ascii="Arial" w:hAnsi="Arial" w:cs="Arial"/>
                <w:b/>
                <w:bCs/>
                <w:sz w:val="20"/>
              </w:rPr>
            </w:pPr>
            <w:r w:rsidRPr="00B01FE4">
              <w:rPr>
                <w:rFonts w:ascii="Arial" w:hAnsi="Arial" w:cs="Arial"/>
                <w:b/>
                <w:bCs/>
                <w:sz w:val="20"/>
              </w:rPr>
              <w:t>Methodology</w:t>
            </w:r>
          </w:p>
        </w:tc>
      </w:tr>
      <w:tr w:rsidR="00470ABE" w:rsidRPr="00470ABE" w14:paraId="03F236DD" w14:textId="77777777" w:rsidTr="007F23F8">
        <w:trPr>
          <w:trHeight w:val="464"/>
        </w:trPr>
        <w:tc>
          <w:tcPr>
            <w:tcW w:w="2835" w:type="dxa"/>
            <w:tcBorders>
              <w:top w:val="single" w:sz="4" w:space="0" w:color="auto"/>
              <w:bottom w:val="dashed" w:sz="4" w:space="0" w:color="auto"/>
            </w:tcBorders>
            <w:vAlign w:val="center"/>
          </w:tcPr>
          <w:p w14:paraId="7EEEA909" w14:textId="77777777" w:rsidR="00470ABE" w:rsidRPr="00470ABE" w:rsidRDefault="00470ABE" w:rsidP="00470ABE">
            <w:pPr>
              <w:pStyle w:val="Body"/>
              <w:rPr>
                <w:rFonts w:ascii="Arial" w:hAnsi="Arial" w:cs="Arial"/>
                <w:sz w:val="20"/>
              </w:rPr>
            </w:pPr>
            <w:r w:rsidRPr="00470ABE">
              <w:rPr>
                <w:rFonts w:ascii="Arial" w:hAnsi="Arial" w:cs="Arial"/>
                <w:sz w:val="20"/>
              </w:rPr>
              <w:t xml:space="preserve">Acclimatization Days (AD) </w:t>
            </w:r>
          </w:p>
        </w:tc>
        <w:tc>
          <w:tcPr>
            <w:tcW w:w="6510" w:type="dxa"/>
            <w:tcBorders>
              <w:top w:val="single" w:sz="4" w:space="0" w:color="auto"/>
              <w:bottom w:val="dashed" w:sz="4" w:space="0" w:color="auto"/>
            </w:tcBorders>
            <w:vAlign w:val="center"/>
          </w:tcPr>
          <w:p w14:paraId="24D7C01F" w14:textId="77777777" w:rsidR="00470ABE" w:rsidRPr="00470ABE" w:rsidRDefault="00470ABE" w:rsidP="00470ABE">
            <w:pPr>
              <w:pStyle w:val="Body"/>
              <w:rPr>
                <w:rFonts w:ascii="Arial" w:hAnsi="Arial" w:cs="Arial"/>
                <w:sz w:val="20"/>
              </w:rPr>
            </w:pPr>
            <w:r w:rsidRPr="00470ABE">
              <w:rPr>
                <w:rFonts w:ascii="Arial" w:hAnsi="Arial" w:cs="Arial"/>
                <w:sz w:val="20"/>
              </w:rPr>
              <w:t>The number of days elapsed from transplantation to the multicell trays until the seedlings reached the optimal state for transfer to the acclimatization nursery.</w:t>
            </w:r>
          </w:p>
        </w:tc>
      </w:tr>
      <w:tr w:rsidR="00470ABE" w:rsidRPr="00470ABE" w14:paraId="7AD850E0" w14:textId="77777777" w:rsidTr="007F23F8">
        <w:tc>
          <w:tcPr>
            <w:tcW w:w="2835" w:type="dxa"/>
            <w:tcBorders>
              <w:top w:val="dashed" w:sz="4" w:space="0" w:color="auto"/>
              <w:bottom w:val="dashed" w:sz="4" w:space="0" w:color="auto"/>
            </w:tcBorders>
            <w:vAlign w:val="center"/>
          </w:tcPr>
          <w:p w14:paraId="7E2F6857" w14:textId="77777777" w:rsidR="00470ABE" w:rsidRPr="00470ABE" w:rsidRDefault="00470ABE" w:rsidP="00470ABE">
            <w:pPr>
              <w:pStyle w:val="Body"/>
              <w:rPr>
                <w:rFonts w:ascii="Arial" w:hAnsi="Arial" w:cs="Arial"/>
                <w:sz w:val="20"/>
              </w:rPr>
            </w:pPr>
            <w:r w:rsidRPr="00470ABE">
              <w:rPr>
                <w:rFonts w:ascii="Arial" w:hAnsi="Arial" w:cs="Arial"/>
                <w:sz w:val="20"/>
              </w:rPr>
              <w:t>Disease incidence (DI)</w:t>
            </w:r>
          </w:p>
        </w:tc>
        <w:tc>
          <w:tcPr>
            <w:tcW w:w="6510" w:type="dxa"/>
            <w:tcBorders>
              <w:top w:val="dashed" w:sz="4" w:space="0" w:color="auto"/>
              <w:bottom w:val="dashed" w:sz="4" w:space="0" w:color="auto"/>
            </w:tcBorders>
            <w:vAlign w:val="center"/>
          </w:tcPr>
          <w:p w14:paraId="7BC2CA50" w14:textId="77777777" w:rsidR="00470ABE" w:rsidRPr="00470ABE" w:rsidRDefault="00470ABE" w:rsidP="00470ABE">
            <w:pPr>
              <w:pStyle w:val="Body"/>
              <w:rPr>
                <w:rFonts w:ascii="Arial" w:hAnsi="Arial" w:cs="Arial"/>
                <w:sz w:val="20"/>
              </w:rPr>
            </w:pPr>
            <w:r w:rsidRPr="00470ABE">
              <w:rPr>
                <w:rFonts w:ascii="Arial" w:hAnsi="Arial" w:cs="Arial"/>
                <w:sz w:val="20"/>
              </w:rPr>
              <w:t>Incidence of diseases quantified as DI (%) = (number of infected seedlings / total number of seedlings evaluated) × 100, which determines the proportion of seedlings affected at the time of their transfer to the acclimatization stage. According to the percentage obtained, the incidence was classified into three categories: low (0-5%), medium (6-10%), high (&gt; 10%).</w:t>
            </w:r>
          </w:p>
        </w:tc>
      </w:tr>
      <w:tr w:rsidR="00470ABE" w:rsidRPr="00470ABE" w14:paraId="70ED5AC1" w14:textId="77777777" w:rsidTr="007F23F8">
        <w:tc>
          <w:tcPr>
            <w:tcW w:w="2835" w:type="dxa"/>
            <w:tcBorders>
              <w:top w:val="dashed" w:sz="4" w:space="0" w:color="auto"/>
              <w:bottom w:val="dashed" w:sz="4" w:space="0" w:color="auto"/>
            </w:tcBorders>
            <w:vAlign w:val="center"/>
          </w:tcPr>
          <w:p w14:paraId="57A39E48" w14:textId="77777777" w:rsidR="00470ABE" w:rsidRPr="00470ABE" w:rsidRDefault="00470ABE" w:rsidP="00470ABE">
            <w:pPr>
              <w:pStyle w:val="Body"/>
              <w:rPr>
                <w:rFonts w:ascii="Arial" w:hAnsi="Arial" w:cs="Arial"/>
                <w:sz w:val="20"/>
              </w:rPr>
            </w:pPr>
            <w:r w:rsidRPr="00470ABE">
              <w:rPr>
                <w:rFonts w:ascii="Arial" w:hAnsi="Arial" w:cs="Arial"/>
                <w:sz w:val="20"/>
              </w:rPr>
              <w:t xml:space="preserve">Plant vigor (PV) </w:t>
            </w:r>
          </w:p>
        </w:tc>
        <w:tc>
          <w:tcPr>
            <w:tcW w:w="6510" w:type="dxa"/>
            <w:tcBorders>
              <w:top w:val="dashed" w:sz="4" w:space="0" w:color="auto"/>
              <w:bottom w:val="dashed" w:sz="4" w:space="0" w:color="auto"/>
            </w:tcBorders>
            <w:vAlign w:val="center"/>
          </w:tcPr>
          <w:p w14:paraId="3AFC0234" w14:textId="77777777" w:rsidR="00470ABE" w:rsidRPr="00470ABE" w:rsidRDefault="00470ABE" w:rsidP="00470ABE">
            <w:pPr>
              <w:pStyle w:val="Body"/>
              <w:rPr>
                <w:rFonts w:ascii="Arial" w:hAnsi="Arial" w:cs="Arial"/>
                <w:sz w:val="20"/>
              </w:rPr>
            </w:pPr>
            <w:r w:rsidRPr="00470ABE">
              <w:rPr>
                <w:rFonts w:ascii="Arial" w:hAnsi="Arial" w:cs="Arial"/>
                <w:sz w:val="20"/>
              </w:rPr>
              <w:t>Seedling vigor was assessed visually by observing stem morphological parameters, leaf coloration, and general health, assigning a three-level scale: 1- not vigorous (more than 50% with thin stems, chlorotic or abnormal leaf coloration, and poor development), 2- moderately vigorous (50-70% with stems of acceptable diameter, intermediate green coloration with possible slight irregularities, and moderate development), and 3- vigorous (more than 70% with robust stems, intense and uniform green coloration, and optimal development).</w:t>
            </w:r>
          </w:p>
        </w:tc>
      </w:tr>
      <w:tr w:rsidR="00470ABE" w:rsidRPr="00470ABE" w14:paraId="26297261" w14:textId="77777777" w:rsidTr="007F23F8">
        <w:tc>
          <w:tcPr>
            <w:tcW w:w="2835" w:type="dxa"/>
            <w:tcBorders>
              <w:top w:val="dashed" w:sz="4" w:space="0" w:color="auto"/>
              <w:bottom w:val="dashed" w:sz="4" w:space="0" w:color="auto"/>
            </w:tcBorders>
            <w:vAlign w:val="center"/>
          </w:tcPr>
          <w:p w14:paraId="5CBFA475" w14:textId="77777777" w:rsidR="00470ABE" w:rsidRPr="00470ABE" w:rsidRDefault="00470ABE" w:rsidP="00470ABE">
            <w:pPr>
              <w:pStyle w:val="Body"/>
              <w:rPr>
                <w:rFonts w:ascii="Arial" w:hAnsi="Arial" w:cs="Arial"/>
                <w:sz w:val="20"/>
              </w:rPr>
            </w:pPr>
            <w:r w:rsidRPr="00470ABE">
              <w:rPr>
                <w:rFonts w:ascii="Arial" w:hAnsi="Arial" w:cs="Arial"/>
                <w:sz w:val="20"/>
              </w:rPr>
              <w:lastRenderedPageBreak/>
              <w:t>Plant height (PH)</w:t>
            </w:r>
          </w:p>
        </w:tc>
        <w:tc>
          <w:tcPr>
            <w:tcW w:w="6510" w:type="dxa"/>
            <w:tcBorders>
              <w:top w:val="dashed" w:sz="4" w:space="0" w:color="auto"/>
              <w:bottom w:val="dashed" w:sz="4" w:space="0" w:color="auto"/>
            </w:tcBorders>
            <w:vAlign w:val="center"/>
          </w:tcPr>
          <w:p w14:paraId="3F151091" w14:textId="77777777" w:rsidR="00470ABE" w:rsidRPr="00470ABE" w:rsidRDefault="00470ABE" w:rsidP="00470ABE">
            <w:pPr>
              <w:pStyle w:val="Body"/>
              <w:rPr>
                <w:rFonts w:ascii="Arial" w:hAnsi="Arial" w:cs="Arial"/>
                <w:sz w:val="20"/>
              </w:rPr>
            </w:pPr>
            <w:r w:rsidRPr="00470ABE">
              <w:rPr>
                <w:rFonts w:ascii="Arial" w:hAnsi="Arial" w:cs="Arial"/>
                <w:sz w:val="20"/>
              </w:rPr>
              <w:t>Five seedlings were randomly selected per replication and the height of the plant (expressed in centimeters) was measured by means of a graduated ruler, taking as a reference the distance from the neck of the seedling to the apex of the main stem. The measurement was made when the seedlings reached the optimal phenological stage for transfer to the acclimatization nursery.</w:t>
            </w:r>
          </w:p>
        </w:tc>
      </w:tr>
      <w:tr w:rsidR="00470ABE" w:rsidRPr="00470ABE" w14:paraId="6C4C1DBA" w14:textId="77777777" w:rsidTr="007F23F8">
        <w:tc>
          <w:tcPr>
            <w:tcW w:w="2835" w:type="dxa"/>
            <w:tcBorders>
              <w:top w:val="dashed" w:sz="4" w:space="0" w:color="auto"/>
              <w:bottom w:val="dashed" w:sz="4" w:space="0" w:color="auto"/>
            </w:tcBorders>
            <w:vAlign w:val="center"/>
          </w:tcPr>
          <w:p w14:paraId="1F15B5B4" w14:textId="77777777" w:rsidR="00470ABE" w:rsidRPr="00470ABE" w:rsidRDefault="00470ABE" w:rsidP="00470ABE">
            <w:pPr>
              <w:pStyle w:val="Body"/>
              <w:rPr>
                <w:rFonts w:ascii="Arial" w:hAnsi="Arial" w:cs="Arial"/>
                <w:sz w:val="20"/>
              </w:rPr>
            </w:pPr>
            <w:r w:rsidRPr="00470ABE">
              <w:rPr>
                <w:rFonts w:ascii="Arial" w:hAnsi="Arial" w:cs="Arial"/>
                <w:sz w:val="20"/>
              </w:rPr>
              <w:t>Leaves per seedling (LS)</w:t>
            </w:r>
          </w:p>
        </w:tc>
        <w:tc>
          <w:tcPr>
            <w:tcW w:w="6510" w:type="dxa"/>
            <w:tcBorders>
              <w:top w:val="dashed" w:sz="4" w:space="0" w:color="auto"/>
              <w:bottom w:val="dashed" w:sz="4" w:space="0" w:color="auto"/>
            </w:tcBorders>
            <w:vAlign w:val="center"/>
          </w:tcPr>
          <w:p w14:paraId="1EE8724A" w14:textId="77777777" w:rsidR="00470ABE" w:rsidRPr="00470ABE" w:rsidRDefault="00470ABE" w:rsidP="00470ABE">
            <w:pPr>
              <w:pStyle w:val="Body"/>
              <w:rPr>
                <w:rFonts w:ascii="Arial" w:hAnsi="Arial" w:cs="Arial"/>
                <w:sz w:val="20"/>
              </w:rPr>
            </w:pPr>
            <w:r w:rsidRPr="00470ABE">
              <w:rPr>
                <w:rFonts w:ascii="Arial" w:hAnsi="Arial" w:cs="Arial"/>
                <w:sz w:val="20"/>
              </w:rPr>
              <w:t>In the five randomly selected seedlings, the number of fully expanded leaves per seedling was quantified. Subsequently, the arithmetic average of the number of sheets was calculated using the formula:</w:t>
            </w:r>
          </w:p>
          <w:p w14:paraId="567547B0" w14:textId="77777777" w:rsidR="00470ABE" w:rsidRPr="00470ABE" w:rsidRDefault="00470ABE" w:rsidP="00470ABE">
            <w:pPr>
              <w:pStyle w:val="Body"/>
              <w:rPr>
                <w:rFonts w:ascii="Arial" w:hAnsi="Arial" w:cs="Arial"/>
                <w:sz w:val="20"/>
              </w:rPr>
            </w:pPr>
            <w:r w:rsidRPr="00470ABE">
              <w:rPr>
                <w:rFonts w:ascii="Arial" w:hAnsi="Arial" w:cs="Arial"/>
                <w:sz w:val="20"/>
              </w:rPr>
              <w:t>Average number of leaves = (</w:t>
            </w:r>
            <w:r w:rsidRPr="00470ABE">
              <w:rPr>
                <w:rFonts w:ascii="Arial" w:hAnsi="Arial" w:cs="Arial"/>
                <w:sz w:val="20"/>
                <w:lang w:val="es"/>
              </w:rPr>
              <w:t>Σ</w:t>
            </w:r>
            <w:r w:rsidRPr="00470ABE">
              <w:rPr>
                <w:rFonts w:ascii="Arial" w:hAnsi="Arial" w:cs="Arial"/>
                <w:sz w:val="20"/>
              </w:rPr>
              <w:t xml:space="preserve"> number of leaves per seedling) / 5.</w:t>
            </w:r>
          </w:p>
        </w:tc>
      </w:tr>
      <w:tr w:rsidR="00470ABE" w:rsidRPr="00470ABE" w14:paraId="65B0FEE0" w14:textId="77777777" w:rsidTr="007F23F8">
        <w:tc>
          <w:tcPr>
            <w:tcW w:w="2835" w:type="dxa"/>
            <w:tcBorders>
              <w:top w:val="dashed" w:sz="4" w:space="0" w:color="auto"/>
              <w:bottom w:val="dashed" w:sz="4" w:space="0" w:color="auto"/>
            </w:tcBorders>
            <w:vAlign w:val="center"/>
          </w:tcPr>
          <w:p w14:paraId="3F1D4CE6" w14:textId="77777777" w:rsidR="00470ABE" w:rsidRPr="00470ABE" w:rsidRDefault="00470ABE" w:rsidP="00470ABE">
            <w:pPr>
              <w:pStyle w:val="Body"/>
              <w:rPr>
                <w:rFonts w:ascii="Arial" w:hAnsi="Arial" w:cs="Arial"/>
                <w:sz w:val="20"/>
              </w:rPr>
            </w:pPr>
            <w:r w:rsidRPr="00470ABE">
              <w:rPr>
                <w:rFonts w:ascii="Arial" w:hAnsi="Arial" w:cs="Arial"/>
                <w:sz w:val="20"/>
              </w:rPr>
              <w:t>Root weight (RW)</w:t>
            </w:r>
          </w:p>
        </w:tc>
        <w:tc>
          <w:tcPr>
            <w:tcW w:w="6510" w:type="dxa"/>
            <w:tcBorders>
              <w:top w:val="dashed" w:sz="4" w:space="0" w:color="auto"/>
              <w:bottom w:val="dashed" w:sz="4" w:space="0" w:color="auto"/>
            </w:tcBorders>
            <w:vAlign w:val="center"/>
          </w:tcPr>
          <w:p w14:paraId="621BF5C9" w14:textId="77777777" w:rsidR="00470ABE" w:rsidRPr="00470ABE" w:rsidRDefault="00470ABE" w:rsidP="00470ABE">
            <w:pPr>
              <w:pStyle w:val="Body"/>
              <w:rPr>
                <w:rFonts w:ascii="Arial" w:hAnsi="Arial" w:cs="Arial"/>
                <w:sz w:val="20"/>
              </w:rPr>
            </w:pPr>
            <w:r w:rsidRPr="00470ABE">
              <w:rPr>
                <w:rFonts w:ascii="Arial" w:hAnsi="Arial" w:cs="Arial"/>
                <w:sz w:val="20"/>
              </w:rPr>
              <w:t>Five seedlings were randomly selected per experimental unit, whose roots were washed to completely remove the adhered substrate. Subsequently, they were superficially dried with absorbent paper to remove excess water and the mass of the fresh root biomass (grams) was immediately determined by an analytical balance with an accuracy of 0.0001 g.</w:t>
            </w:r>
          </w:p>
        </w:tc>
      </w:tr>
      <w:tr w:rsidR="00470ABE" w:rsidRPr="00470ABE" w14:paraId="3322FA7C" w14:textId="77777777" w:rsidTr="007F23F8">
        <w:tc>
          <w:tcPr>
            <w:tcW w:w="2835" w:type="dxa"/>
            <w:tcBorders>
              <w:top w:val="dashed" w:sz="4" w:space="0" w:color="auto"/>
              <w:bottom w:val="dashed" w:sz="4" w:space="0" w:color="auto"/>
            </w:tcBorders>
            <w:vAlign w:val="center"/>
          </w:tcPr>
          <w:p w14:paraId="522ED5EE" w14:textId="77777777" w:rsidR="00470ABE" w:rsidRPr="00470ABE" w:rsidRDefault="00470ABE" w:rsidP="00470ABE">
            <w:pPr>
              <w:pStyle w:val="Body"/>
              <w:rPr>
                <w:rFonts w:ascii="Arial" w:hAnsi="Arial" w:cs="Arial"/>
                <w:sz w:val="20"/>
              </w:rPr>
            </w:pPr>
            <w:r w:rsidRPr="00470ABE">
              <w:rPr>
                <w:rFonts w:ascii="Arial" w:hAnsi="Arial" w:cs="Arial"/>
                <w:sz w:val="20"/>
              </w:rPr>
              <w:t>Chlorophyll Index (CI)</w:t>
            </w:r>
          </w:p>
        </w:tc>
        <w:tc>
          <w:tcPr>
            <w:tcW w:w="6510" w:type="dxa"/>
            <w:tcBorders>
              <w:top w:val="dashed" w:sz="4" w:space="0" w:color="auto"/>
              <w:bottom w:val="dashed" w:sz="4" w:space="0" w:color="auto"/>
            </w:tcBorders>
            <w:vAlign w:val="center"/>
          </w:tcPr>
          <w:p w14:paraId="69D1DD48" w14:textId="77777777" w:rsidR="00470ABE" w:rsidRPr="00470ABE" w:rsidRDefault="00470ABE" w:rsidP="00470ABE">
            <w:pPr>
              <w:pStyle w:val="Body"/>
              <w:rPr>
                <w:rFonts w:ascii="Arial" w:hAnsi="Arial" w:cs="Arial"/>
                <w:sz w:val="20"/>
              </w:rPr>
            </w:pPr>
            <w:r w:rsidRPr="00470ABE">
              <w:rPr>
                <w:rFonts w:ascii="Arial" w:hAnsi="Arial" w:cs="Arial"/>
                <w:sz w:val="20"/>
              </w:rPr>
              <w:t>The chlorophyll index (SPAD units), was measured at the end of the greenhouse stage, prior to acclimatization. To do this, a digital chlorophyll meter was used. The measurement was performed on a randomly taken sheet of five randomly selected seedlings per treatment.</w:t>
            </w:r>
          </w:p>
        </w:tc>
      </w:tr>
      <w:tr w:rsidR="00470ABE" w:rsidRPr="00470ABE" w14:paraId="3AD87914" w14:textId="77777777" w:rsidTr="007F23F8">
        <w:tc>
          <w:tcPr>
            <w:tcW w:w="2835" w:type="dxa"/>
            <w:tcBorders>
              <w:top w:val="dashed" w:sz="4" w:space="0" w:color="auto"/>
              <w:bottom w:val="single" w:sz="4" w:space="0" w:color="auto"/>
            </w:tcBorders>
            <w:vAlign w:val="center"/>
          </w:tcPr>
          <w:p w14:paraId="5FF02D07" w14:textId="77777777" w:rsidR="00470ABE" w:rsidRPr="00470ABE" w:rsidRDefault="00470ABE" w:rsidP="00470ABE">
            <w:pPr>
              <w:pStyle w:val="Body"/>
              <w:rPr>
                <w:rFonts w:ascii="Arial" w:hAnsi="Arial" w:cs="Arial"/>
                <w:sz w:val="20"/>
              </w:rPr>
            </w:pPr>
            <w:r w:rsidRPr="00470ABE">
              <w:rPr>
                <w:rFonts w:ascii="Arial" w:hAnsi="Arial" w:cs="Arial"/>
                <w:sz w:val="20"/>
              </w:rPr>
              <w:t>Seedling quality (SQ)</w:t>
            </w:r>
          </w:p>
        </w:tc>
        <w:tc>
          <w:tcPr>
            <w:tcW w:w="6510" w:type="dxa"/>
            <w:tcBorders>
              <w:top w:val="dashed" w:sz="4" w:space="0" w:color="auto"/>
              <w:bottom w:val="single" w:sz="4" w:space="0" w:color="auto"/>
            </w:tcBorders>
            <w:vAlign w:val="center"/>
          </w:tcPr>
          <w:p w14:paraId="1BFC5869" w14:textId="77777777" w:rsidR="00470ABE" w:rsidRPr="00470ABE" w:rsidRDefault="00470ABE" w:rsidP="00470ABE">
            <w:pPr>
              <w:pStyle w:val="Body"/>
              <w:rPr>
                <w:rFonts w:ascii="Arial" w:hAnsi="Arial" w:cs="Arial"/>
                <w:sz w:val="20"/>
              </w:rPr>
            </w:pPr>
            <w:r w:rsidRPr="00470ABE">
              <w:rPr>
                <w:rFonts w:ascii="Arial" w:hAnsi="Arial" w:cs="Arial"/>
                <w:sz w:val="20"/>
              </w:rPr>
              <w:t>Based on the parameters of plant height, number of leaves, vigor, incidence of diseases, chlorophyll index and morphological uniformity, the quality of the seedlings produced with each treatment was evaluated.</w:t>
            </w:r>
          </w:p>
        </w:tc>
      </w:tr>
    </w:tbl>
    <w:p w14:paraId="1DA9D24E" w14:textId="77777777" w:rsidR="005722FB" w:rsidRDefault="005722FB" w:rsidP="005722FB">
      <w:pPr>
        <w:pStyle w:val="Body"/>
        <w:spacing w:after="0"/>
        <w:rPr>
          <w:rFonts w:ascii="Arial" w:hAnsi="Arial" w:cs="Arial"/>
        </w:rPr>
      </w:pPr>
    </w:p>
    <w:p w14:paraId="16F5AC3E" w14:textId="77777777" w:rsidR="005722FB" w:rsidRDefault="005722FB" w:rsidP="005722FB">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470ABE">
        <w:rPr>
          <w:rFonts w:ascii="Arial" w:hAnsi="Arial" w:cs="Arial"/>
          <w:b/>
          <w:sz w:val="22"/>
        </w:rPr>
        <w:t>Statistical A</w:t>
      </w:r>
      <w:r w:rsidR="00470ABE" w:rsidRPr="00470ABE">
        <w:rPr>
          <w:rFonts w:ascii="Arial" w:hAnsi="Arial" w:cs="Arial"/>
          <w:b/>
          <w:sz w:val="22"/>
        </w:rPr>
        <w:t>nalysis</w:t>
      </w:r>
    </w:p>
    <w:p w14:paraId="69DD78F3" w14:textId="77777777" w:rsidR="005722FB" w:rsidRDefault="005722FB" w:rsidP="005722FB">
      <w:pPr>
        <w:pStyle w:val="Body"/>
        <w:spacing w:after="0"/>
        <w:rPr>
          <w:rFonts w:ascii="Arial" w:hAnsi="Arial" w:cs="Arial"/>
        </w:rPr>
      </w:pPr>
    </w:p>
    <w:p w14:paraId="7075E57B" w14:textId="77777777" w:rsidR="00470ABE" w:rsidRDefault="00470ABE" w:rsidP="00470ABE">
      <w:pPr>
        <w:pStyle w:val="Body"/>
        <w:rPr>
          <w:rFonts w:ascii="Arial" w:hAnsi="Arial" w:cs="Arial"/>
        </w:rPr>
      </w:pPr>
      <w:r w:rsidRPr="00470ABE">
        <w:rPr>
          <w:rFonts w:ascii="Arial" w:hAnsi="Arial" w:cs="Arial"/>
        </w:rPr>
        <w:t>The experiment was conducted under a randomized complete block design with a split-plot arrangement. Statistical analyses were carried out in the R environment (version 4.4.3), applying univariate mixed-effects models for each response variable to estimate variance components and interaction effects. Inferences were supported by parametric or non-parametric tests, depending on dat</w:t>
      </w:r>
      <w:r>
        <w:rPr>
          <w:rFonts w:ascii="Arial" w:hAnsi="Arial" w:cs="Arial"/>
        </w:rPr>
        <w:t>a distribution and assumptions.</w:t>
      </w:r>
    </w:p>
    <w:p w14:paraId="75F18C67" w14:textId="77777777" w:rsidR="005722FB" w:rsidRDefault="00470ABE" w:rsidP="005722FB">
      <w:pPr>
        <w:pStyle w:val="Body"/>
        <w:spacing w:after="0"/>
        <w:rPr>
          <w:rFonts w:ascii="Arial" w:hAnsi="Arial" w:cs="Arial"/>
        </w:rPr>
      </w:pPr>
      <w:r w:rsidRPr="00470ABE">
        <w:rPr>
          <w:rFonts w:ascii="Arial" w:hAnsi="Arial" w:cs="Arial"/>
        </w:rPr>
        <w:t>Mean comparisons were performed using Tukey’s test (</w:t>
      </w:r>
      <w:r w:rsidR="008B05FF" w:rsidRPr="008B05FF">
        <w:rPr>
          <w:rFonts w:ascii="Arial" w:hAnsi="Arial" w:cs="Arial"/>
          <w:i/>
        </w:rPr>
        <w:t>P</w:t>
      </w:r>
      <w:r w:rsidR="008B05FF">
        <w:rPr>
          <w:rFonts w:ascii="Arial" w:hAnsi="Arial" w:cs="Arial"/>
        </w:rPr>
        <w:t xml:space="preserve"> ≤ </w:t>
      </w:r>
      <w:r w:rsidRPr="00470ABE">
        <w:rPr>
          <w:rFonts w:ascii="Arial" w:hAnsi="Arial" w:cs="Arial"/>
        </w:rPr>
        <w:t>.05) under parametric conditions, and Dunn’s test with Bonferroni correction for non-parametric cases. In addition, the coefficient of variation (CV %) was calculated to assess experimental precision, and the coefficient of determination (R</w:t>
      </w:r>
      <w:r w:rsidRPr="008B05FF">
        <w:rPr>
          <w:rFonts w:ascii="Arial" w:hAnsi="Arial" w:cs="Arial"/>
          <w:vertAlign w:val="superscript"/>
        </w:rPr>
        <w:t>2</w:t>
      </w:r>
      <w:r w:rsidRPr="00470ABE">
        <w:rPr>
          <w:rFonts w:ascii="Arial" w:hAnsi="Arial" w:cs="Arial"/>
        </w:rPr>
        <w:t>) was used to evaluate model goodness-of-fit.</w:t>
      </w:r>
    </w:p>
    <w:p w14:paraId="4EA43AD6" w14:textId="77777777" w:rsidR="005722FB" w:rsidRDefault="005722FB" w:rsidP="005722FB">
      <w:pPr>
        <w:pStyle w:val="Body"/>
        <w:spacing w:after="0"/>
        <w:rPr>
          <w:rFonts w:ascii="Arial" w:hAnsi="Arial" w:cs="Arial"/>
        </w:rPr>
      </w:pPr>
    </w:p>
    <w:p w14:paraId="0D7201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AF8813" w14:textId="77777777" w:rsidR="00470ABE" w:rsidRDefault="00470ABE" w:rsidP="00441B6F">
      <w:pPr>
        <w:pStyle w:val="Body"/>
        <w:spacing w:after="0"/>
        <w:rPr>
          <w:rFonts w:ascii="Arial" w:hAnsi="Arial" w:cs="Arial"/>
        </w:rPr>
      </w:pPr>
    </w:p>
    <w:p w14:paraId="0E042A2E" w14:textId="77777777" w:rsidR="00B01FE4" w:rsidRDefault="00B01FE4" w:rsidP="00B01FE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Pr>
          <w:rFonts w:ascii="Arial" w:hAnsi="Arial" w:cs="Arial"/>
          <w:b/>
          <w:sz w:val="22"/>
        </w:rPr>
        <w:t>ANAVA and Test</w:t>
      </w:r>
      <w:r w:rsidR="00326B5D">
        <w:rPr>
          <w:rFonts w:ascii="Arial" w:hAnsi="Arial" w:cs="Arial"/>
          <w:b/>
          <w:sz w:val="22"/>
        </w:rPr>
        <w:t>s</w:t>
      </w:r>
      <w:r w:rsidRPr="00B01FE4">
        <w:rPr>
          <w:rFonts w:ascii="Arial" w:hAnsi="Arial" w:cs="Arial"/>
          <w:b/>
          <w:sz w:val="22"/>
        </w:rPr>
        <w:t xml:space="preserve"> </w:t>
      </w:r>
      <w:r>
        <w:rPr>
          <w:rFonts w:ascii="Arial" w:hAnsi="Arial" w:cs="Arial"/>
          <w:b/>
          <w:sz w:val="22"/>
        </w:rPr>
        <w:t>of Averages</w:t>
      </w:r>
    </w:p>
    <w:p w14:paraId="50D2E20E" w14:textId="77777777" w:rsidR="00B01FE4" w:rsidRDefault="00B01FE4" w:rsidP="00B01FE4">
      <w:pPr>
        <w:pStyle w:val="Body"/>
        <w:spacing w:after="0"/>
        <w:rPr>
          <w:rFonts w:ascii="Arial" w:hAnsi="Arial" w:cs="Arial"/>
        </w:rPr>
      </w:pPr>
    </w:p>
    <w:p w14:paraId="45370788" w14:textId="77777777" w:rsidR="00E7707C" w:rsidRPr="00E7707C" w:rsidRDefault="00E7707C" w:rsidP="00E7707C">
      <w:pPr>
        <w:pStyle w:val="Body"/>
        <w:rPr>
          <w:rFonts w:ascii="Arial" w:hAnsi="Arial" w:cs="Arial"/>
          <w:bCs/>
          <w:iCs/>
        </w:rPr>
      </w:pPr>
      <w:r w:rsidRPr="00E7707C">
        <w:rPr>
          <w:rFonts w:ascii="Arial" w:hAnsi="Arial" w:cs="Arial"/>
          <w:bCs/>
          <w:iCs/>
        </w:rPr>
        <w:lastRenderedPageBreak/>
        <w:t>The T1, T2, and T3 treatments, which corresponded to irrigation once per week combined with different hydrogel doses in the substrate, resulted in no seedling survival under the experimental conditions. Owing to complete seedling mortality, these treatments were excluded from the statistical analysis because of the absence of valid data for evaluation.</w:t>
      </w:r>
    </w:p>
    <w:p w14:paraId="6B28BB14" w14:textId="77777777" w:rsidR="00E7707C" w:rsidRDefault="00E7707C" w:rsidP="00B01FE4">
      <w:pPr>
        <w:pStyle w:val="Body"/>
        <w:spacing w:after="0"/>
        <w:rPr>
          <w:rFonts w:ascii="Arial" w:hAnsi="Arial" w:cs="Arial"/>
          <w:bCs/>
          <w:iCs/>
        </w:rPr>
      </w:pPr>
      <w:r w:rsidRPr="00E7707C">
        <w:rPr>
          <w:rFonts w:ascii="Arial" w:hAnsi="Arial" w:cs="Arial"/>
          <w:bCs/>
          <w:iCs/>
        </w:rPr>
        <w:t>In synthesis, the analysis of variance</w:t>
      </w:r>
      <w:r w:rsidR="00B01FE4">
        <w:rPr>
          <w:rFonts w:ascii="Arial" w:hAnsi="Arial" w:cs="Arial"/>
          <w:bCs/>
          <w:iCs/>
        </w:rPr>
        <w:t xml:space="preserve"> (ANAVA)</w:t>
      </w:r>
      <w:r w:rsidRPr="00E7707C">
        <w:rPr>
          <w:rFonts w:ascii="Arial" w:hAnsi="Arial" w:cs="Arial"/>
          <w:bCs/>
          <w:iCs/>
        </w:rPr>
        <w:t xml:space="preserve"> revealed that irrigation frequency significantly influenced AD (p = .041) and CI (p = .046), with a highly significant effect on DI (p = .001) (Table 3). The hydrogel dose showed a broader impact, with significant or highly significant effects on AD (p = .001), number of LS (p = .017), RW (p = .001), CI (p = .001), and DI (p = .017). The interaction between IF and HD was not significant for most variables but was highly significant for RW (p = .003) and significant for CI (p = .027), indicating that the combined effects of irrigation frequency and hydrogel dose play a role in root development and chlorophyll content.</w:t>
      </w:r>
    </w:p>
    <w:p w14:paraId="149DE3D5" w14:textId="77777777" w:rsidR="00B01FE4" w:rsidRPr="00E7707C" w:rsidRDefault="00B01FE4" w:rsidP="00B01FE4">
      <w:pPr>
        <w:pStyle w:val="Body"/>
        <w:spacing w:after="0"/>
        <w:rPr>
          <w:rFonts w:ascii="Arial" w:hAnsi="Arial" w:cs="Arial"/>
          <w:bCs/>
          <w:iCs/>
        </w:rPr>
      </w:pPr>
    </w:p>
    <w:p w14:paraId="083A15B5" w14:textId="77777777" w:rsidR="00E7707C" w:rsidRPr="00B01FE4" w:rsidRDefault="00E7707C" w:rsidP="00E7707C">
      <w:pPr>
        <w:pStyle w:val="Body"/>
        <w:rPr>
          <w:rFonts w:ascii="Arial" w:hAnsi="Arial" w:cs="Arial"/>
          <w:b/>
          <w:iCs/>
        </w:rPr>
      </w:pPr>
      <w:r w:rsidRPr="00B01FE4">
        <w:rPr>
          <w:rFonts w:ascii="Arial" w:hAnsi="Arial" w:cs="Arial"/>
          <w:b/>
          <w:bCs/>
          <w:iCs/>
        </w:rPr>
        <w:t>Table 3</w:t>
      </w:r>
      <w:r w:rsidRPr="00B01FE4">
        <w:rPr>
          <w:rFonts w:ascii="Arial" w:hAnsi="Arial" w:cs="Arial"/>
          <w:b/>
          <w:iCs/>
        </w:rPr>
        <w:t>. Analysis of variance (</w:t>
      </w:r>
      <w:r w:rsidRPr="00B01FE4">
        <w:rPr>
          <w:rFonts w:ascii="Arial" w:hAnsi="Arial" w:cs="Arial"/>
          <w:b/>
          <w:i/>
          <w:iCs/>
        </w:rPr>
        <w:t>p</w:t>
      </w:r>
      <w:r w:rsidRPr="00B01FE4">
        <w:rPr>
          <w:rFonts w:ascii="Arial" w:hAnsi="Arial" w:cs="Arial"/>
          <w:b/>
          <w:iCs/>
        </w:rPr>
        <w:t xml:space="preserve"> values) for the main effects of irrigation frequency (IF) and hydrogel dose (HD), and model fit quality parameters for the </w:t>
      </w:r>
      <w:proofErr w:type="spellStart"/>
      <w:r w:rsidRPr="00B01FE4">
        <w:rPr>
          <w:rFonts w:ascii="Arial" w:hAnsi="Arial" w:cs="Arial"/>
          <w:b/>
          <w:iCs/>
        </w:rPr>
        <w:t>morpho</w:t>
      </w:r>
      <w:proofErr w:type="spellEnd"/>
      <w:r w:rsidRPr="00B01FE4">
        <w:rPr>
          <w:rFonts w:ascii="Arial" w:hAnsi="Arial" w:cs="Arial"/>
          <w:b/>
          <w:iCs/>
        </w:rPr>
        <w:t xml:space="preserve">-agronomic variables in </w:t>
      </w:r>
      <w:proofErr w:type="spellStart"/>
      <w:r w:rsidRPr="00B01FE4">
        <w:rPr>
          <w:rFonts w:ascii="Arial" w:hAnsi="Arial" w:cs="Arial"/>
          <w:b/>
          <w:iCs/>
        </w:rPr>
        <w:t>INIAF</w:t>
      </w:r>
      <w:proofErr w:type="spellEnd"/>
      <w:r w:rsidRPr="00B01FE4">
        <w:rPr>
          <w:rFonts w:ascii="Arial" w:hAnsi="Arial" w:cs="Arial"/>
          <w:b/>
          <w:iCs/>
        </w:rPr>
        <w:t xml:space="preserve"> </w:t>
      </w:r>
      <w:proofErr w:type="spellStart"/>
      <w:r w:rsidRPr="00B01FE4">
        <w:rPr>
          <w:rFonts w:ascii="Arial" w:hAnsi="Arial" w:cs="Arial"/>
          <w:b/>
          <w:iCs/>
        </w:rPr>
        <w:t>Renacer</w:t>
      </w:r>
      <w:proofErr w:type="spellEnd"/>
      <w:r w:rsidRPr="00B01FE4">
        <w:rPr>
          <w:rFonts w:ascii="Arial" w:hAnsi="Arial" w:cs="Arial"/>
          <w:b/>
          <w:iCs/>
        </w:rPr>
        <w:t xml:space="preserve"> tomato.</w:t>
      </w:r>
    </w:p>
    <w:tbl>
      <w:tblPr>
        <w:tblW w:w="9357" w:type="dxa"/>
        <w:jc w:val="center"/>
        <w:tblLayout w:type="fixed"/>
        <w:tblCellMar>
          <w:left w:w="0" w:type="dxa"/>
          <w:right w:w="0" w:type="dxa"/>
        </w:tblCellMar>
        <w:tblLook w:val="0400" w:firstRow="0" w:lastRow="0" w:firstColumn="0" w:lastColumn="0" w:noHBand="0" w:noVBand="1"/>
      </w:tblPr>
      <w:tblGrid>
        <w:gridCol w:w="2127"/>
        <w:gridCol w:w="1205"/>
        <w:gridCol w:w="1205"/>
        <w:gridCol w:w="1205"/>
        <w:gridCol w:w="1205"/>
        <w:gridCol w:w="1205"/>
        <w:gridCol w:w="1205"/>
      </w:tblGrid>
      <w:tr w:rsidR="00E7707C" w:rsidRPr="00E7707C" w14:paraId="0A6C7F90" w14:textId="77777777" w:rsidTr="007F23F8">
        <w:trPr>
          <w:trHeight w:val="277"/>
          <w:tblHeader/>
          <w:jc w:val="center"/>
        </w:trPr>
        <w:tc>
          <w:tcPr>
            <w:tcW w:w="2127" w:type="dxa"/>
            <w:tcBorders>
              <w:top w:val="single" w:sz="4" w:space="0" w:color="auto"/>
              <w:bottom w:val="single" w:sz="4" w:space="0" w:color="auto"/>
            </w:tcBorders>
            <w:tcMar>
              <w:top w:w="0" w:type="dxa"/>
              <w:left w:w="100" w:type="dxa"/>
              <w:bottom w:w="0" w:type="dxa"/>
              <w:right w:w="100" w:type="dxa"/>
            </w:tcMar>
            <w:vAlign w:val="center"/>
          </w:tcPr>
          <w:p w14:paraId="375F847D" w14:textId="77777777" w:rsidR="00E7707C" w:rsidRPr="00B01FE4" w:rsidRDefault="00E7707C" w:rsidP="00E7707C">
            <w:pPr>
              <w:pStyle w:val="Body"/>
              <w:rPr>
                <w:rFonts w:ascii="Arial" w:hAnsi="Arial" w:cs="Arial"/>
                <w:b/>
                <w:bCs/>
                <w:iCs/>
              </w:rPr>
            </w:pPr>
            <w:r w:rsidRPr="00B01FE4">
              <w:rPr>
                <w:rFonts w:ascii="Arial" w:hAnsi="Arial" w:cs="Arial"/>
                <w:b/>
                <w:bCs/>
                <w:iCs/>
              </w:rPr>
              <w:t>Source of Variation</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666A910A" w14:textId="77777777" w:rsidR="00E7707C" w:rsidRPr="00B01FE4" w:rsidRDefault="00E7707C" w:rsidP="00E7707C">
            <w:pPr>
              <w:pStyle w:val="Body"/>
              <w:rPr>
                <w:rFonts w:ascii="Arial" w:hAnsi="Arial" w:cs="Arial"/>
                <w:b/>
                <w:bCs/>
                <w:iCs/>
              </w:rPr>
            </w:pPr>
            <w:r w:rsidRPr="00B01FE4">
              <w:rPr>
                <w:rFonts w:ascii="Arial" w:hAnsi="Arial" w:cs="Arial"/>
                <w:b/>
                <w:bCs/>
                <w:iCs/>
              </w:rPr>
              <w:t>AD</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214B2079" w14:textId="77777777" w:rsidR="00E7707C" w:rsidRPr="00B01FE4" w:rsidRDefault="00E7707C" w:rsidP="00E7707C">
            <w:pPr>
              <w:pStyle w:val="Body"/>
              <w:rPr>
                <w:rFonts w:ascii="Arial" w:hAnsi="Arial" w:cs="Arial"/>
                <w:b/>
                <w:bCs/>
                <w:iCs/>
              </w:rPr>
            </w:pPr>
            <w:r w:rsidRPr="00B01FE4">
              <w:rPr>
                <w:rFonts w:ascii="Arial" w:hAnsi="Arial" w:cs="Arial"/>
                <w:b/>
                <w:bCs/>
                <w:iCs/>
              </w:rPr>
              <w:t>PH</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5A2994C0" w14:textId="77777777" w:rsidR="00E7707C" w:rsidRPr="00B01FE4" w:rsidRDefault="00E7707C" w:rsidP="00E7707C">
            <w:pPr>
              <w:pStyle w:val="Body"/>
              <w:rPr>
                <w:rFonts w:ascii="Arial" w:hAnsi="Arial" w:cs="Arial"/>
                <w:b/>
                <w:bCs/>
                <w:iCs/>
              </w:rPr>
            </w:pPr>
            <w:r w:rsidRPr="00B01FE4">
              <w:rPr>
                <w:rFonts w:ascii="Arial" w:hAnsi="Arial" w:cs="Arial"/>
                <w:b/>
                <w:bCs/>
                <w:iCs/>
              </w:rPr>
              <w:t>LS</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083C7EF1" w14:textId="77777777" w:rsidR="00E7707C" w:rsidRPr="00B01FE4" w:rsidRDefault="00E7707C" w:rsidP="00E7707C">
            <w:pPr>
              <w:pStyle w:val="Body"/>
              <w:rPr>
                <w:rFonts w:ascii="Arial" w:hAnsi="Arial" w:cs="Arial"/>
                <w:b/>
                <w:bCs/>
                <w:iCs/>
              </w:rPr>
            </w:pPr>
            <w:r w:rsidRPr="00B01FE4">
              <w:rPr>
                <w:rFonts w:ascii="Arial" w:hAnsi="Arial" w:cs="Arial"/>
                <w:b/>
                <w:bCs/>
                <w:iCs/>
              </w:rPr>
              <w:t>RW</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13DE9A54" w14:textId="77777777" w:rsidR="00E7707C" w:rsidRPr="00B01FE4" w:rsidRDefault="00E7707C" w:rsidP="00E7707C">
            <w:pPr>
              <w:pStyle w:val="Body"/>
              <w:rPr>
                <w:rFonts w:ascii="Arial" w:hAnsi="Arial" w:cs="Arial"/>
                <w:b/>
                <w:bCs/>
                <w:iCs/>
              </w:rPr>
            </w:pPr>
            <w:r w:rsidRPr="00B01FE4">
              <w:rPr>
                <w:rFonts w:ascii="Arial" w:hAnsi="Arial" w:cs="Arial"/>
                <w:b/>
                <w:bCs/>
                <w:iCs/>
              </w:rPr>
              <w:t>CI</w:t>
            </w:r>
          </w:p>
        </w:tc>
        <w:tc>
          <w:tcPr>
            <w:tcW w:w="1205" w:type="dxa"/>
            <w:tcBorders>
              <w:top w:val="single" w:sz="4" w:space="0" w:color="auto"/>
              <w:bottom w:val="single" w:sz="4" w:space="0" w:color="auto"/>
            </w:tcBorders>
            <w:vAlign w:val="center"/>
          </w:tcPr>
          <w:p w14:paraId="5DD33386" w14:textId="77777777" w:rsidR="00E7707C" w:rsidRPr="00B01FE4" w:rsidRDefault="00E7707C" w:rsidP="00E7707C">
            <w:pPr>
              <w:pStyle w:val="Body"/>
              <w:rPr>
                <w:rFonts w:ascii="Arial" w:hAnsi="Arial" w:cs="Arial"/>
                <w:b/>
                <w:bCs/>
                <w:iCs/>
              </w:rPr>
            </w:pPr>
            <w:r w:rsidRPr="00B01FE4">
              <w:rPr>
                <w:rFonts w:ascii="Arial" w:hAnsi="Arial" w:cs="Arial"/>
                <w:b/>
                <w:bCs/>
                <w:iCs/>
              </w:rPr>
              <w:t>DI</w:t>
            </w:r>
          </w:p>
        </w:tc>
      </w:tr>
      <w:tr w:rsidR="00E7707C" w:rsidRPr="00E7707C" w14:paraId="7EAC70E1" w14:textId="77777777" w:rsidTr="007F23F8">
        <w:trPr>
          <w:trHeight w:val="300"/>
          <w:jc w:val="center"/>
        </w:trPr>
        <w:tc>
          <w:tcPr>
            <w:tcW w:w="2127" w:type="dxa"/>
            <w:tcBorders>
              <w:top w:val="single" w:sz="4" w:space="0" w:color="auto"/>
            </w:tcBorders>
            <w:tcMar>
              <w:top w:w="0" w:type="dxa"/>
              <w:left w:w="100" w:type="dxa"/>
              <w:bottom w:w="0" w:type="dxa"/>
              <w:right w:w="100" w:type="dxa"/>
            </w:tcMar>
            <w:vAlign w:val="center"/>
          </w:tcPr>
          <w:p w14:paraId="7F666FA8" w14:textId="77777777" w:rsidR="00E7707C" w:rsidRPr="00B01FE4" w:rsidRDefault="00E7707C" w:rsidP="00E7707C">
            <w:pPr>
              <w:pStyle w:val="Body"/>
              <w:rPr>
                <w:rFonts w:ascii="Arial" w:hAnsi="Arial" w:cs="Arial"/>
                <w:bCs/>
                <w:iCs/>
              </w:rPr>
            </w:pPr>
            <w:r w:rsidRPr="00B01FE4">
              <w:rPr>
                <w:rFonts w:ascii="Arial" w:hAnsi="Arial" w:cs="Arial"/>
                <w:bCs/>
                <w:iCs/>
              </w:rPr>
              <w:t>IF</w:t>
            </w:r>
          </w:p>
        </w:tc>
        <w:tc>
          <w:tcPr>
            <w:tcW w:w="1205" w:type="dxa"/>
            <w:tcBorders>
              <w:top w:val="single" w:sz="4" w:space="0" w:color="auto"/>
            </w:tcBorders>
            <w:tcMar>
              <w:top w:w="0" w:type="dxa"/>
              <w:left w:w="100" w:type="dxa"/>
              <w:bottom w:w="0" w:type="dxa"/>
              <w:right w:w="100" w:type="dxa"/>
            </w:tcMar>
            <w:vAlign w:val="center"/>
          </w:tcPr>
          <w:p w14:paraId="17D670A7" w14:textId="77777777" w:rsidR="00E7707C" w:rsidRPr="00E7707C" w:rsidRDefault="00E7707C" w:rsidP="00E7707C">
            <w:pPr>
              <w:pStyle w:val="Body"/>
              <w:rPr>
                <w:rFonts w:ascii="Arial" w:hAnsi="Arial" w:cs="Arial"/>
                <w:iCs/>
              </w:rPr>
            </w:pPr>
            <w:r w:rsidRPr="00E7707C">
              <w:rPr>
                <w:rFonts w:ascii="Arial" w:hAnsi="Arial" w:cs="Arial"/>
                <w:iCs/>
              </w:rPr>
              <w:t>0.041*</w:t>
            </w:r>
          </w:p>
        </w:tc>
        <w:tc>
          <w:tcPr>
            <w:tcW w:w="1205" w:type="dxa"/>
            <w:tcBorders>
              <w:top w:val="single" w:sz="4" w:space="0" w:color="auto"/>
            </w:tcBorders>
            <w:tcMar>
              <w:top w:w="0" w:type="dxa"/>
              <w:left w:w="100" w:type="dxa"/>
              <w:bottom w:w="0" w:type="dxa"/>
              <w:right w:w="100" w:type="dxa"/>
            </w:tcMar>
            <w:vAlign w:val="center"/>
          </w:tcPr>
          <w:p w14:paraId="18AC6A72" w14:textId="77777777" w:rsidR="00E7707C" w:rsidRPr="00E7707C" w:rsidRDefault="00E7707C" w:rsidP="00E7707C">
            <w:pPr>
              <w:pStyle w:val="Body"/>
              <w:rPr>
                <w:rFonts w:ascii="Arial" w:hAnsi="Arial" w:cs="Arial"/>
                <w:iCs/>
              </w:rPr>
            </w:pPr>
            <w:r w:rsidRPr="00E7707C">
              <w:rPr>
                <w:rFonts w:ascii="Arial" w:hAnsi="Arial" w:cs="Arial"/>
                <w:iCs/>
              </w:rPr>
              <w:t>0.923 ns</w:t>
            </w:r>
          </w:p>
        </w:tc>
        <w:tc>
          <w:tcPr>
            <w:tcW w:w="1205" w:type="dxa"/>
            <w:tcBorders>
              <w:top w:val="single" w:sz="4" w:space="0" w:color="auto"/>
            </w:tcBorders>
            <w:tcMar>
              <w:top w:w="0" w:type="dxa"/>
              <w:left w:w="100" w:type="dxa"/>
              <w:bottom w:w="0" w:type="dxa"/>
              <w:right w:w="100" w:type="dxa"/>
            </w:tcMar>
            <w:vAlign w:val="center"/>
          </w:tcPr>
          <w:p w14:paraId="297C5E99" w14:textId="77777777" w:rsidR="00E7707C" w:rsidRPr="00E7707C" w:rsidRDefault="00E7707C" w:rsidP="00E7707C">
            <w:pPr>
              <w:pStyle w:val="Body"/>
              <w:rPr>
                <w:rFonts w:ascii="Arial" w:hAnsi="Arial" w:cs="Arial"/>
                <w:iCs/>
              </w:rPr>
            </w:pPr>
            <w:r w:rsidRPr="00E7707C">
              <w:rPr>
                <w:rFonts w:ascii="Arial" w:hAnsi="Arial" w:cs="Arial"/>
                <w:iCs/>
              </w:rPr>
              <w:t>0.314 ns</w:t>
            </w:r>
          </w:p>
        </w:tc>
        <w:tc>
          <w:tcPr>
            <w:tcW w:w="1205" w:type="dxa"/>
            <w:tcBorders>
              <w:top w:val="single" w:sz="4" w:space="0" w:color="auto"/>
            </w:tcBorders>
            <w:tcMar>
              <w:top w:w="0" w:type="dxa"/>
              <w:left w:w="100" w:type="dxa"/>
              <w:bottom w:w="0" w:type="dxa"/>
              <w:right w:w="100" w:type="dxa"/>
            </w:tcMar>
            <w:vAlign w:val="center"/>
          </w:tcPr>
          <w:p w14:paraId="2345DC7D" w14:textId="77777777" w:rsidR="00E7707C" w:rsidRPr="00E7707C" w:rsidRDefault="00E7707C" w:rsidP="00E7707C">
            <w:pPr>
              <w:pStyle w:val="Body"/>
              <w:rPr>
                <w:rFonts w:ascii="Arial" w:hAnsi="Arial" w:cs="Arial"/>
                <w:iCs/>
              </w:rPr>
            </w:pPr>
            <w:r w:rsidRPr="00E7707C">
              <w:rPr>
                <w:rFonts w:ascii="Arial" w:hAnsi="Arial" w:cs="Arial"/>
                <w:iCs/>
              </w:rPr>
              <w:t>0.547 ns</w:t>
            </w:r>
          </w:p>
        </w:tc>
        <w:tc>
          <w:tcPr>
            <w:tcW w:w="1205" w:type="dxa"/>
            <w:tcBorders>
              <w:top w:val="single" w:sz="4" w:space="0" w:color="auto"/>
            </w:tcBorders>
            <w:tcMar>
              <w:top w:w="0" w:type="dxa"/>
              <w:left w:w="100" w:type="dxa"/>
              <w:bottom w:w="0" w:type="dxa"/>
              <w:right w:w="100" w:type="dxa"/>
            </w:tcMar>
            <w:vAlign w:val="center"/>
          </w:tcPr>
          <w:p w14:paraId="4A287722" w14:textId="77777777" w:rsidR="00E7707C" w:rsidRPr="00E7707C" w:rsidRDefault="00E7707C" w:rsidP="00E7707C">
            <w:pPr>
              <w:pStyle w:val="Body"/>
              <w:rPr>
                <w:rFonts w:ascii="Arial" w:hAnsi="Arial" w:cs="Arial"/>
                <w:iCs/>
              </w:rPr>
            </w:pPr>
            <w:r w:rsidRPr="00E7707C">
              <w:rPr>
                <w:rFonts w:ascii="Arial" w:hAnsi="Arial" w:cs="Arial"/>
                <w:iCs/>
              </w:rPr>
              <w:t>0.046*</w:t>
            </w:r>
          </w:p>
        </w:tc>
        <w:tc>
          <w:tcPr>
            <w:tcW w:w="1205" w:type="dxa"/>
            <w:tcBorders>
              <w:top w:val="single" w:sz="4" w:space="0" w:color="auto"/>
            </w:tcBorders>
            <w:vAlign w:val="center"/>
          </w:tcPr>
          <w:p w14:paraId="0D6F3762" w14:textId="77777777" w:rsidR="00E7707C" w:rsidRPr="00E7707C" w:rsidRDefault="00E7707C" w:rsidP="00E7707C">
            <w:pPr>
              <w:pStyle w:val="Body"/>
              <w:rPr>
                <w:rFonts w:ascii="Arial" w:hAnsi="Arial" w:cs="Arial"/>
                <w:iCs/>
              </w:rPr>
            </w:pPr>
            <w:r w:rsidRPr="00E7707C">
              <w:rPr>
                <w:rFonts w:ascii="Arial" w:hAnsi="Arial" w:cs="Arial"/>
                <w:iCs/>
              </w:rPr>
              <w:t>0.001**</w:t>
            </w:r>
          </w:p>
        </w:tc>
      </w:tr>
      <w:tr w:rsidR="00E7707C" w:rsidRPr="00E7707C" w14:paraId="637DB231" w14:textId="77777777" w:rsidTr="007F23F8">
        <w:trPr>
          <w:trHeight w:val="300"/>
          <w:jc w:val="center"/>
        </w:trPr>
        <w:tc>
          <w:tcPr>
            <w:tcW w:w="2127" w:type="dxa"/>
            <w:tcMar>
              <w:top w:w="0" w:type="dxa"/>
              <w:left w:w="100" w:type="dxa"/>
              <w:bottom w:w="0" w:type="dxa"/>
              <w:right w:w="100" w:type="dxa"/>
            </w:tcMar>
            <w:vAlign w:val="center"/>
          </w:tcPr>
          <w:p w14:paraId="3873767A" w14:textId="77777777" w:rsidR="00E7707C" w:rsidRPr="00B01FE4" w:rsidRDefault="00E7707C" w:rsidP="00E7707C">
            <w:pPr>
              <w:pStyle w:val="Body"/>
              <w:rPr>
                <w:rFonts w:ascii="Arial" w:hAnsi="Arial" w:cs="Arial"/>
                <w:bCs/>
                <w:iCs/>
              </w:rPr>
            </w:pPr>
            <w:r w:rsidRPr="00B01FE4">
              <w:rPr>
                <w:rFonts w:ascii="Arial" w:hAnsi="Arial" w:cs="Arial"/>
                <w:bCs/>
                <w:iCs/>
              </w:rPr>
              <w:t>HD</w:t>
            </w:r>
          </w:p>
        </w:tc>
        <w:tc>
          <w:tcPr>
            <w:tcW w:w="1205" w:type="dxa"/>
            <w:tcMar>
              <w:top w:w="0" w:type="dxa"/>
              <w:left w:w="100" w:type="dxa"/>
              <w:bottom w:w="0" w:type="dxa"/>
              <w:right w:w="100" w:type="dxa"/>
            </w:tcMar>
            <w:vAlign w:val="center"/>
          </w:tcPr>
          <w:p w14:paraId="40950135" w14:textId="77777777" w:rsidR="00E7707C" w:rsidRPr="00E7707C" w:rsidRDefault="00E7707C" w:rsidP="00E7707C">
            <w:pPr>
              <w:pStyle w:val="Body"/>
              <w:rPr>
                <w:rFonts w:ascii="Arial" w:hAnsi="Arial" w:cs="Arial"/>
                <w:iCs/>
              </w:rPr>
            </w:pPr>
            <w:r w:rsidRPr="00E7707C">
              <w:rPr>
                <w:rFonts w:ascii="Arial" w:hAnsi="Arial" w:cs="Arial"/>
                <w:iCs/>
              </w:rPr>
              <w:t>0.001**</w:t>
            </w:r>
          </w:p>
        </w:tc>
        <w:tc>
          <w:tcPr>
            <w:tcW w:w="1205" w:type="dxa"/>
            <w:tcMar>
              <w:top w:w="0" w:type="dxa"/>
              <w:left w:w="100" w:type="dxa"/>
              <w:bottom w:w="0" w:type="dxa"/>
              <w:right w:w="100" w:type="dxa"/>
            </w:tcMar>
            <w:vAlign w:val="center"/>
          </w:tcPr>
          <w:p w14:paraId="2F5C34C2" w14:textId="77777777" w:rsidR="00E7707C" w:rsidRPr="00E7707C" w:rsidRDefault="00E7707C" w:rsidP="00E7707C">
            <w:pPr>
              <w:pStyle w:val="Body"/>
              <w:rPr>
                <w:rFonts w:ascii="Arial" w:hAnsi="Arial" w:cs="Arial"/>
                <w:iCs/>
              </w:rPr>
            </w:pPr>
            <w:r w:rsidRPr="00E7707C">
              <w:rPr>
                <w:rFonts w:ascii="Arial" w:hAnsi="Arial" w:cs="Arial"/>
                <w:iCs/>
              </w:rPr>
              <w:t>0.143 ns</w:t>
            </w:r>
          </w:p>
        </w:tc>
        <w:tc>
          <w:tcPr>
            <w:tcW w:w="1205" w:type="dxa"/>
            <w:tcMar>
              <w:top w:w="0" w:type="dxa"/>
              <w:left w:w="100" w:type="dxa"/>
              <w:bottom w:w="0" w:type="dxa"/>
              <w:right w:w="100" w:type="dxa"/>
            </w:tcMar>
            <w:vAlign w:val="center"/>
          </w:tcPr>
          <w:p w14:paraId="7F60BC88" w14:textId="77777777" w:rsidR="00E7707C" w:rsidRPr="00E7707C" w:rsidRDefault="00E7707C" w:rsidP="00E7707C">
            <w:pPr>
              <w:pStyle w:val="Body"/>
              <w:rPr>
                <w:rFonts w:ascii="Arial" w:hAnsi="Arial" w:cs="Arial"/>
                <w:iCs/>
              </w:rPr>
            </w:pPr>
            <w:r w:rsidRPr="00E7707C">
              <w:rPr>
                <w:rFonts w:ascii="Arial" w:hAnsi="Arial" w:cs="Arial"/>
                <w:iCs/>
              </w:rPr>
              <w:t>0.017*</w:t>
            </w:r>
          </w:p>
        </w:tc>
        <w:tc>
          <w:tcPr>
            <w:tcW w:w="1205" w:type="dxa"/>
            <w:tcMar>
              <w:top w:w="0" w:type="dxa"/>
              <w:left w:w="100" w:type="dxa"/>
              <w:bottom w:w="0" w:type="dxa"/>
              <w:right w:w="100" w:type="dxa"/>
            </w:tcMar>
            <w:vAlign w:val="center"/>
          </w:tcPr>
          <w:p w14:paraId="3D2DA73D" w14:textId="77777777" w:rsidR="00E7707C" w:rsidRPr="00E7707C" w:rsidRDefault="00E7707C" w:rsidP="00E7707C">
            <w:pPr>
              <w:pStyle w:val="Body"/>
              <w:rPr>
                <w:rFonts w:ascii="Arial" w:hAnsi="Arial" w:cs="Arial"/>
                <w:iCs/>
              </w:rPr>
            </w:pPr>
            <w:r w:rsidRPr="00E7707C">
              <w:rPr>
                <w:rFonts w:ascii="Arial" w:hAnsi="Arial" w:cs="Arial"/>
                <w:iCs/>
              </w:rPr>
              <w:t>0.001**</w:t>
            </w:r>
          </w:p>
        </w:tc>
        <w:tc>
          <w:tcPr>
            <w:tcW w:w="1205" w:type="dxa"/>
            <w:tcMar>
              <w:top w:w="0" w:type="dxa"/>
              <w:left w:w="100" w:type="dxa"/>
              <w:bottom w:w="0" w:type="dxa"/>
              <w:right w:w="100" w:type="dxa"/>
            </w:tcMar>
            <w:vAlign w:val="center"/>
          </w:tcPr>
          <w:p w14:paraId="1B75B67D" w14:textId="77777777" w:rsidR="00E7707C" w:rsidRPr="00E7707C" w:rsidRDefault="00E7707C" w:rsidP="00E7707C">
            <w:pPr>
              <w:pStyle w:val="Body"/>
              <w:rPr>
                <w:rFonts w:ascii="Arial" w:hAnsi="Arial" w:cs="Arial"/>
                <w:iCs/>
              </w:rPr>
            </w:pPr>
            <w:r w:rsidRPr="00E7707C">
              <w:rPr>
                <w:rFonts w:ascii="Arial" w:hAnsi="Arial" w:cs="Arial"/>
                <w:iCs/>
              </w:rPr>
              <w:t>0.001**</w:t>
            </w:r>
          </w:p>
        </w:tc>
        <w:tc>
          <w:tcPr>
            <w:tcW w:w="1205" w:type="dxa"/>
            <w:vAlign w:val="center"/>
          </w:tcPr>
          <w:p w14:paraId="0DE69F66" w14:textId="77777777" w:rsidR="00E7707C" w:rsidRPr="00E7707C" w:rsidRDefault="00E7707C" w:rsidP="00E7707C">
            <w:pPr>
              <w:pStyle w:val="Body"/>
              <w:rPr>
                <w:rFonts w:ascii="Arial" w:hAnsi="Arial" w:cs="Arial"/>
                <w:iCs/>
              </w:rPr>
            </w:pPr>
            <w:r w:rsidRPr="00E7707C">
              <w:rPr>
                <w:rFonts w:ascii="Arial" w:hAnsi="Arial" w:cs="Arial"/>
                <w:iCs/>
              </w:rPr>
              <w:t>0.017*</w:t>
            </w:r>
          </w:p>
        </w:tc>
      </w:tr>
      <w:tr w:rsidR="00E7707C" w:rsidRPr="00E7707C" w14:paraId="3AB78125" w14:textId="77777777" w:rsidTr="007F23F8">
        <w:trPr>
          <w:trHeight w:val="300"/>
          <w:jc w:val="center"/>
        </w:trPr>
        <w:tc>
          <w:tcPr>
            <w:tcW w:w="2127" w:type="dxa"/>
            <w:tcBorders>
              <w:bottom w:val="dashed" w:sz="4" w:space="0" w:color="auto"/>
            </w:tcBorders>
            <w:tcMar>
              <w:top w:w="0" w:type="dxa"/>
              <w:left w:w="100" w:type="dxa"/>
              <w:bottom w:w="0" w:type="dxa"/>
              <w:right w:w="100" w:type="dxa"/>
            </w:tcMar>
            <w:vAlign w:val="center"/>
          </w:tcPr>
          <w:p w14:paraId="6829ED19" w14:textId="77777777" w:rsidR="00E7707C" w:rsidRPr="00B01FE4" w:rsidRDefault="00E7707C" w:rsidP="00E7707C">
            <w:pPr>
              <w:pStyle w:val="Body"/>
              <w:rPr>
                <w:rFonts w:ascii="Arial" w:hAnsi="Arial" w:cs="Arial"/>
                <w:bCs/>
                <w:iCs/>
              </w:rPr>
            </w:pPr>
            <w:r w:rsidRPr="00B01FE4">
              <w:rPr>
                <w:rFonts w:ascii="Arial" w:hAnsi="Arial" w:cs="Arial"/>
                <w:bCs/>
                <w:iCs/>
              </w:rPr>
              <w:t>FR × HD</w:t>
            </w:r>
          </w:p>
        </w:tc>
        <w:tc>
          <w:tcPr>
            <w:tcW w:w="1205" w:type="dxa"/>
            <w:tcBorders>
              <w:bottom w:val="dashed" w:sz="4" w:space="0" w:color="auto"/>
            </w:tcBorders>
            <w:tcMar>
              <w:top w:w="0" w:type="dxa"/>
              <w:left w:w="100" w:type="dxa"/>
              <w:bottom w:w="0" w:type="dxa"/>
              <w:right w:w="100" w:type="dxa"/>
            </w:tcMar>
            <w:vAlign w:val="center"/>
          </w:tcPr>
          <w:p w14:paraId="2B79B61E" w14:textId="77777777" w:rsidR="00E7707C" w:rsidRPr="00E7707C" w:rsidRDefault="00E7707C" w:rsidP="00E7707C">
            <w:pPr>
              <w:pStyle w:val="Body"/>
              <w:rPr>
                <w:rFonts w:ascii="Arial" w:hAnsi="Arial" w:cs="Arial"/>
                <w:iCs/>
              </w:rPr>
            </w:pPr>
            <w:r w:rsidRPr="00E7707C">
              <w:rPr>
                <w:rFonts w:ascii="Arial" w:hAnsi="Arial" w:cs="Arial"/>
                <w:iCs/>
              </w:rPr>
              <w:t>1.00 ns</w:t>
            </w:r>
          </w:p>
        </w:tc>
        <w:tc>
          <w:tcPr>
            <w:tcW w:w="1205" w:type="dxa"/>
            <w:tcBorders>
              <w:bottom w:val="dashed" w:sz="4" w:space="0" w:color="auto"/>
            </w:tcBorders>
            <w:tcMar>
              <w:top w:w="0" w:type="dxa"/>
              <w:left w:w="100" w:type="dxa"/>
              <w:bottom w:w="0" w:type="dxa"/>
              <w:right w:w="100" w:type="dxa"/>
            </w:tcMar>
            <w:vAlign w:val="center"/>
          </w:tcPr>
          <w:p w14:paraId="774C7529" w14:textId="77777777" w:rsidR="00E7707C" w:rsidRPr="00E7707C" w:rsidRDefault="00E7707C" w:rsidP="00E7707C">
            <w:pPr>
              <w:pStyle w:val="Body"/>
              <w:rPr>
                <w:rFonts w:ascii="Arial" w:hAnsi="Arial" w:cs="Arial"/>
                <w:iCs/>
              </w:rPr>
            </w:pPr>
            <w:r w:rsidRPr="00E7707C">
              <w:rPr>
                <w:rFonts w:ascii="Arial" w:hAnsi="Arial" w:cs="Arial"/>
                <w:iCs/>
              </w:rPr>
              <w:t>0.455 ns</w:t>
            </w:r>
          </w:p>
        </w:tc>
        <w:tc>
          <w:tcPr>
            <w:tcW w:w="1205" w:type="dxa"/>
            <w:tcBorders>
              <w:bottom w:val="dashed" w:sz="4" w:space="0" w:color="auto"/>
            </w:tcBorders>
            <w:tcMar>
              <w:top w:w="0" w:type="dxa"/>
              <w:left w:w="100" w:type="dxa"/>
              <w:bottom w:w="0" w:type="dxa"/>
              <w:right w:w="100" w:type="dxa"/>
            </w:tcMar>
            <w:vAlign w:val="center"/>
          </w:tcPr>
          <w:p w14:paraId="4B37A50C" w14:textId="77777777" w:rsidR="00E7707C" w:rsidRPr="00E7707C" w:rsidRDefault="00E7707C" w:rsidP="00E7707C">
            <w:pPr>
              <w:pStyle w:val="Body"/>
              <w:rPr>
                <w:rFonts w:ascii="Arial" w:hAnsi="Arial" w:cs="Arial"/>
                <w:iCs/>
              </w:rPr>
            </w:pPr>
            <w:r w:rsidRPr="00E7707C">
              <w:rPr>
                <w:rFonts w:ascii="Arial" w:hAnsi="Arial" w:cs="Arial"/>
                <w:iCs/>
              </w:rPr>
              <w:t>0.096 ns</w:t>
            </w:r>
          </w:p>
        </w:tc>
        <w:tc>
          <w:tcPr>
            <w:tcW w:w="1205" w:type="dxa"/>
            <w:tcBorders>
              <w:bottom w:val="dashed" w:sz="4" w:space="0" w:color="auto"/>
            </w:tcBorders>
            <w:tcMar>
              <w:top w:w="0" w:type="dxa"/>
              <w:left w:w="100" w:type="dxa"/>
              <w:bottom w:w="0" w:type="dxa"/>
              <w:right w:w="100" w:type="dxa"/>
            </w:tcMar>
            <w:vAlign w:val="center"/>
          </w:tcPr>
          <w:p w14:paraId="30C3A0A4" w14:textId="77777777" w:rsidR="00E7707C" w:rsidRPr="00E7707C" w:rsidRDefault="00E7707C" w:rsidP="00E7707C">
            <w:pPr>
              <w:pStyle w:val="Body"/>
              <w:rPr>
                <w:rFonts w:ascii="Arial" w:hAnsi="Arial" w:cs="Arial"/>
                <w:iCs/>
              </w:rPr>
            </w:pPr>
            <w:r w:rsidRPr="00E7707C">
              <w:rPr>
                <w:rFonts w:ascii="Arial" w:hAnsi="Arial" w:cs="Arial"/>
                <w:iCs/>
              </w:rPr>
              <w:t>0.003**</w:t>
            </w:r>
          </w:p>
        </w:tc>
        <w:tc>
          <w:tcPr>
            <w:tcW w:w="1205" w:type="dxa"/>
            <w:tcBorders>
              <w:bottom w:val="dashed" w:sz="4" w:space="0" w:color="auto"/>
            </w:tcBorders>
            <w:tcMar>
              <w:top w:w="0" w:type="dxa"/>
              <w:left w:w="100" w:type="dxa"/>
              <w:bottom w:w="0" w:type="dxa"/>
              <w:right w:w="100" w:type="dxa"/>
            </w:tcMar>
            <w:vAlign w:val="center"/>
          </w:tcPr>
          <w:p w14:paraId="5BF680E7" w14:textId="77777777" w:rsidR="00E7707C" w:rsidRPr="00E7707C" w:rsidRDefault="00E7707C" w:rsidP="00E7707C">
            <w:pPr>
              <w:pStyle w:val="Body"/>
              <w:rPr>
                <w:rFonts w:ascii="Arial" w:hAnsi="Arial" w:cs="Arial"/>
                <w:iCs/>
              </w:rPr>
            </w:pPr>
            <w:r w:rsidRPr="00E7707C">
              <w:rPr>
                <w:rFonts w:ascii="Arial" w:hAnsi="Arial" w:cs="Arial"/>
                <w:iCs/>
              </w:rPr>
              <w:t>0.027*</w:t>
            </w:r>
          </w:p>
        </w:tc>
        <w:tc>
          <w:tcPr>
            <w:tcW w:w="1205" w:type="dxa"/>
            <w:tcBorders>
              <w:bottom w:val="dashed" w:sz="4" w:space="0" w:color="auto"/>
            </w:tcBorders>
            <w:vAlign w:val="center"/>
          </w:tcPr>
          <w:p w14:paraId="1ABC0925" w14:textId="77777777" w:rsidR="00E7707C" w:rsidRPr="00E7707C" w:rsidRDefault="00E7707C" w:rsidP="00E7707C">
            <w:pPr>
              <w:pStyle w:val="Body"/>
              <w:rPr>
                <w:rFonts w:ascii="Arial" w:hAnsi="Arial" w:cs="Arial"/>
                <w:iCs/>
              </w:rPr>
            </w:pPr>
            <w:r w:rsidRPr="00E7707C">
              <w:rPr>
                <w:rFonts w:ascii="Arial" w:hAnsi="Arial" w:cs="Arial"/>
                <w:iCs/>
              </w:rPr>
              <w:t>0.096</w:t>
            </w:r>
          </w:p>
        </w:tc>
      </w:tr>
      <w:tr w:rsidR="00E7707C" w:rsidRPr="00E7707C" w14:paraId="623677FF" w14:textId="77777777" w:rsidTr="007F23F8">
        <w:trPr>
          <w:trHeight w:val="300"/>
          <w:jc w:val="center"/>
        </w:trPr>
        <w:tc>
          <w:tcPr>
            <w:tcW w:w="2127" w:type="dxa"/>
            <w:tcBorders>
              <w:top w:val="dashed" w:sz="4" w:space="0" w:color="auto"/>
            </w:tcBorders>
            <w:tcMar>
              <w:top w:w="0" w:type="dxa"/>
              <w:left w:w="100" w:type="dxa"/>
              <w:bottom w:w="0" w:type="dxa"/>
              <w:right w:w="100" w:type="dxa"/>
            </w:tcMar>
            <w:vAlign w:val="center"/>
          </w:tcPr>
          <w:p w14:paraId="2CE244D4" w14:textId="77777777" w:rsidR="00E7707C" w:rsidRPr="00B01FE4" w:rsidRDefault="00E7707C" w:rsidP="00E7707C">
            <w:pPr>
              <w:pStyle w:val="Body"/>
              <w:rPr>
                <w:rFonts w:ascii="Arial" w:hAnsi="Arial" w:cs="Arial"/>
                <w:bCs/>
                <w:iCs/>
              </w:rPr>
            </w:pPr>
            <w:r w:rsidRPr="00B01FE4">
              <w:rPr>
                <w:rFonts w:ascii="Arial" w:hAnsi="Arial" w:cs="Arial"/>
                <w:bCs/>
                <w:iCs/>
              </w:rPr>
              <w:t>R</w:t>
            </w:r>
            <w:r w:rsidRPr="00B01FE4">
              <w:rPr>
                <w:rFonts w:ascii="Arial" w:hAnsi="Arial" w:cs="Arial"/>
                <w:bCs/>
                <w:iCs/>
                <w:vertAlign w:val="superscript"/>
              </w:rPr>
              <w:t>2</w:t>
            </w:r>
          </w:p>
        </w:tc>
        <w:tc>
          <w:tcPr>
            <w:tcW w:w="1205" w:type="dxa"/>
            <w:tcBorders>
              <w:top w:val="dashed" w:sz="4" w:space="0" w:color="auto"/>
            </w:tcBorders>
            <w:tcMar>
              <w:top w:w="0" w:type="dxa"/>
              <w:left w:w="100" w:type="dxa"/>
              <w:bottom w:w="0" w:type="dxa"/>
              <w:right w:w="100" w:type="dxa"/>
            </w:tcMar>
            <w:vAlign w:val="center"/>
          </w:tcPr>
          <w:p w14:paraId="7F77516D" w14:textId="77777777" w:rsidR="00E7707C" w:rsidRPr="00E7707C" w:rsidRDefault="00E7707C" w:rsidP="00E7707C">
            <w:pPr>
              <w:pStyle w:val="Body"/>
              <w:rPr>
                <w:rFonts w:ascii="Arial" w:hAnsi="Arial" w:cs="Arial"/>
                <w:iCs/>
              </w:rPr>
            </w:pPr>
            <w:r w:rsidRPr="00E7707C">
              <w:rPr>
                <w:rFonts w:ascii="Arial" w:hAnsi="Arial" w:cs="Arial"/>
                <w:iCs/>
              </w:rPr>
              <w:t>0.98</w:t>
            </w:r>
          </w:p>
        </w:tc>
        <w:tc>
          <w:tcPr>
            <w:tcW w:w="1205" w:type="dxa"/>
            <w:tcBorders>
              <w:top w:val="dashed" w:sz="4" w:space="0" w:color="auto"/>
            </w:tcBorders>
            <w:tcMar>
              <w:top w:w="0" w:type="dxa"/>
              <w:left w:w="100" w:type="dxa"/>
              <w:bottom w:w="0" w:type="dxa"/>
              <w:right w:w="100" w:type="dxa"/>
            </w:tcMar>
            <w:vAlign w:val="center"/>
          </w:tcPr>
          <w:p w14:paraId="1F7BCFB1" w14:textId="77777777" w:rsidR="00E7707C" w:rsidRPr="00E7707C" w:rsidRDefault="00E7707C" w:rsidP="00E7707C">
            <w:pPr>
              <w:pStyle w:val="Body"/>
              <w:rPr>
                <w:rFonts w:ascii="Arial" w:hAnsi="Arial" w:cs="Arial"/>
                <w:iCs/>
              </w:rPr>
            </w:pPr>
            <w:r w:rsidRPr="00E7707C">
              <w:rPr>
                <w:rFonts w:ascii="Arial" w:hAnsi="Arial" w:cs="Arial"/>
                <w:iCs/>
              </w:rPr>
              <w:t>0.98</w:t>
            </w:r>
          </w:p>
        </w:tc>
        <w:tc>
          <w:tcPr>
            <w:tcW w:w="1205" w:type="dxa"/>
            <w:tcBorders>
              <w:top w:val="dashed" w:sz="4" w:space="0" w:color="auto"/>
            </w:tcBorders>
            <w:tcMar>
              <w:top w:w="0" w:type="dxa"/>
              <w:left w:w="100" w:type="dxa"/>
              <w:bottom w:w="0" w:type="dxa"/>
              <w:right w:w="100" w:type="dxa"/>
            </w:tcMar>
            <w:vAlign w:val="center"/>
          </w:tcPr>
          <w:p w14:paraId="6BDB6DF9" w14:textId="77777777" w:rsidR="00E7707C" w:rsidRPr="00E7707C" w:rsidRDefault="00E7707C" w:rsidP="00E7707C">
            <w:pPr>
              <w:pStyle w:val="Body"/>
              <w:rPr>
                <w:rFonts w:ascii="Arial" w:hAnsi="Arial" w:cs="Arial"/>
                <w:iCs/>
              </w:rPr>
            </w:pPr>
            <w:r w:rsidRPr="00E7707C">
              <w:rPr>
                <w:rFonts w:ascii="Arial" w:hAnsi="Arial" w:cs="Arial"/>
                <w:iCs/>
              </w:rPr>
              <w:t>0.95</w:t>
            </w:r>
          </w:p>
        </w:tc>
        <w:tc>
          <w:tcPr>
            <w:tcW w:w="1205" w:type="dxa"/>
            <w:tcBorders>
              <w:top w:val="dashed" w:sz="4" w:space="0" w:color="auto"/>
            </w:tcBorders>
            <w:tcMar>
              <w:top w:w="0" w:type="dxa"/>
              <w:left w:w="100" w:type="dxa"/>
              <w:bottom w:w="0" w:type="dxa"/>
              <w:right w:w="100" w:type="dxa"/>
            </w:tcMar>
            <w:vAlign w:val="center"/>
          </w:tcPr>
          <w:p w14:paraId="5C16DDE5" w14:textId="77777777" w:rsidR="00E7707C" w:rsidRPr="00E7707C" w:rsidRDefault="00E7707C" w:rsidP="00E7707C">
            <w:pPr>
              <w:pStyle w:val="Body"/>
              <w:rPr>
                <w:rFonts w:ascii="Arial" w:hAnsi="Arial" w:cs="Arial"/>
                <w:iCs/>
              </w:rPr>
            </w:pPr>
            <w:r w:rsidRPr="00E7707C">
              <w:rPr>
                <w:rFonts w:ascii="Arial" w:hAnsi="Arial" w:cs="Arial"/>
                <w:iCs/>
              </w:rPr>
              <w:t>0.99</w:t>
            </w:r>
          </w:p>
        </w:tc>
        <w:tc>
          <w:tcPr>
            <w:tcW w:w="1205" w:type="dxa"/>
            <w:tcBorders>
              <w:top w:val="dashed" w:sz="4" w:space="0" w:color="auto"/>
            </w:tcBorders>
            <w:tcMar>
              <w:top w:w="0" w:type="dxa"/>
              <w:left w:w="100" w:type="dxa"/>
              <w:bottom w:w="0" w:type="dxa"/>
              <w:right w:w="100" w:type="dxa"/>
            </w:tcMar>
            <w:vAlign w:val="center"/>
          </w:tcPr>
          <w:p w14:paraId="744B7E84" w14:textId="77777777" w:rsidR="00E7707C" w:rsidRPr="00E7707C" w:rsidRDefault="00E7707C" w:rsidP="00E7707C">
            <w:pPr>
              <w:pStyle w:val="Body"/>
              <w:rPr>
                <w:rFonts w:ascii="Arial" w:hAnsi="Arial" w:cs="Arial"/>
                <w:iCs/>
              </w:rPr>
            </w:pPr>
            <w:r w:rsidRPr="00E7707C">
              <w:rPr>
                <w:rFonts w:ascii="Arial" w:hAnsi="Arial" w:cs="Arial"/>
                <w:iCs/>
              </w:rPr>
              <w:t>0.99</w:t>
            </w:r>
          </w:p>
        </w:tc>
        <w:tc>
          <w:tcPr>
            <w:tcW w:w="1205" w:type="dxa"/>
            <w:tcBorders>
              <w:top w:val="dashed" w:sz="4" w:space="0" w:color="auto"/>
            </w:tcBorders>
            <w:vAlign w:val="center"/>
          </w:tcPr>
          <w:p w14:paraId="0F41967A" w14:textId="77777777" w:rsidR="00E7707C" w:rsidRPr="00E7707C" w:rsidRDefault="00E7707C" w:rsidP="00E7707C">
            <w:pPr>
              <w:pStyle w:val="Body"/>
              <w:rPr>
                <w:rFonts w:ascii="Arial" w:hAnsi="Arial" w:cs="Arial"/>
                <w:iCs/>
              </w:rPr>
            </w:pPr>
            <w:r w:rsidRPr="00E7707C">
              <w:rPr>
                <w:rFonts w:ascii="Arial" w:hAnsi="Arial" w:cs="Arial"/>
                <w:iCs/>
              </w:rPr>
              <w:t>0.89</w:t>
            </w:r>
          </w:p>
        </w:tc>
      </w:tr>
      <w:tr w:rsidR="00E7707C" w:rsidRPr="00E7707C" w14:paraId="6F9442C6" w14:textId="77777777" w:rsidTr="007F23F8">
        <w:trPr>
          <w:trHeight w:val="300"/>
          <w:jc w:val="center"/>
        </w:trPr>
        <w:tc>
          <w:tcPr>
            <w:tcW w:w="2127" w:type="dxa"/>
            <w:tcBorders>
              <w:bottom w:val="single" w:sz="4" w:space="0" w:color="auto"/>
            </w:tcBorders>
            <w:tcMar>
              <w:top w:w="0" w:type="dxa"/>
              <w:left w:w="100" w:type="dxa"/>
              <w:bottom w:w="0" w:type="dxa"/>
              <w:right w:w="100" w:type="dxa"/>
            </w:tcMar>
            <w:vAlign w:val="center"/>
          </w:tcPr>
          <w:p w14:paraId="5EA65BE2" w14:textId="77777777" w:rsidR="00E7707C" w:rsidRPr="00B01FE4" w:rsidRDefault="00E7707C" w:rsidP="00E7707C">
            <w:pPr>
              <w:pStyle w:val="Body"/>
              <w:rPr>
                <w:rFonts w:ascii="Arial" w:hAnsi="Arial" w:cs="Arial"/>
                <w:bCs/>
                <w:iCs/>
              </w:rPr>
            </w:pPr>
            <w:r w:rsidRPr="00B01FE4">
              <w:rPr>
                <w:rFonts w:ascii="Arial" w:hAnsi="Arial" w:cs="Arial"/>
                <w:bCs/>
                <w:iCs/>
              </w:rPr>
              <w:t>CV (%)</w:t>
            </w:r>
          </w:p>
        </w:tc>
        <w:tc>
          <w:tcPr>
            <w:tcW w:w="1205" w:type="dxa"/>
            <w:tcBorders>
              <w:bottom w:val="single" w:sz="4" w:space="0" w:color="auto"/>
            </w:tcBorders>
            <w:tcMar>
              <w:top w:w="0" w:type="dxa"/>
              <w:left w:w="100" w:type="dxa"/>
              <w:bottom w:w="0" w:type="dxa"/>
              <w:right w:w="100" w:type="dxa"/>
            </w:tcMar>
            <w:vAlign w:val="center"/>
          </w:tcPr>
          <w:p w14:paraId="2F1FDCAC" w14:textId="77777777" w:rsidR="00E7707C" w:rsidRPr="00E7707C" w:rsidRDefault="00E7707C" w:rsidP="00E7707C">
            <w:pPr>
              <w:pStyle w:val="Body"/>
              <w:rPr>
                <w:rFonts w:ascii="Arial" w:hAnsi="Arial" w:cs="Arial"/>
                <w:iCs/>
              </w:rPr>
            </w:pPr>
            <w:r w:rsidRPr="00E7707C">
              <w:rPr>
                <w:rFonts w:ascii="Arial" w:hAnsi="Arial" w:cs="Arial"/>
                <w:iCs/>
              </w:rPr>
              <w:t>8.50</w:t>
            </w:r>
          </w:p>
        </w:tc>
        <w:tc>
          <w:tcPr>
            <w:tcW w:w="1205" w:type="dxa"/>
            <w:tcBorders>
              <w:bottom w:val="single" w:sz="4" w:space="0" w:color="auto"/>
            </w:tcBorders>
            <w:tcMar>
              <w:top w:w="0" w:type="dxa"/>
              <w:left w:w="100" w:type="dxa"/>
              <w:bottom w:w="0" w:type="dxa"/>
              <w:right w:w="100" w:type="dxa"/>
            </w:tcMar>
            <w:vAlign w:val="center"/>
          </w:tcPr>
          <w:p w14:paraId="746177B7" w14:textId="77777777" w:rsidR="00E7707C" w:rsidRPr="00E7707C" w:rsidRDefault="00E7707C" w:rsidP="00E7707C">
            <w:pPr>
              <w:pStyle w:val="Body"/>
              <w:rPr>
                <w:rFonts w:ascii="Arial" w:hAnsi="Arial" w:cs="Arial"/>
                <w:iCs/>
              </w:rPr>
            </w:pPr>
            <w:r w:rsidRPr="00E7707C">
              <w:rPr>
                <w:rFonts w:ascii="Arial" w:hAnsi="Arial" w:cs="Arial"/>
                <w:iCs/>
              </w:rPr>
              <w:t>7.41</w:t>
            </w:r>
          </w:p>
        </w:tc>
        <w:tc>
          <w:tcPr>
            <w:tcW w:w="1205" w:type="dxa"/>
            <w:tcBorders>
              <w:bottom w:val="single" w:sz="4" w:space="0" w:color="auto"/>
            </w:tcBorders>
            <w:tcMar>
              <w:top w:w="0" w:type="dxa"/>
              <w:left w:w="100" w:type="dxa"/>
              <w:bottom w:w="0" w:type="dxa"/>
              <w:right w:w="100" w:type="dxa"/>
            </w:tcMar>
            <w:vAlign w:val="center"/>
          </w:tcPr>
          <w:p w14:paraId="5A3AA163" w14:textId="77777777" w:rsidR="00E7707C" w:rsidRPr="00E7707C" w:rsidRDefault="00E7707C" w:rsidP="00E7707C">
            <w:pPr>
              <w:pStyle w:val="Body"/>
              <w:rPr>
                <w:rFonts w:ascii="Arial" w:hAnsi="Arial" w:cs="Arial"/>
                <w:iCs/>
              </w:rPr>
            </w:pPr>
            <w:r w:rsidRPr="00E7707C">
              <w:rPr>
                <w:rFonts w:ascii="Arial" w:hAnsi="Arial" w:cs="Arial"/>
                <w:iCs/>
              </w:rPr>
              <w:t>7.81</w:t>
            </w:r>
          </w:p>
        </w:tc>
        <w:tc>
          <w:tcPr>
            <w:tcW w:w="1205" w:type="dxa"/>
            <w:tcBorders>
              <w:bottom w:val="single" w:sz="4" w:space="0" w:color="auto"/>
            </w:tcBorders>
            <w:tcMar>
              <w:top w:w="0" w:type="dxa"/>
              <w:left w:w="100" w:type="dxa"/>
              <w:bottom w:w="0" w:type="dxa"/>
              <w:right w:w="100" w:type="dxa"/>
            </w:tcMar>
            <w:vAlign w:val="center"/>
          </w:tcPr>
          <w:p w14:paraId="164E4130" w14:textId="77777777" w:rsidR="00E7707C" w:rsidRPr="00E7707C" w:rsidRDefault="00E7707C" w:rsidP="00E7707C">
            <w:pPr>
              <w:pStyle w:val="Body"/>
              <w:rPr>
                <w:rFonts w:ascii="Arial" w:hAnsi="Arial" w:cs="Arial"/>
                <w:iCs/>
              </w:rPr>
            </w:pPr>
            <w:r w:rsidRPr="00E7707C">
              <w:rPr>
                <w:rFonts w:ascii="Arial" w:hAnsi="Arial" w:cs="Arial"/>
                <w:iCs/>
              </w:rPr>
              <w:t>16.71</w:t>
            </w:r>
          </w:p>
        </w:tc>
        <w:tc>
          <w:tcPr>
            <w:tcW w:w="1205" w:type="dxa"/>
            <w:tcBorders>
              <w:bottom w:val="single" w:sz="4" w:space="0" w:color="auto"/>
            </w:tcBorders>
            <w:tcMar>
              <w:top w:w="0" w:type="dxa"/>
              <w:left w:w="100" w:type="dxa"/>
              <w:bottom w:w="0" w:type="dxa"/>
              <w:right w:w="100" w:type="dxa"/>
            </w:tcMar>
            <w:vAlign w:val="center"/>
          </w:tcPr>
          <w:p w14:paraId="53278955" w14:textId="77777777" w:rsidR="00E7707C" w:rsidRPr="00E7707C" w:rsidRDefault="00E7707C" w:rsidP="00E7707C">
            <w:pPr>
              <w:pStyle w:val="Body"/>
              <w:rPr>
                <w:rFonts w:ascii="Arial" w:hAnsi="Arial" w:cs="Arial"/>
                <w:iCs/>
              </w:rPr>
            </w:pPr>
            <w:r w:rsidRPr="00E7707C">
              <w:rPr>
                <w:rFonts w:ascii="Arial" w:hAnsi="Arial" w:cs="Arial"/>
                <w:iCs/>
              </w:rPr>
              <w:t>13.30</w:t>
            </w:r>
          </w:p>
        </w:tc>
        <w:tc>
          <w:tcPr>
            <w:tcW w:w="1205" w:type="dxa"/>
            <w:tcBorders>
              <w:bottom w:val="single" w:sz="4" w:space="0" w:color="auto"/>
            </w:tcBorders>
            <w:vAlign w:val="center"/>
          </w:tcPr>
          <w:p w14:paraId="2ECC52E1" w14:textId="77777777" w:rsidR="00E7707C" w:rsidRPr="00E7707C" w:rsidRDefault="00E7707C" w:rsidP="00E7707C">
            <w:pPr>
              <w:pStyle w:val="Body"/>
              <w:rPr>
                <w:rFonts w:ascii="Arial" w:hAnsi="Arial" w:cs="Arial"/>
                <w:iCs/>
              </w:rPr>
            </w:pPr>
            <w:r w:rsidRPr="00E7707C">
              <w:rPr>
                <w:rFonts w:ascii="Arial" w:hAnsi="Arial" w:cs="Arial"/>
                <w:iCs/>
              </w:rPr>
              <w:t>15.50</w:t>
            </w:r>
          </w:p>
        </w:tc>
      </w:tr>
    </w:tbl>
    <w:p w14:paraId="25D2993F" w14:textId="77777777" w:rsidR="00E7707C" w:rsidRPr="002E5412" w:rsidRDefault="00E7707C" w:rsidP="00B01FE4">
      <w:pPr>
        <w:pStyle w:val="Body"/>
        <w:spacing w:after="0"/>
        <w:rPr>
          <w:rFonts w:ascii="Arial" w:hAnsi="Arial" w:cs="Arial"/>
          <w:i/>
          <w:iCs/>
        </w:rPr>
      </w:pPr>
      <w:r w:rsidRPr="002E5412">
        <w:rPr>
          <w:rFonts w:ascii="Arial" w:hAnsi="Arial" w:cs="Arial"/>
          <w:bCs/>
          <w:i/>
          <w:iCs/>
        </w:rPr>
        <w:t>R</w:t>
      </w:r>
      <w:r w:rsidRPr="002E5412">
        <w:rPr>
          <w:rFonts w:ascii="Arial" w:hAnsi="Arial" w:cs="Arial"/>
          <w:bCs/>
          <w:i/>
          <w:iCs/>
          <w:vertAlign w:val="superscript"/>
        </w:rPr>
        <w:t>2</w:t>
      </w:r>
      <w:r w:rsidRPr="002E5412">
        <w:rPr>
          <w:rFonts w:ascii="Arial" w:hAnsi="Arial" w:cs="Arial"/>
          <w:bCs/>
          <w:i/>
          <w:iCs/>
        </w:rPr>
        <w:t xml:space="preserve">: </w:t>
      </w:r>
      <w:r w:rsidRPr="002E5412">
        <w:rPr>
          <w:rFonts w:ascii="Arial" w:hAnsi="Arial" w:cs="Arial"/>
          <w:i/>
          <w:iCs/>
        </w:rPr>
        <w:t>coefficient of determination.</w:t>
      </w:r>
      <w:r w:rsidRPr="002E5412">
        <w:rPr>
          <w:rFonts w:ascii="Arial" w:hAnsi="Arial" w:cs="Arial"/>
          <w:bCs/>
          <w:i/>
          <w:iCs/>
        </w:rPr>
        <w:t xml:space="preserve"> CV (%): </w:t>
      </w:r>
      <w:r w:rsidRPr="002E5412">
        <w:rPr>
          <w:rFonts w:ascii="Arial" w:hAnsi="Arial" w:cs="Arial"/>
          <w:i/>
          <w:iCs/>
        </w:rPr>
        <w:t xml:space="preserve">coefficient of variation. </w:t>
      </w:r>
      <w:r w:rsidRPr="002E5412">
        <w:rPr>
          <w:rFonts w:ascii="Arial" w:hAnsi="Arial" w:cs="Arial"/>
          <w:bCs/>
          <w:i/>
          <w:iCs/>
        </w:rPr>
        <w:t>AD</w:t>
      </w:r>
      <w:r w:rsidRPr="002E5412">
        <w:rPr>
          <w:rFonts w:ascii="Arial" w:hAnsi="Arial" w:cs="Arial"/>
          <w:i/>
          <w:iCs/>
        </w:rPr>
        <w:t xml:space="preserve">: acclimatization days. </w:t>
      </w:r>
      <w:r w:rsidRPr="002E5412">
        <w:rPr>
          <w:rFonts w:ascii="Arial" w:hAnsi="Arial" w:cs="Arial"/>
          <w:bCs/>
          <w:i/>
          <w:iCs/>
        </w:rPr>
        <w:t>PH:</w:t>
      </w:r>
      <w:r w:rsidRPr="002E5412">
        <w:rPr>
          <w:rFonts w:ascii="Arial" w:hAnsi="Arial" w:cs="Arial"/>
          <w:i/>
          <w:iCs/>
        </w:rPr>
        <w:t xml:space="preserve"> plant height. </w:t>
      </w:r>
      <w:r w:rsidRPr="002E5412">
        <w:rPr>
          <w:rFonts w:ascii="Arial" w:hAnsi="Arial" w:cs="Arial"/>
          <w:bCs/>
          <w:i/>
          <w:iCs/>
        </w:rPr>
        <w:t>LS</w:t>
      </w:r>
      <w:r w:rsidRPr="002E5412">
        <w:rPr>
          <w:rFonts w:ascii="Arial" w:hAnsi="Arial" w:cs="Arial"/>
          <w:i/>
          <w:iCs/>
        </w:rPr>
        <w:t xml:space="preserve">: number of leaves per plant. </w:t>
      </w:r>
      <w:r w:rsidRPr="002E5412">
        <w:rPr>
          <w:rFonts w:ascii="Arial" w:hAnsi="Arial" w:cs="Arial"/>
          <w:bCs/>
          <w:i/>
          <w:iCs/>
        </w:rPr>
        <w:t>RW:</w:t>
      </w:r>
      <w:r w:rsidRPr="002E5412">
        <w:rPr>
          <w:rFonts w:ascii="Arial" w:hAnsi="Arial" w:cs="Arial"/>
          <w:i/>
          <w:iCs/>
        </w:rPr>
        <w:t xml:space="preserve"> root weight. </w:t>
      </w:r>
      <w:r w:rsidRPr="002E5412">
        <w:rPr>
          <w:rFonts w:ascii="Arial" w:hAnsi="Arial" w:cs="Arial"/>
          <w:bCs/>
          <w:i/>
          <w:iCs/>
        </w:rPr>
        <w:t>CI:</w:t>
      </w:r>
      <w:r w:rsidRPr="002E5412">
        <w:rPr>
          <w:rFonts w:ascii="Arial" w:hAnsi="Arial" w:cs="Arial"/>
          <w:i/>
          <w:iCs/>
        </w:rPr>
        <w:t xml:space="preserve"> chlorophyll index. DI: disease incidence. Significance level: ** - </w:t>
      </w:r>
      <w:r w:rsidR="00AA3CBA" w:rsidRPr="002E5412">
        <w:rPr>
          <w:rFonts w:ascii="Arial" w:hAnsi="Arial" w:cs="Arial"/>
          <w:i/>
          <w:iCs/>
        </w:rPr>
        <w:t xml:space="preserve">P </w:t>
      </w:r>
      <w:r w:rsidR="007F23F8" w:rsidRPr="002E5412">
        <w:rPr>
          <w:rFonts w:ascii="Arial" w:hAnsi="Arial" w:cs="Arial"/>
          <w:bCs/>
          <w:i/>
          <w:iCs/>
        </w:rPr>
        <w:t>≤</w:t>
      </w:r>
      <w:r w:rsidR="00AA3CBA" w:rsidRPr="002E5412">
        <w:rPr>
          <w:rFonts w:ascii="Arial" w:hAnsi="Arial" w:cs="Arial"/>
          <w:i/>
          <w:iCs/>
        </w:rPr>
        <w:t xml:space="preserve"> </w:t>
      </w:r>
      <w:r w:rsidRPr="002E5412">
        <w:rPr>
          <w:rFonts w:ascii="Arial" w:hAnsi="Arial" w:cs="Arial"/>
          <w:i/>
          <w:iCs/>
        </w:rPr>
        <w:t xml:space="preserve">.01, * - </w:t>
      </w:r>
      <w:r w:rsidR="00AA3CBA" w:rsidRPr="002E5412">
        <w:rPr>
          <w:rFonts w:ascii="Arial" w:hAnsi="Arial" w:cs="Arial"/>
          <w:i/>
          <w:iCs/>
        </w:rPr>
        <w:t xml:space="preserve">P </w:t>
      </w:r>
      <w:r w:rsidR="007F23F8" w:rsidRPr="002E5412">
        <w:rPr>
          <w:rFonts w:ascii="Arial" w:hAnsi="Arial" w:cs="Arial"/>
          <w:bCs/>
          <w:i/>
          <w:iCs/>
        </w:rPr>
        <w:t>≤</w:t>
      </w:r>
      <w:r w:rsidR="00AA3CBA" w:rsidRPr="002E5412">
        <w:rPr>
          <w:rFonts w:ascii="Arial" w:hAnsi="Arial" w:cs="Arial"/>
          <w:i/>
          <w:iCs/>
        </w:rPr>
        <w:t xml:space="preserve"> </w:t>
      </w:r>
      <w:r w:rsidRPr="002E5412">
        <w:rPr>
          <w:rFonts w:ascii="Arial" w:hAnsi="Arial" w:cs="Arial"/>
          <w:i/>
          <w:iCs/>
        </w:rPr>
        <w:t>.05. ns = not significant.</w:t>
      </w:r>
    </w:p>
    <w:p w14:paraId="1B4DCE58" w14:textId="77777777" w:rsidR="00B01FE4" w:rsidRPr="00E7707C" w:rsidRDefault="00B01FE4" w:rsidP="00B01FE4">
      <w:pPr>
        <w:pStyle w:val="Body"/>
        <w:spacing w:after="0"/>
        <w:rPr>
          <w:rFonts w:ascii="Arial" w:hAnsi="Arial" w:cs="Arial"/>
          <w:iCs/>
        </w:rPr>
      </w:pPr>
    </w:p>
    <w:p w14:paraId="12F1D240" w14:textId="77777777" w:rsidR="00E7707C" w:rsidRPr="00E7707C" w:rsidRDefault="00E7707C" w:rsidP="00E7707C">
      <w:pPr>
        <w:pStyle w:val="Body"/>
        <w:rPr>
          <w:rFonts w:ascii="Arial" w:hAnsi="Arial" w:cs="Arial"/>
          <w:bCs/>
          <w:iCs/>
        </w:rPr>
      </w:pPr>
      <w:r w:rsidRPr="00E7707C">
        <w:rPr>
          <w:rFonts w:ascii="Arial" w:hAnsi="Arial" w:cs="Arial"/>
          <w:bCs/>
          <w:iCs/>
        </w:rPr>
        <w:t>The model fit was high for all traits, with coefficients of determination (R</w:t>
      </w:r>
      <w:r w:rsidRPr="00E7707C">
        <w:rPr>
          <w:rFonts w:ascii="Arial" w:hAnsi="Arial" w:cs="Arial"/>
          <w:bCs/>
          <w:iCs/>
          <w:vertAlign w:val="superscript"/>
        </w:rPr>
        <w:t>2</w:t>
      </w:r>
      <w:r w:rsidRPr="00E7707C">
        <w:rPr>
          <w:rFonts w:ascii="Arial" w:hAnsi="Arial" w:cs="Arial"/>
          <w:bCs/>
          <w:iCs/>
        </w:rPr>
        <w:t>) ranging from 0.89 (DI) to 0.99 (RW and CI), confirming the reliability of the models. Coefficients of variation (CV) varied from 7.41% (plant height) to 16.71% (root weight), indicating acceptable to moderate experimental precision. Generally, HD exerted stronger and more consistent effects than IF, particularly enhancing root biomass, leaf development, and chlorophyll content, while IF mainly influenced acclimatization, chlorophyll index, and disease incidence.</w:t>
      </w:r>
    </w:p>
    <w:p w14:paraId="621B9147" w14:textId="77777777" w:rsidR="00E7707C" w:rsidRDefault="00E7707C" w:rsidP="00B01FE4">
      <w:pPr>
        <w:pStyle w:val="Body"/>
        <w:spacing w:after="0"/>
        <w:rPr>
          <w:rFonts w:ascii="Arial" w:hAnsi="Arial" w:cs="Arial"/>
          <w:iCs/>
        </w:rPr>
      </w:pPr>
      <w:r w:rsidRPr="00E7707C">
        <w:rPr>
          <w:rFonts w:ascii="Arial" w:hAnsi="Arial" w:cs="Arial"/>
          <w:bCs/>
          <w:iCs/>
        </w:rPr>
        <w:t>The significant effects (</w:t>
      </w:r>
      <w:r w:rsidR="00AA3CBA" w:rsidRPr="00AA3CBA">
        <w:rPr>
          <w:rFonts w:ascii="Arial" w:hAnsi="Arial" w:cs="Arial"/>
          <w:bCs/>
          <w:i/>
          <w:iCs/>
        </w:rPr>
        <w:t>P</w:t>
      </w:r>
      <w:r w:rsidRPr="00E7707C">
        <w:rPr>
          <w:rFonts w:ascii="Arial" w:hAnsi="Arial" w:cs="Arial"/>
          <w:bCs/>
          <w:iCs/>
        </w:rPr>
        <w:t xml:space="preserve"> </w:t>
      </w:r>
      <w:r w:rsidR="007F23F8">
        <w:rPr>
          <w:rFonts w:ascii="Arial" w:hAnsi="Arial" w:cs="Arial"/>
          <w:bCs/>
          <w:iCs/>
        </w:rPr>
        <w:t>≤</w:t>
      </w:r>
      <w:r w:rsidRPr="00E7707C">
        <w:rPr>
          <w:rFonts w:ascii="Arial" w:hAnsi="Arial" w:cs="Arial"/>
          <w:bCs/>
          <w:iCs/>
        </w:rPr>
        <w:t xml:space="preserve"> .05) of </w:t>
      </w:r>
      <w:r w:rsidRPr="00E7707C">
        <w:rPr>
          <w:rFonts w:ascii="Arial" w:hAnsi="Arial" w:cs="Arial"/>
          <w:iCs/>
        </w:rPr>
        <w:t xml:space="preserve">the isolated main effects (irrigation frequency and hydrogel dose) </w:t>
      </w:r>
      <w:r w:rsidRPr="00E7707C">
        <w:rPr>
          <w:rFonts w:ascii="Arial" w:hAnsi="Arial" w:cs="Arial"/>
          <w:bCs/>
          <w:iCs/>
        </w:rPr>
        <w:t xml:space="preserve">for </w:t>
      </w:r>
      <w:r w:rsidRPr="00E7707C">
        <w:rPr>
          <w:rFonts w:ascii="Arial" w:hAnsi="Arial" w:cs="Arial"/>
          <w:iCs/>
        </w:rPr>
        <w:t>the morpho-agronomic parameters are presented in Table 4.</w:t>
      </w:r>
    </w:p>
    <w:p w14:paraId="56A13B31" w14:textId="77777777" w:rsidR="00B01FE4" w:rsidRPr="00E7707C" w:rsidRDefault="00B01FE4" w:rsidP="00B01FE4">
      <w:pPr>
        <w:pStyle w:val="Body"/>
        <w:spacing w:after="0"/>
        <w:rPr>
          <w:rFonts w:ascii="Arial" w:hAnsi="Arial" w:cs="Arial"/>
          <w:bCs/>
          <w:iCs/>
        </w:rPr>
      </w:pPr>
    </w:p>
    <w:p w14:paraId="02689DF2" w14:textId="77777777" w:rsidR="00E7707C" w:rsidRPr="00AA3CBA" w:rsidRDefault="00E7707C" w:rsidP="00E7707C">
      <w:pPr>
        <w:pStyle w:val="Body"/>
        <w:rPr>
          <w:rFonts w:ascii="Arial" w:hAnsi="Arial" w:cs="Arial"/>
          <w:b/>
          <w:iCs/>
        </w:rPr>
      </w:pPr>
      <w:r w:rsidRPr="00AA3CBA">
        <w:rPr>
          <w:rFonts w:ascii="Arial" w:hAnsi="Arial" w:cs="Arial"/>
          <w:b/>
          <w:bCs/>
          <w:iCs/>
        </w:rPr>
        <w:t>Table 4.</w:t>
      </w:r>
      <w:r w:rsidRPr="00AA3CBA">
        <w:rPr>
          <w:rFonts w:ascii="Arial" w:hAnsi="Arial" w:cs="Arial"/>
          <w:b/>
          <w:iCs/>
        </w:rPr>
        <w:t xml:space="preserve"> Means (± standard deviation) of the morpho-agronomic parameters for the main effects irrigation frequency (IF) and hydrogel dose (HD).</w:t>
      </w:r>
    </w:p>
    <w:tbl>
      <w:tblPr>
        <w:tblStyle w:val="Tabelacomgrade"/>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81"/>
        <w:gridCol w:w="2056"/>
        <w:gridCol w:w="2035"/>
        <w:gridCol w:w="2036"/>
      </w:tblGrid>
      <w:tr w:rsidR="00E7707C" w:rsidRPr="00E7707C" w14:paraId="4AD449FC" w14:textId="77777777" w:rsidTr="007F23F8">
        <w:trPr>
          <w:trHeight w:val="276"/>
        </w:trPr>
        <w:tc>
          <w:tcPr>
            <w:tcW w:w="2348" w:type="dxa"/>
            <w:vAlign w:val="center"/>
          </w:tcPr>
          <w:p w14:paraId="028009E9" w14:textId="77777777" w:rsidR="00E7707C" w:rsidRPr="00AA3CBA" w:rsidRDefault="00E7707C" w:rsidP="00E7707C">
            <w:pPr>
              <w:pStyle w:val="Body"/>
              <w:rPr>
                <w:rFonts w:ascii="Arial" w:hAnsi="Arial" w:cs="Arial"/>
                <w:b/>
                <w:iCs/>
                <w:sz w:val="20"/>
              </w:rPr>
            </w:pPr>
            <w:r w:rsidRPr="00AA3CBA">
              <w:rPr>
                <w:rFonts w:ascii="Arial" w:hAnsi="Arial" w:cs="Arial"/>
                <w:b/>
                <w:iCs/>
                <w:sz w:val="20"/>
              </w:rPr>
              <w:t>IR factor</w:t>
            </w:r>
          </w:p>
        </w:tc>
        <w:tc>
          <w:tcPr>
            <w:tcW w:w="2349" w:type="dxa"/>
            <w:vAlign w:val="center"/>
          </w:tcPr>
          <w:p w14:paraId="0508DD95" w14:textId="77777777" w:rsidR="00E7707C" w:rsidRPr="00AA3CBA" w:rsidRDefault="00E7707C" w:rsidP="00E7707C">
            <w:pPr>
              <w:pStyle w:val="Body"/>
              <w:rPr>
                <w:rFonts w:ascii="Arial" w:hAnsi="Arial" w:cs="Arial"/>
                <w:b/>
                <w:iCs/>
                <w:sz w:val="20"/>
              </w:rPr>
            </w:pPr>
            <w:r w:rsidRPr="00AA3CBA">
              <w:rPr>
                <w:rFonts w:ascii="Arial" w:hAnsi="Arial" w:cs="Arial"/>
                <w:b/>
                <w:iCs/>
                <w:sz w:val="20"/>
              </w:rPr>
              <w:t>AD</w:t>
            </w:r>
          </w:p>
        </w:tc>
        <w:tc>
          <w:tcPr>
            <w:tcW w:w="2348" w:type="dxa"/>
            <w:vAlign w:val="center"/>
          </w:tcPr>
          <w:p w14:paraId="40294E81" w14:textId="77777777" w:rsidR="00E7707C" w:rsidRPr="00AA3CBA" w:rsidRDefault="00E7707C" w:rsidP="00E7707C">
            <w:pPr>
              <w:pStyle w:val="Body"/>
              <w:rPr>
                <w:rFonts w:ascii="Arial" w:hAnsi="Arial" w:cs="Arial"/>
                <w:b/>
                <w:iCs/>
                <w:sz w:val="20"/>
              </w:rPr>
            </w:pPr>
            <w:r w:rsidRPr="00AA3CBA">
              <w:rPr>
                <w:rFonts w:ascii="Arial" w:hAnsi="Arial" w:cs="Arial"/>
                <w:b/>
                <w:iCs/>
                <w:sz w:val="20"/>
              </w:rPr>
              <w:t>DI</w:t>
            </w:r>
          </w:p>
        </w:tc>
        <w:tc>
          <w:tcPr>
            <w:tcW w:w="2349" w:type="dxa"/>
            <w:vAlign w:val="center"/>
          </w:tcPr>
          <w:p w14:paraId="0BB5719D" w14:textId="77777777" w:rsidR="00E7707C" w:rsidRPr="00E7707C" w:rsidRDefault="00E7707C" w:rsidP="00E7707C">
            <w:pPr>
              <w:pStyle w:val="Body"/>
              <w:rPr>
                <w:rFonts w:ascii="Arial" w:hAnsi="Arial" w:cs="Arial"/>
                <w:iCs/>
                <w:sz w:val="20"/>
              </w:rPr>
            </w:pPr>
          </w:p>
        </w:tc>
      </w:tr>
      <w:tr w:rsidR="00E7707C" w:rsidRPr="00E7707C" w14:paraId="3BA1DD11" w14:textId="77777777" w:rsidTr="007F23F8">
        <w:trPr>
          <w:trHeight w:val="276"/>
        </w:trPr>
        <w:tc>
          <w:tcPr>
            <w:tcW w:w="2348" w:type="dxa"/>
            <w:tcBorders>
              <w:bottom w:val="nil"/>
            </w:tcBorders>
            <w:vAlign w:val="center"/>
          </w:tcPr>
          <w:p w14:paraId="4D2719FE" w14:textId="77777777" w:rsidR="00E7707C" w:rsidRPr="00E7707C" w:rsidRDefault="00E7707C" w:rsidP="00E7707C">
            <w:pPr>
              <w:pStyle w:val="Body"/>
              <w:rPr>
                <w:rFonts w:ascii="Arial" w:hAnsi="Arial" w:cs="Arial"/>
                <w:iCs/>
                <w:sz w:val="20"/>
              </w:rPr>
            </w:pPr>
            <w:r w:rsidRPr="00E7707C">
              <w:rPr>
                <w:rFonts w:ascii="Arial" w:hAnsi="Arial" w:cs="Arial"/>
                <w:iCs/>
                <w:sz w:val="20"/>
              </w:rPr>
              <w:t>1 time a week</w:t>
            </w:r>
          </w:p>
        </w:tc>
        <w:tc>
          <w:tcPr>
            <w:tcW w:w="2349" w:type="dxa"/>
            <w:tcBorders>
              <w:bottom w:val="nil"/>
            </w:tcBorders>
            <w:vAlign w:val="center"/>
          </w:tcPr>
          <w:p w14:paraId="701D101E" w14:textId="77777777" w:rsidR="00E7707C" w:rsidRPr="00E7707C" w:rsidRDefault="00E7707C" w:rsidP="00E7707C">
            <w:pPr>
              <w:pStyle w:val="Body"/>
              <w:rPr>
                <w:rFonts w:ascii="Arial" w:hAnsi="Arial" w:cs="Arial"/>
                <w:iCs/>
                <w:sz w:val="20"/>
              </w:rPr>
            </w:pPr>
            <w:r w:rsidRPr="00E7707C">
              <w:rPr>
                <w:rFonts w:ascii="Arial" w:hAnsi="Arial" w:cs="Arial"/>
                <w:iCs/>
                <w:sz w:val="20"/>
              </w:rPr>
              <w:t>-</w:t>
            </w:r>
          </w:p>
        </w:tc>
        <w:tc>
          <w:tcPr>
            <w:tcW w:w="2348" w:type="dxa"/>
            <w:tcBorders>
              <w:bottom w:val="nil"/>
            </w:tcBorders>
            <w:vAlign w:val="center"/>
          </w:tcPr>
          <w:p w14:paraId="26004FDA" w14:textId="77777777" w:rsidR="00E7707C" w:rsidRPr="00E7707C" w:rsidRDefault="00E7707C" w:rsidP="00E7707C">
            <w:pPr>
              <w:pStyle w:val="Body"/>
              <w:rPr>
                <w:rFonts w:ascii="Arial" w:hAnsi="Arial" w:cs="Arial"/>
                <w:iCs/>
                <w:sz w:val="20"/>
              </w:rPr>
            </w:pPr>
            <w:r w:rsidRPr="00E7707C">
              <w:rPr>
                <w:rFonts w:ascii="Arial" w:hAnsi="Arial" w:cs="Arial"/>
                <w:iCs/>
                <w:sz w:val="20"/>
              </w:rPr>
              <w:t>-</w:t>
            </w:r>
          </w:p>
        </w:tc>
        <w:tc>
          <w:tcPr>
            <w:tcW w:w="2349" w:type="dxa"/>
            <w:tcBorders>
              <w:bottom w:val="nil"/>
            </w:tcBorders>
            <w:vAlign w:val="center"/>
          </w:tcPr>
          <w:p w14:paraId="750428E5" w14:textId="77777777" w:rsidR="00E7707C" w:rsidRPr="00E7707C" w:rsidRDefault="00E7707C" w:rsidP="00E7707C">
            <w:pPr>
              <w:pStyle w:val="Body"/>
              <w:rPr>
                <w:rFonts w:ascii="Arial" w:hAnsi="Arial" w:cs="Arial"/>
                <w:iCs/>
                <w:sz w:val="20"/>
              </w:rPr>
            </w:pPr>
          </w:p>
        </w:tc>
      </w:tr>
      <w:tr w:rsidR="00E7707C" w:rsidRPr="00E7707C" w14:paraId="311411DF" w14:textId="77777777" w:rsidTr="007F23F8">
        <w:trPr>
          <w:trHeight w:val="276"/>
        </w:trPr>
        <w:tc>
          <w:tcPr>
            <w:tcW w:w="2348" w:type="dxa"/>
            <w:tcBorders>
              <w:top w:val="nil"/>
              <w:bottom w:val="nil"/>
            </w:tcBorders>
            <w:vAlign w:val="center"/>
          </w:tcPr>
          <w:p w14:paraId="4BAAA307" w14:textId="77777777" w:rsidR="00E7707C" w:rsidRPr="00E7707C" w:rsidRDefault="00E7707C" w:rsidP="00E7707C">
            <w:pPr>
              <w:pStyle w:val="Body"/>
              <w:rPr>
                <w:rFonts w:ascii="Arial" w:hAnsi="Arial" w:cs="Arial"/>
                <w:iCs/>
                <w:sz w:val="20"/>
              </w:rPr>
            </w:pPr>
            <w:r w:rsidRPr="00E7707C">
              <w:rPr>
                <w:rFonts w:ascii="Arial" w:hAnsi="Arial" w:cs="Arial"/>
                <w:iCs/>
                <w:sz w:val="20"/>
              </w:rPr>
              <w:t>2 times a week</w:t>
            </w:r>
          </w:p>
        </w:tc>
        <w:tc>
          <w:tcPr>
            <w:tcW w:w="2349" w:type="dxa"/>
            <w:tcBorders>
              <w:top w:val="nil"/>
              <w:bottom w:val="nil"/>
            </w:tcBorders>
            <w:vAlign w:val="center"/>
          </w:tcPr>
          <w:p w14:paraId="6C3D12D1" w14:textId="77777777" w:rsidR="00E7707C" w:rsidRPr="00E7707C" w:rsidRDefault="00E7707C" w:rsidP="00E7707C">
            <w:pPr>
              <w:pStyle w:val="Body"/>
              <w:rPr>
                <w:rFonts w:ascii="Arial" w:hAnsi="Arial" w:cs="Arial"/>
                <w:iCs/>
                <w:sz w:val="20"/>
              </w:rPr>
            </w:pPr>
            <w:r w:rsidRPr="00E7707C">
              <w:rPr>
                <w:rFonts w:ascii="Arial" w:hAnsi="Arial" w:cs="Arial"/>
                <w:iCs/>
                <w:sz w:val="20"/>
              </w:rPr>
              <w:t>38.00 ± 0.50 b</w:t>
            </w:r>
          </w:p>
        </w:tc>
        <w:tc>
          <w:tcPr>
            <w:tcW w:w="2348" w:type="dxa"/>
            <w:tcBorders>
              <w:top w:val="nil"/>
              <w:bottom w:val="nil"/>
            </w:tcBorders>
            <w:vAlign w:val="center"/>
          </w:tcPr>
          <w:p w14:paraId="7E07BC81" w14:textId="77777777" w:rsidR="00E7707C" w:rsidRPr="00E7707C" w:rsidRDefault="00E7707C" w:rsidP="00E7707C">
            <w:pPr>
              <w:pStyle w:val="Body"/>
              <w:rPr>
                <w:rFonts w:ascii="Arial" w:hAnsi="Arial" w:cs="Arial"/>
                <w:iCs/>
                <w:sz w:val="20"/>
              </w:rPr>
            </w:pPr>
            <w:r w:rsidRPr="00E7707C">
              <w:rPr>
                <w:rFonts w:ascii="Arial" w:hAnsi="Arial" w:cs="Arial"/>
                <w:iCs/>
                <w:sz w:val="20"/>
              </w:rPr>
              <w:t>5.75 ± 1.96 b</w:t>
            </w:r>
          </w:p>
        </w:tc>
        <w:tc>
          <w:tcPr>
            <w:tcW w:w="2349" w:type="dxa"/>
            <w:tcBorders>
              <w:top w:val="nil"/>
              <w:bottom w:val="nil"/>
            </w:tcBorders>
            <w:vAlign w:val="center"/>
          </w:tcPr>
          <w:p w14:paraId="09D7A650" w14:textId="77777777" w:rsidR="00E7707C" w:rsidRPr="00E7707C" w:rsidRDefault="00E7707C" w:rsidP="00E7707C">
            <w:pPr>
              <w:pStyle w:val="Body"/>
              <w:rPr>
                <w:rFonts w:ascii="Arial" w:hAnsi="Arial" w:cs="Arial"/>
                <w:iCs/>
                <w:sz w:val="20"/>
              </w:rPr>
            </w:pPr>
          </w:p>
        </w:tc>
      </w:tr>
      <w:tr w:rsidR="00E7707C" w:rsidRPr="00E7707C" w14:paraId="7EA7609F" w14:textId="77777777" w:rsidTr="007F23F8">
        <w:trPr>
          <w:trHeight w:val="276"/>
        </w:trPr>
        <w:tc>
          <w:tcPr>
            <w:tcW w:w="2348" w:type="dxa"/>
            <w:tcBorders>
              <w:top w:val="nil"/>
              <w:bottom w:val="nil"/>
            </w:tcBorders>
            <w:vAlign w:val="center"/>
          </w:tcPr>
          <w:p w14:paraId="69FE6470" w14:textId="77777777" w:rsidR="00E7707C" w:rsidRPr="00E7707C" w:rsidRDefault="00E7707C" w:rsidP="00E7707C">
            <w:pPr>
              <w:pStyle w:val="Body"/>
              <w:rPr>
                <w:rFonts w:ascii="Arial" w:hAnsi="Arial" w:cs="Arial"/>
                <w:iCs/>
                <w:sz w:val="20"/>
              </w:rPr>
            </w:pPr>
            <w:r w:rsidRPr="00E7707C">
              <w:rPr>
                <w:rFonts w:ascii="Arial" w:hAnsi="Arial" w:cs="Arial"/>
                <w:iCs/>
                <w:sz w:val="20"/>
              </w:rPr>
              <w:lastRenderedPageBreak/>
              <w:t>3 times a week</w:t>
            </w:r>
          </w:p>
        </w:tc>
        <w:tc>
          <w:tcPr>
            <w:tcW w:w="2349" w:type="dxa"/>
            <w:tcBorders>
              <w:top w:val="nil"/>
              <w:bottom w:val="nil"/>
            </w:tcBorders>
            <w:vAlign w:val="center"/>
          </w:tcPr>
          <w:p w14:paraId="5F600104" w14:textId="77777777" w:rsidR="00E7707C" w:rsidRPr="00E7707C" w:rsidRDefault="00E7707C" w:rsidP="00E7707C">
            <w:pPr>
              <w:pStyle w:val="Body"/>
              <w:rPr>
                <w:rFonts w:ascii="Arial" w:hAnsi="Arial" w:cs="Arial"/>
                <w:iCs/>
                <w:sz w:val="20"/>
              </w:rPr>
            </w:pPr>
            <w:r w:rsidRPr="00E7707C">
              <w:rPr>
                <w:rFonts w:ascii="Arial" w:hAnsi="Arial" w:cs="Arial"/>
                <w:iCs/>
                <w:sz w:val="20"/>
              </w:rPr>
              <w:t>37.50 ± 0.40 b</w:t>
            </w:r>
          </w:p>
        </w:tc>
        <w:tc>
          <w:tcPr>
            <w:tcW w:w="2348" w:type="dxa"/>
            <w:tcBorders>
              <w:top w:val="nil"/>
              <w:bottom w:val="nil"/>
            </w:tcBorders>
            <w:vAlign w:val="center"/>
          </w:tcPr>
          <w:p w14:paraId="0113D89D" w14:textId="77777777" w:rsidR="00E7707C" w:rsidRPr="00E7707C" w:rsidRDefault="00E7707C" w:rsidP="00E7707C">
            <w:pPr>
              <w:pStyle w:val="Body"/>
              <w:rPr>
                <w:rFonts w:ascii="Arial" w:hAnsi="Arial" w:cs="Arial"/>
                <w:iCs/>
                <w:sz w:val="20"/>
              </w:rPr>
            </w:pPr>
            <w:r w:rsidRPr="00E7707C">
              <w:rPr>
                <w:rFonts w:ascii="Arial" w:hAnsi="Arial" w:cs="Arial"/>
                <w:iCs/>
                <w:sz w:val="20"/>
              </w:rPr>
              <w:t>5.25 ± 1.90 b</w:t>
            </w:r>
          </w:p>
        </w:tc>
        <w:tc>
          <w:tcPr>
            <w:tcW w:w="2349" w:type="dxa"/>
            <w:tcBorders>
              <w:top w:val="nil"/>
              <w:bottom w:val="nil"/>
            </w:tcBorders>
            <w:vAlign w:val="center"/>
          </w:tcPr>
          <w:p w14:paraId="7169B08F" w14:textId="77777777" w:rsidR="00E7707C" w:rsidRPr="00E7707C" w:rsidRDefault="00E7707C" w:rsidP="00E7707C">
            <w:pPr>
              <w:pStyle w:val="Body"/>
              <w:rPr>
                <w:rFonts w:ascii="Arial" w:hAnsi="Arial" w:cs="Arial"/>
                <w:iCs/>
                <w:sz w:val="20"/>
              </w:rPr>
            </w:pPr>
          </w:p>
        </w:tc>
      </w:tr>
      <w:tr w:rsidR="00E7707C" w:rsidRPr="00E7707C" w14:paraId="3077ABF1" w14:textId="77777777" w:rsidTr="007F23F8">
        <w:trPr>
          <w:trHeight w:val="276"/>
        </w:trPr>
        <w:tc>
          <w:tcPr>
            <w:tcW w:w="2348" w:type="dxa"/>
            <w:tcBorders>
              <w:top w:val="nil"/>
            </w:tcBorders>
            <w:vAlign w:val="center"/>
          </w:tcPr>
          <w:p w14:paraId="7632B71C" w14:textId="77777777" w:rsidR="00E7707C" w:rsidRPr="00E7707C" w:rsidRDefault="00E7707C" w:rsidP="00E7707C">
            <w:pPr>
              <w:pStyle w:val="Body"/>
              <w:rPr>
                <w:rFonts w:ascii="Arial" w:hAnsi="Arial" w:cs="Arial"/>
                <w:iCs/>
                <w:sz w:val="20"/>
              </w:rPr>
            </w:pPr>
            <w:r w:rsidRPr="00E7707C">
              <w:rPr>
                <w:rFonts w:ascii="Arial" w:hAnsi="Arial" w:cs="Arial"/>
                <w:iCs/>
                <w:sz w:val="20"/>
              </w:rPr>
              <w:t>Control</w:t>
            </w:r>
          </w:p>
        </w:tc>
        <w:tc>
          <w:tcPr>
            <w:tcW w:w="2349" w:type="dxa"/>
            <w:tcBorders>
              <w:top w:val="nil"/>
            </w:tcBorders>
            <w:vAlign w:val="center"/>
          </w:tcPr>
          <w:p w14:paraId="12A7970C" w14:textId="77777777" w:rsidR="00E7707C" w:rsidRPr="00E7707C" w:rsidRDefault="00E7707C" w:rsidP="00E7707C">
            <w:pPr>
              <w:pStyle w:val="Body"/>
              <w:rPr>
                <w:rFonts w:ascii="Arial" w:hAnsi="Arial" w:cs="Arial"/>
                <w:iCs/>
                <w:sz w:val="20"/>
              </w:rPr>
            </w:pPr>
            <w:r w:rsidRPr="00E7707C">
              <w:rPr>
                <w:rFonts w:ascii="Arial" w:hAnsi="Arial" w:cs="Arial"/>
                <w:iCs/>
                <w:sz w:val="20"/>
              </w:rPr>
              <w:t>40.25 ± 3.66 a</w:t>
            </w:r>
          </w:p>
        </w:tc>
        <w:tc>
          <w:tcPr>
            <w:tcW w:w="2348" w:type="dxa"/>
            <w:tcBorders>
              <w:top w:val="nil"/>
            </w:tcBorders>
            <w:vAlign w:val="center"/>
          </w:tcPr>
          <w:p w14:paraId="425A7429" w14:textId="77777777" w:rsidR="00E7707C" w:rsidRPr="00E7707C" w:rsidRDefault="00E7707C" w:rsidP="00E7707C">
            <w:pPr>
              <w:pStyle w:val="Body"/>
              <w:rPr>
                <w:rFonts w:ascii="Arial" w:hAnsi="Arial" w:cs="Arial"/>
                <w:iCs/>
                <w:sz w:val="20"/>
              </w:rPr>
            </w:pPr>
            <w:r w:rsidRPr="00E7707C">
              <w:rPr>
                <w:rFonts w:ascii="Arial" w:hAnsi="Arial" w:cs="Arial"/>
                <w:iCs/>
                <w:sz w:val="20"/>
              </w:rPr>
              <w:t>8.00 ± 1.41 a</w:t>
            </w:r>
          </w:p>
        </w:tc>
        <w:tc>
          <w:tcPr>
            <w:tcW w:w="2349" w:type="dxa"/>
            <w:tcBorders>
              <w:top w:val="nil"/>
            </w:tcBorders>
            <w:vAlign w:val="center"/>
          </w:tcPr>
          <w:p w14:paraId="232729B4" w14:textId="77777777" w:rsidR="00E7707C" w:rsidRPr="00E7707C" w:rsidRDefault="00E7707C" w:rsidP="00E7707C">
            <w:pPr>
              <w:pStyle w:val="Body"/>
              <w:rPr>
                <w:rFonts w:ascii="Arial" w:hAnsi="Arial" w:cs="Arial"/>
                <w:iCs/>
                <w:sz w:val="20"/>
              </w:rPr>
            </w:pPr>
          </w:p>
        </w:tc>
      </w:tr>
      <w:tr w:rsidR="00E7707C" w:rsidRPr="00E7707C" w14:paraId="675A64DC" w14:textId="77777777" w:rsidTr="007F23F8">
        <w:trPr>
          <w:trHeight w:val="276"/>
        </w:trPr>
        <w:tc>
          <w:tcPr>
            <w:tcW w:w="2348" w:type="dxa"/>
            <w:vAlign w:val="center"/>
          </w:tcPr>
          <w:p w14:paraId="7A0C1650" w14:textId="77777777" w:rsidR="00E7707C" w:rsidRPr="00B56925" w:rsidRDefault="00E7707C" w:rsidP="00E7707C">
            <w:pPr>
              <w:pStyle w:val="Body"/>
              <w:rPr>
                <w:rFonts w:ascii="Arial" w:hAnsi="Arial" w:cs="Arial"/>
                <w:b/>
                <w:iCs/>
                <w:sz w:val="20"/>
              </w:rPr>
            </w:pPr>
            <w:r w:rsidRPr="00B56925">
              <w:rPr>
                <w:rFonts w:ascii="Arial" w:hAnsi="Arial" w:cs="Arial"/>
                <w:b/>
                <w:iCs/>
                <w:sz w:val="20"/>
              </w:rPr>
              <w:t>HD factor</w:t>
            </w:r>
          </w:p>
        </w:tc>
        <w:tc>
          <w:tcPr>
            <w:tcW w:w="2349" w:type="dxa"/>
            <w:vAlign w:val="center"/>
          </w:tcPr>
          <w:p w14:paraId="3CC0EC21" w14:textId="77777777" w:rsidR="00E7707C" w:rsidRPr="00B56925" w:rsidRDefault="00E7707C" w:rsidP="00E7707C">
            <w:pPr>
              <w:pStyle w:val="Body"/>
              <w:rPr>
                <w:rFonts w:ascii="Arial" w:hAnsi="Arial" w:cs="Arial"/>
                <w:b/>
                <w:iCs/>
                <w:sz w:val="20"/>
              </w:rPr>
            </w:pPr>
            <w:r w:rsidRPr="00B56925">
              <w:rPr>
                <w:rFonts w:ascii="Arial" w:hAnsi="Arial" w:cs="Arial"/>
                <w:b/>
                <w:iCs/>
                <w:sz w:val="20"/>
              </w:rPr>
              <w:t>AD</w:t>
            </w:r>
          </w:p>
        </w:tc>
        <w:tc>
          <w:tcPr>
            <w:tcW w:w="2348" w:type="dxa"/>
            <w:vAlign w:val="center"/>
          </w:tcPr>
          <w:p w14:paraId="502F8B93" w14:textId="77777777" w:rsidR="00E7707C" w:rsidRPr="00B56925" w:rsidRDefault="00E7707C" w:rsidP="00E7707C">
            <w:pPr>
              <w:pStyle w:val="Body"/>
              <w:rPr>
                <w:rFonts w:ascii="Arial" w:hAnsi="Arial" w:cs="Arial"/>
                <w:b/>
                <w:iCs/>
                <w:sz w:val="20"/>
              </w:rPr>
            </w:pPr>
            <w:r w:rsidRPr="00B56925">
              <w:rPr>
                <w:rFonts w:ascii="Arial" w:hAnsi="Arial" w:cs="Arial"/>
                <w:b/>
                <w:iCs/>
                <w:sz w:val="20"/>
              </w:rPr>
              <w:t>LS</w:t>
            </w:r>
          </w:p>
        </w:tc>
        <w:tc>
          <w:tcPr>
            <w:tcW w:w="2349" w:type="dxa"/>
            <w:vAlign w:val="center"/>
          </w:tcPr>
          <w:p w14:paraId="4B0A5B39" w14:textId="77777777" w:rsidR="00E7707C" w:rsidRPr="00B56925" w:rsidRDefault="00E7707C" w:rsidP="00E7707C">
            <w:pPr>
              <w:pStyle w:val="Body"/>
              <w:rPr>
                <w:rFonts w:ascii="Arial" w:hAnsi="Arial" w:cs="Arial"/>
                <w:b/>
                <w:iCs/>
                <w:sz w:val="20"/>
              </w:rPr>
            </w:pPr>
            <w:r w:rsidRPr="00B56925">
              <w:rPr>
                <w:rFonts w:ascii="Arial" w:hAnsi="Arial" w:cs="Arial"/>
                <w:b/>
                <w:iCs/>
                <w:sz w:val="20"/>
              </w:rPr>
              <w:t>DI</w:t>
            </w:r>
          </w:p>
        </w:tc>
      </w:tr>
      <w:tr w:rsidR="00E7707C" w:rsidRPr="00E7707C" w14:paraId="1FD083F4" w14:textId="77777777" w:rsidTr="007F23F8">
        <w:trPr>
          <w:trHeight w:val="276"/>
        </w:trPr>
        <w:tc>
          <w:tcPr>
            <w:tcW w:w="2348" w:type="dxa"/>
            <w:tcBorders>
              <w:bottom w:val="nil"/>
            </w:tcBorders>
            <w:vAlign w:val="center"/>
          </w:tcPr>
          <w:p w14:paraId="11DC2CE2" w14:textId="77777777" w:rsidR="00E7707C" w:rsidRPr="00E7707C" w:rsidRDefault="00E7707C" w:rsidP="00E7707C">
            <w:pPr>
              <w:pStyle w:val="Body"/>
              <w:rPr>
                <w:rFonts w:ascii="Arial" w:hAnsi="Arial" w:cs="Arial"/>
                <w:iCs/>
                <w:sz w:val="20"/>
              </w:rPr>
            </w:pPr>
            <w:r w:rsidRPr="00E7707C">
              <w:rPr>
                <w:rFonts w:ascii="Arial" w:hAnsi="Arial" w:cs="Arial"/>
                <w:iCs/>
                <w:sz w:val="20"/>
              </w:rPr>
              <w:t>0.1 g cell</w:t>
            </w:r>
            <w:r w:rsidRPr="00E7707C">
              <w:rPr>
                <w:rFonts w:ascii="Arial" w:hAnsi="Arial" w:cs="Arial"/>
                <w:iCs/>
                <w:sz w:val="20"/>
                <w:vertAlign w:val="superscript"/>
              </w:rPr>
              <w:t>-1</w:t>
            </w:r>
          </w:p>
        </w:tc>
        <w:tc>
          <w:tcPr>
            <w:tcW w:w="2349" w:type="dxa"/>
            <w:tcBorders>
              <w:bottom w:val="nil"/>
            </w:tcBorders>
            <w:vAlign w:val="center"/>
          </w:tcPr>
          <w:p w14:paraId="46B28F3A" w14:textId="77777777" w:rsidR="00E7707C" w:rsidRPr="00E7707C" w:rsidRDefault="00E7707C" w:rsidP="00E7707C">
            <w:pPr>
              <w:pStyle w:val="Body"/>
              <w:rPr>
                <w:rFonts w:ascii="Arial" w:hAnsi="Arial" w:cs="Arial"/>
                <w:iCs/>
                <w:sz w:val="20"/>
              </w:rPr>
            </w:pPr>
            <w:r w:rsidRPr="00E7707C">
              <w:rPr>
                <w:rFonts w:ascii="Arial" w:hAnsi="Arial" w:cs="Arial"/>
                <w:iCs/>
                <w:sz w:val="20"/>
              </w:rPr>
              <w:t>35.38 ± 0.52 d</w:t>
            </w:r>
          </w:p>
        </w:tc>
        <w:tc>
          <w:tcPr>
            <w:tcW w:w="2348" w:type="dxa"/>
            <w:tcBorders>
              <w:bottom w:val="nil"/>
            </w:tcBorders>
            <w:vAlign w:val="center"/>
          </w:tcPr>
          <w:p w14:paraId="4B2D7598" w14:textId="77777777" w:rsidR="00E7707C" w:rsidRPr="00E7707C" w:rsidRDefault="00E7707C" w:rsidP="00E7707C">
            <w:pPr>
              <w:pStyle w:val="Body"/>
              <w:rPr>
                <w:rFonts w:ascii="Arial" w:hAnsi="Arial" w:cs="Arial"/>
                <w:iCs/>
                <w:sz w:val="20"/>
              </w:rPr>
            </w:pPr>
            <w:r w:rsidRPr="00E7707C">
              <w:rPr>
                <w:rFonts w:ascii="Arial" w:hAnsi="Arial" w:cs="Arial"/>
                <w:iCs/>
                <w:sz w:val="20"/>
              </w:rPr>
              <w:t>3.98 ± 0.29 ab</w:t>
            </w:r>
          </w:p>
        </w:tc>
        <w:tc>
          <w:tcPr>
            <w:tcW w:w="2349" w:type="dxa"/>
            <w:tcBorders>
              <w:bottom w:val="nil"/>
            </w:tcBorders>
            <w:vAlign w:val="center"/>
          </w:tcPr>
          <w:p w14:paraId="2A0513AC" w14:textId="77777777" w:rsidR="00E7707C" w:rsidRPr="00E7707C" w:rsidRDefault="00E7707C" w:rsidP="00E7707C">
            <w:pPr>
              <w:pStyle w:val="Body"/>
              <w:rPr>
                <w:rFonts w:ascii="Arial" w:hAnsi="Arial" w:cs="Arial"/>
                <w:iCs/>
                <w:sz w:val="20"/>
              </w:rPr>
            </w:pPr>
            <w:r w:rsidRPr="00E7707C">
              <w:rPr>
                <w:rFonts w:ascii="Arial" w:hAnsi="Arial" w:cs="Arial"/>
                <w:iCs/>
                <w:sz w:val="20"/>
              </w:rPr>
              <w:t>4.25 ± 0.89 b</w:t>
            </w:r>
          </w:p>
        </w:tc>
      </w:tr>
      <w:tr w:rsidR="00E7707C" w:rsidRPr="00E7707C" w14:paraId="483D4DED" w14:textId="77777777" w:rsidTr="007F23F8">
        <w:trPr>
          <w:trHeight w:val="276"/>
        </w:trPr>
        <w:tc>
          <w:tcPr>
            <w:tcW w:w="2348" w:type="dxa"/>
            <w:tcBorders>
              <w:top w:val="nil"/>
              <w:bottom w:val="nil"/>
            </w:tcBorders>
            <w:vAlign w:val="center"/>
          </w:tcPr>
          <w:p w14:paraId="1D62F2A5" w14:textId="77777777" w:rsidR="00E7707C" w:rsidRPr="00E7707C" w:rsidRDefault="00E7707C" w:rsidP="00E7707C">
            <w:pPr>
              <w:pStyle w:val="Body"/>
              <w:rPr>
                <w:rFonts w:ascii="Arial" w:hAnsi="Arial" w:cs="Arial"/>
                <w:iCs/>
                <w:sz w:val="20"/>
              </w:rPr>
            </w:pPr>
            <w:r w:rsidRPr="00E7707C">
              <w:rPr>
                <w:rFonts w:ascii="Arial" w:hAnsi="Arial" w:cs="Arial"/>
                <w:iCs/>
                <w:sz w:val="20"/>
              </w:rPr>
              <w:t>0.5 g cell</w:t>
            </w:r>
            <w:r w:rsidRPr="00E7707C">
              <w:rPr>
                <w:rFonts w:ascii="Arial" w:hAnsi="Arial" w:cs="Arial"/>
                <w:iCs/>
                <w:sz w:val="20"/>
                <w:vertAlign w:val="superscript"/>
              </w:rPr>
              <w:t>-1</w:t>
            </w:r>
          </w:p>
        </w:tc>
        <w:tc>
          <w:tcPr>
            <w:tcW w:w="2349" w:type="dxa"/>
            <w:tcBorders>
              <w:top w:val="nil"/>
              <w:bottom w:val="nil"/>
            </w:tcBorders>
            <w:vAlign w:val="center"/>
          </w:tcPr>
          <w:p w14:paraId="780376F5" w14:textId="77777777" w:rsidR="00E7707C" w:rsidRPr="00E7707C" w:rsidRDefault="00E7707C" w:rsidP="00E7707C">
            <w:pPr>
              <w:pStyle w:val="Body"/>
              <w:rPr>
                <w:rFonts w:ascii="Arial" w:hAnsi="Arial" w:cs="Arial"/>
                <w:iCs/>
                <w:sz w:val="20"/>
              </w:rPr>
            </w:pPr>
            <w:r w:rsidRPr="00E7707C">
              <w:rPr>
                <w:rFonts w:ascii="Arial" w:hAnsi="Arial" w:cs="Arial"/>
                <w:iCs/>
                <w:sz w:val="20"/>
              </w:rPr>
              <w:t>37.88 ± 0.99 c</w:t>
            </w:r>
          </w:p>
        </w:tc>
        <w:tc>
          <w:tcPr>
            <w:tcW w:w="2348" w:type="dxa"/>
            <w:tcBorders>
              <w:top w:val="nil"/>
              <w:bottom w:val="nil"/>
            </w:tcBorders>
            <w:vAlign w:val="center"/>
          </w:tcPr>
          <w:p w14:paraId="37F79F19" w14:textId="77777777" w:rsidR="00E7707C" w:rsidRPr="00E7707C" w:rsidRDefault="00E7707C" w:rsidP="00E7707C">
            <w:pPr>
              <w:pStyle w:val="Body"/>
              <w:rPr>
                <w:rFonts w:ascii="Arial" w:hAnsi="Arial" w:cs="Arial"/>
                <w:iCs/>
                <w:sz w:val="20"/>
              </w:rPr>
            </w:pPr>
            <w:r w:rsidRPr="00E7707C">
              <w:rPr>
                <w:rFonts w:ascii="Arial" w:hAnsi="Arial" w:cs="Arial"/>
                <w:iCs/>
                <w:sz w:val="20"/>
              </w:rPr>
              <w:t>4.15 ± 0.24 a</w:t>
            </w:r>
          </w:p>
        </w:tc>
        <w:tc>
          <w:tcPr>
            <w:tcW w:w="2349" w:type="dxa"/>
            <w:tcBorders>
              <w:top w:val="nil"/>
              <w:bottom w:val="nil"/>
            </w:tcBorders>
            <w:vAlign w:val="center"/>
          </w:tcPr>
          <w:p w14:paraId="319F52EE" w14:textId="77777777" w:rsidR="00E7707C" w:rsidRPr="00E7707C" w:rsidRDefault="00E7707C" w:rsidP="00E7707C">
            <w:pPr>
              <w:pStyle w:val="Body"/>
              <w:rPr>
                <w:rFonts w:ascii="Arial" w:hAnsi="Arial" w:cs="Arial"/>
                <w:iCs/>
                <w:sz w:val="20"/>
              </w:rPr>
            </w:pPr>
            <w:r w:rsidRPr="00E7707C">
              <w:rPr>
                <w:rFonts w:ascii="Arial" w:hAnsi="Arial" w:cs="Arial"/>
                <w:iCs/>
                <w:sz w:val="20"/>
              </w:rPr>
              <w:t>4.88 ± 0.69 b</w:t>
            </w:r>
          </w:p>
        </w:tc>
      </w:tr>
      <w:tr w:rsidR="00E7707C" w:rsidRPr="00E7707C" w14:paraId="1EF4AFC3" w14:textId="77777777" w:rsidTr="007F23F8">
        <w:trPr>
          <w:trHeight w:val="276"/>
        </w:trPr>
        <w:tc>
          <w:tcPr>
            <w:tcW w:w="2348" w:type="dxa"/>
            <w:tcBorders>
              <w:top w:val="nil"/>
              <w:bottom w:val="nil"/>
            </w:tcBorders>
            <w:vAlign w:val="center"/>
          </w:tcPr>
          <w:p w14:paraId="72E3524A" w14:textId="77777777" w:rsidR="00E7707C" w:rsidRPr="00E7707C" w:rsidRDefault="00E7707C" w:rsidP="00E7707C">
            <w:pPr>
              <w:pStyle w:val="Body"/>
              <w:rPr>
                <w:rFonts w:ascii="Arial" w:hAnsi="Arial" w:cs="Arial"/>
                <w:iCs/>
                <w:sz w:val="20"/>
              </w:rPr>
            </w:pPr>
            <w:r w:rsidRPr="00E7707C">
              <w:rPr>
                <w:rFonts w:ascii="Arial" w:hAnsi="Arial" w:cs="Arial"/>
                <w:iCs/>
                <w:sz w:val="20"/>
              </w:rPr>
              <w:t>1 g cell</w:t>
            </w:r>
            <w:r w:rsidRPr="00E7707C">
              <w:rPr>
                <w:rFonts w:ascii="Arial" w:hAnsi="Arial" w:cs="Arial"/>
                <w:iCs/>
                <w:sz w:val="20"/>
                <w:vertAlign w:val="superscript"/>
              </w:rPr>
              <w:t>-1</w:t>
            </w:r>
          </w:p>
        </w:tc>
        <w:tc>
          <w:tcPr>
            <w:tcW w:w="2349" w:type="dxa"/>
            <w:tcBorders>
              <w:top w:val="nil"/>
              <w:bottom w:val="nil"/>
            </w:tcBorders>
            <w:vAlign w:val="center"/>
          </w:tcPr>
          <w:p w14:paraId="15D8CEE1" w14:textId="77777777" w:rsidR="00E7707C" w:rsidRPr="00E7707C" w:rsidRDefault="00E7707C" w:rsidP="00E7707C">
            <w:pPr>
              <w:pStyle w:val="Body"/>
              <w:rPr>
                <w:rFonts w:ascii="Arial" w:hAnsi="Arial" w:cs="Arial"/>
                <w:iCs/>
                <w:sz w:val="20"/>
              </w:rPr>
            </w:pPr>
            <w:r w:rsidRPr="00E7707C">
              <w:rPr>
                <w:rFonts w:ascii="Arial" w:hAnsi="Arial" w:cs="Arial"/>
                <w:iCs/>
                <w:sz w:val="20"/>
              </w:rPr>
              <w:t>43.25 ± 1.75 a</w:t>
            </w:r>
          </w:p>
        </w:tc>
        <w:tc>
          <w:tcPr>
            <w:tcW w:w="2348" w:type="dxa"/>
            <w:tcBorders>
              <w:top w:val="nil"/>
              <w:bottom w:val="nil"/>
            </w:tcBorders>
            <w:vAlign w:val="center"/>
          </w:tcPr>
          <w:p w14:paraId="39855A17" w14:textId="77777777" w:rsidR="00E7707C" w:rsidRPr="00E7707C" w:rsidRDefault="00E7707C" w:rsidP="00E7707C">
            <w:pPr>
              <w:pStyle w:val="Body"/>
              <w:rPr>
                <w:rFonts w:ascii="Arial" w:hAnsi="Arial" w:cs="Arial"/>
                <w:iCs/>
                <w:sz w:val="20"/>
              </w:rPr>
            </w:pPr>
            <w:r w:rsidRPr="00E7707C">
              <w:rPr>
                <w:rFonts w:ascii="Arial" w:hAnsi="Arial" w:cs="Arial"/>
                <w:iCs/>
                <w:sz w:val="20"/>
              </w:rPr>
              <w:t>4.22 ± 0.23 a</w:t>
            </w:r>
          </w:p>
        </w:tc>
        <w:tc>
          <w:tcPr>
            <w:tcW w:w="2349" w:type="dxa"/>
            <w:tcBorders>
              <w:top w:val="nil"/>
              <w:bottom w:val="nil"/>
            </w:tcBorders>
            <w:vAlign w:val="center"/>
          </w:tcPr>
          <w:p w14:paraId="4BDE01B7" w14:textId="77777777" w:rsidR="00E7707C" w:rsidRPr="00E7707C" w:rsidRDefault="00E7707C" w:rsidP="00E7707C">
            <w:pPr>
              <w:pStyle w:val="Body"/>
              <w:rPr>
                <w:rFonts w:ascii="Arial" w:hAnsi="Arial" w:cs="Arial"/>
                <w:iCs/>
                <w:sz w:val="20"/>
              </w:rPr>
            </w:pPr>
            <w:r w:rsidRPr="00E7707C">
              <w:rPr>
                <w:rFonts w:ascii="Arial" w:hAnsi="Arial" w:cs="Arial"/>
                <w:iCs/>
                <w:sz w:val="20"/>
              </w:rPr>
              <w:t>7.38 ± 2.13 a</w:t>
            </w:r>
          </w:p>
        </w:tc>
      </w:tr>
      <w:tr w:rsidR="00E7707C" w:rsidRPr="00E7707C" w14:paraId="73D2C263" w14:textId="77777777" w:rsidTr="007F23F8">
        <w:trPr>
          <w:trHeight w:val="276"/>
        </w:trPr>
        <w:tc>
          <w:tcPr>
            <w:tcW w:w="2348" w:type="dxa"/>
            <w:tcBorders>
              <w:top w:val="nil"/>
            </w:tcBorders>
            <w:vAlign w:val="center"/>
          </w:tcPr>
          <w:p w14:paraId="2C077CFF" w14:textId="77777777" w:rsidR="00E7707C" w:rsidRPr="00E7707C" w:rsidRDefault="00E7707C" w:rsidP="00E7707C">
            <w:pPr>
              <w:pStyle w:val="Body"/>
              <w:rPr>
                <w:rFonts w:ascii="Arial" w:hAnsi="Arial" w:cs="Arial"/>
                <w:iCs/>
                <w:sz w:val="20"/>
              </w:rPr>
            </w:pPr>
            <w:r w:rsidRPr="00E7707C">
              <w:rPr>
                <w:rFonts w:ascii="Arial" w:hAnsi="Arial" w:cs="Arial"/>
                <w:iCs/>
                <w:sz w:val="20"/>
              </w:rPr>
              <w:t>Control</w:t>
            </w:r>
          </w:p>
        </w:tc>
        <w:tc>
          <w:tcPr>
            <w:tcW w:w="2349" w:type="dxa"/>
            <w:tcBorders>
              <w:top w:val="nil"/>
            </w:tcBorders>
            <w:vAlign w:val="center"/>
          </w:tcPr>
          <w:p w14:paraId="3652FC1C" w14:textId="77777777" w:rsidR="00E7707C" w:rsidRPr="00E7707C" w:rsidRDefault="00E7707C" w:rsidP="00E7707C">
            <w:pPr>
              <w:pStyle w:val="Body"/>
              <w:rPr>
                <w:rFonts w:ascii="Arial" w:hAnsi="Arial" w:cs="Arial"/>
                <w:iCs/>
                <w:sz w:val="20"/>
              </w:rPr>
            </w:pPr>
            <w:r w:rsidRPr="00E7707C">
              <w:rPr>
                <w:rFonts w:ascii="Arial" w:hAnsi="Arial" w:cs="Arial"/>
                <w:iCs/>
                <w:sz w:val="20"/>
              </w:rPr>
              <w:t>40.25 ± 1.84 b</w:t>
            </w:r>
          </w:p>
        </w:tc>
        <w:tc>
          <w:tcPr>
            <w:tcW w:w="2348" w:type="dxa"/>
            <w:tcBorders>
              <w:top w:val="nil"/>
            </w:tcBorders>
            <w:vAlign w:val="center"/>
          </w:tcPr>
          <w:p w14:paraId="289E7DDD" w14:textId="77777777" w:rsidR="00E7707C" w:rsidRPr="00E7707C" w:rsidRDefault="00E7707C" w:rsidP="00E7707C">
            <w:pPr>
              <w:pStyle w:val="Body"/>
              <w:rPr>
                <w:rFonts w:ascii="Arial" w:hAnsi="Arial" w:cs="Arial"/>
                <w:iCs/>
                <w:sz w:val="20"/>
              </w:rPr>
            </w:pPr>
            <w:r w:rsidRPr="00E7707C">
              <w:rPr>
                <w:rFonts w:ascii="Arial" w:hAnsi="Arial" w:cs="Arial"/>
                <w:iCs/>
                <w:sz w:val="20"/>
              </w:rPr>
              <w:t>3.58 ± 0.17 b</w:t>
            </w:r>
          </w:p>
        </w:tc>
        <w:tc>
          <w:tcPr>
            <w:tcW w:w="2349" w:type="dxa"/>
            <w:tcBorders>
              <w:top w:val="nil"/>
            </w:tcBorders>
            <w:vAlign w:val="center"/>
          </w:tcPr>
          <w:p w14:paraId="634F49E5" w14:textId="77777777" w:rsidR="00E7707C" w:rsidRPr="00E7707C" w:rsidRDefault="00E7707C" w:rsidP="00E7707C">
            <w:pPr>
              <w:pStyle w:val="Body"/>
              <w:rPr>
                <w:rFonts w:ascii="Arial" w:hAnsi="Arial" w:cs="Arial"/>
                <w:iCs/>
                <w:sz w:val="20"/>
              </w:rPr>
            </w:pPr>
            <w:r w:rsidRPr="00E7707C">
              <w:rPr>
                <w:rFonts w:ascii="Arial" w:hAnsi="Arial" w:cs="Arial"/>
                <w:iCs/>
                <w:sz w:val="20"/>
              </w:rPr>
              <w:t>8.00 ± 1.41 a</w:t>
            </w:r>
          </w:p>
        </w:tc>
      </w:tr>
    </w:tbl>
    <w:p w14:paraId="777834E4" w14:textId="77777777" w:rsidR="00E7707C" w:rsidRPr="002E5412" w:rsidRDefault="00E7707C" w:rsidP="00B01FE4">
      <w:pPr>
        <w:pStyle w:val="Body"/>
        <w:spacing w:after="0"/>
        <w:rPr>
          <w:rFonts w:ascii="Arial" w:hAnsi="Arial" w:cs="Arial"/>
          <w:i/>
          <w:iCs/>
        </w:rPr>
      </w:pPr>
      <w:r w:rsidRPr="002E5412">
        <w:rPr>
          <w:rFonts w:ascii="Arial" w:hAnsi="Arial" w:cs="Arial"/>
          <w:i/>
          <w:iCs/>
        </w:rPr>
        <w:t>Means with different letters within the same variable and factor differ significantly (</w:t>
      </w:r>
      <w:r w:rsidR="00AA3CBA" w:rsidRPr="002E5412">
        <w:rPr>
          <w:rFonts w:ascii="Arial" w:hAnsi="Arial" w:cs="Arial"/>
          <w:i/>
          <w:iCs/>
        </w:rPr>
        <w:t>P</w:t>
      </w:r>
      <w:r w:rsidRPr="002E5412">
        <w:rPr>
          <w:rFonts w:ascii="Arial" w:hAnsi="Arial" w:cs="Arial"/>
          <w:i/>
          <w:iCs/>
        </w:rPr>
        <w:t xml:space="preserve"> </w:t>
      </w:r>
      <w:r w:rsidR="007F23F8" w:rsidRPr="002E5412">
        <w:rPr>
          <w:rFonts w:ascii="Arial" w:hAnsi="Arial" w:cs="Arial"/>
          <w:bCs/>
          <w:i/>
          <w:iCs/>
        </w:rPr>
        <w:t>≤</w:t>
      </w:r>
      <w:r w:rsidRPr="002E5412">
        <w:rPr>
          <w:rFonts w:ascii="Arial" w:hAnsi="Arial" w:cs="Arial"/>
          <w:i/>
          <w:iCs/>
        </w:rPr>
        <w:t xml:space="preserve"> .05) by the Tukey’s test of averages.</w:t>
      </w:r>
      <w:r w:rsidR="00B01FE4" w:rsidRPr="002E5412">
        <w:rPr>
          <w:rFonts w:ascii="Arial" w:hAnsi="Arial" w:cs="Arial"/>
          <w:i/>
          <w:iCs/>
        </w:rPr>
        <w:t xml:space="preserve"> </w:t>
      </w:r>
      <w:r w:rsidRPr="002E5412">
        <w:rPr>
          <w:rFonts w:ascii="Arial" w:hAnsi="Arial" w:cs="Arial"/>
          <w:bCs/>
          <w:i/>
          <w:iCs/>
        </w:rPr>
        <w:t>AD</w:t>
      </w:r>
      <w:r w:rsidRPr="002E5412">
        <w:rPr>
          <w:rFonts w:ascii="Arial" w:hAnsi="Arial" w:cs="Arial"/>
          <w:i/>
          <w:iCs/>
        </w:rPr>
        <w:t>: acclimatization days. DI: disease incidence.</w:t>
      </w:r>
      <w:r w:rsidRPr="002E5412">
        <w:rPr>
          <w:rFonts w:ascii="Arial" w:hAnsi="Arial" w:cs="Arial"/>
          <w:bCs/>
          <w:i/>
          <w:iCs/>
        </w:rPr>
        <w:t xml:space="preserve"> LS</w:t>
      </w:r>
      <w:r w:rsidRPr="002E5412">
        <w:rPr>
          <w:rFonts w:ascii="Arial" w:hAnsi="Arial" w:cs="Arial"/>
          <w:i/>
          <w:iCs/>
        </w:rPr>
        <w:t>: number of leaves per seedling.</w:t>
      </w:r>
    </w:p>
    <w:p w14:paraId="59920271" w14:textId="77777777" w:rsidR="007F23F8" w:rsidRDefault="007F23F8" w:rsidP="007F23F8">
      <w:pPr>
        <w:pStyle w:val="Body"/>
        <w:spacing w:after="0"/>
        <w:rPr>
          <w:rFonts w:ascii="Arial" w:hAnsi="Arial" w:cs="Arial"/>
        </w:rPr>
      </w:pPr>
    </w:p>
    <w:p w14:paraId="51748D61"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7F23F8">
        <w:rPr>
          <w:rFonts w:ascii="Arial" w:hAnsi="Arial" w:cs="Arial"/>
          <w:b/>
          <w:sz w:val="22"/>
        </w:rPr>
        <w:t xml:space="preserve">Acclimatization </w:t>
      </w:r>
      <w:r>
        <w:rPr>
          <w:rFonts w:ascii="Arial" w:hAnsi="Arial" w:cs="Arial"/>
          <w:b/>
          <w:sz w:val="22"/>
        </w:rPr>
        <w:t>D</w:t>
      </w:r>
      <w:r w:rsidRPr="007F23F8">
        <w:rPr>
          <w:rFonts w:ascii="Arial" w:hAnsi="Arial" w:cs="Arial"/>
          <w:b/>
          <w:sz w:val="22"/>
        </w:rPr>
        <w:t>ays (AD)</w:t>
      </w:r>
    </w:p>
    <w:p w14:paraId="7F60A464" w14:textId="77777777" w:rsidR="007F23F8" w:rsidRDefault="007F23F8" w:rsidP="007F23F8">
      <w:pPr>
        <w:pStyle w:val="Body"/>
        <w:spacing w:after="0"/>
        <w:rPr>
          <w:rFonts w:ascii="Arial" w:hAnsi="Arial" w:cs="Arial"/>
        </w:rPr>
      </w:pPr>
    </w:p>
    <w:p w14:paraId="398F8E95" w14:textId="77777777" w:rsidR="007F23F8" w:rsidRPr="007F23F8" w:rsidRDefault="007F23F8" w:rsidP="007F23F8">
      <w:pPr>
        <w:pStyle w:val="Body"/>
        <w:rPr>
          <w:rFonts w:ascii="Arial" w:hAnsi="Arial" w:cs="Arial"/>
          <w:bCs/>
          <w:iCs/>
        </w:rPr>
      </w:pPr>
      <w:r w:rsidRPr="007F23F8">
        <w:rPr>
          <w:rFonts w:ascii="Arial" w:hAnsi="Arial" w:cs="Arial"/>
          <w:bCs/>
          <w:iCs/>
        </w:rPr>
        <w:t>Significant effects (</w:t>
      </w:r>
      <w:r w:rsidRPr="007F23F8">
        <w:rPr>
          <w:rFonts w:ascii="Arial" w:hAnsi="Arial" w:cs="Arial"/>
          <w:bCs/>
          <w:i/>
          <w:iCs/>
        </w:rPr>
        <w:t>P</w:t>
      </w:r>
      <w:r>
        <w:rPr>
          <w:rFonts w:ascii="Arial" w:hAnsi="Arial" w:cs="Arial"/>
          <w:bCs/>
          <w:iCs/>
        </w:rPr>
        <w:t xml:space="preserve"> ≤ </w:t>
      </w:r>
      <w:r w:rsidRPr="007F23F8">
        <w:rPr>
          <w:rFonts w:ascii="Arial" w:hAnsi="Arial" w:cs="Arial"/>
          <w:bCs/>
          <w:iCs/>
        </w:rPr>
        <w:t xml:space="preserve">.05) </w:t>
      </w:r>
      <w:proofErr w:type="gramStart"/>
      <w:r w:rsidRPr="007F23F8">
        <w:rPr>
          <w:rFonts w:ascii="Arial" w:hAnsi="Arial" w:cs="Arial"/>
          <w:bCs/>
          <w:iCs/>
        </w:rPr>
        <w:t>were found</w:t>
      </w:r>
      <w:proofErr w:type="gramEnd"/>
      <w:r w:rsidRPr="007F23F8">
        <w:rPr>
          <w:rFonts w:ascii="Arial" w:hAnsi="Arial" w:cs="Arial"/>
          <w:bCs/>
          <w:iCs/>
        </w:rPr>
        <w:t xml:space="preserve"> for the individual factors irrigation frequency and hydrogel dose on the AD response (Table 4). Tomato seedlings irrigated two or three times per week required, on average, 37.50 ± 0.40 and 38.00 ± 0.50 days, respectively, to reach the optimal stage for transfer to the acclimatization nursery. These values were statistically similar to each other, but significantly lower than the control, which required 40.25 ± 3.66 days.</w:t>
      </w:r>
    </w:p>
    <w:p w14:paraId="535DC684" w14:textId="77777777" w:rsidR="007F23F8" w:rsidRPr="007F23F8" w:rsidRDefault="007F23F8" w:rsidP="007F23F8">
      <w:pPr>
        <w:pStyle w:val="Body"/>
        <w:rPr>
          <w:rFonts w:ascii="Arial" w:hAnsi="Arial" w:cs="Arial"/>
          <w:bCs/>
          <w:iCs/>
        </w:rPr>
      </w:pPr>
      <w:r w:rsidRPr="007F23F8">
        <w:rPr>
          <w:rFonts w:ascii="Arial" w:hAnsi="Arial" w:cs="Arial"/>
          <w:bCs/>
          <w:iCs/>
        </w:rPr>
        <w:t>Seedlings produced with hydrogel dose of 0.1 g cell</w:t>
      </w:r>
      <w:r w:rsidRPr="007F23F8">
        <w:rPr>
          <w:rFonts w:ascii="Arial" w:hAnsi="Arial" w:cs="Arial"/>
          <w:bCs/>
          <w:iCs/>
          <w:vertAlign w:val="superscript"/>
        </w:rPr>
        <w:t>-1</w:t>
      </w:r>
      <w:r w:rsidRPr="007F23F8">
        <w:rPr>
          <w:rFonts w:ascii="Arial" w:hAnsi="Arial" w:cs="Arial"/>
          <w:bCs/>
          <w:iCs/>
        </w:rPr>
        <w:t xml:space="preserve"> reached the acclimatization stage in fewer days (35.38 ± 0.52), a significantly shorter period compared with all other treatments, including the control. This was followed by hydrogel doses of 0.5 and 1.0 g cell</w:t>
      </w:r>
      <w:r w:rsidRPr="007F23F8">
        <w:rPr>
          <w:rFonts w:ascii="Arial" w:hAnsi="Arial" w:cs="Arial"/>
          <w:bCs/>
          <w:iCs/>
          <w:vertAlign w:val="superscript"/>
        </w:rPr>
        <w:t>-1</w:t>
      </w:r>
      <w:r w:rsidRPr="007F23F8">
        <w:rPr>
          <w:rFonts w:ascii="Arial" w:hAnsi="Arial" w:cs="Arial"/>
          <w:bCs/>
          <w:iCs/>
        </w:rPr>
        <w:t>, which required 37.88 ± 0.99 and 43.25 ± 1.75 days, respectively. The control required the longest period (40.25 ± 1.84 days) to reach the optimal stage for acclimatization.</w:t>
      </w:r>
    </w:p>
    <w:p w14:paraId="4F958E5E" w14:textId="77777777" w:rsidR="007F23F8" w:rsidRPr="007F23F8" w:rsidRDefault="007F23F8" w:rsidP="007F23F8">
      <w:pPr>
        <w:pStyle w:val="Body"/>
        <w:rPr>
          <w:rFonts w:ascii="Arial" w:hAnsi="Arial" w:cs="Arial"/>
          <w:bCs/>
          <w:iCs/>
        </w:rPr>
      </w:pPr>
      <w:r w:rsidRPr="007F23F8">
        <w:rPr>
          <w:rFonts w:ascii="Arial" w:hAnsi="Arial" w:cs="Arial"/>
          <w:bCs/>
          <w:iCs/>
        </w:rPr>
        <w:t>The application of hydrogel to the substrate, particularly at a dose of 0.1 g cell</w:t>
      </w:r>
      <w:r w:rsidRPr="007F23F8">
        <w:rPr>
          <w:rFonts w:ascii="Arial" w:hAnsi="Arial" w:cs="Arial"/>
          <w:bCs/>
          <w:iCs/>
          <w:vertAlign w:val="superscript"/>
        </w:rPr>
        <w:t>-1</w:t>
      </w:r>
      <w:r w:rsidRPr="007F23F8">
        <w:rPr>
          <w:rFonts w:ascii="Arial" w:hAnsi="Arial" w:cs="Arial"/>
          <w:bCs/>
          <w:iCs/>
        </w:rPr>
        <w:t>, significantly reduced the time required for tomato seedlings to reach the acclimatization stage (35.38 ± 0.52 days), surpassing even the highest irrigation frequencies without hydrogel (control). These findings demonstrate that hydrogel use enhances water availability and accelerates seedling development more efficiently than conventional irrigation management.</w:t>
      </w:r>
    </w:p>
    <w:p w14:paraId="378392E0" w14:textId="77777777" w:rsidR="007F23F8" w:rsidRPr="007F23F8" w:rsidRDefault="007F23F8" w:rsidP="007F23F8">
      <w:pPr>
        <w:pStyle w:val="Body"/>
        <w:rPr>
          <w:rFonts w:ascii="Arial" w:hAnsi="Arial" w:cs="Arial"/>
          <w:bCs/>
          <w:iCs/>
        </w:rPr>
      </w:pPr>
      <w:r w:rsidRPr="007F23F8">
        <w:rPr>
          <w:rFonts w:ascii="Arial" w:hAnsi="Arial" w:cs="Arial"/>
          <w:bCs/>
          <w:iCs/>
        </w:rPr>
        <w:t xml:space="preserve">Previous studies support the mechanism of action of absorbent polymers. Baran et al. </w:t>
      </w:r>
      <w:r w:rsidR="00B56925">
        <w:rPr>
          <w:rFonts w:ascii="Arial" w:hAnsi="Arial" w:cs="Arial"/>
          <w:bCs/>
          <w:iCs/>
        </w:rPr>
        <w:t>[37]</w:t>
      </w:r>
      <w:r w:rsidRPr="007F23F8">
        <w:rPr>
          <w:rFonts w:ascii="Arial" w:hAnsi="Arial" w:cs="Arial"/>
          <w:bCs/>
          <w:iCs/>
        </w:rPr>
        <w:t xml:space="preserve"> attributed this effect to the ability of hydrogels to increase substrate water retention, improve its physical structure by enhancing porosity, and reduce water losses through evaporation, thereby creating a favorable environment for germination and seedling establishment. The effectiveness of hydrogels lies in their role as water reservoirs. As </w:t>
      </w:r>
      <w:proofErr w:type="spellStart"/>
      <w:r w:rsidRPr="007F23F8">
        <w:rPr>
          <w:rFonts w:ascii="Arial" w:hAnsi="Arial" w:cs="Arial"/>
          <w:bCs/>
          <w:iCs/>
        </w:rPr>
        <w:t>Cannazza</w:t>
      </w:r>
      <w:proofErr w:type="spellEnd"/>
      <w:r w:rsidRPr="007F23F8">
        <w:rPr>
          <w:rFonts w:ascii="Arial" w:hAnsi="Arial" w:cs="Arial"/>
          <w:bCs/>
          <w:iCs/>
        </w:rPr>
        <w:t xml:space="preserve"> et al. </w:t>
      </w:r>
      <w:r w:rsidR="00B56925">
        <w:rPr>
          <w:rFonts w:ascii="Arial" w:hAnsi="Arial" w:cs="Arial"/>
          <w:bCs/>
          <w:iCs/>
        </w:rPr>
        <w:t>[38]</w:t>
      </w:r>
      <w:r w:rsidRPr="007F23F8">
        <w:rPr>
          <w:rFonts w:ascii="Arial" w:hAnsi="Arial" w:cs="Arial"/>
          <w:bCs/>
          <w:iCs/>
        </w:rPr>
        <w:t xml:space="preserve"> highlighted, and Qi &amp; Hu </w:t>
      </w:r>
      <w:r w:rsidR="00B56925">
        <w:rPr>
          <w:rFonts w:ascii="Arial" w:hAnsi="Arial" w:cs="Arial"/>
          <w:bCs/>
          <w:iCs/>
        </w:rPr>
        <w:t>[39]</w:t>
      </w:r>
      <w:r w:rsidRPr="007F23F8">
        <w:rPr>
          <w:rFonts w:ascii="Arial" w:hAnsi="Arial" w:cs="Arial"/>
          <w:bCs/>
          <w:iCs/>
        </w:rPr>
        <w:t xml:space="preserve"> corroborated, hydrogels gradually absorb and release water into the rhizosphere. This constant and sustained supply attenuates the water stress that typically occurs under conventional irrigation, even when applied frequently.</w:t>
      </w:r>
    </w:p>
    <w:p w14:paraId="4DA67656" w14:textId="77777777" w:rsidR="007F23F8" w:rsidRPr="007F23F8" w:rsidRDefault="007F23F8" w:rsidP="007F23F8">
      <w:pPr>
        <w:pStyle w:val="Body"/>
        <w:rPr>
          <w:rFonts w:ascii="Arial" w:hAnsi="Arial" w:cs="Arial"/>
          <w:bCs/>
          <w:iCs/>
        </w:rPr>
      </w:pPr>
      <w:r w:rsidRPr="007F23F8">
        <w:rPr>
          <w:rFonts w:ascii="Arial" w:hAnsi="Arial" w:cs="Arial"/>
          <w:bCs/>
          <w:iCs/>
        </w:rPr>
        <w:t xml:space="preserve">Beyond improving water availability, hydrogels also influence the soil ecosystem. The moisture they generate promotes biological activity, as reported by Dvořáčková et al. </w:t>
      </w:r>
      <w:r w:rsidR="00B56925">
        <w:rPr>
          <w:rFonts w:ascii="Arial" w:hAnsi="Arial" w:cs="Arial"/>
          <w:bCs/>
          <w:iCs/>
        </w:rPr>
        <w:t>[40]</w:t>
      </w:r>
      <w:r w:rsidRPr="007F23F8">
        <w:rPr>
          <w:rFonts w:ascii="Arial" w:hAnsi="Arial" w:cs="Arial"/>
          <w:bCs/>
          <w:iCs/>
        </w:rPr>
        <w:t xml:space="preserve"> and Roy et al. </w:t>
      </w:r>
      <w:r w:rsidR="00B56925">
        <w:rPr>
          <w:rFonts w:ascii="Arial" w:hAnsi="Arial" w:cs="Arial"/>
          <w:bCs/>
          <w:iCs/>
        </w:rPr>
        <w:t>[41]</w:t>
      </w:r>
      <w:r w:rsidRPr="007F23F8">
        <w:rPr>
          <w:rFonts w:ascii="Arial" w:hAnsi="Arial" w:cs="Arial"/>
          <w:bCs/>
          <w:iCs/>
        </w:rPr>
        <w:t xml:space="preserve">, who observed that hydrogels enhance microbial respiration and regulate biochemical processes in the rhizosphere, particularly under water stress conditions. Increased microbial activity, in turn, improves plant nutrition and health </w:t>
      </w:r>
      <w:r w:rsidR="00B56925">
        <w:rPr>
          <w:rFonts w:ascii="Arial" w:hAnsi="Arial" w:cs="Arial"/>
          <w:bCs/>
          <w:iCs/>
        </w:rPr>
        <w:t>[4</w:t>
      </w:r>
      <w:r w:rsidR="008C1662">
        <w:rPr>
          <w:rFonts w:ascii="Arial" w:hAnsi="Arial" w:cs="Arial"/>
          <w:bCs/>
          <w:iCs/>
        </w:rPr>
        <w:t>2</w:t>
      </w:r>
      <w:r w:rsidR="00B56925">
        <w:rPr>
          <w:rFonts w:ascii="Arial" w:hAnsi="Arial" w:cs="Arial"/>
          <w:bCs/>
          <w:iCs/>
        </w:rPr>
        <w:t>]</w:t>
      </w:r>
      <w:r w:rsidRPr="007F23F8">
        <w:rPr>
          <w:rFonts w:ascii="Arial" w:hAnsi="Arial" w:cs="Arial"/>
          <w:bCs/>
          <w:iCs/>
        </w:rPr>
        <w:t>.</w:t>
      </w:r>
    </w:p>
    <w:p w14:paraId="0616AEB7" w14:textId="77777777" w:rsidR="007F23F8" w:rsidRPr="00E7707C" w:rsidRDefault="007F23F8" w:rsidP="00326B5D">
      <w:pPr>
        <w:pStyle w:val="Body"/>
        <w:spacing w:after="0"/>
        <w:rPr>
          <w:rFonts w:ascii="Arial" w:hAnsi="Arial" w:cs="Arial"/>
          <w:bCs/>
          <w:iCs/>
        </w:rPr>
      </w:pPr>
      <w:r w:rsidRPr="007F23F8">
        <w:rPr>
          <w:rFonts w:ascii="Arial" w:hAnsi="Arial" w:cs="Arial"/>
          <w:bCs/>
          <w:iCs/>
        </w:rPr>
        <w:lastRenderedPageBreak/>
        <w:t xml:space="preserve">The scientific evidence indicates that hydrogels not only provide water but also beneficially modify the physical and biological properties of the substrate. Their use mitigates water limitations more effectively than frequent irrigation alone, as concluded by </w:t>
      </w:r>
      <w:proofErr w:type="spellStart"/>
      <w:r w:rsidRPr="007F23F8">
        <w:rPr>
          <w:rFonts w:ascii="Arial" w:hAnsi="Arial" w:cs="Arial"/>
          <w:bCs/>
          <w:iCs/>
        </w:rPr>
        <w:t>Dotaniya</w:t>
      </w:r>
      <w:proofErr w:type="spellEnd"/>
      <w:r w:rsidRPr="007F23F8">
        <w:rPr>
          <w:rFonts w:ascii="Arial" w:hAnsi="Arial" w:cs="Arial"/>
          <w:bCs/>
          <w:iCs/>
        </w:rPr>
        <w:t xml:space="preserve"> &amp; </w:t>
      </w:r>
      <w:proofErr w:type="spellStart"/>
      <w:r w:rsidRPr="007F23F8">
        <w:rPr>
          <w:rFonts w:ascii="Arial" w:hAnsi="Arial" w:cs="Arial"/>
          <w:bCs/>
          <w:iCs/>
        </w:rPr>
        <w:t>Meena</w:t>
      </w:r>
      <w:proofErr w:type="spellEnd"/>
      <w:r w:rsidRPr="007F23F8">
        <w:rPr>
          <w:rFonts w:ascii="Arial" w:hAnsi="Arial" w:cs="Arial"/>
          <w:bCs/>
          <w:iCs/>
        </w:rPr>
        <w:t xml:space="preserve"> </w:t>
      </w:r>
      <w:r w:rsidR="00C052D7">
        <w:rPr>
          <w:rFonts w:ascii="Arial" w:hAnsi="Arial" w:cs="Arial"/>
          <w:bCs/>
          <w:iCs/>
        </w:rPr>
        <w:t>[4</w:t>
      </w:r>
      <w:r w:rsidR="008C1662">
        <w:rPr>
          <w:rFonts w:ascii="Arial" w:hAnsi="Arial" w:cs="Arial"/>
          <w:bCs/>
          <w:iCs/>
        </w:rPr>
        <w:t>3</w:t>
      </w:r>
      <w:r w:rsidR="00C052D7">
        <w:rPr>
          <w:rFonts w:ascii="Arial" w:hAnsi="Arial" w:cs="Arial"/>
          <w:bCs/>
          <w:iCs/>
        </w:rPr>
        <w:t>]</w:t>
      </w:r>
      <w:r w:rsidRPr="007F23F8">
        <w:rPr>
          <w:rFonts w:ascii="Arial" w:hAnsi="Arial" w:cs="Arial"/>
          <w:bCs/>
          <w:iCs/>
        </w:rPr>
        <w:t xml:space="preserve"> and </w:t>
      </w:r>
      <w:proofErr w:type="spellStart"/>
      <w:r w:rsidRPr="007F23F8">
        <w:rPr>
          <w:rFonts w:ascii="Arial" w:hAnsi="Arial" w:cs="Arial"/>
          <w:bCs/>
          <w:iCs/>
        </w:rPr>
        <w:t>Elshafie</w:t>
      </w:r>
      <w:proofErr w:type="spellEnd"/>
      <w:r w:rsidRPr="007F23F8">
        <w:rPr>
          <w:rFonts w:ascii="Arial" w:hAnsi="Arial" w:cs="Arial"/>
          <w:bCs/>
          <w:iCs/>
        </w:rPr>
        <w:t xml:space="preserve"> &amp; </w:t>
      </w:r>
      <w:proofErr w:type="spellStart"/>
      <w:r w:rsidRPr="007F23F8">
        <w:rPr>
          <w:rFonts w:ascii="Arial" w:hAnsi="Arial" w:cs="Arial"/>
          <w:bCs/>
          <w:iCs/>
        </w:rPr>
        <w:t>Camele</w:t>
      </w:r>
      <w:proofErr w:type="spellEnd"/>
      <w:r w:rsidRPr="007F23F8">
        <w:rPr>
          <w:rFonts w:ascii="Arial" w:hAnsi="Arial" w:cs="Arial"/>
          <w:bCs/>
          <w:iCs/>
        </w:rPr>
        <w:t xml:space="preserve"> </w:t>
      </w:r>
      <w:r w:rsidR="00C052D7">
        <w:rPr>
          <w:rFonts w:ascii="Arial" w:hAnsi="Arial" w:cs="Arial"/>
          <w:bCs/>
          <w:iCs/>
        </w:rPr>
        <w:t>[4</w:t>
      </w:r>
      <w:r w:rsidR="008C1662">
        <w:rPr>
          <w:rFonts w:ascii="Arial" w:hAnsi="Arial" w:cs="Arial"/>
          <w:bCs/>
          <w:iCs/>
        </w:rPr>
        <w:t>4</w:t>
      </w:r>
      <w:r w:rsidR="00C052D7">
        <w:rPr>
          <w:rFonts w:ascii="Arial" w:hAnsi="Arial" w:cs="Arial"/>
          <w:bCs/>
          <w:iCs/>
        </w:rPr>
        <w:t>]</w:t>
      </w:r>
      <w:r w:rsidRPr="007F23F8">
        <w:rPr>
          <w:rFonts w:ascii="Arial" w:hAnsi="Arial" w:cs="Arial"/>
          <w:bCs/>
          <w:iCs/>
        </w:rPr>
        <w:t>. Therefore, hydrogel application represents a valuable strategy to improve greenhouse seedling production, ensuring faster and more uniform establishment of tomato seedlings.</w:t>
      </w:r>
    </w:p>
    <w:p w14:paraId="2F39646B" w14:textId="77777777" w:rsidR="007F23F8" w:rsidRDefault="007F23F8" w:rsidP="007F23F8">
      <w:pPr>
        <w:pStyle w:val="Body"/>
        <w:spacing w:after="0"/>
        <w:rPr>
          <w:rFonts w:ascii="Arial" w:hAnsi="Arial" w:cs="Arial"/>
        </w:rPr>
      </w:pPr>
    </w:p>
    <w:p w14:paraId="47CE30B7"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F23F8">
        <w:rPr>
          <w:rFonts w:ascii="Arial" w:hAnsi="Arial" w:cs="Arial"/>
          <w:b/>
          <w:sz w:val="22"/>
        </w:rPr>
        <w:t xml:space="preserve">Disease </w:t>
      </w:r>
      <w:r>
        <w:rPr>
          <w:rFonts w:ascii="Arial" w:hAnsi="Arial" w:cs="Arial"/>
          <w:b/>
          <w:sz w:val="22"/>
        </w:rPr>
        <w:t>I</w:t>
      </w:r>
      <w:r w:rsidRPr="007F23F8">
        <w:rPr>
          <w:rFonts w:ascii="Arial" w:hAnsi="Arial" w:cs="Arial"/>
          <w:b/>
          <w:sz w:val="22"/>
        </w:rPr>
        <w:t>ncidence (DI)</w:t>
      </w:r>
    </w:p>
    <w:p w14:paraId="4C2FC022" w14:textId="77777777" w:rsidR="007F23F8" w:rsidRDefault="007F23F8" w:rsidP="007F23F8">
      <w:pPr>
        <w:pStyle w:val="Body"/>
        <w:spacing w:after="0"/>
        <w:rPr>
          <w:rFonts w:ascii="Arial" w:hAnsi="Arial" w:cs="Arial"/>
        </w:rPr>
      </w:pPr>
    </w:p>
    <w:p w14:paraId="5EEAC885" w14:textId="77777777" w:rsidR="007F23F8" w:rsidRPr="007F23F8" w:rsidRDefault="007F23F8" w:rsidP="007F23F8">
      <w:pPr>
        <w:pStyle w:val="Body"/>
        <w:rPr>
          <w:rFonts w:ascii="Arial" w:hAnsi="Arial" w:cs="Arial"/>
          <w:bCs/>
          <w:iCs/>
        </w:rPr>
      </w:pPr>
      <w:r w:rsidRPr="007F23F8">
        <w:rPr>
          <w:rFonts w:ascii="Arial" w:hAnsi="Arial" w:cs="Arial"/>
          <w:bCs/>
          <w:iCs/>
        </w:rPr>
        <w:t xml:space="preserve">In the course of this research, damping-off - a complex of pathogens including </w:t>
      </w:r>
      <w:r w:rsidRPr="00D86526">
        <w:rPr>
          <w:rFonts w:ascii="Arial" w:hAnsi="Arial" w:cs="Arial"/>
          <w:bCs/>
          <w:i/>
          <w:iCs/>
        </w:rPr>
        <w:t>Pythium</w:t>
      </w:r>
      <w:r w:rsidRPr="007F23F8">
        <w:rPr>
          <w:rFonts w:ascii="Arial" w:hAnsi="Arial" w:cs="Arial"/>
          <w:bCs/>
          <w:iCs/>
        </w:rPr>
        <w:t xml:space="preserve"> spp., </w:t>
      </w:r>
      <w:r w:rsidRPr="007F23F8">
        <w:rPr>
          <w:rFonts w:ascii="Arial" w:hAnsi="Arial" w:cs="Arial"/>
          <w:bCs/>
          <w:i/>
          <w:iCs/>
        </w:rPr>
        <w:t>Phytophthora</w:t>
      </w:r>
      <w:r w:rsidRPr="007F23F8">
        <w:rPr>
          <w:rFonts w:ascii="Arial" w:hAnsi="Arial" w:cs="Arial"/>
          <w:bCs/>
          <w:iCs/>
        </w:rPr>
        <w:t xml:space="preserve"> spp., </w:t>
      </w:r>
      <w:proofErr w:type="spellStart"/>
      <w:r w:rsidRPr="007F23F8">
        <w:rPr>
          <w:rFonts w:ascii="Arial" w:hAnsi="Arial" w:cs="Arial"/>
          <w:bCs/>
          <w:i/>
          <w:iCs/>
        </w:rPr>
        <w:t>Rhizoctonia</w:t>
      </w:r>
      <w:proofErr w:type="spellEnd"/>
      <w:r w:rsidRPr="007F23F8">
        <w:rPr>
          <w:rFonts w:ascii="Arial" w:hAnsi="Arial" w:cs="Arial"/>
          <w:bCs/>
          <w:i/>
          <w:iCs/>
        </w:rPr>
        <w:t xml:space="preserve"> </w:t>
      </w:r>
      <w:proofErr w:type="spellStart"/>
      <w:r w:rsidRPr="007F23F8">
        <w:rPr>
          <w:rFonts w:ascii="Arial" w:hAnsi="Arial" w:cs="Arial"/>
          <w:bCs/>
          <w:i/>
          <w:iCs/>
        </w:rPr>
        <w:t>solani</w:t>
      </w:r>
      <w:proofErr w:type="spellEnd"/>
      <w:r w:rsidRPr="007F23F8">
        <w:rPr>
          <w:rFonts w:ascii="Arial" w:hAnsi="Arial" w:cs="Arial"/>
          <w:bCs/>
          <w:iCs/>
        </w:rPr>
        <w:t xml:space="preserve">, and/or </w:t>
      </w:r>
      <w:r w:rsidRPr="007F23F8">
        <w:rPr>
          <w:rFonts w:ascii="Arial" w:hAnsi="Arial" w:cs="Arial"/>
          <w:bCs/>
          <w:i/>
          <w:iCs/>
        </w:rPr>
        <w:t>Fusarium</w:t>
      </w:r>
      <w:r w:rsidRPr="007F23F8">
        <w:rPr>
          <w:rFonts w:ascii="Arial" w:hAnsi="Arial" w:cs="Arial"/>
          <w:bCs/>
          <w:iCs/>
        </w:rPr>
        <w:t xml:space="preserve"> spp. - was identified as the primary disease affecting tomato seedlings. No significant differences (</w:t>
      </w:r>
      <w:r w:rsidRPr="007F23F8">
        <w:rPr>
          <w:rFonts w:ascii="Arial" w:hAnsi="Arial" w:cs="Arial"/>
          <w:bCs/>
          <w:i/>
          <w:iCs/>
        </w:rPr>
        <w:t>P</w:t>
      </w:r>
      <w:r w:rsidRPr="007F23F8">
        <w:rPr>
          <w:rFonts w:ascii="Arial" w:hAnsi="Arial" w:cs="Arial"/>
          <w:bCs/>
          <w:iCs/>
        </w:rPr>
        <w:t xml:space="preserve"> &gt; .05) were observed in the IF × HD interaction (Table 3); however</w:t>
      </w:r>
      <w:r>
        <w:rPr>
          <w:rFonts w:ascii="Arial" w:hAnsi="Arial" w:cs="Arial"/>
          <w:bCs/>
          <w:iCs/>
        </w:rPr>
        <w:t>, significant differences (</w:t>
      </w:r>
      <w:r w:rsidRPr="007F23F8">
        <w:rPr>
          <w:rFonts w:ascii="Arial" w:hAnsi="Arial" w:cs="Arial"/>
          <w:bCs/>
          <w:i/>
          <w:iCs/>
        </w:rPr>
        <w:t>P</w:t>
      </w:r>
      <w:r>
        <w:rPr>
          <w:rFonts w:ascii="Arial" w:hAnsi="Arial" w:cs="Arial"/>
          <w:bCs/>
          <w:iCs/>
        </w:rPr>
        <w:t xml:space="preserve"> ≤ </w:t>
      </w:r>
      <w:r w:rsidRPr="007F23F8">
        <w:rPr>
          <w:rFonts w:ascii="Arial" w:hAnsi="Arial" w:cs="Arial"/>
          <w:bCs/>
          <w:iCs/>
        </w:rPr>
        <w:t>.05) were detected for the IF and HD factors regarding the response variable disease incidence (Table 4).</w:t>
      </w:r>
    </w:p>
    <w:p w14:paraId="701B6CEE" w14:textId="77777777" w:rsidR="007F23F8" w:rsidRPr="007F23F8" w:rsidRDefault="007F23F8" w:rsidP="007F23F8">
      <w:pPr>
        <w:pStyle w:val="Body"/>
        <w:rPr>
          <w:rFonts w:ascii="Arial" w:hAnsi="Arial" w:cs="Arial"/>
          <w:bCs/>
          <w:iCs/>
        </w:rPr>
      </w:pPr>
      <w:r w:rsidRPr="007F23F8">
        <w:rPr>
          <w:rFonts w:ascii="Arial" w:hAnsi="Arial" w:cs="Arial"/>
          <w:bCs/>
          <w:iCs/>
        </w:rPr>
        <w:t>Tomato seedlings irrigated with IF 2 and 3 times per week exhibited the lowest disease incidence, 5.75 ± 1.96% and 5.25 ± 1.90%, respectively, which were significantly lower than the control (8.00 ± 1.41%) (Table 4). Seedlings grown with HD of 0.1-0.5 g cell</w:t>
      </w:r>
      <w:r w:rsidRPr="00326B5D">
        <w:rPr>
          <w:rFonts w:ascii="Arial" w:hAnsi="Arial" w:cs="Arial"/>
          <w:bCs/>
          <w:iCs/>
          <w:vertAlign w:val="superscript"/>
        </w:rPr>
        <w:t>-1</w:t>
      </w:r>
      <w:r w:rsidRPr="007F23F8">
        <w:rPr>
          <w:rFonts w:ascii="Arial" w:hAnsi="Arial" w:cs="Arial"/>
          <w:bCs/>
          <w:iCs/>
        </w:rPr>
        <w:t xml:space="preserve"> recorded the lowest disease incidence, 4.25 ± 0.89% and 4.88 ± 0.69%, respectively, significantly lower than the dose of 1 g cell</w:t>
      </w:r>
      <w:r w:rsidRPr="00326B5D">
        <w:rPr>
          <w:rFonts w:ascii="Arial" w:hAnsi="Arial" w:cs="Arial"/>
          <w:bCs/>
          <w:iCs/>
          <w:vertAlign w:val="superscript"/>
        </w:rPr>
        <w:t>-1</w:t>
      </w:r>
      <w:r w:rsidRPr="007F23F8">
        <w:rPr>
          <w:rFonts w:ascii="Arial" w:hAnsi="Arial" w:cs="Arial"/>
          <w:bCs/>
          <w:iCs/>
        </w:rPr>
        <w:t xml:space="preserve"> (7.38 ± 2.13%) and the control (8.00 ± 1.41%) (Table 4). Thus, IF (2-3 times week-1) combined with moderate HD (0.1-0.5 g cell</w:t>
      </w:r>
      <w:r w:rsidRPr="00326B5D">
        <w:rPr>
          <w:rFonts w:ascii="Arial" w:hAnsi="Arial" w:cs="Arial"/>
          <w:bCs/>
          <w:iCs/>
          <w:vertAlign w:val="superscript"/>
        </w:rPr>
        <w:t>-1</w:t>
      </w:r>
      <w:r w:rsidRPr="007F23F8">
        <w:rPr>
          <w:rFonts w:ascii="Arial" w:hAnsi="Arial" w:cs="Arial"/>
          <w:bCs/>
          <w:iCs/>
        </w:rPr>
        <w:t>) significantly reduced disease incidence in tomato seedlings, maintaining values below 5%, in contrast to the control and high HD (1 g cell</w:t>
      </w:r>
      <w:r w:rsidRPr="00326B5D">
        <w:rPr>
          <w:rFonts w:ascii="Arial" w:hAnsi="Arial" w:cs="Arial"/>
          <w:bCs/>
          <w:iCs/>
          <w:vertAlign w:val="superscript"/>
        </w:rPr>
        <w:t>-1</w:t>
      </w:r>
      <w:r w:rsidRPr="007F23F8">
        <w:rPr>
          <w:rFonts w:ascii="Arial" w:hAnsi="Arial" w:cs="Arial"/>
          <w:bCs/>
          <w:iCs/>
        </w:rPr>
        <w:t>), which showed incidences above 7%.</w:t>
      </w:r>
    </w:p>
    <w:p w14:paraId="672EE5C3" w14:textId="77777777" w:rsidR="007F23F8" w:rsidRPr="007F23F8" w:rsidRDefault="007F23F8" w:rsidP="007F23F8">
      <w:pPr>
        <w:pStyle w:val="Body"/>
        <w:rPr>
          <w:rFonts w:ascii="Arial" w:hAnsi="Arial" w:cs="Arial"/>
          <w:bCs/>
          <w:iCs/>
        </w:rPr>
      </w:pPr>
      <w:r w:rsidRPr="007F23F8">
        <w:rPr>
          <w:rFonts w:ascii="Arial" w:hAnsi="Arial" w:cs="Arial"/>
          <w:bCs/>
          <w:iCs/>
        </w:rPr>
        <w:t xml:space="preserve">The incorporation of hydrogel at low to moderate doses in the substrate minimizes water stress and reduces pathogen incidence during the seedling stage in the greenhouse. This polymer enhances water retention in the soil and alleviates water stress in plants </w:t>
      </w:r>
      <w:r w:rsidR="00D86526">
        <w:rPr>
          <w:rFonts w:ascii="Arial" w:hAnsi="Arial" w:cs="Arial"/>
          <w:bCs/>
          <w:iCs/>
        </w:rPr>
        <w:t>[4</w:t>
      </w:r>
      <w:r w:rsidR="008C1662">
        <w:rPr>
          <w:rFonts w:ascii="Arial" w:hAnsi="Arial" w:cs="Arial"/>
          <w:bCs/>
          <w:iCs/>
        </w:rPr>
        <w:t>5</w:t>
      </w:r>
      <w:r w:rsidR="00D86526">
        <w:rPr>
          <w:rFonts w:ascii="Arial" w:hAnsi="Arial" w:cs="Arial"/>
          <w:bCs/>
          <w:iCs/>
        </w:rPr>
        <w:t>]</w:t>
      </w:r>
      <w:r w:rsidRPr="007F23F8">
        <w:rPr>
          <w:rFonts w:ascii="Arial" w:hAnsi="Arial" w:cs="Arial"/>
          <w:bCs/>
          <w:iCs/>
        </w:rPr>
        <w:t xml:space="preserve">. Water stress, by altering the cellular and tissue water balance, negatively affects various physiological and cellular processes </w:t>
      </w:r>
      <w:r w:rsidR="00D86526">
        <w:rPr>
          <w:rFonts w:ascii="Arial" w:hAnsi="Arial" w:cs="Arial"/>
          <w:bCs/>
          <w:iCs/>
        </w:rPr>
        <w:t>[4</w:t>
      </w:r>
      <w:r w:rsidR="008C1662">
        <w:rPr>
          <w:rFonts w:ascii="Arial" w:hAnsi="Arial" w:cs="Arial"/>
          <w:bCs/>
          <w:iCs/>
        </w:rPr>
        <w:t>6</w:t>
      </w:r>
      <w:r w:rsidR="00D86526">
        <w:rPr>
          <w:rFonts w:ascii="Arial" w:hAnsi="Arial" w:cs="Arial"/>
          <w:bCs/>
          <w:iCs/>
        </w:rPr>
        <w:t>]</w:t>
      </w:r>
      <w:r w:rsidRPr="007F23F8">
        <w:rPr>
          <w:rFonts w:ascii="Arial" w:hAnsi="Arial" w:cs="Arial"/>
          <w:bCs/>
          <w:iCs/>
        </w:rPr>
        <w:t xml:space="preserve">. Additionally, during periods of extreme drought, both crops and soil microorganisms are impacted; however, some pathogens exhibit greater tolerance, thereby increasing plant susceptibility </w:t>
      </w:r>
      <w:r w:rsidR="00D86526">
        <w:rPr>
          <w:rFonts w:ascii="Arial" w:hAnsi="Arial" w:cs="Arial"/>
          <w:bCs/>
          <w:iCs/>
        </w:rPr>
        <w:t>[4</w:t>
      </w:r>
      <w:r w:rsidR="008C1662">
        <w:rPr>
          <w:rFonts w:ascii="Arial" w:hAnsi="Arial" w:cs="Arial"/>
          <w:bCs/>
          <w:iCs/>
        </w:rPr>
        <w:t>7</w:t>
      </w:r>
      <w:r w:rsidR="00D86526">
        <w:rPr>
          <w:rFonts w:ascii="Arial" w:hAnsi="Arial" w:cs="Arial"/>
          <w:bCs/>
          <w:iCs/>
        </w:rPr>
        <w:t>]</w:t>
      </w:r>
      <w:r w:rsidRPr="007F23F8">
        <w:rPr>
          <w:rFonts w:ascii="Arial" w:hAnsi="Arial" w:cs="Arial"/>
          <w:bCs/>
          <w:iCs/>
        </w:rPr>
        <w:t>.</w:t>
      </w:r>
    </w:p>
    <w:p w14:paraId="0D315B0F" w14:textId="77777777" w:rsidR="007F23F8" w:rsidRPr="007F23F8" w:rsidRDefault="007F23F8" w:rsidP="007F23F8">
      <w:pPr>
        <w:pStyle w:val="Body"/>
        <w:rPr>
          <w:rFonts w:ascii="Arial" w:hAnsi="Arial" w:cs="Arial"/>
          <w:bCs/>
          <w:iCs/>
        </w:rPr>
      </w:pPr>
      <w:r w:rsidRPr="007F23F8">
        <w:rPr>
          <w:rFonts w:ascii="Arial" w:hAnsi="Arial" w:cs="Arial"/>
          <w:bCs/>
          <w:iCs/>
        </w:rPr>
        <w:t xml:space="preserve">Hydrogel mitigates this risk by reducing surface runoff, which acts as a physical barrier against soil-borne pathogens such as </w:t>
      </w:r>
      <w:r w:rsidRPr="00D86526">
        <w:rPr>
          <w:rFonts w:ascii="Arial" w:hAnsi="Arial" w:cs="Arial"/>
          <w:bCs/>
          <w:i/>
          <w:iCs/>
        </w:rPr>
        <w:t>Fusarium</w:t>
      </w:r>
      <w:r w:rsidRPr="007F23F8">
        <w:rPr>
          <w:rFonts w:ascii="Arial" w:hAnsi="Arial" w:cs="Arial"/>
          <w:bCs/>
          <w:iCs/>
        </w:rPr>
        <w:t xml:space="preserve"> </w:t>
      </w:r>
      <w:r w:rsidR="00D86526">
        <w:rPr>
          <w:rFonts w:ascii="Arial" w:hAnsi="Arial" w:cs="Arial"/>
          <w:bCs/>
          <w:iCs/>
        </w:rPr>
        <w:t>[40,43]</w:t>
      </w:r>
      <w:r w:rsidRPr="007F23F8">
        <w:rPr>
          <w:rFonts w:ascii="Arial" w:hAnsi="Arial" w:cs="Arial"/>
          <w:bCs/>
          <w:iCs/>
        </w:rPr>
        <w:t xml:space="preserve">. This is critical because runoff facilitates the dispersal of soil-borne diseases </w:t>
      </w:r>
      <w:r w:rsidR="00D86526">
        <w:rPr>
          <w:rFonts w:ascii="Arial" w:hAnsi="Arial" w:cs="Arial"/>
          <w:bCs/>
          <w:iCs/>
        </w:rPr>
        <w:t>[4</w:t>
      </w:r>
      <w:r w:rsidR="008C1662">
        <w:rPr>
          <w:rFonts w:ascii="Arial" w:hAnsi="Arial" w:cs="Arial"/>
          <w:bCs/>
          <w:iCs/>
        </w:rPr>
        <w:t>8</w:t>
      </w:r>
      <w:r w:rsidR="00D86526">
        <w:rPr>
          <w:rFonts w:ascii="Arial" w:hAnsi="Arial" w:cs="Arial"/>
          <w:bCs/>
          <w:iCs/>
        </w:rPr>
        <w:t>]</w:t>
      </w:r>
      <w:r w:rsidRPr="007F23F8">
        <w:rPr>
          <w:rFonts w:ascii="Arial" w:hAnsi="Arial" w:cs="Arial"/>
          <w:bCs/>
          <w:iCs/>
        </w:rPr>
        <w:t xml:space="preserve">, and substrate moisture is a key factor influencing fungal wilt incidence </w:t>
      </w:r>
      <w:r w:rsidR="00D86526">
        <w:rPr>
          <w:rFonts w:ascii="Arial" w:hAnsi="Arial" w:cs="Arial"/>
          <w:bCs/>
          <w:iCs/>
        </w:rPr>
        <w:t>[4</w:t>
      </w:r>
      <w:r w:rsidR="008C1662">
        <w:rPr>
          <w:rFonts w:ascii="Arial" w:hAnsi="Arial" w:cs="Arial"/>
          <w:bCs/>
          <w:iCs/>
        </w:rPr>
        <w:t>9</w:t>
      </w:r>
      <w:r w:rsidR="00D86526">
        <w:rPr>
          <w:rFonts w:ascii="Arial" w:hAnsi="Arial" w:cs="Arial"/>
          <w:bCs/>
          <w:iCs/>
        </w:rPr>
        <w:t>]</w:t>
      </w:r>
      <w:r w:rsidRPr="007F23F8">
        <w:rPr>
          <w:rFonts w:ascii="Arial" w:hAnsi="Arial" w:cs="Arial"/>
          <w:bCs/>
          <w:iCs/>
        </w:rPr>
        <w:t>. Therefore, hydrogel application not only improves water availability but also modifies substrate conditions to actively suppress pathogen incidence.</w:t>
      </w:r>
    </w:p>
    <w:p w14:paraId="397F1389" w14:textId="77777777" w:rsidR="007F23F8" w:rsidRPr="00E7707C" w:rsidRDefault="007F23F8" w:rsidP="00326B5D">
      <w:pPr>
        <w:pStyle w:val="Body"/>
        <w:spacing w:after="0"/>
        <w:rPr>
          <w:rFonts w:ascii="Arial" w:hAnsi="Arial" w:cs="Arial"/>
          <w:bCs/>
          <w:iCs/>
        </w:rPr>
      </w:pPr>
      <w:r w:rsidRPr="007F23F8">
        <w:rPr>
          <w:rFonts w:ascii="Arial" w:hAnsi="Arial" w:cs="Arial"/>
          <w:bCs/>
          <w:iCs/>
        </w:rPr>
        <w:t>Conversely, the use of high HD (1 g cell</w:t>
      </w:r>
      <w:r w:rsidRPr="00326B5D">
        <w:rPr>
          <w:rFonts w:ascii="Arial" w:hAnsi="Arial" w:cs="Arial"/>
          <w:bCs/>
          <w:iCs/>
          <w:vertAlign w:val="superscript"/>
        </w:rPr>
        <w:t>-1</w:t>
      </w:r>
      <w:r w:rsidRPr="007F23F8">
        <w:rPr>
          <w:rFonts w:ascii="Arial" w:hAnsi="Arial" w:cs="Arial"/>
          <w:bCs/>
          <w:iCs/>
        </w:rPr>
        <w:t xml:space="preserve">) may create conditions of prolonged water saturation and poor substrate aeration. Li et al. </w:t>
      </w:r>
      <w:r w:rsidR="00D86526">
        <w:rPr>
          <w:rFonts w:ascii="Arial" w:hAnsi="Arial" w:cs="Arial"/>
          <w:bCs/>
          <w:iCs/>
        </w:rPr>
        <w:t>[</w:t>
      </w:r>
      <w:r w:rsidR="008C1662">
        <w:rPr>
          <w:rFonts w:ascii="Arial" w:hAnsi="Arial" w:cs="Arial"/>
          <w:bCs/>
          <w:iCs/>
        </w:rPr>
        <w:t>50</w:t>
      </w:r>
      <w:r w:rsidR="00D86526">
        <w:rPr>
          <w:rFonts w:ascii="Arial" w:hAnsi="Arial" w:cs="Arial"/>
          <w:bCs/>
          <w:iCs/>
        </w:rPr>
        <w:t>]</w:t>
      </w:r>
      <w:r w:rsidRPr="007F23F8">
        <w:rPr>
          <w:rFonts w:ascii="Arial" w:hAnsi="Arial" w:cs="Arial"/>
          <w:bCs/>
          <w:iCs/>
        </w:rPr>
        <w:t xml:space="preserve"> demonstrated that even brief periods of waterlogging (3, 6, and 12 hours) increase root disease incidence caused by </w:t>
      </w:r>
      <w:r w:rsidRPr="00326B5D">
        <w:rPr>
          <w:rFonts w:ascii="Arial" w:hAnsi="Arial" w:cs="Arial"/>
          <w:bCs/>
          <w:i/>
          <w:iCs/>
        </w:rPr>
        <w:t>Pythium</w:t>
      </w:r>
      <w:r w:rsidRPr="007F23F8">
        <w:rPr>
          <w:rFonts w:ascii="Arial" w:hAnsi="Arial" w:cs="Arial"/>
          <w:bCs/>
          <w:iCs/>
        </w:rPr>
        <w:t xml:space="preserve"> spp. This suggests that excessive moisture associated with high hydrogel doses could predispose seedlings to soil pathogens. Moreover, recent studies have shown that hydrogel-mediated water management can improve physical, chemical, biological and environmental characteristics horticultural crops </w:t>
      </w:r>
      <w:r w:rsidR="00D86526">
        <w:rPr>
          <w:rFonts w:ascii="Arial" w:hAnsi="Arial" w:cs="Arial"/>
          <w:bCs/>
          <w:iCs/>
        </w:rPr>
        <w:t>[5</w:t>
      </w:r>
      <w:r w:rsidR="008C1662">
        <w:rPr>
          <w:rFonts w:ascii="Arial" w:hAnsi="Arial" w:cs="Arial"/>
          <w:bCs/>
          <w:iCs/>
        </w:rPr>
        <w:t>1</w:t>
      </w:r>
      <w:r w:rsidR="00D86526">
        <w:rPr>
          <w:rFonts w:ascii="Arial" w:hAnsi="Arial" w:cs="Arial"/>
          <w:bCs/>
          <w:iCs/>
        </w:rPr>
        <w:t>,5</w:t>
      </w:r>
      <w:r w:rsidR="008C1662">
        <w:rPr>
          <w:rFonts w:ascii="Arial" w:hAnsi="Arial" w:cs="Arial"/>
          <w:bCs/>
          <w:iCs/>
        </w:rPr>
        <w:t>2</w:t>
      </w:r>
      <w:r w:rsidR="00D86526">
        <w:rPr>
          <w:rFonts w:ascii="Arial" w:hAnsi="Arial" w:cs="Arial"/>
          <w:bCs/>
          <w:iCs/>
        </w:rPr>
        <w:t>]</w:t>
      </w:r>
      <w:r w:rsidRPr="007F23F8">
        <w:rPr>
          <w:rFonts w:ascii="Arial" w:hAnsi="Arial" w:cs="Arial"/>
          <w:bCs/>
          <w:iCs/>
        </w:rPr>
        <w:t>.</w:t>
      </w:r>
    </w:p>
    <w:p w14:paraId="5B1D3460" w14:textId="77777777" w:rsidR="007F23F8" w:rsidRDefault="007F23F8" w:rsidP="007F23F8">
      <w:pPr>
        <w:pStyle w:val="Body"/>
        <w:spacing w:after="0"/>
        <w:rPr>
          <w:rFonts w:ascii="Arial" w:hAnsi="Arial" w:cs="Arial"/>
        </w:rPr>
      </w:pPr>
    </w:p>
    <w:p w14:paraId="0A6F3D44"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326B5D" w:rsidRPr="00326B5D">
        <w:rPr>
          <w:rFonts w:ascii="Arial" w:hAnsi="Arial" w:cs="Arial"/>
          <w:b/>
          <w:sz w:val="22"/>
        </w:rPr>
        <w:t xml:space="preserve">Plant </w:t>
      </w:r>
      <w:r w:rsidR="00326B5D">
        <w:rPr>
          <w:rFonts w:ascii="Arial" w:hAnsi="Arial" w:cs="Arial"/>
          <w:b/>
          <w:sz w:val="22"/>
        </w:rPr>
        <w:t>V</w:t>
      </w:r>
      <w:r w:rsidR="00326B5D" w:rsidRPr="00326B5D">
        <w:rPr>
          <w:rFonts w:ascii="Arial" w:hAnsi="Arial" w:cs="Arial"/>
          <w:b/>
          <w:sz w:val="22"/>
        </w:rPr>
        <w:t>igor (PV)</w:t>
      </w:r>
    </w:p>
    <w:p w14:paraId="688E0CE1" w14:textId="77777777" w:rsidR="007F23F8" w:rsidRDefault="007F23F8" w:rsidP="007F23F8">
      <w:pPr>
        <w:pStyle w:val="Body"/>
        <w:spacing w:after="0"/>
        <w:rPr>
          <w:rFonts w:ascii="Arial" w:hAnsi="Arial" w:cs="Arial"/>
        </w:rPr>
      </w:pPr>
    </w:p>
    <w:p w14:paraId="2C90EFE7" w14:textId="77777777" w:rsidR="002011A8" w:rsidRPr="002011A8" w:rsidRDefault="002011A8" w:rsidP="002011A8">
      <w:pPr>
        <w:pStyle w:val="Body"/>
        <w:rPr>
          <w:rFonts w:ascii="Arial" w:hAnsi="Arial" w:cs="Arial"/>
          <w:bCs/>
          <w:iCs/>
        </w:rPr>
      </w:pPr>
      <w:r w:rsidRPr="002011A8">
        <w:rPr>
          <w:rFonts w:ascii="Arial" w:hAnsi="Arial" w:cs="Arial"/>
          <w:bCs/>
          <w:iCs/>
        </w:rPr>
        <w:t xml:space="preserve">In relation to seedling vigor, the control treatment presented 75% moderately vigorous seedlings and 25% non-vigorous seedlings (Figure 1).The T4 treatment showed 75% moderately vigorous seedlings and 25% vigorous seedlings. In T5, 100% of the seedlings were vigorous, whereas in T6, 75% of seedlings were non-vigorous and 25% moderately vigorous. The T7 treatment recorded 75% vigorous and 25% moderately vigorous seedlings. </w:t>
      </w:r>
      <w:r w:rsidRPr="002011A8">
        <w:rPr>
          <w:rFonts w:ascii="Arial" w:hAnsi="Arial" w:cs="Arial"/>
          <w:bCs/>
          <w:iCs/>
        </w:rPr>
        <w:lastRenderedPageBreak/>
        <w:t>Conversely, T8 reached 100% vigorous seedlings, in contrast to T9, which presented 100% non-vigorous seedlings (Figure 1).</w:t>
      </w:r>
    </w:p>
    <w:p w14:paraId="4F50346E" w14:textId="77777777" w:rsidR="007F23F8" w:rsidRDefault="002011A8" w:rsidP="002011A8">
      <w:pPr>
        <w:pStyle w:val="Body"/>
        <w:spacing w:after="0"/>
        <w:rPr>
          <w:rFonts w:ascii="Arial" w:hAnsi="Arial" w:cs="Arial"/>
          <w:bCs/>
          <w:iCs/>
        </w:rPr>
      </w:pPr>
      <w:r w:rsidRPr="002011A8">
        <w:rPr>
          <w:rFonts w:ascii="Arial" w:hAnsi="Arial" w:cs="Arial"/>
          <w:bCs/>
          <w:iCs/>
        </w:rPr>
        <w:t xml:space="preserve">Moderate and low hydrogel doses (HD) with irrigation frequency (IF) of two to three times per week were the most suitable conditions for producing vigorous tomato seedlings under the experimental conditions. However, these findings contrast with those reported by Balliu et al. </w:t>
      </w:r>
      <w:r w:rsidR="003D5A9A">
        <w:rPr>
          <w:rFonts w:ascii="Arial" w:hAnsi="Arial" w:cs="Arial"/>
          <w:bCs/>
          <w:iCs/>
        </w:rPr>
        <w:t>[53]</w:t>
      </w:r>
      <w:r w:rsidRPr="002011A8">
        <w:rPr>
          <w:rFonts w:ascii="Arial" w:hAnsi="Arial" w:cs="Arial"/>
          <w:bCs/>
          <w:iCs/>
        </w:rPr>
        <w:t xml:space="preserve">, who found no differences in the seedling vigor index between treatments with and without hydrogel. Such discrepancies could be attributed to differences in experimental design, polymer characteristics, or the species studied. Similar variability in results has also been highlighted in studies evaluating hydrogel application in vegetable crops </w:t>
      </w:r>
      <w:r w:rsidR="003D5A9A">
        <w:rPr>
          <w:rFonts w:ascii="Arial" w:hAnsi="Arial" w:cs="Arial"/>
          <w:bCs/>
          <w:iCs/>
        </w:rPr>
        <w:t>[52]</w:t>
      </w:r>
      <w:r w:rsidRPr="002011A8">
        <w:rPr>
          <w:rFonts w:ascii="Arial" w:hAnsi="Arial" w:cs="Arial"/>
          <w:bCs/>
          <w:iCs/>
        </w:rPr>
        <w:t>.</w:t>
      </w:r>
    </w:p>
    <w:p w14:paraId="52F82CB0" w14:textId="77777777" w:rsidR="002011A8" w:rsidRDefault="002011A8" w:rsidP="002011A8">
      <w:pPr>
        <w:pStyle w:val="Body"/>
        <w:spacing w:after="0"/>
        <w:rPr>
          <w:rFonts w:ascii="Arial" w:hAnsi="Arial" w:cs="Arial"/>
          <w:bCs/>
          <w:iCs/>
        </w:rPr>
      </w:pPr>
    </w:p>
    <w:p w14:paraId="15D735C8" w14:textId="77777777" w:rsidR="002011A8" w:rsidRPr="002011A8" w:rsidRDefault="002011A8" w:rsidP="002011A8">
      <w:pPr>
        <w:pStyle w:val="Body"/>
        <w:jc w:val="center"/>
        <w:rPr>
          <w:rFonts w:ascii="Arial" w:hAnsi="Arial" w:cs="Arial"/>
          <w:bCs/>
          <w:iCs/>
        </w:rPr>
      </w:pPr>
      <w:r>
        <w:rPr>
          <w:rFonts w:ascii="Times New Roman" w:eastAsia="Arial" w:hAnsi="Times New Roman"/>
          <w:bCs/>
          <w:iCs/>
          <w:noProof/>
          <w:sz w:val="24"/>
          <w:szCs w:val="24"/>
          <w:lang w:val="pt-BR" w:eastAsia="pt-BR"/>
        </w:rPr>
        <w:drawing>
          <wp:inline distT="0" distB="0" distL="0" distR="0" wp14:anchorId="10A93CAB" wp14:editId="4789163B">
            <wp:extent cx="5088416" cy="330647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093730" cy="3309923"/>
                    </a:xfrm>
                    <a:prstGeom prst="rect">
                      <a:avLst/>
                    </a:prstGeom>
                    <a:noFill/>
                  </pic:spPr>
                </pic:pic>
              </a:graphicData>
            </a:graphic>
          </wp:inline>
        </w:drawing>
      </w:r>
    </w:p>
    <w:p w14:paraId="7C36E4F6" w14:textId="77777777" w:rsidR="002011A8" w:rsidRPr="002011A8" w:rsidRDefault="002011A8" w:rsidP="002011A8">
      <w:pPr>
        <w:pStyle w:val="Body"/>
        <w:spacing w:after="0"/>
        <w:rPr>
          <w:rFonts w:ascii="Arial" w:hAnsi="Arial" w:cs="Arial"/>
          <w:b/>
          <w:bCs/>
          <w:iCs/>
        </w:rPr>
      </w:pPr>
      <w:r w:rsidRPr="002011A8">
        <w:rPr>
          <w:rFonts w:ascii="Arial" w:hAnsi="Arial" w:cs="Arial"/>
          <w:b/>
          <w:bCs/>
          <w:iCs/>
        </w:rPr>
        <w:t>Figure 1. Percentage distribution of tomato seedlings by seedling vigor and treatment category.</w:t>
      </w:r>
    </w:p>
    <w:p w14:paraId="60FAB11E" w14:textId="77777777" w:rsidR="002011A8" w:rsidRPr="002011A8" w:rsidRDefault="002011A8" w:rsidP="002011A8">
      <w:pPr>
        <w:pStyle w:val="Body"/>
        <w:spacing w:after="0"/>
        <w:rPr>
          <w:rFonts w:ascii="Arial" w:hAnsi="Arial" w:cs="Arial"/>
          <w:bCs/>
          <w:iCs/>
        </w:rPr>
      </w:pPr>
    </w:p>
    <w:p w14:paraId="0C69C091" w14:textId="77777777" w:rsidR="002011A8" w:rsidRPr="002011A8" w:rsidRDefault="002011A8" w:rsidP="002011A8">
      <w:pPr>
        <w:pStyle w:val="Body"/>
        <w:rPr>
          <w:rFonts w:ascii="Arial" w:hAnsi="Arial" w:cs="Arial"/>
          <w:bCs/>
          <w:iCs/>
        </w:rPr>
      </w:pPr>
      <w:r w:rsidRPr="002011A8">
        <w:rPr>
          <w:rFonts w:ascii="Arial" w:hAnsi="Arial" w:cs="Arial"/>
          <w:bCs/>
          <w:iCs/>
        </w:rPr>
        <w:t xml:space="preserve">On the contrary, the results of this study are consistent with Sousa et al. </w:t>
      </w:r>
      <w:r w:rsidR="003D5A9A">
        <w:rPr>
          <w:rFonts w:ascii="Arial" w:hAnsi="Arial" w:cs="Arial"/>
          <w:bCs/>
          <w:iCs/>
        </w:rPr>
        <w:t>[54]</w:t>
      </w:r>
      <w:r w:rsidRPr="002011A8">
        <w:rPr>
          <w:rFonts w:ascii="Arial" w:hAnsi="Arial" w:cs="Arial"/>
          <w:bCs/>
          <w:iCs/>
        </w:rPr>
        <w:t xml:space="preserve">, who emphasized that the use of hydrogel not only provides moisture but can also be enriched with nutrients, growth stimulants, or protective agents, thereby enhancing seedling vigor. It should be noted that the determination of vigor depends both on the genetic constitution of the seed and on the external conditions under which the plant develops </w:t>
      </w:r>
      <w:r w:rsidR="003D5A9A">
        <w:rPr>
          <w:rFonts w:ascii="Arial" w:hAnsi="Arial" w:cs="Arial"/>
          <w:bCs/>
          <w:iCs/>
        </w:rPr>
        <w:t>[55,56]</w:t>
      </w:r>
      <w:r w:rsidRPr="002011A8">
        <w:rPr>
          <w:rFonts w:ascii="Arial" w:hAnsi="Arial" w:cs="Arial"/>
          <w:bCs/>
          <w:iCs/>
        </w:rPr>
        <w:t xml:space="preserve">. In this context, hydrogel can also influence the physical properties of the soil, as it contributes to reducing osmotic stress and improving water availability for plants </w:t>
      </w:r>
      <w:r w:rsidR="003D5A9A">
        <w:rPr>
          <w:rFonts w:ascii="Arial" w:hAnsi="Arial" w:cs="Arial"/>
          <w:bCs/>
          <w:iCs/>
        </w:rPr>
        <w:t>[35,57]</w:t>
      </w:r>
      <w:r w:rsidRPr="002011A8">
        <w:rPr>
          <w:rFonts w:ascii="Arial" w:hAnsi="Arial" w:cs="Arial"/>
          <w:bCs/>
          <w:iCs/>
        </w:rPr>
        <w:t>.</w:t>
      </w:r>
    </w:p>
    <w:p w14:paraId="500D2708" w14:textId="77777777" w:rsidR="002011A8" w:rsidRPr="002011A8" w:rsidRDefault="0056591E" w:rsidP="002011A8">
      <w:pPr>
        <w:pStyle w:val="Body"/>
        <w:spacing w:after="0"/>
        <w:rPr>
          <w:rFonts w:ascii="Arial" w:hAnsi="Arial" w:cs="Arial"/>
          <w:bCs/>
          <w:iCs/>
        </w:rPr>
      </w:pPr>
      <w:r>
        <w:rPr>
          <w:rFonts w:ascii="Arial" w:hAnsi="Arial" w:cs="Arial"/>
          <w:bCs/>
          <w:iCs/>
        </w:rPr>
        <w:t>T</w:t>
      </w:r>
      <w:r w:rsidR="002011A8" w:rsidRPr="002011A8">
        <w:rPr>
          <w:rFonts w:ascii="Arial" w:hAnsi="Arial" w:cs="Arial"/>
          <w:bCs/>
          <w:iCs/>
        </w:rPr>
        <w:t>he</w:t>
      </w:r>
      <w:r>
        <w:rPr>
          <w:rFonts w:ascii="Arial" w:hAnsi="Arial" w:cs="Arial"/>
          <w:bCs/>
          <w:iCs/>
        </w:rPr>
        <w:t>se</w:t>
      </w:r>
      <w:r w:rsidR="002011A8" w:rsidRPr="002011A8">
        <w:rPr>
          <w:rFonts w:ascii="Arial" w:hAnsi="Arial" w:cs="Arial"/>
          <w:bCs/>
          <w:iCs/>
        </w:rPr>
        <w:t xml:space="preserve"> findings suggest that the application of low to moderate HD, combined with an adjusted IF, can be an effective strategy to enhance the vigor of tomato seedlings, outperforming conventional irrigation management.</w:t>
      </w:r>
    </w:p>
    <w:p w14:paraId="239F4C21" w14:textId="77777777" w:rsidR="007F23F8" w:rsidRDefault="007F23F8" w:rsidP="007F23F8">
      <w:pPr>
        <w:pStyle w:val="Body"/>
        <w:spacing w:after="0"/>
        <w:rPr>
          <w:rFonts w:ascii="Arial" w:hAnsi="Arial" w:cs="Arial"/>
        </w:rPr>
      </w:pPr>
    </w:p>
    <w:p w14:paraId="313848E2"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00326B5D" w:rsidRPr="00326B5D">
        <w:rPr>
          <w:rFonts w:ascii="Arial" w:hAnsi="Arial" w:cs="Arial"/>
          <w:b/>
          <w:sz w:val="22"/>
        </w:rPr>
        <w:t xml:space="preserve">Plant </w:t>
      </w:r>
      <w:r w:rsidR="00326B5D">
        <w:rPr>
          <w:rFonts w:ascii="Arial" w:hAnsi="Arial" w:cs="Arial"/>
          <w:b/>
          <w:sz w:val="22"/>
        </w:rPr>
        <w:t>H</w:t>
      </w:r>
      <w:r w:rsidR="00326B5D" w:rsidRPr="00326B5D">
        <w:rPr>
          <w:rFonts w:ascii="Arial" w:hAnsi="Arial" w:cs="Arial"/>
          <w:b/>
          <w:sz w:val="22"/>
        </w:rPr>
        <w:t>eight (PH)</w:t>
      </w:r>
    </w:p>
    <w:p w14:paraId="5750D719" w14:textId="77777777" w:rsidR="007F23F8" w:rsidRDefault="007F23F8" w:rsidP="007F23F8">
      <w:pPr>
        <w:pStyle w:val="Body"/>
        <w:spacing w:after="0"/>
        <w:rPr>
          <w:rFonts w:ascii="Arial" w:hAnsi="Arial" w:cs="Arial"/>
        </w:rPr>
      </w:pPr>
    </w:p>
    <w:p w14:paraId="5358C17B" w14:textId="77777777" w:rsidR="0056591E" w:rsidRDefault="0056591E" w:rsidP="007F23F8">
      <w:pPr>
        <w:pStyle w:val="Body"/>
        <w:spacing w:after="0"/>
        <w:rPr>
          <w:rFonts w:ascii="Arial" w:hAnsi="Arial" w:cs="Arial"/>
        </w:rPr>
      </w:pPr>
      <w:r w:rsidRPr="0056591E">
        <w:rPr>
          <w:rFonts w:ascii="Arial" w:hAnsi="Arial" w:cs="Arial"/>
        </w:rPr>
        <w:lastRenderedPageBreak/>
        <w:t>No significant differences (</w:t>
      </w:r>
      <w:r w:rsidRPr="0056591E">
        <w:rPr>
          <w:rFonts w:ascii="Arial" w:hAnsi="Arial" w:cs="Arial"/>
          <w:i/>
        </w:rPr>
        <w:t>P</w:t>
      </w:r>
      <w:r w:rsidRPr="0056591E">
        <w:rPr>
          <w:rFonts w:ascii="Arial" w:hAnsi="Arial" w:cs="Arial"/>
        </w:rPr>
        <w:t xml:space="preserve"> &gt; .05) were observed for either the IF × HD interaction or the main effects of IF and HD on plant height (Table 1). However, the treatments evaluated showed statistically greater plant height (10.85 ± 0.41 cm to 11.55 ± 0.45 cm) compared to the control (9.24 ± 0.09 cm) (Figure 2). These results demonstrate that the incorporation of hydrogel into the substrate, even with irrigation frequencies of two and three times per week, significantly enhanced seedling height (10.85 ± 0.41 cm to 11.55 ± 0.45 cm), statistically surpassing the control (9.24 ± 0.09 cm). Notably, the control plants, despite receiving irrigation three times per day, exhibited reduced development (Figure 2).</w:t>
      </w:r>
    </w:p>
    <w:p w14:paraId="0F037F00" w14:textId="77777777" w:rsidR="0056591E" w:rsidRDefault="0056591E" w:rsidP="007F23F8">
      <w:pPr>
        <w:pStyle w:val="Body"/>
        <w:spacing w:after="0"/>
        <w:rPr>
          <w:rFonts w:ascii="Arial" w:hAnsi="Arial" w:cs="Arial"/>
        </w:rPr>
      </w:pPr>
    </w:p>
    <w:p w14:paraId="142BEB62" w14:textId="77777777" w:rsidR="0056591E" w:rsidRPr="0056591E" w:rsidRDefault="0056591E" w:rsidP="0056591E">
      <w:pPr>
        <w:pStyle w:val="Body"/>
        <w:rPr>
          <w:rFonts w:ascii="Arial" w:hAnsi="Arial" w:cs="Arial"/>
        </w:rPr>
      </w:pPr>
      <w:r w:rsidRPr="0056591E">
        <w:rPr>
          <w:rFonts w:ascii="Arial" w:hAnsi="Arial" w:cs="Arial"/>
          <w:noProof/>
          <w:lang w:val="pt-BR" w:eastAsia="pt-BR"/>
        </w:rPr>
        <w:drawing>
          <wp:inline distT="0" distB="0" distL="0" distR="0" wp14:anchorId="7126B26B" wp14:editId="74979CAB">
            <wp:extent cx="5244466" cy="3160166"/>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lum contrast="20000"/>
                      <a:extLst>
                        <a:ext uri="{28A0092B-C50C-407E-A947-70E740481C1C}">
                          <a14:useLocalDpi xmlns:a14="http://schemas.microsoft.com/office/drawing/2010/main" val="0"/>
                        </a:ext>
                      </a:extLst>
                    </a:blip>
                    <a:srcRect l="7876" t="6398" r="1037" b="1442"/>
                    <a:stretch/>
                  </pic:blipFill>
                  <pic:spPr bwMode="auto">
                    <a:xfrm>
                      <a:off x="0" y="0"/>
                      <a:ext cx="5255744" cy="3166962"/>
                    </a:xfrm>
                    <a:prstGeom prst="rect">
                      <a:avLst/>
                    </a:prstGeom>
                    <a:noFill/>
                    <a:ln>
                      <a:noFill/>
                    </a:ln>
                    <a:extLst>
                      <a:ext uri="{53640926-AAD7-44D8-BBD7-CCE9431645EC}">
                        <a14:shadowObscured xmlns:a14="http://schemas.microsoft.com/office/drawing/2010/main"/>
                      </a:ext>
                    </a:extLst>
                  </pic:spPr>
                </pic:pic>
              </a:graphicData>
            </a:graphic>
          </wp:inline>
        </w:drawing>
      </w:r>
    </w:p>
    <w:p w14:paraId="73F1D3E8" w14:textId="77777777" w:rsidR="0056591E" w:rsidRPr="0056591E" w:rsidRDefault="0056591E" w:rsidP="0056591E">
      <w:pPr>
        <w:pStyle w:val="Body"/>
        <w:spacing w:after="0"/>
        <w:rPr>
          <w:rFonts w:ascii="Arial" w:hAnsi="Arial" w:cs="Arial"/>
          <w:b/>
        </w:rPr>
      </w:pPr>
      <w:r w:rsidRPr="0056591E">
        <w:rPr>
          <w:rFonts w:ascii="Arial" w:hAnsi="Arial" w:cs="Arial"/>
          <w:b/>
        </w:rPr>
        <w:t xml:space="preserve">Figure 2. </w:t>
      </w:r>
      <w:r w:rsidRPr="0056591E">
        <w:rPr>
          <w:rFonts w:ascii="Arial" w:hAnsi="Arial" w:cs="Arial"/>
          <w:b/>
          <w:bCs/>
        </w:rPr>
        <w:t>Comparison of means</w:t>
      </w:r>
      <w:r w:rsidRPr="0056591E">
        <w:rPr>
          <w:rFonts w:ascii="Arial" w:hAnsi="Arial" w:cs="Arial"/>
          <w:b/>
        </w:rPr>
        <w:t xml:space="preserve"> (± standard deviation) of the plant height between treatments and control. Means with different letters differ significantly (p &lt; 0.05, Tukey's test).</w:t>
      </w:r>
    </w:p>
    <w:p w14:paraId="1F5B6C29" w14:textId="77777777" w:rsidR="007F23F8" w:rsidRDefault="007F23F8" w:rsidP="007F23F8">
      <w:pPr>
        <w:pStyle w:val="Body"/>
        <w:rPr>
          <w:rFonts w:ascii="Arial" w:hAnsi="Arial" w:cs="Arial"/>
          <w:bCs/>
          <w:iCs/>
        </w:rPr>
      </w:pPr>
    </w:p>
    <w:p w14:paraId="1151248F" w14:textId="77777777" w:rsidR="0056591E" w:rsidRPr="0056591E" w:rsidRDefault="0056591E" w:rsidP="0056591E">
      <w:pPr>
        <w:pStyle w:val="Body"/>
        <w:rPr>
          <w:rFonts w:ascii="Arial" w:hAnsi="Arial" w:cs="Arial"/>
          <w:bCs/>
          <w:iCs/>
        </w:rPr>
      </w:pPr>
      <w:r w:rsidRPr="0056591E">
        <w:rPr>
          <w:rFonts w:ascii="Arial" w:hAnsi="Arial" w:cs="Arial"/>
          <w:bCs/>
          <w:iCs/>
        </w:rPr>
        <w:t xml:space="preserve">The results confirm the effectiveness of hydrogel in improving water retention and highlight its positive impact on tomato seedling growth. These findings align with those of Neto et al. </w:t>
      </w:r>
      <w:r w:rsidR="003D5A9A">
        <w:rPr>
          <w:rFonts w:ascii="Arial" w:hAnsi="Arial" w:cs="Arial"/>
          <w:bCs/>
          <w:iCs/>
        </w:rPr>
        <w:t>[34]</w:t>
      </w:r>
      <w:r w:rsidRPr="0056591E">
        <w:rPr>
          <w:rFonts w:ascii="Arial" w:hAnsi="Arial" w:cs="Arial"/>
          <w:bCs/>
          <w:iCs/>
        </w:rPr>
        <w:t xml:space="preserve">, who emphasized the role of hydrogel as an alternative for maintaining water availability under less frequent irrigation. Similarly, Aleman et al. </w:t>
      </w:r>
      <w:r w:rsidR="003D5A9A">
        <w:rPr>
          <w:rFonts w:ascii="Arial" w:hAnsi="Arial" w:cs="Arial"/>
          <w:bCs/>
          <w:iCs/>
        </w:rPr>
        <w:t>[13]</w:t>
      </w:r>
      <w:r w:rsidRPr="0056591E">
        <w:rPr>
          <w:rFonts w:ascii="Arial" w:hAnsi="Arial" w:cs="Arial"/>
          <w:bCs/>
          <w:iCs/>
        </w:rPr>
        <w:t xml:space="preserve"> demonstrated that hydrogel application in substrates for tomato seedling production improved earliness, resulting in taller plants compared to those grown without the absorbent polymer.</w:t>
      </w:r>
    </w:p>
    <w:p w14:paraId="70F4363F" w14:textId="77777777" w:rsidR="0056591E" w:rsidRPr="0056591E" w:rsidRDefault="0056591E" w:rsidP="0056591E">
      <w:pPr>
        <w:pStyle w:val="Body"/>
        <w:rPr>
          <w:rFonts w:ascii="Arial" w:hAnsi="Arial" w:cs="Arial"/>
          <w:bCs/>
          <w:iCs/>
        </w:rPr>
      </w:pPr>
      <w:r w:rsidRPr="0056591E">
        <w:rPr>
          <w:rFonts w:ascii="Arial" w:hAnsi="Arial" w:cs="Arial"/>
          <w:bCs/>
          <w:iCs/>
        </w:rPr>
        <w:t xml:space="preserve">These findings are consistent with what was reported by Neto et al. </w:t>
      </w:r>
      <w:r w:rsidR="003D5A9A">
        <w:rPr>
          <w:rFonts w:ascii="Arial" w:hAnsi="Arial" w:cs="Arial"/>
          <w:bCs/>
          <w:iCs/>
        </w:rPr>
        <w:t>[34]</w:t>
      </w:r>
      <w:r w:rsidRPr="0056591E">
        <w:rPr>
          <w:rFonts w:ascii="Arial" w:hAnsi="Arial" w:cs="Arial"/>
          <w:bCs/>
          <w:iCs/>
        </w:rPr>
        <w:t xml:space="preserve">, who highlight the importance of hydrogel as an alternative to maintain water availability with less frequent irrigation. Corroborating these findings, Malik et al. </w:t>
      </w:r>
      <w:r w:rsidR="003D5A9A">
        <w:rPr>
          <w:rFonts w:ascii="Arial" w:hAnsi="Arial" w:cs="Arial"/>
          <w:bCs/>
          <w:iCs/>
        </w:rPr>
        <w:t>[58]</w:t>
      </w:r>
      <w:r w:rsidRPr="0056591E">
        <w:rPr>
          <w:rFonts w:ascii="Arial" w:hAnsi="Arial" w:cs="Arial"/>
          <w:bCs/>
          <w:iCs/>
        </w:rPr>
        <w:t xml:space="preserve"> report that superabsorbent polymers increase soil water</w:t>
      </w:r>
      <w:r w:rsidRPr="0056591E">
        <w:rPr>
          <w:rFonts w:ascii="Cambria Math" w:hAnsi="Cambria Math" w:cs="Cambria Math"/>
          <w:bCs/>
          <w:iCs/>
        </w:rPr>
        <w:t>‐</w:t>
      </w:r>
      <w:r w:rsidRPr="0056591E">
        <w:rPr>
          <w:rFonts w:ascii="Arial" w:hAnsi="Arial" w:cs="Arial"/>
          <w:bCs/>
          <w:iCs/>
        </w:rPr>
        <w:t xml:space="preserve">holding capacity, improve soil physical properties, and reduce water losses under water stress. A study by Tao et al. </w:t>
      </w:r>
      <w:r w:rsidR="003D5A9A">
        <w:rPr>
          <w:rFonts w:ascii="Arial" w:hAnsi="Arial" w:cs="Arial"/>
          <w:bCs/>
          <w:iCs/>
        </w:rPr>
        <w:t>[59]</w:t>
      </w:r>
      <w:r w:rsidRPr="0056591E">
        <w:rPr>
          <w:rFonts w:ascii="Arial" w:hAnsi="Arial" w:cs="Arial"/>
          <w:bCs/>
          <w:iCs/>
        </w:rPr>
        <w:t xml:space="preserve"> showed that carbohydrate</w:t>
      </w:r>
      <w:r w:rsidRPr="0056591E">
        <w:rPr>
          <w:rFonts w:ascii="Cambria Math" w:hAnsi="Cambria Math" w:cs="Cambria Math"/>
          <w:bCs/>
          <w:iCs/>
        </w:rPr>
        <w:t>‐</w:t>
      </w:r>
      <w:r w:rsidRPr="0056591E">
        <w:rPr>
          <w:rFonts w:ascii="Arial" w:hAnsi="Arial" w:cs="Arial"/>
          <w:bCs/>
          <w:iCs/>
        </w:rPr>
        <w:t>based SAPs enhance germination potential, root and shoot growth in maize under drought</w:t>
      </w:r>
      <w:r w:rsidRPr="0056591E">
        <w:rPr>
          <w:rFonts w:ascii="Cambria Math" w:hAnsi="Cambria Math" w:cs="Cambria Math"/>
          <w:bCs/>
          <w:iCs/>
        </w:rPr>
        <w:t>‐</w:t>
      </w:r>
      <w:r w:rsidR="00BE5393">
        <w:rPr>
          <w:rFonts w:ascii="Arial" w:hAnsi="Arial" w:cs="Arial"/>
          <w:bCs/>
          <w:iCs/>
        </w:rPr>
        <w:t>like conditions. In addition, Ma</w:t>
      </w:r>
      <w:r w:rsidRPr="0056591E">
        <w:rPr>
          <w:rFonts w:ascii="Arial" w:hAnsi="Arial" w:cs="Arial"/>
          <w:bCs/>
          <w:iCs/>
        </w:rPr>
        <w:t xml:space="preserve">hgoub et al. </w:t>
      </w:r>
      <w:r w:rsidR="003D5A9A">
        <w:rPr>
          <w:rFonts w:ascii="Arial" w:hAnsi="Arial" w:cs="Arial"/>
          <w:bCs/>
          <w:iCs/>
        </w:rPr>
        <w:t xml:space="preserve">[60] </w:t>
      </w:r>
      <w:r w:rsidRPr="0056591E">
        <w:rPr>
          <w:rFonts w:ascii="Arial" w:hAnsi="Arial" w:cs="Arial"/>
          <w:bCs/>
          <w:iCs/>
        </w:rPr>
        <w:t>found that hydrogel addition in sandy soil improved plant height, nutrient uptake (N, P, K) and general growth of tomato under drip irrigation.</w:t>
      </w:r>
    </w:p>
    <w:p w14:paraId="63D206D8" w14:textId="77777777" w:rsidR="0056591E" w:rsidRDefault="0056591E" w:rsidP="0056591E">
      <w:pPr>
        <w:pStyle w:val="Body"/>
        <w:spacing w:after="0"/>
        <w:rPr>
          <w:rFonts w:ascii="Arial" w:hAnsi="Arial" w:cs="Arial"/>
        </w:rPr>
      </w:pPr>
      <w:r w:rsidRPr="0056591E">
        <w:rPr>
          <w:rFonts w:ascii="Arial" w:hAnsi="Arial" w:cs="Arial"/>
          <w:bCs/>
          <w:iCs/>
        </w:rPr>
        <w:lastRenderedPageBreak/>
        <w:t xml:space="preserve">The mechanism behind this result can be linked to the ability of roots to absorb water directly from hydrogel beads, ensuring adequate hydration and water availability for the plant. This continuous water supply translates into greater development, as corroborated by Montesano et al. </w:t>
      </w:r>
      <w:r w:rsidR="00BE5393">
        <w:rPr>
          <w:rFonts w:ascii="Arial" w:hAnsi="Arial" w:cs="Arial"/>
          <w:bCs/>
          <w:iCs/>
        </w:rPr>
        <w:t>[61]</w:t>
      </w:r>
      <w:r w:rsidRPr="0056591E">
        <w:rPr>
          <w:rFonts w:ascii="Arial" w:hAnsi="Arial" w:cs="Arial"/>
          <w:bCs/>
          <w:iCs/>
        </w:rPr>
        <w:t>, who showed that biodegradable superabsorbent hydrogels increase water</w:t>
      </w:r>
      <w:r w:rsidRPr="0056591E">
        <w:rPr>
          <w:rFonts w:ascii="Cambria Math" w:hAnsi="Cambria Math" w:cs="Cambria Math"/>
          <w:bCs/>
          <w:iCs/>
        </w:rPr>
        <w:t>‐</w:t>
      </w:r>
      <w:r w:rsidRPr="0056591E">
        <w:rPr>
          <w:rFonts w:ascii="Arial" w:hAnsi="Arial" w:cs="Arial"/>
          <w:bCs/>
          <w:iCs/>
        </w:rPr>
        <w:t xml:space="preserve">retention properties of growing media and improve plant growth. Similarly, Melo et al. </w:t>
      </w:r>
      <w:r w:rsidR="00BE5393">
        <w:rPr>
          <w:rFonts w:ascii="Arial" w:hAnsi="Arial" w:cs="Arial"/>
          <w:bCs/>
          <w:iCs/>
        </w:rPr>
        <w:t>[62]</w:t>
      </w:r>
      <w:r w:rsidRPr="0056591E">
        <w:rPr>
          <w:rFonts w:ascii="Arial" w:hAnsi="Arial" w:cs="Arial"/>
          <w:bCs/>
          <w:iCs/>
        </w:rPr>
        <w:t xml:space="preserve"> observed improvements in tomato seedlings’ quality - including height and overall vigor - when using hydrogel amendments in seedling plugs. Additional support comes from studies such as hydrogels improved parsley (</w:t>
      </w:r>
      <w:r w:rsidRPr="00BE5393">
        <w:rPr>
          <w:rFonts w:ascii="Arial" w:hAnsi="Arial" w:cs="Arial"/>
          <w:bCs/>
          <w:i/>
          <w:iCs/>
        </w:rPr>
        <w:t xml:space="preserve">Petroselinum </w:t>
      </w:r>
      <w:proofErr w:type="spellStart"/>
      <w:r w:rsidRPr="00BE5393">
        <w:rPr>
          <w:rFonts w:ascii="Arial" w:hAnsi="Arial" w:cs="Arial"/>
          <w:bCs/>
          <w:i/>
          <w:iCs/>
        </w:rPr>
        <w:t>crispum</w:t>
      </w:r>
      <w:proofErr w:type="spellEnd"/>
      <w:r w:rsidRPr="0056591E">
        <w:rPr>
          <w:rFonts w:ascii="Arial" w:hAnsi="Arial" w:cs="Arial"/>
          <w:bCs/>
          <w:iCs/>
        </w:rPr>
        <w:t xml:space="preserve">) growth under water deficit where hydrogel application increased plant height, stem diameter, leaf length, and overall growth under drought stress </w:t>
      </w:r>
      <w:r w:rsidR="00BE5393">
        <w:rPr>
          <w:rFonts w:ascii="Arial" w:hAnsi="Arial" w:cs="Arial"/>
          <w:bCs/>
          <w:iCs/>
        </w:rPr>
        <w:t>[63]</w:t>
      </w:r>
      <w:r w:rsidRPr="0056591E">
        <w:rPr>
          <w:rFonts w:ascii="Arial" w:hAnsi="Arial" w:cs="Arial"/>
          <w:bCs/>
          <w:iCs/>
        </w:rPr>
        <w:t>.</w:t>
      </w:r>
    </w:p>
    <w:p w14:paraId="0B5D8555" w14:textId="77777777" w:rsidR="007F23F8" w:rsidRDefault="007F23F8" w:rsidP="007F23F8">
      <w:pPr>
        <w:pStyle w:val="Body"/>
        <w:spacing w:after="0"/>
        <w:rPr>
          <w:rFonts w:ascii="Arial" w:hAnsi="Arial" w:cs="Arial"/>
        </w:rPr>
      </w:pPr>
    </w:p>
    <w:p w14:paraId="1DD0C0D5"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326B5D">
        <w:rPr>
          <w:rFonts w:ascii="Arial" w:hAnsi="Arial" w:cs="Arial"/>
          <w:b/>
          <w:caps/>
          <w:sz w:val="22"/>
        </w:rPr>
        <w:t>6</w:t>
      </w:r>
      <w:r w:rsidRPr="00C30A0F">
        <w:rPr>
          <w:rFonts w:ascii="Arial" w:hAnsi="Arial" w:cs="Arial"/>
          <w:b/>
          <w:caps/>
          <w:sz w:val="22"/>
        </w:rPr>
        <w:t xml:space="preserve"> </w:t>
      </w:r>
      <w:r w:rsidR="00326B5D" w:rsidRPr="00326B5D">
        <w:rPr>
          <w:rFonts w:ascii="Arial" w:hAnsi="Arial" w:cs="Arial"/>
          <w:b/>
          <w:sz w:val="22"/>
        </w:rPr>
        <w:t>Number of Leaves per Plant (LS)</w:t>
      </w:r>
    </w:p>
    <w:p w14:paraId="6C8272A2" w14:textId="77777777" w:rsidR="007F23F8" w:rsidRDefault="007F23F8" w:rsidP="007F23F8">
      <w:pPr>
        <w:pStyle w:val="Body"/>
        <w:spacing w:after="0"/>
        <w:rPr>
          <w:rFonts w:ascii="Arial" w:hAnsi="Arial" w:cs="Arial"/>
        </w:rPr>
      </w:pPr>
    </w:p>
    <w:p w14:paraId="6374A716" w14:textId="77777777" w:rsidR="00EA38AC" w:rsidRPr="00EA38AC" w:rsidRDefault="00EA38AC" w:rsidP="00EA38AC">
      <w:pPr>
        <w:pStyle w:val="Body"/>
        <w:rPr>
          <w:rFonts w:ascii="Arial" w:hAnsi="Arial" w:cs="Arial"/>
          <w:bCs/>
          <w:iCs/>
        </w:rPr>
      </w:pPr>
      <w:r w:rsidRPr="00EA38AC">
        <w:rPr>
          <w:rFonts w:ascii="Arial" w:hAnsi="Arial" w:cs="Arial"/>
          <w:bCs/>
          <w:iCs/>
        </w:rPr>
        <w:t>No significant differences were observed (</w:t>
      </w:r>
      <w:r w:rsidRPr="00EA38AC">
        <w:rPr>
          <w:rFonts w:ascii="Arial" w:hAnsi="Arial" w:cs="Arial"/>
          <w:bCs/>
          <w:i/>
          <w:iCs/>
        </w:rPr>
        <w:t>P</w:t>
      </w:r>
      <w:r>
        <w:rPr>
          <w:rFonts w:ascii="Arial" w:hAnsi="Arial" w:cs="Arial"/>
          <w:bCs/>
          <w:iCs/>
        </w:rPr>
        <w:t xml:space="preserve"> &gt; </w:t>
      </w:r>
      <w:r w:rsidRPr="00EA38AC">
        <w:rPr>
          <w:rFonts w:ascii="Arial" w:hAnsi="Arial" w:cs="Arial"/>
          <w:bCs/>
          <w:iCs/>
        </w:rPr>
        <w:t>.05) in the IF × HD interaction or for the IF factor (Table 3); however, significant differences (p ≤ .05) were detected for the HD factor regarding the response variable “number of leaves per plant” (Table 4). It was observed that HD application at 1.0 and 0.5 g cell</w:t>
      </w:r>
      <w:r w:rsidRPr="00EA38AC">
        <w:rPr>
          <w:rFonts w:ascii="Arial" w:hAnsi="Arial" w:cs="Arial"/>
          <w:bCs/>
          <w:iCs/>
          <w:vertAlign w:val="superscript"/>
        </w:rPr>
        <w:t>-1</w:t>
      </w:r>
      <w:r w:rsidRPr="00EA38AC">
        <w:rPr>
          <w:rFonts w:ascii="Arial" w:hAnsi="Arial" w:cs="Arial"/>
          <w:bCs/>
          <w:iCs/>
        </w:rPr>
        <w:t xml:space="preserve"> significantly enhanced leaf development in tomato seedlings, with averages of 4.22 ± 0.23 and 4.15 ± 0.24 leaves per plant, respectively. These valu</w:t>
      </w:r>
      <w:r w:rsidR="00BE5393">
        <w:rPr>
          <w:rFonts w:ascii="Arial" w:hAnsi="Arial" w:cs="Arial"/>
          <w:bCs/>
          <w:iCs/>
        </w:rPr>
        <w:t xml:space="preserve">es differed significantly (p ≤ </w:t>
      </w:r>
      <w:r w:rsidRPr="00EA38AC">
        <w:rPr>
          <w:rFonts w:ascii="Arial" w:hAnsi="Arial" w:cs="Arial"/>
          <w:bCs/>
          <w:iCs/>
        </w:rPr>
        <w:t>.05) from the control treatment, which registered an average of 3.58 ± 0.17 leaves. Conversely, no significant differences (</w:t>
      </w:r>
      <w:r w:rsidRPr="00EA38AC">
        <w:rPr>
          <w:rFonts w:ascii="Arial" w:hAnsi="Arial" w:cs="Arial"/>
          <w:bCs/>
          <w:i/>
          <w:iCs/>
        </w:rPr>
        <w:t>P</w:t>
      </w:r>
      <w:r w:rsidRPr="00EA38AC">
        <w:rPr>
          <w:rFonts w:ascii="Arial" w:hAnsi="Arial" w:cs="Arial"/>
          <w:bCs/>
          <w:iCs/>
        </w:rPr>
        <w:t xml:space="preserve"> &gt; .05) were detected in the number of leaves between the 0.1 g cell</w:t>
      </w:r>
      <w:r w:rsidRPr="00EA38AC">
        <w:rPr>
          <w:rFonts w:ascii="Arial" w:hAnsi="Arial" w:cs="Arial"/>
          <w:bCs/>
          <w:iCs/>
          <w:vertAlign w:val="superscript"/>
        </w:rPr>
        <w:t>-1</w:t>
      </w:r>
      <w:r w:rsidRPr="00EA38AC">
        <w:rPr>
          <w:rFonts w:ascii="Arial" w:hAnsi="Arial" w:cs="Arial"/>
          <w:bCs/>
          <w:iCs/>
        </w:rPr>
        <w:t xml:space="preserve"> treatment (3.98 ± 0.29) and the control (Table 4).</w:t>
      </w:r>
    </w:p>
    <w:p w14:paraId="0D3AE91D" w14:textId="77777777" w:rsidR="00EA38AC" w:rsidRPr="00EA38AC" w:rsidRDefault="00EA38AC" w:rsidP="00EA38AC">
      <w:pPr>
        <w:pStyle w:val="Body"/>
        <w:rPr>
          <w:rFonts w:ascii="Arial" w:hAnsi="Arial" w:cs="Arial"/>
          <w:bCs/>
          <w:iCs/>
        </w:rPr>
      </w:pPr>
      <w:r w:rsidRPr="00EA38AC">
        <w:rPr>
          <w:rFonts w:ascii="Arial" w:hAnsi="Arial" w:cs="Arial"/>
          <w:bCs/>
          <w:iCs/>
        </w:rPr>
        <w:t>The results demonstrate that HD is a critical factor for the foliar development of tomato seedlings. Medium and high doses (0.5-1.0 g cell</w:t>
      </w:r>
      <w:r w:rsidRPr="00EA38AC">
        <w:rPr>
          <w:rFonts w:ascii="Arial" w:hAnsi="Arial" w:cs="Arial"/>
          <w:bCs/>
          <w:iCs/>
          <w:vertAlign w:val="superscript"/>
        </w:rPr>
        <w:t>-1</w:t>
      </w:r>
      <w:r w:rsidRPr="00EA38AC">
        <w:rPr>
          <w:rFonts w:ascii="Arial" w:hAnsi="Arial" w:cs="Arial"/>
          <w:bCs/>
          <w:iCs/>
        </w:rPr>
        <w:t>) significantly improved leaf number, while the low dose (0.1 g cell</w:t>
      </w:r>
      <w:r w:rsidRPr="00EA38AC">
        <w:rPr>
          <w:rFonts w:ascii="Arial" w:hAnsi="Arial" w:cs="Arial"/>
          <w:bCs/>
          <w:iCs/>
          <w:vertAlign w:val="superscript"/>
        </w:rPr>
        <w:t>-1</w:t>
      </w:r>
      <w:r w:rsidRPr="00EA38AC">
        <w:rPr>
          <w:rFonts w:ascii="Arial" w:hAnsi="Arial" w:cs="Arial"/>
          <w:bCs/>
          <w:iCs/>
        </w:rPr>
        <w:t xml:space="preserve">) showed no differences compared with the control. This effect can be explained by the mechanism of action of hydrogels, whose application as soil amendments is a recognized strategy to mitigate the effects of water stress in plants </w:t>
      </w:r>
      <w:r w:rsidR="00BE5393">
        <w:rPr>
          <w:rFonts w:ascii="Arial" w:hAnsi="Arial" w:cs="Arial"/>
          <w:bCs/>
          <w:iCs/>
        </w:rPr>
        <w:t>[64]</w:t>
      </w:r>
      <w:r w:rsidRPr="00EA38AC">
        <w:rPr>
          <w:rFonts w:ascii="Arial" w:hAnsi="Arial" w:cs="Arial"/>
          <w:bCs/>
          <w:iCs/>
        </w:rPr>
        <w:t xml:space="preserve">. A direct relationship exists between soil water content and leaf development </w:t>
      </w:r>
      <w:r w:rsidR="00BE5393">
        <w:rPr>
          <w:rFonts w:ascii="Arial" w:hAnsi="Arial" w:cs="Arial"/>
          <w:bCs/>
          <w:iCs/>
        </w:rPr>
        <w:t>[65]</w:t>
      </w:r>
      <w:r w:rsidRPr="00EA38AC">
        <w:rPr>
          <w:rFonts w:ascii="Arial" w:hAnsi="Arial" w:cs="Arial"/>
          <w:bCs/>
          <w:iCs/>
        </w:rPr>
        <w:t>.</w:t>
      </w:r>
    </w:p>
    <w:p w14:paraId="280DA327" w14:textId="77777777" w:rsidR="007F23F8" w:rsidRPr="00E7707C" w:rsidRDefault="00EA38AC" w:rsidP="00EA38AC">
      <w:pPr>
        <w:pStyle w:val="Body"/>
        <w:spacing w:after="0"/>
        <w:rPr>
          <w:rFonts w:ascii="Arial" w:hAnsi="Arial" w:cs="Arial"/>
          <w:bCs/>
          <w:iCs/>
        </w:rPr>
      </w:pPr>
      <w:r w:rsidRPr="00EA38AC">
        <w:rPr>
          <w:rFonts w:ascii="Arial" w:hAnsi="Arial" w:cs="Arial"/>
          <w:bCs/>
          <w:iCs/>
        </w:rPr>
        <w:t xml:space="preserve">The relationship between water availability and growth is fundamental, since water supply is a determining factor in biomass accumulation, establishing a strong interdependence between both parameters </w:t>
      </w:r>
      <w:r w:rsidR="00BE5393">
        <w:rPr>
          <w:rFonts w:ascii="Arial" w:hAnsi="Arial" w:cs="Arial"/>
          <w:bCs/>
          <w:iCs/>
        </w:rPr>
        <w:t>[66]</w:t>
      </w:r>
      <w:r w:rsidRPr="00EA38AC">
        <w:rPr>
          <w:rFonts w:ascii="Arial" w:hAnsi="Arial" w:cs="Arial"/>
          <w:bCs/>
          <w:iCs/>
        </w:rPr>
        <w:t xml:space="preserve">. Under water stress conditions, plants exhibit morphological responses such as the reduction of various growth rates; specifically, leaf number decreases, thereby reducing photosynthetic capacity </w:t>
      </w:r>
      <w:r w:rsidR="00BE5393">
        <w:rPr>
          <w:rFonts w:ascii="Arial" w:hAnsi="Arial" w:cs="Arial"/>
          <w:bCs/>
          <w:iCs/>
        </w:rPr>
        <w:t>[67]</w:t>
      </w:r>
      <w:r w:rsidRPr="00EA38AC">
        <w:rPr>
          <w:rFonts w:ascii="Arial" w:hAnsi="Arial" w:cs="Arial"/>
          <w:bCs/>
          <w:iCs/>
        </w:rPr>
        <w:t xml:space="preserve">. In this context, hydrogel acts as a soil moisture reservoir due to its high hydrophilic capacity </w:t>
      </w:r>
      <w:r w:rsidR="00360909">
        <w:rPr>
          <w:rFonts w:ascii="Arial" w:hAnsi="Arial" w:cs="Arial"/>
          <w:bCs/>
          <w:iCs/>
        </w:rPr>
        <w:t>[68]</w:t>
      </w:r>
      <w:r w:rsidRPr="00EA38AC">
        <w:rPr>
          <w:rFonts w:ascii="Arial" w:hAnsi="Arial" w:cs="Arial"/>
          <w:bCs/>
          <w:iCs/>
        </w:rPr>
        <w:t xml:space="preserve">. This water-retention mechanism explains both the lack of effect at the low dose and the significant improvement in leaf number with more effective doses reported in this study and by other authors </w:t>
      </w:r>
      <w:r w:rsidR="00360909">
        <w:rPr>
          <w:rFonts w:ascii="Arial" w:hAnsi="Arial" w:cs="Arial"/>
          <w:bCs/>
          <w:iCs/>
        </w:rPr>
        <w:t>[69,70]</w:t>
      </w:r>
      <w:r w:rsidRPr="00EA38AC">
        <w:rPr>
          <w:rFonts w:ascii="Arial" w:hAnsi="Arial" w:cs="Arial"/>
          <w:bCs/>
          <w:iCs/>
        </w:rPr>
        <w:t>.</w:t>
      </w:r>
    </w:p>
    <w:p w14:paraId="2E38C9B0" w14:textId="77777777" w:rsidR="007F23F8" w:rsidRDefault="007F23F8" w:rsidP="007F23F8">
      <w:pPr>
        <w:pStyle w:val="Body"/>
        <w:spacing w:after="0"/>
        <w:rPr>
          <w:rFonts w:ascii="Arial" w:hAnsi="Arial" w:cs="Arial"/>
        </w:rPr>
      </w:pPr>
    </w:p>
    <w:p w14:paraId="539E3975"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326B5D">
        <w:rPr>
          <w:rFonts w:ascii="Arial" w:hAnsi="Arial" w:cs="Arial"/>
          <w:b/>
          <w:caps/>
          <w:sz w:val="22"/>
        </w:rPr>
        <w:t>7</w:t>
      </w:r>
      <w:r w:rsidRPr="00C30A0F">
        <w:rPr>
          <w:rFonts w:ascii="Arial" w:hAnsi="Arial" w:cs="Arial"/>
          <w:b/>
          <w:caps/>
          <w:sz w:val="22"/>
        </w:rPr>
        <w:t xml:space="preserve"> </w:t>
      </w:r>
      <w:r w:rsidR="00326B5D" w:rsidRPr="00326B5D">
        <w:rPr>
          <w:rFonts w:ascii="Arial" w:hAnsi="Arial" w:cs="Arial"/>
          <w:b/>
          <w:sz w:val="22"/>
        </w:rPr>
        <w:t xml:space="preserve">Root </w:t>
      </w:r>
      <w:r w:rsidR="00326B5D">
        <w:rPr>
          <w:rFonts w:ascii="Arial" w:hAnsi="Arial" w:cs="Arial"/>
          <w:b/>
          <w:sz w:val="22"/>
        </w:rPr>
        <w:t>W</w:t>
      </w:r>
      <w:r w:rsidR="00326B5D" w:rsidRPr="00326B5D">
        <w:rPr>
          <w:rFonts w:ascii="Arial" w:hAnsi="Arial" w:cs="Arial"/>
          <w:b/>
          <w:sz w:val="22"/>
        </w:rPr>
        <w:t>eight (RW)</w:t>
      </w:r>
    </w:p>
    <w:p w14:paraId="780F1325" w14:textId="77777777" w:rsidR="007F23F8" w:rsidRDefault="007F23F8" w:rsidP="007F23F8">
      <w:pPr>
        <w:pStyle w:val="Body"/>
        <w:spacing w:after="0"/>
        <w:rPr>
          <w:rFonts w:ascii="Arial" w:hAnsi="Arial" w:cs="Arial"/>
        </w:rPr>
      </w:pPr>
    </w:p>
    <w:p w14:paraId="755E63E1" w14:textId="77777777" w:rsidR="00EA38AC" w:rsidRDefault="00EA38AC" w:rsidP="007F23F8">
      <w:pPr>
        <w:pStyle w:val="Body"/>
        <w:spacing w:after="0"/>
        <w:rPr>
          <w:rFonts w:ascii="Arial" w:hAnsi="Arial" w:cs="Arial"/>
        </w:rPr>
      </w:pPr>
      <w:r>
        <w:rPr>
          <w:rFonts w:ascii="Arial" w:hAnsi="Arial" w:cs="Arial"/>
        </w:rPr>
        <w:t>Significant differences (</w:t>
      </w:r>
      <w:r w:rsidRPr="00EA38AC">
        <w:rPr>
          <w:rFonts w:ascii="Arial" w:hAnsi="Arial" w:cs="Arial"/>
          <w:i/>
        </w:rPr>
        <w:t>P</w:t>
      </w:r>
      <w:r>
        <w:rPr>
          <w:rFonts w:ascii="Arial" w:hAnsi="Arial" w:cs="Arial"/>
        </w:rPr>
        <w:t xml:space="preserve"> ≤ </w:t>
      </w:r>
      <w:r w:rsidRPr="00EA38AC">
        <w:rPr>
          <w:rFonts w:ascii="Arial" w:hAnsi="Arial" w:cs="Arial"/>
        </w:rPr>
        <w:t>.05) were found both in the IF × HD interaction and for the individual IF and HD factors regarding the root weight response variable (Table 3). A reduction in seedling root weight was observed as HD increased, and this effect was consistent regardless of the IF evaluated (Figure 3).</w:t>
      </w:r>
    </w:p>
    <w:p w14:paraId="412AAF3E" w14:textId="77777777" w:rsidR="00EA38AC" w:rsidRDefault="00EA38AC" w:rsidP="007F23F8">
      <w:pPr>
        <w:pStyle w:val="Body"/>
        <w:spacing w:after="0"/>
        <w:rPr>
          <w:rFonts w:ascii="Arial" w:hAnsi="Arial" w:cs="Arial"/>
        </w:rPr>
      </w:pPr>
    </w:p>
    <w:p w14:paraId="1D91A4C8" w14:textId="77777777" w:rsidR="00EA38AC" w:rsidRPr="00EA38AC" w:rsidRDefault="00EA38AC" w:rsidP="00276FB2">
      <w:pPr>
        <w:pStyle w:val="Body"/>
        <w:jc w:val="center"/>
        <w:rPr>
          <w:rFonts w:ascii="Arial" w:hAnsi="Arial" w:cs="Arial"/>
        </w:rPr>
      </w:pPr>
      <w:r w:rsidRPr="00EA38AC">
        <w:rPr>
          <w:rFonts w:ascii="Arial" w:hAnsi="Arial" w:cs="Arial"/>
          <w:noProof/>
          <w:lang w:val="pt-BR" w:eastAsia="pt-BR"/>
        </w:rPr>
        <w:lastRenderedPageBreak/>
        <w:drawing>
          <wp:inline distT="0" distB="0" distL="0" distR="0" wp14:anchorId="7762383D" wp14:editId="0E148090">
            <wp:extent cx="5163795" cy="3355451"/>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92533" cy="3374125"/>
                    </a:xfrm>
                    <a:prstGeom prst="rect">
                      <a:avLst/>
                    </a:prstGeom>
                    <a:noFill/>
                  </pic:spPr>
                </pic:pic>
              </a:graphicData>
            </a:graphic>
          </wp:inline>
        </w:drawing>
      </w:r>
    </w:p>
    <w:p w14:paraId="776B5C87" w14:textId="77777777" w:rsidR="00EA38AC" w:rsidRPr="00EA38AC" w:rsidRDefault="00EA38AC" w:rsidP="00EA38AC">
      <w:pPr>
        <w:pStyle w:val="Body"/>
        <w:spacing w:after="0"/>
        <w:rPr>
          <w:rFonts w:ascii="Arial" w:hAnsi="Arial" w:cs="Arial"/>
          <w:b/>
        </w:rPr>
      </w:pPr>
      <w:r w:rsidRPr="00EA38AC">
        <w:rPr>
          <w:rFonts w:ascii="Arial" w:hAnsi="Arial" w:cs="Arial"/>
          <w:b/>
        </w:rPr>
        <w:t>Figure 3. Interaction between hydrogel doses and frequency of watering in the fresh root weight of tomato seedlings. The values correspond to the mean ± standard deviation.</w:t>
      </w:r>
    </w:p>
    <w:p w14:paraId="6CC99902" w14:textId="77777777" w:rsidR="00EA38AC" w:rsidRDefault="00EA38AC" w:rsidP="007F23F8">
      <w:pPr>
        <w:pStyle w:val="Body"/>
        <w:spacing w:after="0"/>
        <w:rPr>
          <w:rFonts w:ascii="Arial" w:hAnsi="Arial" w:cs="Arial"/>
        </w:rPr>
      </w:pPr>
    </w:p>
    <w:p w14:paraId="0CFFC635" w14:textId="77777777" w:rsidR="00EA38AC" w:rsidRPr="00EA38AC" w:rsidRDefault="00EA38AC" w:rsidP="00EA38AC">
      <w:pPr>
        <w:pStyle w:val="Body"/>
        <w:rPr>
          <w:rFonts w:ascii="Arial" w:hAnsi="Arial" w:cs="Arial"/>
          <w:bCs/>
          <w:iCs/>
        </w:rPr>
      </w:pPr>
      <w:r w:rsidRPr="00EA38AC">
        <w:rPr>
          <w:rFonts w:ascii="Arial" w:hAnsi="Arial" w:cs="Arial"/>
          <w:bCs/>
          <w:iCs/>
        </w:rPr>
        <w:t>The highest root weights were recorded at an HD of 0.1 g cell</w:t>
      </w:r>
      <w:r w:rsidRPr="00EA38AC">
        <w:rPr>
          <w:rFonts w:ascii="Arial" w:hAnsi="Arial" w:cs="Arial"/>
          <w:bCs/>
          <w:iCs/>
          <w:vertAlign w:val="superscript"/>
        </w:rPr>
        <w:t>-1</w:t>
      </w:r>
      <w:r w:rsidRPr="00EA38AC">
        <w:rPr>
          <w:rFonts w:ascii="Arial" w:hAnsi="Arial" w:cs="Arial"/>
          <w:bCs/>
          <w:iCs/>
        </w:rPr>
        <w:t xml:space="preserve"> with IF applied 2 and 3 times per week, reaching 0.76 ± 0.01 g and 0.73 ± 0.01 g, respectively. All treatments evaluated showed higher root weights compared with the control (0.49 ± 0.00 g) (Figure 3). The maximum root weight was achieved with the lowest HD (0.1 g cell</w:t>
      </w:r>
      <w:r w:rsidRPr="00EA38AC">
        <w:rPr>
          <w:rFonts w:ascii="Arial" w:hAnsi="Arial" w:cs="Arial"/>
          <w:bCs/>
          <w:iCs/>
          <w:vertAlign w:val="superscript"/>
        </w:rPr>
        <w:t>-1</w:t>
      </w:r>
      <w:r w:rsidRPr="00EA38AC">
        <w:rPr>
          <w:rFonts w:ascii="Arial" w:hAnsi="Arial" w:cs="Arial"/>
          <w:bCs/>
          <w:iCs/>
        </w:rPr>
        <w:t>), particularly in combination with IF 2 and 3 times per week, registering values between 0.76 and 0.73 g. These results indicate that, for root weight, low HD combined with moderate IF frequencies (2-3 times per week) are more effective than high HD, irrespective of IF, or compared with the absence of hydrogel and the control with IF applied 3 times per day (Figure 3).</w:t>
      </w:r>
    </w:p>
    <w:p w14:paraId="4B63A90F" w14:textId="77777777" w:rsidR="00EA38AC" w:rsidRPr="00EA38AC" w:rsidRDefault="00EA38AC" w:rsidP="00EA38AC">
      <w:pPr>
        <w:pStyle w:val="Body"/>
        <w:rPr>
          <w:rFonts w:ascii="Arial" w:hAnsi="Arial" w:cs="Arial"/>
          <w:bCs/>
          <w:iCs/>
        </w:rPr>
      </w:pPr>
      <w:r w:rsidRPr="00EA38AC">
        <w:rPr>
          <w:rFonts w:ascii="Arial" w:hAnsi="Arial" w:cs="Arial"/>
          <w:bCs/>
          <w:iCs/>
        </w:rPr>
        <w:t xml:space="preserve">The findings confirm that low HD application significantly promoted the development of the root system in tomato seedlings. This observation is consistent with Biehl et al. </w:t>
      </w:r>
      <w:r w:rsidR="00360909">
        <w:rPr>
          <w:rFonts w:ascii="Arial" w:hAnsi="Arial" w:cs="Arial"/>
          <w:bCs/>
          <w:iCs/>
        </w:rPr>
        <w:t>[71]</w:t>
      </w:r>
      <w:r w:rsidRPr="00EA38AC">
        <w:rPr>
          <w:rFonts w:ascii="Arial" w:hAnsi="Arial" w:cs="Arial"/>
          <w:bCs/>
          <w:iCs/>
        </w:rPr>
        <w:t xml:space="preserve">, who reported significant increases in root biomass and greater proliferation of thin superficial roots in the presence of hydrogel polymers. Such behavior can be attributed to the ability of hydrogels to maintain adequate water availability in the root zone, thereby enhancing root growth </w:t>
      </w:r>
      <w:r w:rsidR="00360909">
        <w:rPr>
          <w:rFonts w:ascii="Arial" w:hAnsi="Arial" w:cs="Arial"/>
          <w:bCs/>
          <w:iCs/>
        </w:rPr>
        <w:t>[72]</w:t>
      </w:r>
      <w:r w:rsidRPr="00EA38AC">
        <w:rPr>
          <w:rFonts w:ascii="Arial" w:hAnsi="Arial" w:cs="Arial"/>
          <w:bCs/>
          <w:iCs/>
        </w:rPr>
        <w:t xml:space="preserve">. According to </w:t>
      </w:r>
      <w:proofErr w:type="spellStart"/>
      <w:r w:rsidRPr="00EA38AC">
        <w:rPr>
          <w:rFonts w:ascii="Arial" w:hAnsi="Arial" w:cs="Arial"/>
          <w:bCs/>
          <w:iCs/>
        </w:rPr>
        <w:t>Errahali</w:t>
      </w:r>
      <w:proofErr w:type="spellEnd"/>
      <w:r w:rsidRPr="00EA38AC">
        <w:rPr>
          <w:rFonts w:ascii="Arial" w:hAnsi="Arial" w:cs="Arial"/>
          <w:bCs/>
          <w:iCs/>
        </w:rPr>
        <w:t xml:space="preserve"> et al. </w:t>
      </w:r>
      <w:r w:rsidR="00360909">
        <w:rPr>
          <w:rFonts w:ascii="Arial" w:hAnsi="Arial" w:cs="Arial"/>
          <w:bCs/>
          <w:iCs/>
        </w:rPr>
        <w:t>[73]</w:t>
      </w:r>
      <w:r w:rsidRPr="00EA38AC">
        <w:rPr>
          <w:rFonts w:ascii="Arial" w:hAnsi="Arial" w:cs="Arial"/>
          <w:bCs/>
          <w:iCs/>
        </w:rPr>
        <w:t xml:space="preserve">, hydrogel concentrations between 0.3 and 0.5% relative to the dry weight of the substrate are suitable for tomato cultivation in clayey and sandy loam soils. </w:t>
      </w:r>
    </w:p>
    <w:p w14:paraId="49597B11" w14:textId="77777777" w:rsidR="00EA38AC" w:rsidRPr="00EA38AC" w:rsidRDefault="00EA38AC" w:rsidP="00EA38AC">
      <w:pPr>
        <w:pStyle w:val="Body"/>
        <w:rPr>
          <w:rFonts w:ascii="Arial" w:hAnsi="Arial" w:cs="Arial"/>
          <w:bCs/>
          <w:iCs/>
        </w:rPr>
      </w:pPr>
      <w:r w:rsidRPr="00EA38AC">
        <w:rPr>
          <w:rFonts w:ascii="Arial" w:hAnsi="Arial" w:cs="Arial"/>
          <w:bCs/>
          <w:iCs/>
        </w:rPr>
        <w:t xml:space="preserve">However, although root weight generally declined with increasing hydrogel dose, these differences were not statistically significant when compared with the control, as also documented by Pereira et al. </w:t>
      </w:r>
      <w:r w:rsidR="00360909">
        <w:rPr>
          <w:rFonts w:ascii="Arial" w:hAnsi="Arial" w:cs="Arial"/>
          <w:bCs/>
          <w:iCs/>
        </w:rPr>
        <w:t>[74]</w:t>
      </w:r>
      <w:r w:rsidRPr="00EA38AC">
        <w:rPr>
          <w:rFonts w:ascii="Arial" w:hAnsi="Arial" w:cs="Arial"/>
          <w:bCs/>
          <w:iCs/>
        </w:rPr>
        <w:t xml:space="preserve">. The reduction in root development at higher doses may be explained by structural changes in the soil induced by excessive hydrogel application. While the polymer enhances important soil properties such as porosity, bulk density, and water-holding capacity </w:t>
      </w:r>
      <w:r w:rsidR="00360909">
        <w:rPr>
          <w:rFonts w:ascii="Arial" w:hAnsi="Arial" w:cs="Arial"/>
          <w:bCs/>
          <w:iCs/>
        </w:rPr>
        <w:t>[61]</w:t>
      </w:r>
      <w:r w:rsidRPr="00EA38AC">
        <w:rPr>
          <w:rFonts w:ascii="Arial" w:hAnsi="Arial" w:cs="Arial"/>
          <w:bCs/>
          <w:iCs/>
        </w:rPr>
        <w:t xml:space="preserve">, excessive doses can disrupt the soil matrix, restricting root penetration and growth </w:t>
      </w:r>
      <w:r w:rsidR="00360909">
        <w:rPr>
          <w:rFonts w:ascii="Arial" w:hAnsi="Arial" w:cs="Arial"/>
          <w:bCs/>
          <w:iCs/>
        </w:rPr>
        <w:t>[75]</w:t>
      </w:r>
      <w:r w:rsidRPr="00EA38AC">
        <w:rPr>
          <w:rFonts w:ascii="Arial" w:hAnsi="Arial" w:cs="Arial"/>
          <w:bCs/>
          <w:iCs/>
        </w:rPr>
        <w:t xml:space="preserve"> or reducing oxygen availability. As highlighted by Helliwell et al. </w:t>
      </w:r>
      <w:r w:rsidR="00360909">
        <w:rPr>
          <w:rFonts w:ascii="Arial" w:hAnsi="Arial" w:cs="Arial"/>
          <w:bCs/>
          <w:iCs/>
        </w:rPr>
        <w:t>[76]</w:t>
      </w:r>
      <w:r w:rsidRPr="00EA38AC">
        <w:rPr>
          <w:rFonts w:ascii="Arial" w:hAnsi="Arial" w:cs="Arial"/>
          <w:bCs/>
          <w:iCs/>
        </w:rPr>
        <w:t xml:space="preserve">, soil </w:t>
      </w:r>
      <w:r w:rsidRPr="00EA38AC">
        <w:rPr>
          <w:rFonts w:ascii="Arial" w:hAnsi="Arial" w:cs="Arial"/>
          <w:bCs/>
          <w:iCs/>
        </w:rPr>
        <w:lastRenderedPageBreak/>
        <w:t xml:space="preserve">porosity and aeration are critical parameters that limit root development. Thus, there is a nonlinear, dose-dependent relationship between hydrogel concentration and soil physical improvements that favor tomato root growth. Takahashi et al. </w:t>
      </w:r>
      <w:r w:rsidR="00360909">
        <w:rPr>
          <w:rFonts w:ascii="Arial" w:hAnsi="Arial" w:cs="Arial"/>
          <w:bCs/>
          <w:iCs/>
        </w:rPr>
        <w:t>[77]</w:t>
      </w:r>
      <w:r w:rsidRPr="00EA38AC">
        <w:rPr>
          <w:rFonts w:ascii="Arial" w:hAnsi="Arial" w:cs="Arial"/>
          <w:bCs/>
          <w:iCs/>
        </w:rPr>
        <w:t xml:space="preserve"> further reported that high hydrogel doses could retain large volumes of water, including fractions unavailable to plants under water potentials below -98.1 kPa.</w:t>
      </w:r>
    </w:p>
    <w:p w14:paraId="08D3141F" w14:textId="77777777" w:rsidR="007F23F8" w:rsidRPr="00E7707C" w:rsidRDefault="00EA38AC" w:rsidP="00EA38AC">
      <w:pPr>
        <w:pStyle w:val="Body"/>
        <w:spacing w:after="0"/>
        <w:rPr>
          <w:rFonts w:ascii="Arial" w:hAnsi="Arial" w:cs="Arial"/>
          <w:bCs/>
          <w:iCs/>
        </w:rPr>
      </w:pPr>
      <w:r w:rsidRPr="00EA38AC">
        <w:rPr>
          <w:rFonts w:ascii="Arial" w:hAnsi="Arial" w:cs="Arial"/>
          <w:bCs/>
          <w:iCs/>
        </w:rPr>
        <w:t>Thus, the effect of hydrogel application on tomato seedling root development follows a nonlinear, dose-dependent relationship. Low to moderate HD optimize water availability and promote root proliferation, while excessive HD cause substrate saturation, reduced aeration, and potential root stress. Defining the optimal HD and IF is therefore essential to maximize hydrogel benefits without compromising plant health.</w:t>
      </w:r>
    </w:p>
    <w:p w14:paraId="24B78DAE" w14:textId="77777777" w:rsidR="00EA38AC" w:rsidRDefault="00EA38AC" w:rsidP="007F23F8">
      <w:pPr>
        <w:pStyle w:val="Body"/>
        <w:spacing w:after="0"/>
        <w:rPr>
          <w:rFonts w:ascii="Arial" w:hAnsi="Arial" w:cs="Arial"/>
        </w:rPr>
      </w:pPr>
    </w:p>
    <w:p w14:paraId="30C30A54"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326B5D">
        <w:rPr>
          <w:rFonts w:ascii="Arial" w:hAnsi="Arial" w:cs="Arial"/>
          <w:b/>
          <w:caps/>
          <w:sz w:val="22"/>
        </w:rPr>
        <w:t>8</w:t>
      </w:r>
      <w:r w:rsidRPr="00C30A0F">
        <w:rPr>
          <w:rFonts w:ascii="Arial" w:hAnsi="Arial" w:cs="Arial"/>
          <w:b/>
          <w:caps/>
          <w:sz w:val="22"/>
        </w:rPr>
        <w:t xml:space="preserve"> </w:t>
      </w:r>
      <w:r w:rsidR="00326B5D" w:rsidRPr="00326B5D">
        <w:rPr>
          <w:rFonts w:ascii="Arial" w:hAnsi="Arial" w:cs="Arial"/>
          <w:b/>
          <w:sz w:val="22"/>
        </w:rPr>
        <w:t>Chlorophyll Index (CI)</w:t>
      </w:r>
    </w:p>
    <w:p w14:paraId="4570023F" w14:textId="77777777" w:rsidR="007F23F8" w:rsidRDefault="007F23F8" w:rsidP="007F23F8">
      <w:pPr>
        <w:pStyle w:val="Body"/>
        <w:spacing w:after="0"/>
        <w:rPr>
          <w:rFonts w:ascii="Arial" w:hAnsi="Arial" w:cs="Arial"/>
        </w:rPr>
      </w:pPr>
    </w:p>
    <w:p w14:paraId="7512FA88" w14:textId="77777777" w:rsidR="00EA38AC" w:rsidRDefault="00EA38AC" w:rsidP="007F23F8">
      <w:pPr>
        <w:pStyle w:val="Body"/>
        <w:spacing w:after="0"/>
        <w:rPr>
          <w:rFonts w:ascii="Arial" w:hAnsi="Arial" w:cs="Arial"/>
        </w:rPr>
      </w:pPr>
      <w:r w:rsidRPr="00EA38AC">
        <w:rPr>
          <w:rFonts w:ascii="Arial" w:hAnsi="Arial" w:cs="Arial"/>
        </w:rPr>
        <w:t>Significant differences (</w:t>
      </w:r>
      <w:r w:rsidRPr="00EA38AC">
        <w:rPr>
          <w:rFonts w:ascii="Arial" w:hAnsi="Arial" w:cs="Arial"/>
          <w:i/>
        </w:rPr>
        <w:t>P</w:t>
      </w:r>
      <w:r w:rsidRPr="00EA38AC">
        <w:rPr>
          <w:rFonts w:ascii="Arial" w:hAnsi="Arial" w:cs="Arial"/>
        </w:rPr>
        <w:t xml:space="preserve"> ≤ .05) were found both in the IF × HD interaction and for the main effects of IF and HD on the chlorophyll index response variable (Table 3). A reduction in the chlorophyll index was observed in the seedlings as HD increased, a trend consistent across all irrigation frequencies (IF) evaluated (Figure 4). The highest chlorophyll index values were recorded at an HD of 0.1 g cell</w:t>
      </w:r>
      <w:r w:rsidRPr="00EA38AC">
        <w:rPr>
          <w:rFonts w:ascii="Arial" w:hAnsi="Arial" w:cs="Arial"/>
          <w:vertAlign w:val="superscript"/>
        </w:rPr>
        <w:t>-1</w:t>
      </w:r>
      <w:r w:rsidRPr="00EA38AC">
        <w:rPr>
          <w:rFonts w:ascii="Arial" w:hAnsi="Arial" w:cs="Arial"/>
        </w:rPr>
        <w:t xml:space="preserve"> combined with IFs of two and three times per week, reaching 43.50 ± 0.29 SPAD and 40.50 ± 0.01 SPAD, respectively. These values were significantly higher than those of the other treatments and the control (35.50 ± 1.04 SPAD).</w:t>
      </w:r>
    </w:p>
    <w:p w14:paraId="742236D4" w14:textId="77777777" w:rsidR="00EA38AC" w:rsidRPr="007364A0" w:rsidRDefault="00EA38AC" w:rsidP="007F23F8">
      <w:pPr>
        <w:pStyle w:val="Body"/>
        <w:spacing w:after="0"/>
        <w:rPr>
          <w:rFonts w:ascii="Arial" w:hAnsi="Arial" w:cs="Arial"/>
        </w:rPr>
      </w:pPr>
    </w:p>
    <w:p w14:paraId="5F9E53EE" w14:textId="77777777" w:rsidR="00EA38AC" w:rsidRPr="007364A0" w:rsidRDefault="00EA38AC" w:rsidP="00EA38AC">
      <w:pPr>
        <w:jc w:val="center"/>
        <w:rPr>
          <w:rFonts w:ascii="Arial" w:eastAsia="Arial" w:hAnsi="Arial" w:cs="Arial"/>
        </w:rPr>
      </w:pPr>
      <w:r w:rsidRPr="007364A0">
        <w:rPr>
          <w:rFonts w:ascii="Arial" w:eastAsia="Arial" w:hAnsi="Arial" w:cs="Arial"/>
          <w:bCs/>
          <w:noProof/>
          <w:lang w:val="pt-BR" w:eastAsia="pt-BR"/>
        </w:rPr>
        <w:drawing>
          <wp:inline distT="0" distB="0" distL="0" distR="0" wp14:anchorId="4394C64A" wp14:editId="3D87E4A4">
            <wp:extent cx="5163794" cy="3355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97362" cy="3377263"/>
                    </a:xfrm>
                    <a:prstGeom prst="rect">
                      <a:avLst/>
                    </a:prstGeom>
                    <a:noFill/>
                  </pic:spPr>
                </pic:pic>
              </a:graphicData>
            </a:graphic>
          </wp:inline>
        </w:drawing>
      </w:r>
    </w:p>
    <w:p w14:paraId="5806C779" w14:textId="77777777" w:rsidR="00EA38AC" w:rsidRPr="007364A0" w:rsidRDefault="00EA38AC" w:rsidP="00EA38AC">
      <w:pPr>
        <w:jc w:val="both"/>
        <w:rPr>
          <w:rFonts w:ascii="Arial" w:eastAsia="Arial" w:hAnsi="Arial" w:cs="Arial"/>
          <w:b/>
        </w:rPr>
      </w:pPr>
      <w:r w:rsidRPr="007364A0">
        <w:rPr>
          <w:rFonts w:ascii="Arial" w:eastAsia="Arial" w:hAnsi="Arial" w:cs="Arial"/>
          <w:b/>
        </w:rPr>
        <w:t>Figure 4. Interaction between hydrogel dose and frequency of irrigation in chlorophyll index in tomato seedlings. The values correspond to the mean ± standard deviation.</w:t>
      </w:r>
    </w:p>
    <w:p w14:paraId="171F4A05" w14:textId="77777777" w:rsidR="007F23F8" w:rsidRPr="007364A0" w:rsidRDefault="007F23F8" w:rsidP="00EA38AC">
      <w:pPr>
        <w:pStyle w:val="Body"/>
        <w:spacing w:after="0"/>
        <w:rPr>
          <w:rFonts w:ascii="Arial" w:hAnsi="Arial" w:cs="Arial"/>
          <w:bCs/>
          <w:iCs/>
        </w:rPr>
      </w:pPr>
    </w:p>
    <w:p w14:paraId="26676C39" w14:textId="77777777" w:rsidR="00EA38AC" w:rsidRPr="00EA38AC" w:rsidRDefault="00EA38AC" w:rsidP="00EA38AC">
      <w:pPr>
        <w:pStyle w:val="Body"/>
        <w:rPr>
          <w:rFonts w:ascii="Arial" w:hAnsi="Arial" w:cs="Arial"/>
          <w:bCs/>
          <w:iCs/>
        </w:rPr>
      </w:pPr>
      <w:r w:rsidRPr="007364A0">
        <w:rPr>
          <w:rFonts w:ascii="Arial" w:hAnsi="Arial" w:cs="Arial"/>
          <w:bCs/>
          <w:iCs/>
        </w:rPr>
        <w:t>The hydrogel dose exerted a significant effect on chlorophyll content, with a progressive decline in SPAD index values as the hydroge</w:t>
      </w:r>
      <w:r w:rsidRPr="00EA38AC">
        <w:rPr>
          <w:rFonts w:ascii="Arial" w:hAnsi="Arial" w:cs="Arial"/>
          <w:bCs/>
          <w:iCs/>
        </w:rPr>
        <w:t>l dose increased, regardless of irrigation regime. The optimal combination for maximizing chlorophyll concentration was the lowest hydrogel dose (0.1 g cell</w:t>
      </w:r>
      <w:r w:rsidRPr="00B51EE2">
        <w:rPr>
          <w:rFonts w:ascii="Arial" w:hAnsi="Arial" w:cs="Arial"/>
          <w:bCs/>
          <w:iCs/>
          <w:vertAlign w:val="superscript"/>
        </w:rPr>
        <w:t>-1</w:t>
      </w:r>
      <w:r w:rsidRPr="00EA38AC">
        <w:rPr>
          <w:rFonts w:ascii="Arial" w:hAnsi="Arial" w:cs="Arial"/>
          <w:bCs/>
          <w:iCs/>
        </w:rPr>
        <w:t>) coupled with reduced irrigation frequencies of two and three times per week, which significantly outperformed all other treatments and the control (Figure 4).</w:t>
      </w:r>
    </w:p>
    <w:p w14:paraId="68AF8858" w14:textId="77777777" w:rsidR="00EA38AC" w:rsidRPr="00E7707C" w:rsidRDefault="00EA38AC" w:rsidP="00EA38AC">
      <w:pPr>
        <w:pStyle w:val="Body"/>
        <w:spacing w:after="0"/>
        <w:rPr>
          <w:rFonts w:ascii="Arial" w:hAnsi="Arial" w:cs="Arial"/>
          <w:bCs/>
          <w:iCs/>
        </w:rPr>
      </w:pPr>
      <w:r w:rsidRPr="00EA38AC">
        <w:rPr>
          <w:rFonts w:ascii="Arial" w:hAnsi="Arial" w:cs="Arial"/>
          <w:bCs/>
          <w:iCs/>
        </w:rPr>
        <w:lastRenderedPageBreak/>
        <w:t xml:space="preserve">This pattern of hydrogel improving chlorophyll retention under limited water availability is consistent with findings reported in </w:t>
      </w:r>
      <w:proofErr w:type="spellStart"/>
      <w:r w:rsidRPr="00EA38AC">
        <w:rPr>
          <w:rFonts w:ascii="Arial" w:hAnsi="Arial" w:cs="Arial"/>
          <w:bCs/>
          <w:iCs/>
        </w:rPr>
        <w:t>Hüttermann</w:t>
      </w:r>
      <w:proofErr w:type="spellEnd"/>
      <w:r w:rsidRPr="00EA38AC">
        <w:rPr>
          <w:rFonts w:ascii="Arial" w:hAnsi="Arial" w:cs="Arial"/>
          <w:bCs/>
          <w:iCs/>
        </w:rPr>
        <w:t xml:space="preserve"> et al. </w:t>
      </w:r>
      <w:r w:rsidR="00B51EE2">
        <w:rPr>
          <w:rFonts w:ascii="Arial" w:hAnsi="Arial" w:cs="Arial"/>
          <w:bCs/>
          <w:iCs/>
        </w:rPr>
        <w:t>[78]</w:t>
      </w:r>
      <w:r w:rsidRPr="00EA38AC">
        <w:rPr>
          <w:rFonts w:ascii="Arial" w:hAnsi="Arial" w:cs="Arial"/>
          <w:bCs/>
          <w:iCs/>
        </w:rPr>
        <w:t xml:space="preserve"> and </w:t>
      </w:r>
      <w:proofErr w:type="spellStart"/>
      <w:r w:rsidRPr="00EA38AC">
        <w:rPr>
          <w:rFonts w:ascii="Arial" w:hAnsi="Arial" w:cs="Arial"/>
          <w:bCs/>
          <w:iCs/>
        </w:rPr>
        <w:t>Abobatta</w:t>
      </w:r>
      <w:proofErr w:type="spellEnd"/>
      <w:r w:rsidRPr="00EA38AC">
        <w:rPr>
          <w:rFonts w:ascii="Arial" w:hAnsi="Arial" w:cs="Arial"/>
          <w:bCs/>
          <w:iCs/>
        </w:rPr>
        <w:t xml:space="preserve"> </w:t>
      </w:r>
      <w:r w:rsidR="00B51EE2">
        <w:rPr>
          <w:rFonts w:ascii="Arial" w:hAnsi="Arial" w:cs="Arial"/>
          <w:bCs/>
          <w:iCs/>
        </w:rPr>
        <w:t>[10]</w:t>
      </w:r>
      <w:r w:rsidRPr="00EA38AC">
        <w:rPr>
          <w:rFonts w:ascii="Arial" w:hAnsi="Arial" w:cs="Arial"/>
          <w:bCs/>
          <w:iCs/>
        </w:rPr>
        <w:t>, who demonstrated that hydrogels enhance plant physiological performance by improving water-use efficiency and delaying stress-induced declines in chlorophyll content.</w:t>
      </w:r>
    </w:p>
    <w:p w14:paraId="310E764E" w14:textId="77777777" w:rsidR="00326B5D" w:rsidRDefault="00326B5D" w:rsidP="00326B5D">
      <w:pPr>
        <w:pStyle w:val="Body"/>
        <w:spacing w:after="0"/>
        <w:rPr>
          <w:rFonts w:ascii="Arial" w:hAnsi="Arial" w:cs="Arial"/>
        </w:rPr>
      </w:pPr>
    </w:p>
    <w:p w14:paraId="12DD5C1D" w14:textId="77777777" w:rsidR="00326B5D" w:rsidRDefault="00326B5D" w:rsidP="00326B5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9</w:t>
      </w:r>
      <w:r w:rsidRPr="00C30A0F">
        <w:rPr>
          <w:rFonts w:ascii="Arial" w:hAnsi="Arial" w:cs="Arial"/>
          <w:b/>
          <w:caps/>
          <w:sz w:val="22"/>
        </w:rPr>
        <w:t xml:space="preserve"> </w:t>
      </w:r>
      <w:r w:rsidRPr="00326B5D">
        <w:rPr>
          <w:rFonts w:ascii="Arial" w:hAnsi="Arial" w:cs="Arial"/>
          <w:b/>
          <w:sz w:val="22"/>
        </w:rPr>
        <w:t>Seedling Quality (SQ)</w:t>
      </w:r>
    </w:p>
    <w:p w14:paraId="51238CD7" w14:textId="77777777" w:rsidR="00326B5D" w:rsidRDefault="00326B5D" w:rsidP="00326B5D">
      <w:pPr>
        <w:pStyle w:val="Body"/>
        <w:spacing w:after="0"/>
        <w:rPr>
          <w:rFonts w:ascii="Arial" w:hAnsi="Arial" w:cs="Arial"/>
        </w:rPr>
      </w:pPr>
    </w:p>
    <w:p w14:paraId="5BDEF8CF" w14:textId="77777777" w:rsidR="007364A0" w:rsidRPr="007364A0" w:rsidRDefault="007364A0" w:rsidP="007364A0">
      <w:pPr>
        <w:pStyle w:val="Body"/>
        <w:rPr>
          <w:rFonts w:ascii="Arial" w:hAnsi="Arial" w:cs="Arial"/>
          <w:bCs/>
          <w:iCs/>
        </w:rPr>
      </w:pPr>
      <w:r w:rsidRPr="007364A0">
        <w:rPr>
          <w:rFonts w:ascii="Arial" w:hAnsi="Arial" w:cs="Arial"/>
          <w:bCs/>
          <w:iCs/>
        </w:rPr>
        <w:t>The evaluation of morphological, physiological, and sanitary parameters of tomato seedlings demonstrated that the incorporation of hydrogel into the substrate, particularly at a low dose (0.1 g cell</w:t>
      </w:r>
      <w:r w:rsidRPr="007364A0">
        <w:rPr>
          <w:rFonts w:ascii="Arial" w:hAnsi="Arial" w:cs="Arial"/>
          <w:bCs/>
          <w:iCs/>
          <w:vertAlign w:val="superscript"/>
        </w:rPr>
        <w:t>-1</w:t>
      </w:r>
      <w:r w:rsidRPr="007364A0">
        <w:rPr>
          <w:rFonts w:ascii="Arial" w:hAnsi="Arial" w:cs="Arial"/>
          <w:bCs/>
          <w:iCs/>
        </w:rPr>
        <w:t>), significantly enhanced overall seedling quality by optimizing water use and mitigating water stress. The application of hydrogel at low doses (0.1 g cell</w:t>
      </w:r>
      <w:r w:rsidRPr="007364A0">
        <w:rPr>
          <w:rFonts w:ascii="Arial" w:hAnsi="Arial" w:cs="Arial"/>
          <w:bCs/>
          <w:iCs/>
          <w:vertAlign w:val="superscript"/>
        </w:rPr>
        <w:t>-1</w:t>
      </w:r>
      <w:r w:rsidRPr="007364A0">
        <w:rPr>
          <w:rFonts w:ascii="Arial" w:hAnsi="Arial" w:cs="Arial"/>
          <w:bCs/>
          <w:iCs/>
        </w:rPr>
        <w:t>), combined with reduced irrigation frequency (2-3 times per week), and proved to be the most effective strategy for improving tomato seedling quality. This treatment-accelerated development, reducing the number of days required for transfer to the acclimatization nursery to 35.38 days, and promoted greater root system development (0.76-0.73 g vs. 0.49 g in the control).</w:t>
      </w:r>
    </w:p>
    <w:p w14:paraId="13FBFBD6" w14:textId="77777777" w:rsidR="007364A0" w:rsidRPr="007364A0" w:rsidRDefault="007364A0" w:rsidP="007364A0">
      <w:pPr>
        <w:pStyle w:val="Body"/>
        <w:rPr>
          <w:rFonts w:ascii="Arial" w:hAnsi="Arial" w:cs="Arial"/>
          <w:bCs/>
          <w:iCs/>
        </w:rPr>
      </w:pPr>
      <w:r w:rsidRPr="007364A0">
        <w:rPr>
          <w:rFonts w:ascii="Arial" w:hAnsi="Arial" w:cs="Arial"/>
          <w:bCs/>
          <w:iCs/>
        </w:rPr>
        <w:t>In addition, it improved vigor (75% moderately vigorous seedlings and 25% vigorous in T4 and T7 treatments) and photosynthetic efficiency (chlorophyll index of 43.50-40.50 SPAD). At the same time, it reduced water stress and disease incidence (&lt; 5%), demonstrating a comprehensive improvement in tomato seedling production. Conversely, high hydrogel doses (≥ 0.5 g cell</w:t>
      </w:r>
      <w:r w:rsidRPr="007364A0">
        <w:rPr>
          <w:rFonts w:ascii="Arial" w:hAnsi="Arial" w:cs="Arial"/>
          <w:bCs/>
          <w:iCs/>
          <w:vertAlign w:val="superscript"/>
        </w:rPr>
        <w:t>-1</w:t>
      </w:r>
      <w:r w:rsidRPr="007364A0">
        <w:rPr>
          <w:rFonts w:ascii="Arial" w:hAnsi="Arial" w:cs="Arial"/>
          <w:bCs/>
          <w:iCs/>
        </w:rPr>
        <w:t>) exhibited contradictory effects: although they increased leaf number, they reduced chlorophyll content and increased susceptibility to pathogens (&gt; 7% incidence).</w:t>
      </w:r>
    </w:p>
    <w:p w14:paraId="44F90407" w14:textId="7D8BF547" w:rsidR="00326B5D" w:rsidRDefault="007364A0" w:rsidP="00A2123C">
      <w:pPr>
        <w:pStyle w:val="Body"/>
        <w:rPr>
          <w:rFonts w:ascii="Arial" w:hAnsi="Arial" w:cs="Arial"/>
          <w:bCs/>
          <w:iCs/>
        </w:rPr>
      </w:pPr>
      <w:r w:rsidRPr="007364A0">
        <w:rPr>
          <w:rFonts w:ascii="Arial" w:hAnsi="Arial" w:cs="Arial"/>
          <w:bCs/>
          <w:iCs/>
        </w:rPr>
        <w:t xml:space="preserve">These results emphasize that the benefits of hydrogel are critically dose-dependent, with low concentrations being the only ones capable of simultaneously optimizing all quality parameters in a balanced manner, from health to the </w:t>
      </w:r>
      <w:proofErr w:type="spellStart"/>
      <w:r w:rsidRPr="007364A0">
        <w:rPr>
          <w:rFonts w:ascii="Arial" w:hAnsi="Arial" w:cs="Arial"/>
          <w:bCs/>
          <w:iCs/>
        </w:rPr>
        <w:t>morpho</w:t>
      </w:r>
      <w:proofErr w:type="spellEnd"/>
      <w:r w:rsidRPr="007364A0">
        <w:rPr>
          <w:rFonts w:ascii="Arial" w:hAnsi="Arial" w:cs="Arial"/>
          <w:bCs/>
          <w:iCs/>
        </w:rPr>
        <w:t xml:space="preserve">-physiological development of </w:t>
      </w:r>
      <w:proofErr w:type="spellStart"/>
      <w:r w:rsidRPr="007364A0">
        <w:rPr>
          <w:rFonts w:ascii="Arial" w:hAnsi="Arial" w:cs="Arial"/>
          <w:bCs/>
          <w:iCs/>
        </w:rPr>
        <w:t>INIAF</w:t>
      </w:r>
      <w:proofErr w:type="spellEnd"/>
      <w:r w:rsidRPr="007364A0">
        <w:rPr>
          <w:rFonts w:ascii="Arial" w:hAnsi="Arial" w:cs="Arial"/>
          <w:bCs/>
          <w:iCs/>
        </w:rPr>
        <w:t xml:space="preserve"> </w:t>
      </w:r>
      <w:proofErr w:type="spellStart"/>
      <w:r w:rsidRPr="007364A0">
        <w:rPr>
          <w:rFonts w:ascii="Arial" w:hAnsi="Arial" w:cs="Arial"/>
          <w:bCs/>
          <w:iCs/>
        </w:rPr>
        <w:t>Renacer</w:t>
      </w:r>
      <w:proofErr w:type="spellEnd"/>
      <w:r w:rsidRPr="007364A0">
        <w:rPr>
          <w:rFonts w:ascii="Arial" w:hAnsi="Arial" w:cs="Arial"/>
          <w:bCs/>
          <w:iCs/>
        </w:rPr>
        <w:t xml:space="preserve"> tomato seedlings. Similar findings have been reported for tomato and other horticultural crops, where appropriate hydrogel use improved water-use efficiency, root growth, and seedling vigor </w:t>
      </w:r>
      <w:r w:rsidR="00B51EE2">
        <w:rPr>
          <w:rFonts w:ascii="Arial" w:hAnsi="Arial" w:cs="Arial"/>
          <w:bCs/>
          <w:iCs/>
        </w:rPr>
        <w:t>[10</w:t>
      </w:r>
      <w:proofErr w:type="gramStart"/>
      <w:r w:rsidR="00B51EE2">
        <w:rPr>
          <w:rFonts w:ascii="Arial" w:hAnsi="Arial" w:cs="Arial"/>
          <w:bCs/>
          <w:iCs/>
        </w:rPr>
        <w:t>,78,79</w:t>
      </w:r>
      <w:proofErr w:type="gramEnd"/>
      <w:r w:rsidR="00B51EE2">
        <w:rPr>
          <w:rFonts w:ascii="Arial" w:hAnsi="Arial" w:cs="Arial"/>
          <w:bCs/>
          <w:iCs/>
        </w:rPr>
        <w:t>]</w:t>
      </w:r>
      <w:r w:rsidRPr="007364A0">
        <w:rPr>
          <w:rFonts w:ascii="Arial" w:hAnsi="Arial" w:cs="Arial"/>
          <w:bCs/>
          <w:iCs/>
        </w:rPr>
        <w:t>.</w:t>
      </w:r>
    </w:p>
    <w:p w14:paraId="7D4D92EF" w14:textId="2E3FCFB3" w:rsidR="00A2123C" w:rsidRPr="00E7707C" w:rsidRDefault="00A2123C" w:rsidP="007364A0">
      <w:pPr>
        <w:pStyle w:val="Body"/>
        <w:spacing w:after="0"/>
        <w:rPr>
          <w:rFonts w:ascii="Arial" w:hAnsi="Arial" w:cs="Arial"/>
          <w:bCs/>
          <w:iCs/>
        </w:rPr>
      </w:pPr>
      <w:r w:rsidRPr="00A2123C">
        <w:rPr>
          <w:rFonts w:ascii="Arial" w:hAnsi="Arial" w:cs="Arial"/>
          <w:bCs/>
          <w:iCs/>
          <w:highlight w:val="yellow"/>
        </w:rPr>
        <w:t>Recent reviews and meta-analyses have underscored both the promise and constraints of hydrogel application in horticultural systems, noting benefits in water retention and stress alleviation but also gaps in field-scale protocols [80</w:t>
      </w:r>
      <w:proofErr w:type="gramStart"/>
      <w:r w:rsidRPr="00A2123C">
        <w:rPr>
          <w:rFonts w:ascii="Arial" w:hAnsi="Arial" w:cs="Arial"/>
          <w:bCs/>
          <w:iCs/>
          <w:highlight w:val="yellow"/>
        </w:rPr>
        <w:t>,81</w:t>
      </w:r>
      <w:proofErr w:type="gramEnd"/>
      <w:r w:rsidRPr="00A2123C">
        <w:rPr>
          <w:rFonts w:ascii="Arial" w:hAnsi="Arial" w:cs="Arial"/>
          <w:bCs/>
          <w:iCs/>
          <w:highlight w:val="yellow"/>
        </w:rPr>
        <w:t>]. In parallel, advances in precision irrigation and controlled-environment nursery systems [82</w:t>
      </w:r>
      <w:proofErr w:type="gramStart"/>
      <w:r w:rsidRPr="00A2123C">
        <w:rPr>
          <w:rFonts w:ascii="Arial" w:hAnsi="Arial" w:cs="Arial"/>
          <w:bCs/>
          <w:iCs/>
          <w:highlight w:val="yellow"/>
        </w:rPr>
        <w:t>,83,84</w:t>
      </w:r>
      <w:proofErr w:type="gramEnd"/>
      <w:r w:rsidRPr="00A2123C">
        <w:rPr>
          <w:rFonts w:ascii="Arial" w:hAnsi="Arial" w:cs="Arial"/>
          <w:bCs/>
          <w:iCs/>
          <w:highlight w:val="yellow"/>
        </w:rPr>
        <w:t xml:space="preserve">] provide new methodological benchmarks. Moreover, global bibliometric analyses of vegetable seedling research reveal growing contributions from Latin America and call </w:t>
      </w:r>
      <w:proofErr w:type="gramStart"/>
      <w:r w:rsidRPr="00A2123C">
        <w:rPr>
          <w:rFonts w:ascii="Arial" w:hAnsi="Arial" w:cs="Arial"/>
          <w:bCs/>
          <w:iCs/>
          <w:highlight w:val="yellow"/>
        </w:rPr>
        <w:t>for more empirical work in tropical nurseries [85]</w:t>
      </w:r>
      <w:proofErr w:type="gramEnd"/>
      <w:r w:rsidRPr="00A2123C">
        <w:rPr>
          <w:rFonts w:ascii="Arial" w:hAnsi="Arial" w:cs="Arial"/>
          <w:bCs/>
          <w:iCs/>
          <w:highlight w:val="yellow"/>
        </w:rPr>
        <w:t>. Together, these recent lines of work help situate the present study’s focus on optimizing hydrogel and irrigation combinations within current research frontiers.</w:t>
      </w:r>
    </w:p>
    <w:p w14:paraId="201C5EBB" w14:textId="77777777" w:rsidR="00A82DB7" w:rsidRPr="00A82DB7" w:rsidRDefault="00A82DB7" w:rsidP="00A82DB7"/>
    <w:p w14:paraId="7B6AEB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A82DB7">
        <w:rPr>
          <w:rFonts w:ascii="Arial" w:hAnsi="Arial" w:cs="Arial"/>
        </w:rPr>
        <w:t>S</w:t>
      </w:r>
    </w:p>
    <w:p w14:paraId="4FE3DB7A" w14:textId="77777777" w:rsidR="00790ADA" w:rsidRPr="00A82DB7" w:rsidRDefault="00790ADA" w:rsidP="00A82DB7"/>
    <w:p w14:paraId="7367BB59" w14:textId="77777777" w:rsidR="007364A0" w:rsidRPr="007364A0" w:rsidRDefault="007364A0" w:rsidP="007364A0">
      <w:pPr>
        <w:pStyle w:val="Body"/>
        <w:rPr>
          <w:rFonts w:ascii="Arial" w:hAnsi="Arial" w:cs="Arial"/>
        </w:rPr>
      </w:pPr>
      <w:r w:rsidRPr="007364A0">
        <w:rPr>
          <w:rFonts w:ascii="Arial" w:hAnsi="Arial" w:cs="Arial"/>
        </w:rPr>
        <w:t>The evaluation of morphological, physiological, and sanitary parameters of tomato seedlings demonstrated that the incorporation of hydrogel into the substrate, particularly at a low dose (0.1 g cell</w:t>
      </w:r>
      <w:r w:rsidRPr="007364A0">
        <w:rPr>
          <w:rFonts w:ascii="Arial" w:hAnsi="Arial" w:cs="Arial"/>
          <w:vertAlign w:val="superscript"/>
        </w:rPr>
        <w:t>-1</w:t>
      </w:r>
      <w:r w:rsidRPr="007364A0">
        <w:rPr>
          <w:rFonts w:ascii="Arial" w:hAnsi="Arial" w:cs="Arial"/>
        </w:rPr>
        <w:t>), significantly enhanced overall seedling quality by optimizing water use and mitigating water stress.</w:t>
      </w:r>
    </w:p>
    <w:p w14:paraId="6D8B31FA" w14:textId="77777777" w:rsidR="007364A0" w:rsidRPr="007364A0" w:rsidRDefault="007364A0" w:rsidP="007364A0">
      <w:pPr>
        <w:pStyle w:val="Body"/>
        <w:rPr>
          <w:rFonts w:ascii="Arial" w:hAnsi="Arial" w:cs="Arial"/>
        </w:rPr>
      </w:pPr>
      <w:r w:rsidRPr="007364A0">
        <w:rPr>
          <w:rFonts w:ascii="Arial" w:hAnsi="Arial" w:cs="Arial"/>
        </w:rPr>
        <w:t>The application of hydrogel at low doses (0.1 g cell</w:t>
      </w:r>
      <w:r w:rsidRPr="007364A0">
        <w:rPr>
          <w:rFonts w:ascii="Arial" w:hAnsi="Arial" w:cs="Arial"/>
          <w:vertAlign w:val="superscript"/>
        </w:rPr>
        <w:t>-1</w:t>
      </w:r>
      <w:r w:rsidRPr="007364A0">
        <w:rPr>
          <w:rFonts w:ascii="Arial" w:hAnsi="Arial" w:cs="Arial"/>
        </w:rPr>
        <w:t xml:space="preserve">), combined with reduced irrigation frequency (2-3 times per week), proved to be the most effective strategy for improving tomato seedling quality. This treatment accelerated development, reducing the number of days required for transfer to the acclimatization nursery to 35.38 days, and promoted greater root system development (0.76-0.73 g vs. 0.49 g in the control). In addition, it improved vigor (75% moderately vigorous seedlings and 25% vigorous in T4 and T7 treatments) and photosynthetic efficiency (chlorophyll index of 43.50-40.50 SPAD). At the same time, it reduced water stress </w:t>
      </w:r>
      <w:r w:rsidRPr="007364A0">
        <w:rPr>
          <w:rFonts w:ascii="Arial" w:hAnsi="Arial" w:cs="Arial"/>
        </w:rPr>
        <w:lastRenderedPageBreak/>
        <w:t>and disease incidence (&lt; 5%), demonstrating a comprehensive improvement in tomato seedling production.</w:t>
      </w:r>
    </w:p>
    <w:p w14:paraId="10092C59" w14:textId="77777777" w:rsidR="007364A0" w:rsidRPr="007364A0" w:rsidRDefault="007364A0" w:rsidP="007364A0">
      <w:pPr>
        <w:pStyle w:val="Body"/>
        <w:rPr>
          <w:rFonts w:ascii="Arial" w:hAnsi="Arial" w:cs="Arial"/>
        </w:rPr>
      </w:pPr>
      <w:r w:rsidRPr="007364A0">
        <w:rPr>
          <w:rFonts w:ascii="Arial" w:hAnsi="Arial" w:cs="Arial"/>
        </w:rPr>
        <w:t>Conversely, high hydrogel doses (≥0.5 g/cell) exhibited contradictory effects: although they increased leaf number, they reduced chlorophyll content and increased susceptibility to pathogens (&gt; 7% incidence).</w:t>
      </w:r>
    </w:p>
    <w:p w14:paraId="4AF714CB" w14:textId="77777777" w:rsidR="00B01FCD" w:rsidRDefault="007364A0" w:rsidP="007364A0">
      <w:pPr>
        <w:pStyle w:val="Body"/>
        <w:spacing w:after="0"/>
        <w:rPr>
          <w:rFonts w:ascii="Arial" w:hAnsi="Arial" w:cs="Arial"/>
        </w:rPr>
      </w:pPr>
      <w:r w:rsidRPr="007364A0">
        <w:rPr>
          <w:rFonts w:ascii="Arial" w:hAnsi="Arial" w:cs="Arial"/>
        </w:rPr>
        <w:t xml:space="preserve">These results emphasize that the benefits of hydrogel are critically dose-dependent, with low concentrations being the only ones capable of simultaneously optimizing all quality parameters in a balanced manner, from health to the </w:t>
      </w:r>
      <w:proofErr w:type="spellStart"/>
      <w:r w:rsidRPr="007364A0">
        <w:rPr>
          <w:rFonts w:ascii="Arial" w:hAnsi="Arial" w:cs="Arial"/>
        </w:rPr>
        <w:t>morpho</w:t>
      </w:r>
      <w:proofErr w:type="spellEnd"/>
      <w:r w:rsidRPr="007364A0">
        <w:rPr>
          <w:rFonts w:ascii="Arial" w:hAnsi="Arial" w:cs="Arial"/>
        </w:rPr>
        <w:t xml:space="preserve">-physiological development of </w:t>
      </w:r>
      <w:proofErr w:type="spellStart"/>
      <w:r w:rsidRPr="007364A0">
        <w:rPr>
          <w:rFonts w:ascii="Arial" w:hAnsi="Arial" w:cs="Arial"/>
        </w:rPr>
        <w:t>INIAF</w:t>
      </w:r>
      <w:proofErr w:type="spellEnd"/>
      <w:r w:rsidRPr="007364A0">
        <w:rPr>
          <w:rFonts w:ascii="Arial" w:hAnsi="Arial" w:cs="Arial"/>
        </w:rPr>
        <w:t xml:space="preserve"> </w:t>
      </w:r>
      <w:proofErr w:type="spellStart"/>
      <w:r w:rsidRPr="007364A0">
        <w:rPr>
          <w:rFonts w:ascii="Arial" w:hAnsi="Arial" w:cs="Arial"/>
        </w:rPr>
        <w:t>Renacer</w:t>
      </w:r>
      <w:proofErr w:type="spellEnd"/>
      <w:r w:rsidRPr="007364A0">
        <w:rPr>
          <w:rFonts w:ascii="Arial" w:hAnsi="Arial" w:cs="Arial"/>
        </w:rPr>
        <w:t xml:space="preserve"> tomato seedlings. Similar findings have been reported for tomato and other horticultural crops, where appropriate hydrogel use improved water-use efficiency, root growth, and seedling vigor (</w:t>
      </w:r>
      <w:proofErr w:type="spellStart"/>
      <w:r w:rsidRPr="007364A0">
        <w:rPr>
          <w:rFonts w:ascii="Arial" w:hAnsi="Arial" w:cs="Arial"/>
        </w:rPr>
        <w:t>Abobatta</w:t>
      </w:r>
      <w:proofErr w:type="spellEnd"/>
      <w:r w:rsidRPr="007364A0">
        <w:rPr>
          <w:rFonts w:ascii="Arial" w:hAnsi="Arial" w:cs="Arial"/>
        </w:rPr>
        <w:t xml:space="preserve">, 2018; </w:t>
      </w:r>
      <w:proofErr w:type="spellStart"/>
      <w:r w:rsidRPr="007364A0">
        <w:rPr>
          <w:rFonts w:ascii="Arial" w:hAnsi="Arial" w:cs="Arial"/>
        </w:rPr>
        <w:t>Hüttermann</w:t>
      </w:r>
      <w:proofErr w:type="spellEnd"/>
      <w:r w:rsidRPr="007364A0">
        <w:rPr>
          <w:rFonts w:ascii="Arial" w:hAnsi="Arial" w:cs="Arial"/>
        </w:rPr>
        <w:t xml:space="preserve"> et al., 2009; Islam et al., 2011).</w:t>
      </w:r>
    </w:p>
    <w:p w14:paraId="03E58E03" w14:textId="7E53B59F" w:rsidR="00790ADA" w:rsidRDefault="003B3CFA" w:rsidP="00441B6F">
      <w:pPr>
        <w:pStyle w:val="Body"/>
        <w:spacing w:after="0"/>
        <w:rPr>
          <w:rFonts w:ascii="Arial" w:hAnsi="Arial" w:cs="Arial"/>
        </w:rPr>
      </w:pPr>
      <w:r>
        <w:rPr>
          <w:rFonts w:ascii="Arial" w:hAnsi="Arial" w:cs="Arial"/>
        </w:rPr>
        <w:br/>
      </w:r>
    </w:p>
    <w:p w14:paraId="6C6B9F74" w14:textId="77D1075E" w:rsidR="003B3CFA" w:rsidRDefault="003B3CFA" w:rsidP="00441B6F">
      <w:pPr>
        <w:pStyle w:val="Body"/>
        <w:spacing w:after="0"/>
        <w:rPr>
          <w:rFonts w:ascii="Arial" w:hAnsi="Arial" w:cs="Arial"/>
        </w:rPr>
      </w:pPr>
    </w:p>
    <w:p w14:paraId="184242A7" w14:textId="77777777" w:rsidR="003B3CFA" w:rsidRDefault="003B3CFA" w:rsidP="003B3CFA">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14:paraId="4103AEF9"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Option 1:</w:t>
      </w:r>
    </w:p>
    <w:p w14:paraId="455C6A09"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055CC479"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 xml:space="preserve">Option 2: </w:t>
      </w:r>
    </w:p>
    <w:p w14:paraId="52EA0A55"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9B3771"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Details of the AI usage are given below:</w:t>
      </w:r>
    </w:p>
    <w:p w14:paraId="18AADEB8"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1.</w:t>
      </w:r>
    </w:p>
    <w:p w14:paraId="6E2EE546"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2.</w:t>
      </w:r>
    </w:p>
    <w:p w14:paraId="181EA39F" w14:textId="77777777" w:rsidR="003B3CFA" w:rsidRDefault="003B3CFA" w:rsidP="003B3CFA">
      <w:pPr>
        <w:rPr>
          <w:rFonts w:ascii="Calibri" w:eastAsia="Calibri" w:hAnsi="Calibri"/>
          <w:kern w:val="2"/>
          <w:highlight w:val="yellow"/>
        </w:rPr>
      </w:pPr>
      <w:r>
        <w:rPr>
          <w:rFonts w:ascii="Calibri" w:eastAsia="Calibri" w:hAnsi="Calibri"/>
          <w:kern w:val="2"/>
          <w:highlight w:val="yellow"/>
        </w:rPr>
        <w:t>3.</w:t>
      </w:r>
      <w:bookmarkEnd w:id="1"/>
    </w:p>
    <w:bookmarkEnd w:id="2"/>
    <w:p w14:paraId="2914A673" w14:textId="77777777" w:rsidR="003B3CFA" w:rsidRPr="00FB3A86" w:rsidRDefault="003B3CFA" w:rsidP="00441B6F">
      <w:pPr>
        <w:pStyle w:val="Body"/>
        <w:spacing w:after="0"/>
        <w:rPr>
          <w:rFonts w:ascii="Arial" w:hAnsi="Arial" w:cs="Arial"/>
        </w:rPr>
      </w:pPr>
    </w:p>
    <w:p w14:paraId="5BA4199F" w14:textId="77777777" w:rsidR="00301F5A" w:rsidRDefault="00301F5A" w:rsidP="00441B6F">
      <w:pPr>
        <w:pStyle w:val="ReferHead"/>
        <w:spacing w:after="0"/>
        <w:jc w:val="both"/>
        <w:rPr>
          <w:rFonts w:ascii="Arial" w:hAnsi="Arial" w:cs="Arial"/>
        </w:rPr>
      </w:pPr>
    </w:p>
    <w:p w14:paraId="21E94401" w14:textId="7D4BAFCC" w:rsidR="00B01FCD" w:rsidRDefault="00B01FCD" w:rsidP="00441B6F">
      <w:pPr>
        <w:pStyle w:val="ReferHead"/>
        <w:spacing w:after="0"/>
        <w:jc w:val="both"/>
        <w:rPr>
          <w:rFonts w:ascii="Arial" w:hAnsi="Arial" w:cs="Arial"/>
        </w:rPr>
      </w:pPr>
      <w:r w:rsidRPr="00FB3A86">
        <w:rPr>
          <w:rFonts w:ascii="Arial" w:hAnsi="Arial" w:cs="Arial"/>
        </w:rPr>
        <w:t>References</w:t>
      </w:r>
    </w:p>
    <w:p w14:paraId="0CE294E3" w14:textId="77777777" w:rsidR="002E5412" w:rsidRDefault="002E5412" w:rsidP="00B92B5E">
      <w:pPr>
        <w:ind w:left="567" w:hanging="567"/>
        <w:jc w:val="both"/>
      </w:pPr>
    </w:p>
    <w:p w14:paraId="6B76769E" w14:textId="77777777" w:rsidR="00B51EE2" w:rsidRPr="00B51EE2" w:rsidRDefault="00B51EE2" w:rsidP="00B51EE2">
      <w:pPr>
        <w:ind w:left="567" w:hanging="567"/>
        <w:jc w:val="both"/>
      </w:pPr>
      <w:r w:rsidRPr="00B51EE2">
        <w:t>[1]°</w:t>
      </w:r>
      <w:proofErr w:type="spellStart"/>
      <w:r w:rsidRPr="00B51EE2">
        <w:t>Gerszberg</w:t>
      </w:r>
      <w:proofErr w:type="spellEnd"/>
      <w:r w:rsidRPr="00B51EE2">
        <w:t xml:space="preserve"> A., </w:t>
      </w:r>
      <w:proofErr w:type="spellStart"/>
      <w:r w:rsidRPr="00B51EE2">
        <w:t>Hnatuszko-Konka</w:t>
      </w:r>
      <w:proofErr w:type="spellEnd"/>
      <w:r w:rsidRPr="00B51EE2">
        <w:t xml:space="preserve"> K., Kowalczyk T., </w:t>
      </w:r>
      <w:proofErr w:type="spellStart"/>
      <w:r w:rsidRPr="00B51EE2">
        <w:t>Kononowicz</w:t>
      </w:r>
      <w:proofErr w:type="spellEnd"/>
      <w:r w:rsidRPr="00B51EE2">
        <w:t xml:space="preserve"> </w:t>
      </w:r>
      <w:proofErr w:type="spellStart"/>
      <w:r w:rsidRPr="00B51EE2">
        <w:t>A.K</w:t>
      </w:r>
      <w:proofErr w:type="spellEnd"/>
      <w:r w:rsidRPr="00B51EE2">
        <w:t>. Tomato (</w:t>
      </w:r>
      <w:proofErr w:type="spellStart"/>
      <w:r w:rsidRPr="00B51EE2">
        <w:t>Solanum</w:t>
      </w:r>
      <w:proofErr w:type="spellEnd"/>
      <w:r w:rsidRPr="00B51EE2">
        <w:t xml:space="preserve"> </w:t>
      </w:r>
      <w:proofErr w:type="spellStart"/>
      <w:r w:rsidRPr="00B51EE2">
        <w:t>lycopersicum</w:t>
      </w:r>
      <w:proofErr w:type="spellEnd"/>
      <w:r w:rsidRPr="00B51EE2">
        <w:t xml:space="preserve"> L.) in the service of biotechnology. </w:t>
      </w:r>
      <w:r w:rsidRPr="00B51EE2">
        <w:rPr>
          <w:i/>
          <w:iCs/>
        </w:rPr>
        <w:t>Plant Cell, Tissue and Organ Culture (PCTOC)</w:t>
      </w:r>
      <w:r w:rsidRPr="00B51EE2">
        <w:t xml:space="preserve">, 120(3), 881–902, 2015. </w:t>
      </w:r>
      <w:hyperlink r:id="rId15" w:history="1">
        <w:r w:rsidRPr="00B51EE2">
          <w:rPr>
            <w:rStyle w:val="Hyperlink"/>
          </w:rPr>
          <w:t>https://doi.org/10.1007/s11240-014-0664-4</w:t>
        </w:r>
      </w:hyperlink>
    </w:p>
    <w:p w14:paraId="3AB18768" w14:textId="77777777" w:rsidR="00B51EE2" w:rsidRPr="00B51EE2" w:rsidRDefault="00B51EE2" w:rsidP="00B51EE2">
      <w:pPr>
        <w:ind w:left="567" w:hanging="567"/>
        <w:jc w:val="both"/>
      </w:pPr>
      <w:r w:rsidRPr="00B51EE2">
        <w:t>[2]°Kumar A., Kumar V., Gull A., Nayik G.A. Tomato (</w:t>
      </w:r>
      <w:proofErr w:type="spellStart"/>
      <w:r w:rsidRPr="00B51EE2">
        <w:rPr>
          <w:i/>
          <w:iCs/>
        </w:rPr>
        <w:t>Solanum</w:t>
      </w:r>
      <w:proofErr w:type="spellEnd"/>
      <w:r w:rsidRPr="00B51EE2">
        <w:rPr>
          <w:i/>
          <w:iCs/>
        </w:rPr>
        <w:t xml:space="preserve"> </w:t>
      </w:r>
      <w:proofErr w:type="spellStart"/>
      <w:r w:rsidRPr="00B51EE2">
        <w:rPr>
          <w:i/>
          <w:iCs/>
        </w:rPr>
        <w:t>lycopersicon</w:t>
      </w:r>
      <w:proofErr w:type="spellEnd"/>
      <w:r w:rsidRPr="00B51EE2">
        <w:t xml:space="preserve">). In: Nayik G.A., Gull A. (Eds.), </w:t>
      </w:r>
      <w:r w:rsidRPr="00B51EE2">
        <w:rPr>
          <w:i/>
          <w:iCs/>
        </w:rPr>
        <w:t>Antioxidants in Vegetables and Nuts – Properties and Health Benefits</w:t>
      </w:r>
      <w:r w:rsidRPr="00B51EE2">
        <w:t xml:space="preserve">, 191–207, Singapore: Springer, 2020. </w:t>
      </w:r>
      <w:hyperlink r:id="rId16" w:history="1">
        <w:r w:rsidRPr="00B51EE2">
          <w:rPr>
            <w:rStyle w:val="Hyperlink"/>
          </w:rPr>
          <w:t>https://doi.org/10.1007/978-981-15-7470-2_10</w:t>
        </w:r>
      </w:hyperlink>
    </w:p>
    <w:p w14:paraId="47A46BEF" w14:textId="77777777" w:rsidR="00B51EE2" w:rsidRPr="00B51EE2" w:rsidRDefault="00B51EE2" w:rsidP="00B51EE2">
      <w:pPr>
        <w:ind w:left="567" w:hanging="567"/>
        <w:jc w:val="both"/>
      </w:pPr>
      <w:r w:rsidRPr="00B51EE2">
        <w:t xml:space="preserve">[3]°Vivek P., Duraisamy V.M. Study of growth parameters and germination on tomato seedlings with different growth media. </w:t>
      </w:r>
      <w:r w:rsidRPr="00B51EE2">
        <w:rPr>
          <w:i/>
          <w:iCs/>
        </w:rPr>
        <w:t>International Journal of Agricultural Science and Research</w:t>
      </w:r>
      <w:r w:rsidRPr="00B51EE2">
        <w:t xml:space="preserve">, 7(3), 461–470, 2017. </w:t>
      </w:r>
      <w:hyperlink r:id="rId17" w:history="1">
        <w:r w:rsidRPr="00B51EE2">
          <w:rPr>
            <w:rStyle w:val="Hyperlink"/>
          </w:rPr>
          <w:t>https://doi.org/10.24247/ijasrjun201759</w:t>
        </w:r>
      </w:hyperlink>
    </w:p>
    <w:p w14:paraId="09CD90C9" w14:textId="77777777" w:rsidR="00B51EE2" w:rsidRPr="00B51EE2" w:rsidRDefault="00B51EE2" w:rsidP="00B51EE2">
      <w:pPr>
        <w:ind w:left="567" w:hanging="567"/>
        <w:jc w:val="both"/>
      </w:pPr>
      <w:r w:rsidRPr="00B51EE2">
        <w:t>[4]°</w:t>
      </w:r>
      <w:proofErr w:type="spellStart"/>
      <w:r w:rsidRPr="00B51EE2">
        <w:t>Goka</w:t>
      </w:r>
      <w:proofErr w:type="spellEnd"/>
      <w:r w:rsidRPr="00B51EE2">
        <w:t xml:space="preserve"> </w:t>
      </w:r>
      <w:proofErr w:type="spellStart"/>
      <w:r w:rsidRPr="00B51EE2">
        <w:t>M.G</w:t>
      </w:r>
      <w:proofErr w:type="spellEnd"/>
      <w:r w:rsidRPr="00B51EE2">
        <w:t xml:space="preserve">., Mensah </w:t>
      </w:r>
      <w:proofErr w:type="spellStart"/>
      <w:r w:rsidRPr="00B51EE2">
        <w:t>R.T</w:t>
      </w:r>
      <w:proofErr w:type="spellEnd"/>
      <w:r w:rsidRPr="00B51EE2">
        <w:t xml:space="preserve">., </w:t>
      </w:r>
      <w:proofErr w:type="spellStart"/>
      <w:r w:rsidRPr="00B51EE2">
        <w:t>Dufrechou</w:t>
      </w:r>
      <w:proofErr w:type="spellEnd"/>
      <w:r w:rsidRPr="00B51EE2">
        <w:t xml:space="preserve"> M., </w:t>
      </w:r>
      <w:proofErr w:type="spellStart"/>
      <w:r w:rsidRPr="00B51EE2">
        <w:t>Picouet</w:t>
      </w:r>
      <w:proofErr w:type="spellEnd"/>
      <w:r w:rsidRPr="00B51EE2">
        <w:t xml:space="preserve"> P., </w:t>
      </w:r>
      <w:proofErr w:type="spellStart"/>
      <w:r w:rsidRPr="00B51EE2">
        <w:t>Karou</w:t>
      </w:r>
      <w:proofErr w:type="spellEnd"/>
      <w:r w:rsidRPr="00B51EE2">
        <w:t xml:space="preserve"> S.D., </w:t>
      </w:r>
      <w:proofErr w:type="spellStart"/>
      <w:r w:rsidRPr="00B51EE2">
        <w:t>Ameyapoh</w:t>
      </w:r>
      <w:proofErr w:type="spellEnd"/>
      <w:r w:rsidRPr="00B51EE2">
        <w:t xml:space="preserve"> </w:t>
      </w:r>
      <w:proofErr w:type="spellStart"/>
      <w:r w:rsidRPr="00B51EE2">
        <w:t>Y.A</w:t>
      </w:r>
      <w:proofErr w:type="spellEnd"/>
      <w:r w:rsidRPr="00B51EE2">
        <w:t>. Importance socio-</w:t>
      </w:r>
      <w:proofErr w:type="spellStart"/>
      <w:r w:rsidRPr="00B51EE2">
        <w:t>economique</w:t>
      </w:r>
      <w:proofErr w:type="spellEnd"/>
      <w:r w:rsidRPr="00B51EE2">
        <w:t xml:space="preserve"> de la production et </w:t>
      </w:r>
      <w:proofErr w:type="spellStart"/>
      <w:r w:rsidRPr="00B51EE2">
        <w:t>proprietes</w:t>
      </w:r>
      <w:proofErr w:type="spellEnd"/>
      <w:r w:rsidRPr="00B51EE2">
        <w:t xml:space="preserve"> </w:t>
      </w:r>
      <w:proofErr w:type="spellStart"/>
      <w:r w:rsidRPr="00B51EE2">
        <w:t>nutritionnelles</w:t>
      </w:r>
      <w:proofErr w:type="spellEnd"/>
      <w:r w:rsidRPr="00B51EE2">
        <w:t xml:space="preserve"> de la </w:t>
      </w:r>
      <w:proofErr w:type="spellStart"/>
      <w:r w:rsidRPr="00B51EE2">
        <w:t>tomate</w:t>
      </w:r>
      <w:proofErr w:type="spellEnd"/>
      <w:r w:rsidRPr="00B51EE2">
        <w:t xml:space="preserve"> (</w:t>
      </w:r>
      <w:proofErr w:type="spellStart"/>
      <w:r w:rsidRPr="00B51EE2">
        <w:rPr>
          <w:i/>
        </w:rPr>
        <w:t>Solanum</w:t>
      </w:r>
      <w:proofErr w:type="spellEnd"/>
      <w:r w:rsidRPr="00B51EE2">
        <w:rPr>
          <w:i/>
        </w:rPr>
        <w:t xml:space="preserve"> </w:t>
      </w:r>
      <w:proofErr w:type="spellStart"/>
      <w:r w:rsidRPr="00B51EE2">
        <w:rPr>
          <w:i/>
        </w:rPr>
        <w:t>lycopersicum</w:t>
      </w:r>
      <w:proofErr w:type="spellEnd"/>
      <w:r w:rsidRPr="00B51EE2">
        <w:t xml:space="preserve"> L.) au Togo: </w:t>
      </w:r>
      <w:proofErr w:type="spellStart"/>
      <w:r w:rsidRPr="00B51EE2">
        <w:t>Synthèse</w:t>
      </w:r>
      <w:proofErr w:type="spellEnd"/>
      <w:r w:rsidRPr="00B51EE2">
        <w:t xml:space="preserve"> </w:t>
      </w:r>
      <w:proofErr w:type="spellStart"/>
      <w:proofErr w:type="gramStart"/>
      <w:r w:rsidRPr="00B51EE2">
        <w:t>bibliographique</w:t>
      </w:r>
      <w:proofErr w:type="spellEnd"/>
      <w:r w:rsidRPr="00B51EE2">
        <w:t xml:space="preserve"> :</w:t>
      </w:r>
      <w:proofErr w:type="gramEnd"/>
      <w:r w:rsidRPr="00B51EE2">
        <w:t xml:space="preserve"> Socio-economic importance of tomato (</w:t>
      </w:r>
      <w:proofErr w:type="spellStart"/>
      <w:r w:rsidRPr="00B51EE2">
        <w:t>Solanum</w:t>
      </w:r>
      <w:proofErr w:type="spellEnd"/>
      <w:r w:rsidRPr="00B51EE2">
        <w:t xml:space="preserve"> </w:t>
      </w:r>
      <w:proofErr w:type="spellStart"/>
      <w:r w:rsidRPr="00B51EE2">
        <w:t>lycopersicum</w:t>
      </w:r>
      <w:proofErr w:type="spellEnd"/>
      <w:r w:rsidRPr="00B51EE2">
        <w:t xml:space="preserve"> L.) production and nutritional properties in Togo: literature review. </w:t>
      </w:r>
      <w:r w:rsidRPr="00B51EE2">
        <w:rPr>
          <w:i/>
          <w:iCs/>
        </w:rPr>
        <w:t xml:space="preserve">Journal de la </w:t>
      </w:r>
      <w:proofErr w:type="spellStart"/>
      <w:r w:rsidRPr="00B51EE2">
        <w:rPr>
          <w:i/>
          <w:iCs/>
        </w:rPr>
        <w:t>Recherche</w:t>
      </w:r>
      <w:proofErr w:type="spellEnd"/>
      <w:r w:rsidRPr="00B51EE2">
        <w:rPr>
          <w:i/>
          <w:iCs/>
        </w:rPr>
        <w:t xml:space="preserve"> </w:t>
      </w:r>
      <w:proofErr w:type="spellStart"/>
      <w:r w:rsidRPr="00B51EE2">
        <w:rPr>
          <w:i/>
          <w:iCs/>
        </w:rPr>
        <w:t>Scientifique</w:t>
      </w:r>
      <w:proofErr w:type="spellEnd"/>
      <w:r w:rsidRPr="00B51EE2">
        <w:rPr>
          <w:i/>
          <w:iCs/>
        </w:rPr>
        <w:t xml:space="preserve"> de </w:t>
      </w:r>
      <w:proofErr w:type="spellStart"/>
      <w:r w:rsidRPr="00B51EE2">
        <w:rPr>
          <w:i/>
          <w:iCs/>
        </w:rPr>
        <w:t>l’Université</w:t>
      </w:r>
      <w:proofErr w:type="spellEnd"/>
      <w:r w:rsidRPr="00B51EE2">
        <w:rPr>
          <w:i/>
          <w:iCs/>
        </w:rPr>
        <w:t xml:space="preserve"> de Lomé</w:t>
      </w:r>
      <w:r w:rsidRPr="00B51EE2">
        <w:t xml:space="preserve">, 23(3), 89–104, 2021. </w:t>
      </w:r>
      <w:hyperlink r:id="rId18" w:history="1">
        <w:r w:rsidRPr="00B51EE2">
          <w:rPr>
            <w:rStyle w:val="Hyperlink"/>
          </w:rPr>
          <w:t>https://www.ajol.info/index.php/jrsul/article/view/222129</w:t>
        </w:r>
      </w:hyperlink>
      <w:r w:rsidRPr="00B51EE2">
        <w:t xml:space="preserve"> French.</w:t>
      </w:r>
    </w:p>
    <w:p w14:paraId="2E382425" w14:textId="77777777" w:rsidR="00B51EE2" w:rsidRPr="00B51EE2" w:rsidRDefault="00B51EE2" w:rsidP="00B51EE2">
      <w:pPr>
        <w:ind w:left="567" w:hanging="567"/>
        <w:jc w:val="both"/>
      </w:pPr>
      <w:r w:rsidRPr="00B51EE2">
        <w:t>[5]°Knapp S., Peralta I.E. The tomato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L., Solanaceae) and its botanical relatives. In: </w:t>
      </w:r>
      <w:r w:rsidRPr="00B51EE2">
        <w:rPr>
          <w:i/>
          <w:iCs/>
        </w:rPr>
        <w:t>The Tomato Genome</w:t>
      </w:r>
      <w:r w:rsidRPr="00B51EE2">
        <w:t xml:space="preserve">, 7–21, Berlin: Springer Berlin Heidelberg, 2016. </w:t>
      </w:r>
      <w:hyperlink r:id="rId19" w:history="1">
        <w:r w:rsidRPr="00B51EE2">
          <w:rPr>
            <w:rStyle w:val="Hyperlink"/>
          </w:rPr>
          <w:t>https://doi.org/10.1007/978-3-662-53389-5_2</w:t>
        </w:r>
      </w:hyperlink>
    </w:p>
    <w:p w14:paraId="3ACF70F7" w14:textId="77777777" w:rsidR="00B51EE2" w:rsidRPr="00B51EE2" w:rsidRDefault="00B51EE2" w:rsidP="00B51EE2">
      <w:pPr>
        <w:ind w:left="567" w:hanging="567"/>
        <w:jc w:val="both"/>
      </w:pPr>
      <w:r w:rsidRPr="00B51EE2">
        <w:lastRenderedPageBreak/>
        <w:t xml:space="preserve">[6]°Azeem MK, Islam A, Khan RU, Rasool A, Qureshi MAR, Rizwan M, Sher F, et al. Eco-friendly three-dimensional hydrogels for sustainable agricultural applications: Current and future scenarios. </w:t>
      </w:r>
      <w:r w:rsidRPr="00B51EE2">
        <w:rPr>
          <w:i/>
          <w:iCs/>
        </w:rPr>
        <w:t>Polymers for Advanced Technologies</w:t>
      </w:r>
      <w:r w:rsidRPr="00B51EE2">
        <w:t xml:space="preserve">. 2023;34(9):3046-3062. </w:t>
      </w:r>
      <w:hyperlink r:id="rId20" w:history="1">
        <w:r w:rsidRPr="00B51EE2">
          <w:rPr>
            <w:rStyle w:val="Hyperlink"/>
          </w:rPr>
          <w:t>https://doi.org/10.1002/pat.6122</w:t>
        </w:r>
      </w:hyperlink>
    </w:p>
    <w:p w14:paraId="432D7F2F" w14:textId="77777777" w:rsidR="00B51EE2" w:rsidRPr="00B51EE2" w:rsidRDefault="00B51EE2" w:rsidP="00B51EE2">
      <w:pPr>
        <w:ind w:left="567" w:hanging="567"/>
        <w:jc w:val="both"/>
      </w:pPr>
      <w:r w:rsidRPr="00B51EE2">
        <w:t xml:space="preserve">[7]°Chen H, Wu YC, Cheng CC, Teng CY. Effect of climate change-induced water-deficit stress on long-term rice yield. </w:t>
      </w:r>
      <w:r w:rsidRPr="00B51EE2">
        <w:rPr>
          <w:i/>
          <w:iCs/>
        </w:rPr>
        <w:t>PLOS ONE</w:t>
      </w:r>
      <w:r w:rsidRPr="00B51EE2">
        <w:t>. 2023</w:t>
      </w:r>
      <w:proofErr w:type="gramStart"/>
      <w:r w:rsidRPr="00B51EE2">
        <w:t>;18</w:t>
      </w:r>
      <w:proofErr w:type="gramEnd"/>
      <w:r w:rsidRPr="00B51EE2">
        <w:t xml:space="preserve">(4):e0284290. </w:t>
      </w:r>
      <w:hyperlink r:id="rId21" w:history="1">
        <w:r w:rsidRPr="00B51EE2">
          <w:rPr>
            <w:rStyle w:val="Hyperlink"/>
          </w:rPr>
          <w:t>https://doi.org/10.1371/journal.pone.0284290</w:t>
        </w:r>
      </w:hyperlink>
    </w:p>
    <w:p w14:paraId="4375048B" w14:textId="77777777" w:rsidR="00B51EE2" w:rsidRPr="00B51EE2" w:rsidRDefault="00B51EE2" w:rsidP="00B51EE2">
      <w:pPr>
        <w:ind w:left="567" w:hanging="567"/>
        <w:jc w:val="both"/>
      </w:pPr>
      <w:r w:rsidRPr="00B51EE2">
        <w:t>[8]°</w:t>
      </w:r>
      <w:proofErr w:type="spellStart"/>
      <w:r w:rsidRPr="00B51EE2">
        <w:t>Okunlola</w:t>
      </w:r>
      <w:proofErr w:type="spellEnd"/>
      <w:r w:rsidRPr="00B51EE2">
        <w:t xml:space="preserve"> </w:t>
      </w:r>
      <w:proofErr w:type="spellStart"/>
      <w:r w:rsidRPr="00B51EE2">
        <w:t>G.O</w:t>
      </w:r>
      <w:proofErr w:type="spellEnd"/>
      <w:r w:rsidRPr="00B51EE2">
        <w:t xml:space="preserve">., </w:t>
      </w:r>
      <w:proofErr w:type="spellStart"/>
      <w:r w:rsidRPr="00B51EE2">
        <w:t>Adelusi</w:t>
      </w:r>
      <w:proofErr w:type="spellEnd"/>
      <w:r w:rsidRPr="00B51EE2">
        <w:t xml:space="preserve"> </w:t>
      </w:r>
      <w:proofErr w:type="spellStart"/>
      <w:r w:rsidRPr="00B51EE2">
        <w:t>A.A</w:t>
      </w:r>
      <w:proofErr w:type="spellEnd"/>
      <w:r w:rsidRPr="00B51EE2">
        <w:t xml:space="preserve">., </w:t>
      </w:r>
      <w:proofErr w:type="spellStart"/>
      <w:r w:rsidRPr="00B51EE2">
        <w:t>Olowolaju</w:t>
      </w:r>
      <w:proofErr w:type="spellEnd"/>
      <w:r w:rsidRPr="00B51EE2">
        <w:t xml:space="preserve"> E.D., </w:t>
      </w:r>
      <w:proofErr w:type="spellStart"/>
      <w:r w:rsidRPr="00B51EE2">
        <w:t>Oseni</w:t>
      </w:r>
      <w:proofErr w:type="spellEnd"/>
      <w:r w:rsidRPr="00B51EE2">
        <w:t xml:space="preserve"> </w:t>
      </w:r>
      <w:proofErr w:type="spellStart"/>
      <w:r w:rsidRPr="00B51EE2">
        <w:t>O.M</w:t>
      </w:r>
      <w:proofErr w:type="spellEnd"/>
      <w:r w:rsidRPr="00B51EE2">
        <w:t xml:space="preserve">., </w:t>
      </w:r>
      <w:proofErr w:type="spellStart"/>
      <w:r w:rsidRPr="00B51EE2">
        <w:t>Akingboye</w:t>
      </w:r>
      <w:proofErr w:type="spellEnd"/>
      <w:r w:rsidRPr="00B51EE2">
        <w:t xml:space="preserve"> </w:t>
      </w:r>
      <w:proofErr w:type="spellStart"/>
      <w:r w:rsidRPr="00B51EE2">
        <w:t>G.L</w:t>
      </w:r>
      <w:proofErr w:type="spellEnd"/>
      <w:r w:rsidRPr="00B51EE2">
        <w:t xml:space="preserve">. Effect of water stress on the growth and some yield parameters of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L. </w:t>
      </w:r>
      <w:r w:rsidRPr="00B51EE2">
        <w:rPr>
          <w:i/>
          <w:iCs/>
        </w:rPr>
        <w:t>International Journal of Biological and Chemical Sciences</w:t>
      </w:r>
      <w:r w:rsidRPr="00B51EE2">
        <w:t xml:space="preserve">, 9(4), 1755–1761, 2015. </w:t>
      </w:r>
      <w:hyperlink r:id="rId22" w:history="1">
        <w:r w:rsidRPr="00B51EE2">
          <w:rPr>
            <w:rStyle w:val="Hyperlink"/>
          </w:rPr>
          <w:t>https://doi.org/10.4314/ijbcs.v9i4.2</w:t>
        </w:r>
      </w:hyperlink>
    </w:p>
    <w:p w14:paraId="7B3C137F" w14:textId="77777777" w:rsidR="00B51EE2" w:rsidRPr="00B51EE2" w:rsidRDefault="00B51EE2" w:rsidP="00B51EE2">
      <w:pPr>
        <w:ind w:left="567" w:hanging="567"/>
        <w:jc w:val="both"/>
        <w:rPr>
          <w:lang w:val="pt-BR"/>
        </w:rPr>
      </w:pPr>
      <w:r w:rsidRPr="00B51EE2">
        <w:t xml:space="preserve">[9]°Özer H. The effects of different seedling production systems on quality of tomato plantlets. </w:t>
      </w:r>
      <w:r w:rsidRPr="00B51EE2">
        <w:rPr>
          <w:i/>
          <w:iCs/>
          <w:lang w:val="pt-BR"/>
        </w:rPr>
        <w:t>Acta Scientiarum Polonorum Hortorum Cultus</w:t>
      </w:r>
      <w:r w:rsidRPr="00B51EE2">
        <w:rPr>
          <w:lang w:val="pt-BR"/>
        </w:rPr>
        <w:t xml:space="preserve">, 17(5), 15–21, 2018. </w:t>
      </w:r>
      <w:hyperlink r:id="rId23" w:history="1">
        <w:r w:rsidRPr="00B51EE2">
          <w:rPr>
            <w:rStyle w:val="Hyperlink"/>
            <w:lang w:val="pt-BR"/>
          </w:rPr>
          <w:t>https://doi.org/10.24326/asphc.2018.5.2</w:t>
        </w:r>
      </w:hyperlink>
    </w:p>
    <w:p w14:paraId="4AC4E885" w14:textId="77777777" w:rsidR="00B51EE2" w:rsidRPr="00B51EE2" w:rsidRDefault="00B51EE2" w:rsidP="00B51EE2">
      <w:pPr>
        <w:ind w:left="567" w:hanging="567"/>
        <w:jc w:val="both"/>
      </w:pPr>
      <w:r w:rsidRPr="00B51EE2">
        <w:rPr>
          <w:lang w:val="pt-BR"/>
        </w:rPr>
        <w:t xml:space="preserve">[10]°Abobatta W, editor. </w:t>
      </w:r>
      <w:r w:rsidRPr="00B51EE2">
        <w:t xml:space="preserve">Impact of hydrogel polymer in agricultural sector. </w:t>
      </w:r>
      <w:r w:rsidRPr="00B51EE2">
        <w:rPr>
          <w:i/>
          <w:iCs/>
        </w:rPr>
        <w:t>Advances in Agriculture and Environmental Science: Open Access (AAEOA)</w:t>
      </w:r>
      <w:r w:rsidRPr="00B51EE2">
        <w:t xml:space="preserve">. 2018;1(2):59-64. </w:t>
      </w:r>
      <w:hyperlink r:id="rId24" w:history="1">
        <w:r w:rsidRPr="00B51EE2">
          <w:rPr>
            <w:rStyle w:val="Hyperlink"/>
          </w:rPr>
          <w:t>https://doi.org/10.30881/aaeoa.00011</w:t>
        </w:r>
      </w:hyperlink>
    </w:p>
    <w:p w14:paraId="7F191A0B" w14:textId="77777777" w:rsidR="00B51EE2" w:rsidRPr="00B51EE2" w:rsidRDefault="00B51EE2" w:rsidP="00B51EE2">
      <w:pPr>
        <w:ind w:left="567" w:hanging="567"/>
        <w:jc w:val="both"/>
      </w:pPr>
      <w:r w:rsidRPr="00B51EE2">
        <w:t>[11]°</w:t>
      </w:r>
      <w:proofErr w:type="spellStart"/>
      <w:r w:rsidRPr="00B51EE2">
        <w:t>Instituto</w:t>
      </w:r>
      <w:proofErr w:type="spellEnd"/>
      <w:r w:rsidRPr="00B51EE2">
        <w:t xml:space="preserve"> Nacional de </w:t>
      </w:r>
      <w:proofErr w:type="spellStart"/>
      <w:r w:rsidRPr="00B51EE2">
        <w:t>Estadística</w:t>
      </w:r>
      <w:proofErr w:type="spellEnd"/>
      <w:r w:rsidRPr="00B51EE2">
        <w:t xml:space="preserve"> de Bolivia. </w:t>
      </w:r>
      <w:r w:rsidRPr="00B51EE2">
        <w:rPr>
          <w:i/>
          <w:iCs/>
        </w:rPr>
        <w:t>Agriculture – Statistical Data</w:t>
      </w:r>
      <w:r w:rsidRPr="00B51EE2">
        <w:t xml:space="preserve"> [Database]. 2025. </w:t>
      </w:r>
      <w:hyperlink r:id="rId25" w:history="1">
        <w:r w:rsidRPr="00B51EE2">
          <w:rPr>
            <w:rStyle w:val="Hyperlink"/>
          </w:rPr>
          <w:t>https://www.ine.gob.bo/index.php/estadisticas-economicas/agropecuaria/agricultura-cuadros-estadisticos/</w:t>
        </w:r>
      </w:hyperlink>
    </w:p>
    <w:p w14:paraId="01090F23" w14:textId="77777777" w:rsidR="00B51EE2" w:rsidRPr="00B51EE2" w:rsidRDefault="00B51EE2" w:rsidP="00B51EE2">
      <w:pPr>
        <w:ind w:left="567" w:hanging="567"/>
        <w:jc w:val="both"/>
        <w:rPr>
          <w:lang w:val="es-ES"/>
        </w:rPr>
      </w:pPr>
      <w:r w:rsidRPr="00B51EE2">
        <w:t>[12]°Mendoza-Pérez C., Ramírez-Ayala C., Ojeda-Bustamante W., Trejo C., López-Ordaz A., Quevedo-Nolasco A., Martínez-Ruiz A. Response of tomato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L.) to water consumption, leaf area and yield with respect to the number of stems in the greenhouse. </w:t>
      </w:r>
      <w:r w:rsidRPr="00B51EE2">
        <w:rPr>
          <w:i/>
          <w:iCs/>
          <w:lang w:val="es-ES"/>
        </w:rPr>
        <w:t xml:space="preserve">Revista de la Facultad de Ciencias Agrarias </w:t>
      </w:r>
      <w:proofErr w:type="spellStart"/>
      <w:r w:rsidRPr="00B51EE2">
        <w:rPr>
          <w:i/>
          <w:iCs/>
          <w:lang w:val="es-ES"/>
        </w:rPr>
        <w:t>UNCuyo</w:t>
      </w:r>
      <w:proofErr w:type="spellEnd"/>
      <w:r w:rsidRPr="00B51EE2">
        <w:rPr>
          <w:lang w:val="es-ES"/>
        </w:rPr>
        <w:t xml:space="preserve">, 50(2), 87–104, 2018. </w:t>
      </w:r>
      <w:hyperlink r:id="rId26" w:history="1">
        <w:r w:rsidRPr="00B51EE2">
          <w:rPr>
            <w:rStyle w:val="Hyperlink"/>
            <w:lang w:val="es-ES"/>
          </w:rPr>
          <w:t>https://revistas.uncu.edu.ar/ojs3/index.php/RFCA/article/view/2934</w:t>
        </w:r>
      </w:hyperlink>
      <w:r w:rsidRPr="00B51EE2">
        <w:rPr>
          <w:lang w:val="es-ES"/>
        </w:rPr>
        <w:t xml:space="preserve"> </w:t>
      </w:r>
      <w:proofErr w:type="spellStart"/>
      <w:r w:rsidRPr="00B51EE2">
        <w:rPr>
          <w:lang w:val="es-ES"/>
        </w:rPr>
        <w:t>Spanish</w:t>
      </w:r>
      <w:proofErr w:type="spellEnd"/>
      <w:r w:rsidRPr="00B51EE2">
        <w:rPr>
          <w:lang w:val="es-ES"/>
        </w:rPr>
        <w:t>.</w:t>
      </w:r>
    </w:p>
    <w:p w14:paraId="53965DFF" w14:textId="77777777" w:rsidR="00B51EE2" w:rsidRPr="00B51EE2" w:rsidRDefault="00B51EE2" w:rsidP="00B51EE2">
      <w:pPr>
        <w:ind w:left="567" w:hanging="567"/>
        <w:jc w:val="both"/>
      </w:pPr>
      <w:r w:rsidRPr="00B51EE2">
        <w:t xml:space="preserve">[13]°Aleman C, Campos F, Mantovani E. Precision tools for irrigation management of tomato seedlings. </w:t>
      </w:r>
      <w:r w:rsidRPr="00B51EE2">
        <w:rPr>
          <w:i/>
          <w:iCs/>
        </w:rPr>
        <w:t>Bioscience Journal</w:t>
      </w:r>
      <w:r w:rsidRPr="00B51EE2">
        <w:t xml:space="preserve">. 2020;36(2):421-428. </w:t>
      </w:r>
      <w:hyperlink r:id="rId27" w:history="1">
        <w:r w:rsidRPr="00B51EE2">
          <w:rPr>
            <w:rStyle w:val="Hyperlink"/>
          </w:rPr>
          <w:t>https://doi.org/10.14393/bj-v36n2a2020-43252</w:t>
        </w:r>
      </w:hyperlink>
    </w:p>
    <w:p w14:paraId="4AA0E6E4" w14:textId="77777777" w:rsidR="00B51EE2" w:rsidRPr="00B51EE2" w:rsidRDefault="00B51EE2" w:rsidP="00B51EE2">
      <w:pPr>
        <w:ind w:left="567" w:hanging="567"/>
        <w:jc w:val="both"/>
      </w:pPr>
      <w:r w:rsidRPr="00B51EE2">
        <w:t xml:space="preserve">[14]°Nkurunziza E., </w:t>
      </w:r>
      <w:proofErr w:type="spellStart"/>
      <w:r w:rsidRPr="00B51EE2">
        <w:t>Nyalala</w:t>
      </w:r>
      <w:proofErr w:type="spellEnd"/>
      <w:r w:rsidRPr="00B51EE2">
        <w:t xml:space="preserve"> S., </w:t>
      </w:r>
      <w:proofErr w:type="spellStart"/>
      <w:r w:rsidRPr="00B51EE2">
        <w:t>Umuhoza</w:t>
      </w:r>
      <w:proofErr w:type="spellEnd"/>
      <w:r w:rsidRPr="00B51EE2">
        <w:t xml:space="preserve"> </w:t>
      </w:r>
      <w:proofErr w:type="spellStart"/>
      <w:r w:rsidRPr="00B51EE2">
        <w:t>K.N.J</w:t>
      </w:r>
      <w:proofErr w:type="spellEnd"/>
      <w:r w:rsidRPr="00B51EE2">
        <w:t>. Effect of seedling quality on growth, yield and quality of tomato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L.). </w:t>
      </w:r>
      <w:r w:rsidRPr="00B51EE2">
        <w:rPr>
          <w:i/>
          <w:iCs/>
        </w:rPr>
        <w:t>International Journal of Horticultural Science</w:t>
      </w:r>
      <w:r w:rsidRPr="00B51EE2">
        <w:t xml:space="preserve">, 28, 64–72, 2022. </w:t>
      </w:r>
      <w:hyperlink r:id="rId28" w:history="1">
        <w:r w:rsidRPr="00B51EE2">
          <w:rPr>
            <w:rStyle w:val="Hyperlink"/>
          </w:rPr>
          <w:t>https://doi.org/10.31421/ijhs/28/2022/10836</w:t>
        </w:r>
      </w:hyperlink>
    </w:p>
    <w:p w14:paraId="19C6834F" w14:textId="77777777" w:rsidR="00B51EE2" w:rsidRPr="00B51EE2" w:rsidRDefault="00B51EE2" w:rsidP="00B51EE2">
      <w:pPr>
        <w:ind w:left="567" w:hanging="567"/>
        <w:jc w:val="both"/>
      </w:pPr>
      <w:r w:rsidRPr="00B51EE2">
        <w:t xml:space="preserve">[15]°Gama PBS, </w:t>
      </w:r>
      <w:proofErr w:type="spellStart"/>
      <w:r w:rsidRPr="00B51EE2">
        <w:t>Wani</w:t>
      </w:r>
      <w:proofErr w:type="spellEnd"/>
      <w:r w:rsidRPr="00B51EE2">
        <w:t xml:space="preserve"> </w:t>
      </w:r>
      <w:proofErr w:type="spellStart"/>
      <w:r w:rsidRPr="00B51EE2">
        <w:t>LB</w:t>
      </w:r>
      <w:proofErr w:type="spellEnd"/>
      <w:r w:rsidRPr="00B51EE2">
        <w:t>, Marcelo-</w:t>
      </w:r>
      <w:proofErr w:type="spellStart"/>
      <w:r w:rsidRPr="00B51EE2">
        <w:t>d’Ragga</w:t>
      </w:r>
      <w:proofErr w:type="spellEnd"/>
      <w:r w:rsidRPr="00B51EE2">
        <w:t xml:space="preserve"> PW, </w:t>
      </w:r>
      <w:proofErr w:type="spellStart"/>
      <w:r w:rsidRPr="00B51EE2">
        <w:t>Misaka</w:t>
      </w:r>
      <w:proofErr w:type="spellEnd"/>
      <w:r w:rsidRPr="00B51EE2">
        <w:t xml:space="preserve"> BC. Effect of soil media on growth of tomato seedlings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L.) under nursery (greenhouse) conditions. </w:t>
      </w:r>
      <w:r w:rsidRPr="00B51EE2">
        <w:rPr>
          <w:i/>
          <w:iCs/>
        </w:rPr>
        <w:t>Unpublished manuscript</w:t>
      </w:r>
      <w:r w:rsidRPr="00B51EE2">
        <w:t xml:space="preserve">. 2015. </w:t>
      </w:r>
      <w:hyperlink r:id="rId29" w:history="1">
        <w:r w:rsidRPr="00B51EE2">
          <w:rPr>
            <w:rStyle w:val="Hyperlink"/>
          </w:rPr>
          <w:t>https://www.academia.edu/download/92270964/springjournals.netijarrarticlesindex_8gamaetal.pdf</w:t>
        </w:r>
      </w:hyperlink>
    </w:p>
    <w:p w14:paraId="6FA8364D" w14:textId="77777777" w:rsidR="00B51EE2" w:rsidRPr="00B51EE2" w:rsidRDefault="00B51EE2" w:rsidP="00B51EE2">
      <w:pPr>
        <w:ind w:left="567" w:hanging="567"/>
        <w:jc w:val="both"/>
      </w:pPr>
      <w:r w:rsidRPr="00B51EE2">
        <w:t>[16]°</w:t>
      </w:r>
      <w:proofErr w:type="spellStart"/>
      <w:r w:rsidRPr="00B51EE2">
        <w:t>Fereres</w:t>
      </w:r>
      <w:proofErr w:type="spellEnd"/>
      <w:r w:rsidRPr="00B51EE2">
        <w:t xml:space="preserve"> E, Soriano MA. Deficit irrigation for reducing agricultural water use. </w:t>
      </w:r>
      <w:r w:rsidRPr="00B51EE2">
        <w:rPr>
          <w:i/>
          <w:iCs/>
        </w:rPr>
        <w:t>Journal of Experimental Botany</w:t>
      </w:r>
      <w:r w:rsidRPr="00B51EE2">
        <w:t xml:space="preserve">. 2007;58(2):147-159. </w:t>
      </w:r>
      <w:hyperlink r:id="rId30" w:history="1">
        <w:r w:rsidRPr="00B51EE2">
          <w:rPr>
            <w:rStyle w:val="Hyperlink"/>
          </w:rPr>
          <w:t>https://doi.org/10.1093/jxb/erl165</w:t>
        </w:r>
      </w:hyperlink>
    </w:p>
    <w:p w14:paraId="2338288D" w14:textId="77777777" w:rsidR="00B51EE2" w:rsidRPr="00B51EE2" w:rsidRDefault="00B51EE2" w:rsidP="00B51EE2">
      <w:pPr>
        <w:ind w:left="567" w:hanging="567"/>
        <w:jc w:val="both"/>
      </w:pPr>
      <w:r w:rsidRPr="00B51EE2">
        <w:t xml:space="preserve">[17]°Ali K, </w:t>
      </w:r>
      <w:proofErr w:type="spellStart"/>
      <w:r w:rsidRPr="00B51EE2">
        <w:t>Asad</w:t>
      </w:r>
      <w:proofErr w:type="spellEnd"/>
      <w:r w:rsidRPr="00B51EE2">
        <w:t xml:space="preserve"> Z, </w:t>
      </w:r>
      <w:proofErr w:type="spellStart"/>
      <w:r w:rsidRPr="00B51EE2">
        <w:t>Agbna</w:t>
      </w:r>
      <w:proofErr w:type="spellEnd"/>
      <w:r w:rsidRPr="00B51EE2">
        <w:t xml:space="preserve"> </w:t>
      </w:r>
      <w:proofErr w:type="spellStart"/>
      <w:r w:rsidRPr="00B51EE2">
        <w:t>GHD</w:t>
      </w:r>
      <w:proofErr w:type="spellEnd"/>
      <w:r w:rsidRPr="00B51EE2">
        <w:t xml:space="preserve">, Saud A, Khan A, Zaidi SJ. Progress and innovations in hydrogels for sustainable agriculture. </w:t>
      </w:r>
      <w:r w:rsidRPr="00B51EE2">
        <w:rPr>
          <w:i/>
          <w:iCs/>
        </w:rPr>
        <w:t>Agronomy</w:t>
      </w:r>
      <w:r w:rsidRPr="00B51EE2">
        <w:t xml:space="preserve">. 2024;14(12):2815. </w:t>
      </w:r>
      <w:hyperlink r:id="rId31" w:history="1">
        <w:r w:rsidRPr="00B51EE2">
          <w:rPr>
            <w:rStyle w:val="Hyperlink"/>
          </w:rPr>
          <w:t>https://doi.org/10.3390/agronomy14122815</w:t>
        </w:r>
      </w:hyperlink>
    </w:p>
    <w:p w14:paraId="3C787760" w14:textId="77777777" w:rsidR="00B51EE2" w:rsidRPr="00B51EE2" w:rsidRDefault="00B51EE2" w:rsidP="00B51EE2">
      <w:pPr>
        <w:ind w:left="567" w:hanging="567"/>
        <w:jc w:val="both"/>
      </w:pPr>
      <w:r w:rsidRPr="00B51EE2">
        <w:t>[18]°</w:t>
      </w:r>
      <w:proofErr w:type="spellStart"/>
      <w:r w:rsidRPr="00B51EE2">
        <w:t>Agbna</w:t>
      </w:r>
      <w:proofErr w:type="spellEnd"/>
      <w:r w:rsidRPr="00B51EE2">
        <w:t xml:space="preserve"> </w:t>
      </w:r>
      <w:proofErr w:type="spellStart"/>
      <w:r w:rsidRPr="00B51EE2">
        <w:t>GHD</w:t>
      </w:r>
      <w:proofErr w:type="spellEnd"/>
      <w:r w:rsidRPr="00B51EE2">
        <w:t xml:space="preserve">, Zaidi </w:t>
      </w:r>
      <w:proofErr w:type="spellStart"/>
      <w:r w:rsidRPr="00B51EE2">
        <w:t>SJ</w:t>
      </w:r>
      <w:proofErr w:type="spellEnd"/>
      <w:r w:rsidRPr="00B51EE2">
        <w:t xml:space="preserve">. Hydrogel performance in boosting plant resilience to water stress: Review. </w:t>
      </w:r>
      <w:r w:rsidRPr="00B51EE2">
        <w:rPr>
          <w:i/>
          <w:iCs/>
        </w:rPr>
        <w:t>Gels</w:t>
      </w:r>
      <w:r w:rsidRPr="00B51EE2">
        <w:t xml:space="preserve">. 2025;11(4):276. </w:t>
      </w:r>
      <w:hyperlink r:id="rId32" w:history="1">
        <w:r w:rsidRPr="00B51EE2">
          <w:rPr>
            <w:rStyle w:val="Hyperlink"/>
          </w:rPr>
          <w:t>https://doi.org/10.3390/gels11040276</w:t>
        </w:r>
      </w:hyperlink>
    </w:p>
    <w:p w14:paraId="748862A8" w14:textId="77777777" w:rsidR="00B51EE2" w:rsidRPr="00B51EE2" w:rsidRDefault="00B51EE2" w:rsidP="00B51EE2">
      <w:pPr>
        <w:ind w:left="567" w:hanging="567"/>
        <w:jc w:val="both"/>
      </w:pPr>
      <w:r w:rsidRPr="00B51EE2">
        <w:t xml:space="preserve">[19]°Ahmed EM. Hydrogel: Preparation, characterization, and applications: A review. </w:t>
      </w:r>
      <w:r w:rsidRPr="00B51EE2">
        <w:rPr>
          <w:i/>
          <w:iCs/>
        </w:rPr>
        <w:t>Journal of Advanced Research</w:t>
      </w:r>
      <w:r w:rsidRPr="00B51EE2">
        <w:t xml:space="preserve">. 2015;6(2):105-121. </w:t>
      </w:r>
      <w:hyperlink r:id="rId33" w:history="1">
        <w:r w:rsidRPr="00B51EE2">
          <w:rPr>
            <w:rStyle w:val="Hyperlink"/>
          </w:rPr>
          <w:t>https://doi.org/10.1016/j.jare.2013.07.006</w:t>
        </w:r>
      </w:hyperlink>
    </w:p>
    <w:p w14:paraId="2F3DBD7F" w14:textId="77777777" w:rsidR="00B51EE2" w:rsidRPr="00B51EE2" w:rsidRDefault="00B51EE2" w:rsidP="00B51EE2">
      <w:pPr>
        <w:ind w:left="567" w:hanging="567"/>
        <w:jc w:val="both"/>
      </w:pPr>
      <w:r w:rsidRPr="00B51EE2">
        <w:t xml:space="preserve">[20]°Melo R.A., Jorge M.H., Bortolin A., </w:t>
      </w:r>
      <w:proofErr w:type="spellStart"/>
      <w:r w:rsidRPr="00B51EE2">
        <w:t>Boiteux</w:t>
      </w:r>
      <w:proofErr w:type="spellEnd"/>
      <w:r w:rsidRPr="00B51EE2">
        <w:t xml:space="preserve"> </w:t>
      </w:r>
      <w:proofErr w:type="spellStart"/>
      <w:r w:rsidRPr="00B51EE2">
        <w:t>L.S</w:t>
      </w:r>
      <w:proofErr w:type="spellEnd"/>
      <w:r w:rsidRPr="00B51EE2">
        <w:t xml:space="preserve">., Oliveira C.R., </w:t>
      </w:r>
      <w:proofErr w:type="spellStart"/>
      <w:r w:rsidRPr="00B51EE2">
        <w:t>Marconcini</w:t>
      </w:r>
      <w:proofErr w:type="spellEnd"/>
      <w:r w:rsidRPr="00B51EE2">
        <w:t xml:space="preserve"> </w:t>
      </w:r>
      <w:proofErr w:type="spellStart"/>
      <w:r w:rsidRPr="00B51EE2">
        <w:t>J.M</w:t>
      </w:r>
      <w:proofErr w:type="spellEnd"/>
      <w:r w:rsidRPr="00B51EE2">
        <w:t>. Growth of tomato seedlings in substrates containing a nanocomposite hydrogel with calcium montmorillonite (NC-</w:t>
      </w:r>
      <w:proofErr w:type="spellStart"/>
      <w:r w:rsidRPr="00B51EE2">
        <w:t>MMt</w:t>
      </w:r>
      <w:proofErr w:type="spellEnd"/>
      <w:r w:rsidRPr="00B51EE2">
        <w:t xml:space="preserve">). </w:t>
      </w:r>
      <w:proofErr w:type="spellStart"/>
      <w:r w:rsidRPr="00B51EE2">
        <w:rPr>
          <w:i/>
          <w:iCs/>
        </w:rPr>
        <w:t>Horticultura</w:t>
      </w:r>
      <w:proofErr w:type="spellEnd"/>
      <w:r w:rsidRPr="00B51EE2">
        <w:rPr>
          <w:i/>
          <w:iCs/>
        </w:rPr>
        <w:t xml:space="preserve"> </w:t>
      </w:r>
      <w:proofErr w:type="spellStart"/>
      <w:r w:rsidRPr="00B51EE2">
        <w:rPr>
          <w:i/>
          <w:iCs/>
        </w:rPr>
        <w:t>Brasileira</w:t>
      </w:r>
      <w:proofErr w:type="spellEnd"/>
      <w:r w:rsidRPr="00B51EE2">
        <w:t xml:space="preserve">, 37, 199–203, 2019. </w:t>
      </w:r>
      <w:hyperlink r:id="rId34" w:history="1">
        <w:r w:rsidRPr="00B51EE2">
          <w:rPr>
            <w:rStyle w:val="Hyperlink"/>
          </w:rPr>
          <w:t>https://doi.org/10.1590/S0102-053620190210</w:t>
        </w:r>
      </w:hyperlink>
    </w:p>
    <w:p w14:paraId="6E9B6B5A" w14:textId="77777777" w:rsidR="00B51EE2" w:rsidRPr="00B51EE2" w:rsidRDefault="00B51EE2" w:rsidP="00B51EE2">
      <w:pPr>
        <w:ind w:left="567" w:hanging="567"/>
        <w:jc w:val="both"/>
      </w:pPr>
      <w:r w:rsidRPr="00B51EE2">
        <w:t xml:space="preserve">[21]°Patra S.K., Poddar R., </w:t>
      </w:r>
      <w:proofErr w:type="spellStart"/>
      <w:r w:rsidRPr="00B51EE2">
        <w:t>Brestic</w:t>
      </w:r>
      <w:proofErr w:type="spellEnd"/>
      <w:r w:rsidRPr="00B51EE2">
        <w:t xml:space="preserve"> M., </w:t>
      </w:r>
      <w:proofErr w:type="spellStart"/>
      <w:r w:rsidRPr="00B51EE2">
        <w:t>Acharjee</w:t>
      </w:r>
      <w:proofErr w:type="spellEnd"/>
      <w:r w:rsidRPr="00B51EE2">
        <w:t xml:space="preserve"> </w:t>
      </w:r>
      <w:proofErr w:type="spellStart"/>
      <w:r w:rsidRPr="00B51EE2">
        <w:t>P.U</w:t>
      </w:r>
      <w:proofErr w:type="spellEnd"/>
      <w:r w:rsidRPr="00B51EE2">
        <w:t xml:space="preserve">., Bhattacharya P., Sengupta S., Pal P., Bam N., Biswas B., Barek V., </w:t>
      </w:r>
      <w:proofErr w:type="spellStart"/>
      <w:r w:rsidRPr="00B51EE2">
        <w:t>Ondrisik</w:t>
      </w:r>
      <w:proofErr w:type="spellEnd"/>
      <w:r w:rsidRPr="00B51EE2">
        <w:t xml:space="preserve"> P., Skalicky M., Hossain A. Prospects of hydrogels in agriculture for enhancing crop and water productivity under water deficit </w:t>
      </w:r>
      <w:r w:rsidRPr="00B51EE2">
        <w:lastRenderedPageBreak/>
        <w:t xml:space="preserve">condition. </w:t>
      </w:r>
      <w:r w:rsidRPr="00B51EE2">
        <w:rPr>
          <w:i/>
          <w:iCs/>
        </w:rPr>
        <w:t>International Journal of Polymer Science</w:t>
      </w:r>
      <w:r w:rsidRPr="00B51EE2">
        <w:t xml:space="preserve">, 2022(1), 4914836, 2022. </w:t>
      </w:r>
      <w:hyperlink r:id="rId35" w:history="1">
        <w:r w:rsidRPr="00B51EE2">
          <w:rPr>
            <w:rStyle w:val="Hyperlink"/>
          </w:rPr>
          <w:t>https://doi.org/10.1155/2022/4914836</w:t>
        </w:r>
      </w:hyperlink>
    </w:p>
    <w:p w14:paraId="5B726111" w14:textId="77777777" w:rsidR="00B51EE2" w:rsidRPr="00B51EE2" w:rsidRDefault="00B51EE2" w:rsidP="00B51EE2">
      <w:pPr>
        <w:ind w:left="567" w:hanging="567"/>
        <w:jc w:val="both"/>
      </w:pPr>
      <w:r w:rsidRPr="00B51EE2">
        <w:t xml:space="preserve">[22]°Piccoli I., </w:t>
      </w:r>
      <w:proofErr w:type="spellStart"/>
      <w:r w:rsidRPr="00B51EE2">
        <w:t>Camarotto</w:t>
      </w:r>
      <w:proofErr w:type="spellEnd"/>
      <w:r w:rsidRPr="00B51EE2">
        <w:t xml:space="preserve"> C., </w:t>
      </w:r>
      <w:proofErr w:type="spellStart"/>
      <w:r w:rsidRPr="00B51EE2">
        <w:t>Squartini</w:t>
      </w:r>
      <w:proofErr w:type="spellEnd"/>
      <w:r w:rsidRPr="00B51EE2">
        <w:t xml:space="preserve"> A., Longo M., Gross S., Maggini M., Cabrera M.L., Morari F. Hydrogels for agronomical application: from soil characteristics to crop growth: a review. </w:t>
      </w:r>
      <w:r w:rsidRPr="00B51EE2">
        <w:rPr>
          <w:i/>
          <w:iCs/>
        </w:rPr>
        <w:t>Agronomy for Sustainable Development</w:t>
      </w:r>
      <w:r w:rsidRPr="00B51EE2">
        <w:t xml:space="preserve">, 44(2), 22, 2024. </w:t>
      </w:r>
      <w:hyperlink r:id="rId36" w:history="1">
        <w:r w:rsidRPr="00B51EE2">
          <w:rPr>
            <w:rStyle w:val="Hyperlink"/>
          </w:rPr>
          <w:t>https://doi.org/10.1007/s13593-024-00958-4</w:t>
        </w:r>
      </w:hyperlink>
    </w:p>
    <w:p w14:paraId="4E02AF4D" w14:textId="77777777" w:rsidR="00B51EE2" w:rsidRPr="00B51EE2" w:rsidRDefault="00B51EE2" w:rsidP="00B51EE2">
      <w:pPr>
        <w:ind w:left="567" w:hanging="567"/>
        <w:jc w:val="both"/>
      </w:pPr>
      <w:r w:rsidRPr="00B51EE2">
        <w:t>[23]°</w:t>
      </w:r>
      <w:proofErr w:type="spellStart"/>
      <w:r w:rsidRPr="00B51EE2">
        <w:t>Mikhailidi</w:t>
      </w:r>
      <w:proofErr w:type="spellEnd"/>
      <w:r w:rsidRPr="00B51EE2">
        <w:t xml:space="preserve"> A., Ungureanu E., </w:t>
      </w:r>
      <w:proofErr w:type="spellStart"/>
      <w:r w:rsidRPr="00B51EE2">
        <w:t>Tofanica</w:t>
      </w:r>
      <w:proofErr w:type="spellEnd"/>
      <w:r w:rsidRPr="00B51EE2">
        <w:t xml:space="preserve"> </w:t>
      </w:r>
      <w:proofErr w:type="spellStart"/>
      <w:r w:rsidRPr="00B51EE2">
        <w:t>B.M</w:t>
      </w:r>
      <w:proofErr w:type="spellEnd"/>
      <w:r w:rsidRPr="00B51EE2">
        <w:t xml:space="preserve">., </w:t>
      </w:r>
      <w:proofErr w:type="spellStart"/>
      <w:r w:rsidRPr="00B51EE2">
        <w:t>Ungureanu</w:t>
      </w:r>
      <w:proofErr w:type="spellEnd"/>
      <w:r w:rsidRPr="00B51EE2">
        <w:t xml:space="preserve"> </w:t>
      </w:r>
      <w:proofErr w:type="spellStart"/>
      <w:r w:rsidRPr="00B51EE2">
        <w:t>O.C</w:t>
      </w:r>
      <w:proofErr w:type="spellEnd"/>
      <w:r w:rsidRPr="00B51EE2">
        <w:t xml:space="preserve">., </w:t>
      </w:r>
      <w:proofErr w:type="spellStart"/>
      <w:r w:rsidRPr="00B51EE2">
        <w:t>Fortună</w:t>
      </w:r>
      <w:proofErr w:type="spellEnd"/>
      <w:r w:rsidRPr="00B51EE2">
        <w:t xml:space="preserve"> M.E., </w:t>
      </w:r>
      <w:proofErr w:type="spellStart"/>
      <w:r w:rsidRPr="00B51EE2">
        <w:t>Belosinschi</w:t>
      </w:r>
      <w:proofErr w:type="spellEnd"/>
      <w:r w:rsidRPr="00B51EE2">
        <w:t xml:space="preserve"> D., Volf I. Agriculture 4.0: Polymer hydrogels as delivery agents of active ingredients. </w:t>
      </w:r>
      <w:r w:rsidRPr="00B51EE2">
        <w:rPr>
          <w:i/>
          <w:iCs/>
        </w:rPr>
        <w:t>Gels</w:t>
      </w:r>
      <w:r w:rsidRPr="00B51EE2">
        <w:t xml:space="preserve">, 10(6), 368, 2024. </w:t>
      </w:r>
      <w:hyperlink r:id="rId37" w:history="1">
        <w:r w:rsidRPr="00B51EE2">
          <w:rPr>
            <w:rStyle w:val="Hyperlink"/>
          </w:rPr>
          <w:t>https://doi.org/10.3390/gels10060368</w:t>
        </w:r>
      </w:hyperlink>
    </w:p>
    <w:p w14:paraId="580C0CEA" w14:textId="77777777" w:rsidR="00B51EE2" w:rsidRPr="00B51EE2" w:rsidRDefault="00B51EE2" w:rsidP="00B51EE2">
      <w:pPr>
        <w:ind w:left="567" w:hanging="567"/>
        <w:jc w:val="both"/>
      </w:pPr>
      <w:r w:rsidRPr="00B51EE2">
        <w:t>[24]°</w:t>
      </w:r>
      <w:proofErr w:type="spellStart"/>
      <w:r w:rsidRPr="00B51EE2">
        <w:t>Neethu</w:t>
      </w:r>
      <w:proofErr w:type="spellEnd"/>
      <w:r w:rsidRPr="00B51EE2">
        <w:t xml:space="preserve"> </w:t>
      </w:r>
      <w:proofErr w:type="spellStart"/>
      <w:r w:rsidRPr="00B51EE2">
        <w:t>T.M</w:t>
      </w:r>
      <w:proofErr w:type="spellEnd"/>
      <w:r w:rsidRPr="00B51EE2">
        <w:t xml:space="preserve">., Dubey </w:t>
      </w:r>
      <w:proofErr w:type="spellStart"/>
      <w:r w:rsidRPr="00B51EE2">
        <w:t>P.K</w:t>
      </w:r>
      <w:proofErr w:type="spellEnd"/>
      <w:r w:rsidRPr="00B51EE2">
        <w:t xml:space="preserve">., </w:t>
      </w:r>
      <w:proofErr w:type="spellStart"/>
      <w:r w:rsidRPr="00B51EE2">
        <w:t>Kaswala</w:t>
      </w:r>
      <w:proofErr w:type="spellEnd"/>
      <w:r w:rsidRPr="00B51EE2">
        <w:t xml:space="preserve"> </w:t>
      </w:r>
      <w:proofErr w:type="spellStart"/>
      <w:r w:rsidRPr="00B51EE2">
        <w:t>A.R</w:t>
      </w:r>
      <w:proofErr w:type="spellEnd"/>
      <w:r w:rsidRPr="00B51EE2">
        <w:t xml:space="preserve">. Prospects and applications of hydrogel technology in agriculture. </w:t>
      </w:r>
      <w:r w:rsidRPr="00B51EE2">
        <w:rPr>
          <w:i/>
          <w:iCs/>
        </w:rPr>
        <w:t>International Journal of Current Microbiology and Applied Sciences</w:t>
      </w:r>
      <w:r w:rsidRPr="00B51EE2">
        <w:t xml:space="preserve">, 7(5), 3155–3162, 2018. </w:t>
      </w:r>
      <w:hyperlink r:id="rId38" w:history="1">
        <w:r w:rsidRPr="00B51EE2">
          <w:rPr>
            <w:rStyle w:val="Hyperlink"/>
          </w:rPr>
          <w:t>https://doi.org/10.20546/ijcmas.2018.705.369</w:t>
        </w:r>
      </w:hyperlink>
    </w:p>
    <w:p w14:paraId="61585515" w14:textId="77777777" w:rsidR="00B51EE2" w:rsidRPr="00B51EE2" w:rsidRDefault="00B51EE2" w:rsidP="00B51EE2">
      <w:pPr>
        <w:ind w:left="567" w:hanging="567"/>
        <w:jc w:val="both"/>
      </w:pPr>
      <w:r w:rsidRPr="00B51EE2">
        <w:t>[25]°</w:t>
      </w:r>
      <w:proofErr w:type="spellStart"/>
      <w:r w:rsidRPr="00B51EE2">
        <w:t>Adjuik</w:t>
      </w:r>
      <w:proofErr w:type="spellEnd"/>
      <w:r w:rsidRPr="00B51EE2">
        <w:t xml:space="preserve"> TA, </w:t>
      </w:r>
      <w:proofErr w:type="spellStart"/>
      <w:r w:rsidRPr="00B51EE2">
        <w:t>Nokes</w:t>
      </w:r>
      <w:proofErr w:type="spellEnd"/>
      <w:r w:rsidRPr="00B51EE2">
        <w:t xml:space="preserve"> SE, Montross MD. Biodegradability of bio-based and synthetic hydrogels as sustainable soil amendments: A review. </w:t>
      </w:r>
      <w:r w:rsidRPr="00B51EE2">
        <w:rPr>
          <w:i/>
          <w:iCs/>
        </w:rPr>
        <w:t>Journal of Applied Polymer Science</w:t>
      </w:r>
      <w:r w:rsidRPr="00B51EE2">
        <w:t>. 2023</w:t>
      </w:r>
      <w:proofErr w:type="gramStart"/>
      <w:r w:rsidRPr="00B51EE2">
        <w:t>;140</w:t>
      </w:r>
      <w:proofErr w:type="gramEnd"/>
      <w:r w:rsidRPr="00B51EE2">
        <w:t xml:space="preserve">(12):e53655. </w:t>
      </w:r>
      <w:hyperlink r:id="rId39" w:history="1">
        <w:r w:rsidRPr="00B51EE2">
          <w:rPr>
            <w:rStyle w:val="Hyperlink"/>
          </w:rPr>
          <w:t>https://doi.org/10.1002/app.53655</w:t>
        </w:r>
      </w:hyperlink>
    </w:p>
    <w:p w14:paraId="14C4EBEF" w14:textId="77777777" w:rsidR="00B51EE2" w:rsidRPr="00B51EE2" w:rsidRDefault="00B51EE2" w:rsidP="00B51EE2">
      <w:pPr>
        <w:ind w:left="567" w:hanging="567"/>
        <w:jc w:val="both"/>
      </w:pPr>
      <w:r w:rsidRPr="00B51EE2">
        <w:t xml:space="preserve">[26]°Prakash S., Vasudevan S., Banerjee A., Joe A.C., Geetha K.N., Mani S.K. Sustainable irrigation through application of hydrogel: a review. </w:t>
      </w:r>
      <w:proofErr w:type="spellStart"/>
      <w:r w:rsidRPr="00B51EE2">
        <w:rPr>
          <w:i/>
          <w:iCs/>
        </w:rPr>
        <w:t>Alinteri</w:t>
      </w:r>
      <w:proofErr w:type="spellEnd"/>
      <w:r w:rsidRPr="00B51EE2">
        <w:rPr>
          <w:i/>
          <w:iCs/>
        </w:rPr>
        <w:t xml:space="preserve"> Journal of Agriculture Sciences</w:t>
      </w:r>
      <w:r w:rsidRPr="00B51EE2">
        <w:t xml:space="preserve">, 36(2), 38–52, 2021. </w:t>
      </w:r>
      <w:hyperlink r:id="rId40" w:history="1">
        <w:r w:rsidRPr="00B51EE2">
          <w:rPr>
            <w:rStyle w:val="Hyperlink"/>
          </w:rPr>
          <w:t>https://doi.org/10.47059/alinteri/V36I2/AJAS21113</w:t>
        </w:r>
      </w:hyperlink>
    </w:p>
    <w:p w14:paraId="619BF97A" w14:textId="77777777" w:rsidR="00B51EE2" w:rsidRPr="00B51EE2" w:rsidRDefault="00B51EE2" w:rsidP="00B51EE2">
      <w:pPr>
        <w:ind w:left="567" w:hanging="567"/>
        <w:jc w:val="both"/>
      </w:pPr>
      <w:r w:rsidRPr="00B51EE2">
        <w:t>[27]°</w:t>
      </w:r>
      <w:proofErr w:type="spellStart"/>
      <w:r w:rsidRPr="00B51EE2">
        <w:t>Kurrey</w:t>
      </w:r>
      <w:proofErr w:type="spellEnd"/>
      <w:r w:rsidRPr="00B51EE2">
        <w:t xml:space="preserve"> D., Singh R.K., Rajput R.S. Effect of hydrogel and </w:t>
      </w:r>
      <w:r w:rsidRPr="00B51EE2">
        <w:rPr>
          <w:i/>
          <w:iCs/>
        </w:rPr>
        <w:t>Trichoderma</w:t>
      </w:r>
      <w:r w:rsidRPr="00B51EE2">
        <w:t xml:space="preserve"> on root growth and water productivity in rice varieties under rainfed conditions. </w:t>
      </w:r>
      <w:r w:rsidRPr="00B51EE2">
        <w:rPr>
          <w:i/>
          <w:iCs/>
        </w:rPr>
        <w:t>Research Journal of Agricultural Science</w:t>
      </w:r>
      <w:r w:rsidRPr="00B51EE2">
        <w:t xml:space="preserve">, 9, 210–212, 2018. </w:t>
      </w:r>
      <w:hyperlink r:id="rId41" w:history="1">
        <w:r w:rsidRPr="00B51EE2">
          <w:rPr>
            <w:rStyle w:val="Hyperlink"/>
          </w:rPr>
          <w:t>https://www.rjas.org</w:t>
        </w:r>
      </w:hyperlink>
    </w:p>
    <w:p w14:paraId="37BEAC5D" w14:textId="77777777" w:rsidR="00B51EE2" w:rsidRPr="00B51EE2" w:rsidRDefault="00B51EE2" w:rsidP="00B51EE2">
      <w:pPr>
        <w:ind w:left="567" w:hanging="567"/>
        <w:jc w:val="both"/>
      </w:pPr>
      <w:r w:rsidRPr="00B51EE2">
        <w:t xml:space="preserve">[28]°Saini A.K., Malve S.H. Impact of hydrogel on agriculture – a review. </w:t>
      </w:r>
      <w:r w:rsidRPr="00B51EE2">
        <w:rPr>
          <w:i/>
          <w:iCs/>
        </w:rPr>
        <w:t>Ecology, Environment and Conservation</w:t>
      </w:r>
      <w:r w:rsidRPr="00B51EE2">
        <w:t xml:space="preserve">, 29, S36–S47, 2023. </w:t>
      </w:r>
      <w:hyperlink r:id="rId42" w:history="1">
        <w:r w:rsidRPr="00B51EE2">
          <w:rPr>
            <w:rStyle w:val="Hyperlink"/>
          </w:rPr>
          <w:t>https://doi.org/10.53550/EEC.2023.v29i01s.007</w:t>
        </w:r>
      </w:hyperlink>
    </w:p>
    <w:p w14:paraId="28E74CF8" w14:textId="77777777" w:rsidR="00B51EE2" w:rsidRPr="00B51EE2" w:rsidRDefault="00B51EE2" w:rsidP="00B51EE2">
      <w:pPr>
        <w:ind w:left="567" w:hanging="567"/>
        <w:jc w:val="both"/>
      </w:pPr>
      <w:r w:rsidRPr="00B51EE2">
        <w:t xml:space="preserve">[29]°Womack N.C., Piccoli I., </w:t>
      </w:r>
      <w:proofErr w:type="spellStart"/>
      <w:r w:rsidRPr="00B51EE2">
        <w:t>Camarotto</w:t>
      </w:r>
      <w:proofErr w:type="spellEnd"/>
      <w:r w:rsidRPr="00B51EE2">
        <w:t xml:space="preserve"> C., </w:t>
      </w:r>
      <w:proofErr w:type="spellStart"/>
      <w:r w:rsidRPr="00B51EE2">
        <w:t>Squartini</w:t>
      </w:r>
      <w:proofErr w:type="spellEnd"/>
      <w:r w:rsidRPr="00B51EE2">
        <w:t xml:space="preserve"> A., Guerrini G., Gross S., Maggini M., Cabrera M.L., Morari F. Hydrogel application for improving soil pore network in agroecosystems: preliminary results on three different soils. </w:t>
      </w:r>
      <w:r w:rsidRPr="00B51EE2">
        <w:rPr>
          <w:i/>
          <w:iCs/>
        </w:rPr>
        <w:t>CATENA</w:t>
      </w:r>
      <w:r w:rsidRPr="00B51EE2">
        <w:t xml:space="preserve">, 208, 105759, 2022. </w:t>
      </w:r>
      <w:hyperlink r:id="rId43" w:history="1">
        <w:r w:rsidRPr="00B51EE2">
          <w:rPr>
            <w:rStyle w:val="Hyperlink"/>
          </w:rPr>
          <w:t>https://doi.org/10.1016/j.catena.2021.105759</w:t>
        </w:r>
      </w:hyperlink>
    </w:p>
    <w:p w14:paraId="4C80901F" w14:textId="77777777" w:rsidR="00B51EE2" w:rsidRPr="00B51EE2" w:rsidRDefault="00B51EE2" w:rsidP="00B51EE2">
      <w:pPr>
        <w:ind w:left="567" w:hanging="567"/>
        <w:jc w:val="both"/>
      </w:pPr>
      <w:r w:rsidRPr="00B51EE2">
        <w:t xml:space="preserve">[30]°Zhao Z., Hamdan N., Shen L., Nan H., </w:t>
      </w:r>
      <w:proofErr w:type="spellStart"/>
      <w:r w:rsidRPr="00B51EE2">
        <w:t>Almajed</w:t>
      </w:r>
      <w:proofErr w:type="spellEnd"/>
      <w:r w:rsidRPr="00B51EE2">
        <w:t xml:space="preserve"> A., </w:t>
      </w:r>
      <w:proofErr w:type="spellStart"/>
      <w:r w:rsidRPr="00B51EE2">
        <w:t>Kavazanjian</w:t>
      </w:r>
      <w:proofErr w:type="spellEnd"/>
      <w:r w:rsidRPr="00B51EE2">
        <w:t xml:space="preserve"> E., He X. Biomimetic hydrogel composites for soil stabilization and contaminant mitigation. </w:t>
      </w:r>
      <w:r w:rsidRPr="00B51EE2">
        <w:rPr>
          <w:i/>
          <w:iCs/>
        </w:rPr>
        <w:t>Environmental Science &amp; Technology</w:t>
      </w:r>
      <w:r w:rsidRPr="00B51EE2">
        <w:t xml:space="preserve">, 50(22), 12401–12410, 2016. </w:t>
      </w:r>
      <w:hyperlink r:id="rId44" w:history="1">
        <w:r w:rsidRPr="00B51EE2">
          <w:rPr>
            <w:rStyle w:val="Hyperlink"/>
          </w:rPr>
          <w:t>https://doi.org/10.1021/acs.est.6b01285</w:t>
        </w:r>
      </w:hyperlink>
    </w:p>
    <w:p w14:paraId="7B25E0C8" w14:textId="77777777" w:rsidR="00B51EE2" w:rsidRPr="00B51EE2" w:rsidRDefault="00B51EE2" w:rsidP="00B51EE2">
      <w:pPr>
        <w:ind w:left="567" w:hanging="567"/>
        <w:jc w:val="both"/>
      </w:pPr>
      <w:r w:rsidRPr="00B51EE2">
        <w:t xml:space="preserve">[31]°El-Aziz </w:t>
      </w:r>
      <w:proofErr w:type="spellStart"/>
      <w:r w:rsidRPr="00B51EE2">
        <w:t>MAA</w:t>
      </w:r>
      <w:proofErr w:type="spellEnd"/>
      <w:r w:rsidRPr="00B51EE2">
        <w:t xml:space="preserve">, </w:t>
      </w:r>
      <w:proofErr w:type="spellStart"/>
      <w:r w:rsidRPr="00B51EE2">
        <w:t>Elbagory</w:t>
      </w:r>
      <w:proofErr w:type="spellEnd"/>
      <w:r w:rsidRPr="00B51EE2">
        <w:t xml:space="preserve"> M, Arafat AA, </w:t>
      </w:r>
      <w:proofErr w:type="spellStart"/>
      <w:r w:rsidRPr="00B51EE2">
        <w:t>Aboelsoud</w:t>
      </w:r>
      <w:proofErr w:type="spellEnd"/>
      <w:r w:rsidRPr="00B51EE2">
        <w:t xml:space="preserve"> HM, El-</w:t>
      </w:r>
      <w:proofErr w:type="spellStart"/>
      <w:r w:rsidRPr="00B51EE2">
        <w:t>Nahrawy</w:t>
      </w:r>
      <w:proofErr w:type="spellEnd"/>
      <w:r w:rsidRPr="00B51EE2">
        <w:t xml:space="preserve"> S, Khalifa TH, Omara AED. Evaluating the impact of nano-silica and silica hydrogel amendments on soil water retention and crop yield in rice and clover under variable irrigation conditions. </w:t>
      </w:r>
      <w:r w:rsidRPr="00B51EE2">
        <w:rPr>
          <w:i/>
          <w:iCs/>
        </w:rPr>
        <w:t>Agronomy</w:t>
      </w:r>
      <w:r w:rsidRPr="00B51EE2">
        <w:t xml:space="preserve">. 2025;15(3):652. </w:t>
      </w:r>
      <w:hyperlink r:id="rId45" w:history="1">
        <w:r w:rsidRPr="00B51EE2">
          <w:rPr>
            <w:rStyle w:val="Hyperlink"/>
          </w:rPr>
          <w:t>https://doi.org/10.3390/agronomy15030652</w:t>
        </w:r>
      </w:hyperlink>
    </w:p>
    <w:p w14:paraId="772D4B98" w14:textId="77777777" w:rsidR="00B51EE2" w:rsidRPr="00B51EE2" w:rsidRDefault="00B51EE2" w:rsidP="00B51EE2">
      <w:pPr>
        <w:ind w:left="567" w:hanging="567"/>
        <w:jc w:val="both"/>
      </w:pPr>
      <w:r w:rsidRPr="00B51EE2">
        <w:t>[32]°</w:t>
      </w:r>
      <w:proofErr w:type="spellStart"/>
      <w:r w:rsidRPr="00B51EE2">
        <w:t>Dujeswer</w:t>
      </w:r>
      <w:proofErr w:type="spellEnd"/>
      <w:r w:rsidRPr="00B51EE2">
        <w:t xml:space="preserve"> R, Khan M, Rajput VD, </w:t>
      </w:r>
      <w:proofErr w:type="spellStart"/>
      <w:r w:rsidRPr="00B51EE2">
        <w:t>Minkina</w:t>
      </w:r>
      <w:proofErr w:type="spellEnd"/>
      <w:r w:rsidRPr="00B51EE2">
        <w:t xml:space="preserve"> T. Hydrogel-based </w:t>
      </w:r>
      <w:r w:rsidRPr="00B51EE2">
        <w:rPr>
          <w:i/>
          <w:iCs/>
        </w:rPr>
        <w:t>Trichoderma</w:t>
      </w:r>
      <w:r w:rsidRPr="00B51EE2">
        <w:t xml:space="preserve"> formulation effects on different varieties of rice under rainfed condition of Indo-Gangetic Plains. </w:t>
      </w:r>
      <w:r w:rsidRPr="00B51EE2">
        <w:rPr>
          <w:i/>
          <w:iCs/>
        </w:rPr>
        <w:t>Environment, Development and Sustainability</w:t>
      </w:r>
      <w:r w:rsidRPr="00B51EE2">
        <w:t xml:space="preserve">. 2022;24(5):7035-7056. </w:t>
      </w:r>
      <w:hyperlink r:id="rId46" w:history="1">
        <w:r w:rsidRPr="00B51EE2">
          <w:rPr>
            <w:rStyle w:val="Hyperlink"/>
          </w:rPr>
          <w:t>https://doi.org/10.1007/s10668-021-01738-w</w:t>
        </w:r>
      </w:hyperlink>
    </w:p>
    <w:p w14:paraId="1FB9F8A3" w14:textId="77777777" w:rsidR="00B51EE2" w:rsidRPr="00B51EE2" w:rsidRDefault="00B51EE2" w:rsidP="00B51EE2">
      <w:pPr>
        <w:ind w:left="567" w:hanging="567"/>
        <w:jc w:val="both"/>
      </w:pPr>
      <w:r w:rsidRPr="00B51EE2">
        <w:t xml:space="preserve">[33]°Crous JW. Use of hydrogels in the planting of industrial wood plantations. </w:t>
      </w:r>
      <w:r w:rsidRPr="00B51EE2">
        <w:rPr>
          <w:i/>
          <w:iCs/>
        </w:rPr>
        <w:t>Southern Forests: A Journal of Forest Science</w:t>
      </w:r>
      <w:r w:rsidRPr="00B51EE2">
        <w:t xml:space="preserve">. 2017;79(3):197-213. </w:t>
      </w:r>
      <w:hyperlink r:id="rId47" w:history="1">
        <w:r w:rsidRPr="00B51EE2">
          <w:rPr>
            <w:rStyle w:val="Hyperlink"/>
          </w:rPr>
          <w:t>https://doi.org/10.2989/20702620.2016.1221698</w:t>
        </w:r>
      </w:hyperlink>
    </w:p>
    <w:p w14:paraId="3C8446C7" w14:textId="77777777" w:rsidR="00B51EE2" w:rsidRPr="00B51EE2" w:rsidRDefault="00B51EE2" w:rsidP="00B51EE2">
      <w:pPr>
        <w:ind w:left="567" w:hanging="567"/>
        <w:jc w:val="both"/>
      </w:pPr>
      <w:r w:rsidRPr="00B51EE2">
        <w:t xml:space="preserve">[34]°Neto E.D.O., Lima C.J.G.S., Júnior G.B.S., Dutra </w:t>
      </w:r>
      <w:proofErr w:type="spellStart"/>
      <w:r w:rsidRPr="00B51EE2">
        <w:t>A.F</w:t>
      </w:r>
      <w:proofErr w:type="spellEnd"/>
      <w:r w:rsidRPr="00B51EE2">
        <w:t xml:space="preserve">., </w:t>
      </w:r>
      <w:proofErr w:type="spellStart"/>
      <w:r w:rsidRPr="00B51EE2">
        <w:t>Júnior</w:t>
      </w:r>
      <w:proofErr w:type="spellEnd"/>
      <w:r w:rsidRPr="00B51EE2">
        <w:t xml:space="preserve"> </w:t>
      </w:r>
      <w:proofErr w:type="spellStart"/>
      <w:r w:rsidRPr="00B51EE2">
        <w:t>C.R.A.B</w:t>
      </w:r>
      <w:proofErr w:type="spellEnd"/>
      <w:r w:rsidRPr="00B51EE2">
        <w:t xml:space="preserve">., Barros </w:t>
      </w:r>
      <w:proofErr w:type="spellStart"/>
      <w:r w:rsidRPr="00B51EE2">
        <w:t>P.E.O</w:t>
      </w:r>
      <w:proofErr w:type="spellEnd"/>
      <w:r w:rsidRPr="00B51EE2">
        <w:t xml:space="preserve">., </w:t>
      </w:r>
      <w:proofErr w:type="spellStart"/>
      <w:r w:rsidRPr="00B51EE2">
        <w:t>Assunção</w:t>
      </w:r>
      <w:proofErr w:type="spellEnd"/>
      <w:r w:rsidRPr="00B51EE2">
        <w:t xml:space="preserve"> D.S., </w:t>
      </w:r>
      <w:proofErr w:type="spellStart"/>
      <w:r w:rsidRPr="00B51EE2">
        <w:t>Briozo</w:t>
      </w:r>
      <w:proofErr w:type="spellEnd"/>
      <w:r w:rsidRPr="00B51EE2">
        <w:t xml:space="preserve"> </w:t>
      </w:r>
      <w:proofErr w:type="spellStart"/>
      <w:r w:rsidRPr="00B51EE2">
        <w:t>M.E.O</w:t>
      </w:r>
      <w:proofErr w:type="spellEnd"/>
      <w:r w:rsidRPr="00B51EE2">
        <w:t xml:space="preserve">. Hydrogel application alters physical and chemical properties of soil, reducing </w:t>
      </w:r>
      <w:proofErr w:type="spellStart"/>
      <w:r w:rsidRPr="00B51EE2">
        <w:t>fertirrigation</w:t>
      </w:r>
      <w:proofErr w:type="spellEnd"/>
      <w:r w:rsidRPr="00B51EE2">
        <w:t xml:space="preserve"> needs in tomato crop. </w:t>
      </w:r>
      <w:proofErr w:type="spellStart"/>
      <w:r w:rsidRPr="00B51EE2">
        <w:rPr>
          <w:i/>
          <w:iCs/>
        </w:rPr>
        <w:t>Scientia</w:t>
      </w:r>
      <w:proofErr w:type="spellEnd"/>
      <w:r w:rsidRPr="00B51EE2">
        <w:rPr>
          <w:i/>
          <w:iCs/>
        </w:rPr>
        <w:t xml:space="preserve"> </w:t>
      </w:r>
      <w:proofErr w:type="spellStart"/>
      <w:r w:rsidRPr="00B51EE2">
        <w:rPr>
          <w:i/>
          <w:iCs/>
        </w:rPr>
        <w:t>Horticulturae</w:t>
      </w:r>
      <w:proofErr w:type="spellEnd"/>
      <w:r w:rsidRPr="00B51EE2">
        <w:t xml:space="preserve">, 334, 113305, 2024. </w:t>
      </w:r>
      <w:hyperlink r:id="rId48" w:history="1">
        <w:r w:rsidRPr="00B51EE2">
          <w:rPr>
            <w:rStyle w:val="Hyperlink"/>
          </w:rPr>
          <w:t>https://doi.org/10.1016/j.scienta.2024.113305</w:t>
        </w:r>
      </w:hyperlink>
    </w:p>
    <w:p w14:paraId="399C17A9" w14:textId="77777777" w:rsidR="00B51EE2" w:rsidRPr="00B51EE2" w:rsidRDefault="00B51EE2" w:rsidP="00B51EE2">
      <w:pPr>
        <w:ind w:left="567" w:hanging="567"/>
        <w:jc w:val="both"/>
      </w:pPr>
      <w:r w:rsidRPr="00B51EE2">
        <w:t>[35]°</w:t>
      </w:r>
      <w:proofErr w:type="spellStart"/>
      <w:r w:rsidRPr="00B51EE2">
        <w:t>Albalasmeh</w:t>
      </w:r>
      <w:proofErr w:type="spellEnd"/>
      <w:r w:rsidRPr="00B51EE2">
        <w:t xml:space="preserve"> AA, </w:t>
      </w:r>
      <w:proofErr w:type="spellStart"/>
      <w:r w:rsidRPr="00B51EE2">
        <w:t>Mohawesh</w:t>
      </w:r>
      <w:proofErr w:type="spellEnd"/>
      <w:r w:rsidRPr="00B51EE2">
        <w:t xml:space="preserve"> O, </w:t>
      </w:r>
      <w:proofErr w:type="spellStart"/>
      <w:r w:rsidRPr="00B51EE2">
        <w:t>Gharaibeh</w:t>
      </w:r>
      <w:proofErr w:type="spellEnd"/>
      <w:r w:rsidRPr="00B51EE2">
        <w:t xml:space="preserve"> MA, </w:t>
      </w:r>
      <w:proofErr w:type="spellStart"/>
      <w:r w:rsidRPr="00B51EE2">
        <w:t>Alghamdi</w:t>
      </w:r>
      <w:proofErr w:type="spellEnd"/>
      <w:r w:rsidRPr="00B51EE2">
        <w:t xml:space="preserve"> AG, </w:t>
      </w:r>
      <w:proofErr w:type="spellStart"/>
      <w:r w:rsidRPr="00B51EE2">
        <w:t>Alajlouni</w:t>
      </w:r>
      <w:proofErr w:type="spellEnd"/>
      <w:r w:rsidRPr="00B51EE2">
        <w:t xml:space="preserve"> MA, </w:t>
      </w:r>
      <w:proofErr w:type="spellStart"/>
      <w:r w:rsidRPr="00B51EE2">
        <w:t>Alqudah</w:t>
      </w:r>
      <w:proofErr w:type="spellEnd"/>
      <w:r w:rsidRPr="00B51EE2">
        <w:t xml:space="preserve"> AM. Effect of hydrogel on corn growth, water use efficiency, and soil properties in a semi-arid region. </w:t>
      </w:r>
      <w:r w:rsidRPr="00B51EE2">
        <w:rPr>
          <w:i/>
          <w:iCs/>
        </w:rPr>
        <w:t>Journal of the Saudi Society of Agricultural Sciences</w:t>
      </w:r>
      <w:r w:rsidRPr="00B51EE2">
        <w:t xml:space="preserve">. 2022;21(8):518-524. </w:t>
      </w:r>
      <w:hyperlink r:id="rId49" w:history="1">
        <w:r w:rsidRPr="00B51EE2">
          <w:rPr>
            <w:rStyle w:val="Hyperlink"/>
          </w:rPr>
          <w:t>https://doi.org/10.1016/j.jssas.2022.03.001</w:t>
        </w:r>
      </w:hyperlink>
    </w:p>
    <w:p w14:paraId="3444804B" w14:textId="77777777" w:rsidR="00B51EE2" w:rsidRPr="00B51EE2" w:rsidRDefault="00B51EE2" w:rsidP="00B51EE2">
      <w:pPr>
        <w:ind w:left="567" w:hanging="567"/>
        <w:jc w:val="both"/>
        <w:rPr>
          <w:u w:val="single"/>
        </w:rPr>
      </w:pPr>
      <w:r w:rsidRPr="00B51EE2">
        <w:t xml:space="preserve">[36]°Kaur P., Agrawal R., Pfeffer F.M., Williams R., </w:t>
      </w:r>
      <w:proofErr w:type="spellStart"/>
      <w:r w:rsidRPr="00B51EE2">
        <w:t>Bohidar</w:t>
      </w:r>
      <w:proofErr w:type="spellEnd"/>
      <w:r w:rsidRPr="00B51EE2">
        <w:t xml:space="preserve"> </w:t>
      </w:r>
      <w:proofErr w:type="spellStart"/>
      <w:r w:rsidRPr="00B51EE2">
        <w:t>H.B</w:t>
      </w:r>
      <w:proofErr w:type="spellEnd"/>
      <w:r w:rsidRPr="00B51EE2">
        <w:t xml:space="preserve">. Hydrogels in agriculture: prospects and challenges. </w:t>
      </w:r>
      <w:r w:rsidRPr="00B51EE2">
        <w:rPr>
          <w:i/>
          <w:iCs/>
        </w:rPr>
        <w:t>Journal of Polymers and the Environment</w:t>
      </w:r>
      <w:r w:rsidRPr="00B51EE2">
        <w:t xml:space="preserve">, 31(9), 3701–3718, 2023. </w:t>
      </w:r>
      <w:hyperlink r:id="rId50" w:history="1">
        <w:r w:rsidRPr="00B51EE2">
          <w:rPr>
            <w:rStyle w:val="Hyperlink"/>
          </w:rPr>
          <w:t>https://doi.org/10.1007/s10924-023-02859-1</w:t>
        </w:r>
      </w:hyperlink>
    </w:p>
    <w:p w14:paraId="42FA852D" w14:textId="77777777" w:rsidR="00B51EE2" w:rsidRPr="00B51EE2" w:rsidRDefault="00B51EE2" w:rsidP="00B51EE2">
      <w:pPr>
        <w:ind w:left="567" w:hanging="567"/>
        <w:jc w:val="both"/>
      </w:pPr>
      <w:r w:rsidRPr="00B51EE2">
        <w:lastRenderedPageBreak/>
        <w:t xml:space="preserve">[37]°Baran A, Zaleski T, Kulikowski E, Wieczorek J. </w:t>
      </w:r>
      <w:proofErr w:type="spellStart"/>
      <w:r w:rsidRPr="00B51EE2">
        <w:t>Hydrophysical</w:t>
      </w:r>
      <w:proofErr w:type="spellEnd"/>
      <w:r w:rsidRPr="00B51EE2">
        <w:t xml:space="preserve"> and biological properties of sandy substrata enriched with hydrogel. </w:t>
      </w:r>
      <w:r w:rsidRPr="00B51EE2">
        <w:rPr>
          <w:i/>
          <w:iCs/>
        </w:rPr>
        <w:t>Polish Journal of Environmental Studies</w:t>
      </w:r>
      <w:r w:rsidRPr="00B51EE2">
        <w:t xml:space="preserve">. 2015;24(6):2419-2426. </w:t>
      </w:r>
      <w:hyperlink r:id="rId51" w:history="1">
        <w:r w:rsidRPr="00B51EE2">
          <w:rPr>
            <w:rStyle w:val="Hyperlink"/>
          </w:rPr>
          <w:t>https://doi.org/10.15244/pjoes/59258</w:t>
        </w:r>
      </w:hyperlink>
    </w:p>
    <w:p w14:paraId="1FD3F793" w14:textId="77777777" w:rsidR="00B51EE2" w:rsidRPr="00B51EE2" w:rsidRDefault="00B51EE2" w:rsidP="00B51EE2">
      <w:pPr>
        <w:ind w:left="567" w:hanging="567"/>
        <w:jc w:val="both"/>
      </w:pPr>
      <w:r w:rsidRPr="00B51EE2">
        <w:t>[38]°</w:t>
      </w:r>
      <w:proofErr w:type="spellStart"/>
      <w:r w:rsidRPr="00B51EE2">
        <w:t>Cannazza</w:t>
      </w:r>
      <w:proofErr w:type="spellEnd"/>
      <w:r w:rsidRPr="00B51EE2">
        <w:t xml:space="preserve"> G, </w:t>
      </w:r>
      <w:proofErr w:type="spellStart"/>
      <w:r w:rsidRPr="00B51EE2">
        <w:t>Cataldo</w:t>
      </w:r>
      <w:proofErr w:type="spellEnd"/>
      <w:r w:rsidRPr="00B51EE2">
        <w:t xml:space="preserve"> A, De Benedetto E, </w:t>
      </w:r>
      <w:proofErr w:type="spellStart"/>
      <w:r w:rsidRPr="00B51EE2">
        <w:t>Demitri</w:t>
      </w:r>
      <w:proofErr w:type="spellEnd"/>
      <w:r w:rsidRPr="00B51EE2">
        <w:t xml:space="preserve"> C, </w:t>
      </w:r>
      <w:proofErr w:type="spellStart"/>
      <w:r w:rsidRPr="00B51EE2">
        <w:t>Madaghiele</w:t>
      </w:r>
      <w:proofErr w:type="spellEnd"/>
      <w:r w:rsidRPr="00B51EE2">
        <w:t xml:space="preserve"> M, </w:t>
      </w:r>
      <w:proofErr w:type="spellStart"/>
      <w:r w:rsidRPr="00B51EE2">
        <w:t>Sannino</w:t>
      </w:r>
      <w:proofErr w:type="spellEnd"/>
      <w:r w:rsidRPr="00B51EE2">
        <w:t xml:space="preserve"> A. Experimental assessment of the use of a novel superabsorbent polymer (SAP) for the optimization of water consumption in agricultural irrigation process. </w:t>
      </w:r>
      <w:r w:rsidRPr="00B51EE2">
        <w:rPr>
          <w:i/>
          <w:iCs/>
        </w:rPr>
        <w:t>Water</w:t>
      </w:r>
      <w:r w:rsidRPr="00B51EE2">
        <w:t xml:space="preserve">. 2014;6(7):2056-2069. </w:t>
      </w:r>
      <w:hyperlink r:id="rId52" w:history="1">
        <w:r w:rsidRPr="00B51EE2">
          <w:rPr>
            <w:rStyle w:val="Hyperlink"/>
          </w:rPr>
          <w:t>https://doi.org/10.3390/w6072056</w:t>
        </w:r>
      </w:hyperlink>
    </w:p>
    <w:p w14:paraId="21CD8F48" w14:textId="77777777" w:rsidR="00B51EE2" w:rsidRPr="00B51EE2" w:rsidRDefault="00B51EE2" w:rsidP="00B51EE2">
      <w:pPr>
        <w:ind w:left="567" w:hanging="567"/>
        <w:jc w:val="both"/>
        <w:rPr>
          <w:lang w:val="es-ES"/>
        </w:rPr>
      </w:pPr>
      <w:r w:rsidRPr="00B51EE2">
        <w:t xml:space="preserve">[39]°Qi Z., Hu X. Water absorbency of a superabsorbent polymer based on a flexible polymer network. </w:t>
      </w:r>
      <w:proofErr w:type="spellStart"/>
      <w:r w:rsidRPr="00B51EE2">
        <w:rPr>
          <w:i/>
          <w:iCs/>
          <w:lang w:val="es-ES"/>
        </w:rPr>
        <w:t>European</w:t>
      </w:r>
      <w:proofErr w:type="spellEnd"/>
      <w:r w:rsidRPr="00B51EE2">
        <w:rPr>
          <w:i/>
          <w:iCs/>
          <w:lang w:val="es-ES"/>
        </w:rPr>
        <w:t xml:space="preserve"> </w:t>
      </w:r>
      <w:proofErr w:type="spellStart"/>
      <w:r w:rsidRPr="00B51EE2">
        <w:rPr>
          <w:i/>
          <w:iCs/>
          <w:lang w:val="es-ES"/>
        </w:rPr>
        <w:t>Polymer</w:t>
      </w:r>
      <w:proofErr w:type="spellEnd"/>
      <w:r w:rsidRPr="00B51EE2">
        <w:rPr>
          <w:i/>
          <w:iCs/>
          <w:lang w:val="es-ES"/>
        </w:rPr>
        <w:t xml:space="preserve"> </w:t>
      </w:r>
      <w:proofErr w:type="spellStart"/>
      <w:r w:rsidRPr="00B51EE2">
        <w:rPr>
          <w:i/>
          <w:iCs/>
          <w:lang w:val="es-ES"/>
        </w:rPr>
        <w:t>Journal</w:t>
      </w:r>
      <w:proofErr w:type="spellEnd"/>
      <w:r w:rsidRPr="00B51EE2">
        <w:rPr>
          <w:lang w:val="es-ES"/>
        </w:rPr>
        <w:t xml:space="preserve">, 166, 111045, 2022. </w:t>
      </w:r>
      <w:hyperlink r:id="rId53" w:history="1">
        <w:r w:rsidRPr="00B51EE2">
          <w:rPr>
            <w:rStyle w:val="Hyperlink"/>
            <w:lang w:val="es-ES"/>
          </w:rPr>
          <w:t>https://doi.org/10.1016/j.eurpolymj.2022.111045</w:t>
        </w:r>
      </w:hyperlink>
    </w:p>
    <w:p w14:paraId="65FE7E91" w14:textId="77777777" w:rsidR="00B51EE2" w:rsidRPr="00B51EE2" w:rsidRDefault="00B51EE2" w:rsidP="00B51EE2">
      <w:pPr>
        <w:ind w:left="567" w:hanging="567"/>
        <w:jc w:val="both"/>
      </w:pPr>
      <w:r w:rsidRPr="00B51EE2">
        <w:rPr>
          <w:lang w:val="es-ES"/>
        </w:rPr>
        <w:t>[40]</w:t>
      </w:r>
      <w:proofErr w:type="spellStart"/>
      <w:r w:rsidRPr="00B51EE2">
        <w:rPr>
          <w:lang w:val="es-ES"/>
        </w:rPr>
        <w:t>°Dvořáčková</w:t>
      </w:r>
      <w:proofErr w:type="spellEnd"/>
      <w:r w:rsidRPr="00B51EE2">
        <w:rPr>
          <w:lang w:val="es-ES"/>
        </w:rPr>
        <w:t xml:space="preserve"> H, Hueso González P, </w:t>
      </w:r>
      <w:proofErr w:type="spellStart"/>
      <w:r w:rsidRPr="00B51EE2">
        <w:rPr>
          <w:lang w:val="es-ES"/>
        </w:rPr>
        <w:t>Záhora</w:t>
      </w:r>
      <w:proofErr w:type="spellEnd"/>
      <w:r w:rsidRPr="00B51EE2">
        <w:rPr>
          <w:lang w:val="es-ES"/>
        </w:rPr>
        <w:t xml:space="preserve"> J, Ruiz </w:t>
      </w:r>
      <w:proofErr w:type="spellStart"/>
      <w:r w:rsidRPr="00B51EE2">
        <w:rPr>
          <w:lang w:val="es-ES"/>
        </w:rPr>
        <w:t>Sinoga</w:t>
      </w:r>
      <w:proofErr w:type="spellEnd"/>
      <w:r w:rsidRPr="00B51EE2">
        <w:rPr>
          <w:lang w:val="es-ES"/>
        </w:rPr>
        <w:t xml:space="preserve"> RS. </w:t>
      </w:r>
      <w:r w:rsidRPr="00B51EE2">
        <w:t xml:space="preserve">The effect of </w:t>
      </w:r>
      <w:proofErr w:type="spellStart"/>
      <w:r w:rsidRPr="00B51EE2">
        <w:t>hydropolymers</w:t>
      </w:r>
      <w:proofErr w:type="spellEnd"/>
      <w:r w:rsidRPr="00B51EE2">
        <w:t xml:space="preserve"> on soil microbial activities in Mediterranean areas. </w:t>
      </w:r>
      <w:r w:rsidRPr="00B51EE2">
        <w:rPr>
          <w:i/>
          <w:iCs/>
        </w:rPr>
        <w:t>MVZ Córdoba Magazine</w:t>
      </w:r>
      <w:r w:rsidRPr="00B51EE2">
        <w:t xml:space="preserve">. 2018;23(1):6414-6428. </w:t>
      </w:r>
      <w:hyperlink r:id="rId54" w:history="1">
        <w:r w:rsidRPr="00B51EE2">
          <w:rPr>
            <w:rStyle w:val="Hyperlink"/>
          </w:rPr>
          <w:t>https://doi.org/10.21897/rmvz.1237</w:t>
        </w:r>
      </w:hyperlink>
    </w:p>
    <w:p w14:paraId="6F4A7077" w14:textId="77777777" w:rsidR="00B51EE2" w:rsidRPr="00B51EE2" w:rsidRDefault="00B51EE2" w:rsidP="00B51EE2">
      <w:pPr>
        <w:ind w:left="567" w:hanging="567"/>
        <w:jc w:val="both"/>
      </w:pPr>
      <w:r w:rsidRPr="00B51EE2">
        <w:t xml:space="preserve">[41]°Roy T., Kumar S., Chand L., Kadam D.M., Bihari B., </w:t>
      </w:r>
      <w:proofErr w:type="spellStart"/>
      <w:r w:rsidRPr="00B51EE2">
        <w:t>Shrimali</w:t>
      </w:r>
      <w:proofErr w:type="spellEnd"/>
      <w:r w:rsidRPr="00B51EE2">
        <w:t xml:space="preserve"> S.S., </w:t>
      </w:r>
      <w:proofErr w:type="spellStart"/>
      <w:r w:rsidRPr="00B51EE2">
        <w:t>Bishnoi</w:t>
      </w:r>
      <w:proofErr w:type="spellEnd"/>
      <w:r w:rsidRPr="00B51EE2">
        <w:t xml:space="preserve"> R., Maurya U.K., Singh M., </w:t>
      </w:r>
      <w:proofErr w:type="spellStart"/>
      <w:r w:rsidRPr="00B51EE2">
        <w:t>Muruganandam</w:t>
      </w:r>
      <w:proofErr w:type="spellEnd"/>
      <w:r w:rsidRPr="00B51EE2">
        <w:t xml:space="preserve"> M., Singh L., Sharma S.K., Kumar R., Mallik A. Impact of Pusa hydrogel application on yield and productivity of rainfed wheat in North West Himalayan region. </w:t>
      </w:r>
      <w:r w:rsidRPr="00B51EE2">
        <w:rPr>
          <w:i/>
          <w:iCs/>
        </w:rPr>
        <w:t>Current Science</w:t>
      </w:r>
      <w:r w:rsidRPr="00B51EE2">
        <w:t xml:space="preserve">, 116(7), 1246–1251, 2019. </w:t>
      </w:r>
      <w:hyperlink r:id="rId55" w:history="1">
        <w:r w:rsidRPr="00B51EE2">
          <w:rPr>
            <w:rStyle w:val="Hyperlink"/>
          </w:rPr>
          <w:t>https://www.jstor.org/stable/27138018</w:t>
        </w:r>
      </w:hyperlink>
    </w:p>
    <w:p w14:paraId="15C985BC" w14:textId="77777777" w:rsidR="00B51EE2" w:rsidRPr="00B51EE2" w:rsidRDefault="00B51EE2" w:rsidP="00B51EE2">
      <w:pPr>
        <w:ind w:left="567" w:hanging="567"/>
        <w:jc w:val="both"/>
      </w:pPr>
      <w:r w:rsidRPr="00B51EE2">
        <w:t xml:space="preserve">[42]°Bonkowski M, Cheng W, Griffiths BS, </w:t>
      </w:r>
      <w:proofErr w:type="spellStart"/>
      <w:r w:rsidRPr="00B51EE2">
        <w:t>Alphei</w:t>
      </w:r>
      <w:proofErr w:type="spellEnd"/>
      <w:r w:rsidRPr="00B51EE2">
        <w:t xml:space="preserve"> J, Scheu S. Microbe-wildlife interactions in the rhizosphere and effects on plant growth. </w:t>
      </w:r>
      <w:r w:rsidRPr="00B51EE2">
        <w:rPr>
          <w:i/>
          <w:iCs/>
        </w:rPr>
        <w:t>European Journal of Soil Biology</w:t>
      </w:r>
      <w:r w:rsidRPr="00B51EE2">
        <w:t xml:space="preserve">. 2000;36(3-4):135-147. </w:t>
      </w:r>
      <w:hyperlink r:id="rId56" w:history="1">
        <w:r w:rsidRPr="00B51EE2">
          <w:rPr>
            <w:rStyle w:val="Hyperlink"/>
          </w:rPr>
          <w:t>https://doi.org/10.1016/S1164-5563(00)01059-1</w:t>
        </w:r>
      </w:hyperlink>
    </w:p>
    <w:p w14:paraId="6F1C448D" w14:textId="77777777" w:rsidR="00B51EE2" w:rsidRPr="00B51EE2" w:rsidRDefault="00B51EE2" w:rsidP="00B51EE2">
      <w:pPr>
        <w:ind w:left="567" w:hanging="567"/>
        <w:jc w:val="both"/>
      </w:pPr>
      <w:r w:rsidRPr="00B51EE2">
        <w:t>[43]°</w:t>
      </w:r>
      <w:proofErr w:type="spellStart"/>
      <w:r w:rsidRPr="00B51EE2">
        <w:t>Dotaniya</w:t>
      </w:r>
      <w:proofErr w:type="spellEnd"/>
      <w:r w:rsidRPr="00B51EE2">
        <w:t xml:space="preserve"> ML, </w:t>
      </w:r>
      <w:proofErr w:type="spellStart"/>
      <w:r w:rsidRPr="00B51EE2">
        <w:t>Meena</w:t>
      </w:r>
      <w:proofErr w:type="spellEnd"/>
      <w:r w:rsidRPr="00B51EE2">
        <w:t xml:space="preserve"> VD. Rhizosphere effect on nutrient availability in soil and its uptake by plants: A review. </w:t>
      </w:r>
      <w:r w:rsidRPr="00B51EE2">
        <w:rPr>
          <w:i/>
          <w:iCs/>
        </w:rPr>
        <w:t>Proceedings of the National Academy of Sciences, India Section B: Biological Sciences</w:t>
      </w:r>
      <w:r w:rsidRPr="00B51EE2">
        <w:t xml:space="preserve">. 2015;85(1):1-12. </w:t>
      </w:r>
      <w:hyperlink r:id="rId57" w:history="1">
        <w:r w:rsidRPr="00B51EE2">
          <w:rPr>
            <w:rStyle w:val="Hyperlink"/>
          </w:rPr>
          <w:t>https://doi.org/10.1007/s40011-013-0297-0</w:t>
        </w:r>
      </w:hyperlink>
    </w:p>
    <w:p w14:paraId="2A7ECB76" w14:textId="77777777" w:rsidR="00B51EE2" w:rsidRPr="00B51EE2" w:rsidRDefault="00B51EE2" w:rsidP="00B51EE2">
      <w:pPr>
        <w:ind w:left="567" w:hanging="567"/>
        <w:jc w:val="both"/>
      </w:pPr>
      <w:r w:rsidRPr="00B51EE2">
        <w:t>[44]°</w:t>
      </w:r>
      <w:proofErr w:type="spellStart"/>
      <w:r w:rsidRPr="00B51EE2">
        <w:t>Elshafie</w:t>
      </w:r>
      <w:proofErr w:type="spellEnd"/>
      <w:r w:rsidRPr="00B51EE2">
        <w:t xml:space="preserve"> HS, </w:t>
      </w:r>
      <w:proofErr w:type="spellStart"/>
      <w:r w:rsidRPr="00B51EE2">
        <w:t>Camele</w:t>
      </w:r>
      <w:proofErr w:type="spellEnd"/>
      <w:r w:rsidRPr="00B51EE2">
        <w:t xml:space="preserve"> I. Applications of absorbent polymers for sustainable plant protection and crop yield. </w:t>
      </w:r>
      <w:r w:rsidRPr="00B51EE2">
        <w:rPr>
          <w:i/>
          <w:iCs/>
        </w:rPr>
        <w:t>Sustainability</w:t>
      </w:r>
      <w:r w:rsidRPr="00B51EE2">
        <w:t xml:space="preserve">. 2021;13(6):3253. </w:t>
      </w:r>
      <w:hyperlink r:id="rId58" w:history="1">
        <w:r w:rsidRPr="00B51EE2">
          <w:rPr>
            <w:rStyle w:val="Hyperlink"/>
          </w:rPr>
          <w:t>https://doi.org/10.3390/su13063253</w:t>
        </w:r>
      </w:hyperlink>
    </w:p>
    <w:p w14:paraId="5D50399E" w14:textId="77777777" w:rsidR="00B51EE2" w:rsidRPr="00B51EE2" w:rsidRDefault="00B51EE2" w:rsidP="00B51EE2">
      <w:pPr>
        <w:ind w:left="567" w:hanging="567"/>
        <w:jc w:val="both"/>
      </w:pPr>
      <w:r w:rsidRPr="00B51EE2">
        <w:t xml:space="preserve">[45]°Rattan B., Saha A., Bordoloi S., Garg A., Sahoo L., </w:t>
      </w:r>
      <w:proofErr w:type="spellStart"/>
      <w:r w:rsidRPr="00B51EE2">
        <w:t>Sekharran</w:t>
      </w:r>
      <w:proofErr w:type="spellEnd"/>
      <w:r w:rsidRPr="00B51EE2">
        <w:t xml:space="preserve"> S. Effectiveness of a novel water-absorbing polymer-amended soil for enhancing drought resistance of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w:t>
      </w:r>
      <w:r w:rsidRPr="00B51EE2">
        <w:rPr>
          <w:i/>
          <w:iCs/>
        </w:rPr>
        <w:t>Journal of the Soil Science Society of America</w:t>
      </w:r>
      <w:r w:rsidRPr="00B51EE2">
        <w:t xml:space="preserve">, 87(1), 13–29, 2023. </w:t>
      </w:r>
      <w:hyperlink r:id="rId59" w:history="1">
        <w:r w:rsidRPr="00B51EE2">
          <w:rPr>
            <w:rStyle w:val="Hyperlink"/>
          </w:rPr>
          <w:t>https://doi.org/10.1002/saj2.2048</w:t>
        </w:r>
      </w:hyperlink>
    </w:p>
    <w:p w14:paraId="69BF54BD" w14:textId="77777777" w:rsidR="00B51EE2" w:rsidRPr="00B51EE2" w:rsidRDefault="00B51EE2" w:rsidP="00B51EE2">
      <w:pPr>
        <w:ind w:left="567" w:hanging="567"/>
        <w:jc w:val="both"/>
      </w:pPr>
      <w:r w:rsidRPr="00B51EE2">
        <w:t xml:space="preserve">[46]°Dai A. Increasing drought under global warming in observations and models. </w:t>
      </w:r>
      <w:r w:rsidRPr="00B51EE2">
        <w:rPr>
          <w:i/>
          <w:iCs/>
        </w:rPr>
        <w:t>Nature Climate Change</w:t>
      </w:r>
      <w:r w:rsidRPr="00B51EE2">
        <w:t xml:space="preserve">. 2013;3(1):52-58. </w:t>
      </w:r>
      <w:hyperlink r:id="rId60" w:history="1">
        <w:r w:rsidRPr="00B51EE2">
          <w:rPr>
            <w:rStyle w:val="Hyperlink"/>
          </w:rPr>
          <w:t>https://doi.org/10.1038/nclimate1633</w:t>
        </w:r>
      </w:hyperlink>
    </w:p>
    <w:p w14:paraId="6C22B78A" w14:textId="77777777" w:rsidR="00B51EE2" w:rsidRPr="00B51EE2" w:rsidRDefault="00B51EE2" w:rsidP="00B51EE2">
      <w:pPr>
        <w:ind w:left="567" w:hanging="567"/>
        <w:jc w:val="both"/>
      </w:pPr>
      <w:r w:rsidRPr="00B51EE2">
        <w:t>[47]°</w:t>
      </w:r>
      <w:proofErr w:type="spellStart"/>
      <w:r w:rsidRPr="00B51EE2">
        <w:t>Dikilitas</w:t>
      </w:r>
      <w:proofErr w:type="spellEnd"/>
      <w:r w:rsidRPr="00B51EE2">
        <w:t xml:space="preserve"> M, Karakas S, Hashem A, Abd Allah EF, Ahmad P. Oxidative stress and plant response to pathogens under drought conditions. In: </w:t>
      </w:r>
      <w:r w:rsidRPr="00B51EE2">
        <w:rPr>
          <w:i/>
          <w:iCs/>
        </w:rPr>
        <w:t>Water Stress and Crops: A Sustainable Approach</w:t>
      </w:r>
      <w:r w:rsidRPr="00B51EE2">
        <w:t>. 2016</w:t>
      </w:r>
      <w:proofErr w:type="gramStart"/>
      <w:r w:rsidRPr="00B51EE2">
        <w:t>;1:102</w:t>
      </w:r>
      <w:proofErr w:type="gramEnd"/>
      <w:r w:rsidRPr="00B51EE2">
        <w:t xml:space="preserve">-123. </w:t>
      </w:r>
      <w:hyperlink r:id="rId61" w:history="1">
        <w:r w:rsidRPr="00B51EE2">
          <w:rPr>
            <w:rStyle w:val="Hyperlink"/>
          </w:rPr>
          <w:t>https://doi.org/10.1002/9781119054450.ch8</w:t>
        </w:r>
      </w:hyperlink>
    </w:p>
    <w:p w14:paraId="0AE82405" w14:textId="77777777" w:rsidR="00B51EE2" w:rsidRPr="00B51EE2" w:rsidRDefault="00B51EE2" w:rsidP="00B51EE2">
      <w:pPr>
        <w:ind w:left="567" w:hanging="567"/>
        <w:jc w:val="both"/>
      </w:pPr>
      <w:r w:rsidRPr="00B51EE2">
        <w:rPr>
          <w:lang w:val="es-ES"/>
        </w:rPr>
        <w:t>[48]</w:t>
      </w:r>
      <w:proofErr w:type="spellStart"/>
      <w:r w:rsidRPr="00B51EE2">
        <w:rPr>
          <w:lang w:val="es-ES"/>
        </w:rPr>
        <w:t>°Pandey</w:t>
      </w:r>
      <w:proofErr w:type="spellEnd"/>
      <w:r w:rsidRPr="00B51EE2">
        <w:rPr>
          <w:lang w:val="es-ES"/>
        </w:rPr>
        <w:t xml:space="preserve"> P., </w:t>
      </w:r>
      <w:proofErr w:type="spellStart"/>
      <w:r w:rsidRPr="00B51EE2">
        <w:rPr>
          <w:lang w:val="es-ES"/>
        </w:rPr>
        <w:t>Prajapati</w:t>
      </w:r>
      <w:proofErr w:type="spellEnd"/>
      <w:r w:rsidRPr="00B51EE2">
        <w:rPr>
          <w:lang w:val="es-ES"/>
        </w:rPr>
        <w:t xml:space="preserve"> B. Microbios transmitidos por el suelo: un culpable de las plantas jóvenes en viveros. </w:t>
      </w:r>
      <w:r w:rsidRPr="00B51EE2">
        <w:t xml:space="preserve">In: </w:t>
      </w:r>
      <w:r w:rsidRPr="00B51EE2">
        <w:rPr>
          <w:i/>
          <w:iCs/>
        </w:rPr>
        <w:t>The Vegetable Pathosystem</w:t>
      </w:r>
      <w:r w:rsidRPr="00B51EE2">
        <w:t xml:space="preserve">, 427–456, Apple Academic Press, 2019. </w:t>
      </w:r>
      <w:hyperlink r:id="rId62" w:history="1">
        <w:r w:rsidRPr="00B51EE2">
          <w:rPr>
            <w:rStyle w:val="Hyperlink"/>
          </w:rPr>
          <w:t>https://doi.org/10.1201/9780429022999</w:t>
        </w:r>
      </w:hyperlink>
      <w:r w:rsidRPr="00B51EE2">
        <w:t xml:space="preserve"> Spanish.</w:t>
      </w:r>
    </w:p>
    <w:p w14:paraId="06BA831A" w14:textId="77777777" w:rsidR="00B51EE2" w:rsidRPr="00B51EE2" w:rsidRDefault="00B51EE2" w:rsidP="00B51EE2">
      <w:pPr>
        <w:ind w:left="567" w:hanging="567"/>
        <w:jc w:val="both"/>
      </w:pPr>
      <w:r w:rsidRPr="00B51EE2">
        <w:t>[49]°</w:t>
      </w:r>
      <w:proofErr w:type="spellStart"/>
      <w:r w:rsidRPr="00B51EE2">
        <w:t>Lamichhane</w:t>
      </w:r>
      <w:proofErr w:type="spellEnd"/>
      <w:r w:rsidRPr="00B51EE2">
        <w:t xml:space="preserve"> </w:t>
      </w:r>
      <w:proofErr w:type="spellStart"/>
      <w:r w:rsidRPr="00B51EE2">
        <w:t>J.R</w:t>
      </w:r>
      <w:proofErr w:type="spellEnd"/>
      <w:r w:rsidRPr="00B51EE2">
        <w:t xml:space="preserve">., You </w:t>
      </w:r>
      <w:proofErr w:type="spellStart"/>
      <w:r w:rsidRPr="00B51EE2">
        <w:t>M.P</w:t>
      </w:r>
      <w:proofErr w:type="spellEnd"/>
      <w:r w:rsidRPr="00B51EE2">
        <w:t xml:space="preserve">., </w:t>
      </w:r>
      <w:proofErr w:type="spellStart"/>
      <w:r w:rsidRPr="00B51EE2">
        <w:t>Laudinot</w:t>
      </w:r>
      <w:proofErr w:type="spellEnd"/>
      <w:r w:rsidRPr="00B51EE2">
        <w:t xml:space="preserve"> V., </w:t>
      </w:r>
      <w:proofErr w:type="spellStart"/>
      <w:r w:rsidRPr="00B51EE2">
        <w:t>Barbetti</w:t>
      </w:r>
      <w:proofErr w:type="spellEnd"/>
      <w:r w:rsidRPr="00B51EE2">
        <w:t xml:space="preserve"> </w:t>
      </w:r>
      <w:proofErr w:type="spellStart"/>
      <w:r w:rsidRPr="00B51EE2">
        <w:t>M.J</w:t>
      </w:r>
      <w:proofErr w:type="spellEnd"/>
      <w:r w:rsidRPr="00B51EE2">
        <w:t xml:space="preserve">., </w:t>
      </w:r>
      <w:proofErr w:type="spellStart"/>
      <w:r w:rsidRPr="00B51EE2">
        <w:t>Aubertot</w:t>
      </w:r>
      <w:proofErr w:type="spellEnd"/>
      <w:r w:rsidRPr="00B51EE2">
        <w:t xml:space="preserve"> </w:t>
      </w:r>
      <w:proofErr w:type="spellStart"/>
      <w:r w:rsidRPr="00B51EE2">
        <w:t>J.N</w:t>
      </w:r>
      <w:proofErr w:type="spellEnd"/>
      <w:r w:rsidRPr="00B51EE2">
        <w:t xml:space="preserve">. Re-evaluation of the sustainability of fungicide treatments for field crop seeds. </w:t>
      </w:r>
      <w:r w:rsidRPr="00B51EE2">
        <w:rPr>
          <w:i/>
          <w:iCs/>
        </w:rPr>
        <w:t>Plant Disease</w:t>
      </w:r>
      <w:r w:rsidRPr="00B51EE2">
        <w:t xml:space="preserve">, 104(3), 610–623, 2020. </w:t>
      </w:r>
      <w:hyperlink r:id="rId63" w:history="1">
        <w:r w:rsidRPr="00B51EE2">
          <w:rPr>
            <w:rStyle w:val="Hyperlink"/>
          </w:rPr>
          <w:t>https://doi.org/10.1094/PDIS-06-19-1157-FE</w:t>
        </w:r>
      </w:hyperlink>
    </w:p>
    <w:p w14:paraId="3C442129" w14:textId="77777777" w:rsidR="00B51EE2" w:rsidRPr="00B51EE2" w:rsidRDefault="00B51EE2" w:rsidP="00B51EE2">
      <w:pPr>
        <w:ind w:left="567" w:hanging="567"/>
        <w:jc w:val="both"/>
      </w:pPr>
      <w:r w:rsidRPr="00B51EE2">
        <w:t xml:space="preserve">[50]°Li </w:t>
      </w:r>
      <w:proofErr w:type="spellStart"/>
      <w:r w:rsidRPr="00B51EE2">
        <w:t>Y.P</w:t>
      </w:r>
      <w:proofErr w:type="spellEnd"/>
      <w:r w:rsidRPr="00B51EE2">
        <w:t xml:space="preserve">., You </w:t>
      </w:r>
      <w:proofErr w:type="spellStart"/>
      <w:r w:rsidRPr="00B51EE2">
        <w:t>M.P</w:t>
      </w:r>
      <w:proofErr w:type="spellEnd"/>
      <w:r w:rsidRPr="00B51EE2">
        <w:t xml:space="preserve">., </w:t>
      </w:r>
      <w:proofErr w:type="spellStart"/>
      <w:r w:rsidRPr="00B51EE2">
        <w:t>Colmer</w:t>
      </w:r>
      <w:proofErr w:type="spellEnd"/>
      <w:r w:rsidRPr="00B51EE2">
        <w:t xml:space="preserve"> </w:t>
      </w:r>
      <w:proofErr w:type="spellStart"/>
      <w:r w:rsidRPr="00B51EE2">
        <w:t>T.D</w:t>
      </w:r>
      <w:proofErr w:type="spellEnd"/>
      <w:r w:rsidRPr="00B51EE2">
        <w:t xml:space="preserve">., </w:t>
      </w:r>
      <w:proofErr w:type="spellStart"/>
      <w:r w:rsidRPr="00B51EE2">
        <w:t>Barbetti</w:t>
      </w:r>
      <w:proofErr w:type="spellEnd"/>
      <w:r w:rsidRPr="00B51EE2">
        <w:t xml:space="preserve"> </w:t>
      </w:r>
      <w:proofErr w:type="spellStart"/>
      <w:r w:rsidRPr="00B51EE2">
        <w:t>M.J</w:t>
      </w:r>
      <w:proofErr w:type="spellEnd"/>
      <w:r w:rsidRPr="00B51EE2">
        <w:t xml:space="preserve">. Effect of timing and duration of soil saturation on soilborne </w:t>
      </w:r>
      <w:r w:rsidRPr="00B51EE2">
        <w:rPr>
          <w:i/>
          <w:iCs/>
        </w:rPr>
        <w:t>Pythium</w:t>
      </w:r>
      <w:r w:rsidRPr="00B51EE2">
        <w:t xml:space="preserve"> diseases of common bean (</w:t>
      </w:r>
      <w:r w:rsidRPr="00B51EE2">
        <w:rPr>
          <w:i/>
          <w:iCs/>
        </w:rPr>
        <w:t>Phaseolus vulgaris</w:t>
      </w:r>
      <w:r w:rsidRPr="00B51EE2">
        <w:t xml:space="preserve">). </w:t>
      </w:r>
      <w:r w:rsidRPr="00B51EE2">
        <w:rPr>
          <w:i/>
          <w:iCs/>
        </w:rPr>
        <w:t>Plant Disease</w:t>
      </w:r>
      <w:r w:rsidRPr="00B51EE2">
        <w:t xml:space="preserve">, 99(1), 112–118, 2015. </w:t>
      </w:r>
      <w:hyperlink r:id="rId64" w:history="1">
        <w:r w:rsidRPr="00B51EE2">
          <w:rPr>
            <w:rStyle w:val="Hyperlink"/>
          </w:rPr>
          <w:t>https://doi.org/10.1094/PDIS-09-13-0964-RE</w:t>
        </w:r>
      </w:hyperlink>
    </w:p>
    <w:p w14:paraId="1CB8FBE3" w14:textId="77777777" w:rsidR="00B51EE2" w:rsidRPr="00B51EE2" w:rsidRDefault="00B51EE2" w:rsidP="00B51EE2">
      <w:pPr>
        <w:ind w:left="567" w:hanging="567"/>
        <w:jc w:val="both"/>
      </w:pPr>
      <w:r w:rsidRPr="00B51EE2">
        <w:t>[51]°</w:t>
      </w:r>
      <w:proofErr w:type="spellStart"/>
      <w:r w:rsidRPr="00B51EE2">
        <w:t>Iftime</w:t>
      </w:r>
      <w:proofErr w:type="spellEnd"/>
      <w:r w:rsidRPr="00B51EE2">
        <w:t xml:space="preserve"> M.M., </w:t>
      </w:r>
      <w:proofErr w:type="spellStart"/>
      <w:r w:rsidRPr="00B51EE2">
        <w:t>Ailiesei</w:t>
      </w:r>
      <w:proofErr w:type="spellEnd"/>
      <w:r w:rsidRPr="00B51EE2">
        <w:t xml:space="preserve"> </w:t>
      </w:r>
      <w:proofErr w:type="spellStart"/>
      <w:r w:rsidRPr="00B51EE2">
        <w:t>G.L</w:t>
      </w:r>
      <w:proofErr w:type="spellEnd"/>
      <w:r w:rsidRPr="00B51EE2">
        <w:t xml:space="preserve">., </w:t>
      </w:r>
      <w:proofErr w:type="spellStart"/>
      <w:r w:rsidRPr="00B51EE2">
        <w:t>Ungureanu</w:t>
      </w:r>
      <w:proofErr w:type="spellEnd"/>
      <w:r w:rsidRPr="00B51EE2">
        <w:t xml:space="preserve"> E., Marin L. Designing chitosan based eco-friendly multifunctional soil conditioner systems with urea controlled release and water retention. </w:t>
      </w:r>
      <w:r w:rsidRPr="00B51EE2">
        <w:rPr>
          <w:i/>
          <w:iCs/>
        </w:rPr>
        <w:t>Carbohydrate Polymers</w:t>
      </w:r>
      <w:r w:rsidRPr="00B51EE2">
        <w:t xml:space="preserve">, 223, 115040, 2019. </w:t>
      </w:r>
      <w:hyperlink r:id="rId65" w:history="1">
        <w:r w:rsidRPr="00B51EE2">
          <w:rPr>
            <w:rStyle w:val="Hyperlink"/>
          </w:rPr>
          <w:t>https://doi.org/10.1016/j.carbpol.2019.115040</w:t>
        </w:r>
      </w:hyperlink>
    </w:p>
    <w:p w14:paraId="7FA3ECB5" w14:textId="77777777" w:rsidR="00B51EE2" w:rsidRPr="00B51EE2" w:rsidRDefault="00B51EE2" w:rsidP="00B51EE2">
      <w:pPr>
        <w:ind w:left="567" w:hanging="567"/>
        <w:jc w:val="both"/>
      </w:pPr>
      <w:r w:rsidRPr="00B51EE2">
        <w:t xml:space="preserve">[52]°Singh S., Pandey V., Alam K., Kumar A. Use of hydrogel in horticulture. In: Singh M.K., Alam K., Pandey V., Singh S., Kumar M. (Eds.). </w:t>
      </w:r>
      <w:r w:rsidRPr="00B51EE2">
        <w:rPr>
          <w:i/>
          <w:iCs/>
        </w:rPr>
        <w:t>Advanced Technology of Horticulture</w:t>
      </w:r>
      <w:r w:rsidRPr="00B51EE2">
        <w:t>. New Delhi: Daya Publishing House, 2023. p. 401–410. ISBN 978-93-5461-726-3</w:t>
      </w:r>
    </w:p>
    <w:p w14:paraId="4EBCD344" w14:textId="77777777" w:rsidR="00B51EE2" w:rsidRPr="00B51EE2" w:rsidRDefault="00B51EE2" w:rsidP="00B51EE2">
      <w:pPr>
        <w:ind w:left="567" w:hanging="567"/>
        <w:jc w:val="both"/>
      </w:pPr>
      <w:r w:rsidRPr="00B51EE2">
        <w:lastRenderedPageBreak/>
        <w:t xml:space="preserve">[53]°Balliu A, Haxhiu E, Sallaku G. Mixing hydrogel granules into peat substrate improves germination and enhances growth and physiological performance of tomato seedlings. </w:t>
      </w:r>
      <w:r w:rsidRPr="00B51EE2">
        <w:rPr>
          <w:i/>
          <w:iCs/>
        </w:rPr>
        <w:t>Proceedings of the Latvian Academy of Sciences</w:t>
      </w:r>
      <w:r w:rsidRPr="00B51EE2">
        <w:t xml:space="preserve">. 2022;76(4):536-542. </w:t>
      </w:r>
      <w:hyperlink r:id="rId66" w:history="1">
        <w:r w:rsidRPr="00B51EE2">
          <w:rPr>
            <w:rStyle w:val="Hyperlink"/>
          </w:rPr>
          <w:t>https://doi.org/10.2478/prolas-2022-0083</w:t>
        </w:r>
      </w:hyperlink>
    </w:p>
    <w:p w14:paraId="3D01A6C1" w14:textId="77777777" w:rsidR="00B51EE2" w:rsidRPr="00B51EE2" w:rsidRDefault="00B51EE2" w:rsidP="00B51EE2">
      <w:pPr>
        <w:ind w:left="567" w:hanging="567"/>
        <w:jc w:val="both"/>
        <w:rPr>
          <w:lang w:val="pt-BR"/>
        </w:rPr>
      </w:pPr>
      <w:r w:rsidRPr="00B51EE2">
        <w:t xml:space="preserve">[54]°Sousa N.I., Sousa A.B.D., Lacerda C.F.D., Sales J.R.D.S., Mesquita R.O., Cavalcante E.S., Camara W.A. Hydrogel as mitigator of salt stress during the establishment of </w:t>
      </w:r>
      <w:proofErr w:type="spellStart"/>
      <w:r w:rsidRPr="00B51EE2">
        <w:rPr>
          <w:i/>
          <w:iCs/>
        </w:rPr>
        <w:t>Tagetes</w:t>
      </w:r>
      <w:proofErr w:type="spellEnd"/>
      <w:r w:rsidRPr="00B51EE2">
        <w:rPr>
          <w:i/>
          <w:iCs/>
        </w:rPr>
        <w:t xml:space="preserve"> </w:t>
      </w:r>
      <w:proofErr w:type="spellStart"/>
      <w:r w:rsidRPr="00B51EE2">
        <w:rPr>
          <w:i/>
          <w:iCs/>
        </w:rPr>
        <w:t>patula</w:t>
      </w:r>
      <w:proofErr w:type="spellEnd"/>
      <w:r w:rsidRPr="00B51EE2">
        <w:t xml:space="preserve"> L. seedlings. </w:t>
      </w:r>
      <w:r w:rsidRPr="00B51EE2">
        <w:rPr>
          <w:i/>
          <w:iCs/>
          <w:lang w:val="pt-BR"/>
        </w:rPr>
        <w:t>Revista Brasileira de Engenharia Agrícola e Ambiental</w:t>
      </w:r>
      <w:r w:rsidRPr="00B51EE2">
        <w:rPr>
          <w:lang w:val="pt-BR"/>
        </w:rPr>
        <w:t xml:space="preserve">, 26(11), 807–814, 2022. </w:t>
      </w:r>
      <w:hyperlink r:id="rId67" w:history="1">
        <w:r w:rsidRPr="00B51EE2">
          <w:rPr>
            <w:rStyle w:val="Hyperlink"/>
            <w:lang w:val="pt-BR"/>
          </w:rPr>
          <w:t>https://doi.org/10.1590/1807-1929/agriambi.v26n11p807-814</w:t>
        </w:r>
      </w:hyperlink>
    </w:p>
    <w:p w14:paraId="036705CB" w14:textId="77777777" w:rsidR="00B51EE2" w:rsidRPr="00B51EE2" w:rsidRDefault="00B51EE2" w:rsidP="00B51EE2">
      <w:pPr>
        <w:ind w:left="567" w:hanging="567"/>
        <w:jc w:val="both"/>
      </w:pPr>
      <w:r w:rsidRPr="00B51EE2">
        <w:t xml:space="preserve">[55]°Milošević M., </w:t>
      </w:r>
      <w:proofErr w:type="spellStart"/>
      <w:r w:rsidRPr="00B51EE2">
        <w:t>Vujaković</w:t>
      </w:r>
      <w:proofErr w:type="spellEnd"/>
      <w:r w:rsidRPr="00B51EE2">
        <w:t xml:space="preserve"> M., </w:t>
      </w:r>
      <w:proofErr w:type="spellStart"/>
      <w:r w:rsidRPr="00B51EE2">
        <w:t>Karagić</w:t>
      </w:r>
      <w:proofErr w:type="spellEnd"/>
      <w:r w:rsidRPr="00B51EE2">
        <w:t xml:space="preserve"> Đ. </w:t>
      </w:r>
      <w:proofErr w:type="spellStart"/>
      <w:r w:rsidRPr="00B51EE2">
        <w:t>Vigour</w:t>
      </w:r>
      <w:proofErr w:type="spellEnd"/>
      <w:r w:rsidRPr="00B51EE2">
        <w:t xml:space="preserve"> tests as indicators of seed viability. </w:t>
      </w:r>
      <w:proofErr w:type="spellStart"/>
      <w:r w:rsidRPr="00B51EE2">
        <w:rPr>
          <w:i/>
          <w:iCs/>
        </w:rPr>
        <w:t>Genetika</w:t>
      </w:r>
      <w:proofErr w:type="spellEnd"/>
      <w:r w:rsidRPr="00B51EE2">
        <w:t xml:space="preserve">, 42(1), 103–118, 2010. </w:t>
      </w:r>
      <w:hyperlink r:id="rId68" w:history="1">
        <w:r w:rsidRPr="00B51EE2">
          <w:rPr>
            <w:rStyle w:val="Hyperlink"/>
          </w:rPr>
          <w:t>https://doi.org/10.2298/GENSR1001103M</w:t>
        </w:r>
      </w:hyperlink>
    </w:p>
    <w:p w14:paraId="225601C2" w14:textId="77777777" w:rsidR="00B51EE2" w:rsidRPr="00B51EE2" w:rsidRDefault="00B51EE2" w:rsidP="00B51EE2">
      <w:pPr>
        <w:ind w:left="567" w:hanging="567"/>
        <w:jc w:val="both"/>
      </w:pPr>
      <w:r w:rsidRPr="00B51EE2">
        <w:t>[56]°</w:t>
      </w:r>
      <w:proofErr w:type="spellStart"/>
      <w:r w:rsidRPr="00B51EE2">
        <w:t>Golijan</w:t>
      </w:r>
      <w:proofErr w:type="spellEnd"/>
      <w:r w:rsidRPr="00B51EE2">
        <w:t xml:space="preserve"> </w:t>
      </w:r>
      <w:proofErr w:type="spellStart"/>
      <w:r w:rsidRPr="00B51EE2">
        <w:t>Pantović</w:t>
      </w:r>
      <w:proofErr w:type="spellEnd"/>
      <w:r w:rsidRPr="00B51EE2">
        <w:t xml:space="preserve"> J., Popović V., </w:t>
      </w:r>
      <w:proofErr w:type="spellStart"/>
      <w:r w:rsidRPr="00B51EE2">
        <w:t>Sečanski</w:t>
      </w:r>
      <w:proofErr w:type="spellEnd"/>
      <w:r w:rsidRPr="00B51EE2">
        <w:t xml:space="preserve"> M., Popović A., Đorđević Melnik O., </w:t>
      </w:r>
      <w:proofErr w:type="spellStart"/>
      <w:r w:rsidRPr="00B51EE2">
        <w:t>Šarčević</w:t>
      </w:r>
      <w:proofErr w:type="spellEnd"/>
      <w:r w:rsidRPr="00B51EE2">
        <w:t xml:space="preserve"> </w:t>
      </w:r>
      <w:proofErr w:type="spellStart"/>
      <w:r w:rsidRPr="00B51EE2">
        <w:t>Todosijević</w:t>
      </w:r>
      <w:proofErr w:type="spellEnd"/>
      <w:r w:rsidRPr="00B51EE2">
        <w:t xml:space="preserve"> L. Factors affecting seed </w:t>
      </w:r>
      <w:proofErr w:type="spellStart"/>
      <w:r w:rsidRPr="00B51EE2">
        <w:t>vigour</w:t>
      </w:r>
      <w:proofErr w:type="spellEnd"/>
      <w:r w:rsidRPr="00B51EE2">
        <w:t xml:space="preserve">. </w:t>
      </w:r>
      <w:r w:rsidRPr="00B51EE2">
        <w:rPr>
          <w:i/>
          <w:iCs/>
        </w:rPr>
        <w:t>Agriculture and Forestry</w:t>
      </w:r>
      <w:r w:rsidRPr="00B51EE2">
        <w:t xml:space="preserve">, 70, 2024. </w:t>
      </w:r>
      <w:hyperlink r:id="rId69" w:history="1">
        <w:r w:rsidRPr="00B51EE2">
          <w:rPr>
            <w:rStyle w:val="Hyperlink"/>
          </w:rPr>
          <w:t>https://doi.org/10.17707/AgricultForest.70.3.06</w:t>
        </w:r>
      </w:hyperlink>
    </w:p>
    <w:p w14:paraId="588E2E1E" w14:textId="77777777" w:rsidR="00B51EE2" w:rsidRPr="00B51EE2" w:rsidRDefault="00B51EE2" w:rsidP="00B51EE2">
      <w:pPr>
        <w:ind w:left="567" w:hanging="567"/>
        <w:jc w:val="both"/>
      </w:pPr>
      <w:r w:rsidRPr="00B51EE2">
        <w:t>[57]°</w:t>
      </w:r>
      <w:proofErr w:type="spellStart"/>
      <w:r w:rsidRPr="00B51EE2">
        <w:t>Maksimova</w:t>
      </w:r>
      <w:proofErr w:type="spellEnd"/>
      <w:r w:rsidRPr="00B51EE2">
        <w:t xml:space="preserve"> </w:t>
      </w:r>
      <w:proofErr w:type="spellStart"/>
      <w:r w:rsidRPr="00B51EE2">
        <w:t>Y.G</w:t>
      </w:r>
      <w:proofErr w:type="spellEnd"/>
      <w:r w:rsidRPr="00B51EE2">
        <w:t xml:space="preserve">., </w:t>
      </w:r>
      <w:proofErr w:type="spellStart"/>
      <w:r w:rsidRPr="00B51EE2">
        <w:t>Shchetko</w:t>
      </w:r>
      <w:proofErr w:type="spellEnd"/>
      <w:r w:rsidRPr="00B51EE2">
        <w:t xml:space="preserve"> V.A., </w:t>
      </w:r>
      <w:proofErr w:type="spellStart"/>
      <w:r w:rsidRPr="00B51EE2">
        <w:t>Maksimov</w:t>
      </w:r>
      <w:proofErr w:type="spellEnd"/>
      <w:r w:rsidRPr="00B51EE2">
        <w:t xml:space="preserve"> </w:t>
      </w:r>
      <w:proofErr w:type="spellStart"/>
      <w:r w:rsidRPr="00B51EE2">
        <w:t>A.Y</w:t>
      </w:r>
      <w:proofErr w:type="spellEnd"/>
      <w:r w:rsidRPr="00B51EE2">
        <w:t xml:space="preserve">. Polymer hydrogels in agriculture. </w:t>
      </w:r>
      <w:proofErr w:type="spellStart"/>
      <w:r w:rsidRPr="00B51EE2">
        <w:rPr>
          <w:i/>
          <w:iCs/>
        </w:rPr>
        <w:t>Sel’skokhozyaistvennaya</w:t>
      </w:r>
      <w:proofErr w:type="spellEnd"/>
      <w:r w:rsidRPr="00B51EE2">
        <w:rPr>
          <w:i/>
          <w:iCs/>
        </w:rPr>
        <w:t xml:space="preserve"> </w:t>
      </w:r>
      <w:proofErr w:type="spellStart"/>
      <w:r w:rsidRPr="00B51EE2">
        <w:rPr>
          <w:i/>
          <w:iCs/>
        </w:rPr>
        <w:t>Biologiya</w:t>
      </w:r>
      <w:proofErr w:type="spellEnd"/>
      <w:r w:rsidRPr="00B51EE2">
        <w:t xml:space="preserve">, 58, 23–42, 2023. </w:t>
      </w:r>
      <w:hyperlink r:id="rId70" w:history="1">
        <w:r w:rsidRPr="00B51EE2">
          <w:rPr>
            <w:rStyle w:val="Hyperlink"/>
          </w:rPr>
          <w:t>https://doi.org/10.15389/agrobiology.2023.1.23eng</w:t>
        </w:r>
      </w:hyperlink>
      <w:r w:rsidRPr="00B51EE2">
        <w:t xml:space="preserve"> Russian.</w:t>
      </w:r>
    </w:p>
    <w:p w14:paraId="618C090B" w14:textId="77777777" w:rsidR="00B51EE2" w:rsidRPr="00B51EE2" w:rsidRDefault="00B51EE2" w:rsidP="00B51EE2">
      <w:pPr>
        <w:ind w:left="567" w:hanging="567"/>
        <w:jc w:val="both"/>
      </w:pPr>
      <w:r w:rsidRPr="00B51EE2">
        <w:t xml:space="preserve">[58]°Malik S., Chaudhary K., Malik A., Punia H., </w:t>
      </w:r>
      <w:proofErr w:type="spellStart"/>
      <w:r w:rsidRPr="00B51EE2">
        <w:t>Sewhag</w:t>
      </w:r>
      <w:proofErr w:type="spellEnd"/>
      <w:r w:rsidRPr="00B51EE2">
        <w:t xml:space="preserve"> M., </w:t>
      </w:r>
      <w:proofErr w:type="spellStart"/>
      <w:r w:rsidRPr="00B51EE2">
        <w:t>Berkesia</w:t>
      </w:r>
      <w:proofErr w:type="spellEnd"/>
      <w:r w:rsidRPr="00B51EE2">
        <w:t xml:space="preserve"> N., </w:t>
      </w:r>
      <w:proofErr w:type="spellStart"/>
      <w:r w:rsidRPr="00B51EE2">
        <w:t>Nagora</w:t>
      </w:r>
      <w:proofErr w:type="spellEnd"/>
      <w:r w:rsidRPr="00B51EE2">
        <w:t xml:space="preserve"> M., Kalia S., Malik K., Kumar D., et al. Superabsorbent polymers as a soil amendment for increasing agriculture production with reducing water losses under water stress condition. </w:t>
      </w:r>
      <w:r w:rsidRPr="00B51EE2">
        <w:rPr>
          <w:i/>
          <w:iCs/>
        </w:rPr>
        <w:t>Polymers</w:t>
      </w:r>
      <w:r w:rsidRPr="00B51EE2">
        <w:t xml:space="preserve">, 15(1), 161, 2023. </w:t>
      </w:r>
      <w:hyperlink r:id="rId71" w:history="1">
        <w:r w:rsidRPr="00B51EE2">
          <w:rPr>
            <w:rStyle w:val="Hyperlink"/>
          </w:rPr>
          <w:t>https://doi.org/10.3390/polym15010161</w:t>
        </w:r>
      </w:hyperlink>
    </w:p>
    <w:p w14:paraId="5443C429" w14:textId="77777777" w:rsidR="00B51EE2" w:rsidRPr="00B51EE2" w:rsidRDefault="00B51EE2" w:rsidP="00B51EE2">
      <w:pPr>
        <w:ind w:left="567" w:hanging="567"/>
        <w:jc w:val="both"/>
      </w:pPr>
      <w:r w:rsidRPr="00B51EE2">
        <w:t xml:space="preserve">[59]°Tao J., Zhang W., Liang L., Lei Z. Effects of eco-friendly carbohydrate-based superabsorbent polymers on seed germination and seedling growth of maize. </w:t>
      </w:r>
      <w:r w:rsidRPr="00B51EE2">
        <w:rPr>
          <w:i/>
          <w:iCs/>
        </w:rPr>
        <w:t>Royal Society Open Science</w:t>
      </w:r>
      <w:r w:rsidRPr="00B51EE2">
        <w:t xml:space="preserve">, 5(2), 171184, 2018. </w:t>
      </w:r>
      <w:hyperlink r:id="rId72" w:history="1">
        <w:r w:rsidRPr="00B51EE2">
          <w:rPr>
            <w:rStyle w:val="Hyperlink"/>
          </w:rPr>
          <w:t>https://doi.org/10.1098/rsos.171184</w:t>
        </w:r>
      </w:hyperlink>
    </w:p>
    <w:p w14:paraId="46C93894" w14:textId="77777777" w:rsidR="00B51EE2" w:rsidRPr="00B51EE2" w:rsidRDefault="00B51EE2" w:rsidP="00B51EE2">
      <w:pPr>
        <w:ind w:left="567" w:hanging="567"/>
        <w:jc w:val="both"/>
      </w:pPr>
      <w:r w:rsidRPr="00B51EE2">
        <w:t>[60]°Mahgoub N.A. Effectiveness of hydrogel application on tomato (</w:t>
      </w:r>
      <w:proofErr w:type="spellStart"/>
      <w:r w:rsidRPr="00B51EE2">
        <w:rPr>
          <w:i/>
          <w:iCs/>
        </w:rPr>
        <w:t>Solanum</w:t>
      </w:r>
      <w:proofErr w:type="spellEnd"/>
      <w:r w:rsidRPr="00B51EE2">
        <w:rPr>
          <w:i/>
          <w:iCs/>
        </w:rPr>
        <w:t xml:space="preserve"> </w:t>
      </w:r>
      <w:proofErr w:type="spellStart"/>
      <w:r w:rsidRPr="00B51EE2">
        <w:rPr>
          <w:i/>
          <w:iCs/>
        </w:rPr>
        <w:t>lycopersicum</w:t>
      </w:r>
      <w:proofErr w:type="spellEnd"/>
      <w:r w:rsidRPr="00B51EE2">
        <w:t xml:space="preserve"> L.) growth and some sandy soil chemical properties under drip irrigation system. </w:t>
      </w:r>
      <w:r w:rsidRPr="00B51EE2">
        <w:rPr>
          <w:i/>
          <w:iCs/>
        </w:rPr>
        <w:t>EKB Journal Management System</w:t>
      </w:r>
      <w:r w:rsidRPr="00B51EE2">
        <w:t xml:space="preserve">, 5(1), 49–54, 2020. </w:t>
      </w:r>
      <w:hyperlink r:id="rId73" w:history="1">
        <w:r w:rsidRPr="00B51EE2">
          <w:rPr>
            <w:rStyle w:val="Hyperlink"/>
          </w:rPr>
          <w:t>https://doi.org/10.21608/jsws.2020.178512</w:t>
        </w:r>
      </w:hyperlink>
    </w:p>
    <w:p w14:paraId="308C5DE2" w14:textId="77777777" w:rsidR="00B51EE2" w:rsidRPr="00B51EE2" w:rsidRDefault="00B51EE2" w:rsidP="00B51EE2">
      <w:pPr>
        <w:ind w:left="567" w:hanging="567"/>
        <w:jc w:val="both"/>
      </w:pPr>
      <w:r w:rsidRPr="00B51EE2">
        <w:t xml:space="preserve">[61]°Montesano F., Parente A., Santamaria P., Sannino A. Biodegradable superabsorbent hydrogel increases water retention properties of growing media and plant growth. </w:t>
      </w:r>
      <w:r w:rsidRPr="00B51EE2">
        <w:rPr>
          <w:i/>
          <w:iCs/>
        </w:rPr>
        <w:t>Agriculture and Agricultural Science Procedia</w:t>
      </w:r>
      <w:r w:rsidRPr="00B51EE2">
        <w:t xml:space="preserve">, 4, 451–458, 2015. </w:t>
      </w:r>
      <w:hyperlink r:id="rId74" w:history="1">
        <w:r w:rsidRPr="00B51EE2">
          <w:rPr>
            <w:rStyle w:val="Hyperlink"/>
          </w:rPr>
          <w:t>https://doi.org/10.1016/j.aaspro.2015.03.052</w:t>
        </w:r>
      </w:hyperlink>
    </w:p>
    <w:p w14:paraId="13FA71F5" w14:textId="77777777" w:rsidR="00B51EE2" w:rsidRPr="00B51EE2" w:rsidRDefault="00B51EE2" w:rsidP="00B51EE2">
      <w:pPr>
        <w:ind w:left="567" w:hanging="567"/>
        <w:jc w:val="both"/>
      </w:pPr>
      <w:r w:rsidRPr="00B51EE2">
        <w:t xml:space="preserve">[62]°Melo R., Jorge M., Botrel N., Boiteux L. Effect of a novel hydrogel amendment and seedling plug volume on the quality of ornamental/miniature tomato. </w:t>
      </w:r>
      <w:r w:rsidRPr="00B51EE2">
        <w:rPr>
          <w:i/>
          <w:iCs/>
        </w:rPr>
        <w:t>Advances in Horticultural Science</w:t>
      </w:r>
      <w:r w:rsidRPr="00B51EE2">
        <w:t xml:space="preserve">, 32(4), 535–540, 2018. </w:t>
      </w:r>
      <w:hyperlink r:id="rId75" w:history="1">
        <w:r w:rsidRPr="00B51EE2">
          <w:rPr>
            <w:rStyle w:val="Hyperlink"/>
          </w:rPr>
          <w:t>https://doi.org/10.13128/ahs-22474</w:t>
        </w:r>
      </w:hyperlink>
    </w:p>
    <w:p w14:paraId="09F28917" w14:textId="77777777" w:rsidR="00B51EE2" w:rsidRPr="00B51EE2" w:rsidRDefault="00B51EE2" w:rsidP="00B51EE2">
      <w:pPr>
        <w:ind w:left="567" w:hanging="567"/>
        <w:jc w:val="both"/>
      </w:pPr>
      <w:r w:rsidRPr="00B51EE2">
        <w:t>[63]°</w:t>
      </w:r>
      <w:proofErr w:type="spellStart"/>
      <w:r w:rsidRPr="00B51EE2">
        <w:t>Karipçin</w:t>
      </w:r>
      <w:proofErr w:type="spellEnd"/>
      <w:r w:rsidRPr="00B51EE2">
        <w:t xml:space="preserve"> </w:t>
      </w:r>
      <w:proofErr w:type="spellStart"/>
      <w:r w:rsidRPr="00B51EE2">
        <w:t>M.Z</w:t>
      </w:r>
      <w:proofErr w:type="spellEnd"/>
      <w:r w:rsidRPr="00B51EE2">
        <w:t>. Hydrogels improved parsley (</w:t>
      </w:r>
      <w:proofErr w:type="spellStart"/>
      <w:r w:rsidRPr="00B51EE2">
        <w:rPr>
          <w:i/>
          <w:iCs/>
        </w:rPr>
        <w:t>Petroselinium</w:t>
      </w:r>
      <w:proofErr w:type="spellEnd"/>
      <w:r w:rsidRPr="00B51EE2">
        <w:rPr>
          <w:i/>
          <w:iCs/>
        </w:rPr>
        <w:t xml:space="preserve"> </w:t>
      </w:r>
      <w:proofErr w:type="spellStart"/>
      <w:r w:rsidRPr="00B51EE2">
        <w:rPr>
          <w:i/>
          <w:iCs/>
        </w:rPr>
        <w:t>crispum</w:t>
      </w:r>
      <w:proofErr w:type="spellEnd"/>
      <w:r w:rsidRPr="00B51EE2">
        <w:t xml:space="preserve"> (Mill.) Nyman) growth and development under water deficit stress. </w:t>
      </w:r>
      <w:proofErr w:type="spellStart"/>
      <w:r w:rsidRPr="00B51EE2">
        <w:rPr>
          <w:i/>
          <w:iCs/>
        </w:rPr>
        <w:t>PeerJ</w:t>
      </w:r>
      <w:proofErr w:type="spellEnd"/>
      <w:r w:rsidRPr="00B51EE2">
        <w:t xml:space="preserve">, 11, e15105, 2023. </w:t>
      </w:r>
      <w:hyperlink r:id="rId76" w:history="1">
        <w:r w:rsidRPr="00B51EE2">
          <w:rPr>
            <w:rStyle w:val="Hyperlink"/>
          </w:rPr>
          <w:t>https://doi.org/10.7717/peerj.15105</w:t>
        </w:r>
      </w:hyperlink>
    </w:p>
    <w:p w14:paraId="3881FCF7" w14:textId="77777777" w:rsidR="00B51EE2" w:rsidRPr="00B51EE2" w:rsidRDefault="00B51EE2" w:rsidP="00B51EE2">
      <w:pPr>
        <w:ind w:left="567" w:hanging="567"/>
        <w:jc w:val="both"/>
      </w:pPr>
      <w:r w:rsidRPr="00B51EE2">
        <w:t xml:space="preserve">[64]°Arbona V, Iglesias DJ, Jacas J, Primo-Millo E, Talon M, Gómez-Cadenas A. Hydrogel substrate amendment alleviates drought effects on young citrus plants. </w:t>
      </w:r>
      <w:r w:rsidRPr="00B51EE2">
        <w:rPr>
          <w:i/>
          <w:iCs/>
        </w:rPr>
        <w:t>Plant and Soil</w:t>
      </w:r>
      <w:r w:rsidRPr="00B51EE2">
        <w:t xml:space="preserve">. 2005;270(1):73-82. </w:t>
      </w:r>
      <w:hyperlink r:id="rId77" w:history="1">
        <w:r w:rsidRPr="00B51EE2">
          <w:rPr>
            <w:rStyle w:val="Hyperlink"/>
          </w:rPr>
          <w:t>https://doi.org/10.1007/s11104-004-1160-0</w:t>
        </w:r>
      </w:hyperlink>
    </w:p>
    <w:p w14:paraId="6DD25FC0" w14:textId="77777777" w:rsidR="00B51EE2" w:rsidRPr="00B51EE2" w:rsidRDefault="00B51EE2" w:rsidP="00B51EE2">
      <w:pPr>
        <w:ind w:left="567" w:hanging="567"/>
        <w:jc w:val="both"/>
      </w:pPr>
      <w:r w:rsidRPr="00B51EE2">
        <w:t xml:space="preserve">[65]°De La Riva </w:t>
      </w:r>
      <w:proofErr w:type="spellStart"/>
      <w:r w:rsidRPr="00B51EE2">
        <w:t>EG</w:t>
      </w:r>
      <w:proofErr w:type="spellEnd"/>
      <w:r w:rsidRPr="00B51EE2">
        <w:t xml:space="preserve">, </w:t>
      </w:r>
      <w:proofErr w:type="spellStart"/>
      <w:r w:rsidRPr="00B51EE2">
        <w:t>Olmo</w:t>
      </w:r>
      <w:proofErr w:type="spellEnd"/>
      <w:r w:rsidRPr="00B51EE2">
        <w:t xml:space="preserve"> M, </w:t>
      </w:r>
      <w:proofErr w:type="spellStart"/>
      <w:r w:rsidRPr="00B51EE2">
        <w:t>Poorter</w:t>
      </w:r>
      <w:proofErr w:type="spellEnd"/>
      <w:r w:rsidRPr="00B51EE2">
        <w:t xml:space="preserve"> H, </w:t>
      </w:r>
      <w:proofErr w:type="spellStart"/>
      <w:r w:rsidRPr="00B51EE2">
        <w:t>Ubera</w:t>
      </w:r>
      <w:proofErr w:type="spellEnd"/>
      <w:r w:rsidRPr="00B51EE2">
        <w:t xml:space="preserve"> </w:t>
      </w:r>
      <w:proofErr w:type="spellStart"/>
      <w:r w:rsidRPr="00B51EE2">
        <w:t>JL</w:t>
      </w:r>
      <w:proofErr w:type="spellEnd"/>
      <w:r w:rsidRPr="00B51EE2">
        <w:t xml:space="preserve">, </w:t>
      </w:r>
      <w:proofErr w:type="spellStart"/>
      <w:r w:rsidRPr="00B51EE2">
        <w:t>Villar</w:t>
      </w:r>
      <w:proofErr w:type="spellEnd"/>
      <w:r w:rsidRPr="00B51EE2">
        <w:t xml:space="preserve"> R. Leaf mass per area (LMA) and its relationship with leaf structure and anatomy in 34 Mediterranean woody species along a gradient of water availability. </w:t>
      </w:r>
      <w:r w:rsidRPr="00B51EE2">
        <w:rPr>
          <w:i/>
          <w:iCs/>
        </w:rPr>
        <w:t>PLOS ONE</w:t>
      </w:r>
      <w:r w:rsidRPr="00B51EE2">
        <w:t>. 2016</w:t>
      </w:r>
      <w:proofErr w:type="gramStart"/>
      <w:r w:rsidRPr="00B51EE2">
        <w:t>;11</w:t>
      </w:r>
      <w:proofErr w:type="gramEnd"/>
      <w:r w:rsidRPr="00B51EE2">
        <w:t xml:space="preserve">(2):e0148788. </w:t>
      </w:r>
      <w:hyperlink r:id="rId78" w:history="1">
        <w:r w:rsidRPr="00B51EE2">
          <w:rPr>
            <w:rStyle w:val="Hyperlink"/>
          </w:rPr>
          <w:t>https://doi.org/10.1371/journal.pone.0148788</w:t>
        </w:r>
      </w:hyperlink>
    </w:p>
    <w:p w14:paraId="3AB048A7" w14:textId="77777777" w:rsidR="00B51EE2" w:rsidRPr="00B51EE2" w:rsidRDefault="00B51EE2" w:rsidP="00B51EE2">
      <w:pPr>
        <w:ind w:left="567" w:hanging="567"/>
        <w:jc w:val="both"/>
      </w:pPr>
      <w:r w:rsidRPr="00B51EE2">
        <w:t xml:space="preserve">[66]°Lambers H., Oliveira R.S. Water relations between plants. In: </w:t>
      </w:r>
      <w:r w:rsidRPr="00B51EE2">
        <w:rPr>
          <w:i/>
          <w:iCs/>
        </w:rPr>
        <w:t>Plant Physiological Ecology</w:t>
      </w:r>
      <w:r w:rsidRPr="00B51EE2">
        <w:t xml:space="preserve">, 187–263, Cham: Springer International Publishing, 2019. </w:t>
      </w:r>
      <w:hyperlink r:id="rId79" w:history="1">
        <w:r w:rsidRPr="00B51EE2">
          <w:rPr>
            <w:rStyle w:val="Hyperlink"/>
          </w:rPr>
          <w:t>https://doi.org/10.1007/978-3-030-29639-1_5</w:t>
        </w:r>
      </w:hyperlink>
    </w:p>
    <w:p w14:paraId="17E00AE8" w14:textId="77777777" w:rsidR="00B51EE2" w:rsidRPr="00B51EE2" w:rsidRDefault="00B51EE2" w:rsidP="00B51EE2">
      <w:pPr>
        <w:ind w:left="567" w:hanging="567"/>
        <w:jc w:val="both"/>
      </w:pPr>
      <w:r w:rsidRPr="00B51EE2">
        <w:t xml:space="preserve">[67]°Anjum SA, Xie X, Wang LC, Saleem MF, Man C, Lei W. Morphological, physiological and biochemical responses of plants to drought stress. </w:t>
      </w:r>
      <w:r w:rsidRPr="00B51EE2">
        <w:rPr>
          <w:i/>
          <w:iCs/>
        </w:rPr>
        <w:t>African Journal of Agricultural Research</w:t>
      </w:r>
      <w:r w:rsidRPr="00B51EE2">
        <w:t xml:space="preserve">. 2011;6(9):2026-2032. </w:t>
      </w:r>
      <w:hyperlink r:id="rId80" w:history="1">
        <w:r w:rsidRPr="00B51EE2">
          <w:rPr>
            <w:rStyle w:val="Hyperlink"/>
          </w:rPr>
          <w:t>https://doi.org/10.13080/z-a.2017.104.034</w:t>
        </w:r>
      </w:hyperlink>
    </w:p>
    <w:p w14:paraId="090F30C3" w14:textId="77777777" w:rsidR="00B51EE2" w:rsidRPr="00B51EE2" w:rsidRDefault="00B51EE2" w:rsidP="00B51EE2">
      <w:pPr>
        <w:ind w:left="567" w:hanging="567"/>
        <w:jc w:val="both"/>
      </w:pPr>
      <w:r w:rsidRPr="00B51EE2">
        <w:t>[68]°</w:t>
      </w:r>
      <w:proofErr w:type="spellStart"/>
      <w:r w:rsidRPr="00B51EE2">
        <w:t>Panescu</w:t>
      </w:r>
      <w:proofErr w:type="spellEnd"/>
      <w:r w:rsidRPr="00B51EE2">
        <w:t xml:space="preserve"> </w:t>
      </w:r>
      <w:proofErr w:type="spellStart"/>
      <w:r w:rsidRPr="00B51EE2">
        <w:t>P.H</w:t>
      </w:r>
      <w:proofErr w:type="spellEnd"/>
      <w:r w:rsidRPr="00B51EE2">
        <w:t xml:space="preserve">., Browne M., Chen K.K., Sack L., Maynard H.D. Effects of trehalose and polyacrylate-based hydrogels on tomato growth under drought. </w:t>
      </w:r>
      <w:proofErr w:type="spellStart"/>
      <w:r w:rsidRPr="00B51EE2">
        <w:rPr>
          <w:i/>
          <w:iCs/>
        </w:rPr>
        <w:t>AoB</w:t>
      </w:r>
      <w:proofErr w:type="spellEnd"/>
      <w:r w:rsidRPr="00B51EE2">
        <w:rPr>
          <w:i/>
          <w:iCs/>
        </w:rPr>
        <w:t xml:space="preserve"> Plants</w:t>
      </w:r>
      <w:r w:rsidRPr="00B51EE2">
        <w:t xml:space="preserve">, 14(4), plac030, 2022. </w:t>
      </w:r>
      <w:hyperlink r:id="rId81" w:history="1">
        <w:r w:rsidRPr="00B51EE2">
          <w:rPr>
            <w:rStyle w:val="Hyperlink"/>
          </w:rPr>
          <w:t>https://doi.org/10.1093/aobpla/plac030</w:t>
        </w:r>
      </w:hyperlink>
    </w:p>
    <w:p w14:paraId="26CE7172" w14:textId="77777777" w:rsidR="00B51EE2" w:rsidRPr="00B51EE2" w:rsidRDefault="00B51EE2" w:rsidP="00B51EE2">
      <w:pPr>
        <w:ind w:left="567" w:hanging="567"/>
        <w:jc w:val="both"/>
      </w:pPr>
      <w:r w:rsidRPr="00B51EE2">
        <w:lastRenderedPageBreak/>
        <w:t xml:space="preserve">[69]°Benett KSS, Benett CGS, dos Santos GG, Costa E. Effects of hydrogel and nitrogen fertilization on arugula production in successive crops. </w:t>
      </w:r>
      <w:r w:rsidRPr="00B51EE2">
        <w:rPr>
          <w:i/>
          <w:iCs/>
        </w:rPr>
        <w:t>African Journal of Agricultural Research</w:t>
      </w:r>
      <w:r w:rsidRPr="00B51EE2">
        <w:t xml:space="preserve">. 2015;10(26):2601-2607. </w:t>
      </w:r>
      <w:hyperlink r:id="rId82" w:history="1">
        <w:r w:rsidRPr="00B51EE2">
          <w:rPr>
            <w:rStyle w:val="Hyperlink"/>
          </w:rPr>
          <w:t>https://doi.org/10.5937/ratpov61-46641</w:t>
        </w:r>
      </w:hyperlink>
    </w:p>
    <w:p w14:paraId="58E2FCA0" w14:textId="77777777" w:rsidR="00B51EE2" w:rsidRPr="00B51EE2" w:rsidRDefault="00B51EE2" w:rsidP="00B51EE2">
      <w:pPr>
        <w:ind w:left="567" w:hanging="567"/>
        <w:jc w:val="both"/>
      </w:pPr>
      <w:r w:rsidRPr="00B51EE2">
        <w:t>[70]°</w:t>
      </w:r>
      <w:proofErr w:type="spellStart"/>
      <w:r w:rsidRPr="00B51EE2">
        <w:t>Guilherme</w:t>
      </w:r>
      <w:proofErr w:type="spellEnd"/>
      <w:r w:rsidRPr="00B51EE2">
        <w:t xml:space="preserve"> </w:t>
      </w:r>
      <w:proofErr w:type="spellStart"/>
      <w:r w:rsidRPr="00B51EE2">
        <w:t>M.R</w:t>
      </w:r>
      <w:proofErr w:type="spellEnd"/>
      <w:r w:rsidRPr="00B51EE2">
        <w:t xml:space="preserve">., </w:t>
      </w:r>
      <w:proofErr w:type="spellStart"/>
      <w:r w:rsidRPr="00B51EE2">
        <w:t>Aouada</w:t>
      </w:r>
      <w:proofErr w:type="spellEnd"/>
      <w:r w:rsidRPr="00B51EE2">
        <w:t xml:space="preserve"> </w:t>
      </w:r>
      <w:proofErr w:type="spellStart"/>
      <w:r w:rsidRPr="00B51EE2">
        <w:t>F.A</w:t>
      </w:r>
      <w:proofErr w:type="spellEnd"/>
      <w:r w:rsidRPr="00B51EE2">
        <w:t xml:space="preserve">., Fajardo </w:t>
      </w:r>
      <w:proofErr w:type="spellStart"/>
      <w:r w:rsidRPr="00B51EE2">
        <w:t>A.R</w:t>
      </w:r>
      <w:proofErr w:type="spellEnd"/>
      <w:r w:rsidRPr="00B51EE2">
        <w:t xml:space="preserve">., Martins A.F., Paulino A.T., Davi M.F., Rubira A.F., Muniz E.C. Superabsorbent hydrogels based </w:t>
      </w:r>
      <w:proofErr w:type="gramStart"/>
      <w:r w:rsidRPr="00B51EE2">
        <w:t>on polysaccharides for application in agriculture as soil conditioner and nutrient carrier</w:t>
      </w:r>
      <w:proofErr w:type="gramEnd"/>
      <w:r w:rsidRPr="00B51EE2">
        <w:t xml:space="preserve">: A review. </w:t>
      </w:r>
      <w:r w:rsidRPr="00B51EE2">
        <w:rPr>
          <w:i/>
          <w:iCs/>
        </w:rPr>
        <w:t>European Polymer Journal</w:t>
      </w:r>
      <w:r w:rsidRPr="00B51EE2">
        <w:t xml:space="preserve">, 72, 365–385, 2015. </w:t>
      </w:r>
      <w:hyperlink r:id="rId83" w:history="1">
        <w:r w:rsidRPr="00B51EE2">
          <w:rPr>
            <w:rStyle w:val="Hyperlink"/>
          </w:rPr>
          <w:t>https://doi.org/10.1016/j.eurpolymj.2015.04.017</w:t>
        </w:r>
      </w:hyperlink>
    </w:p>
    <w:p w14:paraId="17027AA4" w14:textId="77777777" w:rsidR="00B51EE2" w:rsidRPr="00B51EE2" w:rsidRDefault="00B51EE2" w:rsidP="00B51EE2">
      <w:pPr>
        <w:ind w:left="567" w:hanging="567"/>
        <w:jc w:val="both"/>
      </w:pPr>
    </w:p>
    <w:p w14:paraId="5527AA5D" w14:textId="77777777" w:rsidR="00B51EE2" w:rsidRPr="00B51EE2" w:rsidRDefault="00B51EE2" w:rsidP="00B51EE2">
      <w:pPr>
        <w:ind w:left="567" w:hanging="567"/>
        <w:jc w:val="both"/>
      </w:pPr>
      <w:r w:rsidRPr="00B51EE2">
        <w:t>[71]°</w:t>
      </w:r>
      <w:proofErr w:type="spellStart"/>
      <w:r w:rsidRPr="00B51EE2">
        <w:t>Biehl</w:t>
      </w:r>
      <w:proofErr w:type="spellEnd"/>
      <w:r w:rsidRPr="00B51EE2">
        <w:t xml:space="preserve"> J, </w:t>
      </w:r>
      <w:proofErr w:type="spellStart"/>
      <w:r w:rsidRPr="00B51EE2">
        <w:t>Sandén</w:t>
      </w:r>
      <w:proofErr w:type="spellEnd"/>
      <w:r w:rsidRPr="00B51EE2">
        <w:t xml:space="preserve"> H, </w:t>
      </w:r>
      <w:proofErr w:type="spellStart"/>
      <w:r w:rsidRPr="00B51EE2">
        <w:t>Rewald</w:t>
      </w:r>
      <w:proofErr w:type="spellEnd"/>
      <w:r w:rsidRPr="00B51EE2">
        <w:t xml:space="preserve"> B. Contrasting effects of two hydrogels on biomass allocation, needle loss, and root growth of </w:t>
      </w:r>
      <w:r w:rsidRPr="00B51EE2">
        <w:rPr>
          <w:i/>
          <w:iCs/>
        </w:rPr>
        <w:t>Picea abies</w:t>
      </w:r>
      <w:r w:rsidRPr="00B51EE2">
        <w:t xml:space="preserve"> seedlings under drought. </w:t>
      </w:r>
      <w:r w:rsidRPr="00B51EE2">
        <w:rPr>
          <w:i/>
          <w:iCs/>
        </w:rPr>
        <w:t>Forest Ecology and Management</w:t>
      </w:r>
      <w:r w:rsidRPr="00B51EE2">
        <w:t>. 2023</w:t>
      </w:r>
      <w:proofErr w:type="gramStart"/>
      <w:r w:rsidRPr="00B51EE2">
        <w:t>;538:120970</w:t>
      </w:r>
      <w:proofErr w:type="gramEnd"/>
      <w:r w:rsidRPr="00B51EE2">
        <w:t xml:space="preserve">. </w:t>
      </w:r>
      <w:hyperlink r:id="rId84" w:history="1">
        <w:r w:rsidRPr="00B51EE2">
          <w:rPr>
            <w:rStyle w:val="Hyperlink"/>
          </w:rPr>
          <w:t>https://doi.org/10.1016/j.foreco.2023.120970</w:t>
        </w:r>
      </w:hyperlink>
    </w:p>
    <w:p w14:paraId="6DBF81E2" w14:textId="77777777" w:rsidR="00B51EE2" w:rsidRPr="00B51EE2" w:rsidRDefault="00B51EE2" w:rsidP="00B51EE2">
      <w:pPr>
        <w:ind w:left="567" w:hanging="567"/>
        <w:jc w:val="both"/>
      </w:pPr>
      <w:r w:rsidRPr="00B51EE2">
        <w:t xml:space="preserve">[72]°Yang W., Qu Z., Feng G., Yang Y., Song R. Response of root growth and distribution of maize plants to foliar-sprayed </w:t>
      </w:r>
      <w:proofErr w:type="spellStart"/>
      <w:r w:rsidRPr="00B51EE2">
        <w:t>antitranspirant</w:t>
      </w:r>
      <w:proofErr w:type="spellEnd"/>
      <w:r w:rsidRPr="00B51EE2">
        <w:t xml:space="preserve"> and soil-amended hydrogel polymer. </w:t>
      </w:r>
      <w:r w:rsidRPr="00B51EE2">
        <w:rPr>
          <w:i/>
          <w:iCs/>
        </w:rPr>
        <w:t>Chilean Journal of Agricultural Research</w:t>
      </w:r>
      <w:r w:rsidRPr="00B51EE2">
        <w:t xml:space="preserve">, 83(1), 94–106, 2023. </w:t>
      </w:r>
      <w:hyperlink r:id="rId85" w:history="1">
        <w:r w:rsidRPr="00B51EE2">
          <w:rPr>
            <w:rStyle w:val="Hyperlink"/>
          </w:rPr>
          <w:t>http://dx.doi.org/10.4067/S0718-58392023000100094</w:t>
        </w:r>
      </w:hyperlink>
    </w:p>
    <w:p w14:paraId="66E69B9B" w14:textId="77777777" w:rsidR="00B51EE2" w:rsidRPr="00B51EE2" w:rsidRDefault="00B51EE2" w:rsidP="00B51EE2">
      <w:pPr>
        <w:ind w:left="567" w:hanging="567"/>
        <w:jc w:val="both"/>
      </w:pPr>
      <w:r w:rsidRPr="00B51EE2">
        <w:t>[73]°</w:t>
      </w:r>
      <w:proofErr w:type="spellStart"/>
      <w:r w:rsidRPr="00B51EE2">
        <w:t>Errahali</w:t>
      </w:r>
      <w:proofErr w:type="spellEnd"/>
      <w:r w:rsidRPr="00B51EE2">
        <w:t xml:space="preserve"> S, </w:t>
      </w:r>
      <w:proofErr w:type="spellStart"/>
      <w:r w:rsidRPr="00B51EE2">
        <w:t>Chtouki</w:t>
      </w:r>
      <w:proofErr w:type="spellEnd"/>
      <w:r w:rsidRPr="00B51EE2">
        <w:t xml:space="preserve"> M, </w:t>
      </w:r>
      <w:proofErr w:type="spellStart"/>
      <w:r w:rsidRPr="00B51EE2">
        <w:t>Qetrani</w:t>
      </w:r>
      <w:proofErr w:type="spellEnd"/>
      <w:r w:rsidRPr="00B51EE2">
        <w:t xml:space="preserve"> S, </w:t>
      </w:r>
      <w:proofErr w:type="spellStart"/>
      <w:r w:rsidRPr="00B51EE2">
        <w:t>Oukarroum</w:t>
      </w:r>
      <w:proofErr w:type="spellEnd"/>
      <w:r w:rsidRPr="00B51EE2">
        <w:t xml:space="preserve"> A, </w:t>
      </w:r>
      <w:proofErr w:type="spellStart"/>
      <w:r w:rsidRPr="00B51EE2">
        <w:t>Latifi</w:t>
      </w:r>
      <w:proofErr w:type="spellEnd"/>
      <w:r w:rsidRPr="00B51EE2">
        <w:t xml:space="preserve"> M, </w:t>
      </w:r>
      <w:proofErr w:type="spellStart"/>
      <w:r w:rsidRPr="00B51EE2">
        <w:t>Belachemi</w:t>
      </w:r>
      <w:proofErr w:type="spellEnd"/>
      <w:r w:rsidRPr="00B51EE2">
        <w:t xml:space="preserve"> L, </w:t>
      </w:r>
      <w:proofErr w:type="spellStart"/>
      <w:r w:rsidRPr="00B51EE2">
        <w:t>Benyoucef</w:t>
      </w:r>
      <w:proofErr w:type="spellEnd"/>
      <w:r w:rsidRPr="00B51EE2">
        <w:t xml:space="preserve"> H, </w:t>
      </w:r>
      <w:proofErr w:type="spellStart"/>
      <w:r w:rsidRPr="00B51EE2">
        <w:t>Kaddami</w:t>
      </w:r>
      <w:proofErr w:type="spellEnd"/>
      <w:r w:rsidRPr="00B51EE2">
        <w:t xml:space="preserve"> H. Effects of superabsorbent hydrogel on soil porosity, bulk density, and water productivity of tomato grown under drought stress in clay loam and sandy loam soils. </w:t>
      </w:r>
      <w:r w:rsidRPr="00B51EE2">
        <w:rPr>
          <w:i/>
          <w:iCs/>
        </w:rPr>
        <w:t>Journal of Soil Science and Plant Nutrition</w:t>
      </w:r>
      <w:r w:rsidRPr="00B51EE2">
        <w:t xml:space="preserve">. 2025. </w:t>
      </w:r>
      <w:hyperlink r:id="rId86" w:history="1">
        <w:r w:rsidRPr="00B51EE2">
          <w:rPr>
            <w:rStyle w:val="Hyperlink"/>
          </w:rPr>
          <w:t>https://doi.org/10.1007/s42729-025-02542-5</w:t>
        </w:r>
      </w:hyperlink>
    </w:p>
    <w:p w14:paraId="37EC87B7" w14:textId="77777777" w:rsidR="00B51EE2" w:rsidRPr="00B51EE2" w:rsidRDefault="00B51EE2" w:rsidP="00B51EE2">
      <w:pPr>
        <w:ind w:left="567" w:hanging="567"/>
        <w:jc w:val="both"/>
      </w:pPr>
      <w:r w:rsidRPr="00B51EE2">
        <w:t xml:space="preserve">[74]°Pereira B.D.J., Rodrigues G.A., Santos A.R.D., Anjos G.L.D., Costa F.M. Watermelon initial growth under different hydrogel concentrations and shading conditions. </w:t>
      </w:r>
      <w:proofErr w:type="spellStart"/>
      <w:r w:rsidRPr="00B51EE2">
        <w:rPr>
          <w:i/>
          <w:iCs/>
        </w:rPr>
        <w:t>Revista</w:t>
      </w:r>
      <w:proofErr w:type="spellEnd"/>
      <w:r w:rsidRPr="00B51EE2">
        <w:rPr>
          <w:i/>
          <w:iCs/>
        </w:rPr>
        <w:t xml:space="preserve"> Caatinga</w:t>
      </w:r>
      <w:r w:rsidRPr="00B51EE2">
        <w:t xml:space="preserve">, 32, 915–923, 2020. </w:t>
      </w:r>
      <w:hyperlink r:id="rId87" w:history="1">
        <w:r w:rsidRPr="00B51EE2">
          <w:rPr>
            <w:rStyle w:val="Hyperlink"/>
          </w:rPr>
          <w:t>https://doi.org/10.1590/1983-21252019v32n407rc</w:t>
        </w:r>
      </w:hyperlink>
    </w:p>
    <w:p w14:paraId="081F3B5F" w14:textId="77777777" w:rsidR="00B51EE2" w:rsidRPr="00B51EE2" w:rsidRDefault="00B51EE2" w:rsidP="00B51EE2">
      <w:pPr>
        <w:ind w:left="567" w:hanging="567"/>
        <w:jc w:val="both"/>
      </w:pPr>
      <w:r w:rsidRPr="00B51EE2">
        <w:t xml:space="preserve">[75]°Wu Q., Xie J., Li J., Men Y., Yan F. Engineering rapeseed germination and root growth with mechanical strength of polysaccharide hydrogel. </w:t>
      </w:r>
      <w:r w:rsidRPr="00B51EE2">
        <w:rPr>
          <w:i/>
          <w:iCs/>
        </w:rPr>
        <w:t>ACS Applied Bio Materials</w:t>
      </w:r>
      <w:r w:rsidRPr="00B51EE2">
        <w:t xml:space="preserve">, 7(5), 3496–3505, 2024. </w:t>
      </w:r>
      <w:hyperlink r:id="rId88" w:history="1">
        <w:r w:rsidRPr="00B51EE2">
          <w:rPr>
            <w:rStyle w:val="Hyperlink"/>
          </w:rPr>
          <w:t>https://doi.org/10.1021/acsabm.4c00416</w:t>
        </w:r>
      </w:hyperlink>
    </w:p>
    <w:p w14:paraId="31354E5B" w14:textId="77777777" w:rsidR="00B51EE2" w:rsidRPr="00B51EE2" w:rsidRDefault="00B51EE2" w:rsidP="00B51EE2">
      <w:pPr>
        <w:ind w:left="567" w:hanging="567"/>
        <w:jc w:val="both"/>
      </w:pPr>
      <w:r w:rsidRPr="00B51EE2">
        <w:t>[76]°</w:t>
      </w:r>
      <w:proofErr w:type="spellStart"/>
      <w:r w:rsidRPr="00B51EE2">
        <w:t>Helliwell</w:t>
      </w:r>
      <w:proofErr w:type="spellEnd"/>
      <w:r w:rsidRPr="00B51EE2">
        <w:t xml:space="preserve"> </w:t>
      </w:r>
      <w:proofErr w:type="spellStart"/>
      <w:r w:rsidRPr="00B51EE2">
        <w:t>J.R</w:t>
      </w:r>
      <w:proofErr w:type="spellEnd"/>
      <w:r w:rsidRPr="00B51EE2">
        <w:t xml:space="preserve">., </w:t>
      </w:r>
      <w:proofErr w:type="spellStart"/>
      <w:r w:rsidRPr="00B51EE2">
        <w:t>Sturrock</w:t>
      </w:r>
      <w:proofErr w:type="spellEnd"/>
      <w:r w:rsidRPr="00B51EE2">
        <w:t xml:space="preserve"> </w:t>
      </w:r>
      <w:proofErr w:type="spellStart"/>
      <w:r w:rsidRPr="00B51EE2">
        <w:t>C.J</w:t>
      </w:r>
      <w:proofErr w:type="spellEnd"/>
      <w:r w:rsidRPr="00B51EE2">
        <w:t xml:space="preserve">., </w:t>
      </w:r>
      <w:proofErr w:type="spellStart"/>
      <w:r w:rsidRPr="00B51EE2">
        <w:t>Mairhofer</w:t>
      </w:r>
      <w:proofErr w:type="spellEnd"/>
      <w:r w:rsidRPr="00B51EE2">
        <w:t xml:space="preserve"> S., Craigon J., Ashton R.W., Miller A.J., et al. The emergent rhizosphere: imaging the development of the porous architecture at the root-soil interface. </w:t>
      </w:r>
      <w:r w:rsidRPr="00B51EE2">
        <w:rPr>
          <w:i/>
          <w:iCs/>
        </w:rPr>
        <w:t>Scientific Reports</w:t>
      </w:r>
      <w:r w:rsidRPr="00B51EE2">
        <w:t xml:space="preserve">, 7(1), 14875, 2017. </w:t>
      </w:r>
      <w:hyperlink r:id="rId89" w:history="1">
        <w:r w:rsidRPr="00B51EE2">
          <w:rPr>
            <w:rStyle w:val="Hyperlink"/>
          </w:rPr>
          <w:t>https://doi.org/10.1038/s41598-017-14904-w</w:t>
        </w:r>
      </w:hyperlink>
    </w:p>
    <w:p w14:paraId="650BBE4A" w14:textId="77777777" w:rsidR="00B51EE2" w:rsidRPr="00B51EE2" w:rsidRDefault="00B51EE2" w:rsidP="00B51EE2">
      <w:pPr>
        <w:ind w:left="567" w:hanging="567"/>
        <w:jc w:val="both"/>
      </w:pPr>
      <w:r w:rsidRPr="00B51EE2">
        <w:t xml:space="preserve">[77]°Takahashi M., Kosaka I., Ohta S. Water retention characteristics of superabsorbent polymers (SAPs) used as soil amendments. </w:t>
      </w:r>
      <w:r w:rsidRPr="00B51EE2">
        <w:rPr>
          <w:i/>
          <w:iCs/>
        </w:rPr>
        <w:t>Soil Systems</w:t>
      </w:r>
      <w:r w:rsidRPr="00B51EE2">
        <w:t xml:space="preserve">, 7(2), 58, 2023. </w:t>
      </w:r>
      <w:hyperlink r:id="rId90" w:history="1">
        <w:r w:rsidRPr="00B51EE2">
          <w:rPr>
            <w:rStyle w:val="Hyperlink"/>
          </w:rPr>
          <w:t>https://doi.org/10.3390/soilsystems7020058</w:t>
        </w:r>
      </w:hyperlink>
    </w:p>
    <w:p w14:paraId="0E9016CB" w14:textId="77777777" w:rsidR="00B51EE2" w:rsidRPr="00B51EE2" w:rsidRDefault="00B51EE2" w:rsidP="00B51EE2">
      <w:pPr>
        <w:ind w:left="567" w:hanging="567"/>
        <w:jc w:val="both"/>
      </w:pPr>
      <w:r w:rsidRPr="00B51EE2">
        <w:t>[78]°</w:t>
      </w:r>
      <w:proofErr w:type="spellStart"/>
      <w:r w:rsidRPr="00B51EE2">
        <w:t>Hüttermann</w:t>
      </w:r>
      <w:proofErr w:type="spellEnd"/>
      <w:r w:rsidRPr="00B51EE2">
        <w:t xml:space="preserve"> A., </w:t>
      </w:r>
      <w:proofErr w:type="spellStart"/>
      <w:r w:rsidRPr="00B51EE2">
        <w:t>Zommorodi</w:t>
      </w:r>
      <w:proofErr w:type="spellEnd"/>
      <w:r w:rsidRPr="00B51EE2">
        <w:t xml:space="preserve"> M., Reise K. Addition of hydrogels to soil for prolonging the survival of </w:t>
      </w:r>
      <w:proofErr w:type="spellStart"/>
      <w:r w:rsidRPr="00B51EE2">
        <w:rPr>
          <w:i/>
          <w:iCs/>
        </w:rPr>
        <w:t>Pinus</w:t>
      </w:r>
      <w:proofErr w:type="spellEnd"/>
      <w:r w:rsidRPr="00B51EE2">
        <w:rPr>
          <w:i/>
          <w:iCs/>
        </w:rPr>
        <w:t xml:space="preserve"> </w:t>
      </w:r>
      <w:proofErr w:type="spellStart"/>
      <w:r w:rsidRPr="00B51EE2">
        <w:rPr>
          <w:i/>
          <w:iCs/>
        </w:rPr>
        <w:t>halepensis</w:t>
      </w:r>
      <w:proofErr w:type="spellEnd"/>
      <w:r w:rsidRPr="00B51EE2">
        <w:t xml:space="preserve"> seedlings subjected to drought. </w:t>
      </w:r>
      <w:r w:rsidRPr="00B51EE2">
        <w:rPr>
          <w:i/>
          <w:iCs/>
        </w:rPr>
        <w:t>Soil and Tillage Research</w:t>
      </w:r>
      <w:r w:rsidRPr="00B51EE2">
        <w:t xml:space="preserve">, 50(3–4), 295–304, 1999. </w:t>
      </w:r>
      <w:hyperlink r:id="rId91" w:history="1">
        <w:r w:rsidRPr="00B51EE2">
          <w:rPr>
            <w:rStyle w:val="Hyperlink"/>
          </w:rPr>
          <w:t>https://doi.org/10.1016/S0167-1987(99)00023-9</w:t>
        </w:r>
      </w:hyperlink>
    </w:p>
    <w:p w14:paraId="48C73187" w14:textId="4AFA522A" w:rsidR="00B51EE2" w:rsidRDefault="00B51EE2" w:rsidP="00B51EE2">
      <w:pPr>
        <w:ind w:left="567" w:hanging="567"/>
        <w:jc w:val="both"/>
        <w:rPr>
          <w:rStyle w:val="Hyperlink"/>
        </w:rPr>
      </w:pPr>
      <w:r w:rsidRPr="00B51EE2">
        <w:t xml:space="preserve">[79]°Islam M.R., Hu Y., Mao S., Jia P., </w:t>
      </w:r>
      <w:proofErr w:type="spellStart"/>
      <w:r w:rsidRPr="00B51EE2">
        <w:t>Eneji</w:t>
      </w:r>
      <w:proofErr w:type="spellEnd"/>
      <w:r w:rsidRPr="00B51EE2">
        <w:t xml:space="preserve"> </w:t>
      </w:r>
      <w:proofErr w:type="spellStart"/>
      <w:r w:rsidRPr="00B51EE2">
        <w:t>A.E</w:t>
      </w:r>
      <w:proofErr w:type="spellEnd"/>
      <w:r w:rsidRPr="00B51EE2">
        <w:t xml:space="preserve">., </w:t>
      </w:r>
      <w:proofErr w:type="spellStart"/>
      <w:r w:rsidRPr="00B51EE2">
        <w:t>Xue</w:t>
      </w:r>
      <w:proofErr w:type="spellEnd"/>
      <w:r w:rsidRPr="00B51EE2">
        <w:t xml:space="preserve"> X. Effects of water-saving superabsorbent polymer on antioxidant enzyme activities and lipid peroxidation in corn (</w:t>
      </w:r>
      <w:r w:rsidRPr="00B51EE2">
        <w:rPr>
          <w:i/>
          <w:iCs/>
        </w:rPr>
        <w:t>Zea mays</w:t>
      </w:r>
      <w:r w:rsidRPr="00B51EE2">
        <w:t xml:space="preserve"> L.) under drought stress. </w:t>
      </w:r>
      <w:r w:rsidRPr="00B51EE2">
        <w:rPr>
          <w:i/>
          <w:iCs/>
        </w:rPr>
        <w:t>Journal of the Science of Food and Agriculture</w:t>
      </w:r>
      <w:r w:rsidRPr="00B51EE2">
        <w:t xml:space="preserve">, 91(5), 813–819, 2011. </w:t>
      </w:r>
      <w:hyperlink r:id="rId92" w:history="1">
        <w:r w:rsidRPr="00B51EE2">
          <w:rPr>
            <w:rStyle w:val="Hyperlink"/>
          </w:rPr>
          <w:t>https://doi.org/10.1002/jsfa.4252</w:t>
        </w:r>
      </w:hyperlink>
    </w:p>
    <w:p w14:paraId="6E18DD15" w14:textId="77777777" w:rsidR="00A2123C" w:rsidRPr="00A2123C" w:rsidRDefault="00A2123C" w:rsidP="00A2123C">
      <w:pPr>
        <w:ind w:left="567" w:hanging="567"/>
        <w:jc w:val="both"/>
        <w:rPr>
          <w:highlight w:val="yellow"/>
        </w:rPr>
      </w:pPr>
      <w:r w:rsidRPr="00A2123C">
        <w:rPr>
          <w:highlight w:val="yellow"/>
        </w:rPr>
        <w:t>[81]°</w:t>
      </w:r>
      <w:proofErr w:type="spellStart"/>
      <w:r w:rsidRPr="00A2123C">
        <w:rPr>
          <w:highlight w:val="yellow"/>
        </w:rPr>
        <w:t>Buitrago</w:t>
      </w:r>
      <w:proofErr w:type="spellEnd"/>
      <w:r w:rsidRPr="00A2123C">
        <w:rPr>
          <w:highlight w:val="yellow"/>
        </w:rPr>
        <w:t xml:space="preserve">-Arias C, </w:t>
      </w:r>
      <w:proofErr w:type="spellStart"/>
      <w:r w:rsidRPr="00A2123C">
        <w:rPr>
          <w:highlight w:val="yellow"/>
        </w:rPr>
        <w:t>Gañán-Rojo</w:t>
      </w:r>
      <w:proofErr w:type="spellEnd"/>
      <w:r w:rsidRPr="00A2123C">
        <w:rPr>
          <w:highlight w:val="yellow"/>
        </w:rPr>
        <w:t xml:space="preserve"> P, Torres-</w:t>
      </w:r>
      <w:proofErr w:type="spellStart"/>
      <w:r w:rsidRPr="00A2123C">
        <w:rPr>
          <w:highlight w:val="yellow"/>
        </w:rPr>
        <w:t>Taborda</w:t>
      </w:r>
      <w:proofErr w:type="spellEnd"/>
      <w:r w:rsidRPr="00A2123C">
        <w:rPr>
          <w:highlight w:val="yellow"/>
        </w:rPr>
        <w:t xml:space="preserve"> M, </w:t>
      </w:r>
      <w:proofErr w:type="spellStart"/>
      <w:r w:rsidRPr="00A2123C">
        <w:rPr>
          <w:highlight w:val="yellow"/>
        </w:rPr>
        <w:t>Perdomo-Villar</w:t>
      </w:r>
      <w:proofErr w:type="spellEnd"/>
      <w:r w:rsidRPr="00A2123C">
        <w:rPr>
          <w:highlight w:val="yellow"/>
        </w:rPr>
        <w:t xml:space="preserve"> L, </w:t>
      </w:r>
      <w:proofErr w:type="spellStart"/>
      <w:r w:rsidRPr="00A2123C">
        <w:rPr>
          <w:highlight w:val="yellow"/>
        </w:rPr>
        <w:t>Álvarez-López</w:t>
      </w:r>
      <w:proofErr w:type="spellEnd"/>
      <w:r w:rsidRPr="00A2123C">
        <w:rPr>
          <w:highlight w:val="yellow"/>
        </w:rPr>
        <w:t xml:space="preserve"> C, Jaramillo-</w:t>
      </w:r>
      <w:proofErr w:type="spellStart"/>
      <w:r w:rsidRPr="00A2123C">
        <w:rPr>
          <w:highlight w:val="yellow"/>
        </w:rPr>
        <w:t>Quiceno</w:t>
      </w:r>
      <w:proofErr w:type="spellEnd"/>
      <w:r w:rsidRPr="00A2123C">
        <w:rPr>
          <w:highlight w:val="yellow"/>
        </w:rPr>
        <w:t xml:space="preserve"> N, </w:t>
      </w:r>
      <w:proofErr w:type="spellStart"/>
      <w:r w:rsidRPr="00A2123C">
        <w:rPr>
          <w:highlight w:val="yellow"/>
        </w:rPr>
        <w:t>Hincapié</w:t>
      </w:r>
      <w:proofErr w:type="spellEnd"/>
      <w:r w:rsidRPr="00A2123C">
        <w:rPr>
          <w:highlight w:val="yellow"/>
        </w:rPr>
        <w:t xml:space="preserve">-Llanos GA. Analysis of the Growth of Hydrogel Applications in Agriculture: A Review. </w:t>
      </w:r>
      <w:r w:rsidRPr="00A2123C">
        <w:rPr>
          <w:i/>
          <w:highlight w:val="yellow"/>
        </w:rPr>
        <w:t>Gels</w:t>
      </w:r>
      <w:r w:rsidRPr="00A2123C">
        <w:rPr>
          <w:highlight w:val="yellow"/>
        </w:rPr>
        <w:t>. 2025</w:t>
      </w:r>
      <w:proofErr w:type="gramStart"/>
      <w:r w:rsidRPr="00A2123C">
        <w:rPr>
          <w:highlight w:val="yellow"/>
        </w:rPr>
        <w:t>;11</w:t>
      </w:r>
      <w:proofErr w:type="gramEnd"/>
      <w:r w:rsidRPr="00A2123C">
        <w:rPr>
          <w:highlight w:val="yellow"/>
        </w:rPr>
        <w:t>(9):731. https://doi.org/10.3390/gels11090731</w:t>
      </w:r>
    </w:p>
    <w:p w14:paraId="4AE652CF" w14:textId="47E2188E" w:rsidR="00A2123C" w:rsidRPr="00A2123C" w:rsidRDefault="00A2123C" w:rsidP="00A2123C">
      <w:pPr>
        <w:ind w:left="567" w:hanging="567"/>
        <w:jc w:val="both"/>
        <w:rPr>
          <w:highlight w:val="yellow"/>
        </w:rPr>
      </w:pPr>
      <w:r w:rsidRPr="00A2123C">
        <w:rPr>
          <w:highlight w:val="yellow"/>
        </w:rPr>
        <w:t xml:space="preserve">[80]°Ma L, Chai C, Wu W, Qi P, Liu X, </w:t>
      </w:r>
      <w:proofErr w:type="spellStart"/>
      <w:r w:rsidRPr="00A2123C">
        <w:rPr>
          <w:highlight w:val="yellow"/>
        </w:rPr>
        <w:t>Hao</w:t>
      </w:r>
      <w:proofErr w:type="spellEnd"/>
      <w:r w:rsidRPr="00A2123C">
        <w:rPr>
          <w:highlight w:val="yellow"/>
        </w:rPr>
        <w:t xml:space="preserve"> J. Hydrogels as the plant culture substrates: A review. </w:t>
      </w:r>
      <w:r w:rsidRPr="00A2123C">
        <w:rPr>
          <w:i/>
          <w:highlight w:val="yellow"/>
        </w:rPr>
        <w:t>Carbohydrate Polymers</w:t>
      </w:r>
      <w:r w:rsidRPr="00A2123C">
        <w:rPr>
          <w:highlight w:val="yellow"/>
        </w:rPr>
        <w:t>. 2023</w:t>
      </w:r>
      <w:proofErr w:type="gramStart"/>
      <w:r w:rsidRPr="00A2123C">
        <w:rPr>
          <w:highlight w:val="yellow"/>
        </w:rPr>
        <w:t>;305:120544</w:t>
      </w:r>
      <w:proofErr w:type="gramEnd"/>
      <w:r w:rsidRPr="00A2123C">
        <w:rPr>
          <w:highlight w:val="yellow"/>
        </w:rPr>
        <w:t xml:space="preserve">. </w:t>
      </w:r>
      <w:hyperlink r:id="rId93" w:history="1">
        <w:r w:rsidRPr="00A2123C">
          <w:rPr>
            <w:rStyle w:val="Hyperlink"/>
            <w:highlight w:val="yellow"/>
          </w:rPr>
          <w:t>https://doi.org/10.1016/j.carbpol.2023.120544</w:t>
        </w:r>
      </w:hyperlink>
    </w:p>
    <w:p w14:paraId="0103A37F" w14:textId="3FD122CA" w:rsidR="00A2123C" w:rsidRPr="00A2123C" w:rsidRDefault="00A2123C" w:rsidP="00A2123C">
      <w:pPr>
        <w:ind w:left="567" w:hanging="567"/>
        <w:jc w:val="both"/>
        <w:rPr>
          <w:highlight w:val="yellow"/>
        </w:rPr>
      </w:pPr>
      <w:r w:rsidRPr="00A2123C">
        <w:rPr>
          <w:highlight w:val="yellow"/>
        </w:rPr>
        <w:t xml:space="preserve">[82]°Seyar MH, </w:t>
      </w:r>
      <w:proofErr w:type="spellStart"/>
      <w:r w:rsidRPr="00A2123C">
        <w:rPr>
          <w:highlight w:val="yellow"/>
        </w:rPr>
        <w:t>Ahamed</w:t>
      </w:r>
      <w:proofErr w:type="spellEnd"/>
      <w:r w:rsidRPr="00A2123C">
        <w:rPr>
          <w:highlight w:val="yellow"/>
        </w:rPr>
        <w:t xml:space="preserve"> T. Development of an </w:t>
      </w:r>
      <w:proofErr w:type="spellStart"/>
      <w:r w:rsidRPr="00A2123C">
        <w:rPr>
          <w:highlight w:val="yellow"/>
        </w:rPr>
        <w:t>IoT</w:t>
      </w:r>
      <w:proofErr w:type="spellEnd"/>
      <w:r w:rsidRPr="00A2123C">
        <w:rPr>
          <w:highlight w:val="yellow"/>
        </w:rPr>
        <w:t xml:space="preserve">-Based Precision Irrigation System for Tomato Production from Indoor Seedling Germination to Outdoor Field Production. </w:t>
      </w:r>
      <w:r w:rsidRPr="00A2123C">
        <w:rPr>
          <w:i/>
          <w:highlight w:val="yellow"/>
        </w:rPr>
        <w:t>Applied Sciences</w:t>
      </w:r>
      <w:r w:rsidRPr="00A2123C">
        <w:rPr>
          <w:highlight w:val="yellow"/>
        </w:rPr>
        <w:t>. 2023</w:t>
      </w:r>
      <w:proofErr w:type="gramStart"/>
      <w:r w:rsidRPr="00A2123C">
        <w:rPr>
          <w:highlight w:val="yellow"/>
        </w:rPr>
        <w:t>;13</w:t>
      </w:r>
      <w:proofErr w:type="gramEnd"/>
      <w:r w:rsidRPr="00A2123C">
        <w:rPr>
          <w:highlight w:val="yellow"/>
        </w:rPr>
        <w:t xml:space="preserve">(9):5556. </w:t>
      </w:r>
      <w:hyperlink r:id="rId94" w:history="1">
        <w:r w:rsidRPr="00A2123C">
          <w:rPr>
            <w:rStyle w:val="Hyperlink"/>
            <w:highlight w:val="yellow"/>
          </w:rPr>
          <w:t>https://doi.org/10.3390/app13095556</w:t>
        </w:r>
      </w:hyperlink>
    </w:p>
    <w:p w14:paraId="03A3FFE1" w14:textId="45FE09C8" w:rsidR="00A2123C" w:rsidRPr="00A2123C" w:rsidRDefault="00A2123C" w:rsidP="00A2123C">
      <w:pPr>
        <w:ind w:left="567" w:hanging="567"/>
        <w:jc w:val="both"/>
        <w:rPr>
          <w:highlight w:val="yellow"/>
        </w:rPr>
      </w:pPr>
      <w:r w:rsidRPr="00A2123C">
        <w:rPr>
          <w:highlight w:val="yellow"/>
        </w:rPr>
        <w:t xml:space="preserve">[83]°Singh D, </w:t>
      </w:r>
      <w:proofErr w:type="spellStart"/>
      <w:r w:rsidRPr="00A2123C">
        <w:rPr>
          <w:highlight w:val="yellow"/>
        </w:rPr>
        <w:t>Biswal</w:t>
      </w:r>
      <w:proofErr w:type="spellEnd"/>
      <w:r w:rsidRPr="00A2123C">
        <w:rPr>
          <w:highlight w:val="yellow"/>
        </w:rPr>
        <w:t xml:space="preserve"> AK, </w:t>
      </w:r>
      <w:proofErr w:type="spellStart"/>
      <w:r w:rsidRPr="00A2123C">
        <w:rPr>
          <w:highlight w:val="yellow"/>
        </w:rPr>
        <w:t>Samanta</w:t>
      </w:r>
      <w:proofErr w:type="spellEnd"/>
      <w:r w:rsidRPr="00A2123C">
        <w:rPr>
          <w:highlight w:val="yellow"/>
        </w:rPr>
        <w:t xml:space="preserve"> D, Singh V, </w:t>
      </w:r>
      <w:proofErr w:type="spellStart"/>
      <w:r w:rsidRPr="00A2123C">
        <w:rPr>
          <w:highlight w:val="yellow"/>
        </w:rPr>
        <w:t>Kadry</w:t>
      </w:r>
      <w:proofErr w:type="spellEnd"/>
      <w:r w:rsidRPr="00A2123C">
        <w:rPr>
          <w:highlight w:val="yellow"/>
        </w:rPr>
        <w:t xml:space="preserve"> S, Khan A, Nam Y. Smart High-Yield Tomato Cultivation: Precision Irrigation System Using the Internet of Things. </w:t>
      </w:r>
      <w:r w:rsidRPr="00A2123C">
        <w:rPr>
          <w:i/>
          <w:highlight w:val="yellow"/>
        </w:rPr>
        <w:t>Frontiers in Plant Science</w:t>
      </w:r>
      <w:r w:rsidRPr="00A2123C">
        <w:rPr>
          <w:highlight w:val="yellow"/>
        </w:rPr>
        <w:t>. 2023</w:t>
      </w:r>
      <w:proofErr w:type="gramStart"/>
      <w:r w:rsidRPr="00A2123C">
        <w:rPr>
          <w:highlight w:val="yellow"/>
        </w:rPr>
        <w:t>;14:1239594</w:t>
      </w:r>
      <w:proofErr w:type="gramEnd"/>
      <w:r w:rsidRPr="00A2123C">
        <w:rPr>
          <w:highlight w:val="yellow"/>
        </w:rPr>
        <w:t xml:space="preserve">. </w:t>
      </w:r>
      <w:hyperlink r:id="rId95" w:history="1">
        <w:r w:rsidRPr="00A2123C">
          <w:rPr>
            <w:rStyle w:val="Hyperlink"/>
            <w:highlight w:val="yellow"/>
          </w:rPr>
          <w:t>https://doi.org/10.3389/fpls.2023.1239594</w:t>
        </w:r>
      </w:hyperlink>
    </w:p>
    <w:p w14:paraId="459C0BD1" w14:textId="1A621634" w:rsidR="00A2123C" w:rsidRPr="00A2123C" w:rsidRDefault="00A2123C" w:rsidP="00A2123C">
      <w:pPr>
        <w:ind w:left="567" w:hanging="567"/>
        <w:jc w:val="both"/>
        <w:rPr>
          <w:highlight w:val="yellow"/>
        </w:rPr>
      </w:pPr>
      <w:r w:rsidRPr="00A2123C">
        <w:rPr>
          <w:highlight w:val="yellow"/>
        </w:rPr>
        <w:lastRenderedPageBreak/>
        <w:t>[85]°Gallegos-</w:t>
      </w:r>
      <w:proofErr w:type="spellStart"/>
      <w:r w:rsidRPr="00A2123C">
        <w:rPr>
          <w:highlight w:val="yellow"/>
        </w:rPr>
        <w:t>Cedillo</w:t>
      </w:r>
      <w:proofErr w:type="spellEnd"/>
      <w:r w:rsidRPr="00A2123C">
        <w:rPr>
          <w:highlight w:val="yellow"/>
        </w:rPr>
        <w:t xml:space="preserve"> </w:t>
      </w:r>
      <w:proofErr w:type="spellStart"/>
      <w:r w:rsidRPr="00A2123C">
        <w:rPr>
          <w:highlight w:val="yellow"/>
        </w:rPr>
        <w:t>VM</w:t>
      </w:r>
      <w:proofErr w:type="spellEnd"/>
      <w:r w:rsidRPr="00A2123C">
        <w:rPr>
          <w:highlight w:val="yellow"/>
        </w:rPr>
        <w:t xml:space="preserve">, </w:t>
      </w:r>
      <w:proofErr w:type="spellStart"/>
      <w:r w:rsidRPr="00A2123C">
        <w:rPr>
          <w:highlight w:val="yellow"/>
        </w:rPr>
        <w:t>Nájera</w:t>
      </w:r>
      <w:proofErr w:type="spellEnd"/>
      <w:r w:rsidRPr="00A2123C">
        <w:rPr>
          <w:highlight w:val="yellow"/>
        </w:rPr>
        <w:t xml:space="preserve"> C, Signore A, Ochoa J, Gallegos J, </w:t>
      </w:r>
      <w:proofErr w:type="spellStart"/>
      <w:r w:rsidRPr="00A2123C">
        <w:rPr>
          <w:highlight w:val="yellow"/>
        </w:rPr>
        <w:t>Egea-Gilabert</w:t>
      </w:r>
      <w:proofErr w:type="spellEnd"/>
      <w:r w:rsidRPr="00A2123C">
        <w:rPr>
          <w:highlight w:val="yellow"/>
        </w:rPr>
        <w:t xml:space="preserve"> C, </w:t>
      </w:r>
      <w:proofErr w:type="spellStart"/>
      <w:r w:rsidRPr="00A2123C">
        <w:rPr>
          <w:highlight w:val="yellow"/>
        </w:rPr>
        <w:t>Gruda</w:t>
      </w:r>
      <w:proofErr w:type="spellEnd"/>
      <w:r w:rsidRPr="00A2123C">
        <w:rPr>
          <w:highlight w:val="yellow"/>
        </w:rPr>
        <w:t xml:space="preserve"> NS, </w:t>
      </w:r>
      <w:proofErr w:type="spellStart"/>
      <w:r w:rsidRPr="00A2123C">
        <w:rPr>
          <w:highlight w:val="yellow"/>
        </w:rPr>
        <w:t>Fernández</w:t>
      </w:r>
      <w:proofErr w:type="spellEnd"/>
      <w:r w:rsidRPr="00A2123C">
        <w:rPr>
          <w:highlight w:val="yellow"/>
        </w:rPr>
        <w:t xml:space="preserve"> JA. Analysis of global research on vegetable seedlings and transplants and their impacts on product quality. </w:t>
      </w:r>
      <w:r w:rsidRPr="00A2123C">
        <w:rPr>
          <w:i/>
          <w:highlight w:val="yellow"/>
        </w:rPr>
        <w:t>Journal of the Science of Food and Agriculture</w:t>
      </w:r>
      <w:r w:rsidRPr="00A2123C">
        <w:rPr>
          <w:highlight w:val="yellow"/>
        </w:rPr>
        <w:t>. 2024</w:t>
      </w:r>
      <w:proofErr w:type="gramStart"/>
      <w:r w:rsidRPr="00A2123C">
        <w:rPr>
          <w:highlight w:val="yellow"/>
        </w:rPr>
        <w:t>;104</w:t>
      </w:r>
      <w:proofErr w:type="gramEnd"/>
      <w:r w:rsidRPr="00A2123C">
        <w:rPr>
          <w:highlight w:val="yellow"/>
        </w:rPr>
        <w:t xml:space="preserve">(9):4950-4965. </w:t>
      </w:r>
      <w:hyperlink r:id="rId96" w:history="1">
        <w:r w:rsidRPr="00A2123C">
          <w:rPr>
            <w:rStyle w:val="Hyperlink"/>
            <w:highlight w:val="yellow"/>
          </w:rPr>
          <w:t>https://doi.org/10.1002/jsfa.13309</w:t>
        </w:r>
      </w:hyperlink>
    </w:p>
    <w:p w14:paraId="002EFA0A" w14:textId="542C826A" w:rsidR="00A2123C" w:rsidRDefault="00A2123C" w:rsidP="00A2123C">
      <w:pPr>
        <w:ind w:left="567" w:hanging="567"/>
        <w:jc w:val="both"/>
      </w:pPr>
      <w:r w:rsidRPr="00A2123C">
        <w:rPr>
          <w:highlight w:val="yellow"/>
        </w:rPr>
        <w:t>[84]°Gallegos-</w:t>
      </w:r>
      <w:proofErr w:type="spellStart"/>
      <w:r w:rsidRPr="00A2123C">
        <w:rPr>
          <w:highlight w:val="yellow"/>
        </w:rPr>
        <w:t>Cedillo</w:t>
      </w:r>
      <w:proofErr w:type="spellEnd"/>
      <w:r w:rsidRPr="00A2123C">
        <w:rPr>
          <w:highlight w:val="yellow"/>
        </w:rPr>
        <w:t xml:space="preserve"> </w:t>
      </w:r>
      <w:proofErr w:type="spellStart"/>
      <w:r w:rsidRPr="00A2123C">
        <w:rPr>
          <w:highlight w:val="yellow"/>
        </w:rPr>
        <w:t>VM</w:t>
      </w:r>
      <w:proofErr w:type="spellEnd"/>
      <w:r w:rsidRPr="00A2123C">
        <w:rPr>
          <w:highlight w:val="yellow"/>
        </w:rPr>
        <w:t xml:space="preserve">, </w:t>
      </w:r>
      <w:proofErr w:type="spellStart"/>
      <w:r w:rsidRPr="00A2123C">
        <w:rPr>
          <w:highlight w:val="yellow"/>
        </w:rPr>
        <w:t>Nájera</w:t>
      </w:r>
      <w:proofErr w:type="spellEnd"/>
      <w:r w:rsidRPr="00A2123C">
        <w:rPr>
          <w:highlight w:val="yellow"/>
        </w:rPr>
        <w:t xml:space="preserve"> C, </w:t>
      </w:r>
      <w:proofErr w:type="spellStart"/>
      <w:r w:rsidRPr="00A2123C">
        <w:rPr>
          <w:highlight w:val="yellow"/>
        </w:rPr>
        <w:t>Gruda</w:t>
      </w:r>
      <w:proofErr w:type="spellEnd"/>
      <w:r w:rsidRPr="00A2123C">
        <w:rPr>
          <w:highlight w:val="yellow"/>
        </w:rPr>
        <w:t xml:space="preserve"> NS, Signore A, Ochoa J, Gallegos J, </w:t>
      </w:r>
      <w:proofErr w:type="spellStart"/>
      <w:r w:rsidRPr="00A2123C">
        <w:rPr>
          <w:highlight w:val="yellow"/>
        </w:rPr>
        <w:t>Egea-Gilabert</w:t>
      </w:r>
      <w:proofErr w:type="spellEnd"/>
      <w:r w:rsidRPr="00A2123C">
        <w:rPr>
          <w:highlight w:val="yellow"/>
        </w:rPr>
        <w:t xml:space="preserve"> C, Rodríguez R, </w:t>
      </w:r>
      <w:proofErr w:type="spellStart"/>
      <w:r w:rsidRPr="00A2123C">
        <w:rPr>
          <w:highlight w:val="yellow"/>
        </w:rPr>
        <w:t>Fernández</w:t>
      </w:r>
      <w:proofErr w:type="spellEnd"/>
      <w:r w:rsidRPr="00A2123C">
        <w:rPr>
          <w:highlight w:val="yellow"/>
        </w:rPr>
        <w:t xml:space="preserve"> JA. An in-depth analysis of sustainable practices in vegetable seedlings nurseries: A review. </w:t>
      </w:r>
      <w:proofErr w:type="spellStart"/>
      <w:r w:rsidRPr="00A2123C">
        <w:rPr>
          <w:i/>
          <w:highlight w:val="yellow"/>
        </w:rPr>
        <w:t>Scientia</w:t>
      </w:r>
      <w:proofErr w:type="spellEnd"/>
      <w:r w:rsidRPr="00A2123C">
        <w:rPr>
          <w:i/>
          <w:highlight w:val="yellow"/>
        </w:rPr>
        <w:t xml:space="preserve"> </w:t>
      </w:r>
      <w:proofErr w:type="spellStart"/>
      <w:r w:rsidRPr="00A2123C">
        <w:rPr>
          <w:i/>
          <w:highlight w:val="yellow"/>
        </w:rPr>
        <w:t>Horticulturae</w:t>
      </w:r>
      <w:proofErr w:type="spellEnd"/>
      <w:r w:rsidRPr="00A2123C">
        <w:rPr>
          <w:highlight w:val="yellow"/>
        </w:rPr>
        <w:t>. 2024</w:t>
      </w:r>
      <w:proofErr w:type="gramStart"/>
      <w:r w:rsidRPr="00A2123C">
        <w:rPr>
          <w:highlight w:val="yellow"/>
        </w:rPr>
        <w:t>;334:113342</w:t>
      </w:r>
      <w:proofErr w:type="gramEnd"/>
      <w:r w:rsidRPr="00A2123C">
        <w:rPr>
          <w:highlight w:val="yellow"/>
        </w:rPr>
        <w:t xml:space="preserve">. </w:t>
      </w:r>
      <w:hyperlink r:id="rId97" w:history="1">
        <w:r w:rsidRPr="00A2123C">
          <w:rPr>
            <w:rStyle w:val="Hyperlink"/>
            <w:highlight w:val="yellow"/>
          </w:rPr>
          <w:t>https://doi.org/10.1016/j.scienta.2024.113342</w:t>
        </w:r>
      </w:hyperlink>
    </w:p>
    <w:sectPr w:rsidR="00A2123C" w:rsidSect="006520A3">
      <w:headerReference w:type="even" r:id="rId98"/>
      <w:headerReference w:type="default" r:id="rId99"/>
      <w:footerReference w:type="even" r:id="rId100"/>
      <w:footerReference w:type="default" r:id="rId101"/>
      <w:headerReference w:type="first" r:id="rId102"/>
      <w:footerReference w:type="first" r:id="rId10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29B5C" w14:textId="77777777" w:rsidR="004F716D" w:rsidRDefault="004F716D" w:rsidP="00C37E61">
      <w:r>
        <w:separator/>
      </w:r>
    </w:p>
  </w:endnote>
  <w:endnote w:type="continuationSeparator" w:id="0">
    <w:p w14:paraId="6D84074D" w14:textId="77777777" w:rsidR="004F716D" w:rsidRDefault="004F71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0F1F" w14:textId="77777777" w:rsidR="00A2123C" w:rsidRDefault="00A2123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151C" w14:textId="77777777" w:rsidR="00A2123C" w:rsidRDefault="00A2123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5BF8" w14:textId="77777777" w:rsidR="00A2123C" w:rsidRDefault="00A2123C">
    <w:pPr>
      <w:pStyle w:val="Rodap"/>
      <w:rPr>
        <w:rFonts w:ascii="Arial" w:hAnsi="Arial" w:cs="Arial"/>
        <w:sz w:val="16"/>
      </w:rPr>
    </w:pPr>
  </w:p>
  <w:p w14:paraId="46760FB6" w14:textId="77777777" w:rsidR="00A2123C" w:rsidRDefault="00A2123C" w:rsidP="009E048A">
    <w:pPr>
      <w:pStyle w:val="Rodap"/>
      <w:jc w:val="center"/>
      <w:rPr>
        <w:rFonts w:ascii="Arial" w:hAnsi="Arial" w:cs="Arial"/>
        <w:sz w:val="16"/>
      </w:rPr>
    </w:pPr>
    <w:r>
      <w:rPr>
        <w:rFonts w:ascii="Arial" w:hAnsi="Arial" w:cs="Arial"/>
        <w:sz w:val="16"/>
      </w:rPr>
      <w:t>____________________________________________________________________________________________</w:t>
    </w:r>
  </w:p>
  <w:p w14:paraId="3A45920F" w14:textId="77777777" w:rsidR="00A2123C" w:rsidRDefault="00A2123C">
    <w:pPr>
      <w:pStyle w:val="Rodap"/>
      <w:rPr>
        <w:rFonts w:ascii="Arial" w:hAnsi="Arial" w:cs="Arial"/>
        <w:sz w:val="16"/>
      </w:rPr>
    </w:pPr>
  </w:p>
  <w:p w14:paraId="1A01143B" w14:textId="77777777" w:rsidR="00A2123C" w:rsidRPr="009E048A" w:rsidRDefault="00A2123C">
    <w:pPr>
      <w:pStyle w:val="Rodap"/>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C799" w14:textId="77777777" w:rsidR="004F716D" w:rsidRDefault="004F716D" w:rsidP="00C37E61">
      <w:r>
        <w:separator/>
      </w:r>
    </w:p>
  </w:footnote>
  <w:footnote w:type="continuationSeparator" w:id="0">
    <w:p w14:paraId="1D4A4895" w14:textId="77777777" w:rsidR="004F716D" w:rsidRDefault="004F71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6A62A" w14:textId="658453C6" w:rsidR="00A2123C" w:rsidRDefault="00A2123C">
    <w:pPr>
      <w:pStyle w:val="Cabealho"/>
    </w:pPr>
    <w:r>
      <w:rPr>
        <w:noProof/>
      </w:rPr>
      <w:pict w14:anchorId="6787F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993C" w14:textId="02A9DABB" w:rsidR="00A2123C" w:rsidRDefault="00A2123C">
    <w:pPr>
      <w:pStyle w:val="Cabealho"/>
    </w:pPr>
    <w:r>
      <w:rPr>
        <w:noProof/>
      </w:rPr>
      <w:pict w14:anchorId="0F49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A527" w14:textId="368BE442" w:rsidR="00A2123C" w:rsidRPr="00296529" w:rsidRDefault="00A2123C" w:rsidP="00296529">
    <w:pPr>
      <w:ind w:left="2160"/>
      <w:jc w:val="center"/>
      <w:rPr>
        <w:rFonts w:ascii="Times New Roman" w:eastAsia="Calibri" w:hAnsi="Times New Roman"/>
        <w:i/>
        <w:sz w:val="18"/>
        <w:szCs w:val="22"/>
      </w:rPr>
    </w:pPr>
    <w:r>
      <w:rPr>
        <w:noProof/>
      </w:rPr>
      <w:pict w14:anchorId="09C71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B5C8C5" w14:textId="77777777" w:rsidR="00A2123C" w:rsidRDefault="00A2123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DE4144B" w14:textId="77777777" w:rsidR="00A2123C" w:rsidRPr="00296529" w:rsidRDefault="00A212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EB5C36" w14:textId="77777777" w:rsidR="00A2123C" w:rsidRDefault="00A2123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p>
  <w:p w14:paraId="5D3D4AB9" w14:textId="77777777" w:rsidR="00A2123C" w:rsidRDefault="00A2123C"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3688383" w14:textId="77777777" w:rsidR="00A2123C" w:rsidRDefault="00A212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89E613" w14:textId="77777777" w:rsidR="00A2123C" w:rsidRDefault="00A2123C">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6374B"/>
    <w:rsid w:val="0007598F"/>
    <w:rsid w:val="000A47FA"/>
    <w:rsid w:val="000A65D3"/>
    <w:rsid w:val="000B1E33"/>
    <w:rsid w:val="000D689F"/>
    <w:rsid w:val="000E7B7B"/>
    <w:rsid w:val="000E7D62"/>
    <w:rsid w:val="000F3725"/>
    <w:rsid w:val="00103357"/>
    <w:rsid w:val="00123C9F"/>
    <w:rsid w:val="00126190"/>
    <w:rsid w:val="00126BDD"/>
    <w:rsid w:val="00130F17"/>
    <w:rsid w:val="001320BF"/>
    <w:rsid w:val="00163BC4"/>
    <w:rsid w:val="00191062"/>
    <w:rsid w:val="00192B72"/>
    <w:rsid w:val="001A29D8"/>
    <w:rsid w:val="001A55D6"/>
    <w:rsid w:val="001A5CAA"/>
    <w:rsid w:val="001B0427"/>
    <w:rsid w:val="001D3A51"/>
    <w:rsid w:val="001E10D2"/>
    <w:rsid w:val="001E25B4"/>
    <w:rsid w:val="001E44FE"/>
    <w:rsid w:val="001E7544"/>
    <w:rsid w:val="00200595"/>
    <w:rsid w:val="002011A8"/>
    <w:rsid w:val="00204835"/>
    <w:rsid w:val="00212F21"/>
    <w:rsid w:val="00231920"/>
    <w:rsid w:val="0023195C"/>
    <w:rsid w:val="002319A8"/>
    <w:rsid w:val="0024282C"/>
    <w:rsid w:val="002460DC"/>
    <w:rsid w:val="0024735F"/>
    <w:rsid w:val="00250985"/>
    <w:rsid w:val="002556F6"/>
    <w:rsid w:val="00256D40"/>
    <w:rsid w:val="00276FB2"/>
    <w:rsid w:val="00283105"/>
    <w:rsid w:val="00284C4C"/>
    <w:rsid w:val="002925C8"/>
    <w:rsid w:val="00296529"/>
    <w:rsid w:val="002B27FB"/>
    <w:rsid w:val="002B685A"/>
    <w:rsid w:val="002C57D2"/>
    <w:rsid w:val="002E0B1C"/>
    <w:rsid w:val="002E0D56"/>
    <w:rsid w:val="002E326C"/>
    <w:rsid w:val="002E5412"/>
    <w:rsid w:val="00301F5A"/>
    <w:rsid w:val="00315186"/>
    <w:rsid w:val="00326B5D"/>
    <w:rsid w:val="0033343E"/>
    <w:rsid w:val="003512C2"/>
    <w:rsid w:val="00360909"/>
    <w:rsid w:val="00371FB6"/>
    <w:rsid w:val="003763C1"/>
    <w:rsid w:val="00376BBE"/>
    <w:rsid w:val="003824AC"/>
    <w:rsid w:val="0039224F"/>
    <w:rsid w:val="003A43A4"/>
    <w:rsid w:val="003A7E18"/>
    <w:rsid w:val="003B3CFA"/>
    <w:rsid w:val="003C4C86"/>
    <w:rsid w:val="003C6258"/>
    <w:rsid w:val="003D5A9A"/>
    <w:rsid w:val="003E2904"/>
    <w:rsid w:val="003F04D4"/>
    <w:rsid w:val="003F35C5"/>
    <w:rsid w:val="00401927"/>
    <w:rsid w:val="0041027F"/>
    <w:rsid w:val="00412475"/>
    <w:rsid w:val="00423789"/>
    <w:rsid w:val="004406F6"/>
    <w:rsid w:val="00440F43"/>
    <w:rsid w:val="00441B6F"/>
    <w:rsid w:val="00441FAD"/>
    <w:rsid w:val="00446221"/>
    <w:rsid w:val="00450E62"/>
    <w:rsid w:val="004539DB"/>
    <w:rsid w:val="00470ABE"/>
    <w:rsid w:val="00471A80"/>
    <w:rsid w:val="004D305E"/>
    <w:rsid w:val="004D4277"/>
    <w:rsid w:val="004E4835"/>
    <w:rsid w:val="004F716D"/>
    <w:rsid w:val="00502516"/>
    <w:rsid w:val="00505F06"/>
    <w:rsid w:val="00506828"/>
    <w:rsid w:val="005072DB"/>
    <w:rsid w:val="0053056E"/>
    <w:rsid w:val="00554FDA"/>
    <w:rsid w:val="0056591E"/>
    <w:rsid w:val="00565DDD"/>
    <w:rsid w:val="005722FB"/>
    <w:rsid w:val="00585297"/>
    <w:rsid w:val="005C784C"/>
    <w:rsid w:val="005D17F6"/>
    <w:rsid w:val="005E5539"/>
    <w:rsid w:val="00602BF5"/>
    <w:rsid w:val="00617FDD"/>
    <w:rsid w:val="00633614"/>
    <w:rsid w:val="00633F68"/>
    <w:rsid w:val="00636EB2"/>
    <w:rsid w:val="006375B8"/>
    <w:rsid w:val="006519F5"/>
    <w:rsid w:val="006520A3"/>
    <w:rsid w:val="0066510A"/>
    <w:rsid w:val="00673F9F"/>
    <w:rsid w:val="00686953"/>
    <w:rsid w:val="00687DEA"/>
    <w:rsid w:val="00687E67"/>
    <w:rsid w:val="006967F7"/>
    <w:rsid w:val="006A250C"/>
    <w:rsid w:val="006B21D3"/>
    <w:rsid w:val="006B57D0"/>
    <w:rsid w:val="006D30FF"/>
    <w:rsid w:val="006D6940"/>
    <w:rsid w:val="006F11EC"/>
    <w:rsid w:val="0070082C"/>
    <w:rsid w:val="0072544E"/>
    <w:rsid w:val="007364A0"/>
    <w:rsid w:val="007369E6"/>
    <w:rsid w:val="00746E59"/>
    <w:rsid w:val="00754C9A"/>
    <w:rsid w:val="0075599A"/>
    <w:rsid w:val="00761D52"/>
    <w:rsid w:val="0076644D"/>
    <w:rsid w:val="0077749E"/>
    <w:rsid w:val="00790ADA"/>
    <w:rsid w:val="007B50C3"/>
    <w:rsid w:val="007D2288"/>
    <w:rsid w:val="007E088F"/>
    <w:rsid w:val="007F23F8"/>
    <w:rsid w:val="007F7B32"/>
    <w:rsid w:val="00804BC2"/>
    <w:rsid w:val="0081431A"/>
    <w:rsid w:val="0083216F"/>
    <w:rsid w:val="00860000"/>
    <w:rsid w:val="00863BD3"/>
    <w:rsid w:val="00866D66"/>
    <w:rsid w:val="008671C6"/>
    <w:rsid w:val="00875803"/>
    <w:rsid w:val="008B05FF"/>
    <w:rsid w:val="008B459E"/>
    <w:rsid w:val="008C1662"/>
    <w:rsid w:val="008E13AE"/>
    <w:rsid w:val="008E1506"/>
    <w:rsid w:val="008E710C"/>
    <w:rsid w:val="008F69D6"/>
    <w:rsid w:val="00902823"/>
    <w:rsid w:val="00915CA6"/>
    <w:rsid w:val="00927834"/>
    <w:rsid w:val="009500A6"/>
    <w:rsid w:val="00957C18"/>
    <w:rsid w:val="009659BA"/>
    <w:rsid w:val="00973FEA"/>
    <w:rsid w:val="00983040"/>
    <w:rsid w:val="009B3FB9"/>
    <w:rsid w:val="009C2465"/>
    <w:rsid w:val="009D35A0"/>
    <w:rsid w:val="009D7EB7"/>
    <w:rsid w:val="009E048A"/>
    <w:rsid w:val="009E08E9"/>
    <w:rsid w:val="009E3DB9"/>
    <w:rsid w:val="009E6E35"/>
    <w:rsid w:val="009F0EDA"/>
    <w:rsid w:val="009F73F5"/>
    <w:rsid w:val="00A03B96"/>
    <w:rsid w:val="00A05B19"/>
    <w:rsid w:val="00A1134E"/>
    <w:rsid w:val="00A122BE"/>
    <w:rsid w:val="00A2123C"/>
    <w:rsid w:val="00A24E7E"/>
    <w:rsid w:val="00A258C3"/>
    <w:rsid w:val="00A347C0"/>
    <w:rsid w:val="00A36984"/>
    <w:rsid w:val="00A51431"/>
    <w:rsid w:val="00A51C9F"/>
    <w:rsid w:val="00A539AD"/>
    <w:rsid w:val="00A82DB7"/>
    <w:rsid w:val="00A94063"/>
    <w:rsid w:val="00AA3CBA"/>
    <w:rsid w:val="00AA6219"/>
    <w:rsid w:val="00AA74E0"/>
    <w:rsid w:val="00AB703F"/>
    <w:rsid w:val="00AC6BB8"/>
    <w:rsid w:val="00AD14F7"/>
    <w:rsid w:val="00AE008F"/>
    <w:rsid w:val="00AF397E"/>
    <w:rsid w:val="00AF76F4"/>
    <w:rsid w:val="00B01FCD"/>
    <w:rsid w:val="00B01FE4"/>
    <w:rsid w:val="00B06398"/>
    <w:rsid w:val="00B1776C"/>
    <w:rsid w:val="00B51EE2"/>
    <w:rsid w:val="00B52896"/>
    <w:rsid w:val="00B56925"/>
    <w:rsid w:val="00B75B41"/>
    <w:rsid w:val="00B903FF"/>
    <w:rsid w:val="00B92B5E"/>
    <w:rsid w:val="00B95236"/>
    <w:rsid w:val="00B96BD9"/>
    <w:rsid w:val="00BA1B01"/>
    <w:rsid w:val="00BA2641"/>
    <w:rsid w:val="00BB37AA"/>
    <w:rsid w:val="00BC53A0"/>
    <w:rsid w:val="00BE5393"/>
    <w:rsid w:val="00BE62AD"/>
    <w:rsid w:val="00BF121F"/>
    <w:rsid w:val="00BF1F80"/>
    <w:rsid w:val="00C052D7"/>
    <w:rsid w:val="00C166EF"/>
    <w:rsid w:val="00C17EB0"/>
    <w:rsid w:val="00C27F5F"/>
    <w:rsid w:val="00C30A0F"/>
    <w:rsid w:val="00C37E61"/>
    <w:rsid w:val="00C70F1B"/>
    <w:rsid w:val="00C71A47"/>
    <w:rsid w:val="00C7464C"/>
    <w:rsid w:val="00C85588"/>
    <w:rsid w:val="00CB3B1F"/>
    <w:rsid w:val="00CD6755"/>
    <w:rsid w:val="00CD6856"/>
    <w:rsid w:val="00CE0089"/>
    <w:rsid w:val="00CE793C"/>
    <w:rsid w:val="00CF68A5"/>
    <w:rsid w:val="00D173F1"/>
    <w:rsid w:val="00D8295D"/>
    <w:rsid w:val="00D86526"/>
    <w:rsid w:val="00DC2A65"/>
    <w:rsid w:val="00DE15F0"/>
    <w:rsid w:val="00DE5663"/>
    <w:rsid w:val="00DE78AA"/>
    <w:rsid w:val="00E053D0"/>
    <w:rsid w:val="00E15994"/>
    <w:rsid w:val="00E3114E"/>
    <w:rsid w:val="00E31A70"/>
    <w:rsid w:val="00E35B02"/>
    <w:rsid w:val="00E66496"/>
    <w:rsid w:val="00E66B35"/>
    <w:rsid w:val="00E66E10"/>
    <w:rsid w:val="00E769F6"/>
    <w:rsid w:val="00E7707C"/>
    <w:rsid w:val="00E8407C"/>
    <w:rsid w:val="00E84F3C"/>
    <w:rsid w:val="00EA012C"/>
    <w:rsid w:val="00EA38AC"/>
    <w:rsid w:val="00ED0288"/>
    <w:rsid w:val="00EE52CB"/>
    <w:rsid w:val="00EF581D"/>
    <w:rsid w:val="00EF7FD8"/>
    <w:rsid w:val="00F06F59"/>
    <w:rsid w:val="00F17988"/>
    <w:rsid w:val="00F334E4"/>
    <w:rsid w:val="00F469F0"/>
    <w:rsid w:val="00F53273"/>
    <w:rsid w:val="00F755E4"/>
    <w:rsid w:val="00F77D02"/>
    <w:rsid w:val="00F80083"/>
    <w:rsid w:val="00FB3A86"/>
    <w:rsid w:val="00FD154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6BCAF2"/>
  <w15:docId w15:val="{11E62B33-2FD0-4CA3-8A95-47559823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paragraph" w:styleId="SemEspaamento">
    <w:name w:val="No Spacing"/>
    <w:uiPriority w:val="1"/>
    <w:qFormat/>
    <w:rsid w:val="005722FB"/>
    <w:rPr>
      <w:rFonts w:ascii="Calibri" w:eastAsia="Calibri" w:hAnsi="Calibri" w:cs="Calibri"/>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53398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05824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7146526">
      <w:bodyDiv w:val="1"/>
      <w:marLeft w:val="0"/>
      <w:marRight w:val="0"/>
      <w:marTop w:val="0"/>
      <w:marBottom w:val="0"/>
      <w:divBdr>
        <w:top w:val="none" w:sz="0" w:space="0" w:color="auto"/>
        <w:left w:val="none" w:sz="0" w:space="0" w:color="auto"/>
        <w:bottom w:val="none" w:sz="0" w:space="0" w:color="auto"/>
        <w:right w:val="none" w:sz="0" w:space="0" w:color="auto"/>
      </w:divBdr>
    </w:div>
    <w:div w:id="107042028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4399513">
      <w:bodyDiv w:val="1"/>
      <w:marLeft w:val="0"/>
      <w:marRight w:val="0"/>
      <w:marTop w:val="0"/>
      <w:marBottom w:val="0"/>
      <w:divBdr>
        <w:top w:val="none" w:sz="0" w:space="0" w:color="auto"/>
        <w:left w:val="none" w:sz="0" w:space="0" w:color="auto"/>
        <w:bottom w:val="none" w:sz="0" w:space="0" w:color="auto"/>
        <w:right w:val="none" w:sz="0" w:space="0" w:color="auto"/>
      </w:divBdr>
    </w:div>
    <w:div w:id="16439255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vistas.uncu.edu.ar/ojs3/index.php/RFCA/article/view/2934" TargetMode="External"/><Relationship Id="rId21" Type="http://schemas.openxmlformats.org/officeDocument/2006/relationships/hyperlink" Target="https://doi.org/10.1371/journal.pone.0284290" TargetMode="External"/><Relationship Id="rId42" Type="http://schemas.openxmlformats.org/officeDocument/2006/relationships/hyperlink" Target="https://doi.org/10.53550/EEC.2023.v29i01s.007" TargetMode="External"/><Relationship Id="rId47" Type="http://schemas.openxmlformats.org/officeDocument/2006/relationships/hyperlink" Target="https://doi.org/10.2989/20702620.2016.1221698" TargetMode="External"/><Relationship Id="rId63" Type="http://schemas.openxmlformats.org/officeDocument/2006/relationships/hyperlink" Target="https://doi.org/10.1094/PDIS-06-19-1157-FE" TargetMode="External"/><Relationship Id="rId68" Type="http://schemas.openxmlformats.org/officeDocument/2006/relationships/hyperlink" Target="https://doi.org/10.2298/GENSR1001103M" TargetMode="External"/><Relationship Id="rId84" Type="http://schemas.openxmlformats.org/officeDocument/2006/relationships/hyperlink" Target="https://doi.org/10.1016/j.foreco.2023.120970" TargetMode="External"/><Relationship Id="rId89" Type="http://schemas.openxmlformats.org/officeDocument/2006/relationships/hyperlink" Target="https://doi.org/10.1038/s41598-017-14904-w" TargetMode="External"/><Relationship Id="rId16" Type="http://schemas.openxmlformats.org/officeDocument/2006/relationships/hyperlink" Target="https://doi.org/10.1007/978-981-15-7470-2_10" TargetMode="External"/><Relationship Id="rId11" Type="http://schemas.openxmlformats.org/officeDocument/2006/relationships/image" Target="media/image3.png"/><Relationship Id="rId32" Type="http://schemas.openxmlformats.org/officeDocument/2006/relationships/hyperlink" Target="https://doi.org/10.3390/gels11040276" TargetMode="External"/><Relationship Id="rId37" Type="http://schemas.openxmlformats.org/officeDocument/2006/relationships/hyperlink" Target="https://doi.org/10.3390/gels10060368" TargetMode="External"/><Relationship Id="rId53" Type="http://schemas.openxmlformats.org/officeDocument/2006/relationships/hyperlink" Target="https://doi.org/10.1016/j.eurpolymj.2022.111045" TargetMode="External"/><Relationship Id="rId58" Type="http://schemas.openxmlformats.org/officeDocument/2006/relationships/hyperlink" Target="https://doi.org/10.3390/su13063253" TargetMode="External"/><Relationship Id="rId74" Type="http://schemas.openxmlformats.org/officeDocument/2006/relationships/hyperlink" Target="https://doi.org/10.1016/j.aaspro.2015.03.052" TargetMode="External"/><Relationship Id="rId79" Type="http://schemas.openxmlformats.org/officeDocument/2006/relationships/hyperlink" Target="https://doi.org/10.1007/978-3-030-29639-1_5"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s://doi.org/10.3390/soilsystems7020058" TargetMode="External"/><Relationship Id="rId95" Type="http://schemas.openxmlformats.org/officeDocument/2006/relationships/hyperlink" Target="https://doi.org/10.3389/fpls.2023.1239594" TargetMode="External"/><Relationship Id="rId22" Type="http://schemas.openxmlformats.org/officeDocument/2006/relationships/hyperlink" Target="https://doi.org/10.4314/ijbcs.v9i4.2" TargetMode="External"/><Relationship Id="rId27" Type="http://schemas.openxmlformats.org/officeDocument/2006/relationships/hyperlink" Target="https://doi.org/10.14393/bj-v36n2a2020-43252" TargetMode="External"/><Relationship Id="rId43" Type="http://schemas.openxmlformats.org/officeDocument/2006/relationships/hyperlink" Target="https://doi.org/10.1016/j.catena.2021.105759" TargetMode="External"/><Relationship Id="rId48" Type="http://schemas.openxmlformats.org/officeDocument/2006/relationships/hyperlink" Target="https://doi.org/10.1016/j.scienta.2024.113305" TargetMode="External"/><Relationship Id="rId64" Type="http://schemas.openxmlformats.org/officeDocument/2006/relationships/hyperlink" Target="https://doi.org/10.1094/PDIS-09-13-0964-RE" TargetMode="External"/><Relationship Id="rId69" Type="http://schemas.openxmlformats.org/officeDocument/2006/relationships/hyperlink" Target="https://doi.org/10.17707/AgricultForest.70.3.06" TargetMode="External"/><Relationship Id="rId80" Type="http://schemas.openxmlformats.org/officeDocument/2006/relationships/hyperlink" Target="https://doi.org/10.13080/z-a.2017.104.034" TargetMode="External"/><Relationship Id="rId85" Type="http://schemas.openxmlformats.org/officeDocument/2006/relationships/hyperlink" Target="http://dx.doi.org/10.4067/S0718-58392023000100094" TargetMode="External"/><Relationship Id="rId12" Type="http://schemas.microsoft.com/office/2007/relationships/hdphoto" Target="media/hdphoto2.wdp"/><Relationship Id="rId17" Type="http://schemas.openxmlformats.org/officeDocument/2006/relationships/hyperlink" Target="https://doi.org/10.24247/ijasrjun201759" TargetMode="External"/><Relationship Id="rId33" Type="http://schemas.openxmlformats.org/officeDocument/2006/relationships/hyperlink" Target="https://doi.org/10.1016/j.jare.2013.07.006" TargetMode="External"/><Relationship Id="rId38" Type="http://schemas.openxmlformats.org/officeDocument/2006/relationships/hyperlink" Target="https://doi.org/10.20546/ijcmas.2018.705.369" TargetMode="External"/><Relationship Id="rId59" Type="http://schemas.openxmlformats.org/officeDocument/2006/relationships/hyperlink" Target="https://doi.org/10.1002/saj2.2048" TargetMode="External"/><Relationship Id="rId103" Type="http://schemas.openxmlformats.org/officeDocument/2006/relationships/footer" Target="footer3.xml"/><Relationship Id="rId20" Type="http://schemas.openxmlformats.org/officeDocument/2006/relationships/hyperlink" Target="https://doi.org/10.1002/pat.6122" TargetMode="External"/><Relationship Id="rId41" Type="http://schemas.openxmlformats.org/officeDocument/2006/relationships/hyperlink" Target="https://www.rjas.org" TargetMode="External"/><Relationship Id="rId54" Type="http://schemas.openxmlformats.org/officeDocument/2006/relationships/hyperlink" Target="https://doi.org/10.21897/rmvz.1237" TargetMode="External"/><Relationship Id="rId62" Type="http://schemas.openxmlformats.org/officeDocument/2006/relationships/hyperlink" Target="https://doi.org/10.1201/9780429022999" TargetMode="External"/><Relationship Id="rId70" Type="http://schemas.openxmlformats.org/officeDocument/2006/relationships/hyperlink" Target="https://doi.org/10.15389/agrobiology.2023.1.23eng" TargetMode="External"/><Relationship Id="rId75" Type="http://schemas.openxmlformats.org/officeDocument/2006/relationships/hyperlink" Target="https://doi.org/10.13128/ahs-22474" TargetMode="External"/><Relationship Id="rId83" Type="http://schemas.openxmlformats.org/officeDocument/2006/relationships/hyperlink" Target="https://doi.org/10.1016/j.eurpolymj.2015.04.017" TargetMode="External"/><Relationship Id="rId88" Type="http://schemas.openxmlformats.org/officeDocument/2006/relationships/hyperlink" Target="https://doi.org/10.1021/acsabm.4c00416" TargetMode="External"/><Relationship Id="rId91" Type="http://schemas.openxmlformats.org/officeDocument/2006/relationships/hyperlink" Target="https://doi.org/10.1016/S0167-1987(99)00023-9" TargetMode="External"/><Relationship Id="rId96" Type="http://schemas.openxmlformats.org/officeDocument/2006/relationships/hyperlink" Target="https://doi.org/10.1002/jsfa.133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240-014-0664-4" TargetMode="External"/><Relationship Id="rId23" Type="http://schemas.openxmlformats.org/officeDocument/2006/relationships/hyperlink" Target="https://doi.org/10.24326/asphc.2018.5.2" TargetMode="External"/><Relationship Id="rId28" Type="http://schemas.openxmlformats.org/officeDocument/2006/relationships/hyperlink" Target="https://doi.org/10.31421/ijhs/28/2022/10836" TargetMode="External"/><Relationship Id="rId36" Type="http://schemas.openxmlformats.org/officeDocument/2006/relationships/hyperlink" Target="https://doi.org/10.1007/s13593-024-00958-4" TargetMode="External"/><Relationship Id="rId49" Type="http://schemas.openxmlformats.org/officeDocument/2006/relationships/hyperlink" Target="https://doi.org/10.1016/j.jssas.2022.03.001" TargetMode="External"/><Relationship Id="rId57" Type="http://schemas.openxmlformats.org/officeDocument/2006/relationships/hyperlink" Target="https://doi.org/10.1007/s40011-013-0297-0" TargetMode="External"/><Relationship Id="rId10" Type="http://schemas.openxmlformats.org/officeDocument/2006/relationships/image" Target="media/image2.emf"/><Relationship Id="rId31" Type="http://schemas.openxmlformats.org/officeDocument/2006/relationships/hyperlink" Target="https://doi.org/10.3390/agronomy14122815" TargetMode="External"/><Relationship Id="rId44" Type="http://schemas.openxmlformats.org/officeDocument/2006/relationships/hyperlink" Target="https://doi.org/10.1021/acs.est.6b01285" TargetMode="External"/><Relationship Id="rId52" Type="http://schemas.openxmlformats.org/officeDocument/2006/relationships/hyperlink" Target="https://doi.org/10.3390/w6072056" TargetMode="External"/><Relationship Id="rId60" Type="http://schemas.openxmlformats.org/officeDocument/2006/relationships/hyperlink" Target="https://doi.org/10.1038/nclimate1633" TargetMode="External"/><Relationship Id="rId65" Type="http://schemas.openxmlformats.org/officeDocument/2006/relationships/hyperlink" Target="https://doi.org/10.1016/j.carbpol.2019.115040" TargetMode="External"/><Relationship Id="rId73" Type="http://schemas.openxmlformats.org/officeDocument/2006/relationships/hyperlink" Target="https://doi.org/10.21608/jsws.2020.178512" TargetMode="External"/><Relationship Id="rId78" Type="http://schemas.openxmlformats.org/officeDocument/2006/relationships/hyperlink" Target="https://doi.org/10.1371/journal.pone.0148788" TargetMode="External"/><Relationship Id="rId81" Type="http://schemas.openxmlformats.org/officeDocument/2006/relationships/hyperlink" Target="https://doi.org/10.1093/aobpla/plac030" TargetMode="External"/><Relationship Id="rId86" Type="http://schemas.openxmlformats.org/officeDocument/2006/relationships/hyperlink" Target="https://doi.org/10.1007/s42729-025-02542-5" TargetMode="External"/><Relationship Id="rId94" Type="http://schemas.openxmlformats.org/officeDocument/2006/relationships/hyperlink" Target="https://doi.org/10.3390/app13095556"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4.png"/><Relationship Id="rId18" Type="http://schemas.openxmlformats.org/officeDocument/2006/relationships/hyperlink" Target="https://www.ajol.info/index.php/jrsul/article/view/222129" TargetMode="External"/><Relationship Id="rId39" Type="http://schemas.openxmlformats.org/officeDocument/2006/relationships/hyperlink" Target="https://doi.org/10.1002/app.53655" TargetMode="External"/><Relationship Id="rId34" Type="http://schemas.openxmlformats.org/officeDocument/2006/relationships/hyperlink" Target="https://doi.org/10.1590/S0102-053620190210" TargetMode="External"/><Relationship Id="rId50" Type="http://schemas.openxmlformats.org/officeDocument/2006/relationships/hyperlink" Target="https://doi.org/10.1007/s10924-023-02859-1" TargetMode="External"/><Relationship Id="rId55" Type="http://schemas.openxmlformats.org/officeDocument/2006/relationships/hyperlink" Target="https://www.jstor.org/stable/27138018" TargetMode="External"/><Relationship Id="rId76" Type="http://schemas.openxmlformats.org/officeDocument/2006/relationships/hyperlink" Target="https://doi.org/10.7717/peerj.15105" TargetMode="External"/><Relationship Id="rId97" Type="http://schemas.openxmlformats.org/officeDocument/2006/relationships/hyperlink" Target="https://doi.org/10.1016/j.scienta.2024.11334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390/polym15010161" TargetMode="External"/><Relationship Id="rId92" Type="http://schemas.openxmlformats.org/officeDocument/2006/relationships/hyperlink" Target="https://doi.org/10.1002/jsfa.4252" TargetMode="External"/><Relationship Id="rId2" Type="http://schemas.openxmlformats.org/officeDocument/2006/relationships/numbering" Target="numbering.xml"/><Relationship Id="rId29" Type="http://schemas.openxmlformats.org/officeDocument/2006/relationships/hyperlink" Target="https://www.academia.edu/download/92270964/springjournals.netijarrarticlesindex_8gamaetal.pdf" TargetMode="External"/><Relationship Id="rId24" Type="http://schemas.openxmlformats.org/officeDocument/2006/relationships/hyperlink" Target="https://doi.org/10.30881/aaeoa.00011" TargetMode="External"/><Relationship Id="rId40" Type="http://schemas.openxmlformats.org/officeDocument/2006/relationships/hyperlink" Target="https://doi.org/10.47059/alinteri/V36I2/AJAS21113" TargetMode="External"/><Relationship Id="rId45" Type="http://schemas.openxmlformats.org/officeDocument/2006/relationships/hyperlink" Target="https://doi.org/10.3390/agronomy15030652" TargetMode="External"/><Relationship Id="rId66" Type="http://schemas.openxmlformats.org/officeDocument/2006/relationships/hyperlink" Target="https://doi.org/10.2478/prolas-2022-0083" TargetMode="External"/><Relationship Id="rId87" Type="http://schemas.openxmlformats.org/officeDocument/2006/relationships/hyperlink" Target="https://doi.org/10.1590/1983-21252019v32n407rc" TargetMode="External"/><Relationship Id="rId61" Type="http://schemas.openxmlformats.org/officeDocument/2006/relationships/hyperlink" Target="https://doi.org/10.1002/9781119054450.ch8" TargetMode="External"/><Relationship Id="rId82" Type="http://schemas.openxmlformats.org/officeDocument/2006/relationships/hyperlink" Target="https://doi.org/10.5937/ratpov61-46641" TargetMode="External"/><Relationship Id="rId19" Type="http://schemas.openxmlformats.org/officeDocument/2006/relationships/hyperlink" Target="https://doi.org/10.1007/978-3-662-53389-5_2" TargetMode="External"/><Relationship Id="rId14" Type="http://schemas.microsoft.com/office/2007/relationships/hdphoto" Target="media/hdphoto3.wdp"/><Relationship Id="rId30" Type="http://schemas.openxmlformats.org/officeDocument/2006/relationships/hyperlink" Target="https://doi.org/10.1093/jxb/erl165" TargetMode="External"/><Relationship Id="rId35" Type="http://schemas.openxmlformats.org/officeDocument/2006/relationships/hyperlink" Target="https://doi.org/10.1155/2022/4914836" TargetMode="External"/><Relationship Id="rId56" Type="http://schemas.openxmlformats.org/officeDocument/2006/relationships/hyperlink" Target="https://doi.org/10.1016/S1164-5563(00)01059-1" TargetMode="External"/><Relationship Id="rId77" Type="http://schemas.openxmlformats.org/officeDocument/2006/relationships/hyperlink" Target="https://doi.org/10.1007/s11104-004-1160-0"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5244/pjoes/59258" TargetMode="External"/><Relationship Id="rId72" Type="http://schemas.openxmlformats.org/officeDocument/2006/relationships/hyperlink" Target="https://doi.org/10.1098/rsos.171184" TargetMode="External"/><Relationship Id="rId93" Type="http://schemas.openxmlformats.org/officeDocument/2006/relationships/hyperlink" Target="https://doi.org/10.1016/j.carbpol.2023.120544" TargetMode="External"/><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ine.gob.bo/index.php/estadisticas-economicas/agropecuaria/agricultura-cuadros-estadisticos/" TargetMode="External"/><Relationship Id="rId46" Type="http://schemas.openxmlformats.org/officeDocument/2006/relationships/hyperlink" Target="https://doi.org/10.1007/s10668-021-01738-w" TargetMode="External"/><Relationship Id="rId67" Type="http://schemas.openxmlformats.org/officeDocument/2006/relationships/hyperlink" Target="https://doi.org/10.1590/1807-1929/agriambi.v26n11p807-8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EE2E6-8502-4C7D-B42F-CC8B6DB3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21</Pages>
  <Words>10570</Words>
  <Characters>57083</Characters>
  <Application>Microsoft Office Word</Application>
  <DocSecurity>0</DocSecurity>
  <Lines>475</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67518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Ernane M. Lemes</cp:lastModifiedBy>
  <cp:revision>33</cp:revision>
  <cp:lastPrinted>1999-07-06T11:00:00Z</cp:lastPrinted>
  <dcterms:created xsi:type="dcterms:W3CDTF">2014-10-25T14:34:00Z</dcterms:created>
  <dcterms:modified xsi:type="dcterms:W3CDTF">2025-10-14T14:39:00Z</dcterms:modified>
</cp:coreProperties>
</file>