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64702" w14:textId="70276884" w:rsidR="001A4E89" w:rsidRPr="004C7489" w:rsidRDefault="008C1FD5" w:rsidP="001A4E89">
      <w:pPr>
        <w:spacing w:after="0" w:line="240" w:lineRule="auto"/>
        <w:jc w:val="center"/>
        <w:rPr>
          <w:rFonts w:ascii="Times New Roman" w:hAnsi="Times New Roman" w:cs="Times New Roman"/>
          <w:b/>
          <w:bCs/>
          <w:iCs/>
          <w:lang w:val="en-US"/>
        </w:rPr>
      </w:pPr>
      <w:r w:rsidRPr="008C1FD5">
        <w:rPr>
          <w:rFonts w:ascii="Times New Roman" w:hAnsi="Times New Roman" w:cs="Times New Roman"/>
          <w:b/>
          <w:bCs/>
          <w:iCs/>
          <w:highlight w:val="yellow"/>
          <w:lang w:val="en-US"/>
        </w:rPr>
        <w:t>Comparative Theoretical Study of the Pharmacophores of Several A</w:t>
      </w:r>
      <w:r w:rsidR="004C7489" w:rsidRPr="008C1FD5">
        <w:rPr>
          <w:rFonts w:ascii="Times New Roman" w:hAnsi="Times New Roman" w:cs="Times New Roman"/>
          <w:b/>
          <w:bCs/>
          <w:iCs/>
          <w:highlight w:val="yellow"/>
          <w:lang w:val="en-US"/>
        </w:rPr>
        <w:t xml:space="preserve">ntimalarial </w:t>
      </w:r>
      <w:r w:rsidRPr="008C1FD5">
        <w:rPr>
          <w:rFonts w:ascii="Times New Roman" w:hAnsi="Times New Roman" w:cs="Times New Roman"/>
          <w:b/>
          <w:bCs/>
          <w:iCs/>
          <w:highlight w:val="yellow"/>
          <w:lang w:val="en-US"/>
        </w:rPr>
        <w:t>drugs Approved for sale on the P</w:t>
      </w:r>
      <w:r w:rsidR="004C7489" w:rsidRPr="008C1FD5">
        <w:rPr>
          <w:rFonts w:ascii="Times New Roman" w:hAnsi="Times New Roman" w:cs="Times New Roman"/>
          <w:b/>
          <w:bCs/>
          <w:iCs/>
          <w:highlight w:val="yellow"/>
          <w:lang w:val="en-US"/>
        </w:rPr>
        <w:t>harmaceutical market in Côte d'Ivoire</w:t>
      </w:r>
    </w:p>
    <w:p w14:paraId="17D85865" w14:textId="630A276C" w:rsidR="00E632CA" w:rsidRPr="008C1FD5" w:rsidRDefault="00E632CA" w:rsidP="0062690A">
      <w:pPr>
        <w:spacing w:line="276" w:lineRule="auto"/>
        <w:jc w:val="center"/>
        <w:rPr>
          <w:rFonts w:ascii="Times New Roman" w:hAnsi="Times New Roman"/>
          <w:sz w:val="24"/>
          <w:szCs w:val="24"/>
          <w:lang w:val="en-US"/>
        </w:rPr>
      </w:pPr>
    </w:p>
    <w:p w14:paraId="179740E4" w14:textId="77777777" w:rsidR="00741BA9" w:rsidRPr="008C1FD5" w:rsidRDefault="00741BA9" w:rsidP="0062690A">
      <w:pPr>
        <w:spacing w:line="276" w:lineRule="auto"/>
        <w:jc w:val="center"/>
        <w:rPr>
          <w:rFonts w:ascii="Times New Roman" w:hAnsi="Times New Roman"/>
          <w:sz w:val="24"/>
          <w:szCs w:val="24"/>
          <w:lang w:val="en-US"/>
        </w:rPr>
      </w:pPr>
    </w:p>
    <w:p w14:paraId="318F44DC" w14:textId="77777777" w:rsidR="00E632CA" w:rsidRPr="008C1FD5" w:rsidRDefault="00E632CA" w:rsidP="0062690A">
      <w:pPr>
        <w:spacing w:line="276" w:lineRule="auto"/>
        <w:jc w:val="center"/>
        <w:rPr>
          <w:rFonts w:ascii="Times New Roman" w:hAnsi="Times New Roman"/>
          <w:sz w:val="24"/>
          <w:szCs w:val="24"/>
          <w:lang w:val="en-US"/>
        </w:rPr>
      </w:pPr>
    </w:p>
    <w:p w14:paraId="603A9BC5" w14:textId="2E2BAA93" w:rsidR="0062690A" w:rsidRPr="008C1FD5" w:rsidRDefault="00942C3E" w:rsidP="00A25C8A">
      <w:pPr>
        <w:spacing w:after="0" w:line="276" w:lineRule="auto"/>
        <w:rPr>
          <w:rFonts w:ascii="Times New Roman" w:hAnsi="Times New Roman" w:cs="Times New Roman"/>
          <w:b/>
          <w:bCs/>
          <w:lang w:val="en-US"/>
        </w:rPr>
      </w:pPr>
      <w:r w:rsidRPr="008C1FD5">
        <w:rPr>
          <w:rFonts w:ascii="Times New Roman" w:hAnsi="Times New Roman" w:cs="Times New Roman"/>
          <w:b/>
          <w:bCs/>
          <w:lang w:val="en-US"/>
        </w:rPr>
        <w:t xml:space="preserve">Abstract </w:t>
      </w:r>
    </w:p>
    <w:p w14:paraId="391C310B" w14:textId="1B3A25A3" w:rsidR="004C7489" w:rsidRPr="004C7489" w:rsidRDefault="004C7489" w:rsidP="004C7489">
      <w:pPr>
        <w:spacing w:after="0" w:line="240" w:lineRule="auto"/>
        <w:jc w:val="both"/>
        <w:rPr>
          <w:rFonts w:ascii="Times New Roman" w:hAnsi="Times New Roman" w:cs="Times New Roman"/>
          <w:sz w:val="20"/>
          <w:lang w:val="en-US"/>
        </w:rPr>
      </w:pPr>
      <w:r w:rsidRPr="004C7489">
        <w:rPr>
          <w:rFonts w:ascii="Times New Roman" w:hAnsi="Times New Roman" w:cs="Times New Roman"/>
          <w:sz w:val="20"/>
          <w:lang w:val="en-US"/>
        </w:rPr>
        <w:t>Malaria remains a public health problem requiring pharmacological innovation in antimalarial drugs. Therefore, their study is of great interest in providing a rapid and less costly route to the development of new, more effective antimalarial drugs. The molecular dipole moment and stability parameters were calculated using DFT/B3LYP/6-31+G (d, p) theory to assess the solubility and chemical stability of nine antimalarial pharmacophores. Lipinski's parameters and the Topological Polar Surface Area (TPSA) were also calculated to evaluate their therapeutic quality. The results obtained reveal that all these pharmacophores are of interesting therapeutic quality. The fat-soluble ones (P-4A1, P-Al2, P-Al3, P-Ar4, P-Hy9) are for prevention, while the ones that are soluble in blood plasma (P-Bi5, P-8A6, P-Fa7, P-Fo8) are for treatment. The higher TPSA value of P-Bi5 (97.78 Ǻ</w:t>
      </w:r>
      <w:r w:rsidRPr="004C7489">
        <w:rPr>
          <w:rFonts w:ascii="Times New Roman" w:hAnsi="Times New Roman" w:cs="Times New Roman"/>
          <w:sz w:val="20"/>
          <w:vertAlign w:val="superscript"/>
          <w:lang w:val="en-US"/>
        </w:rPr>
        <w:t>2</w:t>
      </w:r>
      <w:r w:rsidRPr="004C7489">
        <w:rPr>
          <w:rFonts w:ascii="Times New Roman" w:hAnsi="Times New Roman" w:cs="Times New Roman"/>
          <w:sz w:val="20"/>
          <w:lang w:val="en-US"/>
        </w:rPr>
        <w:t xml:space="preserve">) predicts that it will remain in the environment for a long time. P-Bi5 (Proguanil, </w:t>
      </w:r>
      <w:proofErr w:type="spellStart"/>
      <w:r w:rsidRPr="004C7489">
        <w:rPr>
          <w:rFonts w:ascii="Times New Roman" w:hAnsi="Times New Roman" w:cs="Times New Roman"/>
          <w:sz w:val="20"/>
          <w:lang w:val="en-US"/>
        </w:rPr>
        <w:t>Chloroproguanil</w:t>
      </w:r>
      <w:proofErr w:type="spellEnd"/>
      <w:r w:rsidRPr="004C7489">
        <w:rPr>
          <w:rFonts w:ascii="Times New Roman" w:hAnsi="Times New Roman" w:cs="Times New Roman"/>
          <w:sz w:val="20"/>
          <w:lang w:val="en-US"/>
        </w:rPr>
        <w:t>) is identified as more promising for curative treatments and P-Hy9 (</w:t>
      </w:r>
      <w:proofErr w:type="spellStart"/>
      <w:r w:rsidRPr="004C7489">
        <w:rPr>
          <w:rFonts w:ascii="Times New Roman" w:hAnsi="Times New Roman" w:cs="Times New Roman"/>
          <w:sz w:val="20"/>
          <w:lang w:val="en-US"/>
        </w:rPr>
        <w:t>Atovoquone</w:t>
      </w:r>
      <w:proofErr w:type="spellEnd"/>
      <w:r w:rsidRPr="004C7489">
        <w:rPr>
          <w:rFonts w:ascii="Times New Roman" w:hAnsi="Times New Roman" w:cs="Times New Roman"/>
          <w:sz w:val="20"/>
          <w:lang w:val="en-US"/>
        </w:rPr>
        <w:t xml:space="preserve">) for preventive treatments. These results are of great scientific importance in the context of combining antimalarial drugs in the fight against malaria by exploring a possible combination of Proguanil and </w:t>
      </w:r>
      <w:proofErr w:type="spellStart"/>
      <w:r w:rsidRPr="004C7489">
        <w:rPr>
          <w:rFonts w:ascii="Times New Roman" w:hAnsi="Times New Roman" w:cs="Times New Roman"/>
          <w:sz w:val="20"/>
          <w:lang w:val="en-US"/>
        </w:rPr>
        <w:t>Atovoquone</w:t>
      </w:r>
      <w:proofErr w:type="spellEnd"/>
      <w:r w:rsidRPr="004C7489">
        <w:rPr>
          <w:rFonts w:ascii="Times New Roman" w:hAnsi="Times New Roman" w:cs="Times New Roman"/>
          <w:sz w:val="20"/>
          <w:lang w:val="en-US"/>
        </w:rPr>
        <w:t xml:space="preserve"> to circumvent the side effects of </w:t>
      </w:r>
      <w:proofErr w:type="spellStart"/>
      <w:r w:rsidRPr="004C7489">
        <w:rPr>
          <w:rFonts w:ascii="Times New Roman" w:hAnsi="Times New Roman" w:cs="Times New Roman"/>
          <w:sz w:val="20"/>
          <w:lang w:val="en-US"/>
        </w:rPr>
        <w:t>Chloroproguanil</w:t>
      </w:r>
      <w:proofErr w:type="spellEnd"/>
      <w:r w:rsidRPr="004C7489">
        <w:rPr>
          <w:rFonts w:ascii="Times New Roman" w:hAnsi="Times New Roman" w:cs="Times New Roman"/>
          <w:sz w:val="20"/>
          <w:lang w:val="en-US"/>
        </w:rPr>
        <w:t>.</w:t>
      </w:r>
    </w:p>
    <w:p w14:paraId="09923D67" w14:textId="77777777" w:rsidR="004C7489" w:rsidRPr="004C7489" w:rsidRDefault="004C7489" w:rsidP="004C7489">
      <w:pPr>
        <w:spacing w:after="0" w:line="240" w:lineRule="auto"/>
        <w:jc w:val="both"/>
        <w:rPr>
          <w:rFonts w:ascii="Times New Roman" w:hAnsi="Times New Roman" w:cs="Times New Roman"/>
          <w:sz w:val="20"/>
          <w:lang w:val="en-US"/>
        </w:rPr>
      </w:pPr>
    </w:p>
    <w:p w14:paraId="3D43E3FA" w14:textId="75906369" w:rsidR="0062690A" w:rsidRDefault="004C7489" w:rsidP="004D117C">
      <w:pPr>
        <w:spacing w:after="0" w:line="276" w:lineRule="auto"/>
        <w:rPr>
          <w:rFonts w:ascii="Times New Roman" w:hAnsi="Times New Roman" w:cs="Times New Roman"/>
          <w:sz w:val="20"/>
        </w:rPr>
      </w:pPr>
      <w:r w:rsidRPr="004C7489">
        <w:rPr>
          <w:rFonts w:ascii="Times New Roman" w:hAnsi="Times New Roman"/>
          <w:b/>
          <w:iCs/>
        </w:rPr>
        <w:t xml:space="preserve">Keywords : </w:t>
      </w:r>
      <w:proofErr w:type="spellStart"/>
      <w:r w:rsidRPr="004C7489">
        <w:rPr>
          <w:rFonts w:ascii="Times New Roman" w:hAnsi="Times New Roman"/>
          <w:iCs/>
        </w:rPr>
        <w:t>Antimalarial</w:t>
      </w:r>
      <w:proofErr w:type="spellEnd"/>
      <w:r w:rsidRPr="004C7489">
        <w:rPr>
          <w:rFonts w:ascii="Times New Roman" w:hAnsi="Times New Roman"/>
          <w:iCs/>
        </w:rPr>
        <w:t xml:space="preserve"> pharmacophores, </w:t>
      </w:r>
      <w:proofErr w:type="spellStart"/>
      <w:r w:rsidRPr="004C7489">
        <w:rPr>
          <w:rFonts w:ascii="Times New Roman" w:hAnsi="Times New Roman"/>
          <w:iCs/>
        </w:rPr>
        <w:t>Antimalarial</w:t>
      </w:r>
      <w:proofErr w:type="spellEnd"/>
      <w:r w:rsidRPr="004C7489">
        <w:rPr>
          <w:rFonts w:ascii="Times New Roman" w:hAnsi="Times New Roman"/>
          <w:iCs/>
        </w:rPr>
        <w:t xml:space="preserve"> combinations, Chemical </w:t>
      </w:r>
      <w:proofErr w:type="spellStart"/>
      <w:r w:rsidRPr="004C7489">
        <w:rPr>
          <w:rFonts w:ascii="Times New Roman" w:hAnsi="Times New Roman"/>
          <w:iCs/>
        </w:rPr>
        <w:t>stability</w:t>
      </w:r>
      <w:proofErr w:type="spellEnd"/>
      <w:r w:rsidRPr="004C7489">
        <w:rPr>
          <w:rFonts w:ascii="Times New Roman" w:hAnsi="Times New Roman"/>
          <w:iCs/>
        </w:rPr>
        <w:t xml:space="preserve">, </w:t>
      </w:r>
      <w:proofErr w:type="spellStart"/>
      <w:r w:rsidRPr="004C7489">
        <w:rPr>
          <w:rFonts w:ascii="Times New Roman" w:hAnsi="Times New Roman"/>
          <w:iCs/>
        </w:rPr>
        <w:t>Therapeutic</w:t>
      </w:r>
      <w:proofErr w:type="spellEnd"/>
      <w:r w:rsidRPr="004C7489">
        <w:rPr>
          <w:rFonts w:ascii="Times New Roman" w:hAnsi="Times New Roman"/>
          <w:iCs/>
        </w:rPr>
        <w:t xml:space="preserve"> </w:t>
      </w:r>
      <w:proofErr w:type="spellStart"/>
      <w:r w:rsidRPr="004C7489">
        <w:rPr>
          <w:rFonts w:ascii="Times New Roman" w:hAnsi="Times New Roman"/>
          <w:iCs/>
        </w:rPr>
        <w:t>quality</w:t>
      </w:r>
      <w:proofErr w:type="spellEnd"/>
      <w:r w:rsidR="0062690A" w:rsidRPr="00337CD7">
        <w:rPr>
          <w:rFonts w:ascii="Times New Roman" w:hAnsi="Times New Roman"/>
          <w:b/>
          <w:iCs/>
          <w:sz w:val="20"/>
        </w:rPr>
        <w:t>.</w:t>
      </w:r>
      <w:r w:rsidR="0062690A" w:rsidRPr="00337CD7">
        <w:rPr>
          <w:rFonts w:ascii="Times New Roman" w:hAnsi="Times New Roman" w:cs="Times New Roman"/>
          <w:sz w:val="20"/>
        </w:rPr>
        <w:t xml:space="preserve"> </w:t>
      </w:r>
    </w:p>
    <w:p w14:paraId="3F42A6B0" w14:textId="77777777" w:rsidR="009E0621" w:rsidRPr="00337CD7" w:rsidRDefault="009E0621" w:rsidP="004D117C">
      <w:pPr>
        <w:spacing w:after="0" w:line="276" w:lineRule="auto"/>
        <w:rPr>
          <w:rFonts w:ascii="Times New Roman" w:hAnsi="Times New Roman" w:cs="Times New Roman"/>
          <w:sz w:val="20"/>
        </w:rPr>
      </w:pPr>
    </w:p>
    <w:p w14:paraId="5164D8B8" w14:textId="77777777" w:rsidR="00C02A15" w:rsidRPr="00337CD7" w:rsidRDefault="009D51D3" w:rsidP="004D117C">
      <w:pPr>
        <w:pStyle w:val="ListParagraph"/>
        <w:numPr>
          <w:ilvl w:val="0"/>
          <w:numId w:val="3"/>
        </w:numPr>
        <w:spacing w:after="0" w:line="240" w:lineRule="auto"/>
        <w:ind w:left="360"/>
        <w:jc w:val="both"/>
        <w:rPr>
          <w:rFonts w:ascii="Times New Roman" w:hAnsi="Times New Roman" w:cs="Times New Roman"/>
          <w:b/>
          <w:bCs/>
        </w:rPr>
      </w:pPr>
      <w:r w:rsidRPr="00337CD7">
        <w:rPr>
          <w:rFonts w:ascii="Times New Roman" w:hAnsi="Times New Roman" w:cs="Times New Roman"/>
          <w:b/>
          <w:bCs/>
        </w:rPr>
        <w:t>Introduction</w:t>
      </w:r>
    </w:p>
    <w:p w14:paraId="0903F0FA" w14:textId="77777777" w:rsidR="008C1FD5" w:rsidRDefault="004C7489" w:rsidP="00154192">
      <w:pPr>
        <w:spacing w:after="0" w:line="240" w:lineRule="auto"/>
        <w:jc w:val="both"/>
        <w:rPr>
          <w:rFonts w:ascii="Times New Roman" w:hAnsi="Times New Roman" w:cs="Times New Roman"/>
          <w:lang w:val="en-US"/>
        </w:rPr>
      </w:pPr>
      <w:r w:rsidRPr="004C7489">
        <w:rPr>
          <w:rFonts w:ascii="Times New Roman" w:hAnsi="Times New Roman" w:cs="Times New Roman"/>
          <w:bCs/>
          <w:iCs/>
          <w:lang w:val="en-US"/>
        </w:rPr>
        <w:t>Despite the focus of all countries around the world on the COVID-19 pandemic, malaria remains a public health problem, particularly in Côte d'Ivoire. Studies conducted on this scourge have shown its health and socio-economic consequences [1]. Aware of these proven impacts, governments are devoting more resources to completely eradicating this scourge through various projects [2]. These projects include preventive and curative approaches [3]. The latter approach has led to the synthesis of several antimalarial drugs marketed in Côte d'Ivoire and around the world [4]. Unfortunately, malaria pathogens are becoming increasingly resistant to these drugs, rendering them ineffective in combating the disease [4]. In response to the resistance of these agents, particularly the pathogen (P. falciparum) and its variants to antimalarial molecules, the World Health Organization (WHO) recommends combinations of antimalarial drugs [5]. These combinations are based on the combination of antimalarial therapeutic qualities to effectively combat malaria [5]. S</w:t>
      </w:r>
      <w:bookmarkStart w:id="0" w:name="_GoBack"/>
      <w:bookmarkEnd w:id="0"/>
      <w:r w:rsidRPr="004C7489">
        <w:rPr>
          <w:rFonts w:ascii="Times New Roman" w:hAnsi="Times New Roman" w:cs="Times New Roman"/>
          <w:bCs/>
          <w:iCs/>
          <w:lang w:val="en-US"/>
        </w:rPr>
        <w:t>ome combinations are fixed. Others, however, are flexible, always combining an artemisinin derivative [5].</w:t>
      </w:r>
      <w:r w:rsidR="009D51D3" w:rsidRPr="004C7489">
        <w:rPr>
          <w:rFonts w:ascii="Times New Roman" w:hAnsi="Times New Roman" w:cs="Times New Roman"/>
          <w:lang w:val="en-US"/>
        </w:rPr>
        <w:t xml:space="preserve"> </w:t>
      </w:r>
      <w:r w:rsidRPr="004C7489">
        <w:rPr>
          <w:rFonts w:ascii="Times New Roman" w:hAnsi="Times New Roman" w:cs="Times New Roman"/>
          <w:lang w:val="en-US"/>
        </w:rPr>
        <w:t xml:space="preserve">Despite the relative effectiveness of these combination therapies, malaria pathogens remain resistant to these drugs [6]. Therefore, research into new drugs is necessary to curb this scourge. However, drug research is subject to financial and time constraints [7]. This makes it difficult to acquire new, more promising drugs for effective malaria control [7]. In response to this situation, the scientific community has focused its research on faster and less costly ways to develop new, more effective drugs [8]. One of the most promising avenues is the study of pharmacophores [8]. </w:t>
      </w:r>
    </w:p>
    <w:p w14:paraId="24DAF5FE" w14:textId="253F509A" w:rsidR="00154192" w:rsidRPr="004C7489" w:rsidRDefault="004C7489" w:rsidP="00154192">
      <w:pPr>
        <w:spacing w:after="0" w:line="240" w:lineRule="auto"/>
        <w:jc w:val="both"/>
        <w:rPr>
          <w:rFonts w:ascii="Times New Roman" w:hAnsi="Times New Roman" w:cs="Times New Roman"/>
          <w:lang w:val="en-US"/>
        </w:rPr>
      </w:pPr>
      <w:r w:rsidRPr="008C1FD5">
        <w:rPr>
          <w:rFonts w:ascii="Times New Roman" w:hAnsi="Times New Roman" w:cs="Times New Roman"/>
          <w:highlight w:val="yellow"/>
          <w:lang w:val="en-US"/>
        </w:rPr>
        <w:t>A pharmacophore is an essential molecular fragment (presence of charges, hydrogen bond donors and acceptors, hydrophobic group) that ensures the biological activity of a molecule. Studies have shown that the biological activity of a drug is linked to its pharmacophore [9]. Each drug contains a set of important functional groups called pharmacophores [10]. Their presence is therefore essential for the molecule to be active. The efficacy of a drug is therefore linked to its pharmacophore [11]. Molecular modeling and/or screening based on pharmacophore similarities have proven to be essential methods in the discovery of new, more effective molecules [12]. In response to the quest for a cure for malaria, a theoretical comparative study of the pharmacophores of several commercial antimalarial molecules based on molecular modeling is spearheading a vast and very promising field of research. The overall objective of this work is to propose the most promising pharmacophores based on a theoretical comparative study.</w:t>
      </w:r>
      <w:r w:rsidR="004B1238" w:rsidRPr="008C1FD5">
        <w:rPr>
          <w:rFonts w:ascii="Times New Roman" w:hAnsi="Times New Roman" w:cs="Times New Roman"/>
          <w:highlight w:val="yellow"/>
          <w:lang w:val="en-US"/>
        </w:rPr>
        <w:t xml:space="preserve"> </w:t>
      </w:r>
      <w:r w:rsidRPr="008C1FD5">
        <w:rPr>
          <w:rFonts w:ascii="Times New Roman" w:hAnsi="Times New Roman" w:cs="Times New Roman"/>
          <w:highlight w:val="yellow"/>
          <w:lang w:val="en-US"/>
        </w:rPr>
        <w:t xml:space="preserve">Specifically, this involves </w:t>
      </w:r>
      <w:proofErr w:type="spellStart"/>
      <w:r w:rsidRPr="008C1FD5">
        <w:rPr>
          <w:rFonts w:ascii="Times New Roman" w:hAnsi="Times New Roman" w:cs="Times New Roman"/>
          <w:highlight w:val="yellow"/>
          <w:lang w:val="en-US"/>
        </w:rPr>
        <w:t>i</w:t>
      </w:r>
      <w:proofErr w:type="spellEnd"/>
      <w:r w:rsidRPr="008C1FD5">
        <w:rPr>
          <w:rFonts w:ascii="Times New Roman" w:hAnsi="Times New Roman" w:cs="Times New Roman"/>
          <w:highlight w:val="yellow"/>
          <w:lang w:val="en-US"/>
        </w:rPr>
        <w:t xml:space="preserve">) assessing the chemical stability and solubility of the pharmacophores under study, ii) determining the therapeutic quality of these pharmacophores, iii) </w:t>
      </w:r>
      <w:r w:rsidRPr="008C1FD5">
        <w:rPr>
          <w:rFonts w:ascii="Times New Roman" w:hAnsi="Times New Roman" w:cs="Times New Roman"/>
          <w:highlight w:val="yellow"/>
          <w:lang w:val="en-US"/>
        </w:rPr>
        <w:lastRenderedPageBreak/>
        <w:t>identifying the typology and classification of the targeted pharmacophores, and iv) identifying promising pharmacophores.</w:t>
      </w:r>
    </w:p>
    <w:p w14:paraId="7F1BE15E" w14:textId="77777777" w:rsidR="004B1238" w:rsidRPr="004C7489" w:rsidRDefault="004B1238" w:rsidP="004B1238">
      <w:pPr>
        <w:spacing w:after="0" w:line="240" w:lineRule="auto"/>
        <w:jc w:val="both"/>
        <w:rPr>
          <w:rFonts w:ascii="Times New Roman" w:hAnsi="Times New Roman" w:cs="Times New Roman"/>
          <w:lang w:val="en-US"/>
        </w:rPr>
      </w:pPr>
    </w:p>
    <w:p w14:paraId="6BA1DA04" w14:textId="42D93756" w:rsidR="004B1238" w:rsidRPr="00337CD7" w:rsidRDefault="004C7489" w:rsidP="004C7489">
      <w:pPr>
        <w:pStyle w:val="ListParagraph"/>
        <w:numPr>
          <w:ilvl w:val="0"/>
          <w:numId w:val="3"/>
        </w:numPr>
        <w:spacing w:before="120" w:after="0" w:line="240" w:lineRule="auto"/>
        <w:jc w:val="both"/>
        <w:rPr>
          <w:rFonts w:ascii="Times New Roman" w:hAnsi="Times New Roman" w:cs="Times New Roman"/>
          <w:b/>
          <w:bCs/>
        </w:rPr>
      </w:pPr>
      <w:r w:rsidRPr="004C7489">
        <w:rPr>
          <w:rFonts w:ascii="Times New Roman" w:hAnsi="Times New Roman" w:cs="Times New Roman"/>
          <w:b/>
          <w:bCs/>
        </w:rPr>
        <w:t xml:space="preserve">Materials and </w:t>
      </w:r>
      <w:proofErr w:type="spellStart"/>
      <w:r w:rsidRPr="004C7489">
        <w:rPr>
          <w:rFonts w:ascii="Times New Roman" w:hAnsi="Times New Roman" w:cs="Times New Roman"/>
          <w:b/>
          <w:bCs/>
        </w:rPr>
        <w:t>methods</w:t>
      </w:r>
      <w:proofErr w:type="spellEnd"/>
      <w:r w:rsidR="004B1238" w:rsidRPr="004C7489">
        <w:rPr>
          <w:rFonts w:ascii="Times New Roman" w:hAnsi="Times New Roman" w:cs="Times New Roman"/>
          <w:b/>
          <w:bCs/>
        </w:rPr>
        <w:t xml:space="preserve"> </w:t>
      </w:r>
    </w:p>
    <w:p w14:paraId="3B35C9DC" w14:textId="5E2B65C1" w:rsidR="00C02A15" w:rsidRPr="004C7489" w:rsidRDefault="004C7489">
      <w:pPr>
        <w:pStyle w:val="ListParagraph"/>
        <w:spacing w:after="0" w:line="240" w:lineRule="auto"/>
        <w:ind w:left="0"/>
        <w:jc w:val="both"/>
        <w:rPr>
          <w:rFonts w:ascii="Times New Roman" w:hAnsi="Times New Roman" w:cs="Times New Roman"/>
          <w:lang w:val="en-US"/>
        </w:rPr>
      </w:pPr>
      <w:r w:rsidRPr="004C7489">
        <w:rPr>
          <w:rFonts w:ascii="Times New Roman" w:hAnsi="Times New Roman" w:cs="Times New Roman"/>
          <w:lang w:val="en-US"/>
        </w:rPr>
        <w:t>In this study, seventeen antimalarial molecules were selected from eight classes of treatments available on the Ivorian pharmaceutical market. The different molecular chemical structures were identified and the repetitive fragment in each class was highlighted. These repetitive fragments constitute the pharmacophores [13,14] of these molecules. The structures of the antimalarial molecules and those of the nine (09) pharmacophore fragments are listed in Table I. For each class of treatment, a code is assigned to the pharmacophore.</w:t>
      </w:r>
      <w:r w:rsidR="00844345" w:rsidRPr="004C7489">
        <w:rPr>
          <w:rFonts w:ascii="Times New Roman" w:hAnsi="Times New Roman" w:cs="Times New Roman"/>
          <w:lang w:val="en-US"/>
        </w:rPr>
        <w:t xml:space="preserve"> </w:t>
      </w:r>
    </w:p>
    <w:p w14:paraId="198DC0E2" w14:textId="0CBE050E" w:rsidR="00C02A15" w:rsidRPr="00AF7C90" w:rsidRDefault="00C02A15" w:rsidP="00A25C8A">
      <w:pPr>
        <w:pStyle w:val="Caption"/>
        <w:spacing w:before="120" w:after="120"/>
        <w:rPr>
          <w:rFonts w:ascii="Times New Roman" w:hAnsi="Times New Roman" w:cs="Times New Roman"/>
          <w:color w:val="auto"/>
          <w:sz w:val="22"/>
          <w:szCs w:val="22"/>
          <w:lang w:val="en-US"/>
        </w:rPr>
      </w:pPr>
    </w:p>
    <w:p w14:paraId="03D49A98" w14:textId="2824F6C7" w:rsidR="00EA445C" w:rsidRPr="00AF7C90" w:rsidRDefault="00EA445C" w:rsidP="00EA445C">
      <w:pPr>
        <w:rPr>
          <w:lang w:val="en-US"/>
        </w:rPr>
      </w:pPr>
    </w:p>
    <w:p w14:paraId="2D1C0B08" w14:textId="77777777" w:rsidR="00EA445C" w:rsidRPr="00AF7C90" w:rsidRDefault="00EA445C" w:rsidP="00EA445C">
      <w:pPr>
        <w:rPr>
          <w:lang w:val="en-US"/>
        </w:rPr>
        <w:sectPr w:rsidR="00EA445C" w:rsidRPr="00AF7C90" w:rsidSect="007B5D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pPr>
    </w:p>
    <w:p w14:paraId="66991735" w14:textId="77777777" w:rsidR="00EA445C" w:rsidRPr="00AF7C90" w:rsidRDefault="00EA445C" w:rsidP="00EA445C">
      <w:pPr>
        <w:rPr>
          <w:lang w:val="en-US"/>
        </w:rPr>
      </w:pPr>
    </w:p>
    <w:p w14:paraId="1A1C4CC2" w14:textId="7D5D6ED1" w:rsidR="00EA445C" w:rsidRPr="00AF7C90" w:rsidRDefault="00AF7C90" w:rsidP="00EA445C">
      <w:pPr>
        <w:pStyle w:val="Caption"/>
        <w:rPr>
          <w:rFonts w:ascii="Times New Roman" w:hAnsi="Times New Roman" w:cs="Times New Roman"/>
          <w:i w:val="0"/>
          <w:iCs w:val="0"/>
          <w:color w:val="auto"/>
          <w:sz w:val="36"/>
          <w:szCs w:val="26"/>
          <w:lang w:val="en-US"/>
        </w:rPr>
      </w:pPr>
      <w:bookmarkStart w:id="1" w:name="_Toc63583954"/>
      <w:r w:rsidRPr="00AF7C90">
        <w:rPr>
          <w:rFonts w:ascii="Times New Roman" w:hAnsi="Times New Roman" w:cs="Times New Roman"/>
          <w:b/>
          <w:i w:val="0"/>
          <w:color w:val="auto"/>
          <w:sz w:val="22"/>
          <w:szCs w:val="22"/>
          <w:lang w:val="en-US"/>
        </w:rPr>
        <w:t xml:space="preserve">Table </w:t>
      </w:r>
      <w:r w:rsidR="008C7A71">
        <w:rPr>
          <w:rFonts w:ascii="Times New Roman" w:hAnsi="Times New Roman" w:cs="Times New Roman"/>
          <w:b/>
          <w:i w:val="0"/>
          <w:color w:val="auto"/>
          <w:sz w:val="22"/>
          <w:szCs w:val="22"/>
          <w:lang w:val="en-US"/>
        </w:rPr>
        <w:t>1</w:t>
      </w:r>
      <w:r w:rsidRPr="00AF7C90">
        <w:rPr>
          <w:rFonts w:ascii="Times New Roman" w:hAnsi="Times New Roman" w:cs="Times New Roman"/>
          <w:i w:val="0"/>
          <w:color w:val="auto"/>
          <w:sz w:val="22"/>
          <w:szCs w:val="22"/>
          <w:lang w:val="en-US"/>
        </w:rPr>
        <w:t xml:space="preserve">: </w:t>
      </w:r>
      <w:bookmarkEnd w:id="1"/>
      <w:r w:rsidRPr="00AF7C90">
        <w:rPr>
          <w:rFonts w:ascii="Times New Roman" w:hAnsi="Times New Roman" w:cs="Times New Roman"/>
          <w:i w:val="0"/>
          <w:color w:val="auto"/>
          <w:sz w:val="22"/>
          <w:szCs w:val="22"/>
          <w:lang w:val="en-US"/>
        </w:rPr>
        <w:t>Chemical structures of antimalarial molecules and pharmacophores</w:t>
      </w:r>
      <w:r w:rsidR="00EA445C" w:rsidRPr="00AF7C90">
        <w:rPr>
          <w:rFonts w:ascii="Times New Roman" w:hAnsi="Times New Roman" w:cs="Times New Roman"/>
          <w:i w:val="0"/>
          <w:color w:val="auto"/>
          <w:sz w:val="24"/>
          <w:lang w:val="en-US"/>
        </w:rPr>
        <w:t xml:space="preserve"> </w:t>
      </w:r>
    </w:p>
    <w:tbl>
      <w:tblPr>
        <w:tblStyle w:val="TableGrid"/>
        <w:tblW w:w="14029" w:type="dxa"/>
        <w:jc w:val="center"/>
        <w:tblLook w:val="04A0" w:firstRow="1" w:lastRow="0" w:firstColumn="1" w:lastColumn="0" w:noHBand="0" w:noVBand="1"/>
      </w:tblPr>
      <w:tblGrid>
        <w:gridCol w:w="2094"/>
        <w:gridCol w:w="2132"/>
        <w:gridCol w:w="4966"/>
        <w:gridCol w:w="3836"/>
        <w:gridCol w:w="1001"/>
      </w:tblGrid>
      <w:tr w:rsidR="00EA445C" w14:paraId="17D1A74C" w14:textId="77777777" w:rsidTr="00EA445C">
        <w:trPr>
          <w:trHeight w:val="232"/>
          <w:jc w:val="center"/>
        </w:trPr>
        <w:tc>
          <w:tcPr>
            <w:tcW w:w="2094" w:type="dxa"/>
            <w:tcBorders>
              <w:top w:val="single" w:sz="4" w:space="0" w:color="auto"/>
              <w:left w:val="single" w:sz="4" w:space="0" w:color="auto"/>
              <w:bottom w:val="single" w:sz="4" w:space="0" w:color="auto"/>
              <w:right w:val="single" w:sz="4" w:space="0" w:color="auto"/>
            </w:tcBorders>
            <w:hideMark/>
          </w:tcPr>
          <w:p w14:paraId="4AB975A8" w14:textId="22158293" w:rsidR="00EA445C" w:rsidRDefault="00E54C5C" w:rsidP="00EA44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47E39D4D" w14:textId="5811F24D" w:rsidR="00EA445C" w:rsidRDefault="00AF7C90" w:rsidP="00EA44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021662B3" w14:textId="6D10FA6C" w:rsidR="00EA445C" w:rsidRPr="00AF7C90" w:rsidRDefault="00AF7C90" w:rsidP="00EA44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2FD52AB2" w14:textId="005D3C06" w:rsidR="00EA445C" w:rsidRDefault="00AF7C90" w:rsidP="00EA44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1FD3B4F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b/>
                <w:bCs/>
                <w:i/>
                <w:iCs/>
              </w:rPr>
              <w:t>Code</w:t>
            </w:r>
          </w:p>
        </w:tc>
      </w:tr>
      <w:tr w:rsidR="00EA445C" w14:paraId="4D96917A" w14:textId="77777777" w:rsidTr="00EA445C">
        <w:trPr>
          <w:trHeight w:val="1441"/>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610BB9FE"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4-Aminoquinoléines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9EB25A2"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t>Chloroquine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D0F81F4"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3210" w:dyaOrig="1490" w14:anchorId="1531D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pt;height:74.9pt" o:ole="">
                  <v:imagedata r:id="rId15" o:title=""/>
                </v:shape>
                <o:OLEObject Type="Embed" ProgID="ChemDraw.Document.6.0" ShapeID="_x0000_i1025" DrawAspect="Content" ObjectID="_1824640734" r:id="rId16"/>
              </w:object>
            </w:r>
          </w:p>
        </w:tc>
        <w:tc>
          <w:tcPr>
            <w:tcW w:w="3836" w:type="dxa"/>
            <w:vMerge w:val="restart"/>
            <w:tcBorders>
              <w:top w:val="single" w:sz="4" w:space="0" w:color="auto"/>
              <w:left w:val="single" w:sz="4" w:space="0" w:color="auto"/>
              <w:bottom w:val="single" w:sz="4" w:space="0" w:color="auto"/>
              <w:right w:val="single" w:sz="4" w:space="0" w:color="auto"/>
            </w:tcBorders>
            <w:vAlign w:val="center"/>
            <w:hideMark/>
          </w:tcPr>
          <w:p w14:paraId="06F9602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470" w:dyaOrig="1060" w14:anchorId="339DA218">
                <v:shape id="_x0000_i1026" type="#_x0000_t75" style="width:73.75pt;height:53.55pt" o:ole="">
                  <v:imagedata r:id="rId17" o:title=""/>
                </v:shape>
                <o:OLEObject Type="Embed" ProgID="ACD.ChemSketch.20" ShapeID="_x0000_i1026" DrawAspect="Content" ObjectID="_1824640735" r:id="rId18"/>
              </w:object>
            </w: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7E9C0CF" w14:textId="77777777" w:rsidR="00EA445C" w:rsidRDefault="00EA445C" w:rsidP="00EA445C">
            <w:pPr>
              <w:spacing w:line="360" w:lineRule="auto"/>
              <w:jc w:val="center"/>
              <w:rPr>
                <w:rFonts w:ascii="Times New Roman" w:hAnsi="Times New Roman" w:cs="Times New Roman"/>
                <w:b/>
                <w:i/>
              </w:rPr>
            </w:pPr>
            <w:r>
              <w:rPr>
                <w:rFonts w:ascii="Times New Roman" w:hAnsi="Times New Roman" w:cs="Times New Roman"/>
                <w:b/>
                <w:i/>
              </w:rPr>
              <w:t>P-4A1</w:t>
            </w:r>
          </w:p>
        </w:tc>
      </w:tr>
      <w:tr w:rsidR="00EA445C" w14:paraId="3346D444" w14:textId="77777777" w:rsidTr="00EA445C">
        <w:trPr>
          <w:trHeight w:val="1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7CBB7"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572EEF84" w14:textId="77777777" w:rsidR="00EA445C" w:rsidRDefault="00EA445C" w:rsidP="00EA445C">
            <w:pPr>
              <w:spacing w:line="276" w:lineRule="auto"/>
              <w:jc w:val="center"/>
              <w:rPr>
                <w:rFonts w:ascii="Times New Roman" w:hAnsi="Times New Roman" w:cs="Times New Roman"/>
              </w:rPr>
            </w:pPr>
            <w:proofErr w:type="spellStart"/>
            <w:r>
              <w:rPr>
                <w:rFonts w:ascii="Times New Roman" w:hAnsi="Times New Roman" w:cs="Times New Roman"/>
              </w:rPr>
              <w:t>Amodiaquine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3EA77218"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2740" w:dyaOrig="1470" w14:anchorId="416033C2">
                <v:shape id="_x0000_i1027" type="#_x0000_t75" style="width:137.65pt;height:73.75pt" o:ole="">
                  <v:imagedata r:id="rId19" o:title=""/>
                </v:shape>
                <o:OLEObject Type="Embed" ProgID="ChemDraw.Document.6.0" ShapeID="_x0000_i1027" DrawAspect="Content" ObjectID="_1824640736" r:id="rId20"/>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0E613"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73B32" w14:textId="77777777" w:rsidR="00EA445C" w:rsidRDefault="00EA445C" w:rsidP="00EA445C">
            <w:pPr>
              <w:spacing w:line="240" w:lineRule="auto"/>
              <w:rPr>
                <w:rFonts w:ascii="Times New Roman" w:hAnsi="Times New Roman" w:cs="Times New Roman"/>
                <w:b/>
                <w:i/>
              </w:rPr>
            </w:pPr>
          </w:p>
        </w:tc>
      </w:tr>
      <w:tr w:rsidR="00EA445C" w14:paraId="784B22AE"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A0C25"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16C0C04F"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t>Hydroxychloroquine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B9E5A82" w14:textId="77777777" w:rsidR="00EA445C" w:rsidRDefault="00EA445C" w:rsidP="00EA445C">
            <w:pPr>
              <w:spacing w:line="276" w:lineRule="auto"/>
              <w:jc w:val="center"/>
              <w:rPr>
                <w:rFonts w:ascii="Times New Roman" w:hAnsi="Times New Roman" w:cs="Times New Roman"/>
              </w:rPr>
            </w:pPr>
            <w:r>
              <w:rPr>
                <w:rFonts w:ascii="Times New Roman" w:hAnsi="Times New Roman" w:cs="Times New Roman"/>
              </w:rPr>
              <w:object w:dxaOrig="2900" w:dyaOrig="1640" w14:anchorId="22AE666E">
                <v:shape id="_x0000_i1028" type="#_x0000_t75" style="width:145.15pt;height:82.35pt" o:ole="">
                  <v:imagedata r:id="rId21" o:title=""/>
                </v:shape>
                <o:OLEObject Type="Embed" ProgID="ChemDraw.Document.6.0" ShapeID="_x0000_i1028" DrawAspect="Content" ObjectID="_1824640737" r:id="rId2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315D5"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92F5E" w14:textId="77777777" w:rsidR="00EA445C" w:rsidRDefault="00EA445C" w:rsidP="00EA445C">
            <w:pPr>
              <w:spacing w:line="240" w:lineRule="auto"/>
              <w:rPr>
                <w:rFonts w:ascii="Times New Roman" w:hAnsi="Times New Roman" w:cs="Times New Roman"/>
                <w:b/>
                <w:i/>
              </w:rPr>
            </w:pPr>
          </w:p>
        </w:tc>
      </w:tr>
    </w:tbl>
    <w:p w14:paraId="757E5EE0" w14:textId="77777777" w:rsidR="00EA445C" w:rsidRDefault="00EA445C" w:rsidP="00EA445C"/>
    <w:p w14:paraId="0C0AA659" w14:textId="67F8C5B1"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7FF33F1E" w14:textId="77777777" w:rsidTr="00EA445C">
        <w:trPr>
          <w:jc w:val="center"/>
        </w:trPr>
        <w:tc>
          <w:tcPr>
            <w:tcW w:w="2094" w:type="dxa"/>
            <w:tcBorders>
              <w:top w:val="single" w:sz="4" w:space="0" w:color="auto"/>
              <w:left w:val="single" w:sz="4" w:space="0" w:color="auto"/>
              <w:bottom w:val="single" w:sz="4" w:space="0" w:color="auto"/>
              <w:right w:val="single" w:sz="4" w:space="0" w:color="auto"/>
            </w:tcBorders>
            <w:hideMark/>
          </w:tcPr>
          <w:p w14:paraId="0F9C5843" w14:textId="0C56620C"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7BF2B117" w14:textId="2852F11E"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2880CCBF" w14:textId="34BB160D" w:rsidR="00E54C5C" w:rsidRPr="00E54C5C" w:rsidRDefault="00E54C5C" w:rsidP="00E54C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03B8BEF" w14:textId="12E11CFF"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377433C8" w14:textId="72E551A5" w:rsidR="00E54C5C" w:rsidRDefault="00E54C5C" w:rsidP="00E54C5C">
            <w:pPr>
              <w:spacing w:line="360" w:lineRule="auto"/>
              <w:jc w:val="center"/>
              <w:rPr>
                <w:rFonts w:ascii="Times New Roman" w:hAnsi="Times New Roman" w:cs="Times New Roman"/>
              </w:rPr>
            </w:pPr>
            <w:r>
              <w:rPr>
                <w:rFonts w:ascii="Times New Roman" w:hAnsi="Times New Roman" w:cs="Times New Roman"/>
                <w:b/>
                <w:bCs/>
                <w:i/>
                <w:iCs/>
              </w:rPr>
              <w:t>Code</w:t>
            </w:r>
          </w:p>
        </w:tc>
      </w:tr>
      <w:tr w:rsidR="00EA445C" w14:paraId="2E2DBCC5"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31C95C55"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lastRenderedPageBreak/>
              <w:t>Amino</w:t>
            </w:r>
            <w:proofErr w:type="spellEnd"/>
            <w:r>
              <w:rPr>
                <w:rFonts w:ascii="Times New Roman" w:hAnsi="Times New Roman" w:cs="Times New Roman"/>
              </w:rPr>
              <w:t>-alcool</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4E7FB3A"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Quinine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29DAB7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90" w:dyaOrig="1650" w14:anchorId="179C5258">
                <v:shape id="_x0000_i1029" type="#_x0000_t75" style="width:139.4pt;height:82.35pt" o:ole="">
                  <v:imagedata r:id="rId23" o:title=""/>
                </v:shape>
                <o:OLEObject Type="Embed" ProgID="ChemDraw.Document.6.0" ShapeID="_x0000_i1029" DrawAspect="Content" ObjectID="_1824640738" r:id="rId24"/>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15C72A47" w14:textId="77777777" w:rsidR="00EA445C" w:rsidRDefault="00EA445C" w:rsidP="00EA445C">
            <w:pPr>
              <w:spacing w:line="360" w:lineRule="auto"/>
              <w:jc w:val="center"/>
              <w:rPr>
                <w:rFonts w:ascii="Times New Roman" w:hAnsi="Times New Roman" w:cs="Times New Roman"/>
              </w:rPr>
            </w:pPr>
          </w:p>
          <w:p w14:paraId="14ADB4EC"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280" w:dyaOrig="1280" w14:anchorId="630FBF47">
                <v:shape id="_x0000_i1030" type="#_x0000_t75" style="width:63.35pt;height:63.35pt" o:ole="">
                  <v:imagedata r:id="rId25" o:title=""/>
                </v:shape>
                <o:OLEObject Type="Embed" ProgID="ChemDraw.Document.6.0" ShapeID="_x0000_i1030" DrawAspect="Content" ObjectID="_1824640739" r:id="rId26"/>
              </w:objec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67026E04" w14:textId="77777777" w:rsidR="00EA445C" w:rsidRDefault="00EA445C" w:rsidP="00EA445C">
            <w:pPr>
              <w:spacing w:line="360" w:lineRule="auto"/>
              <w:jc w:val="center"/>
              <w:rPr>
                <w:rFonts w:ascii="Times New Roman" w:hAnsi="Times New Roman" w:cs="Times New Roman"/>
              </w:rPr>
            </w:pPr>
          </w:p>
          <w:p w14:paraId="634376B4" w14:textId="77777777" w:rsidR="00EA445C" w:rsidRDefault="00EA445C" w:rsidP="00EA445C">
            <w:pPr>
              <w:spacing w:line="360" w:lineRule="auto"/>
              <w:jc w:val="center"/>
              <w:rPr>
                <w:rFonts w:ascii="Times New Roman" w:hAnsi="Times New Roman" w:cs="Times New Roman"/>
                <w:b/>
                <w:i/>
              </w:rPr>
            </w:pPr>
            <w:r>
              <w:rPr>
                <w:rFonts w:ascii="Times New Roman" w:hAnsi="Times New Roman" w:cs="Times New Roman"/>
                <w:b/>
                <w:i/>
              </w:rPr>
              <w:t>P-Al2</w:t>
            </w:r>
          </w:p>
        </w:tc>
      </w:tr>
      <w:tr w:rsidR="00EA445C" w14:paraId="706BDECB"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FA231"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0BEDF65D" w14:textId="636122D6"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Me</w:t>
            </w:r>
            <w:r w:rsidR="00EA445C">
              <w:rPr>
                <w:rFonts w:ascii="Times New Roman" w:hAnsi="Times New Roman" w:cs="Times New Roman"/>
              </w:rPr>
              <w:t>floquine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431108FB"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880" w:dyaOrig="1330" w14:anchorId="6E29E14E">
                <v:shape id="_x0000_i1031" type="#_x0000_t75" style="width:94.45pt;height:66.25pt" o:ole="">
                  <v:imagedata r:id="rId27" o:title=""/>
                </v:shape>
                <o:OLEObject Type="Embed" ProgID="ChemDraw.Document.6.0" ShapeID="_x0000_i1031" DrawAspect="Content" ObjectID="_1824640740" r:id="rId28"/>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24BB0"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E9C38" w14:textId="77777777" w:rsidR="00EA445C" w:rsidRDefault="00EA445C" w:rsidP="00EA445C">
            <w:pPr>
              <w:spacing w:line="240" w:lineRule="auto"/>
              <w:rPr>
                <w:rFonts w:ascii="Times New Roman" w:hAnsi="Times New Roman" w:cs="Times New Roman"/>
                <w:b/>
                <w:i/>
              </w:rPr>
            </w:pPr>
          </w:p>
        </w:tc>
      </w:tr>
      <w:tr w:rsidR="00EA445C" w14:paraId="254E3F68" w14:textId="77777777" w:rsidTr="00EA445C">
        <w:trPr>
          <w:trHeight w:val="11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EF267"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70B63F8B"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Halofantrine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1AB0A78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090" w:dyaOrig="1560" w14:anchorId="57B5575C">
                <v:shape id="_x0000_i1032" type="#_x0000_t75" style="width:153.2pt;height:78.35pt" o:ole="">
                  <v:imagedata r:id="rId29" o:title=""/>
                </v:shape>
                <o:OLEObject Type="Embed" ProgID="ChemDraw.Document.6.0" ShapeID="_x0000_i1032" DrawAspect="Content" ObjectID="_1824640741" r:id="rId30"/>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06173BB6" w14:textId="77777777" w:rsidR="00EA445C" w:rsidRDefault="00EA445C" w:rsidP="00EA445C">
            <w:pPr>
              <w:spacing w:line="360" w:lineRule="auto"/>
              <w:jc w:val="center"/>
              <w:rPr>
                <w:rFonts w:ascii="Times New Roman" w:hAnsi="Times New Roman" w:cs="Times New Roman"/>
              </w:rPr>
            </w:pPr>
          </w:p>
          <w:p w14:paraId="445A76E7" w14:textId="77777777" w:rsidR="00EA445C" w:rsidRDefault="00EA445C" w:rsidP="00EA445C">
            <w:pPr>
              <w:spacing w:line="360" w:lineRule="auto"/>
              <w:jc w:val="center"/>
              <w:rPr>
                <w:rFonts w:ascii="Times New Roman" w:hAnsi="Times New Roman" w:cs="Times New Roman"/>
              </w:rPr>
            </w:pPr>
          </w:p>
          <w:p w14:paraId="5D906830" w14:textId="77777777" w:rsidR="00EA445C" w:rsidRDefault="00EA445C" w:rsidP="00EA445C">
            <w:pPr>
              <w:spacing w:line="360" w:lineRule="auto"/>
              <w:jc w:val="center"/>
              <w:rPr>
                <w:rFonts w:ascii="Times New Roman" w:hAnsi="Times New Roman" w:cs="Times New Roman"/>
              </w:rPr>
            </w:pPr>
          </w:p>
          <w:p w14:paraId="07F9E55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830" w:dyaOrig="1180" w14:anchorId="62E53F29">
                <v:shape id="_x0000_i1033" type="#_x0000_t75" style="width:141.1pt;height:59.9pt" o:ole="">
                  <v:imagedata r:id="rId31" o:title=""/>
                </v:shape>
                <o:OLEObject Type="Embed" ProgID="ChemDraw.Document.6.0" ShapeID="_x0000_i1033" DrawAspect="Content" ObjectID="_1824640742" r:id="rId32"/>
              </w:object>
            </w:r>
          </w:p>
        </w:tc>
        <w:tc>
          <w:tcPr>
            <w:tcW w:w="1001" w:type="dxa"/>
            <w:vMerge w:val="restart"/>
            <w:tcBorders>
              <w:top w:val="single" w:sz="4" w:space="0" w:color="auto"/>
              <w:left w:val="single" w:sz="4" w:space="0" w:color="auto"/>
              <w:bottom w:val="single" w:sz="4" w:space="0" w:color="auto"/>
              <w:right w:val="single" w:sz="4" w:space="0" w:color="auto"/>
            </w:tcBorders>
          </w:tcPr>
          <w:p w14:paraId="18DFDD4D" w14:textId="77777777" w:rsidR="00EA445C" w:rsidRDefault="00EA445C" w:rsidP="00EA445C">
            <w:pPr>
              <w:spacing w:line="360" w:lineRule="auto"/>
              <w:jc w:val="both"/>
              <w:rPr>
                <w:rFonts w:ascii="Times New Roman" w:hAnsi="Times New Roman" w:cs="Times New Roman"/>
              </w:rPr>
            </w:pPr>
          </w:p>
          <w:p w14:paraId="5F398A45" w14:textId="77777777" w:rsidR="00EA445C" w:rsidRDefault="00EA445C" w:rsidP="00EA445C">
            <w:pPr>
              <w:spacing w:line="360" w:lineRule="auto"/>
              <w:jc w:val="both"/>
              <w:rPr>
                <w:rFonts w:ascii="Times New Roman" w:hAnsi="Times New Roman" w:cs="Times New Roman"/>
              </w:rPr>
            </w:pPr>
          </w:p>
          <w:p w14:paraId="3D7A54DB" w14:textId="77777777" w:rsidR="00EA445C" w:rsidRDefault="00EA445C" w:rsidP="00EA445C">
            <w:pPr>
              <w:spacing w:line="360" w:lineRule="auto"/>
              <w:jc w:val="both"/>
              <w:rPr>
                <w:rFonts w:ascii="Times New Roman" w:hAnsi="Times New Roman" w:cs="Times New Roman"/>
              </w:rPr>
            </w:pPr>
          </w:p>
          <w:p w14:paraId="19161C98" w14:textId="77777777" w:rsidR="00EA445C" w:rsidRDefault="00EA445C" w:rsidP="00EA445C">
            <w:pPr>
              <w:spacing w:line="360" w:lineRule="auto"/>
              <w:jc w:val="both"/>
              <w:rPr>
                <w:rFonts w:ascii="Times New Roman" w:hAnsi="Times New Roman" w:cs="Times New Roman"/>
              </w:rPr>
            </w:pPr>
          </w:p>
          <w:p w14:paraId="0053AE3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P-Al3</w:t>
            </w:r>
          </w:p>
        </w:tc>
      </w:tr>
      <w:tr w:rsidR="00EA445C" w14:paraId="56FEDB2A"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335B3"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388FEFBE" w14:textId="00169A9D"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Lume</w:t>
            </w:r>
            <w:r w:rsidR="00EA445C">
              <w:rPr>
                <w:rFonts w:ascii="Times New Roman" w:hAnsi="Times New Roman" w:cs="Times New Roman"/>
              </w:rPr>
              <w:t>fantrine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04ED0C1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10" w:dyaOrig="1770" w14:anchorId="0FB4E077">
                <v:shape id="_x0000_i1034" type="#_x0000_t75" style="width:135.35pt;height:88.7pt" o:ole="">
                  <v:imagedata r:id="rId33" o:title=""/>
                </v:shape>
                <o:OLEObject Type="Embed" ProgID="ChemDraw.Document.6.0" ShapeID="_x0000_i1034" DrawAspect="Content" ObjectID="_1824640743" r:id="rId3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58D73"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02602" w14:textId="77777777" w:rsidR="00EA445C" w:rsidRDefault="00EA445C" w:rsidP="00EA445C">
            <w:pPr>
              <w:spacing w:line="240" w:lineRule="auto"/>
              <w:rPr>
                <w:rFonts w:ascii="Times New Roman" w:hAnsi="Times New Roman" w:cs="Times New Roman"/>
                <w:b/>
                <w:i/>
              </w:rPr>
            </w:pPr>
          </w:p>
        </w:tc>
      </w:tr>
    </w:tbl>
    <w:p w14:paraId="0A2ABC31" w14:textId="77777777" w:rsidR="00EA445C" w:rsidRDefault="00EA445C" w:rsidP="00EA445C"/>
    <w:p w14:paraId="248266CA" w14:textId="66E9D000"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15219E3B" w14:textId="77777777" w:rsidTr="00EA445C">
        <w:trPr>
          <w:jc w:val="center"/>
        </w:trPr>
        <w:tc>
          <w:tcPr>
            <w:tcW w:w="2094" w:type="dxa"/>
            <w:tcBorders>
              <w:top w:val="single" w:sz="4" w:space="0" w:color="auto"/>
              <w:left w:val="single" w:sz="4" w:space="0" w:color="auto"/>
              <w:bottom w:val="single" w:sz="4" w:space="0" w:color="auto"/>
              <w:right w:val="single" w:sz="4" w:space="0" w:color="auto"/>
            </w:tcBorders>
            <w:hideMark/>
          </w:tcPr>
          <w:p w14:paraId="39AE15B2" w14:textId="0AD351A2"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66831DFC" w14:textId="67222A43"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4F2241F5" w14:textId="64617E3B" w:rsidR="00E54C5C" w:rsidRPr="00E54C5C" w:rsidRDefault="00E54C5C" w:rsidP="00E54C5C">
            <w:pPr>
              <w:spacing w:line="360" w:lineRule="auto"/>
              <w:jc w:val="center"/>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049460B" w14:textId="78885650" w:rsidR="00E54C5C" w:rsidRDefault="00E54C5C" w:rsidP="00E54C5C">
            <w:pPr>
              <w:spacing w:line="360" w:lineRule="auto"/>
              <w:jc w:val="both"/>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4610FF5E" w14:textId="1AB02F25"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634B71DB"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5BFF22F" w14:textId="7628C18D" w:rsidR="00EA445C" w:rsidRDefault="00241594" w:rsidP="00EA445C">
            <w:pPr>
              <w:spacing w:line="360" w:lineRule="auto"/>
              <w:jc w:val="center"/>
              <w:rPr>
                <w:rFonts w:ascii="Times New Roman" w:hAnsi="Times New Roman" w:cs="Times New Roman"/>
              </w:rPr>
            </w:pPr>
            <w:proofErr w:type="spellStart"/>
            <w:r w:rsidRPr="00241594">
              <w:rPr>
                <w:rFonts w:ascii="Times New Roman" w:hAnsi="Times New Roman" w:cs="Times New Roman"/>
              </w:rPr>
              <w:lastRenderedPageBreak/>
              <w:t>Artemisinin</w:t>
            </w:r>
            <w:proofErr w:type="spellEnd"/>
            <w:r w:rsidRPr="00241594">
              <w:rPr>
                <w:rFonts w:ascii="Times New Roman" w:hAnsi="Times New Roman" w:cs="Times New Roman"/>
              </w:rPr>
              <w:t xml:space="preserve"> </w:t>
            </w:r>
            <w:proofErr w:type="spellStart"/>
            <w:r w:rsidRPr="00241594">
              <w:rPr>
                <w:rFonts w:ascii="Times New Roman" w:hAnsi="Times New Roman" w:cs="Times New Roman"/>
              </w:rPr>
              <w:t>derivatives</w:t>
            </w:r>
            <w:proofErr w:type="spellEnd"/>
          </w:p>
        </w:tc>
        <w:tc>
          <w:tcPr>
            <w:tcW w:w="2132" w:type="dxa"/>
            <w:tcBorders>
              <w:top w:val="single" w:sz="4" w:space="0" w:color="auto"/>
              <w:left w:val="single" w:sz="4" w:space="0" w:color="auto"/>
              <w:bottom w:val="single" w:sz="4" w:space="0" w:color="auto"/>
              <w:right w:val="single" w:sz="4" w:space="0" w:color="auto"/>
            </w:tcBorders>
            <w:vAlign w:val="center"/>
            <w:hideMark/>
          </w:tcPr>
          <w:p w14:paraId="6FBACA1E" w14:textId="4E013E52"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Arteme</w:t>
            </w:r>
            <w:r w:rsidR="00EA445C">
              <w:rPr>
                <w:rFonts w:ascii="Times New Roman" w:hAnsi="Times New Roman" w:cs="Times New Roman"/>
              </w:rPr>
              <w:t>ther</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6BE8C0F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280" w:dyaOrig="2130" w14:anchorId="2913DD2B">
                <v:shape id="_x0000_i1035" type="#_x0000_t75" style="width:113.45pt;height:105.4pt" o:ole="">
                  <v:imagedata r:id="rId35" o:title=""/>
                </v:shape>
                <o:OLEObject Type="Embed" ProgID="ChemDraw.Document.6.0" ShapeID="_x0000_i1035" DrawAspect="Content" ObjectID="_1824640744" r:id="rId36"/>
              </w:object>
            </w:r>
          </w:p>
        </w:tc>
        <w:tc>
          <w:tcPr>
            <w:tcW w:w="3836" w:type="dxa"/>
            <w:vMerge w:val="restart"/>
            <w:tcBorders>
              <w:top w:val="single" w:sz="4" w:space="0" w:color="auto"/>
              <w:left w:val="single" w:sz="4" w:space="0" w:color="auto"/>
              <w:bottom w:val="single" w:sz="4" w:space="0" w:color="auto"/>
              <w:right w:val="single" w:sz="4" w:space="0" w:color="auto"/>
            </w:tcBorders>
          </w:tcPr>
          <w:p w14:paraId="5B3F4BBF" w14:textId="77777777" w:rsidR="00EA445C" w:rsidRDefault="00EA445C" w:rsidP="00EA445C">
            <w:pPr>
              <w:spacing w:line="360" w:lineRule="auto"/>
              <w:jc w:val="both"/>
              <w:rPr>
                <w:rFonts w:ascii="Times New Roman" w:hAnsi="Times New Roman" w:cs="Times New Roman"/>
              </w:rPr>
            </w:pPr>
          </w:p>
          <w:p w14:paraId="2649C903" w14:textId="77777777" w:rsidR="00EA445C" w:rsidRDefault="00EA445C" w:rsidP="00EA445C">
            <w:pPr>
              <w:spacing w:line="360" w:lineRule="auto"/>
              <w:jc w:val="both"/>
              <w:rPr>
                <w:rFonts w:ascii="Times New Roman" w:hAnsi="Times New Roman" w:cs="Times New Roman"/>
              </w:rPr>
            </w:pPr>
          </w:p>
          <w:p w14:paraId="77B13DC5" w14:textId="77777777" w:rsidR="00EA445C" w:rsidRDefault="00EA445C" w:rsidP="00EA445C">
            <w:pPr>
              <w:spacing w:line="360" w:lineRule="auto"/>
              <w:jc w:val="both"/>
              <w:rPr>
                <w:rFonts w:ascii="Times New Roman" w:hAnsi="Times New Roman" w:cs="Times New Roman"/>
              </w:rPr>
            </w:pPr>
          </w:p>
          <w:p w14:paraId="659BABEB" w14:textId="77777777" w:rsidR="00EA445C" w:rsidRDefault="00EA445C" w:rsidP="00EA445C">
            <w:pPr>
              <w:spacing w:line="360" w:lineRule="auto"/>
              <w:jc w:val="both"/>
              <w:rPr>
                <w:rFonts w:ascii="Times New Roman" w:hAnsi="Times New Roman" w:cs="Times New Roman"/>
              </w:rPr>
            </w:pPr>
          </w:p>
          <w:p w14:paraId="201F523B" w14:textId="77777777" w:rsidR="00EA445C" w:rsidRDefault="00EA445C" w:rsidP="00EA445C">
            <w:pPr>
              <w:spacing w:line="360" w:lineRule="auto"/>
              <w:jc w:val="both"/>
              <w:rPr>
                <w:rFonts w:ascii="Times New Roman" w:hAnsi="Times New Roman" w:cs="Times New Roman"/>
              </w:rPr>
            </w:pPr>
          </w:p>
          <w:p w14:paraId="6CA25E93" w14:textId="77777777" w:rsidR="00EA445C" w:rsidRDefault="00EA445C" w:rsidP="00EA445C">
            <w:pPr>
              <w:spacing w:line="360" w:lineRule="auto"/>
              <w:jc w:val="both"/>
              <w:rPr>
                <w:rFonts w:ascii="Times New Roman" w:hAnsi="Times New Roman" w:cs="Times New Roman"/>
              </w:rPr>
            </w:pPr>
          </w:p>
          <w:p w14:paraId="2C130FA3"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490" w:dyaOrig="2280" w14:anchorId="7A188D57">
                <v:shape id="_x0000_i1036" type="#_x0000_t75" style="width:124.4pt;height:113.45pt" o:ole="">
                  <v:imagedata r:id="rId37" o:title=""/>
                </v:shape>
                <o:OLEObject Type="Embed" ProgID="ChemDraw.Document.6.0" ShapeID="_x0000_i1036" DrawAspect="Content" ObjectID="_1824640745" r:id="rId38"/>
              </w:object>
            </w:r>
          </w:p>
          <w:p w14:paraId="724B98C8" w14:textId="77777777" w:rsidR="00EA445C" w:rsidRDefault="00EA445C" w:rsidP="00EA445C">
            <w:pPr>
              <w:spacing w:line="360" w:lineRule="auto"/>
              <w:jc w:val="both"/>
              <w:rPr>
                <w:rFonts w:ascii="Times New Roman" w:hAnsi="Times New Roman" w:cs="Times New Roman"/>
              </w:rPr>
            </w:pPr>
          </w:p>
          <w:p w14:paraId="5931362D" w14:textId="77777777" w:rsidR="00EA445C" w:rsidRDefault="00EA445C" w:rsidP="00EA445C">
            <w:pPr>
              <w:spacing w:line="360" w:lineRule="auto"/>
              <w:jc w:val="both"/>
              <w:rPr>
                <w:rFonts w:ascii="Times New Roman" w:hAnsi="Times New Roman" w:cs="Times New Roman"/>
              </w:rPr>
            </w:pPr>
          </w:p>
          <w:p w14:paraId="4FF85090" w14:textId="77777777" w:rsidR="00EA445C" w:rsidRDefault="00EA445C" w:rsidP="00EA445C">
            <w:pPr>
              <w:spacing w:line="360" w:lineRule="auto"/>
              <w:jc w:val="both"/>
              <w:rPr>
                <w:rFonts w:ascii="Times New Roman" w:hAnsi="Times New Roman" w:cs="Times New Roman"/>
              </w:rPr>
            </w:pPr>
          </w:p>
          <w:p w14:paraId="04377397" w14:textId="77777777" w:rsidR="00EA445C" w:rsidRDefault="00EA445C" w:rsidP="00EA445C">
            <w:pPr>
              <w:spacing w:line="360" w:lineRule="auto"/>
              <w:jc w:val="both"/>
              <w:rPr>
                <w:rFonts w:ascii="Times New Roman" w:hAnsi="Times New Roman" w:cs="Times New Roman"/>
              </w:rPr>
            </w:pPr>
          </w:p>
        </w:tc>
        <w:tc>
          <w:tcPr>
            <w:tcW w:w="1001" w:type="dxa"/>
            <w:vMerge w:val="restart"/>
            <w:tcBorders>
              <w:top w:val="single" w:sz="4" w:space="0" w:color="auto"/>
              <w:left w:val="single" w:sz="4" w:space="0" w:color="auto"/>
              <w:bottom w:val="single" w:sz="4" w:space="0" w:color="auto"/>
              <w:right w:val="single" w:sz="4" w:space="0" w:color="auto"/>
            </w:tcBorders>
          </w:tcPr>
          <w:p w14:paraId="5E5A2213" w14:textId="77777777" w:rsidR="00EA445C" w:rsidRDefault="00EA445C" w:rsidP="00EA445C">
            <w:pPr>
              <w:spacing w:line="360" w:lineRule="auto"/>
              <w:jc w:val="both"/>
              <w:rPr>
                <w:rFonts w:ascii="Times New Roman" w:hAnsi="Times New Roman" w:cs="Times New Roman"/>
              </w:rPr>
            </w:pPr>
          </w:p>
          <w:p w14:paraId="42DA11E9" w14:textId="77777777" w:rsidR="00EA445C" w:rsidRDefault="00EA445C" w:rsidP="00EA445C">
            <w:pPr>
              <w:spacing w:line="360" w:lineRule="auto"/>
              <w:jc w:val="both"/>
              <w:rPr>
                <w:rFonts w:ascii="Times New Roman" w:hAnsi="Times New Roman" w:cs="Times New Roman"/>
              </w:rPr>
            </w:pPr>
          </w:p>
          <w:p w14:paraId="42EDFDC6" w14:textId="77777777" w:rsidR="00EA445C" w:rsidRDefault="00EA445C" w:rsidP="00EA445C">
            <w:pPr>
              <w:spacing w:line="360" w:lineRule="auto"/>
              <w:jc w:val="both"/>
              <w:rPr>
                <w:rFonts w:ascii="Times New Roman" w:hAnsi="Times New Roman" w:cs="Times New Roman"/>
              </w:rPr>
            </w:pPr>
          </w:p>
          <w:p w14:paraId="3F2D5E82" w14:textId="77777777" w:rsidR="00EA445C" w:rsidRDefault="00EA445C" w:rsidP="00EA445C">
            <w:pPr>
              <w:spacing w:line="360" w:lineRule="auto"/>
              <w:jc w:val="both"/>
              <w:rPr>
                <w:rFonts w:ascii="Times New Roman" w:hAnsi="Times New Roman" w:cs="Times New Roman"/>
              </w:rPr>
            </w:pPr>
          </w:p>
          <w:p w14:paraId="4A8F894D" w14:textId="77777777" w:rsidR="00EA445C" w:rsidRDefault="00EA445C" w:rsidP="00EA445C">
            <w:pPr>
              <w:spacing w:line="360" w:lineRule="auto"/>
              <w:jc w:val="both"/>
              <w:rPr>
                <w:rFonts w:ascii="Times New Roman" w:hAnsi="Times New Roman" w:cs="Times New Roman"/>
              </w:rPr>
            </w:pPr>
          </w:p>
          <w:p w14:paraId="7F933446" w14:textId="77777777" w:rsidR="00EA445C" w:rsidRDefault="00EA445C" w:rsidP="00EA445C">
            <w:pPr>
              <w:spacing w:line="360" w:lineRule="auto"/>
              <w:jc w:val="both"/>
              <w:rPr>
                <w:rFonts w:ascii="Times New Roman" w:hAnsi="Times New Roman" w:cs="Times New Roman"/>
              </w:rPr>
            </w:pPr>
          </w:p>
          <w:p w14:paraId="4D495172" w14:textId="77777777" w:rsidR="00EA445C" w:rsidRDefault="00EA445C" w:rsidP="00EA445C">
            <w:pPr>
              <w:spacing w:line="360" w:lineRule="auto"/>
              <w:jc w:val="both"/>
              <w:rPr>
                <w:rFonts w:ascii="Times New Roman" w:hAnsi="Times New Roman" w:cs="Times New Roman"/>
              </w:rPr>
            </w:pPr>
          </w:p>
          <w:p w14:paraId="10C67189" w14:textId="77777777" w:rsidR="00EA445C" w:rsidRDefault="00EA445C" w:rsidP="00EA445C">
            <w:pPr>
              <w:spacing w:line="360" w:lineRule="auto"/>
              <w:jc w:val="both"/>
              <w:rPr>
                <w:rFonts w:ascii="Times New Roman" w:hAnsi="Times New Roman" w:cs="Times New Roman"/>
              </w:rPr>
            </w:pPr>
          </w:p>
          <w:p w14:paraId="27FE568F"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P-Ar4</w:t>
            </w:r>
          </w:p>
        </w:tc>
      </w:tr>
      <w:tr w:rsidR="00EA445C" w14:paraId="51498FE3"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BCA74"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3C72B38F" w14:textId="331023E2"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Arte</w:t>
            </w:r>
            <w:r w:rsidR="00EA445C">
              <w:rPr>
                <w:rFonts w:ascii="Times New Roman" w:hAnsi="Times New Roman" w:cs="Times New Roman"/>
              </w:rPr>
              <w:t>nusate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175F529D"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20" w:dyaOrig="2370" w14:anchorId="1AF330D4">
                <v:shape id="_x0000_i1037" type="#_x0000_t75" style="width:135.35pt;height:117.5pt" o:ole="">
                  <v:imagedata r:id="rId39" o:title=""/>
                </v:shape>
                <o:OLEObject Type="Embed" ProgID="ChemDraw.Document.6.0" ShapeID="_x0000_i1037" DrawAspect="Content" ObjectID="_1824640746" r:id="rId40"/>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10676"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1A3E6" w14:textId="77777777" w:rsidR="00EA445C" w:rsidRDefault="00EA445C" w:rsidP="00EA445C">
            <w:pPr>
              <w:spacing w:line="240" w:lineRule="auto"/>
              <w:rPr>
                <w:rFonts w:ascii="Times New Roman" w:hAnsi="Times New Roman" w:cs="Times New Roman"/>
                <w:b/>
                <w:i/>
              </w:rPr>
            </w:pPr>
          </w:p>
        </w:tc>
      </w:tr>
      <w:tr w:rsidR="00EA445C" w14:paraId="4767798E" w14:textId="77777777" w:rsidTr="00EA445C">
        <w:trPr>
          <w:trHeight w:val="20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1CF6F"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421F923E" w14:textId="5422EAB8" w:rsidR="00EA445C" w:rsidRDefault="00241594" w:rsidP="00EA445C">
            <w:pPr>
              <w:spacing w:line="360" w:lineRule="auto"/>
              <w:jc w:val="center"/>
              <w:rPr>
                <w:rFonts w:ascii="Times New Roman" w:hAnsi="Times New Roman" w:cs="Times New Roman"/>
              </w:rPr>
            </w:pPr>
            <w:proofErr w:type="spellStart"/>
            <w:r>
              <w:rPr>
                <w:rFonts w:ascii="Times New Roman" w:hAnsi="Times New Roman" w:cs="Times New Roman"/>
              </w:rPr>
              <w:t>Arte</w:t>
            </w:r>
            <w:r w:rsidR="00EA445C">
              <w:rPr>
                <w:rFonts w:ascii="Times New Roman" w:hAnsi="Times New Roman" w:cs="Times New Roman"/>
              </w:rPr>
              <w:t>misinine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503A21D9"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280" w:dyaOrig="2080" w14:anchorId="7EA4EFFB">
                <v:shape id="_x0000_i1038" type="#_x0000_t75" style="width:113.45pt;height:103.7pt" o:ole="">
                  <v:imagedata r:id="rId41" o:title=""/>
                </v:shape>
                <o:OLEObject Type="Embed" ProgID="ChemDraw.Document.6.0" ShapeID="_x0000_i1038" DrawAspect="Content" ObjectID="_1824640747" r:id="rId42"/>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16D0D"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18927" w14:textId="77777777" w:rsidR="00EA445C" w:rsidRDefault="00EA445C" w:rsidP="00EA445C">
            <w:pPr>
              <w:spacing w:line="240" w:lineRule="auto"/>
              <w:rPr>
                <w:rFonts w:ascii="Times New Roman" w:hAnsi="Times New Roman" w:cs="Times New Roman"/>
                <w:b/>
                <w:i/>
              </w:rPr>
            </w:pPr>
          </w:p>
        </w:tc>
      </w:tr>
    </w:tbl>
    <w:p w14:paraId="67AF1500" w14:textId="77777777" w:rsidR="00EA445C" w:rsidRDefault="00EA445C" w:rsidP="00EA445C"/>
    <w:tbl>
      <w:tblPr>
        <w:tblStyle w:val="TableGrid"/>
        <w:tblW w:w="14029" w:type="dxa"/>
        <w:jc w:val="center"/>
        <w:tblLook w:val="04A0" w:firstRow="1" w:lastRow="0" w:firstColumn="1" w:lastColumn="0" w:noHBand="0" w:noVBand="1"/>
      </w:tblPr>
      <w:tblGrid>
        <w:gridCol w:w="2094"/>
        <w:gridCol w:w="2132"/>
        <w:gridCol w:w="4966"/>
        <w:gridCol w:w="3836"/>
        <w:gridCol w:w="1001"/>
      </w:tblGrid>
      <w:tr w:rsidR="00E54C5C" w14:paraId="7C91B1C0" w14:textId="77777777" w:rsidTr="00EA445C">
        <w:trPr>
          <w:trHeight w:val="366"/>
          <w:jc w:val="center"/>
        </w:trPr>
        <w:tc>
          <w:tcPr>
            <w:tcW w:w="2094" w:type="dxa"/>
            <w:tcBorders>
              <w:top w:val="single" w:sz="4" w:space="0" w:color="auto"/>
              <w:left w:val="single" w:sz="4" w:space="0" w:color="auto"/>
              <w:bottom w:val="single" w:sz="4" w:space="0" w:color="auto"/>
              <w:right w:val="single" w:sz="4" w:space="0" w:color="auto"/>
            </w:tcBorders>
            <w:hideMark/>
          </w:tcPr>
          <w:p w14:paraId="2EF4C589" w14:textId="2EBEB886"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32" w:type="dxa"/>
            <w:tcBorders>
              <w:top w:val="single" w:sz="4" w:space="0" w:color="auto"/>
              <w:left w:val="single" w:sz="4" w:space="0" w:color="auto"/>
              <w:bottom w:val="single" w:sz="4" w:space="0" w:color="auto"/>
              <w:right w:val="single" w:sz="4" w:space="0" w:color="auto"/>
            </w:tcBorders>
            <w:hideMark/>
          </w:tcPr>
          <w:p w14:paraId="7F4ADFDF" w14:textId="21C85C16"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767B7CAC" w14:textId="6A06DE18" w:rsidR="00E54C5C" w:rsidRPr="00E54C5C" w:rsidRDefault="00E54C5C" w:rsidP="00E54C5C">
            <w:pPr>
              <w:spacing w:line="360" w:lineRule="auto"/>
              <w:jc w:val="both"/>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836" w:type="dxa"/>
            <w:tcBorders>
              <w:top w:val="single" w:sz="4" w:space="0" w:color="auto"/>
              <w:left w:val="single" w:sz="4" w:space="0" w:color="auto"/>
              <w:bottom w:val="single" w:sz="4" w:space="0" w:color="auto"/>
              <w:right w:val="single" w:sz="4" w:space="0" w:color="auto"/>
            </w:tcBorders>
            <w:hideMark/>
          </w:tcPr>
          <w:p w14:paraId="7A6ACCB0" w14:textId="57FDED55" w:rsidR="00E54C5C" w:rsidRDefault="00E54C5C" w:rsidP="00E54C5C">
            <w:pPr>
              <w:spacing w:line="360" w:lineRule="auto"/>
              <w:rPr>
                <w:rFonts w:ascii="Times New Roman" w:hAnsi="Times New Roman" w:cs="Times New Roman"/>
              </w:rPr>
            </w:pPr>
            <w:r w:rsidRPr="00AF7C90">
              <w:rPr>
                <w:rFonts w:ascii="Times New Roman" w:hAnsi="Times New Roman" w:cs="Times New Roman"/>
                <w:b/>
                <w:bCs/>
                <w:i/>
                <w:iCs/>
              </w:rPr>
              <w:t>Pharmacophore structure</w:t>
            </w:r>
          </w:p>
        </w:tc>
        <w:tc>
          <w:tcPr>
            <w:tcW w:w="1001" w:type="dxa"/>
            <w:tcBorders>
              <w:top w:val="single" w:sz="4" w:space="0" w:color="auto"/>
              <w:left w:val="single" w:sz="4" w:space="0" w:color="auto"/>
              <w:bottom w:val="single" w:sz="4" w:space="0" w:color="auto"/>
              <w:right w:val="single" w:sz="4" w:space="0" w:color="auto"/>
            </w:tcBorders>
            <w:hideMark/>
          </w:tcPr>
          <w:p w14:paraId="6E3B8607" w14:textId="2043E0B3"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4C7F3E12" w14:textId="77777777" w:rsidTr="00EA445C">
        <w:trPr>
          <w:trHeight w:val="1181"/>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7C5D12A6"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lastRenderedPageBreak/>
              <w:t>Biguanides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9A16CE8"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Proguanil</w:t>
            </w:r>
            <w:proofErr w:type="spellEnd"/>
          </w:p>
        </w:tc>
        <w:tc>
          <w:tcPr>
            <w:tcW w:w="4966" w:type="dxa"/>
            <w:tcBorders>
              <w:top w:val="single" w:sz="4" w:space="0" w:color="auto"/>
              <w:left w:val="single" w:sz="4" w:space="0" w:color="auto"/>
              <w:bottom w:val="single" w:sz="4" w:space="0" w:color="auto"/>
              <w:right w:val="single" w:sz="4" w:space="0" w:color="auto"/>
            </w:tcBorders>
            <w:hideMark/>
          </w:tcPr>
          <w:p w14:paraId="60DBCAD5"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4190" w:dyaOrig="1140" w14:anchorId="18976E84">
                <v:shape id="_x0000_i1039" type="#_x0000_t75" style="width:209.65pt;height:57pt" o:ole="">
                  <v:imagedata r:id="rId43" o:title=""/>
                </v:shape>
                <o:OLEObject Type="Embed" ProgID="ChemDraw.Document.6.0" ShapeID="_x0000_i1039" DrawAspect="Content" ObjectID="_1824640748" r:id="rId44"/>
              </w:object>
            </w:r>
          </w:p>
        </w:tc>
        <w:tc>
          <w:tcPr>
            <w:tcW w:w="3836" w:type="dxa"/>
            <w:vMerge w:val="restart"/>
            <w:tcBorders>
              <w:top w:val="single" w:sz="4" w:space="0" w:color="auto"/>
              <w:left w:val="single" w:sz="4" w:space="0" w:color="auto"/>
              <w:bottom w:val="single" w:sz="4" w:space="0" w:color="auto"/>
              <w:right w:val="single" w:sz="4" w:space="0" w:color="auto"/>
            </w:tcBorders>
            <w:vAlign w:val="center"/>
          </w:tcPr>
          <w:p w14:paraId="6B014350" w14:textId="77777777" w:rsidR="00EA445C" w:rsidRDefault="00EA445C" w:rsidP="00EA445C">
            <w:pPr>
              <w:spacing w:line="360" w:lineRule="auto"/>
              <w:rPr>
                <w:rFonts w:ascii="Times New Roman" w:hAnsi="Times New Roman" w:cs="Times New Roman"/>
              </w:rPr>
            </w:pPr>
          </w:p>
          <w:p w14:paraId="2A80508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260" w:dyaOrig="910" w14:anchorId="04777B06">
                <v:shape id="_x0000_i1040" type="#_x0000_t75" style="width:162.45pt;height:46.1pt" o:ole="">
                  <v:imagedata r:id="rId45" o:title=""/>
                </v:shape>
                <o:OLEObject Type="Embed" ProgID="ChemDraw.Document.6.0" ShapeID="_x0000_i1040" DrawAspect="Content" ObjectID="_1824640749" r:id="rId46"/>
              </w:object>
            </w:r>
          </w:p>
        </w:tc>
        <w:tc>
          <w:tcPr>
            <w:tcW w:w="1001" w:type="dxa"/>
            <w:vMerge w:val="restart"/>
            <w:tcBorders>
              <w:top w:val="single" w:sz="4" w:space="0" w:color="auto"/>
              <w:left w:val="single" w:sz="4" w:space="0" w:color="auto"/>
              <w:bottom w:val="single" w:sz="4" w:space="0" w:color="auto"/>
              <w:right w:val="single" w:sz="4" w:space="0" w:color="auto"/>
            </w:tcBorders>
          </w:tcPr>
          <w:p w14:paraId="179DCCEB" w14:textId="77777777" w:rsidR="00EA445C" w:rsidRDefault="00EA445C" w:rsidP="00EA445C">
            <w:pPr>
              <w:spacing w:line="360" w:lineRule="auto"/>
              <w:jc w:val="both"/>
              <w:rPr>
                <w:rFonts w:ascii="Times New Roman" w:hAnsi="Times New Roman" w:cs="Times New Roman"/>
              </w:rPr>
            </w:pPr>
          </w:p>
          <w:p w14:paraId="1BCB1B9B" w14:textId="77777777" w:rsidR="00EA445C" w:rsidRDefault="00EA445C" w:rsidP="00EA445C">
            <w:pPr>
              <w:spacing w:line="360" w:lineRule="auto"/>
              <w:jc w:val="both"/>
              <w:rPr>
                <w:rFonts w:ascii="Times New Roman" w:hAnsi="Times New Roman" w:cs="Times New Roman"/>
              </w:rPr>
            </w:pPr>
          </w:p>
          <w:p w14:paraId="59EEC0AE" w14:textId="77777777" w:rsidR="00EA445C" w:rsidRDefault="00EA445C" w:rsidP="00EA445C">
            <w:pPr>
              <w:spacing w:line="360" w:lineRule="auto"/>
              <w:jc w:val="both"/>
              <w:rPr>
                <w:rFonts w:ascii="Times New Roman" w:hAnsi="Times New Roman" w:cs="Times New Roman"/>
              </w:rPr>
            </w:pPr>
          </w:p>
          <w:p w14:paraId="3762B5F8" w14:textId="77777777" w:rsidR="00EA445C" w:rsidRDefault="00EA445C" w:rsidP="00EA445C">
            <w:pPr>
              <w:spacing w:line="360" w:lineRule="auto"/>
              <w:jc w:val="both"/>
              <w:rPr>
                <w:rFonts w:ascii="Times New Roman" w:hAnsi="Times New Roman" w:cs="Times New Roman"/>
              </w:rPr>
            </w:pPr>
          </w:p>
          <w:p w14:paraId="60EBAE0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P-Bi5</w:t>
            </w:r>
          </w:p>
        </w:tc>
      </w:tr>
      <w:tr w:rsidR="00EA445C" w14:paraId="16F84AB7" w14:textId="77777777" w:rsidTr="00EA445C">
        <w:trPr>
          <w:trHeight w:val="10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D0CFC"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0067EE3A"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Chlorproguanil</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2E2ACFE8"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600" w:dyaOrig="1200" w14:anchorId="76B74A13">
                <v:shape id="_x0000_i1041" type="#_x0000_t75" style="width:180.3pt;height:59.9pt" o:ole="">
                  <v:imagedata r:id="rId47" o:title=""/>
                </v:shape>
                <o:OLEObject Type="Embed" ProgID="ChemDraw.Document.6.0" ShapeID="_x0000_i1041" DrawAspect="Content" ObjectID="_1824640750" r:id="rId48"/>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6D0E6"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8D2B5" w14:textId="77777777" w:rsidR="00EA445C" w:rsidRDefault="00EA445C" w:rsidP="00EA445C">
            <w:pPr>
              <w:spacing w:line="240" w:lineRule="auto"/>
              <w:rPr>
                <w:rFonts w:ascii="Times New Roman" w:hAnsi="Times New Roman" w:cs="Times New Roman"/>
                <w:b/>
                <w:i/>
              </w:rPr>
            </w:pPr>
          </w:p>
        </w:tc>
      </w:tr>
      <w:tr w:rsidR="00EA445C" w14:paraId="2905EA00" w14:textId="77777777" w:rsidTr="00EA445C">
        <w:trPr>
          <w:jc w:val="center"/>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E57039B"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8-Aminoquinoléines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7B3222D4"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Primaquine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4D6F10D5"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3060" w:dyaOrig="1740" w14:anchorId="70A1C43E">
                <v:shape id="_x0000_i1042" type="#_x0000_t75" style="width:153.2pt;height:87pt" o:ole="">
                  <v:imagedata r:id="rId49" o:title=""/>
                </v:shape>
                <o:OLEObject Type="Embed" ProgID="ChemDraw.Document.6.0" ShapeID="_x0000_i1042" DrawAspect="Content" ObjectID="_1824640751" r:id="rId50"/>
              </w:object>
            </w:r>
          </w:p>
        </w:tc>
        <w:tc>
          <w:tcPr>
            <w:tcW w:w="3836" w:type="dxa"/>
            <w:vMerge w:val="restart"/>
            <w:tcBorders>
              <w:top w:val="single" w:sz="4" w:space="0" w:color="auto"/>
              <w:left w:val="single" w:sz="4" w:space="0" w:color="auto"/>
              <w:bottom w:val="single" w:sz="4" w:space="0" w:color="auto"/>
              <w:right w:val="single" w:sz="4" w:space="0" w:color="auto"/>
            </w:tcBorders>
          </w:tcPr>
          <w:p w14:paraId="38E591EC" w14:textId="77777777" w:rsidR="00EA445C" w:rsidRDefault="00EA445C" w:rsidP="00EA445C">
            <w:pPr>
              <w:spacing w:line="360" w:lineRule="auto"/>
              <w:jc w:val="both"/>
              <w:rPr>
                <w:rFonts w:ascii="Times New Roman" w:hAnsi="Times New Roman" w:cs="Times New Roman"/>
              </w:rPr>
            </w:pPr>
          </w:p>
          <w:p w14:paraId="5A1BDCB4" w14:textId="77777777" w:rsidR="00EA445C" w:rsidRDefault="00EA445C" w:rsidP="00EA445C">
            <w:pPr>
              <w:spacing w:line="360" w:lineRule="auto"/>
              <w:jc w:val="both"/>
              <w:rPr>
                <w:rFonts w:ascii="Times New Roman" w:hAnsi="Times New Roman" w:cs="Times New Roman"/>
              </w:rPr>
            </w:pPr>
          </w:p>
          <w:p w14:paraId="79EEDAA6" w14:textId="77777777" w:rsidR="00EA445C" w:rsidRDefault="00EA445C" w:rsidP="00EA445C">
            <w:pPr>
              <w:spacing w:line="360" w:lineRule="auto"/>
              <w:jc w:val="both"/>
              <w:rPr>
                <w:rFonts w:ascii="Times New Roman" w:hAnsi="Times New Roman" w:cs="Times New Roman"/>
              </w:rPr>
            </w:pPr>
          </w:p>
          <w:p w14:paraId="5B471CC5" w14:textId="77777777" w:rsidR="00EA445C" w:rsidRDefault="00EA445C" w:rsidP="00EA445C">
            <w:pPr>
              <w:spacing w:line="360" w:lineRule="auto"/>
              <w:jc w:val="both"/>
              <w:rPr>
                <w:rFonts w:ascii="Times New Roman" w:hAnsi="Times New Roman" w:cs="Times New Roman"/>
              </w:rPr>
            </w:pPr>
          </w:p>
          <w:p w14:paraId="5227A52E"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160" w:dyaOrig="1320" w14:anchorId="08F27CC8">
                <v:shape id="_x0000_i1043" type="#_x0000_t75" style="width:157.8pt;height:65.65pt" o:ole="">
                  <v:imagedata r:id="rId51" o:title=""/>
                </v:shape>
                <o:OLEObject Type="Embed" ProgID="ChemDraw.Document.6.0" ShapeID="_x0000_i1043" DrawAspect="Content" ObjectID="_1824640752" r:id="rId52"/>
              </w:object>
            </w:r>
          </w:p>
        </w:tc>
        <w:tc>
          <w:tcPr>
            <w:tcW w:w="1001" w:type="dxa"/>
            <w:vMerge w:val="restart"/>
            <w:tcBorders>
              <w:top w:val="single" w:sz="4" w:space="0" w:color="auto"/>
              <w:left w:val="single" w:sz="4" w:space="0" w:color="auto"/>
              <w:bottom w:val="single" w:sz="4" w:space="0" w:color="auto"/>
              <w:right w:val="single" w:sz="4" w:space="0" w:color="auto"/>
            </w:tcBorders>
          </w:tcPr>
          <w:p w14:paraId="55F8B9F7" w14:textId="77777777" w:rsidR="00EA445C" w:rsidRDefault="00EA445C" w:rsidP="00EA445C">
            <w:pPr>
              <w:spacing w:line="360" w:lineRule="auto"/>
              <w:jc w:val="both"/>
              <w:rPr>
                <w:rFonts w:ascii="Times New Roman" w:hAnsi="Times New Roman" w:cs="Times New Roman"/>
              </w:rPr>
            </w:pPr>
          </w:p>
          <w:p w14:paraId="420313EB" w14:textId="77777777" w:rsidR="00EA445C" w:rsidRDefault="00EA445C" w:rsidP="00EA445C">
            <w:pPr>
              <w:spacing w:line="360" w:lineRule="auto"/>
              <w:jc w:val="both"/>
              <w:rPr>
                <w:rFonts w:ascii="Times New Roman" w:hAnsi="Times New Roman" w:cs="Times New Roman"/>
              </w:rPr>
            </w:pPr>
          </w:p>
          <w:p w14:paraId="0B1FFA63" w14:textId="77777777" w:rsidR="00EA445C" w:rsidRDefault="00EA445C" w:rsidP="00EA445C">
            <w:pPr>
              <w:spacing w:line="360" w:lineRule="auto"/>
              <w:jc w:val="both"/>
              <w:rPr>
                <w:rFonts w:ascii="Times New Roman" w:hAnsi="Times New Roman" w:cs="Times New Roman"/>
              </w:rPr>
            </w:pPr>
          </w:p>
          <w:p w14:paraId="64D55D89" w14:textId="77777777" w:rsidR="00EA445C" w:rsidRDefault="00EA445C" w:rsidP="00EA445C">
            <w:pPr>
              <w:spacing w:line="360" w:lineRule="auto"/>
              <w:jc w:val="both"/>
              <w:rPr>
                <w:rFonts w:ascii="Times New Roman" w:hAnsi="Times New Roman" w:cs="Times New Roman"/>
              </w:rPr>
            </w:pPr>
          </w:p>
          <w:p w14:paraId="68724C19" w14:textId="77777777" w:rsidR="00EA445C" w:rsidRDefault="00EA445C" w:rsidP="00EA445C">
            <w:pPr>
              <w:spacing w:line="360" w:lineRule="auto"/>
              <w:jc w:val="both"/>
              <w:rPr>
                <w:rFonts w:ascii="Times New Roman" w:hAnsi="Times New Roman" w:cs="Times New Roman"/>
              </w:rPr>
            </w:pPr>
          </w:p>
          <w:p w14:paraId="03DE5A8A" w14:textId="77777777" w:rsidR="00EA445C" w:rsidRDefault="00EA445C" w:rsidP="00EA445C">
            <w:pPr>
              <w:spacing w:line="360" w:lineRule="auto"/>
              <w:jc w:val="both"/>
              <w:rPr>
                <w:rFonts w:ascii="Times New Roman" w:hAnsi="Times New Roman" w:cs="Times New Roman"/>
              </w:rPr>
            </w:pPr>
          </w:p>
          <w:p w14:paraId="0444127D" w14:textId="77777777" w:rsidR="00EA445C" w:rsidRDefault="00EA445C" w:rsidP="00EA445C">
            <w:pPr>
              <w:spacing w:line="360" w:lineRule="auto"/>
              <w:jc w:val="both"/>
              <w:rPr>
                <w:rFonts w:ascii="Times New Roman" w:hAnsi="Times New Roman" w:cs="Times New Roman"/>
              </w:rPr>
            </w:pPr>
          </w:p>
          <w:p w14:paraId="4285FB49"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P-8A6</w:t>
            </w:r>
          </w:p>
        </w:tc>
      </w:tr>
      <w:tr w:rsidR="00EA445C" w14:paraId="4377B7F5" w14:textId="77777777" w:rsidTr="00EA44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ECA9B" w14:textId="77777777" w:rsidR="00EA445C" w:rsidRDefault="00EA445C" w:rsidP="00EA445C">
            <w:pPr>
              <w:spacing w:line="240" w:lineRule="auto"/>
              <w:rPr>
                <w:rFonts w:ascii="Times New Roman" w:hAnsi="Times New Roman" w:cs="Times New Roman"/>
              </w:rPr>
            </w:pPr>
          </w:p>
        </w:tc>
        <w:tc>
          <w:tcPr>
            <w:tcW w:w="2132" w:type="dxa"/>
            <w:tcBorders>
              <w:top w:val="single" w:sz="4" w:space="0" w:color="auto"/>
              <w:left w:val="single" w:sz="4" w:space="0" w:color="auto"/>
              <w:bottom w:val="single" w:sz="4" w:space="0" w:color="auto"/>
              <w:right w:val="single" w:sz="4" w:space="0" w:color="auto"/>
            </w:tcBorders>
            <w:vAlign w:val="center"/>
            <w:hideMark/>
          </w:tcPr>
          <w:p w14:paraId="7DDF7685"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Tefénoquine</w:t>
            </w:r>
            <w:proofErr w:type="spellEnd"/>
          </w:p>
        </w:tc>
        <w:tc>
          <w:tcPr>
            <w:tcW w:w="4966" w:type="dxa"/>
            <w:tcBorders>
              <w:top w:val="single" w:sz="4" w:space="0" w:color="auto"/>
              <w:left w:val="single" w:sz="4" w:space="0" w:color="auto"/>
              <w:bottom w:val="single" w:sz="4" w:space="0" w:color="auto"/>
              <w:right w:val="single" w:sz="4" w:space="0" w:color="auto"/>
            </w:tcBorders>
            <w:vAlign w:val="center"/>
            <w:hideMark/>
          </w:tcPr>
          <w:p w14:paraId="00D2C0D6"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2790" w:dyaOrig="2090" w14:anchorId="59A9BAAE">
                <v:shape id="_x0000_i1044" type="#_x0000_t75" style="width:139.4pt;height:104.85pt" o:ole="">
                  <v:imagedata r:id="rId53" o:title=""/>
                </v:shape>
                <o:OLEObject Type="Embed" ProgID="ChemDraw.Document.6.0" ShapeID="_x0000_i1044" DrawAspect="Content" ObjectID="_1824640753" r:id="rId54"/>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C703D"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AAB3B" w14:textId="77777777" w:rsidR="00EA445C" w:rsidRDefault="00EA445C" w:rsidP="00EA445C">
            <w:pPr>
              <w:spacing w:line="240" w:lineRule="auto"/>
              <w:rPr>
                <w:rFonts w:ascii="Times New Roman" w:hAnsi="Times New Roman" w:cs="Times New Roman"/>
                <w:b/>
                <w:i/>
              </w:rPr>
            </w:pPr>
          </w:p>
        </w:tc>
      </w:tr>
    </w:tbl>
    <w:p w14:paraId="62D91911" w14:textId="77777777" w:rsidR="00EA445C" w:rsidRDefault="00EA445C" w:rsidP="00EA445C"/>
    <w:tbl>
      <w:tblPr>
        <w:tblStyle w:val="TableGrid"/>
        <w:tblW w:w="14029" w:type="dxa"/>
        <w:jc w:val="center"/>
        <w:tblLook w:val="04A0" w:firstRow="1" w:lastRow="0" w:firstColumn="1" w:lastColumn="0" w:noHBand="0" w:noVBand="1"/>
      </w:tblPr>
      <w:tblGrid>
        <w:gridCol w:w="2282"/>
        <w:gridCol w:w="2118"/>
        <w:gridCol w:w="4925"/>
        <w:gridCol w:w="3721"/>
        <w:gridCol w:w="983"/>
      </w:tblGrid>
      <w:tr w:rsidR="00E54C5C" w14:paraId="372A26FA"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hideMark/>
          </w:tcPr>
          <w:p w14:paraId="45AFE33C" w14:textId="7D7C3C29" w:rsidR="00E54C5C" w:rsidRDefault="00E54C5C" w:rsidP="00E54C5C">
            <w:pPr>
              <w:spacing w:line="360" w:lineRule="auto"/>
              <w:jc w:val="center"/>
              <w:rPr>
                <w:rFonts w:ascii="Times New Roman" w:hAnsi="Times New Roman" w:cs="Times New Roman"/>
              </w:rPr>
            </w:pPr>
            <w:r w:rsidRPr="00E54C5C">
              <w:rPr>
                <w:rFonts w:ascii="Times New Roman" w:hAnsi="Times New Roman" w:cs="Times New Roman"/>
                <w:b/>
                <w:bCs/>
                <w:i/>
                <w:iCs/>
              </w:rPr>
              <w:t>Class</w:t>
            </w:r>
          </w:p>
        </w:tc>
        <w:tc>
          <w:tcPr>
            <w:tcW w:w="2118" w:type="dxa"/>
            <w:tcBorders>
              <w:top w:val="single" w:sz="4" w:space="0" w:color="auto"/>
              <w:left w:val="single" w:sz="4" w:space="0" w:color="auto"/>
              <w:bottom w:val="single" w:sz="4" w:space="0" w:color="auto"/>
              <w:right w:val="single" w:sz="4" w:space="0" w:color="auto"/>
            </w:tcBorders>
            <w:hideMark/>
          </w:tcPr>
          <w:p w14:paraId="07AD4DAA" w14:textId="4C823095"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 xml:space="preserve">Name of the </w:t>
            </w:r>
            <w:proofErr w:type="spellStart"/>
            <w:r w:rsidRPr="00AF7C90">
              <w:rPr>
                <w:rFonts w:ascii="Times New Roman" w:hAnsi="Times New Roman" w:cs="Times New Roman"/>
                <w:b/>
                <w:bCs/>
                <w:i/>
                <w:iCs/>
              </w:rPr>
              <w:t>drug</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1E893692" w14:textId="30F591C2" w:rsidR="00E54C5C" w:rsidRPr="00E54C5C" w:rsidRDefault="00E54C5C" w:rsidP="00E54C5C">
            <w:pPr>
              <w:spacing w:line="360" w:lineRule="auto"/>
              <w:jc w:val="both"/>
              <w:rPr>
                <w:rFonts w:ascii="Times New Roman" w:hAnsi="Times New Roman" w:cs="Times New Roman"/>
                <w:lang w:val="en-US"/>
              </w:rPr>
            </w:pPr>
            <w:r w:rsidRPr="00AF7C90">
              <w:rPr>
                <w:rFonts w:ascii="Times New Roman" w:hAnsi="Times New Roman" w:cs="Times New Roman"/>
                <w:b/>
                <w:bCs/>
                <w:i/>
                <w:iCs/>
                <w:lang w:val="en-US"/>
              </w:rPr>
              <w:t>Structure of the antimalarial molecule</w:t>
            </w:r>
          </w:p>
        </w:tc>
        <w:tc>
          <w:tcPr>
            <w:tcW w:w="3721" w:type="dxa"/>
            <w:tcBorders>
              <w:top w:val="single" w:sz="4" w:space="0" w:color="auto"/>
              <w:left w:val="single" w:sz="4" w:space="0" w:color="auto"/>
              <w:bottom w:val="single" w:sz="4" w:space="0" w:color="auto"/>
              <w:right w:val="single" w:sz="4" w:space="0" w:color="auto"/>
            </w:tcBorders>
            <w:hideMark/>
          </w:tcPr>
          <w:p w14:paraId="10FF4147" w14:textId="199A1F41" w:rsidR="00E54C5C" w:rsidRDefault="00E54C5C" w:rsidP="00E54C5C">
            <w:pPr>
              <w:spacing w:line="360" w:lineRule="auto"/>
              <w:jc w:val="center"/>
              <w:rPr>
                <w:rFonts w:ascii="Times New Roman" w:hAnsi="Times New Roman" w:cs="Times New Roman"/>
              </w:rPr>
            </w:pPr>
            <w:r w:rsidRPr="00AF7C90">
              <w:rPr>
                <w:rFonts w:ascii="Times New Roman" w:hAnsi="Times New Roman" w:cs="Times New Roman"/>
                <w:b/>
                <w:bCs/>
                <w:i/>
                <w:iCs/>
              </w:rPr>
              <w:t>Pharmacophore structure</w:t>
            </w:r>
          </w:p>
        </w:tc>
        <w:tc>
          <w:tcPr>
            <w:tcW w:w="983" w:type="dxa"/>
            <w:tcBorders>
              <w:top w:val="single" w:sz="4" w:space="0" w:color="auto"/>
              <w:left w:val="single" w:sz="4" w:space="0" w:color="auto"/>
              <w:bottom w:val="single" w:sz="4" w:space="0" w:color="auto"/>
              <w:right w:val="single" w:sz="4" w:space="0" w:color="auto"/>
            </w:tcBorders>
            <w:hideMark/>
          </w:tcPr>
          <w:p w14:paraId="2B780A26" w14:textId="4BAEBED8" w:rsidR="00E54C5C" w:rsidRDefault="00E54C5C" w:rsidP="00E54C5C">
            <w:pPr>
              <w:spacing w:line="360" w:lineRule="auto"/>
              <w:jc w:val="both"/>
              <w:rPr>
                <w:rFonts w:ascii="Times New Roman" w:hAnsi="Times New Roman" w:cs="Times New Roman"/>
              </w:rPr>
            </w:pPr>
            <w:r>
              <w:rPr>
                <w:rFonts w:ascii="Times New Roman" w:hAnsi="Times New Roman" w:cs="Times New Roman"/>
                <w:b/>
                <w:bCs/>
                <w:i/>
                <w:iCs/>
              </w:rPr>
              <w:t>Code</w:t>
            </w:r>
          </w:p>
        </w:tc>
      </w:tr>
      <w:tr w:rsidR="00EA445C" w14:paraId="21F31D4E" w14:textId="77777777" w:rsidTr="00EA445C">
        <w:trPr>
          <w:jc w:val="center"/>
        </w:trPr>
        <w:tc>
          <w:tcPr>
            <w:tcW w:w="2282" w:type="dxa"/>
            <w:vMerge w:val="restart"/>
            <w:tcBorders>
              <w:top w:val="single" w:sz="4" w:space="0" w:color="auto"/>
              <w:left w:val="single" w:sz="4" w:space="0" w:color="auto"/>
              <w:bottom w:val="single" w:sz="4" w:space="0" w:color="auto"/>
              <w:right w:val="single" w:sz="4" w:space="0" w:color="auto"/>
            </w:tcBorders>
            <w:vAlign w:val="center"/>
            <w:hideMark/>
          </w:tcPr>
          <w:p w14:paraId="6726101F"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lastRenderedPageBreak/>
              <w:t>Sulfonamides</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A456428"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Sulfadoxine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132025C8"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910" w:dyaOrig="1860" w14:anchorId="5F6B7DA0">
                <v:shape id="_x0000_i1045" type="#_x0000_t75" style="width:195.25pt;height:93.3pt" o:ole="">
                  <v:imagedata r:id="rId55" o:title=""/>
                </v:shape>
                <o:OLEObject Type="Embed" ProgID="ChemDraw.Document.6.0" ShapeID="_x0000_i1045" DrawAspect="Content" ObjectID="_1824640754" r:id="rId56"/>
              </w:object>
            </w:r>
          </w:p>
        </w:tc>
        <w:tc>
          <w:tcPr>
            <w:tcW w:w="3721" w:type="dxa"/>
            <w:vMerge w:val="restart"/>
            <w:tcBorders>
              <w:top w:val="single" w:sz="4" w:space="0" w:color="auto"/>
              <w:left w:val="single" w:sz="4" w:space="0" w:color="auto"/>
              <w:bottom w:val="single" w:sz="4" w:space="0" w:color="auto"/>
              <w:right w:val="single" w:sz="4" w:space="0" w:color="auto"/>
            </w:tcBorders>
            <w:vAlign w:val="center"/>
            <w:hideMark/>
          </w:tcPr>
          <w:p w14:paraId="53561590"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580" w:dyaOrig="1320" w14:anchorId="39BF49DA">
                <v:shape id="_x0000_i1046" type="#_x0000_t75" style="width:78.35pt;height:65.65pt" o:ole="">
                  <v:imagedata r:id="rId57" o:title=""/>
                </v:shape>
                <o:OLEObject Type="Embed" ProgID="ChemDraw.Document.6.0" ShapeID="_x0000_i1046" DrawAspect="Content" ObjectID="_1824640755" r:id="rId58"/>
              </w:object>
            </w:r>
          </w:p>
        </w:tc>
        <w:tc>
          <w:tcPr>
            <w:tcW w:w="983" w:type="dxa"/>
            <w:vMerge w:val="restart"/>
            <w:tcBorders>
              <w:top w:val="single" w:sz="4" w:space="0" w:color="auto"/>
              <w:left w:val="single" w:sz="4" w:space="0" w:color="auto"/>
              <w:bottom w:val="single" w:sz="4" w:space="0" w:color="auto"/>
              <w:right w:val="single" w:sz="4" w:space="0" w:color="auto"/>
            </w:tcBorders>
          </w:tcPr>
          <w:p w14:paraId="28862016" w14:textId="77777777" w:rsidR="00EA445C" w:rsidRDefault="00EA445C" w:rsidP="00EA445C">
            <w:pPr>
              <w:spacing w:line="360" w:lineRule="auto"/>
              <w:jc w:val="both"/>
              <w:rPr>
                <w:rFonts w:ascii="Times New Roman" w:hAnsi="Times New Roman" w:cs="Times New Roman"/>
              </w:rPr>
            </w:pPr>
          </w:p>
          <w:p w14:paraId="3C89BF9D" w14:textId="77777777" w:rsidR="00EA445C" w:rsidRDefault="00EA445C" w:rsidP="00EA445C">
            <w:pPr>
              <w:spacing w:line="360" w:lineRule="auto"/>
              <w:jc w:val="both"/>
              <w:rPr>
                <w:rFonts w:ascii="Times New Roman" w:hAnsi="Times New Roman" w:cs="Times New Roman"/>
              </w:rPr>
            </w:pPr>
          </w:p>
          <w:p w14:paraId="203D7FEF" w14:textId="0A26E00F" w:rsidR="00EA445C" w:rsidRDefault="00EA445C" w:rsidP="00EA445C">
            <w:pPr>
              <w:spacing w:line="360" w:lineRule="auto"/>
              <w:jc w:val="both"/>
              <w:rPr>
                <w:rFonts w:ascii="Times New Roman" w:hAnsi="Times New Roman" w:cs="Times New Roman"/>
              </w:rPr>
            </w:pPr>
          </w:p>
          <w:p w14:paraId="28CED5F7"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P-Fa7</w:t>
            </w:r>
          </w:p>
        </w:tc>
      </w:tr>
      <w:tr w:rsidR="00EA445C" w14:paraId="01477FEE" w14:textId="77777777" w:rsidTr="00EA445C">
        <w:trPr>
          <w:trHeight w:val="16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F223" w14:textId="77777777" w:rsidR="00EA445C" w:rsidRDefault="00EA445C" w:rsidP="00EA445C">
            <w:pPr>
              <w:spacing w:line="240" w:lineRule="auto"/>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vAlign w:val="center"/>
            <w:hideMark/>
          </w:tcPr>
          <w:p w14:paraId="59D0D00D"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Sulfametopyrazine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3ACA6A6D"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4030" w:dyaOrig="1730" w14:anchorId="7A810B28">
                <v:shape id="_x0000_i1047" type="#_x0000_t75" style="width:201pt;height:87pt" o:ole="">
                  <v:imagedata r:id="rId59" o:title=""/>
                </v:shape>
                <o:OLEObject Type="Embed" ProgID="ChemDraw.Document.6.0" ShapeID="_x0000_i1047" DrawAspect="Content" ObjectID="_1824640756" r:id="rId60"/>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19A10" w14:textId="77777777" w:rsidR="00EA445C" w:rsidRDefault="00EA445C" w:rsidP="00EA445C">
            <w:pPr>
              <w:spacing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00FB5" w14:textId="77777777" w:rsidR="00EA445C" w:rsidRDefault="00EA445C" w:rsidP="00EA445C">
            <w:pPr>
              <w:spacing w:line="240" w:lineRule="auto"/>
              <w:rPr>
                <w:rFonts w:ascii="Times New Roman" w:hAnsi="Times New Roman" w:cs="Times New Roman"/>
                <w:b/>
                <w:i/>
              </w:rPr>
            </w:pPr>
          </w:p>
        </w:tc>
      </w:tr>
      <w:tr w:rsidR="00EA445C" w14:paraId="539D6E6D"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vAlign w:val="center"/>
            <w:hideMark/>
          </w:tcPr>
          <w:p w14:paraId="2F038A87"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t>Sulfone</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5E6384F"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Dapsone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5C0AF6D1" w14:textId="77777777"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620" w:dyaOrig="1710" w14:anchorId="4395EB00">
                <v:shape id="_x0000_i1048" type="#_x0000_t75" style="width:181.45pt;height:85.8pt" o:ole="">
                  <v:imagedata r:id="rId61" o:title=""/>
                </v:shape>
                <o:OLEObject Type="Embed" ProgID="ChemDraw.Document.6.0" ShapeID="_x0000_i1048" DrawAspect="Content" ObjectID="_1824640757" r:id="rId62"/>
              </w:object>
            </w:r>
          </w:p>
        </w:tc>
        <w:tc>
          <w:tcPr>
            <w:tcW w:w="3721" w:type="dxa"/>
            <w:tcBorders>
              <w:top w:val="single" w:sz="4" w:space="0" w:color="auto"/>
              <w:left w:val="single" w:sz="4" w:space="0" w:color="auto"/>
              <w:bottom w:val="single" w:sz="4" w:space="0" w:color="auto"/>
              <w:right w:val="single" w:sz="4" w:space="0" w:color="auto"/>
            </w:tcBorders>
            <w:vAlign w:val="center"/>
          </w:tcPr>
          <w:p w14:paraId="2BAB966E" w14:textId="77777777" w:rsidR="00EA445C" w:rsidRDefault="00EA445C" w:rsidP="00EA445C">
            <w:pPr>
              <w:spacing w:line="360" w:lineRule="auto"/>
              <w:jc w:val="center"/>
              <w:rPr>
                <w:rFonts w:ascii="Times New Roman" w:hAnsi="Times New Roman" w:cs="Times New Roman"/>
              </w:rPr>
            </w:pPr>
          </w:p>
          <w:p w14:paraId="70B6C004" w14:textId="77777777"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170" w:dyaOrig="1170" w14:anchorId="6965475F">
                <v:shape id="_x0000_i1049" type="#_x0000_t75" style="width:58.2pt;height:58.2pt" o:ole="">
                  <v:imagedata r:id="rId63" o:title=""/>
                </v:shape>
                <o:OLEObject Type="Embed" ProgID="ChemDraw.Document.6.0" ShapeID="_x0000_i1049" DrawAspect="Content" ObjectID="_1824640758" r:id="rId64"/>
              </w:object>
            </w:r>
          </w:p>
        </w:tc>
        <w:tc>
          <w:tcPr>
            <w:tcW w:w="983" w:type="dxa"/>
            <w:tcBorders>
              <w:top w:val="single" w:sz="4" w:space="0" w:color="auto"/>
              <w:left w:val="single" w:sz="4" w:space="0" w:color="auto"/>
              <w:bottom w:val="single" w:sz="4" w:space="0" w:color="auto"/>
              <w:right w:val="single" w:sz="4" w:space="0" w:color="auto"/>
            </w:tcBorders>
          </w:tcPr>
          <w:p w14:paraId="2DF1534A" w14:textId="77777777" w:rsidR="00EA445C" w:rsidRDefault="00EA445C" w:rsidP="00EA445C">
            <w:pPr>
              <w:spacing w:line="360" w:lineRule="auto"/>
              <w:jc w:val="both"/>
              <w:rPr>
                <w:rFonts w:ascii="Times New Roman" w:hAnsi="Times New Roman" w:cs="Times New Roman"/>
                <w:b/>
                <w:i/>
              </w:rPr>
            </w:pPr>
          </w:p>
          <w:p w14:paraId="1E14FED9" w14:textId="77777777" w:rsidR="00EA445C" w:rsidRDefault="00EA445C" w:rsidP="00EA445C">
            <w:pPr>
              <w:spacing w:line="360" w:lineRule="auto"/>
              <w:jc w:val="both"/>
              <w:rPr>
                <w:rFonts w:ascii="Times New Roman" w:hAnsi="Times New Roman" w:cs="Times New Roman"/>
                <w:b/>
                <w:i/>
              </w:rPr>
            </w:pPr>
          </w:p>
          <w:p w14:paraId="268190D1"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P-Fo8</w:t>
            </w:r>
          </w:p>
        </w:tc>
      </w:tr>
      <w:tr w:rsidR="00EA445C" w14:paraId="504A1271" w14:textId="77777777" w:rsidTr="00EA445C">
        <w:trPr>
          <w:jc w:val="center"/>
        </w:trPr>
        <w:tc>
          <w:tcPr>
            <w:tcW w:w="2282" w:type="dxa"/>
            <w:tcBorders>
              <w:top w:val="single" w:sz="4" w:space="0" w:color="auto"/>
              <w:left w:val="single" w:sz="4" w:space="0" w:color="auto"/>
              <w:bottom w:val="single" w:sz="4" w:space="0" w:color="auto"/>
              <w:right w:val="single" w:sz="4" w:space="0" w:color="auto"/>
            </w:tcBorders>
            <w:vAlign w:val="center"/>
            <w:hideMark/>
          </w:tcPr>
          <w:p w14:paraId="59A236E5"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Hydroxynaptoquinones</w:t>
            </w:r>
            <w:proofErr w:type="spellEnd"/>
          </w:p>
        </w:tc>
        <w:tc>
          <w:tcPr>
            <w:tcW w:w="2118" w:type="dxa"/>
            <w:tcBorders>
              <w:top w:val="single" w:sz="4" w:space="0" w:color="auto"/>
              <w:left w:val="single" w:sz="4" w:space="0" w:color="auto"/>
              <w:bottom w:val="single" w:sz="4" w:space="0" w:color="auto"/>
              <w:right w:val="single" w:sz="4" w:space="0" w:color="auto"/>
            </w:tcBorders>
            <w:vAlign w:val="center"/>
            <w:hideMark/>
          </w:tcPr>
          <w:p w14:paraId="3F20CD3A" w14:textId="77777777" w:rsidR="00EA445C" w:rsidRDefault="00EA445C" w:rsidP="00EA445C">
            <w:pPr>
              <w:spacing w:line="360" w:lineRule="auto"/>
              <w:jc w:val="center"/>
              <w:rPr>
                <w:rFonts w:ascii="Times New Roman" w:hAnsi="Times New Roman" w:cs="Times New Roman"/>
              </w:rPr>
            </w:pPr>
            <w:proofErr w:type="spellStart"/>
            <w:r>
              <w:rPr>
                <w:rFonts w:ascii="Times New Roman" w:hAnsi="Times New Roman" w:cs="Times New Roman"/>
              </w:rPr>
              <w:t>Atovoquone</w:t>
            </w:r>
            <w:proofErr w:type="spellEnd"/>
          </w:p>
        </w:tc>
        <w:tc>
          <w:tcPr>
            <w:tcW w:w="4925" w:type="dxa"/>
            <w:tcBorders>
              <w:top w:val="single" w:sz="4" w:space="0" w:color="auto"/>
              <w:left w:val="single" w:sz="4" w:space="0" w:color="auto"/>
              <w:bottom w:val="single" w:sz="4" w:space="0" w:color="auto"/>
              <w:right w:val="single" w:sz="4" w:space="0" w:color="auto"/>
            </w:tcBorders>
            <w:hideMark/>
          </w:tcPr>
          <w:p w14:paraId="686E0255" w14:textId="2024438E" w:rsidR="00EA445C" w:rsidRDefault="00EA445C" w:rsidP="00EA445C">
            <w:pPr>
              <w:spacing w:line="360" w:lineRule="auto"/>
              <w:jc w:val="both"/>
              <w:rPr>
                <w:rFonts w:ascii="Times New Roman" w:hAnsi="Times New Roman" w:cs="Times New Roman"/>
              </w:rPr>
            </w:pPr>
            <w:r>
              <w:rPr>
                <w:rFonts w:ascii="Times New Roman" w:hAnsi="Times New Roman" w:cs="Times New Roman"/>
              </w:rPr>
              <w:object w:dxaOrig="3160" w:dyaOrig="2000" w14:anchorId="6D7008B0">
                <v:shape id="_x0000_i1050" type="#_x0000_t75" style="width:141.1pt;height:89.85pt" o:ole="">
                  <v:imagedata r:id="rId65" o:title=""/>
                </v:shape>
                <o:OLEObject Type="Embed" ProgID="ChemDraw.Document.6.0" ShapeID="_x0000_i1050" DrawAspect="Content" ObjectID="_1824640759" r:id="rId66"/>
              </w:object>
            </w:r>
          </w:p>
        </w:tc>
        <w:tc>
          <w:tcPr>
            <w:tcW w:w="3721" w:type="dxa"/>
            <w:tcBorders>
              <w:top w:val="single" w:sz="4" w:space="0" w:color="auto"/>
              <w:left w:val="single" w:sz="4" w:space="0" w:color="auto"/>
              <w:bottom w:val="single" w:sz="4" w:space="0" w:color="auto"/>
              <w:right w:val="single" w:sz="4" w:space="0" w:color="auto"/>
            </w:tcBorders>
            <w:vAlign w:val="center"/>
          </w:tcPr>
          <w:p w14:paraId="3329C2E5" w14:textId="1C3A2112" w:rsidR="00EA445C" w:rsidRDefault="00EA445C" w:rsidP="00EA445C">
            <w:pPr>
              <w:spacing w:line="360" w:lineRule="auto"/>
              <w:jc w:val="center"/>
              <w:rPr>
                <w:rFonts w:ascii="Times New Roman" w:hAnsi="Times New Roman" w:cs="Times New Roman"/>
              </w:rPr>
            </w:pPr>
            <w:r>
              <w:rPr>
                <w:rFonts w:ascii="Times New Roman" w:hAnsi="Times New Roman" w:cs="Times New Roman"/>
              </w:rPr>
              <w:object w:dxaOrig="1440" w:dyaOrig="1590" w14:anchorId="18A565AB">
                <v:shape id="_x0000_i1051" type="#_x0000_t75" style="width:1in;height:79.5pt" o:ole="">
                  <v:imagedata r:id="rId67" o:title=""/>
                </v:shape>
                <o:OLEObject Type="Embed" ProgID="ChemDraw.Document.6.0" ShapeID="_x0000_i1051" DrawAspect="Content" ObjectID="_1824640760" r:id="rId68"/>
              </w:object>
            </w:r>
          </w:p>
        </w:tc>
        <w:tc>
          <w:tcPr>
            <w:tcW w:w="983" w:type="dxa"/>
            <w:tcBorders>
              <w:top w:val="single" w:sz="4" w:space="0" w:color="auto"/>
              <w:left w:val="single" w:sz="4" w:space="0" w:color="auto"/>
              <w:bottom w:val="single" w:sz="4" w:space="0" w:color="auto"/>
              <w:right w:val="single" w:sz="4" w:space="0" w:color="auto"/>
            </w:tcBorders>
          </w:tcPr>
          <w:p w14:paraId="4B5E60A5" w14:textId="77777777" w:rsidR="00EA445C" w:rsidRDefault="00EA445C" w:rsidP="00EA445C">
            <w:pPr>
              <w:spacing w:line="360" w:lineRule="auto"/>
              <w:jc w:val="both"/>
              <w:rPr>
                <w:rFonts w:ascii="Times New Roman" w:hAnsi="Times New Roman" w:cs="Times New Roman"/>
              </w:rPr>
            </w:pPr>
          </w:p>
          <w:p w14:paraId="7EAE8755" w14:textId="77777777" w:rsidR="00EA445C" w:rsidRDefault="00EA445C" w:rsidP="00EA445C">
            <w:pPr>
              <w:spacing w:line="360" w:lineRule="auto"/>
              <w:jc w:val="both"/>
              <w:rPr>
                <w:rFonts w:ascii="Times New Roman" w:hAnsi="Times New Roman" w:cs="Times New Roman"/>
              </w:rPr>
            </w:pPr>
          </w:p>
          <w:p w14:paraId="088ACF94" w14:textId="77777777" w:rsidR="00EA445C" w:rsidRDefault="00EA445C" w:rsidP="00EA445C">
            <w:pPr>
              <w:spacing w:line="360" w:lineRule="auto"/>
              <w:jc w:val="both"/>
              <w:rPr>
                <w:rFonts w:ascii="Times New Roman" w:hAnsi="Times New Roman" w:cs="Times New Roman"/>
                <w:b/>
                <w:i/>
              </w:rPr>
            </w:pPr>
            <w:r>
              <w:rPr>
                <w:rFonts w:ascii="Times New Roman" w:hAnsi="Times New Roman" w:cs="Times New Roman"/>
                <w:b/>
                <w:i/>
              </w:rPr>
              <w:t>P-Hy9</w:t>
            </w:r>
          </w:p>
        </w:tc>
      </w:tr>
    </w:tbl>
    <w:p w14:paraId="13276E5C" w14:textId="77777777" w:rsidR="00EA445C" w:rsidRDefault="00EA445C" w:rsidP="003A046C">
      <w:pPr>
        <w:pStyle w:val="ListParagraph"/>
        <w:spacing w:after="0" w:line="240" w:lineRule="auto"/>
        <w:ind w:left="0"/>
        <w:jc w:val="both"/>
        <w:rPr>
          <w:rFonts w:ascii="Times New Roman" w:hAnsi="Times New Roman" w:cs="Times New Roman"/>
          <w:iCs/>
        </w:rPr>
      </w:pPr>
    </w:p>
    <w:p w14:paraId="57B6FF54" w14:textId="77777777" w:rsidR="00EA445C" w:rsidRDefault="00EA445C" w:rsidP="003A046C">
      <w:pPr>
        <w:pStyle w:val="ListParagraph"/>
        <w:spacing w:after="0" w:line="240" w:lineRule="auto"/>
        <w:ind w:left="0"/>
        <w:jc w:val="both"/>
        <w:rPr>
          <w:rFonts w:ascii="Times New Roman" w:hAnsi="Times New Roman" w:cs="Times New Roman"/>
          <w:iCs/>
        </w:rPr>
        <w:sectPr w:rsidR="00EA445C" w:rsidSect="00EA445C">
          <w:pgSz w:w="16838" w:h="11906" w:orient="landscape"/>
          <w:pgMar w:top="1417" w:right="1417" w:bottom="1417" w:left="1417" w:header="709" w:footer="709" w:gutter="0"/>
          <w:cols w:space="708"/>
          <w:docGrid w:linePitch="360"/>
        </w:sectPr>
      </w:pPr>
    </w:p>
    <w:p w14:paraId="46D6797A" w14:textId="10EFB9C9" w:rsidR="00EA445C" w:rsidRDefault="00EA445C" w:rsidP="003A046C">
      <w:pPr>
        <w:pStyle w:val="ListParagraph"/>
        <w:spacing w:after="0" w:line="240" w:lineRule="auto"/>
        <w:ind w:left="0"/>
        <w:jc w:val="both"/>
        <w:rPr>
          <w:rFonts w:ascii="Times New Roman" w:hAnsi="Times New Roman" w:cs="Times New Roman"/>
          <w:iCs/>
        </w:rPr>
      </w:pPr>
    </w:p>
    <w:p w14:paraId="7E6976B4" w14:textId="414DA22D" w:rsidR="00B71322" w:rsidRPr="00E54C5C" w:rsidRDefault="00E54C5C" w:rsidP="003A046C">
      <w:pPr>
        <w:pStyle w:val="ListParagraph"/>
        <w:spacing w:after="0" w:line="240" w:lineRule="auto"/>
        <w:ind w:left="0"/>
        <w:jc w:val="both"/>
        <w:rPr>
          <w:rFonts w:ascii="Times New Roman" w:hAnsi="Times New Roman" w:cs="Times New Roman"/>
          <w:lang w:val="en-US"/>
        </w:rPr>
      </w:pPr>
      <w:r w:rsidRPr="008C1FD5">
        <w:rPr>
          <w:rFonts w:ascii="Times New Roman" w:hAnsi="Times New Roman" w:cs="Times New Roman"/>
          <w:iCs/>
          <w:highlight w:val="yellow"/>
          <w:lang w:val="en-US"/>
        </w:rPr>
        <w:t>Gaussian</w:t>
      </w:r>
      <w:r w:rsidR="008C1FD5" w:rsidRPr="008C1FD5">
        <w:rPr>
          <w:rFonts w:ascii="Times New Roman" w:hAnsi="Times New Roman" w:cs="Times New Roman"/>
          <w:iCs/>
          <w:highlight w:val="yellow"/>
          <w:lang w:val="en-US"/>
        </w:rPr>
        <w:t xml:space="preserve"> </w:t>
      </w:r>
      <w:r w:rsidRPr="008C1FD5">
        <w:rPr>
          <w:rFonts w:ascii="Times New Roman" w:hAnsi="Times New Roman" w:cs="Times New Roman"/>
          <w:iCs/>
          <w:highlight w:val="yellow"/>
          <w:lang w:val="en-US"/>
        </w:rPr>
        <w:t>09</w:t>
      </w:r>
      <w:r w:rsidRPr="00E54C5C">
        <w:rPr>
          <w:rFonts w:ascii="Times New Roman" w:hAnsi="Times New Roman" w:cs="Times New Roman"/>
          <w:iCs/>
          <w:lang w:val="en-US"/>
        </w:rPr>
        <w:t xml:space="preserve"> software with its </w:t>
      </w:r>
      <w:proofErr w:type="spellStart"/>
      <w:r w:rsidR="008C1FD5" w:rsidRPr="008C1FD5">
        <w:rPr>
          <w:rFonts w:ascii="Times New Roman" w:hAnsi="Times New Roman" w:cs="Times New Roman"/>
          <w:iCs/>
          <w:highlight w:val="yellow"/>
          <w:lang w:val="en-US"/>
        </w:rPr>
        <w:t>Gaussv</w:t>
      </w:r>
      <w:r w:rsidRPr="008C1FD5">
        <w:rPr>
          <w:rFonts w:ascii="Times New Roman" w:hAnsi="Times New Roman" w:cs="Times New Roman"/>
          <w:iCs/>
          <w:highlight w:val="yellow"/>
          <w:lang w:val="en-US"/>
        </w:rPr>
        <w:t>iew</w:t>
      </w:r>
      <w:proofErr w:type="spellEnd"/>
      <w:r w:rsidRPr="00E54C5C">
        <w:rPr>
          <w:rFonts w:ascii="Times New Roman" w:hAnsi="Times New Roman" w:cs="Times New Roman"/>
          <w:iCs/>
          <w:lang w:val="en-US"/>
        </w:rPr>
        <w:t xml:space="preserve"> graphical interface was used for calculating physicochemical parameters and visualizing chemical structures. The molecular dipole moment and global reactivity parameters (∆E, </w:t>
      </w:r>
      <w:r w:rsidRPr="00E54C5C">
        <w:rPr>
          <w:rFonts w:ascii="Times New Roman" w:hAnsi="Times New Roman" w:cs="Times New Roman"/>
          <w:iCs/>
        </w:rPr>
        <w:t>χ</w:t>
      </w:r>
      <w:r w:rsidRPr="00E54C5C">
        <w:rPr>
          <w:rFonts w:ascii="Times New Roman" w:hAnsi="Times New Roman" w:cs="Times New Roman"/>
          <w:iCs/>
          <w:lang w:val="en-US"/>
        </w:rPr>
        <w:t xml:space="preserve">, µ, </w:t>
      </w:r>
      <w:r w:rsidRPr="00E54C5C">
        <w:rPr>
          <w:rFonts w:ascii="Times New Roman" w:hAnsi="Times New Roman" w:cs="Times New Roman"/>
          <w:iCs/>
        </w:rPr>
        <w:t>ղ</w:t>
      </w:r>
      <w:r w:rsidRPr="00E54C5C">
        <w:rPr>
          <w:rFonts w:ascii="Times New Roman" w:hAnsi="Times New Roman" w:cs="Times New Roman"/>
          <w:iCs/>
          <w:lang w:val="en-US"/>
        </w:rPr>
        <w:t xml:space="preserve">, S, </w:t>
      </w:r>
      <w:r w:rsidRPr="00E54C5C">
        <w:rPr>
          <w:rFonts w:ascii="Cambria Math" w:hAnsi="Cambria Math" w:cs="Cambria Math"/>
          <w:iCs/>
          <w:lang w:val="en-US"/>
        </w:rPr>
        <w:t>⍵</w:t>
      </w:r>
      <w:r w:rsidRPr="00E54C5C">
        <w:rPr>
          <w:rFonts w:ascii="Times New Roman" w:hAnsi="Times New Roman" w:cs="Times New Roman"/>
          <w:iCs/>
          <w:lang w:val="en-US"/>
        </w:rPr>
        <w:t xml:space="preserve">) were determined at the B3LYP/6-31+G (d, p) theory level, taking into account the effect of solvation in water using the IEFPCM model [15,16]. Pharmacokinetic and ADME properties were calculated using the online software </w:t>
      </w:r>
      <w:proofErr w:type="spellStart"/>
      <w:r w:rsidRPr="00E54C5C">
        <w:rPr>
          <w:rFonts w:ascii="Times New Roman" w:hAnsi="Times New Roman" w:cs="Times New Roman"/>
          <w:iCs/>
          <w:lang w:val="en-US"/>
        </w:rPr>
        <w:t>Molinspiration</w:t>
      </w:r>
      <w:proofErr w:type="spellEnd"/>
      <w:r w:rsidRPr="00E54C5C">
        <w:rPr>
          <w:rFonts w:ascii="Times New Roman" w:hAnsi="Times New Roman" w:cs="Times New Roman"/>
          <w:iCs/>
          <w:lang w:val="en-US"/>
        </w:rPr>
        <w:t xml:space="preserve"> and </w:t>
      </w:r>
      <w:proofErr w:type="spellStart"/>
      <w:r w:rsidRPr="00E54C5C">
        <w:rPr>
          <w:rFonts w:ascii="Times New Roman" w:hAnsi="Times New Roman" w:cs="Times New Roman"/>
          <w:iCs/>
          <w:lang w:val="en-US"/>
        </w:rPr>
        <w:t>Swissadme</w:t>
      </w:r>
      <w:proofErr w:type="spellEnd"/>
      <w:r w:rsidRPr="00E54C5C">
        <w:rPr>
          <w:rFonts w:ascii="Times New Roman" w:hAnsi="Times New Roman" w:cs="Times New Roman"/>
          <w:iCs/>
          <w:lang w:val="en-US"/>
        </w:rPr>
        <w:t xml:space="preserve">. All </w:t>
      </w:r>
      <w:r w:rsidR="008C1FD5">
        <w:rPr>
          <w:rFonts w:ascii="Times New Roman" w:hAnsi="Times New Roman" w:cs="Times New Roman"/>
          <w:iCs/>
          <w:lang w:val="en-US"/>
        </w:rPr>
        <w:t xml:space="preserve">of the parameters determined </w:t>
      </w:r>
      <w:r w:rsidR="008C1FD5" w:rsidRPr="008C1FD5">
        <w:rPr>
          <w:rFonts w:ascii="Times New Roman" w:hAnsi="Times New Roman" w:cs="Times New Roman"/>
          <w:iCs/>
          <w:highlight w:val="yellow"/>
          <w:lang w:val="en-US"/>
        </w:rPr>
        <w:t>mad</w:t>
      </w:r>
      <w:r w:rsidRPr="008C1FD5">
        <w:rPr>
          <w:rFonts w:ascii="Times New Roman" w:hAnsi="Times New Roman" w:cs="Times New Roman"/>
          <w:iCs/>
          <w:highlight w:val="yellow"/>
          <w:lang w:val="en-US"/>
        </w:rPr>
        <w:t>e</w:t>
      </w:r>
      <w:r w:rsidRPr="00E54C5C">
        <w:rPr>
          <w:rFonts w:ascii="Times New Roman" w:hAnsi="Times New Roman" w:cs="Times New Roman"/>
          <w:iCs/>
          <w:lang w:val="en-US"/>
        </w:rPr>
        <w:t xml:space="preserve"> it possible to assess not only the chemical stability but also the solubility and bioavailability of the molecules studied in the biological environment. All of this contributes to predicting the therapeutic quality of the identified pharmacophores [17].</w:t>
      </w:r>
      <w:r w:rsidR="00E04199" w:rsidRPr="00E54C5C">
        <w:rPr>
          <w:rFonts w:ascii="Times New Roman" w:hAnsi="Times New Roman" w:cs="Times New Roman"/>
          <w:iCs/>
          <w:lang w:val="en-US"/>
        </w:rPr>
        <w:t xml:space="preserve"> </w:t>
      </w:r>
      <w:r w:rsidRPr="00E54C5C">
        <w:rPr>
          <w:rFonts w:ascii="Times New Roman" w:hAnsi="Times New Roman" w:cs="Times New Roman"/>
          <w:iCs/>
          <w:lang w:val="en-US"/>
        </w:rPr>
        <w:t xml:space="preserve">In addition, Principal Component Analysis (PCA) and Ascending Hierarchical Classification </w:t>
      </w:r>
      <w:r w:rsidR="008C1FD5">
        <w:rPr>
          <w:rFonts w:ascii="Times New Roman" w:hAnsi="Times New Roman" w:cs="Times New Roman"/>
          <w:iCs/>
          <w:lang w:val="en-US"/>
        </w:rPr>
        <w:t xml:space="preserve">(AHC) statistical treatments </w:t>
      </w:r>
      <w:r w:rsidR="008C1FD5" w:rsidRPr="008C1FD5">
        <w:rPr>
          <w:rFonts w:ascii="Times New Roman" w:hAnsi="Times New Roman" w:cs="Times New Roman"/>
          <w:iCs/>
          <w:highlight w:val="yellow"/>
          <w:lang w:val="en-US"/>
        </w:rPr>
        <w:t>were</w:t>
      </w:r>
      <w:r w:rsidRPr="00E54C5C">
        <w:rPr>
          <w:rFonts w:ascii="Times New Roman" w:hAnsi="Times New Roman" w:cs="Times New Roman"/>
          <w:iCs/>
          <w:lang w:val="en-US"/>
        </w:rPr>
        <w:t xml:space="preserve"> performed using XLSTAT 2016 software. These different analyses </w:t>
      </w:r>
      <w:r w:rsidRPr="008C1FD5">
        <w:rPr>
          <w:rFonts w:ascii="Times New Roman" w:hAnsi="Times New Roman" w:cs="Times New Roman"/>
          <w:iCs/>
          <w:highlight w:val="yellow"/>
          <w:lang w:val="en-US"/>
        </w:rPr>
        <w:t>help</w:t>
      </w:r>
      <w:r w:rsidR="008C1FD5" w:rsidRPr="008C1FD5">
        <w:rPr>
          <w:rFonts w:ascii="Times New Roman" w:hAnsi="Times New Roman" w:cs="Times New Roman"/>
          <w:iCs/>
          <w:highlight w:val="yellow"/>
          <w:lang w:val="en-US"/>
        </w:rPr>
        <w:t>ed</w:t>
      </w:r>
      <w:r w:rsidRPr="00E54C5C">
        <w:rPr>
          <w:rFonts w:ascii="Times New Roman" w:hAnsi="Times New Roman" w:cs="Times New Roman"/>
          <w:iCs/>
          <w:lang w:val="en-US"/>
        </w:rPr>
        <w:t xml:space="preserve"> to determine the typology of pharmacophores and then classify </w:t>
      </w:r>
      <w:r>
        <w:rPr>
          <w:rFonts w:ascii="Times New Roman" w:hAnsi="Times New Roman" w:cs="Times New Roman"/>
          <w:iCs/>
          <w:lang w:val="en-US"/>
        </w:rPr>
        <w:t>them by similarity</w:t>
      </w:r>
      <w:r w:rsidR="004D117C" w:rsidRPr="00E54C5C">
        <w:rPr>
          <w:rFonts w:ascii="Times New Roman" w:hAnsi="Times New Roman" w:cs="Times New Roman"/>
          <w:lang w:val="en-US"/>
        </w:rPr>
        <w:t>.</w:t>
      </w:r>
    </w:p>
    <w:p w14:paraId="2EFBC829" w14:textId="6D13623A" w:rsidR="00C02A15" w:rsidRPr="00337CD7" w:rsidRDefault="00C20CCE" w:rsidP="00C20CCE">
      <w:pPr>
        <w:pStyle w:val="ListParagraph"/>
        <w:numPr>
          <w:ilvl w:val="0"/>
          <w:numId w:val="3"/>
        </w:numPr>
        <w:spacing w:after="0" w:line="240" w:lineRule="auto"/>
        <w:jc w:val="both"/>
        <w:rPr>
          <w:rFonts w:ascii="Times New Roman" w:hAnsi="Times New Roman" w:cs="Times New Roman"/>
          <w:b/>
          <w:bCs/>
        </w:rPr>
      </w:pPr>
      <w:proofErr w:type="spellStart"/>
      <w:r w:rsidRPr="00C20CCE">
        <w:rPr>
          <w:rFonts w:ascii="Times New Roman" w:hAnsi="Times New Roman" w:cs="Times New Roman"/>
          <w:b/>
          <w:bCs/>
        </w:rPr>
        <w:t>Results</w:t>
      </w:r>
      <w:proofErr w:type="spellEnd"/>
      <w:r w:rsidRPr="00C20CCE">
        <w:rPr>
          <w:rFonts w:ascii="Times New Roman" w:hAnsi="Times New Roman" w:cs="Times New Roman"/>
          <w:b/>
          <w:bCs/>
        </w:rPr>
        <w:t xml:space="preserve"> and discussion</w:t>
      </w:r>
    </w:p>
    <w:p w14:paraId="0C3A8E9C" w14:textId="65CD5A72" w:rsidR="00670B09" w:rsidRPr="00C20CCE" w:rsidRDefault="00670B09" w:rsidP="008E2182">
      <w:pPr>
        <w:pStyle w:val="ListParagraph"/>
        <w:spacing w:before="120" w:after="120" w:line="240" w:lineRule="auto"/>
        <w:ind w:left="0"/>
        <w:rPr>
          <w:rFonts w:ascii="Times New Roman" w:hAnsi="Times New Roman" w:cs="Times New Roman"/>
          <w:b/>
          <w:bCs/>
          <w:i/>
          <w:lang w:val="en-US"/>
        </w:rPr>
      </w:pPr>
      <w:r w:rsidRPr="00C20CCE">
        <w:rPr>
          <w:rFonts w:ascii="Times New Roman" w:hAnsi="Times New Roman" w:cs="Times New Roman"/>
          <w:b/>
          <w:bCs/>
          <w:i/>
          <w:lang w:val="en-US"/>
        </w:rPr>
        <w:t xml:space="preserve">3.1. </w:t>
      </w:r>
      <w:r w:rsidR="00C20CCE" w:rsidRPr="00C20CCE">
        <w:rPr>
          <w:rFonts w:ascii="Times New Roman" w:hAnsi="Times New Roman" w:cs="Times New Roman"/>
          <w:b/>
          <w:bCs/>
          <w:i/>
          <w:lang w:val="en-US"/>
        </w:rPr>
        <w:t>Study of ADMET and pharmacokinetic properties of pharmacophores</w:t>
      </w:r>
    </w:p>
    <w:p w14:paraId="3D7DB59D" w14:textId="0CBB0AFF" w:rsidR="008E2182" w:rsidRPr="00C20CCE" w:rsidRDefault="00C20CCE" w:rsidP="008E2182">
      <w:pPr>
        <w:pStyle w:val="ListParagraph"/>
        <w:spacing w:after="120" w:line="240" w:lineRule="auto"/>
        <w:ind w:left="0"/>
        <w:jc w:val="both"/>
        <w:rPr>
          <w:rFonts w:ascii="Times New Roman" w:hAnsi="Times New Roman" w:cs="Times New Roman"/>
          <w:bCs/>
          <w:iCs/>
          <w:lang w:val="en-US"/>
        </w:rPr>
      </w:pPr>
      <w:r w:rsidRPr="00C20CCE">
        <w:rPr>
          <w:rFonts w:ascii="Times New Roman" w:hAnsi="Times New Roman" w:cs="Times New Roman"/>
          <w:bCs/>
          <w:iCs/>
          <w:lang w:val="en-US"/>
        </w:rPr>
        <w:t xml:space="preserve">The pharmacokinetic and ADMET properties of the different pharmacophores determined using the online software </w:t>
      </w:r>
      <w:proofErr w:type="spellStart"/>
      <w:r w:rsidRPr="00C20CCE">
        <w:rPr>
          <w:rFonts w:ascii="Times New Roman" w:hAnsi="Times New Roman" w:cs="Times New Roman"/>
          <w:bCs/>
          <w:iCs/>
          <w:lang w:val="en-US"/>
        </w:rPr>
        <w:t>Molinspiration</w:t>
      </w:r>
      <w:proofErr w:type="spellEnd"/>
      <w:r w:rsidRPr="00C20CCE">
        <w:rPr>
          <w:rFonts w:ascii="Times New Roman" w:hAnsi="Times New Roman" w:cs="Times New Roman"/>
          <w:bCs/>
          <w:iCs/>
          <w:lang w:val="en-US"/>
        </w:rPr>
        <w:t xml:space="preserve"> and </w:t>
      </w:r>
      <w:proofErr w:type="spellStart"/>
      <w:r>
        <w:rPr>
          <w:rFonts w:ascii="Times New Roman" w:hAnsi="Times New Roman" w:cs="Times New Roman"/>
          <w:bCs/>
          <w:iCs/>
          <w:lang w:val="en-US"/>
        </w:rPr>
        <w:t>Swissadme</w:t>
      </w:r>
      <w:proofErr w:type="spellEnd"/>
      <w:r>
        <w:rPr>
          <w:rFonts w:ascii="Times New Roman" w:hAnsi="Times New Roman" w:cs="Times New Roman"/>
          <w:bCs/>
          <w:iCs/>
          <w:lang w:val="en-US"/>
        </w:rPr>
        <w:t xml:space="preserve"> are shown in Table II</w:t>
      </w:r>
      <w:r w:rsidR="008E2182" w:rsidRPr="00C20CCE">
        <w:rPr>
          <w:rFonts w:ascii="Times New Roman" w:hAnsi="Times New Roman" w:cs="Times New Roman"/>
          <w:bCs/>
          <w:iCs/>
          <w:lang w:val="en-US"/>
        </w:rPr>
        <w:t>.</w:t>
      </w:r>
    </w:p>
    <w:p w14:paraId="1AAD11B1" w14:textId="41425908" w:rsidR="00180931" w:rsidRPr="00337CD7" w:rsidRDefault="00C20CCE" w:rsidP="008E2182">
      <w:pPr>
        <w:rPr>
          <w:rFonts w:ascii="Times New Roman" w:hAnsi="Times New Roman" w:cs="Times New Roman"/>
          <w:bCs/>
          <w:iCs/>
        </w:rPr>
      </w:pPr>
      <w:r>
        <w:rPr>
          <w:rFonts w:ascii="Times New Roman" w:hAnsi="Times New Roman" w:cs="Times New Roman"/>
          <w:b/>
          <w:bCs/>
          <w:iCs/>
        </w:rPr>
        <w:t>Table</w:t>
      </w:r>
      <w:r w:rsidR="008E2182" w:rsidRPr="00337CD7">
        <w:rPr>
          <w:rFonts w:ascii="Times New Roman" w:hAnsi="Times New Roman" w:cs="Times New Roman"/>
          <w:b/>
          <w:bCs/>
          <w:iCs/>
        </w:rPr>
        <w:t xml:space="preserve"> </w:t>
      </w:r>
      <w:proofErr w:type="gramStart"/>
      <w:r w:rsidR="008C7A71">
        <w:rPr>
          <w:rFonts w:ascii="Times New Roman" w:hAnsi="Times New Roman" w:cs="Times New Roman"/>
          <w:b/>
          <w:bCs/>
          <w:iCs/>
        </w:rPr>
        <w:t>2</w:t>
      </w:r>
      <w:r w:rsidR="008E2182" w:rsidRPr="00337CD7">
        <w:rPr>
          <w:rFonts w:ascii="Times New Roman" w:hAnsi="Times New Roman" w:cs="Times New Roman"/>
          <w:bCs/>
          <w:iCs/>
        </w:rPr>
        <w:t>:</w:t>
      </w:r>
      <w:proofErr w:type="gramEnd"/>
      <w:r w:rsidR="008E2182" w:rsidRPr="00337CD7">
        <w:rPr>
          <w:rFonts w:ascii="Times New Roman" w:hAnsi="Times New Roman" w:cs="Times New Roman"/>
          <w:bCs/>
          <w:iCs/>
        </w:rPr>
        <w:t xml:space="preserve"> </w:t>
      </w:r>
      <w:proofErr w:type="spellStart"/>
      <w:r w:rsidRPr="00C20CCE">
        <w:rPr>
          <w:rFonts w:ascii="Times New Roman" w:hAnsi="Times New Roman" w:cs="Times New Roman"/>
          <w:bCs/>
          <w:iCs/>
        </w:rPr>
        <w:t>Pharmacokinetic</w:t>
      </w:r>
      <w:proofErr w:type="spellEnd"/>
      <w:r w:rsidRPr="00C20CCE">
        <w:rPr>
          <w:rFonts w:ascii="Times New Roman" w:hAnsi="Times New Roman" w:cs="Times New Roman"/>
          <w:bCs/>
          <w:iCs/>
        </w:rPr>
        <w:t xml:space="preserve"> </w:t>
      </w:r>
      <w:proofErr w:type="spellStart"/>
      <w:r w:rsidRPr="00C20CCE">
        <w:rPr>
          <w:rFonts w:ascii="Times New Roman" w:hAnsi="Times New Roman" w:cs="Times New Roman"/>
          <w:bCs/>
          <w:iCs/>
        </w:rPr>
        <w:t>descriptors</w:t>
      </w:r>
      <w:proofErr w:type="spellEnd"/>
      <w:r w:rsidRPr="00C20CCE">
        <w:rPr>
          <w:rFonts w:ascii="Times New Roman" w:hAnsi="Times New Roman" w:cs="Times New Roman"/>
          <w:bCs/>
          <w:iCs/>
        </w:rPr>
        <w:t xml:space="preserve"> and ADMET pharmacophores</w:t>
      </w:r>
      <w:r w:rsidR="008E2182" w:rsidRPr="00337CD7">
        <w:rPr>
          <w:rFonts w:ascii="Times New Roman" w:hAnsi="Times New Roman" w:cs="Times New Roman"/>
          <w:bCs/>
          <w:i/>
          <w:iCs/>
        </w:rPr>
        <w:t xml:space="preserve"> </w:t>
      </w:r>
    </w:p>
    <w:tbl>
      <w:tblPr>
        <w:tblW w:w="5040" w:type="dxa"/>
        <w:jc w:val="center"/>
        <w:tblCellMar>
          <w:left w:w="70" w:type="dxa"/>
          <w:right w:w="70" w:type="dxa"/>
        </w:tblCellMar>
        <w:tblLook w:val="04A0" w:firstRow="1" w:lastRow="0" w:firstColumn="1" w:lastColumn="0" w:noHBand="0" w:noVBand="1"/>
      </w:tblPr>
      <w:tblGrid>
        <w:gridCol w:w="1155"/>
        <w:gridCol w:w="960"/>
        <w:gridCol w:w="620"/>
        <w:gridCol w:w="800"/>
        <w:gridCol w:w="680"/>
        <w:gridCol w:w="960"/>
      </w:tblGrid>
      <w:tr w:rsidR="00337CD7" w:rsidRPr="00337CD7" w14:paraId="78FF04E8" w14:textId="77777777" w:rsidTr="00376985">
        <w:trPr>
          <w:trHeight w:val="315"/>
          <w:jc w:val="center"/>
        </w:trPr>
        <w:tc>
          <w:tcPr>
            <w:tcW w:w="1020" w:type="dxa"/>
            <w:tcBorders>
              <w:top w:val="single" w:sz="4" w:space="0" w:color="auto"/>
              <w:bottom w:val="single" w:sz="4" w:space="0" w:color="auto"/>
            </w:tcBorders>
            <w:noWrap/>
            <w:vAlign w:val="bottom"/>
            <w:hideMark/>
          </w:tcPr>
          <w:p w14:paraId="7C8C7BFA" w14:textId="394A25A9" w:rsidR="00FE03E8" w:rsidRPr="00337CD7" w:rsidRDefault="00C20CCE" w:rsidP="00174023">
            <w:pPr>
              <w:tabs>
                <w:tab w:val="left" w:pos="2493"/>
              </w:tabs>
              <w:spacing w:after="0"/>
              <w:rPr>
                <w:rFonts w:ascii="Times New Roman" w:hAnsi="Times New Roman" w:cs="Times New Roman"/>
              </w:rPr>
            </w:pPr>
            <w:proofErr w:type="spellStart"/>
            <w:r>
              <w:rPr>
                <w:rFonts w:ascii="Times New Roman" w:hAnsi="Times New Roman" w:cs="Times New Roman"/>
              </w:rPr>
              <w:t>Descripto</w:t>
            </w:r>
            <w:r w:rsidR="006C2D1D" w:rsidRPr="00337CD7">
              <w:rPr>
                <w:rFonts w:ascii="Times New Roman" w:hAnsi="Times New Roman" w:cs="Times New Roman"/>
              </w:rPr>
              <w:t>rs</w:t>
            </w:r>
            <w:proofErr w:type="spellEnd"/>
          </w:p>
        </w:tc>
        <w:tc>
          <w:tcPr>
            <w:tcW w:w="960" w:type="dxa"/>
            <w:tcBorders>
              <w:top w:val="single" w:sz="4" w:space="0" w:color="auto"/>
              <w:bottom w:val="single" w:sz="4" w:space="0" w:color="auto"/>
            </w:tcBorders>
            <w:noWrap/>
            <w:vAlign w:val="center"/>
            <w:hideMark/>
          </w:tcPr>
          <w:p w14:paraId="347D2D5E" w14:textId="5B5F9AD3" w:rsidR="00FE03E8" w:rsidRPr="00337CD7" w:rsidRDefault="00FE03E8" w:rsidP="00376985">
            <w:pPr>
              <w:tabs>
                <w:tab w:val="left" w:pos="2493"/>
              </w:tabs>
              <w:spacing w:after="0"/>
              <w:jc w:val="center"/>
              <w:rPr>
                <w:rFonts w:ascii="Times New Roman" w:hAnsi="Times New Roman" w:cs="Times New Roman"/>
                <w:i/>
                <w:iCs/>
              </w:rPr>
            </w:pPr>
            <w:r w:rsidRPr="00337CD7">
              <w:rPr>
                <w:rFonts w:ascii="Times New Roman" w:hAnsi="Times New Roman" w:cs="Times New Roman"/>
                <w:i/>
                <w:iCs/>
              </w:rPr>
              <w:t>M</w:t>
            </w:r>
            <w:r w:rsidR="00C20CCE">
              <w:rPr>
                <w:rFonts w:ascii="Times New Roman" w:hAnsi="Times New Roman" w:cs="Times New Roman"/>
                <w:i/>
                <w:iCs/>
              </w:rPr>
              <w:t>W</w:t>
            </w:r>
          </w:p>
        </w:tc>
        <w:tc>
          <w:tcPr>
            <w:tcW w:w="620" w:type="dxa"/>
            <w:tcBorders>
              <w:top w:val="single" w:sz="4" w:space="0" w:color="auto"/>
              <w:bottom w:val="single" w:sz="4" w:space="0" w:color="auto"/>
            </w:tcBorders>
            <w:noWrap/>
            <w:vAlign w:val="center"/>
            <w:hideMark/>
          </w:tcPr>
          <w:p w14:paraId="41423941" w14:textId="3756B854" w:rsidR="00FE03E8" w:rsidRPr="00337CD7" w:rsidRDefault="00FE03E8" w:rsidP="00376985">
            <w:pPr>
              <w:tabs>
                <w:tab w:val="left" w:pos="2493"/>
              </w:tabs>
              <w:spacing w:after="0"/>
              <w:jc w:val="center"/>
              <w:rPr>
                <w:rFonts w:ascii="Times New Roman" w:hAnsi="Times New Roman" w:cs="Times New Roman"/>
                <w:i/>
                <w:iCs/>
              </w:rPr>
            </w:pPr>
            <w:r w:rsidRPr="00337CD7">
              <w:rPr>
                <w:rFonts w:ascii="Times New Roman" w:hAnsi="Times New Roman" w:cs="Times New Roman"/>
                <w:i/>
                <w:iCs/>
              </w:rPr>
              <w:t>H</w:t>
            </w:r>
            <w:r w:rsidR="00C20CCE">
              <w:rPr>
                <w:rFonts w:ascii="Times New Roman" w:hAnsi="Times New Roman" w:cs="Times New Roman"/>
                <w:i/>
                <w:iCs/>
              </w:rPr>
              <w:t>BA</w:t>
            </w:r>
          </w:p>
        </w:tc>
        <w:tc>
          <w:tcPr>
            <w:tcW w:w="800" w:type="dxa"/>
            <w:tcBorders>
              <w:top w:val="single" w:sz="4" w:space="0" w:color="auto"/>
              <w:bottom w:val="single" w:sz="4" w:space="0" w:color="auto"/>
            </w:tcBorders>
            <w:noWrap/>
            <w:vAlign w:val="bottom"/>
            <w:hideMark/>
          </w:tcPr>
          <w:p w14:paraId="249B3EBE"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LogP</w:t>
            </w:r>
          </w:p>
        </w:tc>
        <w:tc>
          <w:tcPr>
            <w:tcW w:w="680" w:type="dxa"/>
            <w:tcBorders>
              <w:top w:val="single" w:sz="4" w:space="0" w:color="auto"/>
              <w:bottom w:val="single" w:sz="4" w:space="0" w:color="auto"/>
            </w:tcBorders>
            <w:noWrap/>
            <w:vAlign w:val="bottom"/>
            <w:hideMark/>
          </w:tcPr>
          <w:p w14:paraId="72C2C77A" w14:textId="7E7A5E1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H</w:t>
            </w:r>
            <w:r w:rsidR="00C20CCE">
              <w:rPr>
                <w:rFonts w:ascii="Times New Roman" w:hAnsi="Times New Roman" w:cs="Times New Roman"/>
              </w:rPr>
              <w:t>BD</w:t>
            </w:r>
          </w:p>
        </w:tc>
        <w:tc>
          <w:tcPr>
            <w:tcW w:w="960" w:type="dxa"/>
            <w:tcBorders>
              <w:top w:val="single" w:sz="4" w:space="0" w:color="auto"/>
              <w:bottom w:val="single" w:sz="4" w:space="0" w:color="auto"/>
            </w:tcBorders>
            <w:noWrap/>
            <w:vAlign w:val="bottom"/>
            <w:hideMark/>
          </w:tcPr>
          <w:p w14:paraId="356B85F6"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TPSA</w:t>
            </w:r>
          </w:p>
        </w:tc>
      </w:tr>
      <w:tr w:rsidR="00337CD7" w:rsidRPr="00337CD7" w14:paraId="3BFF01F3" w14:textId="77777777" w:rsidTr="00376985">
        <w:trPr>
          <w:trHeight w:val="315"/>
          <w:jc w:val="center"/>
        </w:trPr>
        <w:tc>
          <w:tcPr>
            <w:tcW w:w="1020" w:type="dxa"/>
            <w:tcBorders>
              <w:top w:val="single" w:sz="4" w:space="0" w:color="auto"/>
            </w:tcBorders>
            <w:noWrap/>
            <w:vAlign w:val="bottom"/>
            <w:hideMark/>
          </w:tcPr>
          <w:p w14:paraId="6A6C309D"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P-4A1</w:t>
            </w:r>
          </w:p>
        </w:tc>
        <w:tc>
          <w:tcPr>
            <w:tcW w:w="960" w:type="dxa"/>
            <w:tcBorders>
              <w:top w:val="single" w:sz="4" w:space="0" w:color="auto"/>
            </w:tcBorders>
            <w:noWrap/>
            <w:vAlign w:val="center"/>
            <w:hideMark/>
          </w:tcPr>
          <w:p w14:paraId="5391EC72" w14:textId="017366F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144</w:t>
            </w:r>
            <w:r w:rsidR="00241594">
              <w:rPr>
                <w:rFonts w:ascii="Times New Roman" w:hAnsi="Times New Roman" w:cs="Times New Roman"/>
              </w:rPr>
              <w:t>.</w:t>
            </w:r>
            <w:r w:rsidRPr="00337CD7">
              <w:rPr>
                <w:rFonts w:ascii="Times New Roman" w:hAnsi="Times New Roman" w:cs="Times New Roman"/>
              </w:rPr>
              <w:t>17</w:t>
            </w:r>
          </w:p>
        </w:tc>
        <w:tc>
          <w:tcPr>
            <w:tcW w:w="620" w:type="dxa"/>
            <w:tcBorders>
              <w:top w:val="single" w:sz="4" w:space="0" w:color="auto"/>
            </w:tcBorders>
            <w:noWrap/>
            <w:vAlign w:val="center"/>
            <w:hideMark/>
          </w:tcPr>
          <w:p w14:paraId="2028C375"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800" w:type="dxa"/>
            <w:tcBorders>
              <w:top w:val="single" w:sz="4" w:space="0" w:color="auto"/>
            </w:tcBorders>
            <w:noWrap/>
            <w:vAlign w:val="bottom"/>
            <w:hideMark/>
          </w:tcPr>
          <w:p w14:paraId="56DF2483" w14:textId="479454D9"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19</w:t>
            </w:r>
          </w:p>
        </w:tc>
        <w:tc>
          <w:tcPr>
            <w:tcW w:w="680" w:type="dxa"/>
            <w:tcBorders>
              <w:top w:val="single" w:sz="4" w:space="0" w:color="auto"/>
            </w:tcBorders>
            <w:noWrap/>
            <w:vAlign w:val="bottom"/>
            <w:hideMark/>
          </w:tcPr>
          <w:p w14:paraId="49889A9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single" w:sz="4" w:space="0" w:color="auto"/>
            </w:tcBorders>
            <w:noWrap/>
            <w:vAlign w:val="bottom"/>
            <w:hideMark/>
          </w:tcPr>
          <w:p w14:paraId="189F8D5E" w14:textId="1949041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38</w:t>
            </w:r>
            <w:r w:rsidR="00241594">
              <w:rPr>
                <w:rFonts w:ascii="Times New Roman" w:hAnsi="Times New Roman" w:cs="Times New Roman"/>
              </w:rPr>
              <w:t>.</w:t>
            </w:r>
            <w:r w:rsidRPr="00337CD7">
              <w:rPr>
                <w:rFonts w:ascii="Times New Roman" w:hAnsi="Times New Roman" w:cs="Times New Roman"/>
              </w:rPr>
              <w:t>91</w:t>
            </w:r>
          </w:p>
        </w:tc>
      </w:tr>
      <w:tr w:rsidR="00337CD7" w:rsidRPr="00337CD7" w14:paraId="476A006D" w14:textId="77777777" w:rsidTr="00376985">
        <w:trPr>
          <w:trHeight w:val="315"/>
          <w:jc w:val="center"/>
        </w:trPr>
        <w:tc>
          <w:tcPr>
            <w:tcW w:w="1020" w:type="dxa"/>
            <w:tcBorders>
              <w:top w:val="nil"/>
            </w:tcBorders>
            <w:noWrap/>
            <w:vAlign w:val="bottom"/>
            <w:hideMark/>
          </w:tcPr>
          <w:p w14:paraId="40FAA6F6"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P-Al2</w:t>
            </w:r>
          </w:p>
        </w:tc>
        <w:tc>
          <w:tcPr>
            <w:tcW w:w="960" w:type="dxa"/>
            <w:tcBorders>
              <w:top w:val="nil"/>
            </w:tcBorders>
            <w:noWrap/>
            <w:vAlign w:val="center"/>
            <w:hideMark/>
          </w:tcPr>
          <w:p w14:paraId="6AE4037B" w14:textId="6D2D2F0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159</w:t>
            </w:r>
            <w:r w:rsidR="00241594">
              <w:rPr>
                <w:rFonts w:ascii="Times New Roman" w:hAnsi="Times New Roman" w:cs="Times New Roman"/>
              </w:rPr>
              <w:t>.</w:t>
            </w:r>
            <w:r w:rsidRPr="00337CD7">
              <w:rPr>
                <w:rFonts w:ascii="Times New Roman" w:hAnsi="Times New Roman" w:cs="Times New Roman"/>
              </w:rPr>
              <w:t>18</w:t>
            </w:r>
          </w:p>
        </w:tc>
        <w:tc>
          <w:tcPr>
            <w:tcW w:w="620" w:type="dxa"/>
            <w:tcBorders>
              <w:top w:val="nil"/>
            </w:tcBorders>
            <w:noWrap/>
            <w:vAlign w:val="center"/>
            <w:hideMark/>
          </w:tcPr>
          <w:p w14:paraId="486676E6"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1DEC4114" w14:textId="56119B0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22</w:t>
            </w:r>
          </w:p>
        </w:tc>
        <w:tc>
          <w:tcPr>
            <w:tcW w:w="680" w:type="dxa"/>
            <w:tcBorders>
              <w:top w:val="nil"/>
            </w:tcBorders>
            <w:noWrap/>
            <w:vAlign w:val="bottom"/>
            <w:hideMark/>
          </w:tcPr>
          <w:p w14:paraId="0B8968D9"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nil"/>
            </w:tcBorders>
            <w:noWrap/>
            <w:vAlign w:val="bottom"/>
            <w:hideMark/>
          </w:tcPr>
          <w:p w14:paraId="3187F25F" w14:textId="4BB85A01"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33</w:t>
            </w:r>
            <w:r w:rsidR="00241594">
              <w:rPr>
                <w:rFonts w:ascii="Times New Roman" w:hAnsi="Times New Roman" w:cs="Times New Roman"/>
              </w:rPr>
              <w:t>.</w:t>
            </w:r>
            <w:r w:rsidRPr="00337CD7">
              <w:rPr>
                <w:rFonts w:ascii="Times New Roman" w:hAnsi="Times New Roman" w:cs="Times New Roman"/>
              </w:rPr>
              <w:t>12</w:t>
            </w:r>
          </w:p>
        </w:tc>
      </w:tr>
      <w:tr w:rsidR="00337CD7" w:rsidRPr="00337CD7" w14:paraId="4DCDA7B6" w14:textId="77777777" w:rsidTr="00376985">
        <w:trPr>
          <w:trHeight w:val="315"/>
          <w:jc w:val="center"/>
        </w:trPr>
        <w:tc>
          <w:tcPr>
            <w:tcW w:w="1020" w:type="dxa"/>
            <w:tcBorders>
              <w:top w:val="nil"/>
            </w:tcBorders>
            <w:noWrap/>
            <w:vAlign w:val="bottom"/>
            <w:hideMark/>
          </w:tcPr>
          <w:p w14:paraId="489F2E3D"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P-Al3</w:t>
            </w:r>
          </w:p>
        </w:tc>
        <w:tc>
          <w:tcPr>
            <w:tcW w:w="960" w:type="dxa"/>
            <w:tcBorders>
              <w:top w:val="nil"/>
            </w:tcBorders>
            <w:noWrap/>
            <w:vAlign w:val="center"/>
            <w:hideMark/>
          </w:tcPr>
          <w:p w14:paraId="1DBDAF6E" w14:textId="115A426D"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187</w:t>
            </w:r>
            <w:r w:rsidR="00241594">
              <w:rPr>
                <w:rFonts w:ascii="Times New Roman" w:hAnsi="Times New Roman" w:cs="Times New Roman"/>
              </w:rPr>
              <w:t>.</w:t>
            </w:r>
            <w:r w:rsidRPr="00337CD7">
              <w:rPr>
                <w:rFonts w:ascii="Times New Roman" w:hAnsi="Times New Roman" w:cs="Times New Roman"/>
              </w:rPr>
              <w:t>32</w:t>
            </w:r>
          </w:p>
        </w:tc>
        <w:tc>
          <w:tcPr>
            <w:tcW w:w="620" w:type="dxa"/>
            <w:tcBorders>
              <w:top w:val="nil"/>
            </w:tcBorders>
            <w:noWrap/>
            <w:vAlign w:val="center"/>
            <w:hideMark/>
          </w:tcPr>
          <w:p w14:paraId="10FFDD90"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42E3A58B" w14:textId="47BA1CD8"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2</w:t>
            </w:r>
          </w:p>
        </w:tc>
        <w:tc>
          <w:tcPr>
            <w:tcW w:w="680" w:type="dxa"/>
            <w:tcBorders>
              <w:top w:val="nil"/>
            </w:tcBorders>
            <w:noWrap/>
            <w:vAlign w:val="bottom"/>
            <w:hideMark/>
          </w:tcPr>
          <w:p w14:paraId="3252A33C"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p>
        </w:tc>
        <w:tc>
          <w:tcPr>
            <w:tcW w:w="960" w:type="dxa"/>
            <w:tcBorders>
              <w:top w:val="nil"/>
            </w:tcBorders>
            <w:noWrap/>
            <w:vAlign w:val="bottom"/>
            <w:hideMark/>
          </w:tcPr>
          <w:p w14:paraId="274CF131" w14:textId="4F651C8E"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23</w:t>
            </w:r>
            <w:r w:rsidR="00241594">
              <w:rPr>
                <w:rFonts w:ascii="Times New Roman" w:hAnsi="Times New Roman" w:cs="Times New Roman"/>
              </w:rPr>
              <w:t>.</w:t>
            </w:r>
            <w:r w:rsidRPr="00337CD7">
              <w:rPr>
                <w:rFonts w:ascii="Times New Roman" w:hAnsi="Times New Roman" w:cs="Times New Roman"/>
              </w:rPr>
              <w:t>47</w:t>
            </w:r>
          </w:p>
        </w:tc>
      </w:tr>
      <w:tr w:rsidR="00337CD7" w:rsidRPr="00337CD7" w14:paraId="0BC7C4B0" w14:textId="77777777" w:rsidTr="00376985">
        <w:trPr>
          <w:trHeight w:val="315"/>
          <w:jc w:val="center"/>
        </w:trPr>
        <w:tc>
          <w:tcPr>
            <w:tcW w:w="1020" w:type="dxa"/>
            <w:tcBorders>
              <w:top w:val="nil"/>
            </w:tcBorders>
            <w:noWrap/>
            <w:vAlign w:val="bottom"/>
            <w:hideMark/>
          </w:tcPr>
          <w:p w14:paraId="65A7D2D2"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P-Ar4</w:t>
            </w:r>
          </w:p>
        </w:tc>
        <w:tc>
          <w:tcPr>
            <w:tcW w:w="960" w:type="dxa"/>
            <w:tcBorders>
              <w:top w:val="nil"/>
            </w:tcBorders>
            <w:noWrap/>
            <w:vAlign w:val="center"/>
            <w:hideMark/>
          </w:tcPr>
          <w:p w14:paraId="724FBD18" w14:textId="6AB3FB05"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256</w:t>
            </w:r>
            <w:r w:rsidR="00241594">
              <w:rPr>
                <w:rFonts w:ascii="Times New Roman" w:hAnsi="Times New Roman" w:cs="Times New Roman"/>
              </w:rPr>
              <w:t>.</w:t>
            </w:r>
            <w:r w:rsidRPr="00337CD7">
              <w:rPr>
                <w:rFonts w:ascii="Times New Roman" w:hAnsi="Times New Roman" w:cs="Times New Roman"/>
              </w:rPr>
              <w:t>32</w:t>
            </w:r>
          </w:p>
        </w:tc>
        <w:tc>
          <w:tcPr>
            <w:tcW w:w="620" w:type="dxa"/>
            <w:tcBorders>
              <w:top w:val="nil"/>
            </w:tcBorders>
            <w:noWrap/>
            <w:vAlign w:val="center"/>
            <w:hideMark/>
          </w:tcPr>
          <w:p w14:paraId="781636C1"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4</w:t>
            </w:r>
          </w:p>
        </w:tc>
        <w:tc>
          <w:tcPr>
            <w:tcW w:w="800" w:type="dxa"/>
            <w:tcBorders>
              <w:top w:val="nil"/>
            </w:tcBorders>
            <w:noWrap/>
            <w:vAlign w:val="bottom"/>
            <w:hideMark/>
          </w:tcPr>
          <w:p w14:paraId="073F7FD4" w14:textId="667BE0DD"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w:t>
            </w:r>
            <w:r w:rsidR="00241594">
              <w:rPr>
                <w:rFonts w:ascii="Times New Roman" w:hAnsi="Times New Roman" w:cs="Times New Roman"/>
              </w:rPr>
              <w:t>.</w:t>
            </w:r>
            <w:r w:rsidRPr="00337CD7">
              <w:rPr>
                <w:rFonts w:ascii="Times New Roman" w:hAnsi="Times New Roman" w:cs="Times New Roman"/>
              </w:rPr>
              <w:t>71</w:t>
            </w:r>
          </w:p>
        </w:tc>
        <w:tc>
          <w:tcPr>
            <w:tcW w:w="680" w:type="dxa"/>
            <w:tcBorders>
              <w:top w:val="nil"/>
            </w:tcBorders>
            <w:noWrap/>
            <w:vAlign w:val="bottom"/>
            <w:hideMark/>
          </w:tcPr>
          <w:p w14:paraId="2A17A94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68C5EAA6" w14:textId="5EDA946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36</w:t>
            </w:r>
            <w:r w:rsidR="00241594">
              <w:rPr>
                <w:rFonts w:ascii="Times New Roman" w:hAnsi="Times New Roman" w:cs="Times New Roman"/>
              </w:rPr>
              <w:t>.</w:t>
            </w:r>
            <w:r w:rsidRPr="00337CD7">
              <w:rPr>
                <w:rFonts w:ascii="Times New Roman" w:hAnsi="Times New Roman" w:cs="Times New Roman"/>
              </w:rPr>
              <w:t>94</w:t>
            </w:r>
          </w:p>
        </w:tc>
      </w:tr>
      <w:tr w:rsidR="00337CD7" w:rsidRPr="00337CD7" w14:paraId="60DD08BF" w14:textId="77777777" w:rsidTr="00376985">
        <w:trPr>
          <w:trHeight w:val="315"/>
          <w:jc w:val="center"/>
        </w:trPr>
        <w:tc>
          <w:tcPr>
            <w:tcW w:w="1020" w:type="dxa"/>
            <w:tcBorders>
              <w:top w:val="nil"/>
            </w:tcBorders>
            <w:noWrap/>
            <w:vAlign w:val="bottom"/>
            <w:hideMark/>
          </w:tcPr>
          <w:p w14:paraId="09D15A60"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P-Bi5</w:t>
            </w:r>
          </w:p>
        </w:tc>
        <w:tc>
          <w:tcPr>
            <w:tcW w:w="960" w:type="dxa"/>
            <w:tcBorders>
              <w:top w:val="nil"/>
            </w:tcBorders>
            <w:noWrap/>
            <w:vAlign w:val="center"/>
            <w:hideMark/>
          </w:tcPr>
          <w:p w14:paraId="3F84BE76" w14:textId="44333A04"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149</w:t>
            </w:r>
            <w:r w:rsidR="00241594">
              <w:rPr>
                <w:rFonts w:ascii="Times New Roman" w:hAnsi="Times New Roman" w:cs="Times New Roman"/>
              </w:rPr>
              <w:t>.</w:t>
            </w:r>
            <w:r w:rsidRPr="00337CD7">
              <w:rPr>
                <w:rFonts w:ascii="Times New Roman" w:hAnsi="Times New Roman" w:cs="Times New Roman"/>
              </w:rPr>
              <w:t>19</w:t>
            </w:r>
          </w:p>
        </w:tc>
        <w:tc>
          <w:tcPr>
            <w:tcW w:w="620" w:type="dxa"/>
            <w:tcBorders>
              <w:top w:val="nil"/>
            </w:tcBorders>
            <w:noWrap/>
            <w:vAlign w:val="center"/>
            <w:hideMark/>
          </w:tcPr>
          <w:p w14:paraId="628B8770"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1DD7B3F9" w14:textId="0F8254AB"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c>
          <w:tcPr>
            <w:tcW w:w="680" w:type="dxa"/>
            <w:tcBorders>
              <w:top w:val="nil"/>
            </w:tcBorders>
            <w:noWrap/>
            <w:vAlign w:val="bottom"/>
            <w:hideMark/>
          </w:tcPr>
          <w:p w14:paraId="77201A97"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5</w:t>
            </w:r>
          </w:p>
        </w:tc>
        <w:tc>
          <w:tcPr>
            <w:tcW w:w="960" w:type="dxa"/>
            <w:tcBorders>
              <w:top w:val="nil"/>
            </w:tcBorders>
            <w:noWrap/>
            <w:vAlign w:val="bottom"/>
            <w:hideMark/>
          </w:tcPr>
          <w:p w14:paraId="25A90978" w14:textId="3C603BBC"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97</w:t>
            </w:r>
            <w:r w:rsidR="00241594">
              <w:rPr>
                <w:rFonts w:ascii="Times New Roman" w:hAnsi="Times New Roman" w:cs="Times New Roman"/>
              </w:rPr>
              <w:t>.</w:t>
            </w:r>
            <w:r w:rsidRPr="00337CD7">
              <w:rPr>
                <w:rFonts w:ascii="Times New Roman" w:hAnsi="Times New Roman" w:cs="Times New Roman"/>
              </w:rPr>
              <w:t>78</w:t>
            </w:r>
          </w:p>
        </w:tc>
      </w:tr>
      <w:tr w:rsidR="00337CD7" w:rsidRPr="00337CD7" w14:paraId="534DEF66" w14:textId="77777777" w:rsidTr="00376985">
        <w:trPr>
          <w:trHeight w:val="315"/>
          <w:jc w:val="center"/>
        </w:trPr>
        <w:tc>
          <w:tcPr>
            <w:tcW w:w="1020" w:type="dxa"/>
            <w:tcBorders>
              <w:top w:val="nil"/>
            </w:tcBorders>
            <w:noWrap/>
            <w:vAlign w:val="bottom"/>
            <w:hideMark/>
          </w:tcPr>
          <w:p w14:paraId="1AA58485"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P-8A6</w:t>
            </w:r>
          </w:p>
        </w:tc>
        <w:tc>
          <w:tcPr>
            <w:tcW w:w="960" w:type="dxa"/>
            <w:tcBorders>
              <w:top w:val="nil"/>
            </w:tcBorders>
            <w:noWrap/>
            <w:vAlign w:val="center"/>
            <w:hideMark/>
          </w:tcPr>
          <w:p w14:paraId="5AD9A2D4" w14:textId="05E3E972"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102</w:t>
            </w:r>
            <w:r w:rsidR="00241594">
              <w:rPr>
                <w:rFonts w:ascii="Times New Roman" w:hAnsi="Times New Roman" w:cs="Times New Roman"/>
              </w:rPr>
              <w:t>.</w:t>
            </w:r>
            <w:r w:rsidRPr="00337CD7">
              <w:rPr>
                <w:rFonts w:ascii="Times New Roman" w:hAnsi="Times New Roman" w:cs="Times New Roman"/>
              </w:rPr>
              <w:t>18</w:t>
            </w:r>
          </w:p>
        </w:tc>
        <w:tc>
          <w:tcPr>
            <w:tcW w:w="620" w:type="dxa"/>
            <w:tcBorders>
              <w:top w:val="nil"/>
            </w:tcBorders>
            <w:noWrap/>
            <w:vAlign w:val="center"/>
            <w:hideMark/>
          </w:tcPr>
          <w:p w14:paraId="6A4887EA"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7B93013C" w14:textId="1A799792"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51A343D8"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7F6EA8C8" w14:textId="53AB7DC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52</w:t>
            </w:r>
            <w:r w:rsidR="00241594">
              <w:rPr>
                <w:rFonts w:ascii="Times New Roman" w:hAnsi="Times New Roman" w:cs="Times New Roman"/>
              </w:rPr>
              <w:t>.</w:t>
            </w:r>
            <w:r w:rsidRPr="00337CD7">
              <w:rPr>
                <w:rFonts w:ascii="Times New Roman" w:hAnsi="Times New Roman" w:cs="Times New Roman"/>
              </w:rPr>
              <w:t>04</w:t>
            </w:r>
          </w:p>
        </w:tc>
      </w:tr>
      <w:tr w:rsidR="00337CD7" w:rsidRPr="00337CD7" w14:paraId="1DC0EF6B" w14:textId="77777777" w:rsidTr="00376985">
        <w:trPr>
          <w:trHeight w:val="315"/>
          <w:jc w:val="center"/>
        </w:trPr>
        <w:tc>
          <w:tcPr>
            <w:tcW w:w="1020" w:type="dxa"/>
            <w:tcBorders>
              <w:top w:val="nil"/>
            </w:tcBorders>
            <w:noWrap/>
            <w:vAlign w:val="bottom"/>
            <w:hideMark/>
          </w:tcPr>
          <w:p w14:paraId="6FE607E0"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P-Fa7</w:t>
            </w:r>
          </w:p>
        </w:tc>
        <w:tc>
          <w:tcPr>
            <w:tcW w:w="960" w:type="dxa"/>
            <w:tcBorders>
              <w:top w:val="nil"/>
            </w:tcBorders>
            <w:noWrap/>
            <w:vAlign w:val="center"/>
            <w:hideMark/>
          </w:tcPr>
          <w:p w14:paraId="66C904D3" w14:textId="0D9BF295"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81</w:t>
            </w:r>
            <w:r w:rsidR="00241594">
              <w:rPr>
                <w:rFonts w:ascii="Times New Roman" w:hAnsi="Times New Roman" w:cs="Times New Roman"/>
              </w:rPr>
              <w:t>.</w:t>
            </w:r>
            <w:r w:rsidRPr="00337CD7">
              <w:rPr>
                <w:rFonts w:ascii="Times New Roman" w:hAnsi="Times New Roman" w:cs="Times New Roman"/>
              </w:rPr>
              <w:t>1</w:t>
            </w:r>
          </w:p>
        </w:tc>
        <w:tc>
          <w:tcPr>
            <w:tcW w:w="620" w:type="dxa"/>
            <w:tcBorders>
              <w:top w:val="nil"/>
            </w:tcBorders>
            <w:noWrap/>
            <w:vAlign w:val="center"/>
            <w:hideMark/>
          </w:tcPr>
          <w:p w14:paraId="48CAF495"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2D15E17B" w14:textId="0B587E16"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3B77EDFF"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02F21FF7" w14:textId="0D3E35CE"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60</w:t>
            </w:r>
            <w:r w:rsidR="00241594">
              <w:rPr>
                <w:rFonts w:ascii="Times New Roman" w:hAnsi="Times New Roman" w:cs="Times New Roman"/>
              </w:rPr>
              <w:t>.</w:t>
            </w:r>
            <w:r w:rsidRPr="00337CD7">
              <w:rPr>
                <w:rFonts w:ascii="Times New Roman" w:hAnsi="Times New Roman" w:cs="Times New Roman"/>
              </w:rPr>
              <w:t>16</w:t>
            </w:r>
          </w:p>
        </w:tc>
      </w:tr>
      <w:tr w:rsidR="00337CD7" w:rsidRPr="00337CD7" w14:paraId="094EE5FA" w14:textId="77777777" w:rsidTr="00376985">
        <w:trPr>
          <w:trHeight w:val="315"/>
          <w:jc w:val="center"/>
        </w:trPr>
        <w:tc>
          <w:tcPr>
            <w:tcW w:w="1020" w:type="dxa"/>
            <w:tcBorders>
              <w:top w:val="nil"/>
            </w:tcBorders>
            <w:noWrap/>
            <w:vAlign w:val="bottom"/>
            <w:hideMark/>
          </w:tcPr>
          <w:p w14:paraId="0DADA78E"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P-Fo8</w:t>
            </w:r>
          </w:p>
        </w:tc>
        <w:tc>
          <w:tcPr>
            <w:tcW w:w="960" w:type="dxa"/>
            <w:tcBorders>
              <w:top w:val="nil"/>
            </w:tcBorders>
            <w:noWrap/>
            <w:vAlign w:val="center"/>
            <w:hideMark/>
          </w:tcPr>
          <w:p w14:paraId="5A01A83C" w14:textId="52AAD20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66</w:t>
            </w:r>
            <w:r w:rsidR="00241594">
              <w:rPr>
                <w:rFonts w:ascii="Times New Roman" w:hAnsi="Times New Roman" w:cs="Times New Roman"/>
              </w:rPr>
              <w:t>.</w:t>
            </w:r>
            <w:r w:rsidRPr="00337CD7">
              <w:rPr>
                <w:rFonts w:ascii="Times New Roman" w:hAnsi="Times New Roman" w:cs="Times New Roman"/>
              </w:rPr>
              <w:t>08</w:t>
            </w:r>
          </w:p>
        </w:tc>
        <w:tc>
          <w:tcPr>
            <w:tcW w:w="620" w:type="dxa"/>
            <w:tcBorders>
              <w:top w:val="nil"/>
            </w:tcBorders>
            <w:noWrap/>
            <w:vAlign w:val="center"/>
            <w:hideMark/>
          </w:tcPr>
          <w:p w14:paraId="0C9FE1BD"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tcBorders>
            <w:noWrap/>
            <w:vAlign w:val="bottom"/>
            <w:hideMark/>
          </w:tcPr>
          <w:p w14:paraId="6CA3BE43" w14:textId="45A85420"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23</w:t>
            </w:r>
          </w:p>
        </w:tc>
        <w:tc>
          <w:tcPr>
            <w:tcW w:w="680" w:type="dxa"/>
            <w:tcBorders>
              <w:top w:val="nil"/>
            </w:tcBorders>
            <w:noWrap/>
            <w:vAlign w:val="bottom"/>
            <w:hideMark/>
          </w:tcPr>
          <w:p w14:paraId="60C70FCB"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960" w:type="dxa"/>
            <w:tcBorders>
              <w:top w:val="nil"/>
            </w:tcBorders>
            <w:noWrap/>
            <w:vAlign w:val="bottom"/>
            <w:hideMark/>
          </w:tcPr>
          <w:p w14:paraId="4FB5B789" w14:textId="33E8783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34</w:t>
            </w:r>
            <w:r w:rsidR="00241594">
              <w:rPr>
                <w:rFonts w:ascii="Times New Roman" w:hAnsi="Times New Roman" w:cs="Times New Roman"/>
              </w:rPr>
              <w:t>.</w:t>
            </w:r>
            <w:r w:rsidRPr="00337CD7">
              <w:rPr>
                <w:rFonts w:ascii="Times New Roman" w:hAnsi="Times New Roman" w:cs="Times New Roman"/>
              </w:rPr>
              <w:t>14</w:t>
            </w:r>
          </w:p>
        </w:tc>
      </w:tr>
      <w:tr w:rsidR="00337CD7" w:rsidRPr="00337CD7" w14:paraId="6423D997" w14:textId="77777777" w:rsidTr="00376985">
        <w:trPr>
          <w:trHeight w:val="315"/>
          <w:jc w:val="center"/>
        </w:trPr>
        <w:tc>
          <w:tcPr>
            <w:tcW w:w="1020" w:type="dxa"/>
            <w:tcBorders>
              <w:top w:val="nil"/>
              <w:bottom w:val="single" w:sz="4" w:space="0" w:color="auto"/>
            </w:tcBorders>
            <w:noWrap/>
            <w:vAlign w:val="bottom"/>
            <w:hideMark/>
          </w:tcPr>
          <w:p w14:paraId="32D96E2E" w14:textId="77777777" w:rsidR="00FE03E8" w:rsidRPr="00337CD7" w:rsidRDefault="00FE03E8" w:rsidP="00174023">
            <w:pPr>
              <w:tabs>
                <w:tab w:val="left" w:pos="2493"/>
              </w:tabs>
              <w:spacing w:after="0"/>
              <w:rPr>
                <w:rFonts w:ascii="Times New Roman" w:hAnsi="Times New Roman" w:cs="Times New Roman"/>
              </w:rPr>
            </w:pPr>
            <w:r w:rsidRPr="00337CD7">
              <w:rPr>
                <w:rFonts w:ascii="Times New Roman" w:hAnsi="Times New Roman" w:cs="Times New Roman"/>
              </w:rPr>
              <w:t>P-Hy9</w:t>
            </w:r>
          </w:p>
        </w:tc>
        <w:tc>
          <w:tcPr>
            <w:tcW w:w="960" w:type="dxa"/>
            <w:tcBorders>
              <w:top w:val="nil"/>
              <w:bottom w:val="single" w:sz="4" w:space="0" w:color="auto"/>
            </w:tcBorders>
            <w:noWrap/>
            <w:vAlign w:val="center"/>
            <w:hideMark/>
          </w:tcPr>
          <w:p w14:paraId="5A64A3B1" w14:textId="2967A1BF"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158</w:t>
            </w:r>
            <w:r w:rsidR="00241594">
              <w:rPr>
                <w:rFonts w:ascii="Times New Roman" w:hAnsi="Times New Roman" w:cs="Times New Roman"/>
              </w:rPr>
              <w:t>.</w:t>
            </w:r>
            <w:r w:rsidRPr="00337CD7">
              <w:rPr>
                <w:rFonts w:ascii="Times New Roman" w:hAnsi="Times New Roman" w:cs="Times New Roman"/>
              </w:rPr>
              <w:t>15</w:t>
            </w:r>
          </w:p>
        </w:tc>
        <w:tc>
          <w:tcPr>
            <w:tcW w:w="620" w:type="dxa"/>
            <w:tcBorders>
              <w:top w:val="nil"/>
              <w:bottom w:val="single" w:sz="4" w:space="0" w:color="auto"/>
            </w:tcBorders>
            <w:noWrap/>
            <w:vAlign w:val="center"/>
            <w:hideMark/>
          </w:tcPr>
          <w:p w14:paraId="61E893FE"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2</w:t>
            </w:r>
          </w:p>
        </w:tc>
        <w:tc>
          <w:tcPr>
            <w:tcW w:w="800" w:type="dxa"/>
            <w:tcBorders>
              <w:top w:val="nil"/>
              <w:bottom w:val="single" w:sz="4" w:space="0" w:color="auto"/>
            </w:tcBorders>
            <w:noWrap/>
            <w:vAlign w:val="bottom"/>
            <w:hideMark/>
          </w:tcPr>
          <w:p w14:paraId="3282572F" w14:textId="427F75F4"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91</w:t>
            </w:r>
          </w:p>
        </w:tc>
        <w:tc>
          <w:tcPr>
            <w:tcW w:w="680" w:type="dxa"/>
            <w:tcBorders>
              <w:top w:val="nil"/>
              <w:bottom w:val="single" w:sz="4" w:space="0" w:color="auto"/>
            </w:tcBorders>
            <w:noWrap/>
            <w:vAlign w:val="bottom"/>
            <w:hideMark/>
          </w:tcPr>
          <w:p w14:paraId="4D576CBB" w14:textId="77777777"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0</w:t>
            </w:r>
          </w:p>
        </w:tc>
        <w:tc>
          <w:tcPr>
            <w:tcW w:w="960" w:type="dxa"/>
            <w:tcBorders>
              <w:top w:val="nil"/>
              <w:bottom w:val="single" w:sz="4" w:space="0" w:color="auto"/>
            </w:tcBorders>
            <w:noWrap/>
            <w:vAlign w:val="bottom"/>
            <w:hideMark/>
          </w:tcPr>
          <w:p w14:paraId="2DF326CA" w14:textId="69FDF97A" w:rsidR="00FE03E8" w:rsidRPr="00337CD7" w:rsidRDefault="00FE03E8" w:rsidP="00376985">
            <w:pPr>
              <w:tabs>
                <w:tab w:val="left" w:pos="2493"/>
              </w:tabs>
              <w:spacing w:after="0"/>
              <w:jc w:val="center"/>
              <w:rPr>
                <w:rFonts w:ascii="Times New Roman" w:hAnsi="Times New Roman" w:cs="Times New Roman"/>
              </w:rPr>
            </w:pPr>
            <w:r w:rsidRPr="00337CD7">
              <w:rPr>
                <w:rFonts w:ascii="Times New Roman" w:hAnsi="Times New Roman" w:cs="Times New Roman"/>
              </w:rPr>
              <w:t>34</w:t>
            </w:r>
            <w:r w:rsidR="00241594">
              <w:rPr>
                <w:rFonts w:ascii="Times New Roman" w:hAnsi="Times New Roman" w:cs="Times New Roman"/>
              </w:rPr>
              <w:t>.</w:t>
            </w:r>
            <w:r w:rsidRPr="00337CD7">
              <w:rPr>
                <w:rFonts w:ascii="Times New Roman" w:hAnsi="Times New Roman" w:cs="Times New Roman"/>
              </w:rPr>
              <w:t>14</w:t>
            </w:r>
          </w:p>
        </w:tc>
      </w:tr>
    </w:tbl>
    <w:p w14:paraId="4E5F5743" w14:textId="77777777" w:rsidR="006C2D1D" w:rsidRPr="00337CD7" w:rsidRDefault="006C2D1D" w:rsidP="005D20D7">
      <w:pPr>
        <w:spacing w:before="120" w:after="0" w:line="240" w:lineRule="auto"/>
        <w:jc w:val="both"/>
        <w:rPr>
          <w:rFonts w:ascii="Times New Roman" w:hAnsi="Times New Roman" w:cs="Times New Roman"/>
          <w:iCs/>
        </w:rPr>
      </w:pPr>
      <w:r w:rsidRPr="00337CD7">
        <w:rPr>
          <w:rFonts w:ascii="Times New Roman" w:hAnsi="Times New Roman" w:cs="Times New Roman"/>
          <w:iCs/>
          <w:noProof/>
          <w:lang w:eastAsia="fr-FR"/>
        </w:rPr>
        <mc:AlternateContent>
          <mc:Choice Requires="wps">
            <w:drawing>
              <wp:anchor distT="0" distB="0" distL="114300" distR="114300" simplePos="0" relativeHeight="251673600" behindDoc="0" locked="0" layoutInCell="1" allowOverlap="1" wp14:anchorId="7403A7EF" wp14:editId="4B4E68C5">
                <wp:simplePos x="0" y="0"/>
                <wp:positionH relativeFrom="margin">
                  <wp:posOffset>-1252</wp:posOffset>
                </wp:positionH>
                <wp:positionV relativeFrom="paragraph">
                  <wp:posOffset>77720</wp:posOffset>
                </wp:positionV>
                <wp:extent cx="6517082" cy="432435"/>
                <wp:effectExtent l="0" t="0" r="0" b="5715"/>
                <wp:wrapNone/>
                <wp:docPr id="9" name="Zone de texte 9"/>
                <wp:cNvGraphicFramePr/>
                <a:graphic xmlns:a="http://schemas.openxmlformats.org/drawingml/2006/main">
                  <a:graphicData uri="http://schemas.microsoft.com/office/word/2010/wordprocessingShape">
                    <wps:wsp>
                      <wps:cNvSpPr txBox="1"/>
                      <wps:spPr>
                        <a:xfrm>
                          <a:off x="0" y="0"/>
                          <a:ext cx="6517082" cy="432435"/>
                        </a:xfrm>
                        <a:prstGeom prst="rect">
                          <a:avLst/>
                        </a:prstGeom>
                        <a:solidFill>
                          <a:schemeClr val="lt1"/>
                        </a:solidFill>
                        <a:ln w="6350">
                          <a:noFill/>
                        </a:ln>
                      </wps:spPr>
                      <wps:txbx>
                        <w:txbxContent>
                          <w:p w14:paraId="5E64D8DC" w14:textId="118AA741" w:rsidR="00941580" w:rsidRPr="00C20CCE" w:rsidRDefault="00941580" w:rsidP="006C2D1D">
                            <w:pPr>
                              <w:spacing w:after="0"/>
                              <w:jc w:val="both"/>
                              <w:rPr>
                                <w:rFonts w:ascii="Times New Roman" w:hAnsi="Times New Roman" w:cs="Times New Roman"/>
                                <w:i/>
                                <w:sz w:val="20"/>
                                <w:szCs w:val="20"/>
                                <w:lang w:val="en-US"/>
                              </w:rPr>
                            </w:pPr>
                            <w:r w:rsidRPr="00C20CCE">
                              <w:rPr>
                                <w:rFonts w:ascii="Times New Roman" w:hAnsi="Times New Roman" w:cs="Times New Roman"/>
                                <w:i/>
                                <w:sz w:val="20"/>
                                <w:szCs w:val="20"/>
                                <w:lang w:val="en-US"/>
                              </w:rPr>
                              <w:t>MW: Molecular Weight; HBA: Hydrogen Bond Acceptor; LogP: Partition Coefficient; HBD: Hydrogen Bond Donor; TPSA: Topological Polar Surface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3A7EF" id="_x0000_t202" coordsize="21600,21600" o:spt="202" path="m,l,21600r21600,l21600,xe">
                <v:stroke joinstyle="miter"/>
                <v:path gradientshapeok="t" o:connecttype="rect"/>
              </v:shapetype>
              <v:shape id="Zone de texte 9" o:spid="_x0000_s1026" type="#_x0000_t202" style="position:absolute;left:0;text-align:left;margin-left:-.1pt;margin-top:6.1pt;width:513.15pt;height:34.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" fillcolor="white [3201]" stroked="f" strokeweight=".5pt">
                <v:textbox>
                  <w:txbxContent>
                    <w:p w14:paraId="5E64D8DC" w14:textId="118AA741" w:rsidR="00941580" w:rsidRPr="00C20CCE" w:rsidRDefault="00941580" w:rsidP="006C2D1D">
                      <w:pPr>
                        <w:spacing w:after="0"/>
                        <w:jc w:val="both"/>
                        <w:rPr>
                          <w:rFonts w:ascii="Times New Roman" w:hAnsi="Times New Roman" w:cs="Times New Roman"/>
                          <w:i/>
                          <w:sz w:val="20"/>
                          <w:szCs w:val="20"/>
                          <w:lang w:val="en-US"/>
                        </w:rPr>
                      </w:pPr>
                      <w:r w:rsidRPr="00C20CCE">
                        <w:rPr>
                          <w:rFonts w:ascii="Times New Roman" w:hAnsi="Times New Roman" w:cs="Times New Roman"/>
                          <w:i/>
                          <w:sz w:val="20"/>
                          <w:szCs w:val="20"/>
                          <w:lang w:val="en-US"/>
                        </w:rPr>
                        <w:t>MW: Molecular Weight; HBA: Hydrogen Bond Acceptor; LogP: Partition Coefficient; HBD: Hydrogen Bond Donor; TPSA: Topological Polar Surface Area</w:t>
                      </w:r>
                    </w:p>
                  </w:txbxContent>
                </v:textbox>
                <w10:wrap anchorx="margin"/>
              </v:shape>
            </w:pict>
          </mc:Fallback>
        </mc:AlternateContent>
      </w:r>
    </w:p>
    <w:p w14:paraId="3AA38446" w14:textId="77777777" w:rsidR="006C2D1D" w:rsidRPr="00337CD7" w:rsidRDefault="006C2D1D" w:rsidP="005D20D7">
      <w:pPr>
        <w:spacing w:before="120" w:after="0" w:line="240" w:lineRule="auto"/>
        <w:jc w:val="both"/>
        <w:rPr>
          <w:rFonts w:ascii="Times New Roman" w:hAnsi="Times New Roman" w:cs="Times New Roman"/>
          <w:iCs/>
        </w:rPr>
      </w:pPr>
    </w:p>
    <w:p w14:paraId="2E165097" w14:textId="20BE5487" w:rsidR="00496A88" w:rsidRPr="00C20CCE" w:rsidRDefault="00C20CCE" w:rsidP="005D20D7">
      <w:pPr>
        <w:spacing w:before="120" w:after="0" w:line="240" w:lineRule="auto"/>
        <w:jc w:val="both"/>
        <w:rPr>
          <w:rFonts w:ascii="Times New Roman" w:hAnsi="Times New Roman" w:cs="Times New Roman"/>
          <w:iCs/>
          <w:lang w:val="en-US"/>
        </w:rPr>
      </w:pPr>
      <w:r w:rsidRPr="00C20CCE">
        <w:rPr>
          <w:rFonts w:ascii="Times New Roman" w:hAnsi="Times New Roman" w:cs="Times New Roman"/>
          <w:iCs/>
          <w:lang w:val="en-US"/>
        </w:rPr>
        <w:t>Analysis of the descriptor values in this table indicates that all pharmacophores comply with Lipinski's rule in terms of molecular weight (MW), lipophilicity (</w:t>
      </w:r>
      <w:proofErr w:type="spellStart"/>
      <w:r w:rsidRPr="00C20CCE">
        <w:rPr>
          <w:rFonts w:ascii="Times New Roman" w:hAnsi="Times New Roman" w:cs="Times New Roman"/>
          <w:iCs/>
          <w:lang w:val="en-US"/>
        </w:rPr>
        <w:t>LogP</w:t>
      </w:r>
      <w:proofErr w:type="spellEnd"/>
      <w:r w:rsidRPr="00C20CCE">
        <w:rPr>
          <w:rFonts w:ascii="Times New Roman" w:hAnsi="Times New Roman" w:cs="Times New Roman"/>
          <w:iCs/>
          <w:lang w:val="en-US"/>
        </w:rPr>
        <w:t>), number of hydrogen bond donors (HBD), and number of hydrogen bond acceptors (HBA) [17]. Consequently, all of the antimalarial pharmacophores studied are of better therapeutic quality [17].</w:t>
      </w:r>
    </w:p>
    <w:p w14:paraId="291E7E8F" w14:textId="41020045" w:rsidR="00670B09" w:rsidRPr="00C20CCE" w:rsidRDefault="00C20CCE" w:rsidP="005D20D7">
      <w:pPr>
        <w:spacing w:before="120" w:after="0" w:line="240" w:lineRule="auto"/>
        <w:jc w:val="both"/>
        <w:rPr>
          <w:rFonts w:ascii="Times New Roman" w:hAnsi="Times New Roman" w:cs="Times New Roman"/>
          <w:bCs/>
          <w:iCs/>
          <w:lang w:val="en-US"/>
        </w:rPr>
      </w:pPr>
      <w:r w:rsidRPr="00C20CCE">
        <w:rPr>
          <w:rFonts w:ascii="Times New Roman" w:hAnsi="Times New Roman" w:cs="Times New Roman"/>
          <w:bCs/>
          <w:iCs/>
          <w:lang w:val="en-US"/>
        </w:rPr>
        <w:t>However, two main groups emerge. Pharmacophores (P-Bi5, P-8A6, P-Fa7, and P-Fo8) have negative LogP values. They are therefore hydrophilic and soluble in blood plasma [17]. This group of pharmacophores can be used for preventive purposes. On the other hand, the partition coefficients of the pharmacophores (P-4A1, P-Al2, P-Al3, P-Ar4, and P-Hy9) are positive. This group of pharmacophores is therefore lipophilic [17]. These have better membrane permeability and can be administered for curative purposes.</w:t>
      </w:r>
      <w:r w:rsidR="00810E26" w:rsidRPr="00C20CCE">
        <w:rPr>
          <w:rFonts w:ascii="Times New Roman" w:hAnsi="Times New Roman" w:cs="Times New Roman"/>
          <w:bCs/>
          <w:iCs/>
          <w:lang w:val="en-US"/>
        </w:rPr>
        <w:t xml:space="preserve"> </w:t>
      </w:r>
      <w:r w:rsidRPr="00C20CCE">
        <w:rPr>
          <w:rFonts w:ascii="Times New Roman" w:hAnsi="Times New Roman" w:cs="Times New Roman"/>
          <w:bCs/>
          <w:iCs/>
          <w:lang w:val="en-US"/>
        </w:rPr>
        <w:t>As for the TPSA topological polar surface area, all pharmacophores have values below 140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Consequently, these pharmacophores tend to cross cell membranes [18]. H</w:t>
      </w:r>
      <w:r>
        <w:rPr>
          <w:rFonts w:ascii="Times New Roman" w:hAnsi="Times New Roman" w:cs="Times New Roman"/>
          <w:bCs/>
          <w:iCs/>
          <w:lang w:val="en-US"/>
        </w:rPr>
        <w:t xml:space="preserve">owever, P-Bi5 has a TPSA value </w:t>
      </w:r>
      <w:r w:rsidRPr="00C20CCE">
        <w:rPr>
          <w:rFonts w:ascii="Times New Roman" w:hAnsi="Times New Roman" w:cs="Times New Roman"/>
          <w:bCs/>
          <w:iCs/>
          <w:lang w:val="en-US"/>
        </w:rPr>
        <w:t>97.78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xml:space="preserve"> greater than 90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This pharmacophore is the most promising for preventive use, as it does not easily cross cell membranes, thus remaining in the blood plasma for a long time [18,19]. Furthermore, t</w:t>
      </w:r>
      <w:r>
        <w:rPr>
          <w:rFonts w:ascii="Times New Roman" w:hAnsi="Times New Roman" w:cs="Times New Roman"/>
          <w:bCs/>
          <w:iCs/>
          <w:lang w:val="en-US"/>
        </w:rPr>
        <w:t>he P-Al3 pharmacophore (23.47 Ǻ</w:t>
      </w:r>
      <w:r w:rsidRPr="00C20CCE">
        <w:rPr>
          <w:rFonts w:ascii="Times New Roman" w:hAnsi="Times New Roman" w:cs="Times New Roman"/>
          <w:bCs/>
          <w:iCs/>
          <w:vertAlign w:val="superscript"/>
          <w:lang w:val="en-US"/>
        </w:rPr>
        <w:t>2</w:t>
      </w:r>
      <w:r w:rsidRPr="00C20CCE">
        <w:rPr>
          <w:rFonts w:ascii="Times New Roman" w:hAnsi="Times New Roman" w:cs="Times New Roman"/>
          <w:bCs/>
          <w:iCs/>
          <w:lang w:val="en-US"/>
        </w:rPr>
        <w:t>) has the smallest TPSA value.</w:t>
      </w:r>
      <w:r w:rsidR="007B4AC9" w:rsidRPr="00C20CCE">
        <w:rPr>
          <w:rFonts w:ascii="Times New Roman" w:hAnsi="Times New Roman" w:cs="Times New Roman"/>
          <w:bCs/>
          <w:iCs/>
          <w:lang w:val="en-US"/>
        </w:rPr>
        <w:t xml:space="preserve"> </w:t>
      </w:r>
      <w:r w:rsidRPr="00C20CCE">
        <w:rPr>
          <w:rFonts w:ascii="Times New Roman" w:hAnsi="Times New Roman" w:cs="Times New Roman"/>
          <w:bCs/>
          <w:iCs/>
          <w:lang w:val="en-US"/>
        </w:rPr>
        <w:t>It therefore crosses cell membranes more easily than other pharmacophores. This pharmacophore is the most active in terms of curative properties.</w:t>
      </w:r>
    </w:p>
    <w:p w14:paraId="6A95673A" w14:textId="4A6A0E47" w:rsidR="00EC32A1" w:rsidRPr="00C20CCE" w:rsidRDefault="00EC32A1" w:rsidP="005D20D7">
      <w:pPr>
        <w:spacing w:before="120" w:after="0" w:line="240" w:lineRule="auto"/>
        <w:jc w:val="both"/>
        <w:rPr>
          <w:rFonts w:ascii="Times New Roman" w:hAnsi="Times New Roman" w:cs="Times New Roman"/>
          <w:bCs/>
          <w:iCs/>
          <w:lang w:val="en-US"/>
        </w:rPr>
      </w:pPr>
    </w:p>
    <w:p w14:paraId="61B28F36" w14:textId="77777777" w:rsidR="00EC32A1" w:rsidRPr="00C20CCE" w:rsidRDefault="00EC32A1" w:rsidP="005D20D7">
      <w:pPr>
        <w:spacing w:before="120" w:after="0" w:line="240" w:lineRule="auto"/>
        <w:jc w:val="both"/>
        <w:rPr>
          <w:rFonts w:ascii="Times New Roman" w:hAnsi="Times New Roman" w:cs="Times New Roman"/>
          <w:bCs/>
          <w:iCs/>
          <w:lang w:val="en-US"/>
        </w:rPr>
      </w:pPr>
    </w:p>
    <w:p w14:paraId="11E9F54A" w14:textId="153D4C7F" w:rsidR="00DD5C36" w:rsidRPr="00C20CCE" w:rsidRDefault="000B3E78" w:rsidP="005D20D7">
      <w:pPr>
        <w:spacing w:before="120" w:after="120" w:line="276" w:lineRule="auto"/>
        <w:jc w:val="both"/>
        <w:rPr>
          <w:rFonts w:ascii="Times New Roman" w:hAnsi="Times New Roman" w:cs="Times New Roman"/>
          <w:b/>
          <w:i/>
          <w:lang w:val="en-US"/>
        </w:rPr>
      </w:pPr>
      <w:r w:rsidRPr="00C20CCE">
        <w:rPr>
          <w:rFonts w:ascii="Times New Roman" w:hAnsi="Times New Roman" w:cs="Times New Roman"/>
          <w:b/>
          <w:i/>
          <w:lang w:val="en-US"/>
        </w:rPr>
        <w:t>3.</w:t>
      </w:r>
      <w:r w:rsidR="00670B09" w:rsidRPr="00C20CCE">
        <w:rPr>
          <w:rFonts w:ascii="Times New Roman" w:hAnsi="Times New Roman" w:cs="Times New Roman"/>
          <w:b/>
          <w:i/>
          <w:lang w:val="en-US"/>
        </w:rPr>
        <w:t>2</w:t>
      </w:r>
      <w:r w:rsidRPr="00C20CCE">
        <w:rPr>
          <w:rFonts w:ascii="Times New Roman" w:hAnsi="Times New Roman" w:cs="Times New Roman"/>
          <w:b/>
          <w:i/>
          <w:lang w:val="en-US"/>
        </w:rPr>
        <w:t xml:space="preserve">. </w:t>
      </w:r>
      <w:r w:rsidR="00C20CCE" w:rsidRPr="00C20CCE">
        <w:rPr>
          <w:rFonts w:ascii="Times New Roman" w:hAnsi="Times New Roman" w:cs="Times New Roman"/>
          <w:b/>
          <w:i/>
          <w:lang w:val="en-US"/>
        </w:rPr>
        <w:t>Study of the stability and solubility parameters of pharmacophores</w:t>
      </w:r>
    </w:p>
    <w:p w14:paraId="5773DA58" w14:textId="1336D479" w:rsidR="008D3E24" w:rsidRPr="00C20CCE" w:rsidRDefault="00C20CCE" w:rsidP="00C80CA8">
      <w:pPr>
        <w:pStyle w:val="Caption"/>
        <w:spacing w:after="0"/>
        <w:jc w:val="both"/>
        <w:rPr>
          <w:rFonts w:ascii="Times New Roman" w:hAnsi="Times New Roman" w:cs="Times New Roman"/>
          <w:bCs/>
          <w:i w:val="0"/>
          <w:color w:val="auto"/>
          <w:sz w:val="22"/>
          <w:szCs w:val="22"/>
          <w:lang w:val="en-US"/>
        </w:rPr>
      </w:pPr>
      <w:bookmarkStart w:id="2" w:name="_Toc63583955"/>
      <w:r w:rsidRPr="00C20CCE">
        <w:rPr>
          <w:rFonts w:ascii="Times New Roman" w:hAnsi="Times New Roman" w:cs="Times New Roman"/>
          <w:bCs/>
          <w:i w:val="0"/>
          <w:color w:val="auto"/>
          <w:sz w:val="22"/>
          <w:szCs w:val="22"/>
          <w:lang w:val="en-US"/>
        </w:rPr>
        <w:lastRenderedPageBreak/>
        <w:t>The frequency calculations that followed the geometric optimization of the molecules yielded no imaginary frequencies, thus confirming the equilibrium structures of the systems studied at the B3LYP/6-31+G (d, p) theory level. The molecular dipole moment and overall reactivity parameters were determined in these equilibrium states, and the respective values obtained in the aqueous medium are shown in Table III. Analysis of the values in Table II shows that the P-Bi5 pharmacophore has the highest dipole moment value (7.546 D), while the P-Hy9 pharmacophore has the lowest value (2.006 D). Furthermore, the molecular dipole moment is a descriptor of a molecule's solubility in water. Solubility increases with the molecular dipole moment. Based on the values of this parameter for the pharmacophores studied, the following ranking by decreasing solubility was established:</w:t>
      </w:r>
      <w:r w:rsidR="00B1417C" w:rsidRPr="00C20CCE">
        <w:rPr>
          <w:rFonts w:ascii="Times New Roman" w:hAnsi="Times New Roman" w:cs="Times New Roman"/>
          <w:i w:val="0"/>
          <w:color w:val="auto"/>
          <w:sz w:val="22"/>
          <w:szCs w:val="22"/>
          <w:lang w:val="en-US"/>
        </w:rPr>
        <w:t xml:space="preserve"> </w:t>
      </w:r>
    </w:p>
    <w:p w14:paraId="128C403B" w14:textId="77777777" w:rsidR="00846AC5" w:rsidRPr="00337CD7" w:rsidRDefault="008D3E24" w:rsidP="00C80CA8">
      <w:pPr>
        <w:pStyle w:val="Caption"/>
        <w:spacing w:after="0"/>
        <w:jc w:val="both"/>
        <w:rPr>
          <w:rFonts w:ascii="Times New Roman" w:hAnsi="Times New Roman" w:cs="Times New Roman"/>
          <w:i w:val="0"/>
          <w:color w:val="auto"/>
          <w:sz w:val="22"/>
          <w:szCs w:val="22"/>
        </w:rPr>
      </w:pPr>
      <m:oMathPara>
        <m:oMath>
          <m:r>
            <w:rPr>
              <w:rFonts w:ascii="Cambria Math" w:hAnsi="Cambria Math" w:cs="Times New Roman"/>
              <w:color w:val="auto"/>
              <w:sz w:val="20"/>
              <w:szCs w:val="20"/>
              <w:lang w:val="en-US"/>
            </w:rPr>
            <m:t xml:space="preserve"> </m:t>
          </m:r>
          <m:r>
            <w:rPr>
              <w:rFonts w:ascii="Cambria Math" w:hAnsi="Cambria Math" w:cs="Times New Roman"/>
              <w:color w:val="auto"/>
              <w:sz w:val="20"/>
              <w:szCs w:val="20"/>
            </w:rPr>
            <m:t>μ: P-Bi5 ˃ P-Fa7 ˃ P-Fo8 ˃ P-Ar4 ˃ P-A41 ˃ P-8A6 ˃ P-Al3 ˃ P-Al2 ˃ P-Hy9</m:t>
          </m:r>
        </m:oMath>
      </m:oMathPara>
    </w:p>
    <w:p w14:paraId="2988DE3E" w14:textId="48315D53" w:rsidR="00690BE9" w:rsidRPr="00C20CCE" w:rsidRDefault="00C20CCE" w:rsidP="00C80CA8">
      <w:pPr>
        <w:pStyle w:val="Caption"/>
        <w:spacing w:after="0"/>
        <w:jc w:val="both"/>
        <w:rPr>
          <w:rFonts w:ascii="Times New Roman" w:hAnsi="Times New Roman" w:cs="Times New Roman"/>
          <w:bCs/>
          <w:i w:val="0"/>
          <w:color w:val="auto"/>
          <w:sz w:val="22"/>
          <w:szCs w:val="22"/>
          <w:lang w:val="en-US"/>
        </w:rPr>
      </w:pPr>
      <w:r w:rsidRPr="00C20CCE">
        <w:rPr>
          <w:rFonts w:ascii="Times New Roman" w:hAnsi="Times New Roman" w:cs="Times New Roman"/>
          <w:bCs/>
          <w:i w:val="0"/>
          <w:color w:val="auto"/>
          <w:sz w:val="22"/>
          <w:szCs w:val="22"/>
          <w:lang w:val="en-US"/>
        </w:rPr>
        <w:t>P-Bi5 is a pharmacophore that is more soluble in water, unlike the P-Hy9 pharmacophore, which is the least soluble.</w:t>
      </w:r>
    </w:p>
    <w:p w14:paraId="02C2BCF4" w14:textId="3CFB2A15" w:rsidR="00DD5C36" w:rsidRPr="001A4609" w:rsidRDefault="001A4609" w:rsidP="00E840E3">
      <w:pPr>
        <w:pStyle w:val="Caption"/>
        <w:spacing w:after="0"/>
        <w:jc w:val="both"/>
        <w:rPr>
          <w:rFonts w:ascii="Times New Roman" w:hAnsi="Times New Roman" w:cs="Times New Roman"/>
          <w:i w:val="0"/>
          <w:color w:val="auto"/>
          <w:sz w:val="22"/>
          <w:szCs w:val="22"/>
          <w:lang w:val="en-US"/>
        </w:rPr>
      </w:pPr>
      <w:r w:rsidRPr="001A4609">
        <w:rPr>
          <w:rFonts w:ascii="Times New Roman" w:hAnsi="Times New Roman" w:cs="Times New Roman"/>
          <w:b/>
          <w:i w:val="0"/>
          <w:color w:val="auto"/>
          <w:sz w:val="22"/>
          <w:szCs w:val="22"/>
          <w:lang w:val="en-US"/>
        </w:rPr>
        <w:t>Table</w:t>
      </w:r>
      <w:r w:rsidR="00DD5C36" w:rsidRPr="001A4609">
        <w:rPr>
          <w:rFonts w:ascii="Times New Roman" w:hAnsi="Times New Roman" w:cs="Times New Roman"/>
          <w:b/>
          <w:i w:val="0"/>
          <w:color w:val="auto"/>
          <w:sz w:val="22"/>
          <w:szCs w:val="22"/>
          <w:lang w:val="en-US"/>
        </w:rPr>
        <w:t xml:space="preserve"> </w:t>
      </w:r>
      <w:r w:rsidR="008C7A71">
        <w:rPr>
          <w:rFonts w:ascii="Times New Roman" w:hAnsi="Times New Roman" w:cs="Times New Roman"/>
          <w:b/>
          <w:i w:val="0"/>
          <w:color w:val="auto"/>
          <w:sz w:val="22"/>
          <w:szCs w:val="22"/>
          <w:lang w:val="en-US"/>
        </w:rPr>
        <w:t>3</w:t>
      </w:r>
      <w:r w:rsidR="00E840E3" w:rsidRPr="001A4609">
        <w:rPr>
          <w:rFonts w:ascii="Times New Roman" w:hAnsi="Times New Roman" w:cs="Times New Roman"/>
          <w:i w:val="0"/>
          <w:color w:val="auto"/>
          <w:sz w:val="22"/>
          <w:szCs w:val="22"/>
          <w:lang w:val="en-US"/>
        </w:rPr>
        <w:t xml:space="preserve">: </w:t>
      </w:r>
      <w:r w:rsidRPr="001A4609">
        <w:rPr>
          <w:rFonts w:ascii="Times New Roman" w:hAnsi="Times New Roman" w:cs="Times New Roman"/>
          <w:i w:val="0"/>
          <w:color w:val="auto"/>
          <w:sz w:val="22"/>
          <w:szCs w:val="22"/>
          <w:lang w:val="en-US"/>
        </w:rPr>
        <w:t>Descriptors of overall reactivity and dipole moment of pharmacophores</w:t>
      </w:r>
      <w:r w:rsidR="00DD5C36" w:rsidRPr="001A4609">
        <w:rPr>
          <w:rFonts w:ascii="Times New Roman" w:hAnsi="Times New Roman" w:cs="Times New Roman"/>
          <w:i w:val="0"/>
          <w:color w:val="auto"/>
          <w:sz w:val="22"/>
          <w:szCs w:val="22"/>
          <w:lang w:val="en-US"/>
        </w:rPr>
        <w:t xml:space="preserve"> </w:t>
      </w:r>
      <w:bookmarkEnd w:id="2"/>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935"/>
        <w:gridCol w:w="923"/>
        <w:gridCol w:w="1103"/>
        <w:gridCol w:w="992"/>
        <w:gridCol w:w="798"/>
        <w:gridCol w:w="884"/>
      </w:tblGrid>
      <w:tr w:rsidR="00337CD7" w:rsidRPr="00337CD7" w14:paraId="0C45C011" w14:textId="77777777" w:rsidTr="00DD5C36">
        <w:trPr>
          <w:trHeight w:val="300"/>
          <w:jc w:val="center"/>
        </w:trPr>
        <w:tc>
          <w:tcPr>
            <w:tcW w:w="1307" w:type="dxa"/>
            <w:tcBorders>
              <w:top w:val="single" w:sz="4" w:space="0" w:color="auto"/>
              <w:left w:val="nil"/>
              <w:bottom w:val="single" w:sz="4" w:space="0" w:color="auto"/>
              <w:right w:val="nil"/>
            </w:tcBorders>
            <w:noWrap/>
            <w:vAlign w:val="center"/>
            <w:hideMark/>
          </w:tcPr>
          <w:p w14:paraId="03D79A9C" w14:textId="3E41781E" w:rsidR="00DD5C36" w:rsidRPr="00337CD7" w:rsidRDefault="001A4609" w:rsidP="00E840E3">
            <w:pPr>
              <w:spacing w:after="0" w:line="240" w:lineRule="auto"/>
              <w:jc w:val="center"/>
              <w:rPr>
                <w:rFonts w:ascii="Times New Roman" w:eastAsia="Times New Roman" w:hAnsi="Times New Roman" w:cs="Times New Roman"/>
                <w:b/>
                <w:bCs/>
                <w:i/>
                <w:iCs/>
                <w:lang w:eastAsia="fr-FR"/>
              </w:rPr>
            </w:pPr>
            <w:proofErr w:type="spellStart"/>
            <w:r>
              <w:rPr>
                <w:rFonts w:ascii="Times New Roman" w:eastAsia="Times New Roman" w:hAnsi="Times New Roman" w:cs="Times New Roman"/>
                <w:b/>
                <w:bCs/>
                <w:i/>
                <w:iCs/>
                <w:lang w:eastAsia="fr-FR"/>
              </w:rPr>
              <w:t>Descripto</w:t>
            </w:r>
            <w:r w:rsidR="006C2D1D" w:rsidRPr="00337CD7">
              <w:rPr>
                <w:rFonts w:ascii="Times New Roman" w:eastAsia="Times New Roman" w:hAnsi="Times New Roman" w:cs="Times New Roman"/>
                <w:b/>
                <w:bCs/>
                <w:i/>
                <w:iCs/>
                <w:lang w:eastAsia="fr-FR"/>
              </w:rPr>
              <w:t>rs</w:t>
            </w:r>
            <w:proofErr w:type="spellEnd"/>
          </w:p>
        </w:tc>
        <w:tc>
          <w:tcPr>
            <w:tcW w:w="935" w:type="dxa"/>
            <w:tcBorders>
              <w:top w:val="single" w:sz="4" w:space="0" w:color="auto"/>
              <w:left w:val="nil"/>
              <w:bottom w:val="single" w:sz="4" w:space="0" w:color="auto"/>
              <w:right w:val="nil"/>
            </w:tcBorders>
            <w:noWrap/>
            <w:vAlign w:val="center"/>
            <w:hideMark/>
          </w:tcPr>
          <w:p w14:paraId="01530E79"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∆E(eV)</w:t>
            </w:r>
          </w:p>
        </w:tc>
        <w:tc>
          <w:tcPr>
            <w:tcW w:w="923" w:type="dxa"/>
            <w:tcBorders>
              <w:top w:val="single" w:sz="4" w:space="0" w:color="auto"/>
              <w:left w:val="nil"/>
              <w:bottom w:val="single" w:sz="4" w:space="0" w:color="auto"/>
              <w:right w:val="nil"/>
            </w:tcBorders>
            <w:noWrap/>
            <w:vAlign w:val="center"/>
            <w:hideMark/>
          </w:tcPr>
          <w:p w14:paraId="6A5EDA1D"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χ(eV)</w:t>
            </w:r>
          </w:p>
        </w:tc>
        <w:tc>
          <w:tcPr>
            <w:tcW w:w="1103" w:type="dxa"/>
            <w:tcBorders>
              <w:top w:val="single" w:sz="4" w:space="0" w:color="auto"/>
              <w:left w:val="nil"/>
              <w:bottom w:val="single" w:sz="4" w:space="0" w:color="auto"/>
              <w:right w:val="nil"/>
            </w:tcBorders>
            <w:noWrap/>
            <w:vAlign w:val="center"/>
            <w:hideMark/>
          </w:tcPr>
          <w:p w14:paraId="53E274E3"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ղ(eV)</w:t>
            </w:r>
          </w:p>
        </w:tc>
        <w:tc>
          <w:tcPr>
            <w:tcW w:w="992" w:type="dxa"/>
            <w:tcBorders>
              <w:top w:val="single" w:sz="4" w:space="0" w:color="auto"/>
              <w:left w:val="nil"/>
              <w:bottom w:val="single" w:sz="4" w:space="0" w:color="auto"/>
              <w:right w:val="nil"/>
            </w:tcBorders>
            <w:noWrap/>
            <w:vAlign w:val="center"/>
            <w:hideMark/>
          </w:tcPr>
          <w:p w14:paraId="31AB0B85"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Times New Roman" w:eastAsia="Times New Roman" w:hAnsi="Times New Roman" w:cs="Times New Roman"/>
                <w:b/>
                <w:bCs/>
                <w:i/>
                <w:iCs/>
                <w:lang w:eastAsia="fr-FR"/>
              </w:rPr>
              <w:t>S(eV</w:t>
            </w:r>
            <w:r w:rsidRPr="00337CD7">
              <w:rPr>
                <w:rFonts w:ascii="Times New Roman" w:eastAsia="Times New Roman" w:hAnsi="Times New Roman" w:cs="Times New Roman"/>
                <w:b/>
                <w:bCs/>
                <w:i/>
                <w:iCs/>
                <w:vertAlign w:val="superscript"/>
                <w:lang w:eastAsia="fr-FR"/>
              </w:rPr>
              <w:t>-1</w:t>
            </w:r>
            <w:r w:rsidRPr="00337CD7">
              <w:rPr>
                <w:rFonts w:ascii="Times New Roman" w:eastAsia="Times New Roman" w:hAnsi="Times New Roman" w:cs="Times New Roman"/>
                <w:b/>
                <w:bCs/>
                <w:i/>
                <w:iCs/>
                <w:lang w:eastAsia="fr-FR"/>
              </w:rPr>
              <w:t>)</w:t>
            </w:r>
          </w:p>
        </w:tc>
        <w:tc>
          <w:tcPr>
            <w:tcW w:w="798" w:type="dxa"/>
            <w:tcBorders>
              <w:top w:val="single" w:sz="4" w:space="0" w:color="auto"/>
              <w:left w:val="nil"/>
              <w:bottom w:val="single" w:sz="4" w:space="0" w:color="auto"/>
              <w:right w:val="nil"/>
            </w:tcBorders>
            <w:noWrap/>
            <w:vAlign w:val="center"/>
            <w:hideMark/>
          </w:tcPr>
          <w:p w14:paraId="09E5CC1B" w14:textId="77777777" w:rsidR="00DD5C36" w:rsidRPr="00337CD7" w:rsidRDefault="00DD5C36" w:rsidP="00E840E3">
            <w:pPr>
              <w:spacing w:after="0" w:line="240" w:lineRule="auto"/>
              <w:jc w:val="center"/>
              <w:rPr>
                <w:rFonts w:ascii="Times New Roman" w:eastAsia="Times New Roman" w:hAnsi="Times New Roman" w:cs="Times New Roman"/>
                <w:b/>
                <w:bCs/>
                <w:i/>
                <w:iCs/>
                <w:lang w:eastAsia="fr-FR"/>
              </w:rPr>
            </w:pPr>
            <w:r w:rsidRPr="00337CD7">
              <w:rPr>
                <w:rFonts w:ascii="Cambria Math" w:eastAsia="Times New Roman" w:hAnsi="Cambria Math" w:cs="Cambria Math"/>
                <w:b/>
                <w:bCs/>
                <w:i/>
                <w:iCs/>
                <w:lang w:eastAsia="fr-FR"/>
              </w:rPr>
              <w:t>⍵</w:t>
            </w:r>
            <w:r w:rsidRPr="00337CD7">
              <w:rPr>
                <w:rFonts w:ascii="Times New Roman" w:eastAsia="Times New Roman" w:hAnsi="Times New Roman" w:cs="Times New Roman"/>
                <w:b/>
                <w:bCs/>
                <w:i/>
                <w:iCs/>
                <w:lang w:eastAsia="fr-FR"/>
              </w:rPr>
              <w:t>(eV)</w:t>
            </w:r>
          </w:p>
        </w:tc>
        <w:tc>
          <w:tcPr>
            <w:tcW w:w="884" w:type="dxa"/>
            <w:tcBorders>
              <w:top w:val="single" w:sz="4" w:space="0" w:color="auto"/>
              <w:left w:val="nil"/>
              <w:bottom w:val="single" w:sz="4" w:space="0" w:color="auto"/>
              <w:right w:val="nil"/>
            </w:tcBorders>
            <w:vAlign w:val="center"/>
          </w:tcPr>
          <w:p w14:paraId="4FD3D2AB" w14:textId="77777777" w:rsidR="00DD5C36" w:rsidRPr="00337CD7" w:rsidRDefault="001B5591" w:rsidP="00E840E3">
            <w:pPr>
              <w:spacing w:after="0" w:line="240" w:lineRule="auto"/>
              <w:jc w:val="center"/>
              <w:rPr>
                <w:rFonts w:ascii="Times New Roman" w:hAnsi="Times New Roman" w:cs="Times New Roman"/>
                <w:b/>
                <w:bCs/>
                <w:i/>
                <w:iCs/>
              </w:rPr>
            </w:pPr>
            <m:oMathPara>
              <m:oMath>
                <m:r>
                  <m:rPr>
                    <m:sty m:val="bi"/>
                  </m:rPr>
                  <w:rPr>
                    <w:rFonts w:ascii="Cambria Math" w:hAnsi="Cambria Math" w:cs="Times New Roman"/>
                  </w:rPr>
                  <m:t>μ (D)</m:t>
                </m:r>
              </m:oMath>
            </m:oMathPara>
          </w:p>
        </w:tc>
      </w:tr>
      <w:tr w:rsidR="00337CD7" w:rsidRPr="00337CD7" w14:paraId="4350278E" w14:textId="77777777" w:rsidTr="00DD5C36">
        <w:trPr>
          <w:trHeight w:val="292"/>
          <w:jc w:val="center"/>
        </w:trPr>
        <w:tc>
          <w:tcPr>
            <w:tcW w:w="1307" w:type="dxa"/>
            <w:tcBorders>
              <w:top w:val="single" w:sz="4" w:space="0" w:color="auto"/>
              <w:left w:val="nil"/>
              <w:bottom w:val="nil"/>
              <w:right w:val="nil"/>
            </w:tcBorders>
            <w:noWrap/>
            <w:vAlign w:val="center"/>
            <w:hideMark/>
          </w:tcPr>
          <w:p w14:paraId="6AE60CC3"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935" w:type="dxa"/>
            <w:tcBorders>
              <w:top w:val="single" w:sz="4" w:space="0" w:color="auto"/>
              <w:left w:val="nil"/>
              <w:bottom w:val="nil"/>
              <w:right w:val="nil"/>
            </w:tcBorders>
            <w:noWrap/>
            <w:vAlign w:val="center"/>
            <w:hideMark/>
          </w:tcPr>
          <w:p w14:paraId="168484B6" w14:textId="78AB11E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235</w:t>
            </w:r>
          </w:p>
        </w:tc>
        <w:tc>
          <w:tcPr>
            <w:tcW w:w="923" w:type="dxa"/>
            <w:tcBorders>
              <w:top w:val="single" w:sz="4" w:space="0" w:color="auto"/>
              <w:left w:val="nil"/>
              <w:bottom w:val="nil"/>
              <w:right w:val="nil"/>
            </w:tcBorders>
            <w:noWrap/>
            <w:vAlign w:val="center"/>
            <w:hideMark/>
          </w:tcPr>
          <w:p w14:paraId="74E3F4EF" w14:textId="641477F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130</w:t>
            </w:r>
          </w:p>
        </w:tc>
        <w:tc>
          <w:tcPr>
            <w:tcW w:w="1103" w:type="dxa"/>
            <w:tcBorders>
              <w:top w:val="single" w:sz="4" w:space="0" w:color="auto"/>
              <w:left w:val="nil"/>
              <w:bottom w:val="nil"/>
              <w:right w:val="nil"/>
            </w:tcBorders>
            <w:noWrap/>
            <w:vAlign w:val="center"/>
            <w:hideMark/>
          </w:tcPr>
          <w:p w14:paraId="68386537" w14:textId="0D3153E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617</w:t>
            </w:r>
          </w:p>
        </w:tc>
        <w:tc>
          <w:tcPr>
            <w:tcW w:w="992" w:type="dxa"/>
            <w:tcBorders>
              <w:top w:val="single" w:sz="4" w:space="0" w:color="auto"/>
              <w:left w:val="nil"/>
              <w:bottom w:val="nil"/>
              <w:right w:val="nil"/>
            </w:tcBorders>
            <w:noWrap/>
            <w:vAlign w:val="center"/>
            <w:hideMark/>
          </w:tcPr>
          <w:p w14:paraId="568FDA80" w14:textId="12BDFD8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382</w:t>
            </w:r>
          </w:p>
        </w:tc>
        <w:tc>
          <w:tcPr>
            <w:tcW w:w="798" w:type="dxa"/>
            <w:tcBorders>
              <w:top w:val="single" w:sz="4" w:space="0" w:color="auto"/>
              <w:left w:val="nil"/>
              <w:bottom w:val="nil"/>
              <w:right w:val="nil"/>
            </w:tcBorders>
            <w:noWrap/>
            <w:vAlign w:val="center"/>
            <w:hideMark/>
          </w:tcPr>
          <w:p w14:paraId="67BE5370" w14:textId="4401F8EB"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258</w:t>
            </w:r>
          </w:p>
        </w:tc>
        <w:tc>
          <w:tcPr>
            <w:tcW w:w="884" w:type="dxa"/>
            <w:tcBorders>
              <w:top w:val="single" w:sz="4" w:space="0" w:color="auto"/>
              <w:left w:val="nil"/>
              <w:bottom w:val="nil"/>
              <w:right w:val="nil"/>
            </w:tcBorders>
            <w:vAlign w:val="center"/>
          </w:tcPr>
          <w:p w14:paraId="0B93E1F5" w14:textId="7FA0AF31"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592</w:t>
            </w:r>
          </w:p>
        </w:tc>
      </w:tr>
      <w:tr w:rsidR="00337CD7" w:rsidRPr="00337CD7" w14:paraId="2CAFCC64" w14:textId="77777777" w:rsidTr="00DD5C36">
        <w:trPr>
          <w:trHeight w:val="300"/>
          <w:jc w:val="center"/>
        </w:trPr>
        <w:tc>
          <w:tcPr>
            <w:tcW w:w="1307" w:type="dxa"/>
            <w:tcBorders>
              <w:top w:val="nil"/>
              <w:left w:val="nil"/>
              <w:bottom w:val="nil"/>
              <w:right w:val="nil"/>
            </w:tcBorders>
            <w:noWrap/>
            <w:vAlign w:val="center"/>
            <w:hideMark/>
          </w:tcPr>
          <w:p w14:paraId="750A4B39"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935" w:type="dxa"/>
            <w:tcBorders>
              <w:top w:val="nil"/>
              <w:left w:val="nil"/>
              <w:bottom w:val="nil"/>
              <w:right w:val="nil"/>
            </w:tcBorders>
            <w:noWrap/>
            <w:vAlign w:val="center"/>
            <w:hideMark/>
          </w:tcPr>
          <w:p w14:paraId="26F4C557" w14:textId="5C5F086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299</w:t>
            </w:r>
          </w:p>
        </w:tc>
        <w:tc>
          <w:tcPr>
            <w:tcW w:w="923" w:type="dxa"/>
            <w:tcBorders>
              <w:top w:val="nil"/>
              <w:left w:val="nil"/>
              <w:bottom w:val="nil"/>
              <w:right w:val="nil"/>
            </w:tcBorders>
            <w:noWrap/>
            <w:vAlign w:val="center"/>
            <w:hideMark/>
          </w:tcPr>
          <w:p w14:paraId="1743695C" w14:textId="35A5C36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310</w:t>
            </w:r>
          </w:p>
        </w:tc>
        <w:tc>
          <w:tcPr>
            <w:tcW w:w="1103" w:type="dxa"/>
            <w:tcBorders>
              <w:top w:val="nil"/>
              <w:left w:val="nil"/>
              <w:bottom w:val="nil"/>
              <w:right w:val="nil"/>
            </w:tcBorders>
            <w:noWrap/>
            <w:vAlign w:val="center"/>
            <w:hideMark/>
          </w:tcPr>
          <w:p w14:paraId="102D9E3B" w14:textId="51822D1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649</w:t>
            </w:r>
          </w:p>
        </w:tc>
        <w:tc>
          <w:tcPr>
            <w:tcW w:w="992" w:type="dxa"/>
            <w:tcBorders>
              <w:top w:val="nil"/>
              <w:left w:val="nil"/>
              <w:bottom w:val="nil"/>
              <w:right w:val="nil"/>
            </w:tcBorders>
            <w:noWrap/>
            <w:vAlign w:val="center"/>
            <w:hideMark/>
          </w:tcPr>
          <w:p w14:paraId="411BEC90" w14:textId="28FE6D0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377</w:t>
            </w:r>
          </w:p>
        </w:tc>
        <w:tc>
          <w:tcPr>
            <w:tcW w:w="798" w:type="dxa"/>
            <w:tcBorders>
              <w:top w:val="nil"/>
              <w:left w:val="nil"/>
              <w:bottom w:val="nil"/>
              <w:right w:val="nil"/>
            </w:tcBorders>
            <w:noWrap/>
            <w:vAlign w:val="center"/>
            <w:hideMark/>
          </w:tcPr>
          <w:p w14:paraId="674F33D1" w14:textId="53A63C8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505</w:t>
            </w:r>
          </w:p>
        </w:tc>
        <w:tc>
          <w:tcPr>
            <w:tcW w:w="884" w:type="dxa"/>
            <w:tcBorders>
              <w:top w:val="nil"/>
              <w:left w:val="nil"/>
              <w:bottom w:val="nil"/>
              <w:right w:val="nil"/>
            </w:tcBorders>
            <w:vAlign w:val="center"/>
          </w:tcPr>
          <w:p w14:paraId="6483BB28" w14:textId="0F1B0050"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449</w:t>
            </w:r>
          </w:p>
        </w:tc>
      </w:tr>
      <w:tr w:rsidR="00337CD7" w:rsidRPr="00337CD7" w14:paraId="0A2673A1" w14:textId="77777777" w:rsidTr="00DD5C36">
        <w:trPr>
          <w:trHeight w:val="300"/>
          <w:jc w:val="center"/>
        </w:trPr>
        <w:tc>
          <w:tcPr>
            <w:tcW w:w="1307" w:type="dxa"/>
            <w:tcBorders>
              <w:top w:val="nil"/>
              <w:left w:val="nil"/>
              <w:bottom w:val="nil"/>
              <w:right w:val="nil"/>
            </w:tcBorders>
            <w:noWrap/>
            <w:vAlign w:val="center"/>
            <w:hideMark/>
          </w:tcPr>
          <w:p w14:paraId="6F40F084"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P-Al3</w:t>
            </w:r>
          </w:p>
        </w:tc>
        <w:tc>
          <w:tcPr>
            <w:tcW w:w="935" w:type="dxa"/>
            <w:tcBorders>
              <w:top w:val="nil"/>
              <w:left w:val="nil"/>
              <w:bottom w:val="nil"/>
              <w:right w:val="nil"/>
            </w:tcBorders>
            <w:noWrap/>
            <w:vAlign w:val="center"/>
            <w:hideMark/>
          </w:tcPr>
          <w:p w14:paraId="2957F024" w14:textId="6BAB2A6D"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118</w:t>
            </w:r>
          </w:p>
        </w:tc>
        <w:tc>
          <w:tcPr>
            <w:tcW w:w="923" w:type="dxa"/>
            <w:tcBorders>
              <w:top w:val="nil"/>
              <w:left w:val="nil"/>
              <w:bottom w:val="nil"/>
              <w:right w:val="nil"/>
            </w:tcBorders>
            <w:shd w:val="clear" w:color="000000" w:fill="FFFFFF"/>
            <w:noWrap/>
            <w:vAlign w:val="center"/>
            <w:hideMark/>
          </w:tcPr>
          <w:p w14:paraId="2DA4560B" w14:textId="0C84090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2</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931</w:t>
            </w:r>
          </w:p>
        </w:tc>
        <w:tc>
          <w:tcPr>
            <w:tcW w:w="1103" w:type="dxa"/>
            <w:tcBorders>
              <w:top w:val="nil"/>
              <w:left w:val="nil"/>
              <w:bottom w:val="nil"/>
              <w:right w:val="nil"/>
            </w:tcBorders>
            <w:noWrap/>
            <w:vAlign w:val="center"/>
            <w:hideMark/>
          </w:tcPr>
          <w:p w14:paraId="1485A9FB" w14:textId="1E4A188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059</w:t>
            </w:r>
          </w:p>
        </w:tc>
        <w:tc>
          <w:tcPr>
            <w:tcW w:w="992" w:type="dxa"/>
            <w:tcBorders>
              <w:top w:val="nil"/>
              <w:left w:val="nil"/>
              <w:bottom w:val="nil"/>
              <w:right w:val="nil"/>
            </w:tcBorders>
            <w:noWrap/>
            <w:vAlign w:val="center"/>
            <w:hideMark/>
          </w:tcPr>
          <w:p w14:paraId="66D6CEAF" w14:textId="2260243E"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327</w:t>
            </w:r>
          </w:p>
        </w:tc>
        <w:tc>
          <w:tcPr>
            <w:tcW w:w="798" w:type="dxa"/>
            <w:tcBorders>
              <w:top w:val="nil"/>
              <w:left w:val="nil"/>
              <w:bottom w:val="nil"/>
              <w:right w:val="nil"/>
            </w:tcBorders>
            <w:shd w:val="clear" w:color="000000" w:fill="FFFFFF"/>
            <w:noWrap/>
            <w:vAlign w:val="center"/>
            <w:hideMark/>
          </w:tcPr>
          <w:p w14:paraId="59C3FADF" w14:textId="0DCACDC4"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1</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404</w:t>
            </w:r>
          </w:p>
        </w:tc>
        <w:tc>
          <w:tcPr>
            <w:tcW w:w="884" w:type="dxa"/>
            <w:tcBorders>
              <w:top w:val="nil"/>
              <w:left w:val="nil"/>
              <w:bottom w:val="nil"/>
              <w:right w:val="nil"/>
            </w:tcBorders>
            <w:shd w:val="clear" w:color="000000" w:fill="FFFFFF"/>
            <w:vAlign w:val="center"/>
          </w:tcPr>
          <w:p w14:paraId="4E7C1B0C" w14:textId="37D7CD95"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2</w:t>
            </w:r>
            <w:r w:rsidR="00241594">
              <w:rPr>
                <w:rFonts w:ascii="Times New Roman" w:hAnsi="Times New Roman" w:cs="Times New Roman"/>
              </w:rPr>
              <w:t>.</w:t>
            </w:r>
            <w:r w:rsidRPr="00337CD7">
              <w:rPr>
                <w:rFonts w:ascii="Times New Roman" w:hAnsi="Times New Roman" w:cs="Times New Roman"/>
              </w:rPr>
              <w:t>978</w:t>
            </w:r>
          </w:p>
        </w:tc>
      </w:tr>
      <w:tr w:rsidR="00337CD7" w:rsidRPr="00337CD7" w14:paraId="07060CCE" w14:textId="77777777" w:rsidTr="00DD5C36">
        <w:trPr>
          <w:trHeight w:val="300"/>
          <w:jc w:val="center"/>
        </w:trPr>
        <w:tc>
          <w:tcPr>
            <w:tcW w:w="1307" w:type="dxa"/>
            <w:tcBorders>
              <w:top w:val="nil"/>
              <w:left w:val="nil"/>
              <w:bottom w:val="nil"/>
              <w:right w:val="nil"/>
            </w:tcBorders>
            <w:noWrap/>
            <w:vAlign w:val="center"/>
            <w:hideMark/>
          </w:tcPr>
          <w:p w14:paraId="002E99EB"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935" w:type="dxa"/>
            <w:tcBorders>
              <w:top w:val="nil"/>
              <w:left w:val="nil"/>
              <w:bottom w:val="nil"/>
              <w:right w:val="nil"/>
            </w:tcBorders>
            <w:noWrap/>
            <w:vAlign w:val="center"/>
            <w:hideMark/>
          </w:tcPr>
          <w:p w14:paraId="16D38937" w14:textId="4DB266CA"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518</w:t>
            </w:r>
          </w:p>
        </w:tc>
        <w:tc>
          <w:tcPr>
            <w:tcW w:w="923" w:type="dxa"/>
            <w:tcBorders>
              <w:top w:val="nil"/>
              <w:left w:val="nil"/>
              <w:bottom w:val="nil"/>
              <w:right w:val="nil"/>
            </w:tcBorders>
            <w:noWrap/>
            <w:vAlign w:val="center"/>
            <w:hideMark/>
          </w:tcPr>
          <w:p w14:paraId="4C43C957" w14:textId="33B652FB"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230</w:t>
            </w:r>
          </w:p>
        </w:tc>
        <w:tc>
          <w:tcPr>
            <w:tcW w:w="1103" w:type="dxa"/>
            <w:tcBorders>
              <w:top w:val="nil"/>
              <w:left w:val="nil"/>
              <w:bottom w:val="nil"/>
              <w:right w:val="nil"/>
            </w:tcBorders>
            <w:noWrap/>
            <w:vAlign w:val="center"/>
            <w:hideMark/>
          </w:tcPr>
          <w:p w14:paraId="5F8FE5F4" w14:textId="595EFBA6"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259</w:t>
            </w:r>
          </w:p>
        </w:tc>
        <w:tc>
          <w:tcPr>
            <w:tcW w:w="992" w:type="dxa"/>
            <w:tcBorders>
              <w:top w:val="nil"/>
              <w:left w:val="nil"/>
              <w:bottom w:val="nil"/>
              <w:right w:val="nil"/>
            </w:tcBorders>
            <w:noWrap/>
            <w:vAlign w:val="center"/>
            <w:hideMark/>
          </w:tcPr>
          <w:p w14:paraId="2E759B68" w14:textId="2286F3A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307</w:t>
            </w:r>
          </w:p>
        </w:tc>
        <w:tc>
          <w:tcPr>
            <w:tcW w:w="798" w:type="dxa"/>
            <w:tcBorders>
              <w:top w:val="nil"/>
              <w:left w:val="nil"/>
              <w:bottom w:val="nil"/>
              <w:right w:val="nil"/>
            </w:tcBorders>
            <w:noWrap/>
            <w:vAlign w:val="center"/>
            <w:hideMark/>
          </w:tcPr>
          <w:p w14:paraId="70D7AF7B" w14:textId="7EC0C80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601</w:t>
            </w:r>
          </w:p>
        </w:tc>
        <w:tc>
          <w:tcPr>
            <w:tcW w:w="884" w:type="dxa"/>
            <w:tcBorders>
              <w:top w:val="nil"/>
              <w:left w:val="nil"/>
              <w:bottom w:val="nil"/>
              <w:right w:val="nil"/>
            </w:tcBorders>
            <w:vAlign w:val="center"/>
          </w:tcPr>
          <w:p w14:paraId="1D74058F" w14:textId="18163DDC"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746</w:t>
            </w:r>
          </w:p>
        </w:tc>
      </w:tr>
      <w:tr w:rsidR="00337CD7" w:rsidRPr="00337CD7" w14:paraId="57F52BCF" w14:textId="77777777" w:rsidTr="00DD5C36">
        <w:trPr>
          <w:trHeight w:val="300"/>
          <w:jc w:val="center"/>
        </w:trPr>
        <w:tc>
          <w:tcPr>
            <w:tcW w:w="1307" w:type="dxa"/>
            <w:tcBorders>
              <w:top w:val="nil"/>
              <w:left w:val="nil"/>
              <w:bottom w:val="nil"/>
              <w:right w:val="nil"/>
            </w:tcBorders>
            <w:noWrap/>
            <w:vAlign w:val="center"/>
            <w:hideMark/>
          </w:tcPr>
          <w:p w14:paraId="0E25E3C0"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P-Bi5</w:t>
            </w:r>
          </w:p>
        </w:tc>
        <w:tc>
          <w:tcPr>
            <w:tcW w:w="935" w:type="dxa"/>
            <w:tcBorders>
              <w:top w:val="nil"/>
              <w:left w:val="nil"/>
              <w:bottom w:val="nil"/>
              <w:right w:val="nil"/>
            </w:tcBorders>
            <w:noWrap/>
            <w:vAlign w:val="center"/>
          </w:tcPr>
          <w:p w14:paraId="5E9EF6F8" w14:textId="189FC9B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455</w:t>
            </w:r>
          </w:p>
        </w:tc>
        <w:tc>
          <w:tcPr>
            <w:tcW w:w="923" w:type="dxa"/>
            <w:tcBorders>
              <w:top w:val="nil"/>
              <w:left w:val="nil"/>
              <w:bottom w:val="nil"/>
              <w:right w:val="nil"/>
            </w:tcBorders>
            <w:noWrap/>
            <w:vAlign w:val="center"/>
            <w:hideMark/>
          </w:tcPr>
          <w:p w14:paraId="1375671B" w14:textId="3D67705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374</w:t>
            </w:r>
          </w:p>
        </w:tc>
        <w:tc>
          <w:tcPr>
            <w:tcW w:w="1103" w:type="dxa"/>
            <w:tcBorders>
              <w:top w:val="nil"/>
              <w:left w:val="nil"/>
              <w:bottom w:val="nil"/>
              <w:right w:val="nil"/>
            </w:tcBorders>
            <w:noWrap/>
            <w:vAlign w:val="center"/>
            <w:hideMark/>
          </w:tcPr>
          <w:p w14:paraId="1A013693" w14:textId="089E4864"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227</w:t>
            </w:r>
          </w:p>
        </w:tc>
        <w:tc>
          <w:tcPr>
            <w:tcW w:w="992" w:type="dxa"/>
            <w:tcBorders>
              <w:top w:val="nil"/>
              <w:left w:val="nil"/>
              <w:bottom w:val="nil"/>
              <w:right w:val="nil"/>
            </w:tcBorders>
            <w:noWrap/>
            <w:vAlign w:val="center"/>
            <w:hideMark/>
          </w:tcPr>
          <w:p w14:paraId="3B976EFC" w14:textId="67D3A94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310</w:t>
            </w:r>
          </w:p>
        </w:tc>
        <w:tc>
          <w:tcPr>
            <w:tcW w:w="798" w:type="dxa"/>
            <w:tcBorders>
              <w:top w:val="nil"/>
              <w:left w:val="nil"/>
              <w:bottom w:val="nil"/>
              <w:right w:val="nil"/>
            </w:tcBorders>
            <w:noWrap/>
            <w:vAlign w:val="center"/>
            <w:hideMark/>
          </w:tcPr>
          <w:p w14:paraId="3B897B42" w14:textId="7E1CB61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664</w:t>
            </w:r>
          </w:p>
        </w:tc>
        <w:tc>
          <w:tcPr>
            <w:tcW w:w="884" w:type="dxa"/>
            <w:tcBorders>
              <w:top w:val="nil"/>
              <w:left w:val="nil"/>
              <w:bottom w:val="nil"/>
              <w:right w:val="nil"/>
            </w:tcBorders>
            <w:vAlign w:val="center"/>
          </w:tcPr>
          <w:p w14:paraId="244A7848" w14:textId="3FDC7820" w:rsidR="00DD5C36" w:rsidRPr="00337CD7" w:rsidRDefault="00DD5C36" w:rsidP="00E840E3">
            <w:pPr>
              <w:spacing w:after="0" w:line="240" w:lineRule="auto"/>
              <w:jc w:val="center"/>
              <w:rPr>
                <w:rFonts w:ascii="Times New Roman" w:hAnsi="Times New Roman" w:cs="Times New Roman"/>
                <w:bCs/>
              </w:rPr>
            </w:pPr>
            <w:r w:rsidRPr="00337CD7">
              <w:rPr>
                <w:rFonts w:ascii="Times New Roman" w:hAnsi="Times New Roman" w:cs="Times New Roman"/>
                <w:bCs/>
              </w:rPr>
              <w:t>7</w:t>
            </w:r>
            <w:r w:rsidR="00241594">
              <w:rPr>
                <w:rFonts w:ascii="Times New Roman" w:hAnsi="Times New Roman" w:cs="Times New Roman"/>
                <w:bCs/>
              </w:rPr>
              <w:t>.</w:t>
            </w:r>
            <w:r w:rsidRPr="00337CD7">
              <w:rPr>
                <w:rFonts w:ascii="Times New Roman" w:hAnsi="Times New Roman" w:cs="Times New Roman"/>
                <w:bCs/>
              </w:rPr>
              <w:t>546</w:t>
            </w:r>
          </w:p>
        </w:tc>
      </w:tr>
      <w:tr w:rsidR="00337CD7" w:rsidRPr="00337CD7" w14:paraId="20900660" w14:textId="77777777" w:rsidTr="00DD5C36">
        <w:trPr>
          <w:trHeight w:val="300"/>
          <w:jc w:val="center"/>
        </w:trPr>
        <w:tc>
          <w:tcPr>
            <w:tcW w:w="1307" w:type="dxa"/>
            <w:tcBorders>
              <w:top w:val="nil"/>
              <w:left w:val="nil"/>
              <w:bottom w:val="nil"/>
              <w:right w:val="nil"/>
            </w:tcBorders>
            <w:noWrap/>
            <w:vAlign w:val="center"/>
            <w:hideMark/>
          </w:tcPr>
          <w:p w14:paraId="739E933D"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935" w:type="dxa"/>
            <w:tcBorders>
              <w:top w:val="nil"/>
              <w:left w:val="nil"/>
              <w:bottom w:val="nil"/>
              <w:right w:val="nil"/>
            </w:tcBorders>
            <w:shd w:val="clear" w:color="000000" w:fill="FFFFFF"/>
            <w:noWrap/>
            <w:vAlign w:val="center"/>
          </w:tcPr>
          <w:p w14:paraId="258392B5" w14:textId="7FCBEEFE"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6</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502</w:t>
            </w:r>
          </w:p>
        </w:tc>
        <w:tc>
          <w:tcPr>
            <w:tcW w:w="923" w:type="dxa"/>
            <w:tcBorders>
              <w:top w:val="nil"/>
              <w:left w:val="nil"/>
              <w:bottom w:val="nil"/>
              <w:right w:val="nil"/>
            </w:tcBorders>
            <w:noWrap/>
            <w:vAlign w:val="center"/>
            <w:hideMark/>
          </w:tcPr>
          <w:p w14:paraId="439FF3DC" w14:textId="0A3B985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251</w:t>
            </w:r>
          </w:p>
        </w:tc>
        <w:tc>
          <w:tcPr>
            <w:tcW w:w="1103" w:type="dxa"/>
            <w:tcBorders>
              <w:top w:val="nil"/>
              <w:left w:val="nil"/>
              <w:bottom w:val="nil"/>
              <w:right w:val="nil"/>
            </w:tcBorders>
            <w:shd w:val="clear" w:color="000000" w:fill="FFFFFF"/>
            <w:noWrap/>
            <w:vAlign w:val="center"/>
            <w:hideMark/>
          </w:tcPr>
          <w:p w14:paraId="6A5B0B0C" w14:textId="40EB1485"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251</w:t>
            </w:r>
          </w:p>
        </w:tc>
        <w:tc>
          <w:tcPr>
            <w:tcW w:w="992" w:type="dxa"/>
            <w:tcBorders>
              <w:top w:val="nil"/>
              <w:left w:val="nil"/>
              <w:bottom w:val="nil"/>
              <w:right w:val="nil"/>
            </w:tcBorders>
            <w:shd w:val="clear" w:color="000000" w:fill="FFFFFF"/>
            <w:noWrap/>
            <w:vAlign w:val="center"/>
            <w:hideMark/>
          </w:tcPr>
          <w:p w14:paraId="41C3BA2E" w14:textId="4347ABA1"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308</w:t>
            </w:r>
          </w:p>
        </w:tc>
        <w:tc>
          <w:tcPr>
            <w:tcW w:w="798" w:type="dxa"/>
            <w:tcBorders>
              <w:top w:val="nil"/>
              <w:left w:val="nil"/>
              <w:bottom w:val="nil"/>
              <w:right w:val="nil"/>
            </w:tcBorders>
            <w:shd w:val="clear" w:color="000000" w:fill="FFFFFF"/>
            <w:noWrap/>
            <w:vAlign w:val="center"/>
            <w:hideMark/>
          </w:tcPr>
          <w:p w14:paraId="0CCA42FE" w14:textId="46AF971C"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625</w:t>
            </w:r>
          </w:p>
        </w:tc>
        <w:tc>
          <w:tcPr>
            <w:tcW w:w="884" w:type="dxa"/>
            <w:tcBorders>
              <w:top w:val="nil"/>
              <w:left w:val="nil"/>
              <w:bottom w:val="nil"/>
              <w:right w:val="nil"/>
            </w:tcBorders>
            <w:shd w:val="clear" w:color="000000" w:fill="FFFFFF"/>
            <w:vAlign w:val="center"/>
          </w:tcPr>
          <w:p w14:paraId="4678BA4D" w14:textId="430613C5"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3</w:t>
            </w:r>
            <w:r w:rsidR="00241594">
              <w:rPr>
                <w:rFonts w:ascii="Times New Roman" w:hAnsi="Times New Roman" w:cs="Times New Roman"/>
              </w:rPr>
              <w:t>.</w:t>
            </w:r>
            <w:r w:rsidRPr="00337CD7">
              <w:rPr>
                <w:rFonts w:ascii="Times New Roman" w:hAnsi="Times New Roman" w:cs="Times New Roman"/>
              </w:rPr>
              <w:t>007</w:t>
            </w:r>
          </w:p>
        </w:tc>
      </w:tr>
      <w:tr w:rsidR="00337CD7" w:rsidRPr="00337CD7" w14:paraId="7BC4A772" w14:textId="77777777" w:rsidTr="00DD5C36">
        <w:trPr>
          <w:trHeight w:val="300"/>
          <w:jc w:val="center"/>
        </w:trPr>
        <w:tc>
          <w:tcPr>
            <w:tcW w:w="1307" w:type="dxa"/>
            <w:tcBorders>
              <w:top w:val="nil"/>
              <w:left w:val="nil"/>
              <w:bottom w:val="nil"/>
              <w:right w:val="nil"/>
            </w:tcBorders>
            <w:noWrap/>
            <w:vAlign w:val="center"/>
            <w:hideMark/>
          </w:tcPr>
          <w:p w14:paraId="505141A7"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935" w:type="dxa"/>
            <w:tcBorders>
              <w:top w:val="nil"/>
              <w:left w:val="nil"/>
              <w:bottom w:val="nil"/>
              <w:right w:val="nil"/>
            </w:tcBorders>
            <w:noWrap/>
            <w:vAlign w:val="center"/>
            <w:hideMark/>
          </w:tcPr>
          <w:p w14:paraId="58508706" w14:textId="0E3B6060"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664</w:t>
            </w:r>
          </w:p>
        </w:tc>
        <w:tc>
          <w:tcPr>
            <w:tcW w:w="923" w:type="dxa"/>
            <w:tcBorders>
              <w:top w:val="nil"/>
              <w:left w:val="nil"/>
              <w:bottom w:val="nil"/>
              <w:right w:val="nil"/>
            </w:tcBorders>
            <w:noWrap/>
            <w:vAlign w:val="center"/>
            <w:hideMark/>
          </w:tcPr>
          <w:p w14:paraId="2458C57A" w14:textId="1E73ECA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279</w:t>
            </w:r>
          </w:p>
        </w:tc>
        <w:tc>
          <w:tcPr>
            <w:tcW w:w="1103" w:type="dxa"/>
            <w:tcBorders>
              <w:top w:val="nil"/>
              <w:left w:val="nil"/>
              <w:bottom w:val="nil"/>
              <w:right w:val="nil"/>
            </w:tcBorders>
            <w:noWrap/>
            <w:vAlign w:val="center"/>
            <w:hideMark/>
          </w:tcPr>
          <w:p w14:paraId="7C9C9A0E" w14:textId="557B1D09"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832</w:t>
            </w:r>
          </w:p>
        </w:tc>
        <w:tc>
          <w:tcPr>
            <w:tcW w:w="992" w:type="dxa"/>
            <w:tcBorders>
              <w:top w:val="nil"/>
              <w:left w:val="nil"/>
              <w:bottom w:val="nil"/>
              <w:right w:val="nil"/>
            </w:tcBorders>
            <w:noWrap/>
            <w:vAlign w:val="center"/>
            <w:hideMark/>
          </w:tcPr>
          <w:p w14:paraId="1ECF08E5" w14:textId="30B02667" w:rsidR="00DD5C36" w:rsidRPr="00337CD7" w:rsidRDefault="00DD5C36" w:rsidP="008F75F8">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26</w:t>
            </w:r>
            <w:r w:rsidR="008F75F8" w:rsidRPr="00337CD7">
              <w:rPr>
                <w:rFonts w:ascii="Times New Roman" w:eastAsia="Times New Roman" w:hAnsi="Times New Roman" w:cs="Times New Roman"/>
                <w:lang w:eastAsia="fr-FR"/>
              </w:rPr>
              <w:t>1</w:t>
            </w:r>
          </w:p>
        </w:tc>
        <w:tc>
          <w:tcPr>
            <w:tcW w:w="798" w:type="dxa"/>
            <w:tcBorders>
              <w:top w:val="nil"/>
              <w:left w:val="nil"/>
              <w:bottom w:val="nil"/>
              <w:right w:val="nil"/>
            </w:tcBorders>
            <w:noWrap/>
            <w:vAlign w:val="center"/>
            <w:hideMark/>
          </w:tcPr>
          <w:p w14:paraId="0794EBC6" w14:textId="486986D2"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389</w:t>
            </w:r>
          </w:p>
        </w:tc>
        <w:tc>
          <w:tcPr>
            <w:tcW w:w="884" w:type="dxa"/>
            <w:tcBorders>
              <w:top w:val="nil"/>
              <w:left w:val="nil"/>
              <w:bottom w:val="nil"/>
              <w:right w:val="nil"/>
            </w:tcBorders>
            <w:vAlign w:val="center"/>
          </w:tcPr>
          <w:p w14:paraId="7725AF58" w14:textId="4A22CF0A"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5</w:t>
            </w:r>
            <w:r w:rsidR="00241594">
              <w:rPr>
                <w:rFonts w:ascii="Times New Roman" w:hAnsi="Times New Roman" w:cs="Times New Roman"/>
              </w:rPr>
              <w:t>.</w:t>
            </w:r>
            <w:r w:rsidRPr="00337CD7">
              <w:rPr>
                <w:rFonts w:ascii="Times New Roman" w:hAnsi="Times New Roman" w:cs="Times New Roman"/>
              </w:rPr>
              <w:t>583</w:t>
            </w:r>
          </w:p>
        </w:tc>
      </w:tr>
      <w:tr w:rsidR="00337CD7" w:rsidRPr="00337CD7" w14:paraId="07A2EEFB" w14:textId="77777777" w:rsidTr="00DD5C36">
        <w:trPr>
          <w:trHeight w:val="300"/>
          <w:jc w:val="center"/>
        </w:trPr>
        <w:tc>
          <w:tcPr>
            <w:tcW w:w="1307" w:type="dxa"/>
            <w:tcBorders>
              <w:top w:val="nil"/>
              <w:left w:val="nil"/>
              <w:bottom w:val="nil"/>
              <w:right w:val="nil"/>
            </w:tcBorders>
            <w:noWrap/>
            <w:vAlign w:val="center"/>
            <w:hideMark/>
          </w:tcPr>
          <w:p w14:paraId="4258B095"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935" w:type="dxa"/>
            <w:tcBorders>
              <w:top w:val="nil"/>
              <w:left w:val="nil"/>
              <w:bottom w:val="nil"/>
              <w:right w:val="nil"/>
            </w:tcBorders>
            <w:shd w:val="clear" w:color="000000" w:fill="FFFFFF"/>
            <w:noWrap/>
            <w:vAlign w:val="center"/>
          </w:tcPr>
          <w:p w14:paraId="5F7B1AD2" w14:textId="6C3C7266"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633</w:t>
            </w:r>
          </w:p>
        </w:tc>
        <w:tc>
          <w:tcPr>
            <w:tcW w:w="923" w:type="dxa"/>
            <w:tcBorders>
              <w:top w:val="nil"/>
              <w:left w:val="nil"/>
              <w:bottom w:val="nil"/>
              <w:right w:val="nil"/>
            </w:tcBorders>
            <w:shd w:val="clear" w:color="000000" w:fill="FFFFFF"/>
            <w:noWrap/>
            <w:vAlign w:val="center"/>
            <w:hideMark/>
          </w:tcPr>
          <w:p w14:paraId="10C0CA33" w14:textId="4F294FDD"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658</w:t>
            </w:r>
          </w:p>
        </w:tc>
        <w:tc>
          <w:tcPr>
            <w:tcW w:w="1103" w:type="dxa"/>
            <w:tcBorders>
              <w:top w:val="nil"/>
              <w:left w:val="nil"/>
              <w:bottom w:val="nil"/>
              <w:right w:val="nil"/>
            </w:tcBorders>
            <w:shd w:val="clear" w:color="000000" w:fill="FFFFFF"/>
            <w:noWrap/>
            <w:vAlign w:val="center"/>
            <w:hideMark/>
          </w:tcPr>
          <w:p w14:paraId="4F19CD2F" w14:textId="65BB57C5"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3</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816</w:t>
            </w:r>
          </w:p>
        </w:tc>
        <w:tc>
          <w:tcPr>
            <w:tcW w:w="992" w:type="dxa"/>
            <w:tcBorders>
              <w:top w:val="nil"/>
              <w:left w:val="nil"/>
              <w:bottom w:val="nil"/>
              <w:right w:val="nil"/>
            </w:tcBorders>
            <w:shd w:val="clear" w:color="000000" w:fill="FFFFFF"/>
            <w:noWrap/>
            <w:vAlign w:val="center"/>
            <w:hideMark/>
          </w:tcPr>
          <w:p w14:paraId="2BE168EE" w14:textId="5D406A31" w:rsidR="00DD5C36" w:rsidRPr="00337CD7" w:rsidRDefault="00DD5C36" w:rsidP="008F75F8">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26</w:t>
            </w:r>
            <w:r w:rsidR="008F75F8" w:rsidRPr="00337CD7">
              <w:rPr>
                <w:rFonts w:ascii="Times New Roman" w:eastAsia="Times New Roman" w:hAnsi="Times New Roman" w:cs="Times New Roman"/>
                <w:lang w:eastAsia="fr-FR"/>
              </w:rPr>
              <w:t>2</w:t>
            </w:r>
          </w:p>
        </w:tc>
        <w:tc>
          <w:tcPr>
            <w:tcW w:w="798" w:type="dxa"/>
            <w:tcBorders>
              <w:top w:val="nil"/>
              <w:left w:val="nil"/>
              <w:bottom w:val="nil"/>
              <w:right w:val="nil"/>
            </w:tcBorders>
            <w:noWrap/>
            <w:vAlign w:val="center"/>
            <w:hideMark/>
          </w:tcPr>
          <w:p w14:paraId="018338AC" w14:textId="4E62578F"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842</w:t>
            </w:r>
          </w:p>
        </w:tc>
        <w:tc>
          <w:tcPr>
            <w:tcW w:w="884" w:type="dxa"/>
            <w:tcBorders>
              <w:top w:val="nil"/>
              <w:left w:val="nil"/>
              <w:bottom w:val="nil"/>
              <w:right w:val="nil"/>
            </w:tcBorders>
            <w:vAlign w:val="center"/>
          </w:tcPr>
          <w:p w14:paraId="2221D988" w14:textId="1A74FE40" w:rsidR="00DD5C36" w:rsidRPr="00337CD7" w:rsidRDefault="00DD5C36" w:rsidP="00E840E3">
            <w:pPr>
              <w:spacing w:after="0" w:line="240" w:lineRule="auto"/>
              <w:jc w:val="center"/>
              <w:rPr>
                <w:rFonts w:ascii="Times New Roman" w:hAnsi="Times New Roman" w:cs="Times New Roman"/>
              </w:rPr>
            </w:pPr>
            <w:r w:rsidRPr="00337CD7">
              <w:rPr>
                <w:rFonts w:ascii="Times New Roman" w:hAnsi="Times New Roman" w:cs="Times New Roman"/>
              </w:rPr>
              <w:t>4</w:t>
            </w:r>
            <w:r w:rsidR="00241594">
              <w:rPr>
                <w:rFonts w:ascii="Times New Roman" w:hAnsi="Times New Roman" w:cs="Times New Roman"/>
              </w:rPr>
              <w:t>.</w:t>
            </w:r>
            <w:r w:rsidRPr="00337CD7">
              <w:rPr>
                <w:rFonts w:ascii="Times New Roman" w:hAnsi="Times New Roman" w:cs="Times New Roman"/>
              </w:rPr>
              <w:t>646</w:t>
            </w:r>
          </w:p>
        </w:tc>
      </w:tr>
      <w:tr w:rsidR="00337CD7" w:rsidRPr="00337CD7" w14:paraId="15AB59D3" w14:textId="77777777" w:rsidTr="00DD5C36">
        <w:trPr>
          <w:trHeight w:val="300"/>
          <w:jc w:val="center"/>
        </w:trPr>
        <w:tc>
          <w:tcPr>
            <w:tcW w:w="1307" w:type="dxa"/>
            <w:tcBorders>
              <w:top w:val="nil"/>
              <w:left w:val="nil"/>
              <w:bottom w:val="single" w:sz="4" w:space="0" w:color="auto"/>
              <w:right w:val="nil"/>
            </w:tcBorders>
            <w:noWrap/>
            <w:vAlign w:val="center"/>
            <w:hideMark/>
          </w:tcPr>
          <w:p w14:paraId="10B6D77C" w14:textId="77777777"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P-Hy9</w:t>
            </w:r>
          </w:p>
        </w:tc>
        <w:tc>
          <w:tcPr>
            <w:tcW w:w="935" w:type="dxa"/>
            <w:tcBorders>
              <w:top w:val="nil"/>
              <w:left w:val="nil"/>
              <w:bottom w:val="single" w:sz="4" w:space="0" w:color="auto"/>
              <w:right w:val="nil"/>
            </w:tcBorders>
            <w:shd w:val="clear" w:color="000000" w:fill="FFFFFF"/>
            <w:noWrap/>
            <w:vAlign w:val="center"/>
          </w:tcPr>
          <w:p w14:paraId="51756608" w14:textId="684E84D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034</w:t>
            </w:r>
          </w:p>
        </w:tc>
        <w:tc>
          <w:tcPr>
            <w:tcW w:w="923" w:type="dxa"/>
            <w:tcBorders>
              <w:top w:val="nil"/>
              <w:left w:val="nil"/>
              <w:bottom w:val="single" w:sz="4" w:space="0" w:color="auto"/>
              <w:right w:val="nil"/>
            </w:tcBorders>
            <w:shd w:val="clear" w:color="000000" w:fill="FFFFFF"/>
            <w:noWrap/>
            <w:vAlign w:val="center"/>
            <w:hideMark/>
          </w:tcPr>
          <w:p w14:paraId="1FD82905" w14:textId="26A8998F"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5</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605</w:t>
            </w:r>
          </w:p>
        </w:tc>
        <w:tc>
          <w:tcPr>
            <w:tcW w:w="1103" w:type="dxa"/>
            <w:tcBorders>
              <w:top w:val="nil"/>
              <w:left w:val="nil"/>
              <w:bottom w:val="single" w:sz="4" w:space="0" w:color="auto"/>
              <w:right w:val="nil"/>
            </w:tcBorders>
            <w:shd w:val="clear" w:color="000000" w:fill="FFFFFF"/>
            <w:noWrap/>
            <w:vAlign w:val="center"/>
            <w:hideMark/>
          </w:tcPr>
          <w:p w14:paraId="42AA7A62" w14:textId="02E937D3"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2</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017</w:t>
            </w:r>
          </w:p>
        </w:tc>
        <w:tc>
          <w:tcPr>
            <w:tcW w:w="992" w:type="dxa"/>
            <w:tcBorders>
              <w:top w:val="nil"/>
              <w:left w:val="nil"/>
              <w:bottom w:val="single" w:sz="4" w:space="0" w:color="auto"/>
              <w:right w:val="nil"/>
            </w:tcBorders>
            <w:shd w:val="clear" w:color="000000" w:fill="FFFFFF"/>
            <w:noWrap/>
            <w:vAlign w:val="center"/>
            <w:hideMark/>
          </w:tcPr>
          <w:p w14:paraId="2125EC14" w14:textId="0D0088D3" w:rsidR="00DD5C36" w:rsidRPr="00337CD7" w:rsidRDefault="00DD5C36" w:rsidP="00E840E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496</w:t>
            </w:r>
          </w:p>
        </w:tc>
        <w:tc>
          <w:tcPr>
            <w:tcW w:w="798" w:type="dxa"/>
            <w:tcBorders>
              <w:top w:val="nil"/>
              <w:left w:val="nil"/>
              <w:bottom w:val="single" w:sz="4" w:space="0" w:color="auto"/>
              <w:right w:val="nil"/>
            </w:tcBorders>
            <w:shd w:val="clear" w:color="000000" w:fill="FFFFFF"/>
            <w:noWrap/>
            <w:vAlign w:val="center"/>
            <w:hideMark/>
          </w:tcPr>
          <w:p w14:paraId="46DE7303" w14:textId="1E5B8A7C" w:rsidR="00DD5C36" w:rsidRPr="00337CD7" w:rsidRDefault="00DD5C36" w:rsidP="00E840E3">
            <w:pPr>
              <w:spacing w:after="0" w:line="240" w:lineRule="auto"/>
              <w:jc w:val="center"/>
              <w:rPr>
                <w:rFonts w:ascii="Times New Roman" w:eastAsia="Times New Roman" w:hAnsi="Times New Roman" w:cs="Times New Roman"/>
                <w:bCs/>
                <w:lang w:eastAsia="fr-FR"/>
              </w:rPr>
            </w:pPr>
            <w:r w:rsidRPr="00337CD7">
              <w:rPr>
                <w:rFonts w:ascii="Times New Roman" w:eastAsia="Times New Roman" w:hAnsi="Times New Roman" w:cs="Times New Roman"/>
                <w:bCs/>
                <w:lang w:eastAsia="fr-FR"/>
              </w:rPr>
              <w:t>7</w:t>
            </w:r>
            <w:r w:rsidR="00241594">
              <w:rPr>
                <w:rFonts w:ascii="Times New Roman" w:eastAsia="Times New Roman" w:hAnsi="Times New Roman" w:cs="Times New Roman"/>
                <w:bCs/>
                <w:lang w:eastAsia="fr-FR"/>
              </w:rPr>
              <w:t>.</w:t>
            </w:r>
            <w:r w:rsidRPr="00337CD7">
              <w:rPr>
                <w:rFonts w:ascii="Times New Roman" w:eastAsia="Times New Roman" w:hAnsi="Times New Roman" w:cs="Times New Roman"/>
                <w:bCs/>
                <w:lang w:eastAsia="fr-FR"/>
              </w:rPr>
              <w:t>788</w:t>
            </w:r>
          </w:p>
        </w:tc>
        <w:tc>
          <w:tcPr>
            <w:tcW w:w="884" w:type="dxa"/>
            <w:tcBorders>
              <w:top w:val="nil"/>
              <w:left w:val="nil"/>
              <w:bottom w:val="single" w:sz="4" w:space="0" w:color="auto"/>
              <w:right w:val="nil"/>
            </w:tcBorders>
            <w:shd w:val="clear" w:color="000000" w:fill="FFFFFF"/>
            <w:vAlign w:val="center"/>
          </w:tcPr>
          <w:p w14:paraId="5EEF1952" w14:textId="7C903599" w:rsidR="00DD5C36" w:rsidRPr="00337CD7" w:rsidRDefault="00DD5C36" w:rsidP="00E840E3">
            <w:pPr>
              <w:spacing w:after="0" w:line="240" w:lineRule="auto"/>
              <w:jc w:val="center"/>
              <w:rPr>
                <w:rFonts w:ascii="Times New Roman" w:hAnsi="Times New Roman" w:cs="Times New Roman"/>
                <w:bCs/>
              </w:rPr>
            </w:pPr>
            <w:r w:rsidRPr="00337CD7">
              <w:rPr>
                <w:rFonts w:ascii="Times New Roman" w:hAnsi="Times New Roman" w:cs="Times New Roman"/>
                <w:bCs/>
              </w:rPr>
              <w:t>2</w:t>
            </w:r>
            <w:r w:rsidR="00241594">
              <w:rPr>
                <w:rFonts w:ascii="Times New Roman" w:hAnsi="Times New Roman" w:cs="Times New Roman"/>
                <w:bCs/>
              </w:rPr>
              <w:t>.</w:t>
            </w:r>
            <w:r w:rsidRPr="00337CD7">
              <w:rPr>
                <w:rFonts w:ascii="Times New Roman" w:hAnsi="Times New Roman" w:cs="Times New Roman"/>
                <w:bCs/>
              </w:rPr>
              <w:t>006</w:t>
            </w:r>
          </w:p>
        </w:tc>
      </w:tr>
    </w:tbl>
    <w:p w14:paraId="7B0B1DD8" w14:textId="403AE12D" w:rsidR="00A6052C" w:rsidRPr="001A4609" w:rsidRDefault="001A4609" w:rsidP="00EC32A1">
      <w:pPr>
        <w:spacing w:before="120" w:after="120" w:line="240" w:lineRule="auto"/>
        <w:jc w:val="both"/>
        <w:rPr>
          <w:rFonts w:ascii="Times New Roman" w:hAnsi="Times New Roman" w:cs="Times New Roman"/>
          <w:iCs/>
          <w:lang w:val="en-US"/>
        </w:rPr>
      </w:pPr>
      <w:r w:rsidRPr="001A4609">
        <w:rPr>
          <w:rFonts w:ascii="Times New Roman" w:hAnsi="Times New Roman" w:cs="Times New Roman"/>
          <w:iCs/>
          <w:lang w:val="en-US"/>
        </w:rPr>
        <w:t>The P-Hy9 pharmacophore has the highest electronegativity (5.605 eV) and overall chemical softness (0.496 eV) values. This shows that P-Hy9 is a pharmacophore that has a high susceptibility to attract electrons and a high flexibility to deform its electron cloud when a molecule approaches. In contrast, P-Fa7 is a pharmacophore that is less flexible in terms of the deformation of its electron cloud due to its low overall softness (S = 0.261 eV) and high overall hardness (</w:t>
      </w:r>
      <w:r w:rsidRPr="001A4609">
        <w:rPr>
          <w:rFonts w:ascii="Times New Roman" w:hAnsi="Times New Roman" w:cs="Times New Roman"/>
          <w:iCs/>
        </w:rPr>
        <w:t>ղ</w:t>
      </w:r>
      <w:r w:rsidRPr="001A4609">
        <w:rPr>
          <w:rFonts w:ascii="Times New Roman" w:hAnsi="Times New Roman" w:cs="Times New Roman"/>
          <w:iCs/>
          <w:lang w:val="en-US"/>
        </w:rPr>
        <w:t>= 3.832 eV). Of all these pharmacophores, P-Al3 is the best electron donor (</w:t>
      </w:r>
      <w:r w:rsidRPr="001A4609">
        <w:rPr>
          <w:rFonts w:ascii="Times New Roman" w:hAnsi="Times New Roman" w:cs="Times New Roman"/>
          <w:iCs/>
        </w:rPr>
        <w:t>ω</w:t>
      </w:r>
      <w:r w:rsidRPr="001A4609">
        <w:rPr>
          <w:rFonts w:ascii="Times New Roman" w:hAnsi="Times New Roman" w:cs="Times New Roman"/>
          <w:iCs/>
          <w:lang w:val="en-US"/>
        </w:rPr>
        <w:t>=1.404 eV) and P-Hy9 is the best electron acceptor.</w:t>
      </w:r>
      <w:r w:rsidR="00B518F8" w:rsidRPr="001A4609">
        <w:rPr>
          <w:rFonts w:ascii="Times New Roman" w:hAnsi="Times New Roman" w:cs="Times New Roman"/>
          <w:iCs/>
          <w:lang w:val="en-US"/>
        </w:rPr>
        <w:t xml:space="preserve"> </w:t>
      </w:r>
      <w:r w:rsidRPr="001A4609">
        <w:rPr>
          <w:rFonts w:ascii="Times New Roman" w:hAnsi="Times New Roman" w:cs="Times New Roman"/>
          <w:iCs/>
          <w:lang w:val="en-US"/>
        </w:rPr>
        <w:t>In terms of gap energy, the highest value is displayed by pharmacophore P-Fa7 (∆E=7.664 eV), while the lowest value is displayed by pharmacophore P-Hy9 (∆E=4.034 eV). It is therefore easier to generate an electronic transition from HOMO to LUMO in the P-Hy9 pharmacophore than in the P-Fa7 pharmacophore. The sequences of evolution in descending order of reactivity and stability parameters are as follows:</w:t>
      </w:r>
    </w:p>
    <w:p w14:paraId="7484E891" w14:textId="77777777" w:rsidR="00271D30" w:rsidRPr="00337CD7" w:rsidRDefault="00271D30" w:rsidP="00271D30">
      <w:pPr>
        <w:spacing w:after="0" w:line="240" w:lineRule="auto"/>
        <w:jc w:val="both"/>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∆E:  P-Fa7 ˃ P-Fo8 ˃ P-8A6 ˃ P-Ar4˃P-Bi5 ˃ P-Al3 ˃ P-Al2 ˃ P-4A1˃ P-Hy9</m:t>
          </m:r>
        </m:oMath>
      </m:oMathPara>
    </w:p>
    <w:p w14:paraId="29DB01AE" w14:textId="77777777" w:rsidR="00897A5B" w:rsidRPr="00337CD7" w:rsidRDefault="00897A5B" w:rsidP="00897A5B">
      <w:pPr>
        <w:spacing w:after="0" w:line="240" w:lineRule="auto"/>
        <w:jc w:val="both"/>
        <w:rPr>
          <w:rFonts w:ascii="Times New Roman" w:hAnsi="Times New Roman" w:cs="Times New Roman"/>
          <w:iCs/>
          <w:sz w:val="20"/>
          <w:szCs w:val="20"/>
        </w:rPr>
      </w:pPr>
      <m:oMathPara>
        <m:oMath>
          <m:r>
            <m:rPr>
              <m:sty m:val="p"/>
            </m:rPr>
            <w:rPr>
              <w:rFonts w:ascii="Cambria Math" w:hAnsi="Cambria Math" w:cs="Times New Roman"/>
              <w:sz w:val="20"/>
              <w:szCs w:val="20"/>
            </w:rPr>
            <m:t>ղ:  P-Fa7 ˃ P-Fo8 ˃ P-Ar4 ˃P-8A6 ˃P-Bi5 ˃ P-Al3 ˃ P-Al2 ˃ P-4A1˃ P-Hy9</m:t>
          </m:r>
        </m:oMath>
      </m:oMathPara>
    </w:p>
    <w:p w14:paraId="51DC458E" w14:textId="77777777" w:rsidR="00271D30" w:rsidRPr="00337CD7" w:rsidRDefault="00EB5118" w:rsidP="00271D30">
      <w:pPr>
        <w:spacing w:after="0" w:line="240" w:lineRule="auto"/>
        <w:jc w:val="both"/>
        <w:rPr>
          <w:rFonts w:ascii="Times New Roman" w:hAnsi="Times New Roman" w:cs="Times New Roman"/>
          <w:iCs/>
          <w:sz w:val="20"/>
          <w:szCs w:val="20"/>
        </w:rPr>
      </w:pPr>
      <m:oMathPara>
        <m:oMath>
          <m:r>
            <w:rPr>
              <w:rFonts w:ascii="Cambria Math" w:hAnsi="Cambria Math" w:cs="Times New Roman"/>
              <w:sz w:val="20"/>
              <w:szCs w:val="20"/>
            </w:rPr>
            <m:t>χ</m:t>
          </m:r>
          <m:r>
            <m:rPr>
              <m:sty m:val="p"/>
            </m:rPr>
            <w:rPr>
              <w:rFonts w:ascii="Cambria Math" w:hAnsi="Cambria Math" w:cs="Times New Roman"/>
              <w:sz w:val="20"/>
              <w:szCs w:val="20"/>
            </w:rPr>
            <m:t>: P-Hy9 ˃ P-Fo8 ˃ P-Al2 ˃ P-Fa7 ˃ P-4A1 ˃ P-Bi5 ˃ P-8A6 ˃ P-Ar4 ˃ P-Al3</m:t>
          </m:r>
        </m:oMath>
      </m:oMathPara>
    </w:p>
    <w:p w14:paraId="0A652E28" w14:textId="77777777" w:rsidR="00271D30" w:rsidRPr="00337CD7" w:rsidRDefault="00EB5118" w:rsidP="00271D30">
      <w:pPr>
        <w:spacing w:after="0" w:line="240" w:lineRule="auto"/>
        <w:jc w:val="both"/>
        <w:rPr>
          <w:rFonts w:ascii="Times New Roman" w:hAnsi="Times New Roman" w:cs="Times New Roman"/>
          <w:iCs/>
        </w:rPr>
      </w:pPr>
      <m:oMathPara>
        <m:oMath>
          <m:r>
            <m:rPr>
              <m:sty m:val="p"/>
            </m:rPr>
            <w:rPr>
              <w:rFonts w:ascii="Cambria Math" w:hAnsi="Cambria Math" w:cs="Times New Roman"/>
              <w:sz w:val="20"/>
              <w:szCs w:val="20"/>
            </w:rPr>
            <m:t xml:space="preserve">ω: P-Hy9 ˃ P-Al2 ˃ P-4A1˃ P-Fo8 ˃ P-Fa7 ˃ P-Bi5  ˃ P-8A6 ˃ P-Ar4  ˃P-Al3 </m:t>
          </m:r>
        </m:oMath>
      </m:oMathPara>
    </w:p>
    <w:p w14:paraId="66A878A4" w14:textId="411B7D0D" w:rsidR="00123754" w:rsidRPr="001A4609" w:rsidRDefault="001A4609" w:rsidP="005D20D7">
      <w:pPr>
        <w:spacing w:before="120" w:after="0" w:line="240" w:lineRule="auto"/>
        <w:jc w:val="both"/>
        <w:rPr>
          <w:rFonts w:ascii="Times New Roman" w:eastAsiaTheme="minorEastAsia" w:hAnsi="Times New Roman" w:cs="Times New Roman"/>
          <w:iCs/>
          <w:lang w:val="en-US"/>
        </w:rPr>
      </w:pPr>
      <w:r w:rsidRPr="001A4609">
        <w:rPr>
          <w:rFonts w:ascii="Times New Roman" w:hAnsi="Times New Roman" w:cs="Times New Roman"/>
          <w:iCs/>
          <w:lang w:val="en-US"/>
        </w:rPr>
        <w:t>The overall chemical softness (S) shows a sequence of evolution opposite to that of the overall chemical hardness (</w:t>
      </w:r>
      <w:r w:rsidRPr="001A4609">
        <w:rPr>
          <w:rFonts w:ascii="Times New Roman" w:hAnsi="Times New Roman" w:cs="Times New Roman"/>
          <w:iCs/>
        </w:rPr>
        <w:t>ղ</w:t>
      </w:r>
      <w:r w:rsidRPr="001A4609">
        <w:rPr>
          <w:rFonts w:ascii="Times New Roman" w:hAnsi="Times New Roman" w:cs="Times New Roman"/>
          <w:iCs/>
          <w:lang w:val="en-US"/>
        </w:rPr>
        <w:t>). According to these sequences of evolution, two groups of pharmacophores emerge with reference to the most polar pharmacophore P-Bi5. For these groups, either the electronic stability or reactivity of the pharmacophores shows an improvement or a decrease in electronic character. It is likely that the pharmacophores (P-8A6, P-Ar4, P-Al3) are susceptible to similarities in action based on an improvement in electronic reactivity compared to P-Bi5, unlike (P-Hy9, P-Fo8, P-Al2, P-Fa7, P-4A1) are likely to have similarities based on a decrease in electronic reactivity compared to P-Bi5.</w:t>
      </w:r>
      <w:r w:rsidR="00662BE3" w:rsidRPr="001A4609">
        <w:rPr>
          <w:rFonts w:ascii="Times New Roman" w:eastAsiaTheme="minorEastAsia" w:hAnsi="Times New Roman" w:cs="Times New Roman"/>
          <w:iCs/>
          <w:lang w:val="en-US"/>
        </w:rPr>
        <w:t xml:space="preserve"> </w:t>
      </w:r>
      <w:r w:rsidRPr="001A4609">
        <w:rPr>
          <w:rFonts w:ascii="Times New Roman" w:eastAsiaTheme="minorEastAsia" w:hAnsi="Times New Roman" w:cs="Times New Roman"/>
          <w:iCs/>
          <w:lang w:val="en-US"/>
        </w:rPr>
        <w:t>The latter may also have similar actions related to low electronic stability compared to P-Bi5. However, the application of statistical analyses related to similarity classification is useful for elucidating these particularities of action.</w:t>
      </w:r>
    </w:p>
    <w:p w14:paraId="682909B0" w14:textId="73CBD7C0" w:rsidR="000B3E78" w:rsidRPr="001A4609" w:rsidRDefault="000B3E78" w:rsidP="00446BD9">
      <w:pPr>
        <w:spacing w:before="120" w:after="120" w:line="276" w:lineRule="auto"/>
        <w:jc w:val="both"/>
        <w:rPr>
          <w:rFonts w:ascii="Times New Roman" w:hAnsi="Times New Roman" w:cs="Times New Roman"/>
          <w:b/>
          <w:i/>
          <w:lang w:val="en-US"/>
        </w:rPr>
      </w:pPr>
      <w:r w:rsidRPr="001A4609">
        <w:rPr>
          <w:rFonts w:ascii="Times New Roman" w:hAnsi="Times New Roman" w:cs="Times New Roman"/>
          <w:b/>
          <w:i/>
          <w:lang w:val="en-US"/>
        </w:rPr>
        <w:t xml:space="preserve">3.3. </w:t>
      </w:r>
      <w:r w:rsidR="001A4609" w:rsidRPr="001A4609">
        <w:rPr>
          <w:rFonts w:ascii="Times New Roman" w:hAnsi="Times New Roman" w:cs="Times New Roman"/>
          <w:b/>
          <w:i/>
          <w:lang w:val="en-US"/>
        </w:rPr>
        <w:t>Typology and classification of pharmacophores</w:t>
      </w:r>
    </w:p>
    <w:p w14:paraId="1EF130F2" w14:textId="77777777" w:rsidR="001A4609" w:rsidRPr="001A4609" w:rsidRDefault="001A4609" w:rsidP="001A4609">
      <w:pPr>
        <w:spacing w:after="0" w:line="240" w:lineRule="auto"/>
        <w:jc w:val="both"/>
        <w:rPr>
          <w:rFonts w:ascii="Times New Roman" w:hAnsi="Times New Roman" w:cs="Times New Roman"/>
          <w:lang w:val="en-US"/>
        </w:rPr>
      </w:pPr>
      <w:r w:rsidRPr="001A4609">
        <w:rPr>
          <w:rFonts w:ascii="Times New Roman" w:hAnsi="Times New Roman" w:cs="Times New Roman"/>
          <w:lang w:val="en-US"/>
        </w:rPr>
        <w:lastRenderedPageBreak/>
        <w:t>Principal component analysis (PCA) and ascending hierarchical classification (AHC) were performed on all reactivity, solubility, and pharmacokinetic parameters to assess the typology and dissimilarity, respectively, of the different pharmacophores.</w:t>
      </w:r>
    </w:p>
    <w:p w14:paraId="168C60A8" w14:textId="25EF6824" w:rsidR="00123754" w:rsidRPr="001A4609" w:rsidRDefault="001A4609" w:rsidP="001A4609">
      <w:pPr>
        <w:spacing w:after="0" w:line="240" w:lineRule="auto"/>
        <w:jc w:val="both"/>
        <w:rPr>
          <w:rFonts w:ascii="Times New Roman" w:hAnsi="Times New Roman" w:cs="Times New Roman"/>
          <w:lang w:val="en-US"/>
        </w:rPr>
      </w:pPr>
      <w:r w:rsidRPr="001A4609">
        <w:rPr>
          <w:rFonts w:ascii="Times New Roman" w:hAnsi="Times New Roman" w:cs="Times New Roman"/>
          <w:lang w:val="en-US"/>
        </w:rPr>
        <w:t>The PCA results shown in Table IV indicate that factors F1 and F2 explain 55.56% and 20.92% of the total variability, respectively. These two factors account for 76.48% of the explained variance. They thus provide the maximum amount of information on the properties of the pharmacophores studied.</w:t>
      </w:r>
      <w:r w:rsidR="00123754" w:rsidRPr="001A4609">
        <w:rPr>
          <w:rFonts w:ascii="Times New Roman" w:hAnsi="Times New Roman" w:cs="Times New Roman"/>
          <w:lang w:val="en-US"/>
        </w:rPr>
        <w:t xml:space="preserve"> </w:t>
      </w:r>
    </w:p>
    <w:p w14:paraId="2264CA40" w14:textId="1C653600" w:rsidR="000016B4" w:rsidRPr="00337CD7" w:rsidRDefault="001A4609" w:rsidP="00123754">
      <w:pPr>
        <w:jc w:val="both"/>
        <w:rPr>
          <w:rFonts w:ascii="Times New Roman" w:hAnsi="Times New Roman" w:cs="Times New Roman"/>
        </w:rPr>
      </w:pPr>
      <w:r>
        <w:rPr>
          <w:rFonts w:ascii="Times New Roman" w:hAnsi="Times New Roman" w:cs="Times New Roman"/>
          <w:b/>
        </w:rPr>
        <w:t>Table</w:t>
      </w:r>
      <w:r w:rsidR="00123754" w:rsidRPr="00337CD7">
        <w:rPr>
          <w:rFonts w:ascii="Times New Roman" w:hAnsi="Times New Roman" w:cs="Times New Roman"/>
          <w:b/>
        </w:rPr>
        <w:t xml:space="preserve"> </w:t>
      </w:r>
      <w:proofErr w:type="gramStart"/>
      <w:r w:rsidR="008C7A71">
        <w:rPr>
          <w:rFonts w:ascii="Times New Roman" w:hAnsi="Times New Roman" w:cs="Times New Roman"/>
          <w:b/>
        </w:rPr>
        <w:t>4</w:t>
      </w:r>
      <w:r w:rsidR="00123754" w:rsidRPr="00337CD7">
        <w:rPr>
          <w:rFonts w:ascii="Times New Roman" w:hAnsi="Times New Roman" w:cs="Times New Roman"/>
        </w:rPr>
        <w:t>:</w:t>
      </w:r>
      <w:proofErr w:type="gramEnd"/>
      <w:r w:rsidR="00123754" w:rsidRPr="00337CD7">
        <w:rPr>
          <w:rFonts w:ascii="Times New Roman" w:hAnsi="Times New Roman" w:cs="Times New Roman"/>
          <w:i/>
        </w:rPr>
        <w:t xml:space="preserve"> </w:t>
      </w:r>
      <w:proofErr w:type="spellStart"/>
      <w:r w:rsidRPr="001A4609">
        <w:rPr>
          <w:rFonts w:ascii="Times New Roman" w:hAnsi="Times New Roman" w:cs="Times New Roman"/>
        </w:rPr>
        <w:t>Eigenvalues</w:t>
      </w:r>
      <w:proofErr w:type="spellEnd"/>
      <w:r w:rsidRPr="001A4609">
        <w:rPr>
          <w:rFonts w:ascii="Times New Roman" w:hAnsi="Times New Roman" w:cs="Times New Roman"/>
        </w:rPr>
        <w:t xml:space="preserve"> and </w:t>
      </w:r>
      <w:proofErr w:type="spellStart"/>
      <w:r w:rsidRPr="001A4609">
        <w:rPr>
          <w:rFonts w:ascii="Times New Roman" w:hAnsi="Times New Roman" w:cs="Times New Roman"/>
        </w:rPr>
        <w:t>factors</w:t>
      </w:r>
      <w:proofErr w:type="spellEnd"/>
    </w:p>
    <w:tbl>
      <w:tblPr>
        <w:tblW w:w="3601" w:type="dxa"/>
        <w:jc w:val="center"/>
        <w:tblCellMar>
          <w:left w:w="70" w:type="dxa"/>
          <w:right w:w="70" w:type="dxa"/>
        </w:tblCellMar>
        <w:tblLook w:val="04A0" w:firstRow="1" w:lastRow="0" w:firstColumn="1" w:lastColumn="0" w:noHBand="0" w:noVBand="1"/>
      </w:tblPr>
      <w:tblGrid>
        <w:gridCol w:w="1560"/>
        <w:gridCol w:w="850"/>
        <w:gridCol w:w="1191"/>
      </w:tblGrid>
      <w:tr w:rsidR="00337CD7" w:rsidRPr="00337CD7" w14:paraId="1CF724CD" w14:textId="77777777" w:rsidTr="00376985">
        <w:trPr>
          <w:trHeight w:val="300"/>
          <w:jc w:val="center"/>
        </w:trPr>
        <w:tc>
          <w:tcPr>
            <w:tcW w:w="1560" w:type="dxa"/>
            <w:tcBorders>
              <w:top w:val="single" w:sz="8" w:space="0" w:color="auto"/>
              <w:left w:val="nil"/>
              <w:bottom w:val="nil"/>
              <w:right w:val="nil"/>
            </w:tcBorders>
            <w:noWrap/>
            <w:vAlign w:val="bottom"/>
            <w:hideMark/>
          </w:tcPr>
          <w:p w14:paraId="0FAFBC17" w14:textId="77777777"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 </w:t>
            </w:r>
          </w:p>
        </w:tc>
        <w:tc>
          <w:tcPr>
            <w:tcW w:w="850" w:type="dxa"/>
            <w:tcBorders>
              <w:top w:val="single" w:sz="8" w:space="0" w:color="auto"/>
              <w:left w:val="nil"/>
              <w:bottom w:val="nil"/>
              <w:right w:val="nil"/>
            </w:tcBorders>
            <w:noWrap/>
            <w:vAlign w:val="bottom"/>
            <w:hideMark/>
          </w:tcPr>
          <w:p w14:paraId="63CF72BA" w14:textId="77777777" w:rsidR="00376985" w:rsidRPr="00337CD7" w:rsidRDefault="00376985" w:rsidP="00376985">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1</w:t>
            </w:r>
          </w:p>
        </w:tc>
        <w:tc>
          <w:tcPr>
            <w:tcW w:w="1191" w:type="dxa"/>
            <w:tcBorders>
              <w:top w:val="single" w:sz="8" w:space="0" w:color="auto"/>
              <w:left w:val="nil"/>
              <w:bottom w:val="nil"/>
              <w:right w:val="nil"/>
            </w:tcBorders>
            <w:noWrap/>
            <w:vAlign w:val="bottom"/>
            <w:hideMark/>
          </w:tcPr>
          <w:p w14:paraId="28714880" w14:textId="77777777" w:rsidR="00376985" w:rsidRPr="00337CD7" w:rsidRDefault="00376985" w:rsidP="00376985">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2</w:t>
            </w:r>
          </w:p>
        </w:tc>
      </w:tr>
      <w:tr w:rsidR="00337CD7" w:rsidRPr="00337CD7" w14:paraId="1C3437E7" w14:textId="77777777" w:rsidTr="00376985">
        <w:trPr>
          <w:trHeight w:val="300"/>
          <w:jc w:val="center"/>
        </w:trPr>
        <w:tc>
          <w:tcPr>
            <w:tcW w:w="1560" w:type="dxa"/>
            <w:tcBorders>
              <w:top w:val="single" w:sz="4" w:space="0" w:color="auto"/>
              <w:left w:val="nil"/>
              <w:bottom w:val="nil"/>
              <w:right w:val="nil"/>
            </w:tcBorders>
            <w:noWrap/>
            <w:vAlign w:val="bottom"/>
            <w:hideMark/>
          </w:tcPr>
          <w:p w14:paraId="504B9F31" w14:textId="79D9342B" w:rsidR="00376985" w:rsidRPr="00337CD7" w:rsidRDefault="001A4609" w:rsidP="00376985">
            <w:pPr>
              <w:spacing w:after="0" w:line="240" w:lineRule="auto"/>
              <w:rPr>
                <w:rFonts w:ascii="Times New Roman" w:eastAsia="Times New Roman" w:hAnsi="Times New Roman" w:cs="Times New Roman"/>
                <w:lang w:eastAsia="fr-FR"/>
              </w:rPr>
            </w:pPr>
            <w:proofErr w:type="spellStart"/>
            <w:r w:rsidRPr="001A4609">
              <w:rPr>
                <w:rFonts w:ascii="Times New Roman" w:eastAsia="Times New Roman" w:hAnsi="Times New Roman" w:cs="Times New Roman"/>
                <w:lang w:eastAsia="fr-FR"/>
              </w:rPr>
              <w:t>Eigenvalue</w:t>
            </w:r>
            <w:proofErr w:type="spellEnd"/>
          </w:p>
        </w:tc>
        <w:tc>
          <w:tcPr>
            <w:tcW w:w="850" w:type="dxa"/>
            <w:tcBorders>
              <w:top w:val="single" w:sz="4" w:space="0" w:color="auto"/>
              <w:left w:val="nil"/>
              <w:bottom w:val="nil"/>
              <w:right w:val="nil"/>
            </w:tcBorders>
            <w:noWrap/>
            <w:vAlign w:val="bottom"/>
            <w:hideMark/>
          </w:tcPr>
          <w:p w14:paraId="00270906" w14:textId="061BC600"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56</w:t>
            </w:r>
          </w:p>
        </w:tc>
        <w:tc>
          <w:tcPr>
            <w:tcW w:w="1191" w:type="dxa"/>
            <w:tcBorders>
              <w:top w:val="single" w:sz="4" w:space="0" w:color="auto"/>
              <w:left w:val="nil"/>
              <w:bottom w:val="nil"/>
              <w:right w:val="nil"/>
            </w:tcBorders>
            <w:noWrap/>
            <w:vAlign w:val="bottom"/>
            <w:hideMark/>
          </w:tcPr>
          <w:p w14:paraId="7491E612" w14:textId="5A44803B"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09</w:t>
            </w:r>
          </w:p>
        </w:tc>
      </w:tr>
      <w:tr w:rsidR="00337CD7" w:rsidRPr="00337CD7" w14:paraId="622ECD68" w14:textId="77777777" w:rsidTr="00376985">
        <w:trPr>
          <w:trHeight w:val="300"/>
          <w:jc w:val="center"/>
        </w:trPr>
        <w:tc>
          <w:tcPr>
            <w:tcW w:w="1560" w:type="dxa"/>
            <w:tcBorders>
              <w:top w:val="nil"/>
              <w:left w:val="nil"/>
              <w:bottom w:val="nil"/>
              <w:right w:val="nil"/>
            </w:tcBorders>
            <w:noWrap/>
            <w:vAlign w:val="bottom"/>
            <w:hideMark/>
          </w:tcPr>
          <w:p w14:paraId="1A51686B" w14:textId="327D6ED3" w:rsidR="00376985" w:rsidRPr="00337CD7" w:rsidRDefault="001A4609" w:rsidP="00376985">
            <w:pPr>
              <w:spacing w:after="0" w:line="240" w:lineRule="auto"/>
              <w:rPr>
                <w:rFonts w:ascii="Times New Roman" w:eastAsia="Times New Roman" w:hAnsi="Times New Roman" w:cs="Times New Roman"/>
                <w:lang w:eastAsia="fr-FR"/>
              </w:rPr>
            </w:pPr>
            <w:proofErr w:type="spellStart"/>
            <w:r w:rsidRPr="001A4609">
              <w:rPr>
                <w:rFonts w:ascii="Times New Roman" w:eastAsia="Times New Roman" w:hAnsi="Times New Roman" w:cs="Times New Roman"/>
                <w:lang w:eastAsia="fr-FR"/>
              </w:rPr>
              <w:t>Variability</w:t>
            </w:r>
            <w:proofErr w:type="spellEnd"/>
            <w:r w:rsidR="00376985" w:rsidRPr="00337CD7">
              <w:rPr>
                <w:rFonts w:ascii="Times New Roman" w:eastAsia="Times New Roman" w:hAnsi="Times New Roman" w:cs="Times New Roman"/>
                <w:lang w:eastAsia="fr-FR"/>
              </w:rPr>
              <w:t xml:space="preserve"> (%)</w:t>
            </w:r>
          </w:p>
        </w:tc>
        <w:tc>
          <w:tcPr>
            <w:tcW w:w="850" w:type="dxa"/>
            <w:tcBorders>
              <w:top w:val="nil"/>
              <w:left w:val="nil"/>
              <w:bottom w:val="nil"/>
              <w:right w:val="nil"/>
            </w:tcBorders>
            <w:noWrap/>
            <w:vAlign w:val="bottom"/>
            <w:hideMark/>
          </w:tcPr>
          <w:p w14:paraId="401F9FFF" w14:textId="1D05966A"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56</w:t>
            </w:r>
          </w:p>
        </w:tc>
        <w:tc>
          <w:tcPr>
            <w:tcW w:w="1191" w:type="dxa"/>
            <w:tcBorders>
              <w:top w:val="nil"/>
              <w:left w:val="nil"/>
              <w:bottom w:val="nil"/>
              <w:right w:val="nil"/>
            </w:tcBorders>
            <w:noWrap/>
            <w:vAlign w:val="bottom"/>
            <w:hideMark/>
          </w:tcPr>
          <w:p w14:paraId="1849CC49" w14:textId="0754AAE5" w:rsidR="00376985" w:rsidRPr="00337CD7" w:rsidRDefault="00376985" w:rsidP="00376985">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92</w:t>
            </w:r>
          </w:p>
        </w:tc>
      </w:tr>
      <w:tr w:rsidR="00337CD7" w:rsidRPr="00337CD7" w14:paraId="21953DEF" w14:textId="77777777" w:rsidTr="00376985">
        <w:trPr>
          <w:trHeight w:val="315"/>
          <w:jc w:val="center"/>
        </w:trPr>
        <w:tc>
          <w:tcPr>
            <w:tcW w:w="1560" w:type="dxa"/>
            <w:tcBorders>
              <w:top w:val="nil"/>
              <w:left w:val="nil"/>
              <w:bottom w:val="single" w:sz="8" w:space="0" w:color="auto"/>
              <w:right w:val="nil"/>
            </w:tcBorders>
            <w:noWrap/>
            <w:vAlign w:val="bottom"/>
            <w:hideMark/>
          </w:tcPr>
          <w:p w14:paraId="388AF429" w14:textId="2382FFAD" w:rsidR="00376985" w:rsidRPr="00337CD7" w:rsidRDefault="00376985" w:rsidP="00376985">
            <w:pPr>
              <w:spacing w:after="0" w:line="240" w:lineRule="auto"/>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 xml:space="preserve">% </w:t>
            </w:r>
            <w:r w:rsidR="001A4609" w:rsidRPr="001A4609">
              <w:rPr>
                <w:rFonts w:ascii="Times New Roman" w:eastAsia="Times New Roman" w:hAnsi="Times New Roman" w:cs="Times New Roman"/>
                <w:lang w:eastAsia="fr-FR"/>
              </w:rPr>
              <w:t>cumulative</w:t>
            </w:r>
          </w:p>
        </w:tc>
        <w:tc>
          <w:tcPr>
            <w:tcW w:w="850" w:type="dxa"/>
            <w:tcBorders>
              <w:top w:val="nil"/>
              <w:left w:val="nil"/>
              <w:bottom w:val="single" w:sz="8" w:space="0" w:color="auto"/>
              <w:right w:val="nil"/>
            </w:tcBorders>
            <w:noWrap/>
            <w:vAlign w:val="bottom"/>
            <w:hideMark/>
          </w:tcPr>
          <w:p w14:paraId="45C59984" w14:textId="0C787AB2" w:rsidR="00376985" w:rsidRPr="00337CD7" w:rsidRDefault="00376985" w:rsidP="00376985">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55</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56</w:t>
            </w:r>
          </w:p>
        </w:tc>
        <w:tc>
          <w:tcPr>
            <w:tcW w:w="1191" w:type="dxa"/>
            <w:tcBorders>
              <w:top w:val="nil"/>
              <w:left w:val="nil"/>
              <w:bottom w:val="single" w:sz="8" w:space="0" w:color="auto"/>
              <w:right w:val="nil"/>
            </w:tcBorders>
            <w:noWrap/>
            <w:vAlign w:val="bottom"/>
            <w:hideMark/>
          </w:tcPr>
          <w:p w14:paraId="489F47E0" w14:textId="15328AC4" w:rsidR="00376985" w:rsidRPr="00337CD7" w:rsidRDefault="00376985" w:rsidP="00376985">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76</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48</w:t>
            </w:r>
          </w:p>
        </w:tc>
      </w:tr>
    </w:tbl>
    <w:p w14:paraId="7575C054" w14:textId="46CCB1DE" w:rsidR="00D34658" w:rsidRPr="001A4609" w:rsidRDefault="001A4609" w:rsidP="00D34658">
      <w:pPr>
        <w:spacing w:before="120" w:after="0" w:line="240" w:lineRule="auto"/>
        <w:jc w:val="both"/>
        <w:rPr>
          <w:rFonts w:ascii="Times New Roman" w:hAnsi="Times New Roman" w:cs="Times New Roman"/>
          <w:lang w:val="en-US"/>
        </w:rPr>
      </w:pPr>
      <w:r w:rsidRPr="001A4609">
        <w:rPr>
          <w:rFonts w:ascii="Times New Roman" w:hAnsi="Times New Roman" w:cs="Times New Roman"/>
          <w:lang w:val="en-US"/>
        </w:rPr>
        <w:t>Table V shows the intercorrelation coefficients between the molecular descriptors linked to pharmacophores a</w:t>
      </w:r>
      <w:r>
        <w:rPr>
          <w:rFonts w:ascii="Times New Roman" w:hAnsi="Times New Roman" w:cs="Times New Roman"/>
          <w:lang w:val="en-US"/>
        </w:rPr>
        <w:t>nd the factorial axes F1 and F2</w:t>
      </w:r>
      <w:r w:rsidR="006A51C4" w:rsidRPr="001A4609">
        <w:rPr>
          <w:rFonts w:ascii="Times New Roman" w:hAnsi="Times New Roman" w:cs="Times New Roman"/>
          <w:lang w:val="en-US"/>
        </w:rPr>
        <w:t>.</w:t>
      </w:r>
    </w:p>
    <w:p w14:paraId="416053CC" w14:textId="38CE7492" w:rsidR="000016B4" w:rsidRPr="001A4609" w:rsidRDefault="001A4609" w:rsidP="00376985">
      <w:pPr>
        <w:spacing w:before="120" w:after="120"/>
        <w:jc w:val="both"/>
        <w:rPr>
          <w:rFonts w:ascii="Times New Roman" w:hAnsi="Times New Roman" w:cs="Times New Roman"/>
          <w:vertAlign w:val="subscript"/>
          <w:lang w:val="en-US"/>
        </w:rPr>
      </w:pPr>
      <w:r w:rsidRPr="001A4609">
        <w:rPr>
          <w:rFonts w:ascii="Times New Roman" w:hAnsi="Times New Roman" w:cs="Times New Roman"/>
          <w:b/>
          <w:lang w:val="en-US"/>
        </w:rPr>
        <w:t>Table</w:t>
      </w:r>
      <w:r w:rsidR="008C7A71">
        <w:rPr>
          <w:rFonts w:ascii="Times New Roman" w:hAnsi="Times New Roman" w:cs="Times New Roman"/>
          <w:b/>
          <w:lang w:val="en-US"/>
        </w:rPr>
        <w:t xml:space="preserve"> 5</w:t>
      </w:r>
      <w:r w:rsidR="006E4300" w:rsidRPr="001A4609">
        <w:rPr>
          <w:rFonts w:ascii="Times New Roman" w:hAnsi="Times New Roman" w:cs="Times New Roman"/>
          <w:lang w:val="en-US"/>
        </w:rPr>
        <w:t>:</w:t>
      </w:r>
      <w:r w:rsidR="00D34658" w:rsidRPr="001A4609">
        <w:rPr>
          <w:rFonts w:ascii="Times New Roman" w:hAnsi="Times New Roman" w:cs="Times New Roman"/>
          <w:i/>
          <w:lang w:val="en-US"/>
        </w:rPr>
        <w:t xml:space="preserve"> </w:t>
      </w:r>
      <w:r w:rsidRPr="001A4609">
        <w:rPr>
          <w:rFonts w:ascii="Times New Roman" w:hAnsi="Times New Roman" w:cs="Times New Roman"/>
          <w:lang w:val="en-US"/>
        </w:rPr>
        <w:t>Intercorrelation coefficients between molecular descriptors and factors F1 and F2</w:t>
      </w:r>
    </w:p>
    <w:tbl>
      <w:tblPr>
        <w:tblStyle w:val="TableGrid"/>
        <w:tblW w:w="0" w:type="auto"/>
        <w:jc w:val="center"/>
        <w:tblLook w:val="04A0" w:firstRow="1" w:lastRow="0" w:firstColumn="1" w:lastColumn="0" w:noHBand="0" w:noVBand="1"/>
      </w:tblPr>
      <w:tblGrid>
        <w:gridCol w:w="1365"/>
        <w:gridCol w:w="898"/>
        <w:gridCol w:w="709"/>
      </w:tblGrid>
      <w:tr w:rsidR="00337CD7" w:rsidRPr="00337CD7" w14:paraId="335E5387" w14:textId="77777777" w:rsidTr="001F50AF">
        <w:trPr>
          <w:jc w:val="center"/>
        </w:trPr>
        <w:tc>
          <w:tcPr>
            <w:tcW w:w="1365" w:type="dxa"/>
            <w:tcBorders>
              <w:top w:val="single" w:sz="4" w:space="0" w:color="auto"/>
              <w:left w:val="nil"/>
              <w:bottom w:val="single" w:sz="4" w:space="0" w:color="auto"/>
              <w:right w:val="nil"/>
            </w:tcBorders>
            <w:vAlign w:val="bottom"/>
          </w:tcPr>
          <w:p w14:paraId="277B8790" w14:textId="1D22BE2F" w:rsidR="006A51C4" w:rsidRPr="00337CD7" w:rsidRDefault="001A4609" w:rsidP="00C80CA8">
            <w:pPr>
              <w:spacing w:after="0"/>
              <w:jc w:val="center"/>
              <w:rPr>
                <w:rFonts w:ascii="Times New Roman" w:hAnsi="Times New Roman" w:cs="Times New Roman"/>
                <w:b/>
                <w:i/>
              </w:rPr>
            </w:pPr>
            <w:proofErr w:type="spellStart"/>
            <w:r>
              <w:rPr>
                <w:rFonts w:ascii="Times New Roman" w:hAnsi="Times New Roman" w:cs="Times New Roman"/>
                <w:b/>
                <w:i/>
              </w:rPr>
              <w:t>Descripto</w:t>
            </w:r>
            <w:r w:rsidR="006A51C4" w:rsidRPr="00337CD7">
              <w:rPr>
                <w:rFonts w:ascii="Times New Roman" w:hAnsi="Times New Roman" w:cs="Times New Roman"/>
                <w:b/>
                <w:i/>
              </w:rPr>
              <w:t>rs</w:t>
            </w:r>
            <w:proofErr w:type="spellEnd"/>
          </w:p>
        </w:tc>
        <w:tc>
          <w:tcPr>
            <w:tcW w:w="898" w:type="dxa"/>
            <w:tcBorders>
              <w:top w:val="single" w:sz="4" w:space="0" w:color="auto"/>
              <w:left w:val="nil"/>
              <w:bottom w:val="single" w:sz="4" w:space="0" w:color="auto"/>
              <w:right w:val="nil"/>
            </w:tcBorders>
            <w:vAlign w:val="center"/>
          </w:tcPr>
          <w:p w14:paraId="490C599B" w14:textId="77777777" w:rsidR="006A51C4" w:rsidRPr="00337CD7" w:rsidRDefault="006A51C4" w:rsidP="00C80CA8">
            <w:pPr>
              <w:spacing w:after="0"/>
              <w:jc w:val="center"/>
              <w:rPr>
                <w:rFonts w:ascii="Times New Roman" w:hAnsi="Times New Roman" w:cs="Times New Roman"/>
                <w:b/>
                <w:i/>
              </w:rPr>
            </w:pPr>
            <w:r w:rsidRPr="00337CD7">
              <w:rPr>
                <w:rFonts w:ascii="Times New Roman" w:hAnsi="Times New Roman" w:cs="Times New Roman"/>
                <w:b/>
                <w:i/>
              </w:rPr>
              <w:t>F</w:t>
            </w:r>
            <w:r w:rsidRPr="00337CD7">
              <w:rPr>
                <w:rFonts w:ascii="Times New Roman" w:hAnsi="Times New Roman" w:cs="Times New Roman"/>
                <w:b/>
                <w:i/>
                <w:vertAlign w:val="subscript"/>
              </w:rPr>
              <w:t>1</w:t>
            </w:r>
          </w:p>
        </w:tc>
        <w:tc>
          <w:tcPr>
            <w:tcW w:w="709" w:type="dxa"/>
            <w:tcBorders>
              <w:top w:val="single" w:sz="4" w:space="0" w:color="auto"/>
              <w:left w:val="nil"/>
              <w:bottom w:val="single" w:sz="4" w:space="0" w:color="auto"/>
              <w:right w:val="nil"/>
            </w:tcBorders>
            <w:vAlign w:val="center"/>
          </w:tcPr>
          <w:p w14:paraId="79D67548" w14:textId="77777777" w:rsidR="006A51C4" w:rsidRPr="00337CD7" w:rsidRDefault="006A51C4" w:rsidP="00C80CA8">
            <w:pPr>
              <w:spacing w:after="0"/>
              <w:jc w:val="center"/>
              <w:rPr>
                <w:rFonts w:ascii="Times New Roman" w:hAnsi="Times New Roman" w:cs="Times New Roman"/>
                <w:b/>
                <w:i/>
              </w:rPr>
            </w:pPr>
            <w:r w:rsidRPr="00337CD7">
              <w:rPr>
                <w:rFonts w:ascii="Times New Roman" w:hAnsi="Times New Roman" w:cs="Times New Roman"/>
                <w:b/>
                <w:i/>
              </w:rPr>
              <w:t>F</w:t>
            </w:r>
            <w:r w:rsidRPr="00337CD7">
              <w:rPr>
                <w:rFonts w:ascii="Times New Roman" w:hAnsi="Times New Roman" w:cs="Times New Roman"/>
                <w:b/>
                <w:i/>
                <w:vertAlign w:val="subscript"/>
              </w:rPr>
              <w:t>2</w:t>
            </w:r>
          </w:p>
        </w:tc>
      </w:tr>
      <w:tr w:rsidR="00337CD7" w:rsidRPr="00337CD7" w14:paraId="0C9D8C08" w14:textId="77777777" w:rsidTr="001F50AF">
        <w:trPr>
          <w:jc w:val="center"/>
        </w:trPr>
        <w:tc>
          <w:tcPr>
            <w:tcW w:w="1365" w:type="dxa"/>
            <w:tcBorders>
              <w:top w:val="single" w:sz="4" w:space="0" w:color="auto"/>
              <w:left w:val="nil"/>
              <w:bottom w:val="nil"/>
              <w:right w:val="nil"/>
            </w:tcBorders>
            <w:vAlign w:val="center"/>
          </w:tcPr>
          <w:p w14:paraId="44B72BFF"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∆E</w:t>
            </w:r>
          </w:p>
        </w:tc>
        <w:tc>
          <w:tcPr>
            <w:tcW w:w="898" w:type="dxa"/>
            <w:tcBorders>
              <w:top w:val="single" w:sz="4" w:space="0" w:color="auto"/>
              <w:left w:val="nil"/>
              <w:bottom w:val="nil"/>
              <w:right w:val="nil"/>
            </w:tcBorders>
            <w:vAlign w:val="center"/>
          </w:tcPr>
          <w:p w14:paraId="421FBA31" w14:textId="0B99826D"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89</w:t>
            </w:r>
          </w:p>
        </w:tc>
        <w:tc>
          <w:tcPr>
            <w:tcW w:w="709" w:type="dxa"/>
            <w:tcBorders>
              <w:top w:val="single" w:sz="4" w:space="0" w:color="auto"/>
              <w:left w:val="nil"/>
              <w:bottom w:val="nil"/>
              <w:right w:val="nil"/>
            </w:tcBorders>
            <w:vAlign w:val="center"/>
          </w:tcPr>
          <w:p w14:paraId="5636BA7F" w14:textId="358F3DC0"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r>
      <w:tr w:rsidR="00337CD7" w:rsidRPr="00337CD7" w14:paraId="0277A140" w14:textId="77777777" w:rsidTr="001F50AF">
        <w:trPr>
          <w:jc w:val="center"/>
        </w:trPr>
        <w:tc>
          <w:tcPr>
            <w:tcW w:w="1365" w:type="dxa"/>
            <w:tcBorders>
              <w:top w:val="nil"/>
              <w:left w:val="nil"/>
              <w:bottom w:val="nil"/>
              <w:right w:val="nil"/>
            </w:tcBorders>
            <w:vAlign w:val="center"/>
          </w:tcPr>
          <w:p w14:paraId="1311C5FB"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χ</w:t>
            </w:r>
          </w:p>
        </w:tc>
        <w:tc>
          <w:tcPr>
            <w:tcW w:w="898" w:type="dxa"/>
            <w:tcBorders>
              <w:top w:val="nil"/>
              <w:left w:val="nil"/>
              <w:bottom w:val="nil"/>
              <w:right w:val="nil"/>
            </w:tcBorders>
            <w:vAlign w:val="center"/>
          </w:tcPr>
          <w:p w14:paraId="2BE4F511" w14:textId="78B22B22" w:rsidR="00590D57" w:rsidRPr="00337CD7" w:rsidRDefault="00590D57" w:rsidP="00DC77D1">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57</w:t>
            </w:r>
          </w:p>
        </w:tc>
        <w:tc>
          <w:tcPr>
            <w:tcW w:w="709" w:type="dxa"/>
            <w:tcBorders>
              <w:top w:val="nil"/>
              <w:left w:val="nil"/>
              <w:bottom w:val="nil"/>
              <w:right w:val="nil"/>
            </w:tcBorders>
            <w:vAlign w:val="center"/>
          </w:tcPr>
          <w:p w14:paraId="099A6093" w14:textId="041566AF"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59</w:t>
            </w:r>
          </w:p>
        </w:tc>
      </w:tr>
      <w:tr w:rsidR="00337CD7" w:rsidRPr="00337CD7" w14:paraId="5EC4420D" w14:textId="77777777" w:rsidTr="001F50AF">
        <w:trPr>
          <w:jc w:val="center"/>
        </w:trPr>
        <w:tc>
          <w:tcPr>
            <w:tcW w:w="1365" w:type="dxa"/>
            <w:tcBorders>
              <w:top w:val="nil"/>
              <w:left w:val="nil"/>
              <w:bottom w:val="nil"/>
              <w:right w:val="nil"/>
            </w:tcBorders>
            <w:vAlign w:val="center"/>
          </w:tcPr>
          <w:p w14:paraId="4271D06B"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ղ</w:t>
            </w:r>
          </w:p>
        </w:tc>
        <w:tc>
          <w:tcPr>
            <w:tcW w:w="898" w:type="dxa"/>
            <w:tcBorders>
              <w:top w:val="nil"/>
              <w:left w:val="nil"/>
              <w:bottom w:val="nil"/>
              <w:right w:val="nil"/>
            </w:tcBorders>
            <w:vAlign w:val="center"/>
          </w:tcPr>
          <w:p w14:paraId="23556D3F" w14:textId="58CFA6AA"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89</w:t>
            </w:r>
          </w:p>
        </w:tc>
        <w:tc>
          <w:tcPr>
            <w:tcW w:w="709" w:type="dxa"/>
            <w:tcBorders>
              <w:top w:val="nil"/>
              <w:left w:val="nil"/>
              <w:bottom w:val="nil"/>
              <w:right w:val="nil"/>
            </w:tcBorders>
            <w:vAlign w:val="center"/>
          </w:tcPr>
          <w:p w14:paraId="1F4CC23C" w14:textId="0AF09CA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15</w:t>
            </w:r>
          </w:p>
        </w:tc>
      </w:tr>
      <w:tr w:rsidR="00337CD7" w:rsidRPr="00337CD7" w14:paraId="66A48D05" w14:textId="77777777" w:rsidTr="001F50AF">
        <w:trPr>
          <w:jc w:val="center"/>
        </w:trPr>
        <w:tc>
          <w:tcPr>
            <w:tcW w:w="1365" w:type="dxa"/>
            <w:tcBorders>
              <w:top w:val="nil"/>
              <w:left w:val="nil"/>
              <w:bottom w:val="nil"/>
              <w:right w:val="nil"/>
            </w:tcBorders>
            <w:vAlign w:val="center"/>
          </w:tcPr>
          <w:p w14:paraId="2A26C6CA"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S</w:t>
            </w:r>
          </w:p>
        </w:tc>
        <w:tc>
          <w:tcPr>
            <w:tcW w:w="898" w:type="dxa"/>
            <w:tcBorders>
              <w:top w:val="nil"/>
              <w:left w:val="nil"/>
              <w:bottom w:val="nil"/>
              <w:right w:val="nil"/>
            </w:tcBorders>
            <w:vAlign w:val="center"/>
          </w:tcPr>
          <w:p w14:paraId="2CA4F399" w14:textId="25C2FAFB"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92</w:t>
            </w:r>
          </w:p>
        </w:tc>
        <w:tc>
          <w:tcPr>
            <w:tcW w:w="709" w:type="dxa"/>
            <w:tcBorders>
              <w:top w:val="nil"/>
              <w:left w:val="nil"/>
              <w:bottom w:val="nil"/>
              <w:right w:val="nil"/>
            </w:tcBorders>
            <w:vAlign w:val="center"/>
          </w:tcPr>
          <w:p w14:paraId="4F22019C" w14:textId="182E22EF"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25</w:t>
            </w:r>
          </w:p>
        </w:tc>
      </w:tr>
      <w:tr w:rsidR="00337CD7" w:rsidRPr="00337CD7" w14:paraId="7F93EDFC" w14:textId="77777777" w:rsidTr="001F50AF">
        <w:trPr>
          <w:jc w:val="center"/>
        </w:trPr>
        <w:tc>
          <w:tcPr>
            <w:tcW w:w="1365" w:type="dxa"/>
            <w:tcBorders>
              <w:top w:val="nil"/>
              <w:left w:val="nil"/>
              <w:bottom w:val="nil"/>
              <w:right w:val="nil"/>
            </w:tcBorders>
            <w:vAlign w:val="center"/>
          </w:tcPr>
          <w:p w14:paraId="51C2E05E" w14:textId="77777777" w:rsidR="00590D57" w:rsidRPr="00337CD7" w:rsidRDefault="00590D57" w:rsidP="00590D57">
            <w:pPr>
              <w:spacing w:after="0"/>
              <w:jc w:val="center"/>
              <w:rPr>
                <w:rFonts w:ascii="Times New Roman" w:hAnsi="Times New Roman" w:cs="Times New Roman"/>
              </w:rPr>
            </w:pPr>
            <w:r w:rsidRPr="00337CD7">
              <w:rPr>
                <w:rFonts w:ascii="Cambria Math" w:hAnsi="Cambria Math" w:cs="Cambria Math"/>
              </w:rPr>
              <w:t>⍵</w:t>
            </w:r>
          </w:p>
        </w:tc>
        <w:tc>
          <w:tcPr>
            <w:tcW w:w="898" w:type="dxa"/>
            <w:tcBorders>
              <w:top w:val="nil"/>
              <w:left w:val="nil"/>
              <w:bottom w:val="nil"/>
              <w:right w:val="nil"/>
            </w:tcBorders>
            <w:vAlign w:val="center"/>
          </w:tcPr>
          <w:p w14:paraId="3C265109" w14:textId="18D99F31"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81</w:t>
            </w:r>
          </w:p>
        </w:tc>
        <w:tc>
          <w:tcPr>
            <w:tcW w:w="709" w:type="dxa"/>
            <w:tcBorders>
              <w:top w:val="nil"/>
              <w:left w:val="nil"/>
              <w:bottom w:val="nil"/>
              <w:right w:val="nil"/>
            </w:tcBorders>
            <w:vAlign w:val="center"/>
          </w:tcPr>
          <w:p w14:paraId="24FFACC6" w14:textId="38F4AEF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48</w:t>
            </w:r>
          </w:p>
        </w:tc>
      </w:tr>
      <w:tr w:rsidR="00337CD7" w:rsidRPr="00337CD7" w14:paraId="6EAEBDE5" w14:textId="77777777" w:rsidTr="001F50AF">
        <w:trPr>
          <w:jc w:val="center"/>
        </w:trPr>
        <w:tc>
          <w:tcPr>
            <w:tcW w:w="1365" w:type="dxa"/>
            <w:tcBorders>
              <w:top w:val="nil"/>
              <w:left w:val="nil"/>
              <w:bottom w:val="nil"/>
              <w:right w:val="nil"/>
            </w:tcBorders>
            <w:vAlign w:val="center"/>
          </w:tcPr>
          <w:p w14:paraId="691DD661"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µ</w:t>
            </w:r>
          </w:p>
        </w:tc>
        <w:tc>
          <w:tcPr>
            <w:tcW w:w="898" w:type="dxa"/>
            <w:tcBorders>
              <w:top w:val="nil"/>
              <w:left w:val="nil"/>
              <w:bottom w:val="nil"/>
              <w:right w:val="nil"/>
            </w:tcBorders>
            <w:vAlign w:val="center"/>
          </w:tcPr>
          <w:p w14:paraId="38B62E91" w14:textId="05802563"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83</w:t>
            </w:r>
          </w:p>
        </w:tc>
        <w:tc>
          <w:tcPr>
            <w:tcW w:w="709" w:type="dxa"/>
            <w:tcBorders>
              <w:top w:val="nil"/>
              <w:left w:val="nil"/>
              <w:bottom w:val="nil"/>
              <w:right w:val="nil"/>
            </w:tcBorders>
            <w:vAlign w:val="center"/>
          </w:tcPr>
          <w:p w14:paraId="402536A9" w14:textId="12685278"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41</w:t>
            </w:r>
          </w:p>
        </w:tc>
      </w:tr>
      <w:tr w:rsidR="00337CD7" w:rsidRPr="00337CD7" w14:paraId="5A779F00" w14:textId="77777777" w:rsidTr="001F50AF">
        <w:trPr>
          <w:jc w:val="center"/>
        </w:trPr>
        <w:tc>
          <w:tcPr>
            <w:tcW w:w="1365" w:type="dxa"/>
            <w:tcBorders>
              <w:top w:val="nil"/>
              <w:left w:val="nil"/>
              <w:bottom w:val="nil"/>
              <w:right w:val="nil"/>
            </w:tcBorders>
            <w:vAlign w:val="center"/>
          </w:tcPr>
          <w:p w14:paraId="40B7E57D" w14:textId="5A15626C"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H</w:t>
            </w:r>
            <w:r w:rsidR="00241594">
              <w:rPr>
                <w:rFonts w:ascii="Times New Roman" w:hAnsi="Times New Roman" w:cs="Times New Roman"/>
              </w:rPr>
              <w:t>BA</w:t>
            </w:r>
          </w:p>
        </w:tc>
        <w:tc>
          <w:tcPr>
            <w:tcW w:w="898" w:type="dxa"/>
            <w:tcBorders>
              <w:top w:val="nil"/>
              <w:left w:val="nil"/>
              <w:bottom w:val="nil"/>
              <w:right w:val="nil"/>
            </w:tcBorders>
            <w:vAlign w:val="center"/>
          </w:tcPr>
          <w:p w14:paraId="69EBCA71" w14:textId="2854083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20</w:t>
            </w:r>
          </w:p>
        </w:tc>
        <w:tc>
          <w:tcPr>
            <w:tcW w:w="709" w:type="dxa"/>
            <w:tcBorders>
              <w:top w:val="nil"/>
              <w:left w:val="nil"/>
              <w:bottom w:val="nil"/>
              <w:right w:val="nil"/>
            </w:tcBorders>
            <w:vAlign w:val="center"/>
          </w:tcPr>
          <w:p w14:paraId="15C24FAF" w14:textId="3BF7516E"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56</w:t>
            </w:r>
          </w:p>
        </w:tc>
      </w:tr>
      <w:tr w:rsidR="00337CD7" w:rsidRPr="00337CD7" w14:paraId="00B76D26" w14:textId="77777777" w:rsidTr="001F50AF">
        <w:trPr>
          <w:jc w:val="center"/>
        </w:trPr>
        <w:tc>
          <w:tcPr>
            <w:tcW w:w="1365" w:type="dxa"/>
            <w:tcBorders>
              <w:top w:val="nil"/>
              <w:left w:val="nil"/>
              <w:bottom w:val="nil"/>
              <w:right w:val="nil"/>
            </w:tcBorders>
            <w:vAlign w:val="center"/>
          </w:tcPr>
          <w:p w14:paraId="3A1BA635"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LogP</w:t>
            </w:r>
          </w:p>
        </w:tc>
        <w:tc>
          <w:tcPr>
            <w:tcW w:w="898" w:type="dxa"/>
            <w:tcBorders>
              <w:top w:val="nil"/>
              <w:left w:val="nil"/>
              <w:bottom w:val="nil"/>
              <w:right w:val="nil"/>
            </w:tcBorders>
            <w:vAlign w:val="center"/>
          </w:tcPr>
          <w:p w14:paraId="51C4059C" w14:textId="6C0AF185"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53</w:t>
            </w:r>
          </w:p>
        </w:tc>
        <w:tc>
          <w:tcPr>
            <w:tcW w:w="709" w:type="dxa"/>
            <w:tcBorders>
              <w:top w:val="nil"/>
              <w:left w:val="nil"/>
              <w:bottom w:val="nil"/>
              <w:right w:val="nil"/>
            </w:tcBorders>
            <w:vAlign w:val="center"/>
          </w:tcPr>
          <w:p w14:paraId="68182103" w14:textId="0E2C4EE1"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70</w:t>
            </w:r>
          </w:p>
        </w:tc>
      </w:tr>
      <w:tr w:rsidR="00337CD7" w:rsidRPr="00337CD7" w14:paraId="267B0F9E" w14:textId="77777777" w:rsidTr="001F50AF">
        <w:trPr>
          <w:jc w:val="center"/>
        </w:trPr>
        <w:tc>
          <w:tcPr>
            <w:tcW w:w="1365" w:type="dxa"/>
            <w:tcBorders>
              <w:top w:val="nil"/>
              <w:left w:val="nil"/>
              <w:bottom w:val="nil"/>
              <w:right w:val="nil"/>
            </w:tcBorders>
            <w:vAlign w:val="center"/>
          </w:tcPr>
          <w:p w14:paraId="17E3045A" w14:textId="7CB46456" w:rsidR="00590D57" w:rsidRPr="00337CD7" w:rsidRDefault="00241594" w:rsidP="00590D57">
            <w:pPr>
              <w:spacing w:after="0"/>
              <w:jc w:val="center"/>
              <w:rPr>
                <w:rFonts w:ascii="Times New Roman" w:hAnsi="Times New Roman" w:cs="Times New Roman"/>
              </w:rPr>
            </w:pPr>
            <w:r>
              <w:rPr>
                <w:rFonts w:ascii="Times New Roman" w:hAnsi="Times New Roman" w:cs="Times New Roman"/>
              </w:rPr>
              <w:t>HBD</w:t>
            </w:r>
          </w:p>
        </w:tc>
        <w:tc>
          <w:tcPr>
            <w:tcW w:w="898" w:type="dxa"/>
            <w:tcBorders>
              <w:top w:val="nil"/>
              <w:left w:val="nil"/>
              <w:bottom w:val="nil"/>
              <w:right w:val="nil"/>
            </w:tcBorders>
            <w:vAlign w:val="center"/>
          </w:tcPr>
          <w:p w14:paraId="7B2AB75A" w14:textId="6AA2C514"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85</w:t>
            </w:r>
          </w:p>
        </w:tc>
        <w:tc>
          <w:tcPr>
            <w:tcW w:w="709" w:type="dxa"/>
            <w:tcBorders>
              <w:top w:val="nil"/>
              <w:left w:val="nil"/>
              <w:bottom w:val="nil"/>
              <w:right w:val="nil"/>
            </w:tcBorders>
            <w:vAlign w:val="center"/>
          </w:tcPr>
          <w:p w14:paraId="30C8E80D" w14:textId="2AF2D7B9"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29</w:t>
            </w:r>
          </w:p>
        </w:tc>
      </w:tr>
      <w:tr w:rsidR="00337CD7" w:rsidRPr="00337CD7" w14:paraId="349E81E8" w14:textId="77777777" w:rsidTr="001F50AF">
        <w:trPr>
          <w:jc w:val="center"/>
        </w:trPr>
        <w:tc>
          <w:tcPr>
            <w:tcW w:w="1365" w:type="dxa"/>
            <w:tcBorders>
              <w:top w:val="nil"/>
              <w:left w:val="nil"/>
              <w:bottom w:val="single" w:sz="4" w:space="0" w:color="auto"/>
              <w:right w:val="nil"/>
            </w:tcBorders>
            <w:vAlign w:val="center"/>
          </w:tcPr>
          <w:p w14:paraId="5A12F285" w14:textId="77777777"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TPSA</w:t>
            </w:r>
          </w:p>
        </w:tc>
        <w:tc>
          <w:tcPr>
            <w:tcW w:w="898" w:type="dxa"/>
            <w:tcBorders>
              <w:top w:val="nil"/>
              <w:left w:val="nil"/>
              <w:bottom w:val="single" w:sz="4" w:space="0" w:color="auto"/>
              <w:right w:val="nil"/>
            </w:tcBorders>
            <w:vAlign w:val="center"/>
          </w:tcPr>
          <w:p w14:paraId="23EEB528" w14:textId="66633DCB"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65</w:t>
            </w:r>
          </w:p>
        </w:tc>
        <w:tc>
          <w:tcPr>
            <w:tcW w:w="709" w:type="dxa"/>
            <w:tcBorders>
              <w:top w:val="nil"/>
              <w:left w:val="nil"/>
              <w:bottom w:val="single" w:sz="4" w:space="0" w:color="auto"/>
              <w:right w:val="nil"/>
            </w:tcBorders>
            <w:vAlign w:val="center"/>
          </w:tcPr>
          <w:p w14:paraId="17A87508" w14:textId="13F5C0AC" w:rsidR="00590D57" w:rsidRPr="00337CD7" w:rsidRDefault="00590D57" w:rsidP="00590D57">
            <w:pPr>
              <w:spacing w:after="0"/>
              <w:jc w:val="center"/>
              <w:rPr>
                <w:rFonts w:ascii="Times New Roman" w:hAnsi="Times New Roman" w:cs="Times New Roman"/>
              </w:rPr>
            </w:pPr>
            <w:r w:rsidRPr="00337CD7">
              <w:rPr>
                <w:rFonts w:ascii="Times New Roman" w:hAnsi="Times New Roman" w:cs="Times New Roman"/>
              </w:rPr>
              <w:t>-0</w:t>
            </w:r>
            <w:r w:rsidR="00241594">
              <w:rPr>
                <w:rFonts w:ascii="Times New Roman" w:hAnsi="Times New Roman" w:cs="Times New Roman"/>
              </w:rPr>
              <w:t>.</w:t>
            </w:r>
            <w:r w:rsidRPr="00337CD7">
              <w:rPr>
                <w:rFonts w:ascii="Times New Roman" w:hAnsi="Times New Roman" w:cs="Times New Roman"/>
              </w:rPr>
              <w:t>60</w:t>
            </w:r>
          </w:p>
        </w:tc>
      </w:tr>
    </w:tbl>
    <w:p w14:paraId="3FEA7E7E" w14:textId="46D72191" w:rsidR="00FE03E8" w:rsidRPr="006E4300" w:rsidRDefault="006E4300" w:rsidP="00376985">
      <w:pPr>
        <w:spacing w:before="120" w:after="0" w:line="240" w:lineRule="auto"/>
        <w:jc w:val="both"/>
        <w:rPr>
          <w:rFonts w:ascii="Times New Roman" w:hAnsi="Times New Roman" w:cs="Times New Roman"/>
          <w:sz w:val="20"/>
          <w:szCs w:val="20"/>
          <w:lang w:val="en-US"/>
        </w:rPr>
      </w:pPr>
      <w:r w:rsidRPr="006E4300">
        <w:rPr>
          <w:rFonts w:ascii="Times New Roman" w:hAnsi="Times New Roman" w:cs="Times New Roman"/>
          <w:sz w:val="20"/>
          <w:szCs w:val="20"/>
          <w:lang w:val="en-US"/>
        </w:rPr>
        <w:t>A comparative analysis of the intercorrelation coefficients between descriptors and factors relative to unity identified the descriptors that correlate most significantly with factor F1 or factor F2. Thus, factor F1 is influenced by the descriptors overall molecular softness (S), electrophilicity (</w:t>
      </w:r>
      <w:r w:rsidRPr="006E4300">
        <w:rPr>
          <w:rFonts w:ascii="Cambria Math" w:hAnsi="Cambria Math" w:cs="Cambria Math"/>
          <w:sz w:val="20"/>
          <w:szCs w:val="20"/>
          <w:lang w:val="en-US"/>
        </w:rPr>
        <w:t>⍵</w:t>
      </w:r>
      <w:r w:rsidRPr="006E4300">
        <w:rPr>
          <w:rFonts w:ascii="Times New Roman" w:hAnsi="Times New Roman" w:cs="Times New Roman"/>
          <w:sz w:val="20"/>
          <w:szCs w:val="20"/>
          <w:lang w:val="en-US"/>
        </w:rPr>
        <w:t>), energy gap (∆E), overall molecular hardness (</w:t>
      </w:r>
      <w:r w:rsidRPr="006E4300">
        <w:rPr>
          <w:rFonts w:ascii="Times New Roman" w:hAnsi="Times New Roman" w:cs="Times New Roman"/>
          <w:sz w:val="20"/>
          <w:szCs w:val="20"/>
        </w:rPr>
        <w:t>ղ</w:t>
      </w:r>
      <w:r w:rsidRPr="006E4300">
        <w:rPr>
          <w:rFonts w:ascii="Times New Roman" w:hAnsi="Times New Roman" w:cs="Times New Roman"/>
          <w:sz w:val="20"/>
          <w:szCs w:val="20"/>
          <w:lang w:val="en-US"/>
        </w:rPr>
        <w:t>), molecular dipole moment (µ), number of hydrogen bond donors (DLH), and topological polar surface area (TPSA). This factor (F1) explains the chemical behavior of pharmacophores in relation to electron transfer properties, polarizability, and electrostatic molecular interactions.</w:t>
      </w:r>
      <w:r w:rsidR="000469A2" w:rsidRPr="006E4300">
        <w:rPr>
          <w:rFonts w:ascii="Times New Roman" w:hAnsi="Times New Roman" w:cs="Times New Roman"/>
          <w:sz w:val="20"/>
          <w:szCs w:val="20"/>
          <w:lang w:val="en-US"/>
        </w:rPr>
        <w:t xml:space="preserve"> </w:t>
      </w:r>
      <w:r w:rsidRPr="006E4300">
        <w:rPr>
          <w:rFonts w:ascii="Times New Roman" w:hAnsi="Times New Roman" w:cs="Times New Roman"/>
          <w:sz w:val="20"/>
          <w:szCs w:val="20"/>
          <w:lang w:val="en-US"/>
        </w:rPr>
        <w:t xml:space="preserve">Furthermore, this behavior is accentuated by an increase in the values of S and </w:t>
      </w:r>
      <w:r w:rsidRPr="006E4300">
        <w:rPr>
          <w:rFonts w:ascii="Cambria Math" w:hAnsi="Cambria Math" w:cs="Cambria Math"/>
          <w:sz w:val="20"/>
          <w:szCs w:val="20"/>
          <w:lang w:val="en-US"/>
        </w:rPr>
        <w:t>⍵</w:t>
      </w:r>
      <w:r w:rsidRPr="006E4300">
        <w:rPr>
          <w:rFonts w:ascii="Times New Roman" w:hAnsi="Times New Roman" w:cs="Times New Roman"/>
          <w:sz w:val="20"/>
          <w:szCs w:val="20"/>
          <w:lang w:val="en-US"/>
        </w:rPr>
        <w:t xml:space="preserve"> and reduced by an increase in the values of ∆E, </w:t>
      </w:r>
      <w:r w:rsidRPr="006E4300">
        <w:rPr>
          <w:rFonts w:ascii="Times New Roman" w:hAnsi="Times New Roman" w:cs="Times New Roman"/>
          <w:sz w:val="20"/>
          <w:szCs w:val="20"/>
        </w:rPr>
        <w:t>ղ</w:t>
      </w:r>
      <w:r w:rsidRPr="006E4300">
        <w:rPr>
          <w:rFonts w:ascii="Times New Roman" w:hAnsi="Times New Roman" w:cs="Times New Roman"/>
          <w:sz w:val="20"/>
          <w:szCs w:val="20"/>
          <w:lang w:val="en-US"/>
        </w:rPr>
        <w:t>, µ, DLH, and TPSA. Factor F2 is governed by the descriptors electronegativity (</w:t>
      </w:r>
      <w:r w:rsidRPr="006E4300">
        <w:rPr>
          <w:rFonts w:ascii="Times New Roman" w:hAnsi="Times New Roman" w:cs="Times New Roman"/>
          <w:sz w:val="20"/>
          <w:szCs w:val="20"/>
        </w:rPr>
        <w:t>χ</w:t>
      </w:r>
      <w:r w:rsidRPr="006E4300">
        <w:rPr>
          <w:rFonts w:ascii="Times New Roman" w:hAnsi="Times New Roman" w:cs="Times New Roman"/>
          <w:sz w:val="20"/>
          <w:szCs w:val="20"/>
          <w:lang w:val="en-US"/>
        </w:rPr>
        <w:t>), hydrogen bond acceptance number (ALH), and partition coefficient (Log P). It provides information on the electron transfer, electrostatic molecular interaction, and lipophilic properties of the pharmacophores studied. An increase in the number of HBA and LogP favors these properties of pharmacophores, unlike electronegativity. An illustration of the effects of descriptor interactions on factors F1 and F2 is given by the correlation circle in Figure 1.</w:t>
      </w:r>
    </w:p>
    <w:p w14:paraId="2203801E" w14:textId="77777777" w:rsidR="009C193B" w:rsidRPr="006E4300" w:rsidRDefault="009C193B" w:rsidP="00633AD8">
      <w:pPr>
        <w:spacing w:after="0" w:line="240" w:lineRule="auto"/>
        <w:jc w:val="both"/>
        <w:rPr>
          <w:rFonts w:ascii="Times New Roman" w:hAnsi="Times New Roman" w:cs="Times New Roman"/>
          <w:sz w:val="20"/>
          <w:szCs w:val="20"/>
          <w:lang w:val="en-US"/>
        </w:rPr>
      </w:pPr>
    </w:p>
    <w:p w14:paraId="7B56B84A" w14:textId="77777777" w:rsidR="000469A2" w:rsidRPr="00337CD7" w:rsidRDefault="001537F9" w:rsidP="001537F9">
      <w:pPr>
        <w:tabs>
          <w:tab w:val="left" w:pos="183"/>
          <w:tab w:val="center" w:pos="4536"/>
        </w:tabs>
        <w:spacing w:after="0" w:line="240" w:lineRule="auto"/>
        <w:rPr>
          <w:rFonts w:ascii="Times New Roman" w:hAnsi="Times New Roman" w:cs="Times New Roman"/>
          <w:sz w:val="20"/>
          <w:szCs w:val="20"/>
        </w:rPr>
      </w:pPr>
      <w:r w:rsidRPr="006E4300">
        <w:rPr>
          <w:rFonts w:ascii="Times New Roman" w:hAnsi="Times New Roman" w:cs="Times New Roman"/>
          <w:sz w:val="20"/>
          <w:szCs w:val="20"/>
          <w:lang w:val="en-US"/>
        </w:rPr>
        <w:lastRenderedPageBreak/>
        <w:tab/>
      </w:r>
      <w:r w:rsidRPr="006E4300">
        <w:rPr>
          <w:rFonts w:ascii="Times New Roman" w:hAnsi="Times New Roman" w:cs="Times New Roman"/>
          <w:sz w:val="20"/>
          <w:szCs w:val="20"/>
          <w:lang w:val="en-US"/>
        </w:rPr>
        <w:tab/>
      </w:r>
      <w:r w:rsidR="00633AD8" w:rsidRPr="00337CD7">
        <w:rPr>
          <w:noProof/>
          <w:lang w:eastAsia="fr-FR"/>
        </w:rPr>
        <w:drawing>
          <wp:inline distT="0" distB="0" distL="0" distR="0" wp14:anchorId="1A162B9B" wp14:editId="2E885756">
            <wp:extent cx="3136900" cy="2357355"/>
            <wp:effectExtent l="0" t="0" r="6350" b="508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48E8F454" w14:textId="1144225D" w:rsidR="009D01D4" w:rsidRPr="006E4300" w:rsidRDefault="00633AD8" w:rsidP="003B23A8">
      <w:pPr>
        <w:spacing w:before="120" w:after="120" w:line="240" w:lineRule="auto"/>
        <w:jc w:val="both"/>
        <w:rPr>
          <w:rFonts w:ascii="Times New Roman" w:hAnsi="Times New Roman" w:cs="Times New Roman"/>
          <w:lang w:val="en-US"/>
        </w:rPr>
      </w:pPr>
      <w:r w:rsidRPr="006E4300">
        <w:rPr>
          <w:rFonts w:ascii="Times New Roman" w:hAnsi="Times New Roman" w:cs="Times New Roman"/>
          <w:b/>
          <w:lang w:val="en-US"/>
        </w:rPr>
        <w:t>Figure 1:</w:t>
      </w:r>
      <w:r w:rsidRPr="006E4300">
        <w:rPr>
          <w:rFonts w:ascii="Times New Roman" w:hAnsi="Times New Roman" w:cs="Times New Roman"/>
          <w:lang w:val="en-US"/>
        </w:rPr>
        <w:t xml:space="preserve"> </w:t>
      </w:r>
      <w:r w:rsidR="006E4300" w:rsidRPr="006E4300">
        <w:rPr>
          <w:rFonts w:ascii="Times New Roman" w:hAnsi="Times New Roman" w:cs="Times New Roman"/>
          <w:lang w:val="en-US"/>
        </w:rPr>
        <w:t>Correlation circle of molecular descriptors in the factorial plane (F1-F2)</w:t>
      </w:r>
    </w:p>
    <w:p w14:paraId="2BF227B0" w14:textId="728C0764" w:rsidR="00C80CA8" w:rsidRDefault="006E4300" w:rsidP="009D01D4">
      <w:pPr>
        <w:spacing w:after="0" w:line="240" w:lineRule="auto"/>
        <w:jc w:val="both"/>
        <w:rPr>
          <w:rFonts w:ascii="Times New Roman" w:hAnsi="Times New Roman" w:cs="Times New Roman"/>
          <w:lang w:val="en-US"/>
        </w:rPr>
      </w:pPr>
      <w:r w:rsidRPr="006E4300">
        <w:rPr>
          <w:rFonts w:ascii="Times New Roman" w:hAnsi="Times New Roman" w:cs="Times New Roman"/>
          <w:lang w:val="en-US"/>
        </w:rPr>
        <w:t xml:space="preserve">The correlation circle allows four blocks of descriptors to be identified according to their contributory effect in explaining the chemical behaviors of pharmacophores by the principal factors F1 and F2. The descriptor (LogP) has a positive interaction with both F1 and F2, unlike the descriptor blocks (µ, TPSA, DLH), which have a negative influence on both F1 and F2. As for the descriptors of the other two blocks (ALH, ∆E, </w:t>
      </w:r>
      <w:r w:rsidRPr="006E4300">
        <w:rPr>
          <w:rFonts w:ascii="Times New Roman" w:hAnsi="Times New Roman" w:cs="Times New Roman"/>
          <w:lang w:val="fr-CI"/>
        </w:rPr>
        <w:t>ղ</w:t>
      </w:r>
      <w:r w:rsidRPr="006E4300">
        <w:rPr>
          <w:rFonts w:ascii="Times New Roman" w:hAnsi="Times New Roman" w:cs="Times New Roman"/>
          <w:lang w:val="en-US"/>
        </w:rPr>
        <w:t xml:space="preserve">) and (S, </w:t>
      </w:r>
      <w:r w:rsidRPr="006E4300">
        <w:rPr>
          <w:rFonts w:ascii="Cambria Math" w:hAnsi="Cambria Math" w:cs="Cambria Math"/>
          <w:lang w:val="en-US"/>
        </w:rPr>
        <w:t>⍵</w:t>
      </w:r>
      <w:r w:rsidRPr="006E4300">
        <w:rPr>
          <w:rFonts w:ascii="Times New Roman" w:hAnsi="Times New Roman" w:cs="Times New Roman"/>
          <w:lang w:val="en-US"/>
        </w:rPr>
        <w:t xml:space="preserve">, </w:t>
      </w:r>
      <w:r w:rsidRPr="006E4300">
        <w:rPr>
          <w:rFonts w:ascii="Times New Roman" w:hAnsi="Times New Roman" w:cs="Times New Roman"/>
          <w:lang w:val="fr-CI"/>
        </w:rPr>
        <w:t>χ</w:t>
      </w:r>
      <w:r w:rsidRPr="006E4300">
        <w:rPr>
          <w:rFonts w:ascii="Times New Roman" w:hAnsi="Times New Roman" w:cs="Times New Roman"/>
          <w:lang w:val="en-US"/>
        </w:rPr>
        <w:t xml:space="preserve">), they have either a negative or positive influence on one or the other of the principal factors. The four different blocks of descriptors thus formed have a relative influence on all the pharmacophores studied, giving them a chemical property. This is because the descriptors derived from the pharmacophores are intercorrelated with the factors. Table VI shows the contributions of the pharmacophores to the formation of </w:t>
      </w:r>
      <w:r>
        <w:rPr>
          <w:rFonts w:ascii="Times New Roman" w:hAnsi="Times New Roman" w:cs="Times New Roman"/>
          <w:lang w:val="en-US"/>
        </w:rPr>
        <w:t>the principal factors F1 and F2</w:t>
      </w:r>
      <w:r w:rsidR="001F50AF" w:rsidRPr="006E4300">
        <w:rPr>
          <w:rFonts w:ascii="Times New Roman" w:hAnsi="Times New Roman" w:cs="Times New Roman"/>
          <w:lang w:val="en-US"/>
        </w:rPr>
        <w:t>.</w:t>
      </w:r>
    </w:p>
    <w:p w14:paraId="01046A16" w14:textId="77777777" w:rsidR="006E4300" w:rsidRPr="006E4300" w:rsidRDefault="006E4300" w:rsidP="009D01D4">
      <w:pPr>
        <w:spacing w:after="0" w:line="240" w:lineRule="auto"/>
        <w:jc w:val="both"/>
        <w:rPr>
          <w:rFonts w:ascii="Times New Roman" w:hAnsi="Times New Roman" w:cs="Times New Roman"/>
          <w:lang w:val="en-US"/>
        </w:rPr>
      </w:pPr>
    </w:p>
    <w:p w14:paraId="03E9575E" w14:textId="04A0D97E" w:rsidR="00D862F3" w:rsidRPr="006E4300" w:rsidRDefault="006E4300" w:rsidP="00A322D2">
      <w:pPr>
        <w:tabs>
          <w:tab w:val="left" w:pos="2493"/>
        </w:tabs>
        <w:rPr>
          <w:rFonts w:ascii="Times New Roman" w:hAnsi="Times New Roman" w:cs="Times New Roman"/>
          <w:lang w:val="en-US"/>
        </w:rPr>
      </w:pPr>
      <w:r w:rsidRPr="006E4300">
        <w:rPr>
          <w:rFonts w:ascii="Times New Roman" w:hAnsi="Times New Roman" w:cs="Times New Roman"/>
          <w:b/>
          <w:lang w:val="en-US"/>
        </w:rPr>
        <w:t>Table</w:t>
      </w:r>
      <w:r w:rsidR="00A322D2" w:rsidRPr="006E4300">
        <w:rPr>
          <w:rFonts w:ascii="Times New Roman" w:hAnsi="Times New Roman" w:cs="Times New Roman"/>
          <w:b/>
          <w:lang w:val="en-US"/>
        </w:rPr>
        <w:t xml:space="preserve"> </w:t>
      </w:r>
      <w:proofErr w:type="gramStart"/>
      <w:r w:rsidR="008C7A71">
        <w:rPr>
          <w:rFonts w:ascii="Times New Roman" w:hAnsi="Times New Roman" w:cs="Times New Roman"/>
          <w:b/>
          <w:lang w:val="en-US"/>
        </w:rPr>
        <w:t>6</w:t>
      </w:r>
      <w:r w:rsidR="00A322D2" w:rsidRPr="006E4300">
        <w:rPr>
          <w:rFonts w:ascii="Times New Roman" w:hAnsi="Times New Roman" w:cs="Times New Roman"/>
          <w:b/>
          <w:lang w:val="en-US"/>
        </w:rPr>
        <w:t> :</w:t>
      </w:r>
      <w:proofErr w:type="gramEnd"/>
      <w:r w:rsidR="00A322D2" w:rsidRPr="006E4300">
        <w:rPr>
          <w:rFonts w:ascii="Times New Roman" w:hAnsi="Times New Roman" w:cs="Times New Roman"/>
          <w:i/>
          <w:lang w:val="en-US"/>
        </w:rPr>
        <w:t xml:space="preserve"> </w:t>
      </w:r>
      <w:r w:rsidRPr="006E4300">
        <w:rPr>
          <w:rFonts w:ascii="Times New Roman" w:hAnsi="Times New Roman" w:cs="Times New Roman"/>
          <w:lang w:val="en-US"/>
        </w:rPr>
        <w:t>Contributions (%) of pharmacophores to the formation of factors F1 and F2</w:t>
      </w:r>
    </w:p>
    <w:tbl>
      <w:tblPr>
        <w:tblW w:w="3449" w:type="dxa"/>
        <w:jc w:val="center"/>
        <w:tblCellMar>
          <w:left w:w="70" w:type="dxa"/>
          <w:right w:w="70" w:type="dxa"/>
        </w:tblCellMar>
        <w:tblLook w:val="04A0" w:firstRow="1" w:lastRow="0" w:firstColumn="1" w:lastColumn="0" w:noHBand="0" w:noVBand="1"/>
      </w:tblPr>
      <w:tblGrid>
        <w:gridCol w:w="1985"/>
        <w:gridCol w:w="635"/>
        <w:gridCol w:w="913"/>
      </w:tblGrid>
      <w:tr w:rsidR="00337CD7" w:rsidRPr="00337CD7" w14:paraId="3B550F1D" w14:textId="77777777" w:rsidTr="0039039E">
        <w:trPr>
          <w:trHeight w:val="300"/>
          <w:jc w:val="center"/>
        </w:trPr>
        <w:tc>
          <w:tcPr>
            <w:tcW w:w="1985" w:type="dxa"/>
            <w:tcBorders>
              <w:top w:val="single" w:sz="8" w:space="0" w:color="auto"/>
              <w:left w:val="nil"/>
              <w:bottom w:val="nil"/>
              <w:right w:val="nil"/>
            </w:tcBorders>
            <w:noWrap/>
            <w:vAlign w:val="bottom"/>
            <w:hideMark/>
          </w:tcPr>
          <w:p w14:paraId="29C96F1E" w14:textId="77777777" w:rsidR="00D862F3" w:rsidRPr="00337CD7" w:rsidRDefault="00D862F3" w:rsidP="00174023">
            <w:pPr>
              <w:spacing w:after="0" w:line="240" w:lineRule="auto"/>
              <w:jc w:val="center"/>
              <w:rPr>
                <w:rFonts w:ascii="Times New Roman" w:eastAsia="Times New Roman" w:hAnsi="Times New Roman" w:cs="Times New Roman"/>
                <w:b/>
                <w:i/>
                <w:lang w:eastAsia="fr-FR"/>
              </w:rPr>
            </w:pPr>
            <w:r w:rsidRPr="006E4300">
              <w:rPr>
                <w:rFonts w:ascii="Times New Roman" w:eastAsia="Times New Roman" w:hAnsi="Times New Roman" w:cs="Times New Roman"/>
                <w:b/>
                <w:i/>
                <w:lang w:val="en-US" w:eastAsia="fr-FR"/>
              </w:rPr>
              <w:t> </w:t>
            </w:r>
            <w:r w:rsidR="0039039E" w:rsidRPr="00337CD7">
              <w:rPr>
                <w:rFonts w:ascii="Times New Roman" w:eastAsia="Times New Roman" w:hAnsi="Times New Roman" w:cs="Times New Roman"/>
                <w:b/>
                <w:i/>
                <w:lang w:eastAsia="fr-FR"/>
              </w:rPr>
              <w:t>Pharmacophores</w:t>
            </w:r>
          </w:p>
        </w:tc>
        <w:tc>
          <w:tcPr>
            <w:tcW w:w="551" w:type="dxa"/>
            <w:tcBorders>
              <w:top w:val="single" w:sz="8" w:space="0" w:color="auto"/>
              <w:left w:val="nil"/>
              <w:bottom w:val="nil"/>
              <w:right w:val="nil"/>
            </w:tcBorders>
            <w:noWrap/>
            <w:vAlign w:val="bottom"/>
            <w:hideMark/>
          </w:tcPr>
          <w:p w14:paraId="2FB88DB1" w14:textId="77777777" w:rsidR="00D862F3" w:rsidRPr="00337CD7" w:rsidRDefault="00D862F3" w:rsidP="00D862F3">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1</w:t>
            </w:r>
          </w:p>
        </w:tc>
        <w:tc>
          <w:tcPr>
            <w:tcW w:w="913" w:type="dxa"/>
            <w:tcBorders>
              <w:top w:val="single" w:sz="8" w:space="0" w:color="auto"/>
              <w:left w:val="nil"/>
              <w:bottom w:val="nil"/>
              <w:right w:val="nil"/>
            </w:tcBorders>
            <w:noWrap/>
            <w:vAlign w:val="bottom"/>
            <w:hideMark/>
          </w:tcPr>
          <w:p w14:paraId="56209731" w14:textId="77777777" w:rsidR="00D862F3" w:rsidRPr="00337CD7" w:rsidRDefault="00D862F3" w:rsidP="00D862F3">
            <w:pPr>
              <w:spacing w:after="0" w:line="240" w:lineRule="auto"/>
              <w:jc w:val="center"/>
              <w:rPr>
                <w:rFonts w:ascii="Times New Roman" w:eastAsia="Times New Roman" w:hAnsi="Times New Roman" w:cs="Times New Roman"/>
                <w:b/>
                <w:i/>
                <w:lang w:eastAsia="fr-FR"/>
              </w:rPr>
            </w:pPr>
            <w:r w:rsidRPr="00337CD7">
              <w:rPr>
                <w:rFonts w:ascii="Times New Roman" w:eastAsia="Times New Roman" w:hAnsi="Times New Roman" w:cs="Times New Roman"/>
                <w:b/>
                <w:i/>
                <w:lang w:eastAsia="fr-FR"/>
              </w:rPr>
              <w:t>F</w:t>
            </w:r>
            <w:r w:rsidRPr="00337CD7">
              <w:rPr>
                <w:rFonts w:ascii="Times New Roman" w:eastAsia="Times New Roman" w:hAnsi="Times New Roman" w:cs="Times New Roman"/>
                <w:b/>
                <w:i/>
                <w:vertAlign w:val="subscript"/>
                <w:lang w:eastAsia="fr-FR"/>
              </w:rPr>
              <w:t>2</w:t>
            </w:r>
          </w:p>
        </w:tc>
      </w:tr>
      <w:tr w:rsidR="00337CD7" w:rsidRPr="00337CD7" w14:paraId="6A155FC3" w14:textId="77777777" w:rsidTr="0039039E">
        <w:trPr>
          <w:trHeight w:val="300"/>
          <w:jc w:val="center"/>
        </w:trPr>
        <w:tc>
          <w:tcPr>
            <w:tcW w:w="1985" w:type="dxa"/>
            <w:tcBorders>
              <w:top w:val="single" w:sz="4" w:space="0" w:color="auto"/>
              <w:left w:val="nil"/>
              <w:bottom w:val="nil"/>
              <w:right w:val="nil"/>
            </w:tcBorders>
            <w:noWrap/>
            <w:vAlign w:val="bottom"/>
            <w:hideMark/>
          </w:tcPr>
          <w:p w14:paraId="49319CFB"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551" w:type="dxa"/>
            <w:tcBorders>
              <w:top w:val="single" w:sz="4" w:space="0" w:color="auto"/>
              <w:left w:val="nil"/>
              <w:bottom w:val="nil"/>
              <w:right w:val="nil"/>
            </w:tcBorders>
            <w:noWrap/>
            <w:vAlign w:val="bottom"/>
            <w:hideMark/>
          </w:tcPr>
          <w:p w14:paraId="0F603409" w14:textId="74881197"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5</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32</w:t>
            </w:r>
          </w:p>
        </w:tc>
        <w:tc>
          <w:tcPr>
            <w:tcW w:w="913" w:type="dxa"/>
            <w:tcBorders>
              <w:top w:val="single" w:sz="4" w:space="0" w:color="auto"/>
              <w:left w:val="nil"/>
              <w:bottom w:val="nil"/>
              <w:right w:val="nil"/>
            </w:tcBorders>
            <w:noWrap/>
            <w:vAlign w:val="bottom"/>
            <w:hideMark/>
          </w:tcPr>
          <w:p w14:paraId="78B8F17E" w14:textId="600A2CA5"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04</w:t>
            </w:r>
          </w:p>
        </w:tc>
      </w:tr>
      <w:tr w:rsidR="00337CD7" w:rsidRPr="00337CD7" w14:paraId="662FB6E4" w14:textId="77777777" w:rsidTr="0039039E">
        <w:trPr>
          <w:trHeight w:val="300"/>
          <w:jc w:val="center"/>
        </w:trPr>
        <w:tc>
          <w:tcPr>
            <w:tcW w:w="1985" w:type="dxa"/>
            <w:tcBorders>
              <w:top w:val="nil"/>
              <w:left w:val="nil"/>
              <w:bottom w:val="nil"/>
              <w:right w:val="nil"/>
            </w:tcBorders>
            <w:noWrap/>
            <w:vAlign w:val="bottom"/>
            <w:hideMark/>
          </w:tcPr>
          <w:p w14:paraId="5107B8BF"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551" w:type="dxa"/>
            <w:tcBorders>
              <w:top w:val="nil"/>
              <w:left w:val="nil"/>
              <w:bottom w:val="nil"/>
              <w:right w:val="nil"/>
            </w:tcBorders>
            <w:noWrap/>
            <w:vAlign w:val="bottom"/>
            <w:hideMark/>
          </w:tcPr>
          <w:p w14:paraId="3047495C" w14:textId="4C63431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7</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01</w:t>
            </w:r>
          </w:p>
        </w:tc>
        <w:tc>
          <w:tcPr>
            <w:tcW w:w="913" w:type="dxa"/>
            <w:tcBorders>
              <w:top w:val="nil"/>
              <w:left w:val="nil"/>
              <w:bottom w:val="nil"/>
              <w:right w:val="nil"/>
            </w:tcBorders>
            <w:noWrap/>
            <w:vAlign w:val="bottom"/>
            <w:hideMark/>
          </w:tcPr>
          <w:p w14:paraId="39D61D52" w14:textId="04BAEF2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47</w:t>
            </w:r>
          </w:p>
        </w:tc>
      </w:tr>
      <w:tr w:rsidR="00337CD7" w:rsidRPr="00337CD7" w14:paraId="446846B1" w14:textId="77777777" w:rsidTr="0039039E">
        <w:trPr>
          <w:trHeight w:val="300"/>
          <w:jc w:val="center"/>
        </w:trPr>
        <w:tc>
          <w:tcPr>
            <w:tcW w:w="1985" w:type="dxa"/>
            <w:tcBorders>
              <w:top w:val="nil"/>
              <w:left w:val="nil"/>
              <w:bottom w:val="nil"/>
              <w:right w:val="nil"/>
            </w:tcBorders>
            <w:noWrap/>
            <w:vAlign w:val="bottom"/>
            <w:hideMark/>
          </w:tcPr>
          <w:p w14:paraId="4F883C71" w14:textId="77777777" w:rsidR="00D862F3" w:rsidRPr="00337CD7" w:rsidRDefault="00D862F3" w:rsidP="0039039E">
            <w:pPr>
              <w:spacing w:after="0" w:line="240" w:lineRule="auto"/>
              <w:jc w:val="center"/>
              <w:rPr>
                <w:rFonts w:ascii="Times New Roman" w:eastAsia="Times New Roman" w:hAnsi="Times New Roman" w:cs="Times New Roman"/>
                <w:i/>
                <w:lang w:eastAsia="fr-FR"/>
              </w:rPr>
            </w:pPr>
            <w:r w:rsidRPr="00337CD7">
              <w:rPr>
                <w:rFonts w:ascii="Times New Roman" w:eastAsia="Times New Roman" w:hAnsi="Times New Roman" w:cs="Times New Roman"/>
                <w:i/>
                <w:lang w:eastAsia="fr-FR"/>
              </w:rPr>
              <w:t>P-Al3</w:t>
            </w:r>
          </w:p>
        </w:tc>
        <w:tc>
          <w:tcPr>
            <w:tcW w:w="551" w:type="dxa"/>
            <w:tcBorders>
              <w:top w:val="nil"/>
              <w:left w:val="nil"/>
              <w:bottom w:val="nil"/>
              <w:right w:val="nil"/>
            </w:tcBorders>
            <w:noWrap/>
            <w:vAlign w:val="bottom"/>
            <w:hideMark/>
          </w:tcPr>
          <w:p w14:paraId="38839F4E" w14:textId="23874871"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47</w:t>
            </w:r>
          </w:p>
        </w:tc>
        <w:tc>
          <w:tcPr>
            <w:tcW w:w="913" w:type="dxa"/>
            <w:tcBorders>
              <w:top w:val="nil"/>
              <w:left w:val="nil"/>
              <w:bottom w:val="nil"/>
              <w:right w:val="nil"/>
            </w:tcBorders>
            <w:noWrap/>
            <w:vAlign w:val="bottom"/>
            <w:hideMark/>
          </w:tcPr>
          <w:p w14:paraId="2C834E86" w14:textId="5BB487A8"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27</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50</w:t>
            </w:r>
          </w:p>
        </w:tc>
      </w:tr>
      <w:tr w:rsidR="00337CD7" w:rsidRPr="00337CD7" w14:paraId="7863E7B8" w14:textId="77777777" w:rsidTr="0039039E">
        <w:trPr>
          <w:trHeight w:val="300"/>
          <w:jc w:val="center"/>
        </w:trPr>
        <w:tc>
          <w:tcPr>
            <w:tcW w:w="1985" w:type="dxa"/>
            <w:tcBorders>
              <w:top w:val="nil"/>
              <w:left w:val="nil"/>
              <w:bottom w:val="nil"/>
              <w:right w:val="nil"/>
            </w:tcBorders>
            <w:noWrap/>
            <w:vAlign w:val="bottom"/>
            <w:hideMark/>
          </w:tcPr>
          <w:p w14:paraId="6F6CD03C"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551" w:type="dxa"/>
            <w:tcBorders>
              <w:top w:val="nil"/>
              <w:left w:val="nil"/>
              <w:bottom w:val="nil"/>
              <w:right w:val="nil"/>
            </w:tcBorders>
            <w:noWrap/>
            <w:vAlign w:val="bottom"/>
            <w:hideMark/>
          </w:tcPr>
          <w:p w14:paraId="3C7D8921" w14:textId="21704579"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09</w:t>
            </w:r>
          </w:p>
        </w:tc>
        <w:tc>
          <w:tcPr>
            <w:tcW w:w="913" w:type="dxa"/>
            <w:tcBorders>
              <w:top w:val="nil"/>
              <w:left w:val="nil"/>
              <w:bottom w:val="nil"/>
              <w:right w:val="nil"/>
            </w:tcBorders>
            <w:noWrap/>
            <w:vAlign w:val="bottom"/>
            <w:hideMark/>
          </w:tcPr>
          <w:p w14:paraId="3702903B" w14:textId="2D4185BB"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31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80</w:t>
            </w:r>
          </w:p>
        </w:tc>
      </w:tr>
      <w:tr w:rsidR="00337CD7" w:rsidRPr="00337CD7" w14:paraId="1C440BE9" w14:textId="77777777" w:rsidTr="0039039E">
        <w:trPr>
          <w:trHeight w:val="300"/>
          <w:jc w:val="center"/>
        </w:trPr>
        <w:tc>
          <w:tcPr>
            <w:tcW w:w="1985" w:type="dxa"/>
            <w:tcBorders>
              <w:top w:val="nil"/>
              <w:left w:val="nil"/>
              <w:bottom w:val="nil"/>
              <w:right w:val="nil"/>
            </w:tcBorders>
            <w:noWrap/>
            <w:vAlign w:val="bottom"/>
            <w:hideMark/>
          </w:tcPr>
          <w:p w14:paraId="2BBD7834" w14:textId="77777777" w:rsidR="00D862F3" w:rsidRPr="00337CD7" w:rsidRDefault="00D862F3" w:rsidP="0039039E">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P-Bi5</w:t>
            </w:r>
          </w:p>
        </w:tc>
        <w:tc>
          <w:tcPr>
            <w:tcW w:w="551" w:type="dxa"/>
            <w:tcBorders>
              <w:top w:val="nil"/>
              <w:left w:val="nil"/>
              <w:bottom w:val="nil"/>
              <w:right w:val="nil"/>
            </w:tcBorders>
            <w:noWrap/>
            <w:vAlign w:val="bottom"/>
            <w:hideMark/>
          </w:tcPr>
          <w:p w14:paraId="1EB92E32" w14:textId="2C587242"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69</w:t>
            </w:r>
          </w:p>
        </w:tc>
        <w:tc>
          <w:tcPr>
            <w:tcW w:w="913" w:type="dxa"/>
            <w:tcBorders>
              <w:top w:val="nil"/>
              <w:left w:val="nil"/>
              <w:bottom w:val="nil"/>
              <w:right w:val="nil"/>
            </w:tcBorders>
            <w:noWrap/>
            <w:vAlign w:val="bottom"/>
            <w:hideMark/>
          </w:tcPr>
          <w:p w14:paraId="412DFCB2" w14:textId="7D43982A"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21</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60</w:t>
            </w:r>
          </w:p>
        </w:tc>
      </w:tr>
      <w:tr w:rsidR="00337CD7" w:rsidRPr="00337CD7" w14:paraId="78B22869" w14:textId="77777777" w:rsidTr="0039039E">
        <w:trPr>
          <w:trHeight w:val="300"/>
          <w:jc w:val="center"/>
        </w:trPr>
        <w:tc>
          <w:tcPr>
            <w:tcW w:w="1985" w:type="dxa"/>
            <w:tcBorders>
              <w:top w:val="nil"/>
              <w:left w:val="nil"/>
              <w:bottom w:val="nil"/>
              <w:right w:val="nil"/>
            </w:tcBorders>
            <w:noWrap/>
            <w:vAlign w:val="bottom"/>
            <w:hideMark/>
          </w:tcPr>
          <w:p w14:paraId="7989BBEA"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551" w:type="dxa"/>
            <w:tcBorders>
              <w:top w:val="nil"/>
              <w:left w:val="nil"/>
              <w:bottom w:val="nil"/>
              <w:right w:val="nil"/>
            </w:tcBorders>
            <w:noWrap/>
            <w:vAlign w:val="bottom"/>
            <w:hideMark/>
          </w:tcPr>
          <w:p w14:paraId="33FAEAC8" w14:textId="77311BC0"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05</w:t>
            </w:r>
          </w:p>
        </w:tc>
        <w:tc>
          <w:tcPr>
            <w:tcW w:w="913" w:type="dxa"/>
            <w:tcBorders>
              <w:top w:val="nil"/>
              <w:left w:val="nil"/>
              <w:bottom w:val="nil"/>
              <w:right w:val="nil"/>
            </w:tcBorders>
            <w:noWrap/>
            <w:vAlign w:val="bottom"/>
            <w:hideMark/>
          </w:tcPr>
          <w:p w14:paraId="3C0DCE5A" w14:textId="25D76075"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14</w:t>
            </w:r>
          </w:p>
        </w:tc>
      </w:tr>
      <w:tr w:rsidR="00337CD7" w:rsidRPr="00337CD7" w14:paraId="090DEE25" w14:textId="77777777" w:rsidTr="0039039E">
        <w:trPr>
          <w:trHeight w:val="300"/>
          <w:jc w:val="center"/>
        </w:trPr>
        <w:tc>
          <w:tcPr>
            <w:tcW w:w="1985" w:type="dxa"/>
            <w:tcBorders>
              <w:top w:val="nil"/>
              <w:left w:val="nil"/>
              <w:bottom w:val="nil"/>
              <w:right w:val="nil"/>
            </w:tcBorders>
            <w:noWrap/>
            <w:vAlign w:val="bottom"/>
            <w:hideMark/>
          </w:tcPr>
          <w:p w14:paraId="65C53C8D"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551" w:type="dxa"/>
            <w:tcBorders>
              <w:top w:val="nil"/>
              <w:left w:val="nil"/>
              <w:bottom w:val="nil"/>
              <w:right w:val="nil"/>
            </w:tcBorders>
            <w:noWrap/>
            <w:vAlign w:val="bottom"/>
            <w:hideMark/>
          </w:tcPr>
          <w:p w14:paraId="5AB0E987" w14:textId="4F569F64"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45</w:t>
            </w:r>
          </w:p>
        </w:tc>
        <w:tc>
          <w:tcPr>
            <w:tcW w:w="913" w:type="dxa"/>
            <w:tcBorders>
              <w:top w:val="nil"/>
              <w:left w:val="nil"/>
              <w:bottom w:val="nil"/>
              <w:right w:val="nil"/>
            </w:tcBorders>
            <w:noWrap/>
            <w:vAlign w:val="bottom"/>
            <w:hideMark/>
          </w:tcPr>
          <w:p w14:paraId="4FFBC6FE" w14:textId="75F23170"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2</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99</w:t>
            </w:r>
          </w:p>
        </w:tc>
      </w:tr>
      <w:tr w:rsidR="00337CD7" w:rsidRPr="00337CD7" w14:paraId="7D6F9FBA" w14:textId="77777777" w:rsidTr="0039039E">
        <w:trPr>
          <w:trHeight w:val="300"/>
          <w:jc w:val="center"/>
        </w:trPr>
        <w:tc>
          <w:tcPr>
            <w:tcW w:w="1985" w:type="dxa"/>
            <w:tcBorders>
              <w:top w:val="nil"/>
              <w:left w:val="nil"/>
              <w:bottom w:val="nil"/>
              <w:right w:val="nil"/>
            </w:tcBorders>
            <w:noWrap/>
            <w:vAlign w:val="bottom"/>
            <w:hideMark/>
          </w:tcPr>
          <w:p w14:paraId="7675BC2F" w14:textId="77777777" w:rsidR="00D862F3" w:rsidRPr="00337CD7" w:rsidRDefault="00D862F3" w:rsidP="0039039E">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551" w:type="dxa"/>
            <w:tcBorders>
              <w:top w:val="nil"/>
              <w:left w:val="nil"/>
              <w:bottom w:val="nil"/>
              <w:right w:val="nil"/>
            </w:tcBorders>
            <w:noWrap/>
            <w:vAlign w:val="bottom"/>
            <w:hideMark/>
          </w:tcPr>
          <w:p w14:paraId="1DC14080" w14:textId="54F86C56"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4</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63</w:t>
            </w:r>
          </w:p>
        </w:tc>
        <w:tc>
          <w:tcPr>
            <w:tcW w:w="913" w:type="dxa"/>
            <w:tcBorders>
              <w:top w:val="nil"/>
              <w:left w:val="nil"/>
              <w:bottom w:val="nil"/>
              <w:right w:val="nil"/>
            </w:tcBorders>
            <w:noWrap/>
            <w:vAlign w:val="bottom"/>
            <w:hideMark/>
          </w:tcPr>
          <w:p w14:paraId="19D437DC" w14:textId="790103A2"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0</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67</w:t>
            </w:r>
          </w:p>
        </w:tc>
      </w:tr>
      <w:tr w:rsidR="00D862F3" w:rsidRPr="00337CD7" w14:paraId="2489BC06" w14:textId="77777777" w:rsidTr="0039039E">
        <w:trPr>
          <w:trHeight w:val="315"/>
          <w:jc w:val="center"/>
        </w:trPr>
        <w:tc>
          <w:tcPr>
            <w:tcW w:w="1985" w:type="dxa"/>
            <w:tcBorders>
              <w:top w:val="nil"/>
              <w:left w:val="nil"/>
              <w:bottom w:val="single" w:sz="8" w:space="0" w:color="auto"/>
              <w:right w:val="nil"/>
            </w:tcBorders>
            <w:noWrap/>
            <w:vAlign w:val="bottom"/>
            <w:hideMark/>
          </w:tcPr>
          <w:p w14:paraId="3E4F943D" w14:textId="77777777" w:rsidR="00D862F3" w:rsidRPr="00337CD7" w:rsidRDefault="00D862F3" w:rsidP="0039039E">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P-Hy9</w:t>
            </w:r>
          </w:p>
        </w:tc>
        <w:tc>
          <w:tcPr>
            <w:tcW w:w="551" w:type="dxa"/>
            <w:tcBorders>
              <w:top w:val="nil"/>
              <w:left w:val="nil"/>
              <w:bottom w:val="single" w:sz="8" w:space="0" w:color="auto"/>
              <w:right w:val="nil"/>
            </w:tcBorders>
            <w:noWrap/>
            <w:vAlign w:val="bottom"/>
            <w:hideMark/>
          </w:tcPr>
          <w:p w14:paraId="0DF6B0C5" w14:textId="7CF27E98" w:rsidR="00D862F3" w:rsidRPr="00337CD7" w:rsidRDefault="00D862F3" w:rsidP="00D862F3">
            <w:pPr>
              <w:spacing w:after="0" w:line="240" w:lineRule="auto"/>
              <w:jc w:val="center"/>
              <w:rPr>
                <w:rFonts w:ascii="Times New Roman" w:eastAsia="Times New Roman" w:hAnsi="Times New Roman" w:cs="Times New Roman"/>
                <w:b/>
                <w:lang w:eastAsia="fr-FR"/>
              </w:rPr>
            </w:pPr>
            <w:r w:rsidRPr="00337CD7">
              <w:rPr>
                <w:rFonts w:ascii="Times New Roman" w:eastAsia="Times New Roman" w:hAnsi="Times New Roman" w:cs="Times New Roman"/>
                <w:b/>
                <w:lang w:eastAsia="fr-FR"/>
              </w:rPr>
              <w:t>47</w:t>
            </w:r>
            <w:r w:rsidR="00241594">
              <w:rPr>
                <w:rFonts w:ascii="Times New Roman" w:eastAsia="Times New Roman" w:hAnsi="Times New Roman" w:cs="Times New Roman"/>
                <w:b/>
                <w:lang w:eastAsia="fr-FR"/>
              </w:rPr>
              <w:t>.</w:t>
            </w:r>
            <w:r w:rsidRPr="00337CD7">
              <w:rPr>
                <w:rFonts w:ascii="Times New Roman" w:eastAsia="Times New Roman" w:hAnsi="Times New Roman" w:cs="Times New Roman"/>
                <w:b/>
                <w:lang w:eastAsia="fr-FR"/>
              </w:rPr>
              <w:t>29</w:t>
            </w:r>
          </w:p>
        </w:tc>
        <w:tc>
          <w:tcPr>
            <w:tcW w:w="913" w:type="dxa"/>
            <w:tcBorders>
              <w:top w:val="nil"/>
              <w:left w:val="nil"/>
              <w:bottom w:val="single" w:sz="8" w:space="0" w:color="auto"/>
              <w:right w:val="nil"/>
            </w:tcBorders>
            <w:noWrap/>
            <w:vAlign w:val="bottom"/>
            <w:hideMark/>
          </w:tcPr>
          <w:p w14:paraId="4BE8296B" w14:textId="67177C53" w:rsidR="00D862F3" w:rsidRPr="00337CD7" w:rsidRDefault="00D862F3" w:rsidP="00D862F3">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13</w:t>
            </w:r>
            <w:r w:rsidR="00241594">
              <w:rPr>
                <w:rFonts w:ascii="Times New Roman" w:eastAsia="Times New Roman" w:hAnsi="Times New Roman" w:cs="Times New Roman"/>
                <w:lang w:eastAsia="fr-FR"/>
              </w:rPr>
              <w:t>.</w:t>
            </w:r>
            <w:r w:rsidRPr="00337CD7">
              <w:rPr>
                <w:rFonts w:ascii="Times New Roman" w:eastAsia="Times New Roman" w:hAnsi="Times New Roman" w:cs="Times New Roman"/>
                <w:lang w:eastAsia="fr-FR"/>
              </w:rPr>
              <w:t>88</w:t>
            </w:r>
          </w:p>
        </w:tc>
      </w:tr>
    </w:tbl>
    <w:p w14:paraId="52FEF6F7" w14:textId="77777777" w:rsidR="00C80CA8" w:rsidRPr="00337CD7" w:rsidRDefault="00C80CA8" w:rsidP="009D01D4">
      <w:pPr>
        <w:spacing w:after="0" w:line="240" w:lineRule="auto"/>
        <w:jc w:val="both"/>
        <w:rPr>
          <w:rFonts w:ascii="Times New Roman" w:hAnsi="Times New Roman" w:cs="Times New Roman"/>
        </w:rPr>
      </w:pPr>
    </w:p>
    <w:p w14:paraId="1A5531D5" w14:textId="7D2C24C8" w:rsidR="003713DF" w:rsidRPr="00124428" w:rsidRDefault="00124428" w:rsidP="00AC7681">
      <w:pPr>
        <w:spacing w:after="0" w:line="240" w:lineRule="auto"/>
        <w:jc w:val="both"/>
        <w:rPr>
          <w:rFonts w:ascii="Times New Roman" w:hAnsi="Times New Roman" w:cs="Times New Roman"/>
          <w:lang w:val="en-US"/>
        </w:rPr>
      </w:pPr>
      <w:r w:rsidRPr="00124428">
        <w:rPr>
          <w:rFonts w:ascii="Times New Roman" w:hAnsi="Times New Roman" w:cs="Times New Roman"/>
          <w:lang w:val="en-US"/>
        </w:rPr>
        <w:t>Analysis of the values in Table VI showing the contribution to the formation of the principal factors shows that the pharmacophores P-Bi5 and P-Hy9 contribute significantly to the chemical properties of factor F1, at 21.69% and 47.29% respectively. These two pharmacophores therefore have the chemical properties of F1. However, the chemical behavior of P-Bi5 is opposite to that of P-Hy9. They therefore form two different classes. For this same factor, two classes of pharmacophores (P-4A1, P-Al2, P-8A6) and (P-8A6, P-Fo8) contribute to a lesser degree to its formation. The chemical behaviors of (P-4A1, P-Al2, P-8A6) are opposite to those of (P-8A6, P-Fo8), thus forming two other distinct groups. As for factor F2, its formation is achieved by pharmacophores P-Ar4 (31.80%); P-Al3 (27.50%), and P-Bi5 (21.60%).</w:t>
      </w:r>
      <w:r w:rsidR="00174023" w:rsidRPr="00124428">
        <w:rPr>
          <w:rFonts w:ascii="Times New Roman" w:hAnsi="Times New Roman" w:cs="Times New Roman"/>
          <w:lang w:val="en-US"/>
        </w:rPr>
        <w:t xml:space="preserve"> </w:t>
      </w:r>
      <w:r w:rsidRPr="00124428">
        <w:rPr>
          <w:rFonts w:ascii="Times New Roman" w:hAnsi="Times New Roman" w:cs="Times New Roman"/>
          <w:lang w:val="en-US"/>
        </w:rPr>
        <w:t xml:space="preserve">The two pharmacophores are in phase in terms of the chemical behavior of F2, thus forming a single group (P-Ar4, P-Al3). Moreover, the P-Bi5 pharmacophore has the advantage of contributing to the formation of F2 by 21.60%. This dual contribution gives this pharmacophore a particular chemical behavior. This explains its central position in the sequences of evolution of the reactivity and stability parameters expressed in 3.2. In total, the nine pharmacophores are grouped into five classes of </w:t>
      </w:r>
      <w:r w:rsidRPr="00124428">
        <w:rPr>
          <w:rFonts w:ascii="Times New Roman" w:hAnsi="Times New Roman" w:cs="Times New Roman"/>
          <w:lang w:val="en-US"/>
        </w:rPr>
        <w:lastRenderedPageBreak/>
        <w:t xml:space="preserve">pharmacophores with different chemical behaviors. A centered and reduced ascending hierarchical classification using the aggregation method (Ward's method) and Euclidean distance as dissimilarity was performed to refine this classification. The results of this study, shown in </w:t>
      </w:r>
      <w:r w:rsidRPr="008C1FD5">
        <w:rPr>
          <w:rFonts w:ascii="Times New Roman" w:hAnsi="Times New Roman" w:cs="Times New Roman"/>
          <w:highlight w:val="yellow"/>
          <w:lang w:val="en-US"/>
        </w:rPr>
        <w:t>Table VII</w:t>
      </w:r>
      <w:r w:rsidRPr="00124428">
        <w:rPr>
          <w:rFonts w:ascii="Times New Roman" w:hAnsi="Times New Roman" w:cs="Times New Roman"/>
          <w:lang w:val="en-US"/>
        </w:rPr>
        <w:t xml:space="preserve"> and the dendrogram in Figure 2, confirm these five classes of </w:t>
      </w:r>
      <w:r>
        <w:rPr>
          <w:rFonts w:ascii="Times New Roman" w:hAnsi="Times New Roman" w:cs="Times New Roman"/>
          <w:lang w:val="en-US"/>
        </w:rPr>
        <w:t>the nine pharmacophores studied</w:t>
      </w:r>
      <w:r w:rsidR="00AD1748" w:rsidRPr="00124428">
        <w:rPr>
          <w:rFonts w:ascii="Times New Roman" w:hAnsi="Times New Roman" w:cs="Times New Roman"/>
          <w:lang w:val="en-US"/>
        </w:rPr>
        <w:t>.</w:t>
      </w:r>
    </w:p>
    <w:p w14:paraId="51657286" w14:textId="77777777" w:rsidR="007226D4" w:rsidRPr="00124428" w:rsidRDefault="007226D4" w:rsidP="00AC7681">
      <w:pPr>
        <w:spacing w:after="0" w:line="240" w:lineRule="auto"/>
        <w:jc w:val="both"/>
        <w:rPr>
          <w:rFonts w:ascii="Times New Roman" w:hAnsi="Times New Roman" w:cs="Times New Roman"/>
          <w:lang w:val="en-US"/>
        </w:rPr>
      </w:pPr>
      <w:r w:rsidRPr="00337CD7">
        <w:rPr>
          <w:noProof/>
          <w:lang w:eastAsia="fr-FR"/>
        </w:rPr>
        <w:drawing>
          <wp:anchor distT="0" distB="0" distL="114300" distR="114300" simplePos="0" relativeHeight="251675648" behindDoc="0" locked="0" layoutInCell="1" allowOverlap="1" wp14:anchorId="3A506F68" wp14:editId="507239A3">
            <wp:simplePos x="0" y="0"/>
            <wp:positionH relativeFrom="column">
              <wp:posOffset>3572585</wp:posOffset>
            </wp:positionH>
            <wp:positionV relativeFrom="paragraph">
              <wp:posOffset>21319</wp:posOffset>
            </wp:positionV>
            <wp:extent cx="1917065" cy="1525509"/>
            <wp:effectExtent l="0" t="0" r="6985" b="1778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page">
              <wp14:pctWidth>0</wp14:pctWidth>
            </wp14:sizeRelH>
            <wp14:sizeRelV relativeFrom="page">
              <wp14:pctHeight>0</wp14:pctHeight>
            </wp14:sizeRelV>
          </wp:anchor>
        </w:drawing>
      </w:r>
    </w:p>
    <w:p w14:paraId="3BE756B9" w14:textId="26D06044" w:rsidR="007226D4" w:rsidRPr="00124428" w:rsidRDefault="00124428" w:rsidP="00AC7681">
      <w:pPr>
        <w:spacing w:after="0" w:line="240" w:lineRule="auto"/>
        <w:jc w:val="both"/>
        <w:rPr>
          <w:rFonts w:ascii="Times New Roman" w:hAnsi="Times New Roman" w:cs="Times New Roman"/>
          <w:lang w:val="en-US"/>
        </w:rPr>
      </w:pPr>
      <w:r w:rsidRPr="00124428">
        <w:rPr>
          <w:rFonts w:ascii="Times New Roman" w:hAnsi="Times New Roman" w:cs="Times New Roman"/>
          <w:b/>
          <w:lang w:val="en-US"/>
        </w:rPr>
        <w:t>Table</w:t>
      </w:r>
      <w:r w:rsidR="007226D4" w:rsidRPr="00124428">
        <w:rPr>
          <w:rFonts w:ascii="Times New Roman" w:hAnsi="Times New Roman" w:cs="Times New Roman"/>
          <w:b/>
          <w:lang w:val="en-US"/>
        </w:rPr>
        <w:t xml:space="preserve"> </w:t>
      </w:r>
      <w:r w:rsidR="008C7A71">
        <w:rPr>
          <w:rFonts w:ascii="Times New Roman" w:hAnsi="Times New Roman" w:cs="Times New Roman"/>
          <w:b/>
          <w:lang w:val="en-US"/>
        </w:rPr>
        <w:t>7</w:t>
      </w:r>
      <w:r w:rsidRPr="00124428">
        <w:rPr>
          <w:rFonts w:ascii="Times New Roman" w:hAnsi="Times New Roman" w:cs="Times New Roman"/>
          <w:b/>
          <w:lang w:val="en-US"/>
        </w:rPr>
        <w:t>:</w:t>
      </w:r>
      <w:r w:rsidR="007226D4" w:rsidRPr="00124428">
        <w:rPr>
          <w:rFonts w:ascii="Times New Roman" w:hAnsi="Times New Roman" w:cs="Times New Roman"/>
          <w:lang w:val="en-US"/>
        </w:rPr>
        <w:t xml:space="preserve"> </w:t>
      </w:r>
      <w:r w:rsidRPr="00124428">
        <w:rPr>
          <w:rFonts w:ascii="Times New Roman" w:hAnsi="Times New Roman" w:cs="Times New Roman"/>
          <w:lang w:val="en-US"/>
        </w:rPr>
        <w:t>Five classes of pharmacophores</w:t>
      </w:r>
    </w:p>
    <w:p w14:paraId="34F6BB18" w14:textId="77777777" w:rsidR="00AD1748" w:rsidRPr="00124428" w:rsidRDefault="00AD1748" w:rsidP="00AC7681">
      <w:pPr>
        <w:spacing w:after="0" w:line="240" w:lineRule="auto"/>
        <w:jc w:val="both"/>
        <w:rPr>
          <w:rFonts w:ascii="Times New Roman" w:hAnsi="Times New Roman" w:cs="Times New Roman"/>
          <w:lang w:val="en-US"/>
        </w:rPr>
      </w:pPr>
    </w:p>
    <w:tbl>
      <w:tblPr>
        <w:tblStyle w:val="TableGrid"/>
        <w:tblpPr w:leftFromText="141" w:rightFromText="141" w:vertAnchor="text" w:tblpY="1"/>
        <w:tblOverlap w:val="never"/>
        <w:tblW w:w="0" w:type="auto"/>
        <w:tblLook w:val="04A0" w:firstRow="1" w:lastRow="0" w:firstColumn="1" w:lastColumn="0" w:noHBand="0" w:noVBand="1"/>
      </w:tblPr>
      <w:tblGrid>
        <w:gridCol w:w="988"/>
        <w:gridCol w:w="992"/>
        <w:gridCol w:w="850"/>
        <w:gridCol w:w="1134"/>
        <w:gridCol w:w="887"/>
      </w:tblGrid>
      <w:tr w:rsidR="00337CD7" w:rsidRPr="00337CD7" w14:paraId="21515955" w14:textId="77777777" w:rsidTr="007226D4">
        <w:tc>
          <w:tcPr>
            <w:tcW w:w="4851" w:type="dxa"/>
            <w:gridSpan w:val="5"/>
          </w:tcPr>
          <w:p w14:paraId="787450EC" w14:textId="77777777" w:rsidR="007226D4" w:rsidRPr="00337CD7" w:rsidRDefault="007226D4" w:rsidP="007226D4">
            <w:pPr>
              <w:spacing w:after="0" w:line="240" w:lineRule="auto"/>
              <w:jc w:val="center"/>
              <w:rPr>
                <w:rFonts w:ascii="Times New Roman" w:hAnsi="Times New Roman" w:cs="Times New Roman"/>
                <w:b/>
                <w:i/>
              </w:rPr>
            </w:pPr>
            <w:r w:rsidRPr="00337CD7">
              <w:rPr>
                <w:rFonts w:ascii="Times New Roman" w:hAnsi="Times New Roman" w:cs="Times New Roman"/>
                <w:b/>
                <w:i/>
              </w:rPr>
              <w:t>Classes</w:t>
            </w:r>
          </w:p>
        </w:tc>
      </w:tr>
      <w:tr w:rsidR="00337CD7" w:rsidRPr="00337CD7" w14:paraId="3C7F5A35" w14:textId="77777777" w:rsidTr="007226D4">
        <w:tc>
          <w:tcPr>
            <w:tcW w:w="988" w:type="dxa"/>
          </w:tcPr>
          <w:p w14:paraId="48DCE56C"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C1</w:t>
            </w:r>
          </w:p>
        </w:tc>
        <w:tc>
          <w:tcPr>
            <w:tcW w:w="992" w:type="dxa"/>
          </w:tcPr>
          <w:p w14:paraId="5D5A4E61"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2</w:t>
            </w:r>
          </w:p>
        </w:tc>
        <w:tc>
          <w:tcPr>
            <w:tcW w:w="850" w:type="dxa"/>
          </w:tcPr>
          <w:p w14:paraId="6C7DB986"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3</w:t>
            </w:r>
          </w:p>
        </w:tc>
        <w:tc>
          <w:tcPr>
            <w:tcW w:w="1134" w:type="dxa"/>
          </w:tcPr>
          <w:p w14:paraId="2E43452A"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4</w:t>
            </w:r>
          </w:p>
        </w:tc>
        <w:tc>
          <w:tcPr>
            <w:tcW w:w="887" w:type="dxa"/>
          </w:tcPr>
          <w:p w14:paraId="65C11CEB" w14:textId="77777777" w:rsidR="00AD1748" w:rsidRPr="00337CD7" w:rsidRDefault="00AD1748" w:rsidP="007226D4">
            <w:pPr>
              <w:spacing w:after="0" w:line="240" w:lineRule="auto"/>
              <w:jc w:val="center"/>
              <w:rPr>
                <w:rFonts w:ascii="Times New Roman" w:hAnsi="Times New Roman" w:cs="Times New Roman"/>
                <w:b/>
                <w:i/>
              </w:rPr>
            </w:pPr>
            <w:r w:rsidRPr="00337CD7">
              <w:rPr>
                <w:rFonts w:ascii="Times New Roman" w:hAnsi="Times New Roman" w:cs="Times New Roman"/>
                <w:b/>
                <w:i/>
              </w:rPr>
              <w:t>C</w:t>
            </w:r>
            <w:r w:rsidR="007226D4" w:rsidRPr="00337CD7">
              <w:rPr>
                <w:rFonts w:ascii="Times New Roman" w:hAnsi="Times New Roman" w:cs="Times New Roman"/>
                <w:b/>
                <w:i/>
              </w:rPr>
              <w:t>5</w:t>
            </w:r>
          </w:p>
        </w:tc>
      </w:tr>
      <w:tr w:rsidR="00337CD7" w:rsidRPr="00337CD7" w14:paraId="5B685E4B" w14:textId="77777777" w:rsidTr="007226D4">
        <w:tc>
          <w:tcPr>
            <w:tcW w:w="988" w:type="dxa"/>
            <w:vAlign w:val="center"/>
          </w:tcPr>
          <w:p w14:paraId="7CB4803D"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P-4A1</w:t>
            </w:r>
          </w:p>
        </w:tc>
        <w:tc>
          <w:tcPr>
            <w:tcW w:w="992" w:type="dxa"/>
            <w:vAlign w:val="center"/>
          </w:tcPr>
          <w:p w14:paraId="33A88DF6"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P-Al3</w:t>
            </w:r>
          </w:p>
        </w:tc>
        <w:tc>
          <w:tcPr>
            <w:tcW w:w="850" w:type="dxa"/>
          </w:tcPr>
          <w:p w14:paraId="645ADC20" w14:textId="77777777" w:rsidR="007226D4" w:rsidRPr="00337CD7" w:rsidRDefault="007226D4" w:rsidP="007226D4">
            <w:pPr>
              <w:spacing w:after="0" w:line="240" w:lineRule="auto"/>
              <w:jc w:val="both"/>
              <w:rPr>
                <w:rFonts w:ascii="Times New Roman" w:hAnsi="Times New Roman" w:cs="Times New Roman"/>
              </w:rPr>
            </w:pPr>
            <w:r w:rsidRPr="00337CD7">
              <w:rPr>
                <w:rFonts w:ascii="Times New Roman" w:hAnsi="Times New Roman" w:cs="Times New Roman"/>
              </w:rPr>
              <w:t>P-Bi5</w:t>
            </w:r>
          </w:p>
        </w:tc>
        <w:tc>
          <w:tcPr>
            <w:tcW w:w="1134" w:type="dxa"/>
            <w:vAlign w:val="center"/>
          </w:tcPr>
          <w:p w14:paraId="0CBB9597"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P-8A6</w:t>
            </w:r>
          </w:p>
        </w:tc>
        <w:tc>
          <w:tcPr>
            <w:tcW w:w="887" w:type="dxa"/>
          </w:tcPr>
          <w:p w14:paraId="13666CCB" w14:textId="77777777" w:rsidR="007226D4" w:rsidRPr="00337CD7" w:rsidRDefault="007226D4" w:rsidP="007226D4">
            <w:pPr>
              <w:spacing w:after="0" w:line="240" w:lineRule="auto"/>
              <w:jc w:val="both"/>
              <w:rPr>
                <w:rFonts w:ascii="Times New Roman" w:hAnsi="Times New Roman" w:cs="Times New Roman"/>
              </w:rPr>
            </w:pPr>
            <w:r w:rsidRPr="00337CD7">
              <w:rPr>
                <w:rFonts w:ascii="Times New Roman" w:hAnsi="Times New Roman" w:cs="Times New Roman"/>
              </w:rPr>
              <w:t>P-Hy9</w:t>
            </w:r>
          </w:p>
        </w:tc>
      </w:tr>
      <w:tr w:rsidR="00337CD7" w:rsidRPr="00337CD7" w14:paraId="58587109" w14:textId="77777777" w:rsidTr="007226D4">
        <w:tc>
          <w:tcPr>
            <w:tcW w:w="988" w:type="dxa"/>
            <w:vAlign w:val="center"/>
          </w:tcPr>
          <w:p w14:paraId="4DF64613"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P-Al2</w:t>
            </w:r>
          </w:p>
        </w:tc>
        <w:tc>
          <w:tcPr>
            <w:tcW w:w="992" w:type="dxa"/>
            <w:vAlign w:val="center"/>
          </w:tcPr>
          <w:p w14:paraId="7BEB3724"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P-Ar4</w:t>
            </w:r>
          </w:p>
        </w:tc>
        <w:tc>
          <w:tcPr>
            <w:tcW w:w="850" w:type="dxa"/>
          </w:tcPr>
          <w:p w14:paraId="09AF6408" w14:textId="77777777" w:rsidR="007226D4" w:rsidRPr="00337CD7" w:rsidRDefault="007226D4" w:rsidP="007226D4">
            <w:pPr>
              <w:spacing w:after="0" w:line="240" w:lineRule="auto"/>
              <w:jc w:val="both"/>
              <w:rPr>
                <w:rFonts w:ascii="Times New Roman" w:hAnsi="Times New Roman" w:cs="Times New Roman"/>
              </w:rPr>
            </w:pPr>
          </w:p>
        </w:tc>
        <w:tc>
          <w:tcPr>
            <w:tcW w:w="1134" w:type="dxa"/>
            <w:vAlign w:val="center"/>
          </w:tcPr>
          <w:p w14:paraId="289D3570"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P-Fa7</w:t>
            </w:r>
          </w:p>
        </w:tc>
        <w:tc>
          <w:tcPr>
            <w:tcW w:w="887" w:type="dxa"/>
          </w:tcPr>
          <w:p w14:paraId="3217DBCF" w14:textId="77777777" w:rsidR="007226D4" w:rsidRPr="00337CD7" w:rsidRDefault="007226D4" w:rsidP="007226D4">
            <w:pPr>
              <w:spacing w:after="0" w:line="240" w:lineRule="auto"/>
              <w:jc w:val="both"/>
              <w:rPr>
                <w:rFonts w:ascii="Times New Roman" w:hAnsi="Times New Roman" w:cs="Times New Roman"/>
              </w:rPr>
            </w:pPr>
          </w:p>
        </w:tc>
      </w:tr>
      <w:tr w:rsidR="00337CD7" w:rsidRPr="00337CD7" w14:paraId="07C065B3" w14:textId="77777777" w:rsidTr="007226D4">
        <w:tc>
          <w:tcPr>
            <w:tcW w:w="988" w:type="dxa"/>
          </w:tcPr>
          <w:p w14:paraId="53F54221" w14:textId="77777777" w:rsidR="007226D4" w:rsidRPr="00337CD7" w:rsidRDefault="007226D4" w:rsidP="007226D4">
            <w:pPr>
              <w:spacing w:after="0" w:line="240" w:lineRule="auto"/>
              <w:jc w:val="both"/>
              <w:rPr>
                <w:rFonts w:ascii="Times New Roman" w:hAnsi="Times New Roman" w:cs="Times New Roman"/>
              </w:rPr>
            </w:pPr>
          </w:p>
        </w:tc>
        <w:tc>
          <w:tcPr>
            <w:tcW w:w="992" w:type="dxa"/>
          </w:tcPr>
          <w:p w14:paraId="02F6E05B" w14:textId="77777777" w:rsidR="007226D4" w:rsidRPr="00337CD7" w:rsidRDefault="007226D4" w:rsidP="007226D4">
            <w:pPr>
              <w:spacing w:after="0" w:line="240" w:lineRule="auto"/>
              <w:jc w:val="both"/>
              <w:rPr>
                <w:rFonts w:ascii="Times New Roman" w:hAnsi="Times New Roman" w:cs="Times New Roman"/>
              </w:rPr>
            </w:pPr>
          </w:p>
        </w:tc>
        <w:tc>
          <w:tcPr>
            <w:tcW w:w="850" w:type="dxa"/>
          </w:tcPr>
          <w:p w14:paraId="5409B9E8" w14:textId="77777777" w:rsidR="007226D4" w:rsidRPr="00337CD7" w:rsidRDefault="007226D4" w:rsidP="007226D4">
            <w:pPr>
              <w:spacing w:after="0" w:line="240" w:lineRule="auto"/>
              <w:jc w:val="both"/>
              <w:rPr>
                <w:rFonts w:ascii="Times New Roman" w:hAnsi="Times New Roman" w:cs="Times New Roman"/>
              </w:rPr>
            </w:pPr>
          </w:p>
        </w:tc>
        <w:tc>
          <w:tcPr>
            <w:tcW w:w="1134" w:type="dxa"/>
            <w:vAlign w:val="center"/>
          </w:tcPr>
          <w:p w14:paraId="142DD1A1" w14:textId="77777777" w:rsidR="007226D4" w:rsidRPr="00337CD7" w:rsidRDefault="007226D4" w:rsidP="007226D4">
            <w:pPr>
              <w:spacing w:after="0" w:line="240" w:lineRule="auto"/>
              <w:jc w:val="center"/>
              <w:rPr>
                <w:rFonts w:ascii="Times New Roman" w:eastAsia="Times New Roman" w:hAnsi="Times New Roman" w:cs="Times New Roman"/>
                <w:lang w:eastAsia="fr-FR"/>
              </w:rPr>
            </w:pPr>
            <w:r w:rsidRPr="00337CD7">
              <w:rPr>
                <w:rFonts w:ascii="Times New Roman" w:eastAsia="Times New Roman" w:hAnsi="Times New Roman" w:cs="Times New Roman"/>
                <w:lang w:eastAsia="fr-FR"/>
              </w:rPr>
              <w:t>P-Fo8</w:t>
            </w:r>
          </w:p>
        </w:tc>
        <w:tc>
          <w:tcPr>
            <w:tcW w:w="887" w:type="dxa"/>
          </w:tcPr>
          <w:p w14:paraId="3CCFB786" w14:textId="77777777" w:rsidR="007226D4" w:rsidRPr="00337CD7" w:rsidRDefault="007226D4" w:rsidP="007226D4">
            <w:pPr>
              <w:spacing w:after="0" w:line="240" w:lineRule="auto"/>
              <w:jc w:val="both"/>
              <w:rPr>
                <w:rFonts w:ascii="Times New Roman" w:hAnsi="Times New Roman" w:cs="Times New Roman"/>
              </w:rPr>
            </w:pPr>
          </w:p>
        </w:tc>
      </w:tr>
    </w:tbl>
    <w:p w14:paraId="7B0A4B95" w14:textId="77777777" w:rsidR="007226D4" w:rsidRPr="00337CD7" w:rsidRDefault="007226D4" w:rsidP="00AC7681">
      <w:pPr>
        <w:spacing w:after="0" w:line="240" w:lineRule="auto"/>
        <w:jc w:val="both"/>
        <w:rPr>
          <w:rFonts w:ascii="Times New Roman" w:hAnsi="Times New Roman" w:cs="Times New Roman"/>
        </w:rPr>
      </w:pPr>
    </w:p>
    <w:p w14:paraId="55027EE0" w14:textId="77777777" w:rsidR="000B3E78" w:rsidRPr="00337CD7" w:rsidRDefault="000B3E78" w:rsidP="00AD1748">
      <w:pPr>
        <w:spacing w:after="0" w:line="276" w:lineRule="auto"/>
        <w:jc w:val="right"/>
        <w:rPr>
          <w:rFonts w:ascii="Times New Roman" w:hAnsi="Times New Roman" w:cs="Times New Roman"/>
          <w:b/>
          <w:i/>
        </w:rPr>
      </w:pPr>
    </w:p>
    <w:p w14:paraId="5BCA3901" w14:textId="77777777" w:rsidR="000B3E78" w:rsidRPr="00337CD7" w:rsidRDefault="000B3E78" w:rsidP="00B71322">
      <w:pPr>
        <w:spacing w:after="0" w:line="276" w:lineRule="auto"/>
        <w:jc w:val="both"/>
        <w:rPr>
          <w:rFonts w:ascii="Times New Roman" w:hAnsi="Times New Roman" w:cs="Times New Roman"/>
          <w:highlight w:val="cyan"/>
        </w:rPr>
      </w:pPr>
    </w:p>
    <w:p w14:paraId="77F9CF33" w14:textId="77777777" w:rsidR="000B3E78" w:rsidRPr="00337CD7" w:rsidRDefault="000B3E78" w:rsidP="00B71322">
      <w:pPr>
        <w:spacing w:after="0" w:line="276" w:lineRule="auto"/>
        <w:jc w:val="both"/>
        <w:rPr>
          <w:rFonts w:ascii="Times New Roman" w:hAnsi="Times New Roman" w:cs="Times New Roman"/>
        </w:rPr>
      </w:pPr>
    </w:p>
    <w:p w14:paraId="458ED0B0" w14:textId="77777777" w:rsidR="001F6BFD" w:rsidRPr="00337CD7" w:rsidRDefault="001F6BFD" w:rsidP="00B71322">
      <w:pPr>
        <w:spacing w:after="0" w:line="276" w:lineRule="auto"/>
        <w:jc w:val="both"/>
        <w:rPr>
          <w:rFonts w:ascii="Times New Roman" w:hAnsi="Times New Roman" w:cs="Times New Roman"/>
        </w:rPr>
      </w:pPr>
    </w:p>
    <w:p w14:paraId="12E8BED7" w14:textId="77777777" w:rsidR="001F6BFD" w:rsidRPr="00337CD7" w:rsidRDefault="001F6BFD" w:rsidP="00B71322">
      <w:pPr>
        <w:spacing w:after="0" w:line="276" w:lineRule="auto"/>
        <w:jc w:val="both"/>
        <w:rPr>
          <w:rFonts w:ascii="Times New Roman" w:hAnsi="Times New Roman" w:cs="Times New Roman"/>
        </w:rPr>
      </w:pPr>
    </w:p>
    <w:p w14:paraId="05EDFBDA" w14:textId="77777777" w:rsidR="001F6BFD" w:rsidRPr="00337CD7" w:rsidRDefault="007226D4" w:rsidP="00B71322">
      <w:pPr>
        <w:spacing w:after="0" w:line="276" w:lineRule="auto"/>
        <w:jc w:val="both"/>
        <w:rPr>
          <w:rFonts w:ascii="Times New Roman" w:hAnsi="Times New Roman" w:cs="Times New Roman"/>
        </w:rPr>
      </w:pPr>
      <w:r w:rsidRPr="00337CD7">
        <w:rPr>
          <w:rFonts w:ascii="Times New Roman" w:hAnsi="Times New Roman" w:cs="Times New Roman"/>
          <w:noProof/>
          <w:lang w:eastAsia="fr-FR"/>
        </w:rPr>
        <mc:AlternateContent>
          <mc:Choice Requires="wps">
            <w:drawing>
              <wp:anchor distT="0" distB="0" distL="114300" distR="114300" simplePos="0" relativeHeight="251676672" behindDoc="0" locked="0" layoutInCell="1" allowOverlap="1" wp14:anchorId="2A746F45" wp14:editId="4FDD730C">
                <wp:simplePos x="0" y="0"/>
                <wp:positionH relativeFrom="column">
                  <wp:posOffset>2222182</wp:posOffset>
                </wp:positionH>
                <wp:positionV relativeFrom="paragraph">
                  <wp:posOffset>78740</wp:posOffset>
                </wp:positionV>
                <wp:extent cx="4096328" cy="285185"/>
                <wp:effectExtent l="0" t="0" r="0" b="635"/>
                <wp:wrapNone/>
                <wp:docPr id="14" name="Zone de texte 14"/>
                <wp:cNvGraphicFramePr/>
                <a:graphic xmlns:a="http://schemas.openxmlformats.org/drawingml/2006/main">
                  <a:graphicData uri="http://schemas.microsoft.com/office/word/2010/wordprocessingShape">
                    <wps:wsp>
                      <wps:cNvSpPr txBox="1"/>
                      <wps:spPr>
                        <a:xfrm>
                          <a:off x="0" y="0"/>
                          <a:ext cx="4096328" cy="285185"/>
                        </a:xfrm>
                        <a:prstGeom prst="rect">
                          <a:avLst/>
                        </a:prstGeom>
                        <a:noFill/>
                        <a:ln w="6350">
                          <a:noFill/>
                        </a:ln>
                      </wps:spPr>
                      <wps:txbx>
                        <w:txbxContent>
                          <w:p w14:paraId="0437C473" w14:textId="7F2C2444" w:rsidR="00941580" w:rsidRPr="00124428" w:rsidRDefault="00941580" w:rsidP="007226D4">
                            <w:pPr>
                              <w:spacing w:after="0" w:line="276" w:lineRule="auto"/>
                              <w:jc w:val="both"/>
                              <w:rPr>
                                <w:rFonts w:ascii="Times New Roman" w:hAnsi="Times New Roman" w:cs="Times New Roman"/>
                                <w:lang w:val="en-US"/>
                              </w:rPr>
                            </w:pPr>
                            <w:r w:rsidRPr="00124428">
                              <w:rPr>
                                <w:rFonts w:ascii="Times New Roman" w:hAnsi="Times New Roman" w:cs="Times New Roman"/>
                                <w:b/>
                                <w:lang w:val="en-US"/>
                              </w:rPr>
                              <w:t xml:space="preserve">Figure </w:t>
                            </w:r>
                            <w:proofErr w:type="gramStart"/>
                            <w:r>
                              <w:rPr>
                                <w:rFonts w:ascii="Times New Roman" w:hAnsi="Times New Roman" w:cs="Times New Roman"/>
                                <w:b/>
                                <w:lang w:val="en-US"/>
                              </w:rPr>
                              <w:t>2</w:t>
                            </w:r>
                            <w:r w:rsidRPr="00124428">
                              <w:rPr>
                                <w:rFonts w:ascii="Times New Roman" w:hAnsi="Times New Roman" w:cs="Times New Roman"/>
                                <w:b/>
                                <w:lang w:val="en-US"/>
                              </w:rPr>
                              <w:t> :</w:t>
                            </w:r>
                            <w:proofErr w:type="gramEnd"/>
                            <w:r w:rsidRPr="00124428">
                              <w:rPr>
                                <w:rFonts w:ascii="Times New Roman" w:hAnsi="Times New Roman" w:cs="Times New Roman"/>
                                <w:lang w:val="en-US"/>
                              </w:rPr>
                              <w:t xml:space="preserve"> Classification dendrogram of the nine pharmacophores d’étude</w:t>
                            </w:r>
                          </w:p>
                          <w:p w14:paraId="6A782B91" w14:textId="77777777" w:rsidR="00941580" w:rsidRPr="00124428" w:rsidRDefault="0094158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746F45" id="Zone de texte 14" o:spid="_x0000_s1027" type="#_x0000_t202" style="position:absolute;left:0;text-align:left;margin-left:174.95pt;margin-top:6.2pt;width:322.55pt;height:22.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" filled="f" stroked="f" strokeweight=".5pt">
                <v:textbox>
                  <w:txbxContent>
                    <w:p w14:paraId="0437C473" w14:textId="7F2C2444" w:rsidR="00941580" w:rsidRPr="00124428" w:rsidRDefault="00941580" w:rsidP="007226D4">
                      <w:pPr>
                        <w:spacing w:after="0" w:line="276" w:lineRule="auto"/>
                        <w:jc w:val="both"/>
                        <w:rPr>
                          <w:rFonts w:ascii="Times New Roman" w:hAnsi="Times New Roman" w:cs="Times New Roman"/>
                          <w:lang w:val="en-US"/>
                        </w:rPr>
                      </w:pPr>
                      <w:r w:rsidRPr="00124428">
                        <w:rPr>
                          <w:rFonts w:ascii="Times New Roman" w:hAnsi="Times New Roman" w:cs="Times New Roman"/>
                          <w:b/>
                          <w:lang w:val="en-US"/>
                        </w:rPr>
                        <w:t xml:space="preserve">Figure </w:t>
                      </w:r>
                      <w:proofErr w:type="gramStart"/>
                      <w:r>
                        <w:rPr>
                          <w:rFonts w:ascii="Times New Roman" w:hAnsi="Times New Roman" w:cs="Times New Roman"/>
                          <w:b/>
                          <w:lang w:val="en-US"/>
                        </w:rPr>
                        <w:t>2</w:t>
                      </w:r>
                      <w:r w:rsidRPr="00124428">
                        <w:rPr>
                          <w:rFonts w:ascii="Times New Roman" w:hAnsi="Times New Roman" w:cs="Times New Roman"/>
                          <w:b/>
                          <w:lang w:val="en-US"/>
                        </w:rPr>
                        <w:t> :</w:t>
                      </w:r>
                      <w:proofErr w:type="gramEnd"/>
                      <w:r w:rsidRPr="00124428">
                        <w:rPr>
                          <w:rFonts w:ascii="Times New Roman" w:hAnsi="Times New Roman" w:cs="Times New Roman"/>
                          <w:lang w:val="en-US"/>
                        </w:rPr>
                        <w:t xml:space="preserve"> Classification dendrogram of the nine pharmacophores d’étude</w:t>
                      </w:r>
                    </w:p>
                    <w:p w14:paraId="6A782B91" w14:textId="77777777" w:rsidR="00941580" w:rsidRPr="00124428" w:rsidRDefault="00941580">
                      <w:pPr>
                        <w:rPr>
                          <w:lang w:val="en-US"/>
                        </w:rPr>
                      </w:pPr>
                    </w:p>
                  </w:txbxContent>
                </v:textbox>
              </v:shape>
            </w:pict>
          </mc:Fallback>
        </mc:AlternateContent>
      </w:r>
    </w:p>
    <w:p w14:paraId="15E38116" w14:textId="77777777" w:rsidR="00B71322" w:rsidRPr="00337CD7" w:rsidRDefault="009D51D3" w:rsidP="00A6052C">
      <w:pPr>
        <w:pStyle w:val="ListParagraph"/>
        <w:numPr>
          <w:ilvl w:val="0"/>
          <w:numId w:val="3"/>
        </w:numPr>
        <w:spacing w:before="120" w:after="0" w:line="240" w:lineRule="auto"/>
        <w:ind w:left="360"/>
        <w:jc w:val="both"/>
        <w:rPr>
          <w:rFonts w:ascii="Times New Roman" w:hAnsi="Times New Roman" w:cs="Times New Roman"/>
          <w:b/>
          <w:bCs/>
        </w:rPr>
      </w:pPr>
      <w:r w:rsidRPr="00337CD7">
        <w:rPr>
          <w:rFonts w:ascii="Times New Roman" w:hAnsi="Times New Roman" w:cs="Times New Roman"/>
          <w:b/>
          <w:bCs/>
        </w:rPr>
        <w:t>Conclusion</w:t>
      </w:r>
    </w:p>
    <w:p w14:paraId="53DBE6E2" w14:textId="28B37928" w:rsidR="00B71322" w:rsidRDefault="00124428" w:rsidP="00447149">
      <w:pPr>
        <w:spacing w:after="0" w:line="276" w:lineRule="auto"/>
        <w:jc w:val="both"/>
        <w:rPr>
          <w:rFonts w:ascii="Times New Roman" w:hAnsi="Times New Roman" w:cs="Times New Roman"/>
          <w:bCs/>
          <w:iCs/>
          <w:lang w:val="en-US"/>
        </w:rPr>
      </w:pPr>
      <w:r w:rsidRPr="00124428">
        <w:rPr>
          <w:rFonts w:ascii="Times New Roman" w:hAnsi="Times New Roman" w:cs="Times New Roman"/>
          <w:lang w:val="en-US"/>
        </w:rPr>
        <w:t xml:space="preserve">All pharmacophores are of therapeutic interest. The pharmacophore P-Bi5 (Proguanil, </w:t>
      </w:r>
      <w:proofErr w:type="spellStart"/>
      <w:r w:rsidRPr="00124428">
        <w:rPr>
          <w:rFonts w:ascii="Times New Roman" w:hAnsi="Times New Roman" w:cs="Times New Roman"/>
          <w:lang w:val="en-US"/>
        </w:rPr>
        <w:t>Chloroproguanil</w:t>
      </w:r>
      <w:proofErr w:type="spellEnd"/>
      <w:r w:rsidRPr="00124428">
        <w:rPr>
          <w:rFonts w:ascii="Times New Roman" w:hAnsi="Times New Roman" w:cs="Times New Roman"/>
          <w:lang w:val="en-US"/>
        </w:rPr>
        <w:t>) is predicted to remain in the environment for a long time due to its higher TPSA value. P-Hy9 (</w:t>
      </w:r>
      <w:proofErr w:type="spellStart"/>
      <w:r w:rsidRPr="00124428">
        <w:rPr>
          <w:rFonts w:ascii="Times New Roman" w:hAnsi="Times New Roman" w:cs="Times New Roman"/>
          <w:lang w:val="en-US"/>
        </w:rPr>
        <w:t>Atovoquone</w:t>
      </w:r>
      <w:proofErr w:type="spellEnd"/>
      <w:r w:rsidRPr="00124428">
        <w:rPr>
          <w:rFonts w:ascii="Times New Roman" w:hAnsi="Times New Roman" w:cs="Times New Roman"/>
          <w:lang w:val="en-US"/>
        </w:rPr>
        <w:t>) is promising due to its greater reactivity in blood plasma. PCA generated two fundamental chemical properties for all of the descriptors and pharmacophores analyzed. The main component F1 encompasses the properties of electron transfer, polarizability, and electrostatic molecular interactions, while factor F2 reflects the properties of electron transfer, polarizability, and electrostatic and lip</w:t>
      </w:r>
      <w:r>
        <w:rPr>
          <w:rFonts w:ascii="Times New Roman" w:hAnsi="Times New Roman" w:cs="Times New Roman"/>
          <w:lang w:val="en-US"/>
        </w:rPr>
        <w:t>ophilic molecular interactions.</w:t>
      </w:r>
      <w:r w:rsidR="005D5D0A" w:rsidRPr="00124428">
        <w:rPr>
          <w:rFonts w:ascii="Times New Roman" w:hAnsi="Times New Roman" w:cs="Times New Roman"/>
          <w:bCs/>
          <w:iCs/>
          <w:lang w:val="en-US"/>
        </w:rPr>
        <w:t xml:space="preserve"> </w:t>
      </w:r>
      <w:r w:rsidRPr="00124428">
        <w:rPr>
          <w:rFonts w:ascii="Times New Roman" w:hAnsi="Times New Roman" w:cs="Times New Roman"/>
          <w:bCs/>
          <w:iCs/>
          <w:lang w:val="en-US"/>
        </w:rPr>
        <w:t xml:space="preserve">In addition, the CHA grouped the nine pharmacophores into five classes: (P-Bi 5); (PHy9); (P-4A1, P-Al2); (P-Al3, P-Ar4); and (P-8A6, P-Fa7, P-Fo8). For curative purposes, P-Bi5 (Proguanil, </w:t>
      </w:r>
      <w:proofErr w:type="spellStart"/>
      <w:r w:rsidRPr="00124428">
        <w:rPr>
          <w:rFonts w:ascii="Times New Roman" w:hAnsi="Times New Roman" w:cs="Times New Roman"/>
          <w:bCs/>
          <w:iCs/>
          <w:lang w:val="en-US"/>
        </w:rPr>
        <w:t>Chloroproguanil</w:t>
      </w:r>
      <w:proofErr w:type="spellEnd"/>
      <w:r w:rsidRPr="00124428">
        <w:rPr>
          <w:rFonts w:ascii="Times New Roman" w:hAnsi="Times New Roman" w:cs="Times New Roman"/>
          <w:bCs/>
          <w:iCs/>
          <w:lang w:val="en-US"/>
        </w:rPr>
        <w:t>) remains the most promising, while P-Hy9 (</w:t>
      </w:r>
      <w:proofErr w:type="spellStart"/>
      <w:r w:rsidRPr="00124428">
        <w:rPr>
          <w:rFonts w:ascii="Times New Roman" w:hAnsi="Times New Roman" w:cs="Times New Roman"/>
          <w:bCs/>
          <w:iCs/>
          <w:lang w:val="en-US"/>
        </w:rPr>
        <w:t>Atovoquone</w:t>
      </w:r>
      <w:proofErr w:type="spellEnd"/>
      <w:r w:rsidRPr="00124428">
        <w:rPr>
          <w:rFonts w:ascii="Times New Roman" w:hAnsi="Times New Roman" w:cs="Times New Roman"/>
          <w:bCs/>
          <w:iCs/>
          <w:lang w:val="en-US"/>
        </w:rPr>
        <w:t xml:space="preserve">) shows promise for preventive treatments. Exploring the combination of Proguanil and </w:t>
      </w:r>
      <w:proofErr w:type="spellStart"/>
      <w:r w:rsidRPr="00124428">
        <w:rPr>
          <w:rFonts w:ascii="Times New Roman" w:hAnsi="Times New Roman" w:cs="Times New Roman"/>
          <w:bCs/>
          <w:iCs/>
          <w:lang w:val="en-US"/>
        </w:rPr>
        <w:t>Atovoquone</w:t>
      </w:r>
      <w:proofErr w:type="spellEnd"/>
      <w:r w:rsidRPr="00124428">
        <w:rPr>
          <w:rFonts w:ascii="Times New Roman" w:hAnsi="Times New Roman" w:cs="Times New Roman"/>
          <w:bCs/>
          <w:iCs/>
          <w:lang w:val="en-US"/>
        </w:rPr>
        <w:t xml:space="preserve"> could help circumvent the side effects of </w:t>
      </w:r>
      <w:proofErr w:type="spellStart"/>
      <w:r w:rsidRPr="00124428">
        <w:rPr>
          <w:rFonts w:ascii="Times New Roman" w:hAnsi="Times New Roman" w:cs="Times New Roman"/>
          <w:bCs/>
          <w:iCs/>
          <w:lang w:val="en-US"/>
        </w:rPr>
        <w:t>Chloroproguanil</w:t>
      </w:r>
      <w:proofErr w:type="spellEnd"/>
      <w:r w:rsidRPr="00124428">
        <w:rPr>
          <w:rFonts w:ascii="Times New Roman" w:hAnsi="Times New Roman" w:cs="Times New Roman"/>
          <w:bCs/>
          <w:iCs/>
          <w:lang w:val="en-US"/>
        </w:rPr>
        <w:t>. This study opens up an essential avenue of research in the difficult fight against malaria using combinations of existing antimalarial drugs. For our part, we are considering molecular docking approaches and the Omnium method for the comparative study of administered antimalarial molecules.</w:t>
      </w:r>
      <w:r w:rsidR="00432FCE" w:rsidRPr="00124428">
        <w:rPr>
          <w:rFonts w:ascii="Times New Roman" w:hAnsi="Times New Roman" w:cs="Times New Roman"/>
          <w:bCs/>
          <w:iCs/>
          <w:lang w:val="en-US"/>
        </w:rPr>
        <w:t xml:space="preserve"> </w:t>
      </w:r>
    </w:p>
    <w:p w14:paraId="43181325" w14:textId="77777777" w:rsidR="001C5B41" w:rsidRPr="001C5B41" w:rsidRDefault="001C5B41" w:rsidP="001C5B41">
      <w:pPr>
        <w:spacing w:after="0" w:line="276" w:lineRule="auto"/>
        <w:jc w:val="both"/>
        <w:rPr>
          <w:rFonts w:ascii="Times New Roman" w:hAnsi="Times New Roman" w:cs="Times New Roman"/>
          <w:bCs/>
          <w:iCs/>
          <w:lang w:val="en-GB"/>
        </w:rPr>
      </w:pPr>
      <w:r w:rsidRPr="001C5B41">
        <w:rPr>
          <w:rFonts w:ascii="Times New Roman" w:hAnsi="Times New Roman" w:cs="Times New Roman"/>
          <w:b/>
          <w:bCs/>
          <w:iCs/>
          <w:lang w:val="en-GB"/>
        </w:rPr>
        <w:t>COMPETING INTERESTS DISCLAIMER:</w:t>
      </w:r>
    </w:p>
    <w:p w14:paraId="0DA34158" w14:textId="77777777" w:rsidR="001C5B41" w:rsidRPr="001C5B41" w:rsidRDefault="001C5B41" w:rsidP="001C5B41">
      <w:pPr>
        <w:spacing w:after="0" w:line="276" w:lineRule="auto"/>
        <w:jc w:val="both"/>
        <w:rPr>
          <w:rFonts w:ascii="Times New Roman" w:hAnsi="Times New Roman" w:cs="Times New Roman"/>
          <w:bCs/>
          <w:iCs/>
          <w:lang w:val="en-GB"/>
        </w:rPr>
      </w:pPr>
      <w:r w:rsidRPr="001C5B41">
        <w:rPr>
          <w:rFonts w:ascii="Times New Roman" w:hAnsi="Times New Roman" w:cs="Times New Roman"/>
          <w:bCs/>
          <w:iCs/>
          <w:lang w:val="en-GB"/>
        </w:rPr>
        <w:t>Authors have declared that they have no known competing financial interests OR non-financial interests OR personal relationships that could have appeared to influence the work reported in this paper.</w:t>
      </w:r>
    </w:p>
    <w:p w14:paraId="4B0E8AB6" w14:textId="77777777" w:rsidR="001C5B41" w:rsidRPr="001C5B41" w:rsidRDefault="001C5B41" w:rsidP="001C5B41">
      <w:pPr>
        <w:spacing w:after="0" w:line="276" w:lineRule="auto"/>
        <w:jc w:val="both"/>
        <w:rPr>
          <w:rFonts w:ascii="Times New Roman" w:hAnsi="Times New Roman" w:cs="Times New Roman"/>
          <w:bCs/>
          <w:iCs/>
          <w:lang w:val="en-GB"/>
        </w:rPr>
      </w:pPr>
    </w:p>
    <w:p w14:paraId="0B097385" w14:textId="77777777" w:rsidR="0092273A" w:rsidRPr="009C5487" w:rsidRDefault="0092273A" w:rsidP="0092273A">
      <w:pPr>
        <w:rPr>
          <w:rFonts w:ascii="Calibri" w:eastAsia="Calibri" w:hAnsi="Calibri" w:cs="Times New Roman"/>
          <w:kern w:val="2"/>
          <w:highlight w:val="yellow"/>
          <w:lang w:val="en-US"/>
        </w:rPr>
      </w:pPr>
      <w:bookmarkStart w:id="3" w:name="_Hlk197682619"/>
      <w:bookmarkStart w:id="4" w:name="_Hlk180402183"/>
      <w:bookmarkStart w:id="5" w:name="_Hlk183680988"/>
      <w:bookmarkStart w:id="6" w:name="_Hlk197351200"/>
      <w:r w:rsidRPr="009C5487">
        <w:rPr>
          <w:rFonts w:ascii="Calibri" w:eastAsia="Calibri" w:hAnsi="Calibri" w:cs="Times New Roman"/>
          <w:kern w:val="2"/>
          <w:highlight w:val="yellow"/>
          <w:lang w:val="en-US"/>
        </w:rPr>
        <w:t>Disclaimer (Artificial intelligence)</w:t>
      </w:r>
    </w:p>
    <w:p w14:paraId="04A17130" w14:textId="77777777" w:rsidR="0092273A" w:rsidRPr="009C5487" w:rsidRDefault="0092273A" w:rsidP="009227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07FF6EF" w14:textId="77777777" w:rsidR="0092273A" w:rsidRPr="009C5487" w:rsidRDefault="0092273A" w:rsidP="0092273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3"/>
    <w:bookmarkEnd w:id="4"/>
    <w:bookmarkEnd w:id="5"/>
    <w:bookmarkEnd w:id="6"/>
    <w:p w14:paraId="07EC355F" w14:textId="77777777" w:rsidR="001C5B41" w:rsidRPr="001C5B41" w:rsidRDefault="001C5B41" w:rsidP="001C5B41">
      <w:pPr>
        <w:spacing w:after="0" w:line="276" w:lineRule="auto"/>
        <w:jc w:val="both"/>
        <w:rPr>
          <w:rFonts w:ascii="Times New Roman" w:hAnsi="Times New Roman" w:cs="Times New Roman"/>
          <w:bCs/>
          <w:iCs/>
          <w:lang w:val="en-GB"/>
        </w:rPr>
      </w:pPr>
    </w:p>
    <w:p w14:paraId="222AC5EE" w14:textId="77777777" w:rsidR="001C5B41" w:rsidRPr="00124428" w:rsidRDefault="001C5B41" w:rsidP="00447149">
      <w:pPr>
        <w:spacing w:after="0" w:line="276" w:lineRule="auto"/>
        <w:jc w:val="both"/>
        <w:rPr>
          <w:rFonts w:ascii="Times New Roman" w:hAnsi="Times New Roman" w:cs="Times New Roman"/>
          <w:bCs/>
          <w:iCs/>
          <w:lang w:val="en-US"/>
        </w:rPr>
      </w:pPr>
    </w:p>
    <w:p w14:paraId="3635474A" w14:textId="7AC6315A" w:rsidR="00D638D1" w:rsidRPr="00337CD7" w:rsidRDefault="001C5B41" w:rsidP="00124428">
      <w:pPr>
        <w:pStyle w:val="ListParagraph"/>
        <w:numPr>
          <w:ilvl w:val="0"/>
          <w:numId w:val="3"/>
        </w:numPr>
        <w:tabs>
          <w:tab w:val="left" w:pos="433"/>
        </w:tabs>
        <w:spacing w:before="120" w:after="120"/>
        <w:rPr>
          <w:rFonts w:ascii="Times New Roman" w:hAnsi="Times New Roman" w:cs="Times New Roman"/>
          <w:b/>
        </w:rPr>
      </w:pPr>
      <w:proofErr w:type="spellStart"/>
      <w:r>
        <w:rPr>
          <w:rFonts w:ascii="Times New Roman" w:hAnsi="Times New Roman" w:cs="Times New Roman"/>
          <w:b/>
        </w:rPr>
        <w:t>R</w:t>
      </w:r>
      <w:r w:rsidR="00124428" w:rsidRPr="00124428">
        <w:rPr>
          <w:rFonts w:ascii="Times New Roman" w:hAnsi="Times New Roman" w:cs="Times New Roman"/>
          <w:b/>
        </w:rPr>
        <w:t>eferences</w:t>
      </w:r>
      <w:proofErr w:type="spellEnd"/>
    </w:p>
    <w:p w14:paraId="34FCBDE5" w14:textId="77777777" w:rsidR="0021594E" w:rsidRPr="00337CD7" w:rsidRDefault="0021594E" w:rsidP="0021594E">
      <w:pPr>
        <w:pStyle w:val="Default"/>
        <w:rPr>
          <w:color w:val="auto"/>
          <w:sz w:val="22"/>
          <w:szCs w:val="22"/>
        </w:rPr>
      </w:pPr>
      <w:r w:rsidRPr="00337CD7">
        <w:rPr>
          <w:b/>
          <w:color w:val="auto"/>
          <w:sz w:val="22"/>
          <w:szCs w:val="22"/>
        </w:rPr>
        <w:t>[1]</w:t>
      </w:r>
      <w:r w:rsidRPr="00337CD7">
        <w:rPr>
          <w:color w:val="auto"/>
          <w:sz w:val="22"/>
          <w:szCs w:val="22"/>
        </w:rPr>
        <w:t xml:space="preserve"> OMS, « World malaria report, »; (</w:t>
      </w:r>
      <w:r w:rsidRPr="00337CD7">
        <w:rPr>
          <w:b/>
          <w:color w:val="auto"/>
          <w:sz w:val="22"/>
          <w:szCs w:val="22"/>
        </w:rPr>
        <w:t>2021)</w:t>
      </w:r>
      <w:r w:rsidRPr="00337CD7">
        <w:rPr>
          <w:color w:val="auto"/>
          <w:sz w:val="22"/>
          <w:szCs w:val="22"/>
        </w:rPr>
        <w:t xml:space="preserve">. </w:t>
      </w:r>
    </w:p>
    <w:p w14:paraId="5F0DD620" w14:textId="77777777" w:rsidR="0021594E" w:rsidRPr="005B1C6B" w:rsidRDefault="0021594E" w:rsidP="0021594E">
      <w:pPr>
        <w:spacing w:after="0"/>
        <w:jc w:val="both"/>
        <w:rPr>
          <w:rFonts w:ascii="Times New Roman" w:hAnsi="Times New Roman" w:cs="Times New Roman"/>
          <w:lang w:val="en-US"/>
        </w:rPr>
      </w:pPr>
      <w:r w:rsidRPr="005B1C6B">
        <w:rPr>
          <w:rFonts w:ascii="Times New Roman" w:hAnsi="Times New Roman" w:cs="Times New Roman"/>
          <w:b/>
          <w:lang w:val="en-US"/>
        </w:rPr>
        <w:t xml:space="preserve">[2] </w:t>
      </w:r>
      <w:r w:rsidRPr="005B1C6B">
        <w:rPr>
          <w:rFonts w:ascii="Times New Roman" w:hAnsi="Times New Roman" w:cs="Times New Roman"/>
          <w:lang w:val="en-US"/>
        </w:rPr>
        <w:t>Suresh, N.; Haldar, K. (</w:t>
      </w:r>
      <w:r w:rsidRPr="005B1C6B">
        <w:rPr>
          <w:rFonts w:ascii="Times New Roman" w:hAnsi="Times New Roman" w:cs="Times New Roman"/>
          <w:b/>
          <w:bCs/>
          <w:lang w:val="en-US"/>
        </w:rPr>
        <w:t xml:space="preserve">2018). </w:t>
      </w:r>
      <w:r w:rsidRPr="005B1C6B">
        <w:rPr>
          <w:rFonts w:ascii="Times New Roman" w:hAnsi="Times New Roman" w:cs="Times New Roman"/>
          <w:lang w:val="en-US"/>
        </w:rPr>
        <w:t xml:space="preserve">Mechanisms of Artemisinin Resistance in Plasmodium Falciparum Malaria. </w:t>
      </w:r>
      <w:r w:rsidRPr="005B1C6B">
        <w:rPr>
          <w:rFonts w:ascii="Times New Roman" w:hAnsi="Times New Roman" w:cs="Times New Roman"/>
          <w:i/>
          <w:iCs/>
          <w:lang w:val="en-US"/>
        </w:rPr>
        <w:t>Current Opinion in Pharmacology</w:t>
      </w:r>
      <w:r w:rsidRPr="005B1C6B">
        <w:rPr>
          <w:rFonts w:ascii="Times New Roman" w:hAnsi="Times New Roman" w:cs="Times New Roman"/>
          <w:lang w:val="en-US"/>
        </w:rPr>
        <w:t xml:space="preserve">, </w:t>
      </w:r>
      <w:r w:rsidRPr="005B1C6B">
        <w:rPr>
          <w:rFonts w:ascii="Times New Roman" w:hAnsi="Times New Roman" w:cs="Times New Roman"/>
          <w:i/>
          <w:iCs/>
          <w:lang w:val="en-US"/>
        </w:rPr>
        <w:t>42</w:t>
      </w:r>
      <w:r w:rsidRPr="005B1C6B">
        <w:rPr>
          <w:rFonts w:ascii="Times New Roman" w:hAnsi="Times New Roman" w:cs="Times New Roman"/>
          <w:lang w:val="en-US"/>
        </w:rPr>
        <w:t xml:space="preserve">, 46–54. </w:t>
      </w:r>
      <w:hyperlink r:id="rId71" w:history="1">
        <w:r w:rsidRPr="005B1C6B">
          <w:rPr>
            <w:rStyle w:val="Hyperlink"/>
            <w:rFonts w:ascii="Times New Roman" w:hAnsi="Times New Roman" w:cs="Times New Roman"/>
            <w:color w:val="auto"/>
            <w:lang w:val="en-US"/>
          </w:rPr>
          <w:t>https://doi.org/10.1016/j.coph.2018.06.003</w:t>
        </w:r>
      </w:hyperlink>
      <w:r w:rsidRPr="005B1C6B">
        <w:rPr>
          <w:rFonts w:ascii="Times New Roman" w:hAnsi="Times New Roman" w:cs="Times New Roman"/>
          <w:lang w:val="en-US"/>
        </w:rPr>
        <w:t xml:space="preserve">. </w:t>
      </w:r>
    </w:p>
    <w:p w14:paraId="30DC84F5" w14:textId="77777777" w:rsidR="0021594E" w:rsidRPr="005B1C6B" w:rsidRDefault="0021594E" w:rsidP="0021594E">
      <w:pPr>
        <w:spacing w:after="0"/>
        <w:jc w:val="both"/>
        <w:rPr>
          <w:rFonts w:ascii="Times New Roman" w:hAnsi="Times New Roman" w:cs="Times New Roman"/>
          <w:lang w:val="en-US"/>
        </w:rPr>
      </w:pPr>
      <w:r w:rsidRPr="005B1C6B">
        <w:rPr>
          <w:rFonts w:ascii="Times New Roman" w:hAnsi="Times New Roman" w:cs="Times New Roman"/>
          <w:b/>
          <w:lang w:val="en-US"/>
        </w:rPr>
        <w:t xml:space="preserve">[3] </w:t>
      </w:r>
      <w:r w:rsidRPr="005B1C6B">
        <w:rPr>
          <w:rFonts w:ascii="Times New Roman" w:hAnsi="Times New Roman" w:cs="Times New Roman"/>
          <w:lang w:val="en-US"/>
        </w:rPr>
        <w:t xml:space="preserve">Haldar, K.; Bhattacharjee, S.; </w:t>
      </w:r>
      <w:proofErr w:type="spellStart"/>
      <w:r w:rsidRPr="005B1C6B">
        <w:rPr>
          <w:rFonts w:ascii="Times New Roman" w:hAnsi="Times New Roman" w:cs="Times New Roman"/>
          <w:lang w:val="en-US"/>
        </w:rPr>
        <w:t>Safeukui</w:t>
      </w:r>
      <w:proofErr w:type="spellEnd"/>
      <w:r w:rsidRPr="005B1C6B">
        <w:rPr>
          <w:rFonts w:ascii="Times New Roman" w:hAnsi="Times New Roman" w:cs="Times New Roman"/>
          <w:lang w:val="en-US"/>
        </w:rPr>
        <w:t>, I (</w:t>
      </w:r>
      <w:r w:rsidRPr="005B1C6B">
        <w:rPr>
          <w:rFonts w:ascii="Times New Roman" w:hAnsi="Times New Roman" w:cs="Times New Roman"/>
          <w:b/>
          <w:bCs/>
          <w:lang w:val="en-US"/>
        </w:rPr>
        <w:t>2018)</w:t>
      </w:r>
      <w:r w:rsidRPr="005B1C6B">
        <w:rPr>
          <w:rFonts w:ascii="Times New Roman" w:hAnsi="Times New Roman" w:cs="Times New Roman"/>
          <w:lang w:val="en-US"/>
        </w:rPr>
        <w:t xml:space="preserve">. Drug Resistance in Plasmodium. </w:t>
      </w:r>
      <w:r w:rsidRPr="005B1C6B">
        <w:rPr>
          <w:rFonts w:ascii="Times New Roman" w:hAnsi="Times New Roman" w:cs="Times New Roman"/>
          <w:i/>
          <w:iCs/>
          <w:lang w:val="en-US"/>
        </w:rPr>
        <w:t>Nature Reviews Microbiology</w:t>
      </w:r>
      <w:r w:rsidRPr="005B1C6B">
        <w:rPr>
          <w:rFonts w:ascii="Times New Roman" w:hAnsi="Times New Roman" w:cs="Times New Roman"/>
          <w:lang w:val="en-US"/>
        </w:rPr>
        <w:t xml:space="preserve">, </w:t>
      </w:r>
      <w:r w:rsidRPr="005B1C6B">
        <w:rPr>
          <w:rFonts w:ascii="Times New Roman" w:hAnsi="Times New Roman" w:cs="Times New Roman"/>
          <w:i/>
          <w:iCs/>
          <w:lang w:val="en-US"/>
        </w:rPr>
        <w:t xml:space="preserve">16 </w:t>
      </w:r>
      <w:r w:rsidRPr="005B1C6B">
        <w:rPr>
          <w:rFonts w:ascii="Times New Roman" w:hAnsi="Times New Roman" w:cs="Times New Roman"/>
          <w:lang w:val="en-US"/>
        </w:rPr>
        <w:t xml:space="preserve">(3), 156–170. </w:t>
      </w:r>
      <w:hyperlink r:id="rId72" w:history="1">
        <w:r w:rsidRPr="005B1C6B">
          <w:rPr>
            <w:rStyle w:val="Hyperlink"/>
            <w:rFonts w:ascii="Times New Roman" w:hAnsi="Times New Roman" w:cs="Times New Roman"/>
            <w:color w:val="auto"/>
            <w:lang w:val="en-US"/>
          </w:rPr>
          <w:t>https://doi.org/10.1038/nrmicro.2017.161</w:t>
        </w:r>
      </w:hyperlink>
      <w:r w:rsidRPr="005B1C6B">
        <w:rPr>
          <w:rFonts w:ascii="Times New Roman" w:hAnsi="Times New Roman" w:cs="Times New Roman"/>
          <w:lang w:val="en-US"/>
        </w:rPr>
        <w:t>.</w:t>
      </w:r>
    </w:p>
    <w:p w14:paraId="16E58419" w14:textId="77777777" w:rsidR="0021594E" w:rsidRPr="00EA445C" w:rsidRDefault="0021594E" w:rsidP="0021594E">
      <w:pPr>
        <w:spacing w:after="0"/>
        <w:jc w:val="both"/>
        <w:rPr>
          <w:rFonts w:ascii="Times New Roman" w:hAnsi="Times New Roman" w:cs="Times New Roman"/>
          <w:i/>
          <w:lang w:val="en-US"/>
        </w:rPr>
      </w:pPr>
      <w:r w:rsidRPr="005B1C6B">
        <w:rPr>
          <w:rFonts w:ascii="Times New Roman" w:hAnsi="Times New Roman" w:cs="Times New Roman"/>
          <w:b/>
          <w:lang w:val="en-US"/>
        </w:rPr>
        <w:lastRenderedPageBreak/>
        <w:t xml:space="preserve">[4] </w:t>
      </w:r>
      <w:r w:rsidRPr="005B1C6B">
        <w:rPr>
          <w:rFonts w:ascii="Times New Roman" w:hAnsi="Times New Roman" w:cs="Times New Roman"/>
          <w:lang w:val="en-US"/>
        </w:rPr>
        <w:t>Liu, J.; Feng, K.; Ren, Y (</w:t>
      </w:r>
      <w:r w:rsidRPr="005B1C6B">
        <w:rPr>
          <w:rFonts w:ascii="Times New Roman" w:hAnsi="Times New Roman" w:cs="Times New Roman"/>
          <w:b/>
          <w:lang w:val="en-US"/>
        </w:rPr>
        <w:t>2019)</w:t>
      </w:r>
      <w:r w:rsidRPr="005B1C6B">
        <w:rPr>
          <w:rFonts w:ascii="Times New Roman" w:hAnsi="Times New Roman" w:cs="Times New Roman"/>
          <w:lang w:val="en-US"/>
        </w:rPr>
        <w:t xml:space="preserve">. In Silico Studies on Potential TNKS Inhibitors: A Combination of Pharmacophore and 3D-QSAR Modelling, Virtual Screening, Molecular Docking and Molecular Dynamics. </w:t>
      </w:r>
      <w:r w:rsidRPr="00EA445C">
        <w:rPr>
          <w:rFonts w:ascii="Times New Roman" w:hAnsi="Times New Roman" w:cs="Times New Roman"/>
          <w:i/>
          <w:lang w:val="en-US"/>
        </w:rPr>
        <w:t xml:space="preserve">J. </w:t>
      </w:r>
      <w:proofErr w:type="spellStart"/>
      <w:r w:rsidRPr="00EA445C">
        <w:rPr>
          <w:rFonts w:ascii="Times New Roman" w:hAnsi="Times New Roman" w:cs="Times New Roman"/>
          <w:i/>
          <w:lang w:val="en-US"/>
        </w:rPr>
        <w:t>Biomol</w:t>
      </w:r>
      <w:proofErr w:type="spellEnd"/>
      <w:r w:rsidRPr="00EA445C">
        <w:rPr>
          <w:rFonts w:ascii="Times New Roman" w:hAnsi="Times New Roman" w:cs="Times New Roman"/>
          <w:i/>
          <w:lang w:val="en-US"/>
        </w:rPr>
        <w:t xml:space="preserve">. Struct. Dyn., 37, 3803–3821, </w:t>
      </w:r>
      <w:hyperlink r:id="rId73" w:history="1">
        <w:r w:rsidRPr="00EA445C">
          <w:rPr>
            <w:rStyle w:val="Hyperlink"/>
            <w:rFonts w:ascii="Times New Roman" w:hAnsi="Times New Roman" w:cs="Times New Roman"/>
            <w:i/>
            <w:color w:val="auto"/>
            <w:lang w:val="en-US"/>
          </w:rPr>
          <w:t>https://doi.org/10.1080/07391102.2018.1528887</w:t>
        </w:r>
      </w:hyperlink>
      <w:r w:rsidRPr="00EA445C">
        <w:rPr>
          <w:rFonts w:ascii="Times New Roman" w:hAnsi="Times New Roman" w:cs="Times New Roman"/>
          <w:i/>
          <w:lang w:val="en-US"/>
        </w:rPr>
        <w:t>.</w:t>
      </w:r>
    </w:p>
    <w:p w14:paraId="7E09656E" w14:textId="77777777" w:rsidR="0021594E" w:rsidRPr="00EA445C" w:rsidRDefault="0021594E" w:rsidP="0021594E">
      <w:pPr>
        <w:spacing w:after="0"/>
        <w:jc w:val="both"/>
        <w:rPr>
          <w:rStyle w:val="markedcontent"/>
          <w:rFonts w:ascii="Times New Roman" w:hAnsi="Times New Roman" w:cs="Times New Roman"/>
          <w:i/>
          <w:lang w:val="en-US"/>
        </w:rPr>
      </w:pPr>
      <w:r w:rsidRPr="005B1C6B">
        <w:rPr>
          <w:rStyle w:val="markedcontent"/>
          <w:rFonts w:ascii="Times New Roman" w:hAnsi="Times New Roman" w:cs="Times New Roman"/>
          <w:b/>
          <w:lang w:val="en-US"/>
        </w:rPr>
        <w:t>[5]</w:t>
      </w:r>
      <w:r w:rsidRPr="005B1C6B">
        <w:rPr>
          <w:rStyle w:val="markedcontent"/>
          <w:rFonts w:ascii="Times New Roman" w:hAnsi="Times New Roman" w:cs="Times New Roman"/>
          <w:lang w:val="en-US"/>
        </w:rPr>
        <w:t xml:space="preserve"> </w:t>
      </w:r>
      <w:proofErr w:type="spellStart"/>
      <w:r w:rsidRPr="005B1C6B">
        <w:rPr>
          <w:rStyle w:val="markedcontent"/>
          <w:rFonts w:ascii="Times New Roman" w:hAnsi="Times New Roman" w:cs="Times New Roman"/>
          <w:lang w:val="en-US"/>
        </w:rPr>
        <w:t>Radite</w:t>
      </w:r>
      <w:proofErr w:type="spellEnd"/>
      <w:r w:rsidRPr="005B1C6B">
        <w:rPr>
          <w:rStyle w:val="markedcontent"/>
          <w:rFonts w:ascii="Times New Roman" w:hAnsi="Times New Roman" w:cs="Times New Roman"/>
          <w:lang w:val="en-US"/>
        </w:rPr>
        <w:t xml:space="preserve"> </w:t>
      </w:r>
      <w:proofErr w:type="spellStart"/>
      <w:r w:rsidRPr="005B1C6B">
        <w:rPr>
          <w:rStyle w:val="markedcontent"/>
          <w:rFonts w:ascii="Times New Roman" w:hAnsi="Times New Roman" w:cs="Times New Roman"/>
          <w:lang w:val="en-US"/>
        </w:rPr>
        <w:t>Yogaswara</w:t>
      </w:r>
      <w:proofErr w:type="spellEnd"/>
      <w:r w:rsidRPr="005B1C6B">
        <w:rPr>
          <w:rStyle w:val="markedcontent"/>
          <w:rFonts w:ascii="Times New Roman" w:hAnsi="Times New Roman" w:cs="Times New Roman"/>
          <w:lang w:val="en-US"/>
        </w:rPr>
        <w:t xml:space="preserve"> et al </w:t>
      </w:r>
      <w:r w:rsidRPr="005B1C6B">
        <w:rPr>
          <w:rStyle w:val="markedcontent"/>
          <w:rFonts w:ascii="Times New Roman" w:hAnsi="Times New Roman" w:cs="Times New Roman"/>
          <w:b/>
          <w:lang w:val="en-US"/>
        </w:rPr>
        <w:t>(2020).</w:t>
      </w:r>
      <w:r w:rsidRPr="005B1C6B">
        <w:rPr>
          <w:rStyle w:val="markedcontent"/>
          <w:rFonts w:ascii="Times New Roman" w:hAnsi="Times New Roman" w:cs="Times New Roman"/>
          <w:lang w:val="en-US"/>
        </w:rPr>
        <w:t xml:space="preserve"> Docking-Guided 3D-QSAR Studies of 4-Aminoquinoline-1,3,5-triazines as Inhibitors</w:t>
      </w:r>
      <w:r w:rsidRPr="005B1C6B">
        <w:rPr>
          <w:rFonts w:ascii="Times New Roman" w:hAnsi="Times New Roman" w:cs="Times New Roman"/>
          <w:lang w:val="en-US"/>
        </w:rPr>
        <w:t xml:space="preserve"> </w:t>
      </w:r>
      <w:r w:rsidRPr="005B1C6B">
        <w:rPr>
          <w:rStyle w:val="markedcontent"/>
          <w:rFonts w:ascii="Times New Roman" w:hAnsi="Times New Roman" w:cs="Times New Roman"/>
          <w:lang w:val="en-US"/>
        </w:rPr>
        <w:t xml:space="preserve">for Plasmodium falciparum Dihydrofolate Reductase. </w:t>
      </w:r>
      <w:proofErr w:type="spellStart"/>
      <w:r w:rsidRPr="00EA445C">
        <w:rPr>
          <w:rStyle w:val="markedcontent"/>
          <w:rFonts w:ascii="Times New Roman" w:hAnsi="Times New Roman" w:cs="Times New Roman"/>
          <w:i/>
          <w:lang w:val="en-US"/>
        </w:rPr>
        <w:t>Indones</w:t>
      </w:r>
      <w:proofErr w:type="spellEnd"/>
      <w:r w:rsidRPr="00EA445C">
        <w:rPr>
          <w:rStyle w:val="markedcontent"/>
          <w:rFonts w:ascii="Times New Roman" w:hAnsi="Times New Roman" w:cs="Times New Roman"/>
          <w:i/>
          <w:lang w:val="en-US"/>
        </w:rPr>
        <w:t xml:space="preserve">. J. </w:t>
      </w:r>
      <w:proofErr w:type="gramStart"/>
      <w:r w:rsidRPr="00EA445C">
        <w:rPr>
          <w:rStyle w:val="markedcontent"/>
          <w:rFonts w:ascii="Times New Roman" w:hAnsi="Times New Roman" w:cs="Times New Roman"/>
          <w:i/>
          <w:lang w:val="en-US"/>
        </w:rPr>
        <w:t>Chem. ,</w:t>
      </w:r>
      <w:proofErr w:type="gramEnd"/>
      <w:r w:rsidRPr="00EA445C">
        <w:rPr>
          <w:rStyle w:val="markedcontent"/>
          <w:rFonts w:ascii="Times New Roman" w:hAnsi="Times New Roman" w:cs="Times New Roman"/>
          <w:i/>
          <w:lang w:val="en-US"/>
        </w:rPr>
        <w:t xml:space="preserve"> 20 (6), 1455 – 1460. DOI: 10.22146/ijc.50674</w:t>
      </w:r>
    </w:p>
    <w:p w14:paraId="49852F90" w14:textId="77777777" w:rsidR="00EA445C" w:rsidRPr="00337CD7" w:rsidRDefault="00E84F95" w:rsidP="00496A88">
      <w:pPr>
        <w:pStyle w:val="Default"/>
        <w:jc w:val="both"/>
        <w:rPr>
          <w:rFonts w:eastAsia="SimSun"/>
          <w:bCs/>
          <w:color w:val="auto"/>
          <w:sz w:val="22"/>
          <w:szCs w:val="22"/>
          <w:lang w:eastAsia="zh-CN"/>
        </w:rPr>
      </w:pPr>
      <w:r w:rsidRPr="005B1C6B">
        <w:rPr>
          <w:rFonts w:eastAsia="SimSun"/>
          <w:b/>
          <w:bCs/>
          <w:color w:val="auto"/>
          <w:sz w:val="22"/>
          <w:szCs w:val="22"/>
          <w:lang w:val="en-US" w:eastAsia="zh-CN"/>
        </w:rPr>
        <w:t>[6]</w:t>
      </w:r>
      <w:r w:rsidR="00496A88" w:rsidRPr="005B1C6B">
        <w:rPr>
          <w:rFonts w:eastAsia="SimSun"/>
          <w:b/>
          <w:bCs/>
          <w:color w:val="auto"/>
          <w:sz w:val="22"/>
          <w:szCs w:val="22"/>
          <w:lang w:val="en-US" w:eastAsia="zh-CN"/>
        </w:rPr>
        <w:t xml:space="preserve"> </w:t>
      </w:r>
      <w:r w:rsidR="00496A88" w:rsidRPr="00337CD7">
        <w:rPr>
          <w:rFonts w:eastAsia="SimSun"/>
          <w:bCs/>
          <w:color w:val="auto"/>
          <w:sz w:val="22"/>
          <w:szCs w:val="22"/>
          <w:lang w:eastAsia="zh-CN"/>
        </w:rPr>
        <w:t xml:space="preserve">Anna Maria van Eijk et al. </w:t>
      </w:r>
      <w:r w:rsidR="004E1072" w:rsidRPr="00337CD7">
        <w:rPr>
          <w:rFonts w:eastAsia="SimSun"/>
          <w:bCs/>
          <w:color w:val="auto"/>
          <w:sz w:val="22"/>
          <w:szCs w:val="22"/>
          <w:lang w:eastAsia="zh-CN"/>
        </w:rPr>
        <w:t xml:space="preserve">Effect of </w:t>
      </w:r>
      <w:r w:rsidR="004E1072" w:rsidRPr="00337CD7">
        <w:rPr>
          <w:rFonts w:eastAsia="SimSun"/>
          <w:bCs/>
          <w:i/>
          <w:iCs/>
          <w:color w:val="auto"/>
          <w:sz w:val="22"/>
          <w:szCs w:val="22"/>
          <w:lang w:eastAsia="zh-CN"/>
        </w:rPr>
        <w:t>Plasmodium falciparum</w:t>
      </w:r>
      <w:r w:rsidR="004E1072" w:rsidRPr="00337CD7">
        <w:rPr>
          <w:rFonts w:eastAsia="SimSun"/>
          <w:bCs/>
          <w:color w:val="auto"/>
          <w:sz w:val="22"/>
          <w:szCs w:val="22"/>
          <w:lang w:eastAsia="zh-CN"/>
        </w:rPr>
        <w:t xml:space="preserve"> sulfadoxine-pyrimethamine resistance on the effectiveness of intermittent preventive therapy for malaria in pregnancy in Africa: a systematic review and meta-analysis</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 xml:space="preserve">March 25, 2019 </w:t>
      </w:r>
      <w:r w:rsidR="00EA445C">
        <w:fldChar w:fldCharType="begin"/>
      </w:r>
      <w:r w:rsidR="00EA445C">
        <w:instrText xml:space="preserve"> HYPERLINK "http://dx.doi.org/10.1016/" </w:instrText>
      </w:r>
      <w:r w:rsidR="00EA445C">
        <w:fldChar w:fldCharType="separate"/>
      </w:r>
      <w:r w:rsidR="00496A88" w:rsidRPr="00337CD7">
        <w:rPr>
          <w:rStyle w:val="Hyperlink"/>
          <w:rFonts w:eastAsia="SimSun"/>
          <w:bCs/>
          <w:i/>
          <w:color w:val="auto"/>
          <w:sz w:val="22"/>
          <w:szCs w:val="22"/>
          <w:lang w:eastAsia="zh-CN"/>
        </w:rPr>
        <w:t>http://dx.doi.org/10.1016/</w:t>
      </w:r>
      <w:r w:rsidR="00EA445C">
        <w:rPr>
          <w:rStyle w:val="Hyperlink"/>
          <w:rFonts w:eastAsia="SimSun"/>
          <w:bCs/>
          <w:i/>
          <w:color w:val="auto"/>
          <w:sz w:val="22"/>
          <w:szCs w:val="22"/>
          <w:lang w:eastAsia="zh-CN"/>
        </w:rPr>
        <w:fldChar w:fldCharType="end"/>
      </w:r>
      <w:r w:rsidR="00496A88" w:rsidRPr="00337CD7">
        <w:rPr>
          <w:rFonts w:eastAsia="SimSun"/>
          <w:bCs/>
          <w:i/>
          <w:color w:val="auto"/>
          <w:sz w:val="22"/>
          <w:szCs w:val="22"/>
          <w:lang w:eastAsia="zh-CN"/>
        </w:rPr>
        <w:t xml:space="preserve"> S1473-3099(18)30732-1</w:t>
      </w:r>
    </w:p>
    <w:p w14:paraId="157E71DE" w14:textId="77777777" w:rsidR="00496A88" w:rsidRPr="00337CD7" w:rsidRDefault="00E84F95" w:rsidP="00496A88">
      <w:pPr>
        <w:pStyle w:val="Default"/>
        <w:jc w:val="both"/>
        <w:rPr>
          <w:rFonts w:eastAsia="SimSun"/>
          <w:b/>
          <w:bCs/>
          <w:color w:val="auto"/>
          <w:lang w:eastAsia="zh-CN"/>
        </w:rPr>
      </w:pPr>
      <w:r w:rsidRPr="005B1C6B">
        <w:rPr>
          <w:rFonts w:eastAsia="SimSun"/>
          <w:b/>
          <w:bCs/>
          <w:color w:val="auto"/>
          <w:sz w:val="22"/>
          <w:szCs w:val="22"/>
          <w:lang w:val="en-US" w:eastAsia="zh-CN"/>
        </w:rPr>
        <w:t>[7]</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 xml:space="preserve">Georges Stephane Dembele et al. Quantitative Structure-Activity Relationship (QSAR) Study of a Series of Chalcone Derivatives Inhibiting Plasmodium Falciparum 3D7. </w:t>
      </w:r>
      <w:r w:rsidR="00496A88" w:rsidRPr="00337CD7">
        <w:rPr>
          <w:rFonts w:eastAsia="SimSun"/>
          <w:bCs/>
          <w:i/>
          <w:iCs/>
          <w:color w:val="auto"/>
          <w:sz w:val="22"/>
          <w:szCs w:val="22"/>
          <w:lang w:eastAsia="zh-CN"/>
        </w:rPr>
        <w:t>American</w:t>
      </w:r>
      <w:r w:rsidR="00496A88" w:rsidRPr="00337CD7">
        <w:rPr>
          <w:rFonts w:eastAsia="SimSun"/>
          <w:bCs/>
          <w:color w:val="auto"/>
          <w:sz w:val="22"/>
          <w:szCs w:val="22"/>
          <w:lang w:eastAsia="zh-CN"/>
        </w:rPr>
        <w:t xml:space="preserve"> </w:t>
      </w:r>
      <w:r w:rsidR="00496A88" w:rsidRPr="00337CD7">
        <w:rPr>
          <w:rFonts w:eastAsia="SimSun"/>
          <w:bCs/>
          <w:i/>
          <w:iCs/>
          <w:color w:val="auto"/>
          <w:sz w:val="22"/>
          <w:szCs w:val="22"/>
          <w:lang w:eastAsia="zh-CN"/>
        </w:rPr>
        <w:t>Journal of Physical Chemistry</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Vol. 11, No. 1, 2022, pp. 1-13. doi: 10.11648/j.ajpc.20221101.11.</w:t>
      </w:r>
    </w:p>
    <w:p w14:paraId="2EE32139" w14:textId="77777777" w:rsidR="00E84F95" w:rsidRPr="00337CD7" w:rsidRDefault="00E84F95" w:rsidP="00E84F95">
      <w:pPr>
        <w:pStyle w:val="Default"/>
        <w:jc w:val="both"/>
        <w:rPr>
          <w:rFonts w:eastAsia="SimSun"/>
          <w:bCs/>
          <w:i/>
          <w:color w:val="auto"/>
          <w:sz w:val="22"/>
          <w:szCs w:val="22"/>
          <w:lang w:eastAsia="zh-CN"/>
        </w:rPr>
      </w:pPr>
      <w:r w:rsidRPr="005B1C6B">
        <w:rPr>
          <w:rFonts w:eastAsia="SimSun"/>
          <w:b/>
          <w:bCs/>
          <w:color w:val="auto"/>
          <w:sz w:val="22"/>
          <w:szCs w:val="22"/>
          <w:lang w:val="en-US" w:eastAsia="zh-CN"/>
        </w:rPr>
        <w:t>[8]</w:t>
      </w:r>
      <w:r w:rsidR="00496A88" w:rsidRPr="00337CD7">
        <w:rPr>
          <w:rFonts w:eastAsia="SimSun"/>
          <w:bCs/>
          <w:color w:val="auto"/>
          <w:sz w:val="22"/>
          <w:szCs w:val="22"/>
          <w:lang w:eastAsia="zh-CN"/>
        </w:rPr>
        <w:t xml:space="preserve"> J. N’dri, M.-G. Kone, C. KODJO, S. AFFI, A. KABLAN, O. OUATTARA et D. Soro, </w:t>
      </w:r>
      <w:r w:rsidR="00496A88" w:rsidRPr="00337CD7">
        <w:rPr>
          <w:rFonts w:ascii="Cambria Math" w:eastAsia="SimSun" w:hAnsi="Cambria Math" w:cs="Cambria Math"/>
          <w:bCs/>
          <w:color w:val="auto"/>
          <w:sz w:val="22"/>
          <w:szCs w:val="22"/>
          <w:lang w:eastAsia="zh-CN"/>
        </w:rPr>
        <w:t>≪</w:t>
      </w:r>
      <w:r w:rsidR="00496A88" w:rsidRPr="00337CD7">
        <w:rPr>
          <w:rFonts w:eastAsia="SimSun"/>
          <w:bCs/>
          <w:color w:val="auto"/>
          <w:sz w:val="22"/>
          <w:szCs w:val="22"/>
          <w:lang w:eastAsia="zh-CN"/>
        </w:rPr>
        <w:t>Quantitative Activity Structure Relationship (QSAR) of a Series of Azet idinones Derived from Dap-sone by the Method of Density Functional Theory(DFT)</w:t>
      </w:r>
      <w:r w:rsidR="00496A88" w:rsidRPr="00337CD7">
        <w:rPr>
          <w:rFonts w:ascii="Cambria Math" w:eastAsia="SimSun" w:hAnsi="Cambria Math" w:cs="Cambria Math"/>
          <w:bCs/>
          <w:color w:val="auto"/>
          <w:sz w:val="22"/>
          <w:szCs w:val="22"/>
          <w:lang w:eastAsia="zh-CN"/>
        </w:rPr>
        <w:t>≫</w:t>
      </w:r>
      <w:r w:rsidR="00496A88" w:rsidRPr="00337CD7">
        <w:rPr>
          <w:rFonts w:eastAsia="SimSun"/>
          <w:bCs/>
          <w:color w:val="auto"/>
          <w:sz w:val="22"/>
          <w:szCs w:val="22"/>
          <w:lang w:eastAsia="zh-CN"/>
        </w:rPr>
        <w:t xml:space="preserve"> </w:t>
      </w:r>
      <w:r w:rsidR="00496A88" w:rsidRPr="00337CD7">
        <w:rPr>
          <w:rFonts w:eastAsia="SimSun"/>
          <w:bCs/>
          <w:i/>
          <w:color w:val="auto"/>
          <w:sz w:val="22"/>
          <w:szCs w:val="22"/>
          <w:lang w:eastAsia="zh-CN"/>
        </w:rPr>
        <w:t>IRA International Journal of Applied Sciences (ISSN 2455-4499), vol. 8, n°%12, pp. 55-62, 2017.</w:t>
      </w:r>
    </w:p>
    <w:p w14:paraId="5A7E5DCC" w14:textId="77777777" w:rsidR="00496A88" w:rsidRPr="00337CD7" w:rsidRDefault="00E84F95" w:rsidP="00496A88">
      <w:pPr>
        <w:pStyle w:val="Default"/>
        <w:rPr>
          <w:rFonts w:eastAsia="SimSun"/>
          <w:bCs/>
          <w:color w:val="auto"/>
          <w:sz w:val="22"/>
          <w:szCs w:val="22"/>
          <w:lang w:eastAsia="zh-CN"/>
        </w:rPr>
      </w:pPr>
      <w:r w:rsidRPr="005B1C6B">
        <w:rPr>
          <w:rFonts w:eastAsia="SimSun"/>
          <w:b/>
          <w:bCs/>
          <w:color w:val="auto"/>
          <w:sz w:val="22"/>
          <w:szCs w:val="22"/>
          <w:lang w:val="en-US" w:eastAsia="zh-CN"/>
        </w:rPr>
        <w:t>[9]</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Giordano, D.; Biancaniello, C.; Argenio, M.A.; Facchiano, A. Drug Design by Pharmacophore and</w:t>
      </w:r>
      <w:r w:rsidR="00496A88" w:rsidRPr="005B1C6B">
        <w:rPr>
          <w:rFonts w:eastAsia="SimSun"/>
          <w:bCs/>
          <w:color w:val="auto"/>
          <w:sz w:val="22"/>
          <w:szCs w:val="22"/>
          <w:lang w:val="en-US" w:eastAsia="zh-CN"/>
        </w:rPr>
        <w:t xml:space="preserve"> </w:t>
      </w:r>
      <w:r w:rsidR="00496A88" w:rsidRPr="00337CD7">
        <w:rPr>
          <w:rFonts w:eastAsia="SimSun"/>
          <w:bCs/>
          <w:color w:val="auto"/>
          <w:sz w:val="22"/>
          <w:szCs w:val="22"/>
          <w:lang w:eastAsia="zh-CN"/>
        </w:rPr>
        <w:t xml:space="preserve">Virtual Screening Approach. Pharmaceuticals 2022, 15, 646. </w:t>
      </w:r>
      <w:r w:rsidR="00EA445C">
        <w:fldChar w:fldCharType="begin"/>
      </w:r>
      <w:r w:rsidR="00EA445C">
        <w:instrText xml:space="preserve"> HYPERLINK "https://doi.org/10.3390/ph15050646" </w:instrText>
      </w:r>
      <w:r w:rsidR="00EA445C">
        <w:fldChar w:fldCharType="separate"/>
      </w:r>
      <w:r w:rsidR="00496A88" w:rsidRPr="00337CD7">
        <w:rPr>
          <w:rStyle w:val="Hyperlink"/>
          <w:rFonts w:eastAsia="SimSun"/>
          <w:bCs/>
          <w:color w:val="auto"/>
          <w:sz w:val="22"/>
          <w:szCs w:val="22"/>
          <w:lang w:eastAsia="zh-CN"/>
        </w:rPr>
        <w:t>https://doi.org/10.3390/ph15050646</w:t>
      </w:r>
      <w:r w:rsidR="00EA445C">
        <w:rPr>
          <w:rStyle w:val="Hyperlink"/>
          <w:rFonts w:eastAsia="SimSun"/>
          <w:bCs/>
          <w:color w:val="auto"/>
          <w:sz w:val="22"/>
          <w:szCs w:val="22"/>
          <w:lang w:eastAsia="zh-CN"/>
        </w:rPr>
        <w:fldChar w:fldCharType="end"/>
      </w:r>
    </w:p>
    <w:p w14:paraId="3CE14FFF" w14:textId="77777777" w:rsidR="00496A88" w:rsidRPr="00337CD7" w:rsidRDefault="00496A88" w:rsidP="00496A88">
      <w:pPr>
        <w:pStyle w:val="Default"/>
        <w:jc w:val="both"/>
        <w:rPr>
          <w:rFonts w:eastAsia="SimSun"/>
          <w:bCs/>
          <w:color w:val="auto"/>
          <w:sz w:val="22"/>
          <w:szCs w:val="22"/>
          <w:lang w:eastAsia="zh-CN"/>
        </w:rPr>
      </w:pPr>
      <w:r w:rsidRPr="00337CD7">
        <w:rPr>
          <w:rFonts w:eastAsia="SimSun"/>
          <w:b/>
          <w:bCs/>
          <w:color w:val="auto"/>
          <w:sz w:val="22"/>
          <w:szCs w:val="22"/>
          <w:lang w:eastAsia="zh-CN"/>
        </w:rPr>
        <w:t>[10]</w:t>
      </w:r>
      <w:r w:rsidRPr="00337CD7">
        <w:rPr>
          <w:rFonts w:eastAsia="SimSun"/>
          <w:bCs/>
          <w:color w:val="auto"/>
          <w:sz w:val="22"/>
          <w:szCs w:val="22"/>
          <w:lang w:eastAsia="zh-CN"/>
        </w:rPr>
        <w:t xml:space="preserve"> Seidel, T.; Schuetz, D.A.; Garon, A.; Langer, T. The Pharmacophore Concept and Its Applications in Computer-Aided Drug Design. Prog. </w:t>
      </w:r>
      <w:r w:rsidRPr="00337CD7">
        <w:rPr>
          <w:rFonts w:eastAsia="SimSun"/>
          <w:bCs/>
          <w:i/>
          <w:color w:val="auto"/>
          <w:sz w:val="22"/>
          <w:szCs w:val="22"/>
          <w:lang w:eastAsia="zh-CN"/>
        </w:rPr>
        <w:t>Chem. Org. Nat. Prod. 2019, 110, 99–141.</w:t>
      </w:r>
      <w:r w:rsidRPr="00337CD7">
        <w:rPr>
          <w:rFonts w:eastAsia="SimSun"/>
          <w:bCs/>
          <w:color w:val="auto"/>
          <w:sz w:val="22"/>
          <w:szCs w:val="22"/>
          <w:lang w:eastAsia="zh-CN"/>
        </w:rPr>
        <w:t xml:space="preserve"> [</w:t>
      </w:r>
    </w:p>
    <w:p w14:paraId="2AC6D144" w14:textId="77777777" w:rsidR="00496A88" w:rsidRPr="00337CD7" w:rsidRDefault="00496A88" w:rsidP="00496A88">
      <w:pPr>
        <w:pStyle w:val="Default"/>
        <w:jc w:val="both"/>
        <w:rPr>
          <w:rFonts w:eastAsia="SimSun"/>
          <w:bCs/>
          <w:i/>
          <w:color w:val="auto"/>
          <w:sz w:val="22"/>
          <w:szCs w:val="22"/>
          <w:lang w:eastAsia="zh-CN"/>
        </w:rPr>
      </w:pPr>
      <w:r w:rsidRPr="00337CD7">
        <w:rPr>
          <w:rFonts w:eastAsia="SimSun"/>
          <w:b/>
          <w:bCs/>
          <w:color w:val="auto"/>
          <w:sz w:val="22"/>
          <w:szCs w:val="22"/>
          <w:lang w:eastAsia="zh-CN"/>
        </w:rPr>
        <w:t>[11]</w:t>
      </w:r>
      <w:r w:rsidRPr="00337CD7">
        <w:rPr>
          <w:rFonts w:eastAsia="SimSun"/>
          <w:bCs/>
          <w:color w:val="auto"/>
          <w:sz w:val="22"/>
          <w:szCs w:val="22"/>
          <w:lang w:eastAsia="zh-CN"/>
        </w:rPr>
        <w:t xml:space="preserve"> Seidel, T.;Wieder, O.; Garon, A.; Langer, T. Applications of the Pharmacophore Concept in Natural Product Inspired Drug Design.Mol</w:t>
      </w:r>
      <w:r w:rsidRPr="00337CD7">
        <w:rPr>
          <w:rFonts w:eastAsia="SimSun"/>
          <w:bCs/>
          <w:i/>
          <w:color w:val="auto"/>
          <w:sz w:val="22"/>
          <w:szCs w:val="22"/>
          <w:lang w:eastAsia="zh-CN"/>
        </w:rPr>
        <w:t xml:space="preserve">. Inform. 2020, 39, 1–11. </w:t>
      </w:r>
    </w:p>
    <w:p w14:paraId="2856D933" w14:textId="77777777" w:rsidR="00E84F95" w:rsidRPr="00337CD7" w:rsidRDefault="00A6052C" w:rsidP="00496A88">
      <w:pPr>
        <w:pStyle w:val="Default"/>
        <w:jc w:val="both"/>
        <w:rPr>
          <w:rFonts w:eastAsia="SimSun"/>
          <w:bCs/>
          <w:i/>
          <w:color w:val="auto"/>
          <w:sz w:val="22"/>
          <w:szCs w:val="22"/>
          <w:lang w:eastAsia="zh-CN"/>
        </w:rPr>
      </w:pPr>
      <w:r w:rsidRPr="00337CD7">
        <w:rPr>
          <w:b/>
          <w:bCs/>
          <w:color w:val="auto"/>
          <w:sz w:val="22"/>
          <w:szCs w:val="22"/>
        </w:rPr>
        <w:t>[</w:t>
      </w:r>
      <w:r w:rsidR="00E84F95" w:rsidRPr="005B1C6B">
        <w:rPr>
          <w:b/>
          <w:bCs/>
          <w:color w:val="auto"/>
          <w:sz w:val="22"/>
          <w:szCs w:val="22"/>
          <w:lang w:val="en-US"/>
        </w:rPr>
        <w:t>12</w:t>
      </w:r>
      <w:r w:rsidR="00E84F95" w:rsidRPr="00337CD7">
        <w:rPr>
          <w:b/>
          <w:bCs/>
          <w:color w:val="auto"/>
          <w:sz w:val="22"/>
          <w:szCs w:val="22"/>
        </w:rPr>
        <w:t>] -</w:t>
      </w:r>
      <w:r w:rsidR="00E84F95" w:rsidRPr="00337CD7">
        <w:rPr>
          <w:color w:val="auto"/>
          <w:sz w:val="22"/>
          <w:szCs w:val="22"/>
        </w:rPr>
        <w:t xml:space="preserve"> L. R., Domingo, M., Ríos-gutiérrez, and P., Pérez, “Applications of the Conceptual Density Functional Theory Indices to Organic Chemistry Reactivity,” </w:t>
      </w:r>
      <w:r w:rsidR="00E84F95" w:rsidRPr="00337CD7">
        <w:rPr>
          <w:iCs/>
          <w:color w:val="auto"/>
          <w:sz w:val="22"/>
          <w:szCs w:val="22"/>
        </w:rPr>
        <w:t>molecules</w:t>
      </w:r>
      <w:r w:rsidR="00E84F95" w:rsidRPr="00337CD7">
        <w:rPr>
          <w:color w:val="auto"/>
          <w:sz w:val="22"/>
          <w:szCs w:val="22"/>
        </w:rPr>
        <w:t xml:space="preserve">, vol. 21, 784, 2016. </w:t>
      </w:r>
    </w:p>
    <w:p w14:paraId="26D7358C" w14:textId="77777777" w:rsidR="00BD31C4" w:rsidRPr="005B1C6B" w:rsidRDefault="00BD31C4" w:rsidP="00BD31C4">
      <w:pPr>
        <w:autoSpaceDE w:val="0"/>
        <w:autoSpaceDN w:val="0"/>
        <w:adjustRightInd w:val="0"/>
        <w:spacing w:after="0" w:line="240" w:lineRule="auto"/>
        <w:jc w:val="both"/>
        <w:rPr>
          <w:rFonts w:ascii="Times New Roman" w:hAnsi="Times New Roman" w:cs="Times New Roman"/>
          <w:lang w:val="en-US"/>
        </w:rPr>
      </w:pPr>
      <w:r w:rsidRPr="005B1C6B">
        <w:rPr>
          <w:rFonts w:ascii="Times New Roman" w:hAnsi="Times New Roman" w:cs="Times New Roman"/>
          <w:b/>
          <w:bCs/>
          <w:lang w:val="en-US"/>
        </w:rPr>
        <w:t xml:space="preserve">[13] </w:t>
      </w:r>
      <w:r w:rsidRPr="005B1C6B">
        <w:rPr>
          <w:rFonts w:ascii="Times New Roman" w:hAnsi="Times New Roman" w:cs="Times New Roman"/>
          <w:lang w:val="en-US"/>
        </w:rPr>
        <w:t xml:space="preserve">[C.; Argenio, M.A.; Facchiano, A. Drug Design by Pharmacophore and Virtual Screening Approach. </w:t>
      </w:r>
      <w:r w:rsidRPr="005B1C6B">
        <w:rPr>
          <w:rFonts w:ascii="Times New Roman" w:hAnsi="Times New Roman" w:cs="Times New Roman"/>
          <w:i/>
          <w:lang w:val="en-US"/>
        </w:rPr>
        <w:t xml:space="preserve">Pharmaceuticals </w:t>
      </w:r>
      <w:r w:rsidRPr="005B1C6B">
        <w:rPr>
          <w:rFonts w:ascii="Times New Roman" w:hAnsi="Times New Roman" w:cs="Times New Roman"/>
          <w:b/>
          <w:bCs/>
          <w:i/>
          <w:lang w:val="en-US"/>
        </w:rPr>
        <w:t>2022</w:t>
      </w:r>
      <w:r w:rsidRPr="005B1C6B">
        <w:rPr>
          <w:rFonts w:ascii="Times New Roman" w:hAnsi="Times New Roman" w:cs="Times New Roman"/>
          <w:i/>
          <w:lang w:val="en-US"/>
        </w:rPr>
        <w:t xml:space="preserve">, 15, 646. </w:t>
      </w:r>
      <w:hyperlink r:id="rId74" w:history="1">
        <w:r w:rsidRPr="005B1C6B">
          <w:rPr>
            <w:rStyle w:val="Hyperlink"/>
            <w:rFonts w:ascii="Times New Roman" w:hAnsi="Times New Roman" w:cs="Times New Roman"/>
            <w:i/>
            <w:color w:val="auto"/>
            <w:lang w:val="en-US"/>
          </w:rPr>
          <w:t>https://doi.org/10.3390/ph15050646</w:t>
        </w:r>
      </w:hyperlink>
    </w:p>
    <w:p w14:paraId="292E024B" w14:textId="77777777" w:rsidR="00BD31C4" w:rsidRPr="005B1C6B" w:rsidRDefault="00BD31C4" w:rsidP="00BD31C4">
      <w:pPr>
        <w:autoSpaceDE w:val="0"/>
        <w:autoSpaceDN w:val="0"/>
        <w:adjustRightInd w:val="0"/>
        <w:spacing w:after="0" w:line="240" w:lineRule="auto"/>
        <w:rPr>
          <w:rFonts w:ascii="Times New Roman" w:hAnsi="Times New Roman" w:cs="Times New Roman"/>
          <w:i/>
          <w:lang w:val="en-US"/>
        </w:rPr>
      </w:pPr>
      <w:r w:rsidRPr="005B1C6B">
        <w:rPr>
          <w:rFonts w:ascii="Times New Roman" w:hAnsi="Times New Roman" w:cs="Times New Roman"/>
          <w:b/>
          <w:lang w:val="en-US"/>
        </w:rPr>
        <w:t>[14]</w:t>
      </w:r>
      <w:r w:rsidRPr="005B1C6B">
        <w:rPr>
          <w:rFonts w:ascii="Times New Roman" w:hAnsi="Times New Roman" w:cs="Times New Roman"/>
          <w:lang w:val="en-US"/>
        </w:rPr>
        <w:t xml:space="preserve"> Choudhury, C.; Narahari Sastry, G. Pharmacophore Modelling and Screening: Concepts, Recent Developments and Applications in Rational Drug Design. </w:t>
      </w:r>
      <w:r w:rsidRPr="005B1C6B">
        <w:rPr>
          <w:rFonts w:ascii="Times New Roman" w:hAnsi="Times New Roman" w:cs="Times New Roman"/>
          <w:i/>
          <w:lang w:val="en-US"/>
        </w:rPr>
        <w:t xml:space="preserve">Chall. Adv. </w:t>
      </w:r>
      <w:proofErr w:type="spellStart"/>
      <w:r w:rsidRPr="005B1C6B">
        <w:rPr>
          <w:rFonts w:ascii="Times New Roman" w:hAnsi="Times New Roman" w:cs="Times New Roman"/>
          <w:i/>
          <w:lang w:val="en-US"/>
        </w:rPr>
        <w:t>Comput</w:t>
      </w:r>
      <w:proofErr w:type="spellEnd"/>
      <w:r w:rsidRPr="005B1C6B">
        <w:rPr>
          <w:rFonts w:ascii="Times New Roman" w:hAnsi="Times New Roman" w:cs="Times New Roman"/>
          <w:i/>
          <w:lang w:val="en-US"/>
        </w:rPr>
        <w:t xml:space="preserve">. Chem. Phys. </w:t>
      </w:r>
      <w:r w:rsidRPr="005B1C6B">
        <w:rPr>
          <w:rFonts w:ascii="Times New Roman" w:hAnsi="Times New Roman" w:cs="Times New Roman"/>
          <w:b/>
          <w:bCs/>
          <w:i/>
          <w:lang w:val="en-US"/>
        </w:rPr>
        <w:t>2019</w:t>
      </w:r>
      <w:r w:rsidRPr="005B1C6B">
        <w:rPr>
          <w:rFonts w:ascii="Times New Roman" w:hAnsi="Times New Roman" w:cs="Times New Roman"/>
          <w:i/>
          <w:lang w:val="en-US"/>
        </w:rPr>
        <w:t>, 27, 25–53</w:t>
      </w:r>
    </w:p>
    <w:p w14:paraId="651AC731" w14:textId="77777777" w:rsidR="005C773F" w:rsidRPr="005B1C6B" w:rsidRDefault="00BD31C4" w:rsidP="005C773F">
      <w:pPr>
        <w:spacing w:after="0"/>
        <w:jc w:val="both"/>
        <w:rPr>
          <w:rFonts w:ascii="Times New Roman" w:hAnsi="Times New Roman" w:cs="Times New Roman"/>
          <w:lang w:val="en-US"/>
        </w:rPr>
      </w:pPr>
      <w:r w:rsidRPr="005B1C6B">
        <w:rPr>
          <w:rFonts w:ascii="Times New Roman" w:hAnsi="Times New Roman" w:cs="Times New Roman"/>
          <w:b/>
          <w:bCs/>
          <w:lang w:val="en-US"/>
        </w:rPr>
        <w:t>[15]</w:t>
      </w:r>
      <w:r w:rsidR="005C773F" w:rsidRPr="005B1C6B">
        <w:rPr>
          <w:rFonts w:ascii="Times New Roman" w:hAnsi="Times New Roman" w:cs="Times New Roman"/>
          <w:b/>
          <w:bCs/>
          <w:lang w:val="en-US"/>
        </w:rPr>
        <w:t xml:space="preserve"> </w:t>
      </w:r>
      <w:proofErr w:type="spellStart"/>
      <w:proofErr w:type="gramStart"/>
      <w:r w:rsidR="005C773F" w:rsidRPr="005B1C6B">
        <w:rPr>
          <w:rStyle w:val="title-text"/>
          <w:rFonts w:ascii="Times New Roman" w:hAnsi="Times New Roman" w:cs="Times New Roman"/>
          <w:lang w:val="en-US"/>
        </w:rPr>
        <w:t>P.Sangeethaet</w:t>
      </w:r>
      <w:proofErr w:type="spellEnd"/>
      <w:proofErr w:type="gramEnd"/>
      <w:r w:rsidR="005C773F" w:rsidRPr="005B1C6B">
        <w:rPr>
          <w:rStyle w:val="title-text"/>
          <w:rFonts w:ascii="Times New Roman" w:hAnsi="Times New Roman" w:cs="Times New Roman"/>
          <w:lang w:val="en-US"/>
        </w:rPr>
        <w:t xml:space="preserve"> al. Electronic properties of solvents (Water, Benzene, Ethanol) using IEFPCM model, spectroscopic exploration with drug likeness and assessment of molecular docking on 1-Octanesulfonic Acid Sodium Salt. </w:t>
      </w:r>
      <w:hyperlink r:id="rId75" w:tooltip="Go to Journal of Molecular Liquids on ScienceDirect" w:history="1">
        <w:r w:rsidR="005C773F" w:rsidRPr="005B1C6B">
          <w:rPr>
            <w:rStyle w:val="anchor-text"/>
            <w:rFonts w:ascii="Times New Roman" w:hAnsi="Times New Roman" w:cs="Times New Roman"/>
            <w:u w:val="single"/>
            <w:lang w:val="en-US"/>
          </w:rPr>
          <w:t>Journal of Molecular Liquids</w:t>
        </w:r>
      </w:hyperlink>
      <w:r w:rsidR="005C773F" w:rsidRPr="005B1C6B">
        <w:rPr>
          <w:rFonts w:ascii="Times New Roman" w:hAnsi="Times New Roman" w:cs="Times New Roman"/>
          <w:lang w:val="en-US"/>
        </w:rPr>
        <w:t xml:space="preserve"> , </w:t>
      </w:r>
      <w:hyperlink r:id="rId76" w:tooltip="Go to table of contents for this volume/issue" w:history="1">
        <w:r w:rsidR="005C773F" w:rsidRPr="005B1C6B">
          <w:rPr>
            <w:rStyle w:val="anchor-text"/>
            <w:rFonts w:ascii="Times New Roman" w:hAnsi="Times New Roman" w:cs="Times New Roman"/>
            <w:u w:val="single"/>
            <w:lang w:val="en-US"/>
          </w:rPr>
          <w:t>Volume 344</w:t>
        </w:r>
      </w:hyperlink>
      <w:r w:rsidR="005C773F" w:rsidRPr="005B1C6B">
        <w:rPr>
          <w:rFonts w:ascii="Times New Roman" w:hAnsi="Times New Roman" w:cs="Times New Roman"/>
          <w:lang w:val="en-US"/>
        </w:rPr>
        <w:t xml:space="preserve">, 15 December 2021, 117719 </w:t>
      </w:r>
      <w:hyperlink r:id="rId77" w:tgtFrame="_blank" w:tooltip="Persistent link using digital object identifier" w:history="1">
        <w:r w:rsidR="005C773F" w:rsidRPr="005B1C6B">
          <w:rPr>
            <w:rStyle w:val="Hyperlink"/>
            <w:rFonts w:ascii="Times New Roman" w:hAnsi="Times New Roman" w:cs="Times New Roman"/>
            <w:color w:val="auto"/>
            <w:lang w:val="en-US"/>
          </w:rPr>
          <w:t>https://doi.org/10.1016/j.molliq.2021.117719</w:t>
        </w:r>
      </w:hyperlink>
      <w:r w:rsidR="005C773F" w:rsidRPr="005B1C6B">
        <w:rPr>
          <w:rFonts w:ascii="Times New Roman" w:hAnsi="Times New Roman" w:cs="Times New Roman"/>
          <w:lang w:val="en-US"/>
        </w:rPr>
        <w:t xml:space="preserve"> </w:t>
      </w:r>
    </w:p>
    <w:p w14:paraId="4F589BBC" w14:textId="77777777" w:rsidR="00E84F95" w:rsidRPr="00EA445C" w:rsidRDefault="005C773F" w:rsidP="003F773A">
      <w:pPr>
        <w:spacing w:after="0"/>
        <w:jc w:val="both"/>
        <w:rPr>
          <w:rFonts w:ascii="Times New Roman" w:hAnsi="Times New Roman" w:cs="Times New Roman"/>
          <w:i/>
          <w:lang w:val="en-US"/>
        </w:rPr>
      </w:pPr>
      <w:r w:rsidRPr="00337CD7">
        <w:rPr>
          <w:rStyle w:val="title-text"/>
          <w:rFonts w:ascii="Times New Roman" w:hAnsi="Times New Roman" w:cs="Times New Roman"/>
          <w:b/>
        </w:rPr>
        <w:t>[16]</w:t>
      </w:r>
      <w:r w:rsidRPr="00337CD7">
        <w:rPr>
          <w:rStyle w:val="title-text"/>
          <w:rFonts w:ascii="Times New Roman" w:hAnsi="Times New Roman" w:cs="Times New Roman"/>
        </w:rPr>
        <w:t xml:space="preserve"> </w:t>
      </w:r>
      <w:proofErr w:type="spellStart"/>
      <w:r w:rsidRPr="00337CD7">
        <w:rPr>
          <w:rStyle w:val="title-text"/>
          <w:rFonts w:ascii="Times New Roman" w:hAnsi="Times New Roman" w:cs="Times New Roman"/>
        </w:rPr>
        <w:t>Jamelah.Al-Otaibi</w:t>
      </w:r>
      <w:proofErr w:type="spellEnd"/>
      <w:r w:rsidRPr="00337CD7">
        <w:rPr>
          <w:rStyle w:val="title-text"/>
          <w:rFonts w:ascii="Times New Roman" w:hAnsi="Times New Roman" w:cs="Times New Roman"/>
        </w:rPr>
        <w:t xml:space="preserve"> et al. </w:t>
      </w:r>
      <w:r w:rsidRPr="005B1C6B">
        <w:rPr>
          <w:rStyle w:val="title-text"/>
          <w:rFonts w:ascii="Times New Roman" w:hAnsi="Times New Roman" w:cs="Times New Roman"/>
          <w:lang w:val="en-US"/>
        </w:rPr>
        <w:t xml:space="preserve">DFT, solvation effects, reactivity and SERS analysis on structural, optical, and vibrational properties of a biomolecule of pyrimidine derivative adsorbed on metal clusters of Ag/Au/Cu. </w:t>
      </w:r>
      <w:hyperlink r:id="rId78" w:tooltip="Go to Journal of the Indian Chemical Society on ScienceDirect" w:history="1">
        <w:r w:rsidRPr="005B1C6B">
          <w:rPr>
            <w:rStyle w:val="anchor-text"/>
            <w:rFonts w:ascii="Times New Roman" w:hAnsi="Times New Roman" w:cs="Times New Roman"/>
            <w:i/>
            <w:u w:val="single"/>
            <w:lang w:val="en-US"/>
          </w:rPr>
          <w:t>Journal of the Indian Chemical Society</w:t>
        </w:r>
      </w:hyperlink>
      <w:r w:rsidRPr="005B1C6B">
        <w:rPr>
          <w:rFonts w:ascii="Times New Roman" w:hAnsi="Times New Roman" w:cs="Times New Roman"/>
          <w:i/>
          <w:lang w:val="en-US"/>
        </w:rPr>
        <w:t xml:space="preserve"> </w:t>
      </w:r>
      <w:hyperlink r:id="rId79" w:tooltip="Go to table of contents for this volume/issue" w:history="1">
        <w:r w:rsidRPr="005B1C6B">
          <w:rPr>
            <w:rStyle w:val="anchor-text"/>
            <w:rFonts w:ascii="Times New Roman" w:hAnsi="Times New Roman" w:cs="Times New Roman"/>
            <w:i/>
            <w:u w:val="single"/>
            <w:lang w:val="en-US"/>
          </w:rPr>
          <w:t>Volume 99, Issue 11</w:t>
        </w:r>
      </w:hyperlink>
      <w:r w:rsidRPr="005B1C6B">
        <w:rPr>
          <w:rFonts w:ascii="Times New Roman" w:hAnsi="Times New Roman" w:cs="Times New Roman"/>
          <w:i/>
          <w:lang w:val="en-US"/>
        </w:rPr>
        <w:t>, November 2022, 100753</w:t>
      </w:r>
      <w:r w:rsidRPr="005B1C6B">
        <w:rPr>
          <w:rFonts w:ascii="Times New Roman" w:hAnsi="Times New Roman" w:cs="Times New Roman"/>
          <w:b/>
          <w:bCs/>
          <w:lang w:val="en-US"/>
        </w:rPr>
        <w:t xml:space="preserve"> </w:t>
      </w:r>
      <w:r w:rsidR="00BD31C4" w:rsidRPr="005B1C6B">
        <w:rPr>
          <w:rFonts w:ascii="Times New Roman" w:hAnsi="Times New Roman" w:cs="Times New Roman"/>
          <w:b/>
          <w:bCs/>
          <w:lang w:val="en-US"/>
        </w:rPr>
        <w:t>[17]</w:t>
      </w:r>
      <w:r w:rsidR="00BD31C4" w:rsidRPr="00337CD7">
        <w:rPr>
          <w:rFonts w:ascii="Times New Roman" w:hAnsi="Times New Roman" w:cs="Times New Roman"/>
          <w:b/>
          <w:lang w:val="en-GB"/>
        </w:rPr>
        <w:t xml:space="preserve"> </w:t>
      </w:r>
      <w:r w:rsidR="00E84F95" w:rsidRPr="00337CD7">
        <w:rPr>
          <w:rFonts w:ascii="Times New Roman" w:hAnsi="Times New Roman" w:cs="Times New Roman"/>
          <w:lang w:val="en-GB"/>
        </w:rPr>
        <w:t xml:space="preserve">Lipinski C. A., </w:t>
      </w:r>
      <w:proofErr w:type="spellStart"/>
      <w:r w:rsidR="00E84F95" w:rsidRPr="00337CD7">
        <w:rPr>
          <w:rFonts w:ascii="Times New Roman" w:hAnsi="Times New Roman" w:cs="Times New Roman"/>
          <w:lang w:val="en-GB"/>
        </w:rPr>
        <w:t>Lambardo</w:t>
      </w:r>
      <w:proofErr w:type="spellEnd"/>
      <w:r w:rsidR="00E84F95" w:rsidRPr="00337CD7">
        <w:rPr>
          <w:rFonts w:ascii="Times New Roman" w:hAnsi="Times New Roman" w:cs="Times New Roman"/>
          <w:lang w:val="en-GB"/>
        </w:rPr>
        <w:t xml:space="preserve"> F., Domini B. W., </w:t>
      </w:r>
      <w:proofErr w:type="spellStart"/>
      <w:r w:rsidR="00E84F95" w:rsidRPr="00337CD7">
        <w:rPr>
          <w:rFonts w:ascii="Times New Roman" w:hAnsi="Times New Roman" w:cs="Times New Roman"/>
          <w:lang w:val="en-GB"/>
        </w:rPr>
        <w:t>Feney</w:t>
      </w:r>
      <w:proofErr w:type="spellEnd"/>
      <w:r w:rsidR="00E84F95" w:rsidRPr="00337CD7">
        <w:rPr>
          <w:rFonts w:ascii="Times New Roman" w:hAnsi="Times New Roman" w:cs="Times New Roman"/>
          <w:lang w:val="en-GB"/>
        </w:rPr>
        <w:t xml:space="preserve"> P. J. Experimental and computational approaches to estimate solubility and permeability in drug discovery and development settings. Advanced Drug Delivery Reviews. 1997; 23: 3-25.</w:t>
      </w:r>
    </w:p>
    <w:p w14:paraId="155B5B95" w14:textId="77777777" w:rsidR="003F773A" w:rsidRPr="005B1C6B" w:rsidRDefault="00BD31C4" w:rsidP="003F773A">
      <w:pPr>
        <w:spacing w:after="0" w:line="240" w:lineRule="auto"/>
        <w:jc w:val="both"/>
        <w:rPr>
          <w:rFonts w:ascii="Times New Roman" w:hAnsi="Times New Roman" w:cs="Times New Roman"/>
          <w:lang w:val="en-US"/>
        </w:rPr>
      </w:pPr>
      <w:r w:rsidRPr="005B1C6B">
        <w:rPr>
          <w:rFonts w:ascii="Times New Roman" w:hAnsi="Times New Roman" w:cs="Times New Roman"/>
          <w:b/>
          <w:bCs/>
          <w:lang w:val="en-US"/>
        </w:rPr>
        <w:t>[18</w:t>
      </w:r>
      <w:proofErr w:type="gramStart"/>
      <w:r w:rsidRPr="005B1C6B">
        <w:rPr>
          <w:rFonts w:ascii="Times New Roman" w:hAnsi="Times New Roman" w:cs="Times New Roman"/>
          <w:b/>
          <w:bCs/>
          <w:lang w:val="en-US"/>
        </w:rPr>
        <w:t>]</w:t>
      </w:r>
      <w:r w:rsidR="003F773A" w:rsidRPr="005B1C6B">
        <w:rPr>
          <w:rFonts w:ascii="Times New Roman" w:hAnsi="Times New Roman" w:cs="Times New Roman"/>
          <w:b/>
          <w:bCs/>
          <w:lang w:val="en-US"/>
        </w:rPr>
        <w:t xml:space="preserve"> </w:t>
      </w:r>
      <w:r w:rsidR="003F773A" w:rsidRPr="005B1C6B">
        <w:rPr>
          <w:rFonts w:ascii="Times New Roman" w:hAnsi="Times New Roman" w:cs="Times New Roman"/>
          <w:lang w:val="en-US"/>
        </w:rPr>
        <w:t xml:space="preserve"> Peter</w:t>
      </w:r>
      <w:proofErr w:type="gramEnd"/>
      <w:r w:rsidR="003F773A" w:rsidRPr="005B1C6B">
        <w:rPr>
          <w:rFonts w:ascii="Times New Roman" w:hAnsi="Times New Roman" w:cs="Times New Roman"/>
          <w:lang w:val="en-US"/>
        </w:rPr>
        <w:t xml:space="preserve"> Ertl, Bernhard Rohde, and Paul Selzer. </w:t>
      </w:r>
      <w:r w:rsidR="003F773A" w:rsidRPr="005B1C6B">
        <w:rPr>
          <w:rFonts w:ascii="Times New Roman" w:hAnsi="Times New Roman" w:cs="Times New Roman"/>
          <w:bCs/>
          <w:lang w:val="en-US"/>
        </w:rPr>
        <w:t>Fast Calculation of Molecular Polar Surface Area as a Sum of Fragment-Based Contributions and Its Application to the Prediction of Drug Transport Properties</w:t>
      </w:r>
      <w:r w:rsidR="003F773A" w:rsidRPr="005B1C6B">
        <w:rPr>
          <w:rFonts w:ascii="Times New Roman" w:hAnsi="Times New Roman" w:cs="Times New Roman"/>
          <w:lang w:val="en-US"/>
        </w:rPr>
        <w:t xml:space="preserve">. </w:t>
      </w:r>
      <w:hyperlink r:id="rId80" w:history="1">
        <w:r w:rsidR="003F773A" w:rsidRPr="005B1C6B">
          <w:rPr>
            <w:rStyle w:val="Hyperlink"/>
            <w:rFonts w:ascii="Times New Roman" w:hAnsi="Times New Roman" w:cs="Times New Roman"/>
            <w:color w:val="auto"/>
            <w:lang w:val="en-US"/>
          </w:rPr>
          <w:t>Journal of Medicinal Chemistry</w:t>
        </w:r>
      </w:hyperlink>
      <w:r w:rsidR="003F773A" w:rsidRPr="005B1C6B">
        <w:rPr>
          <w:rFonts w:ascii="Times New Roman" w:hAnsi="Times New Roman" w:cs="Times New Roman"/>
          <w:lang w:val="en-US"/>
        </w:rPr>
        <w:t xml:space="preserve"> 43(20):3714-7 DOI:</w:t>
      </w:r>
      <w:hyperlink r:id="rId81" w:tgtFrame="_blank" w:history="1">
        <w:r w:rsidR="003F773A" w:rsidRPr="005B1C6B">
          <w:rPr>
            <w:rStyle w:val="Hyperlink"/>
            <w:rFonts w:ascii="Times New Roman" w:hAnsi="Times New Roman" w:cs="Times New Roman"/>
            <w:color w:val="auto"/>
            <w:lang w:val="en-US"/>
          </w:rPr>
          <w:t>10.1021/jm000942e</w:t>
        </w:r>
      </w:hyperlink>
    </w:p>
    <w:p w14:paraId="6CD52643" w14:textId="77777777" w:rsidR="00C02A15" w:rsidRPr="005B1C6B" w:rsidRDefault="003F773A" w:rsidP="003F773A">
      <w:pPr>
        <w:spacing w:after="0" w:line="240" w:lineRule="auto"/>
        <w:jc w:val="both"/>
        <w:rPr>
          <w:rFonts w:ascii="Times New Roman" w:hAnsi="Times New Roman" w:cs="Times New Roman"/>
          <w:lang w:val="en-US"/>
        </w:rPr>
      </w:pPr>
      <w:r w:rsidRPr="005B1C6B">
        <w:rPr>
          <w:rFonts w:ascii="Times New Roman" w:hAnsi="Times New Roman" w:cs="Times New Roman"/>
          <w:b/>
          <w:lang w:val="en-US"/>
        </w:rPr>
        <w:t>[19]</w:t>
      </w:r>
      <w:r w:rsidRPr="005B1C6B">
        <w:rPr>
          <w:rFonts w:ascii="Times New Roman" w:hAnsi="Times New Roman" w:cs="Times New Roman"/>
          <w:lang w:val="en-US"/>
        </w:rPr>
        <w:t xml:space="preserve"> P. </w:t>
      </w:r>
      <w:proofErr w:type="spellStart"/>
      <w:r w:rsidRPr="005B1C6B">
        <w:rPr>
          <w:rFonts w:ascii="Times New Roman" w:hAnsi="Times New Roman" w:cs="Times New Roman"/>
          <w:lang w:val="en-US"/>
        </w:rPr>
        <w:t>Laffort</w:t>
      </w:r>
      <w:proofErr w:type="spellEnd"/>
      <w:r w:rsidRPr="005B1C6B">
        <w:rPr>
          <w:rFonts w:ascii="Times New Roman" w:hAnsi="Times New Roman" w:cs="Times New Roman"/>
          <w:lang w:val="en-US"/>
        </w:rPr>
        <w:t xml:space="preserve">, "A Slightly Modified Expression of the Polar Surface Area Applied to an Olfactory Study," </w:t>
      </w:r>
      <w:r w:rsidRPr="005B1C6B">
        <w:rPr>
          <w:rFonts w:ascii="Times New Roman" w:hAnsi="Times New Roman" w:cs="Times New Roman"/>
          <w:i/>
          <w:iCs/>
          <w:lang w:val="en-US"/>
        </w:rPr>
        <w:t>Open Journal of Physical Chemistry</w:t>
      </w:r>
      <w:r w:rsidRPr="005B1C6B">
        <w:rPr>
          <w:rFonts w:ascii="Times New Roman" w:hAnsi="Times New Roman" w:cs="Times New Roman"/>
          <w:lang w:val="en-US"/>
        </w:rPr>
        <w:t xml:space="preserve">, Vol. 3 No. 4, 2013, pp. 150-156. </w:t>
      </w:r>
      <w:proofErr w:type="spellStart"/>
      <w:r w:rsidRPr="005B1C6B">
        <w:rPr>
          <w:rFonts w:ascii="Times New Roman" w:hAnsi="Times New Roman" w:cs="Times New Roman"/>
          <w:lang w:val="en-US"/>
        </w:rPr>
        <w:t>doi</w:t>
      </w:r>
      <w:proofErr w:type="spellEnd"/>
      <w:r w:rsidRPr="005B1C6B">
        <w:rPr>
          <w:rFonts w:ascii="Times New Roman" w:hAnsi="Times New Roman" w:cs="Times New Roman"/>
          <w:lang w:val="en-US"/>
        </w:rPr>
        <w:t xml:space="preserve">: </w:t>
      </w:r>
      <w:hyperlink r:id="rId82" w:tgtFrame="_blank" w:history="1">
        <w:r w:rsidRPr="005B1C6B">
          <w:rPr>
            <w:rStyle w:val="Hyperlink"/>
            <w:rFonts w:ascii="Times New Roman" w:hAnsi="Times New Roman" w:cs="Times New Roman"/>
            <w:color w:val="auto"/>
            <w:lang w:val="en-US"/>
          </w:rPr>
          <w:t>10.4236/ojpc.2013.34018</w:t>
        </w:r>
      </w:hyperlink>
    </w:p>
    <w:p w14:paraId="4829CEF3" w14:textId="77777777" w:rsidR="00E84F95" w:rsidRPr="005B1C6B" w:rsidRDefault="00E84F95" w:rsidP="00A6052C">
      <w:pPr>
        <w:autoSpaceDE w:val="0"/>
        <w:autoSpaceDN w:val="0"/>
        <w:adjustRightInd w:val="0"/>
        <w:spacing w:after="0" w:line="240" w:lineRule="auto"/>
        <w:rPr>
          <w:rFonts w:ascii="Times New Roman" w:hAnsi="Times New Roman" w:cs="Times New Roman"/>
          <w:lang w:val="en-US"/>
        </w:rPr>
      </w:pPr>
    </w:p>
    <w:p w14:paraId="06F52ECD" w14:textId="77777777" w:rsidR="00E84F95" w:rsidRPr="005B1C6B" w:rsidRDefault="00E84F95" w:rsidP="00E84F95">
      <w:pPr>
        <w:spacing w:after="0" w:line="240" w:lineRule="auto"/>
        <w:rPr>
          <w:rFonts w:ascii="Times New Roman" w:hAnsi="Times New Roman" w:cs="Times New Roman"/>
          <w:lang w:val="en-US"/>
        </w:rPr>
      </w:pPr>
    </w:p>
    <w:p w14:paraId="07111EE1" w14:textId="77777777" w:rsidR="00E84F95" w:rsidRPr="005B1C6B" w:rsidRDefault="00E84F95" w:rsidP="00E84F95">
      <w:pPr>
        <w:spacing w:after="0" w:line="240" w:lineRule="auto"/>
        <w:rPr>
          <w:rFonts w:ascii="Times New Roman" w:hAnsi="Times New Roman" w:cs="Times New Roman"/>
          <w:lang w:val="en-US"/>
        </w:rPr>
      </w:pPr>
    </w:p>
    <w:p w14:paraId="36DA5E41" w14:textId="77777777" w:rsidR="00E84F95" w:rsidRPr="005B1C6B" w:rsidRDefault="00E84F95" w:rsidP="00E84F95">
      <w:pPr>
        <w:spacing w:after="0" w:line="240" w:lineRule="auto"/>
        <w:rPr>
          <w:lang w:val="en-US"/>
        </w:rPr>
      </w:pPr>
    </w:p>
    <w:p w14:paraId="725EA626" w14:textId="77777777" w:rsidR="00E84F95" w:rsidRPr="005B1C6B" w:rsidRDefault="00E84F95" w:rsidP="00E84F95">
      <w:pPr>
        <w:spacing w:after="0" w:line="240" w:lineRule="auto"/>
        <w:rPr>
          <w:lang w:val="en-US"/>
        </w:rPr>
      </w:pPr>
    </w:p>
    <w:p w14:paraId="3418E509" w14:textId="77777777" w:rsidR="00E84F95" w:rsidRPr="005B1C6B" w:rsidRDefault="00E84F95" w:rsidP="00E84F95">
      <w:pPr>
        <w:spacing w:after="0" w:line="240" w:lineRule="auto"/>
        <w:rPr>
          <w:lang w:val="en-US"/>
        </w:rPr>
      </w:pPr>
    </w:p>
    <w:p w14:paraId="3A174D08" w14:textId="77777777" w:rsidR="00E84F95" w:rsidRPr="005B1C6B" w:rsidRDefault="00E84F95" w:rsidP="00E84F95">
      <w:pPr>
        <w:spacing w:after="0" w:line="240" w:lineRule="auto"/>
        <w:rPr>
          <w:lang w:val="en-US"/>
        </w:rPr>
      </w:pPr>
    </w:p>
    <w:p w14:paraId="2AF2FFAD" w14:textId="77777777" w:rsidR="00E84F95" w:rsidRPr="005B1C6B" w:rsidRDefault="00E84F95" w:rsidP="00E84F95">
      <w:pPr>
        <w:spacing w:after="0" w:line="240" w:lineRule="auto"/>
        <w:rPr>
          <w:lang w:val="en-US"/>
        </w:rPr>
      </w:pPr>
    </w:p>
    <w:p w14:paraId="47476C89" w14:textId="77777777" w:rsidR="00E84F95" w:rsidRPr="005B1C6B" w:rsidRDefault="00E84F95" w:rsidP="00E84F95">
      <w:pPr>
        <w:spacing w:after="0" w:line="240" w:lineRule="auto"/>
        <w:rPr>
          <w:lang w:val="en-US"/>
        </w:rPr>
      </w:pPr>
    </w:p>
    <w:p w14:paraId="1A1B91B3" w14:textId="77777777" w:rsidR="00E84F95" w:rsidRPr="005B1C6B" w:rsidRDefault="00E84F95" w:rsidP="00E84F95">
      <w:pPr>
        <w:spacing w:after="0" w:line="240" w:lineRule="auto"/>
        <w:rPr>
          <w:lang w:val="en-US"/>
        </w:rPr>
      </w:pPr>
    </w:p>
    <w:p w14:paraId="2EB12FE8" w14:textId="77777777" w:rsidR="00E84F95" w:rsidRPr="005B1C6B" w:rsidRDefault="00E84F95" w:rsidP="00E84F95">
      <w:pPr>
        <w:spacing w:after="0" w:line="240" w:lineRule="auto"/>
        <w:rPr>
          <w:lang w:val="en-US"/>
        </w:rPr>
      </w:pPr>
    </w:p>
    <w:p w14:paraId="5E87B3BE" w14:textId="77777777" w:rsidR="00E84F95" w:rsidRPr="005B1C6B" w:rsidRDefault="00E84F95" w:rsidP="00E84F95">
      <w:pPr>
        <w:spacing w:after="0" w:line="240" w:lineRule="auto"/>
        <w:rPr>
          <w:rFonts w:eastAsia="SimSun"/>
          <w:lang w:val="en-US" w:eastAsia="zh-CN"/>
        </w:rPr>
      </w:pPr>
    </w:p>
    <w:sectPr w:rsidR="00E84F95" w:rsidRPr="005B1C6B" w:rsidSect="007B5DA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05D57" w14:textId="77777777" w:rsidR="00500213" w:rsidRDefault="00500213">
      <w:pPr>
        <w:spacing w:line="240" w:lineRule="auto"/>
      </w:pPr>
      <w:r>
        <w:separator/>
      </w:r>
    </w:p>
  </w:endnote>
  <w:endnote w:type="continuationSeparator" w:id="0">
    <w:p w14:paraId="2F93CEDB" w14:textId="77777777" w:rsidR="00500213" w:rsidRDefault="00500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A854" w14:textId="77777777" w:rsidR="00941580" w:rsidRDefault="00941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090544"/>
      <w:docPartObj>
        <w:docPartGallery w:val="AutoText"/>
      </w:docPartObj>
    </w:sdtPr>
    <w:sdtEndPr>
      <w:rPr>
        <w:rFonts w:ascii="Times New Roman" w:hAnsi="Times New Roman" w:cs="Times New Roman"/>
        <w:sz w:val="24"/>
        <w:szCs w:val="24"/>
      </w:rPr>
    </w:sdtEndPr>
    <w:sdtContent>
      <w:p w14:paraId="7062C5FD" w14:textId="0931925B" w:rsidR="00941580" w:rsidRDefault="0094158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14</w:t>
        </w:r>
        <w:r>
          <w:rPr>
            <w:rFonts w:ascii="Times New Roman" w:hAnsi="Times New Roman" w:cs="Times New Roman"/>
            <w:sz w:val="24"/>
            <w:szCs w:val="24"/>
          </w:rPr>
          <w:fldChar w:fldCharType="end"/>
        </w:r>
      </w:p>
    </w:sdtContent>
  </w:sdt>
  <w:p w14:paraId="1852629D" w14:textId="77777777" w:rsidR="00941580" w:rsidRDefault="00941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80DC" w14:textId="77777777" w:rsidR="00941580" w:rsidRDefault="00941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05EB5" w14:textId="77777777" w:rsidR="00500213" w:rsidRDefault="00500213">
      <w:pPr>
        <w:spacing w:after="0" w:line="240" w:lineRule="auto"/>
      </w:pPr>
      <w:r>
        <w:separator/>
      </w:r>
    </w:p>
  </w:footnote>
  <w:footnote w:type="continuationSeparator" w:id="0">
    <w:p w14:paraId="4B4C99CE" w14:textId="77777777" w:rsidR="00500213" w:rsidRDefault="0050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3218" w14:textId="03AE76E3" w:rsidR="00941580" w:rsidRDefault="00500213">
    <w:pPr>
      <w:pStyle w:val="Header"/>
    </w:pPr>
    <w:r>
      <w:rPr>
        <w:noProof/>
      </w:rPr>
      <w:pict w14:anchorId="64B15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1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534E" w14:textId="078543A5" w:rsidR="00941580" w:rsidRDefault="00500213">
    <w:pPr>
      <w:pStyle w:val="Header"/>
    </w:pPr>
    <w:r>
      <w:rPr>
        <w:noProof/>
      </w:rPr>
      <w:pict w14:anchorId="66A9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2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A1618" w14:textId="43ADCF3F" w:rsidR="00941580" w:rsidRDefault="00500213">
    <w:pPr>
      <w:pStyle w:val="Header"/>
    </w:pPr>
    <w:r>
      <w:rPr>
        <w:noProof/>
      </w:rPr>
      <w:pict w14:anchorId="3A0DE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22671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2200B"/>
    <w:multiLevelType w:val="multilevel"/>
    <w:tmpl w:val="4162200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6B24DD"/>
    <w:multiLevelType w:val="multilevel"/>
    <w:tmpl w:val="6F6B24DD"/>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BD664F"/>
    <w:multiLevelType w:val="hybridMultilevel"/>
    <w:tmpl w:val="86E68B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73"/>
    <w:rsid w:val="0000132C"/>
    <w:rsid w:val="000016B4"/>
    <w:rsid w:val="00002BA1"/>
    <w:rsid w:val="000043A4"/>
    <w:rsid w:val="000233B7"/>
    <w:rsid w:val="000469A2"/>
    <w:rsid w:val="00051403"/>
    <w:rsid w:val="000B31AC"/>
    <w:rsid w:val="000B3E78"/>
    <w:rsid w:val="000C5198"/>
    <w:rsid w:val="000E36A6"/>
    <w:rsid w:val="001023FE"/>
    <w:rsid w:val="00115782"/>
    <w:rsid w:val="00123754"/>
    <w:rsid w:val="00124428"/>
    <w:rsid w:val="00124B4D"/>
    <w:rsid w:val="0013111E"/>
    <w:rsid w:val="00131E6F"/>
    <w:rsid w:val="001537F9"/>
    <w:rsid w:val="00154192"/>
    <w:rsid w:val="00164D19"/>
    <w:rsid w:val="00174023"/>
    <w:rsid w:val="00180931"/>
    <w:rsid w:val="00192F50"/>
    <w:rsid w:val="00195F6C"/>
    <w:rsid w:val="001A4609"/>
    <w:rsid w:val="001A4E89"/>
    <w:rsid w:val="001B5591"/>
    <w:rsid w:val="001C2349"/>
    <w:rsid w:val="001C57AA"/>
    <w:rsid w:val="001C5B41"/>
    <w:rsid w:val="001D0065"/>
    <w:rsid w:val="001F2048"/>
    <w:rsid w:val="001F2380"/>
    <w:rsid w:val="001F50AF"/>
    <w:rsid w:val="001F600E"/>
    <w:rsid w:val="001F6BFD"/>
    <w:rsid w:val="00205310"/>
    <w:rsid w:val="00207785"/>
    <w:rsid w:val="0021594E"/>
    <w:rsid w:val="00230E68"/>
    <w:rsid w:val="00232B89"/>
    <w:rsid w:val="002357F6"/>
    <w:rsid w:val="00236F44"/>
    <w:rsid w:val="00241594"/>
    <w:rsid w:val="00242D30"/>
    <w:rsid w:val="00256ADA"/>
    <w:rsid w:val="00270E29"/>
    <w:rsid w:val="00271D30"/>
    <w:rsid w:val="00280D69"/>
    <w:rsid w:val="00287E09"/>
    <w:rsid w:val="002A4176"/>
    <w:rsid w:val="002B3BF7"/>
    <w:rsid w:val="002D2B66"/>
    <w:rsid w:val="002E631C"/>
    <w:rsid w:val="003028FD"/>
    <w:rsid w:val="00312F72"/>
    <w:rsid w:val="0031541A"/>
    <w:rsid w:val="00324EB2"/>
    <w:rsid w:val="00337CD7"/>
    <w:rsid w:val="0034504B"/>
    <w:rsid w:val="00353D4D"/>
    <w:rsid w:val="00355E75"/>
    <w:rsid w:val="00357820"/>
    <w:rsid w:val="003665D2"/>
    <w:rsid w:val="003713DF"/>
    <w:rsid w:val="00376985"/>
    <w:rsid w:val="003837EF"/>
    <w:rsid w:val="00387817"/>
    <w:rsid w:val="0039039E"/>
    <w:rsid w:val="00395D70"/>
    <w:rsid w:val="003A046C"/>
    <w:rsid w:val="003B23A8"/>
    <w:rsid w:val="003B72A6"/>
    <w:rsid w:val="003D48D5"/>
    <w:rsid w:val="003E7FE5"/>
    <w:rsid w:val="003F773A"/>
    <w:rsid w:val="004062E7"/>
    <w:rsid w:val="0042202F"/>
    <w:rsid w:val="0042214C"/>
    <w:rsid w:val="00432FCE"/>
    <w:rsid w:val="004346E4"/>
    <w:rsid w:val="0044019D"/>
    <w:rsid w:val="00446BD9"/>
    <w:rsid w:val="00447149"/>
    <w:rsid w:val="0048474D"/>
    <w:rsid w:val="00496A88"/>
    <w:rsid w:val="004A0282"/>
    <w:rsid w:val="004A558D"/>
    <w:rsid w:val="004B1238"/>
    <w:rsid w:val="004B20B1"/>
    <w:rsid w:val="004B2109"/>
    <w:rsid w:val="004B55DF"/>
    <w:rsid w:val="004B7684"/>
    <w:rsid w:val="004C7489"/>
    <w:rsid w:val="004D117C"/>
    <w:rsid w:val="004D2B3A"/>
    <w:rsid w:val="004E1072"/>
    <w:rsid w:val="004E4E3B"/>
    <w:rsid w:val="004E7BDA"/>
    <w:rsid w:val="004F3271"/>
    <w:rsid w:val="004F40F1"/>
    <w:rsid w:val="00500213"/>
    <w:rsid w:val="00501A73"/>
    <w:rsid w:val="00504746"/>
    <w:rsid w:val="005179F9"/>
    <w:rsid w:val="005234AA"/>
    <w:rsid w:val="00536C66"/>
    <w:rsid w:val="00542A65"/>
    <w:rsid w:val="005555E9"/>
    <w:rsid w:val="00590D57"/>
    <w:rsid w:val="00593DDB"/>
    <w:rsid w:val="0059731D"/>
    <w:rsid w:val="005A0447"/>
    <w:rsid w:val="005B17BB"/>
    <w:rsid w:val="005B1C6B"/>
    <w:rsid w:val="005B1ED4"/>
    <w:rsid w:val="005C2461"/>
    <w:rsid w:val="005C4678"/>
    <w:rsid w:val="005C773F"/>
    <w:rsid w:val="005D1A65"/>
    <w:rsid w:val="005D20D7"/>
    <w:rsid w:val="005D5D0A"/>
    <w:rsid w:val="00602B81"/>
    <w:rsid w:val="0062690A"/>
    <w:rsid w:val="00633AD8"/>
    <w:rsid w:val="00662BE3"/>
    <w:rsid w:val="00664BB8"/>
    <w:rsid w:val="00670B09"/>
    <w:rsid w:val="00673500"/>
    <w:rsid w:val="0067487F"/>
    <w:rsid w:val="0067678E"/>
    <w:rsid w:val="00680F44"/>
    <w:rsid w:val="00690BE9"/>
    <w:rsid w:val="006978B0"/>
    <w:rsid w:val="006A1168"/>
    <w:rsid w:val="006A51C4"/>
    <w:rsid w:val="006B51C9"/>
    <w:rsid w:val="006C2975"/>
    <w:rsid w:val="006C2D1D"/>
    <w:rsid w:val="006C532C"/>
    <w:rsid w:val="006D1E09"/>
    <w:rsid w:val="006E4163"/>
    <w:rsid w:val="006E4300"/>
    <w:rsid w:val="007059AB"/>
    <w:rsid w:val="00706123"/>
    <w:rsid w:val="007226D4"/>
    <w:rsid w:val="00732449"/>
    <w:rsid w:val="00734B6D"/>
    <w:rsid w:val="00735D4F"/>
    <w:rsid w:val="00741BA9"/>
    <w:rsid w:val="00741EE2"/>
    <w:rsid w:val="007468B3"/>
    <w:rsid w:val="0077726F"/>
    <w:rsid w:val="00785D1A"/>
    <w:rsid w:val="007936F3"/>
    <w:rsid w:val="007A45EA"/>
    <w:rsid w:val="007B3209"/>
    <w:rsid w:val="007B4AC9"/>
    <w:rsid w:val="007B5DAF"/>
    <w:rsid w:val="007C2B76"/>
    <w:rsid w:val="007D4966"/>
    <w:rsid w:val="007F08D4"/>
    <w:rsid w:val="00810E26"/>
    <w:rsid w:val="0084046F"/>
    <w:rsid w:val="00840556"/>
    <w:rsid w:val="00844345"/>
    <w:rsid w:val="00846AC5"/>
    <w:rsid w:val="00854103"/>
    <w:rsid w:val="0086755C"/>
    <w:rsid w:val="008678A7"/>
    <w:rsid w:val="00873118"/>
    <w:rsid w:val="0089228B"/>
    <w:rsid w:val="00897A5B"/>
    <w:rsid w:val="008C1FD5"/>
    <w:rsid w:val="008C263E"/>
    <w:rsid w:val="008C7A71"/>
    <w:rsid w:val="008D3E24"/>
    <w:rsid w:val="008E2182"/>
    <w:rsid w:val="008E72CF"/>
    <w:rsid w:val="008E7E4D"/>
    <w:rsid w:val="008F75F8"/>
    <w:rsid w:val="009168FB"/>
    <w:rsid w:val="00916C48"/>
    <w:rsid w:val="0092273A"/>
    <w:rsid w:val="00941580"/>
    <w:rsid w:val="00942C3E"/>
    <w:rsid w:val="00943251"/>
    <w:rsid w:val="00957397"/>
    <w:rsid w:val="0096265E"/>
    <w:rsid w:val="00965315"/>
    <w:rsid w:val="00967AF5"/>
    <w:rsid w:val="0097246F"/>
    <w:rsid w:val="009735A6"/>
    <w:rsid w:val="009C193B"/>
    <w:rsid w:val="009C52DB"/>
    <w:rsid w:val="009C555A"/>
    <w:rsid w:val="009D01D4"/>
    <w:rsid w:val="009D51D3"/>
    <w:rsid w:val="009E0621"/>
    <w:rsid w:val="009E3DE5"/>
    <w:rsid w:val="009F248E"/>
    <w:rsid w:val="009F631C"/>
    <w:rsid w:val="00A1315A"/>
    <w:rsid w:val="00A2502A"/>
    <w:rsid w:val="00A25C8A"/>
    <w:rsid w:val="00A278D7"/>
    <w:rsid w:val="00A3018F"/>
    <w:rsid w:val="00A322D2"/>
    <w:rsid w:val="00A325FF"/>
    <w:rsid w:val="00A37BEF"/>
    <w:rsid w:val="00A40245"/>
    <w:rsid w:val="00A426EC"/>
    <w:rsid w:val="00A43946"/>
    <w:rsid w:val="00A50D5D"/>
    <w:rsid w:val="00A560AE"/>
    <w:rsid w:val="00A6052C"/>
    <w:rsid w:val="00A60A16"/>
    <w:rsid w:val="00A63E77"/>
    <w:rsid w:val="00A666DC"/>
    <w:rsid w:val="00A70D8F"/>
    <w:rsid w:val="00A71A43"/>
    <w:rsid w:val="00A82BD9"/>
    <w:rsid w:val="00A862E5"/>
    <w:rsid w:val="00A877C8"/>
    <w:rsid w:val="00AA1671"/>
    <w:rsid w:val="00AB07D3"/>
    <w:rsid w:val="00AC4F07"/>
    <w:rsid w:val="00AC7681"/>
    <w:rsid w:val="00AD1748"/>
    <w:rsid w:val="00AD239E"/>
    <w:rsid w:val="00AE629B"/>
    <w:rsid w:val="00AF7C90"/>
    <w:rsid w:val="00B1417C"/>
    <w:rsid w:val="00B14E8F"/>
    <w:rsid w:val="00B23951"/>
    <w:rsid w:val="00B410CE"/>
    <w:rsid w:val="00B518F8"/>
    <w:rsid w:val="00B57B1A"/>
    <w:rsid w:val="00B6574E"/>
    <w:rsid w:val="00B71322"/>
    <w:rsid w:val="00B75406"/>
    <w:rsid w:val="00B85734"/>
    <w:rsid w:val="00B87785"/>
    <w:rsid w:val="00B87F3E"/>
    <w:rsid w:val="00B92F91"/>
    <w:rsid w:val="00BA78A0"/>
    <w:rsid w:val="00BB6B7C"/>
    <w:rsid w:val="00BC6BEB"/>
    <w:rsid w:val="00BD31C4"/>
    <w:rsid w:val="00BD498F"/>
    <w:rsid w:val="00BD779F"/>
    <w:rsid w:val="00BF0D36"/>
    <w:rsid w:val="00BF2FFC"/>
    <w:rsid w:val="00C02A15"/>
    <w:rsid w:val="00C046C2"/>
    <w:rsid w:val="00C20CCE"/>
    <w:rsid w:val="00C346CF"/>
    <w:rsid w:val="00C37709"/>
    <w:rsid w:val="00C56930"/>
    <w:rsid w:val="00C623C6"/>
    <w:rsid w:val="00C665BB"/>
    <w:rsid w:val="00C770DD"/>
    <w:rsid w:val="00C80CA8"/>
    <w:rsid w:val="00C8600C"/>
    <w:rsid w:val="00C86106"/>
    <w:rsid w:val="00C8740D"/>
    <w:rsid w:val="00C916E1"/>
    <w:rsid w:val="00C93B8F"/>
    <w:rsid w:val="00CA2CDB"/>
    <w:rsid w:val="00CA4D67"/>
    <w:rsid w:val="00CB43E8"/>
    <w:rsid w:val="00CC0A50"/>
    <w:rsid w:val="00CC5EEA"/>
    <w:rsid w:val="00CC637C"/>
    <w:rsid w:val="00CD6E97"/>
    <w:rsid w:val="00CE0E03"/>
    <w:rsid w:val="00D016A4"/>
    <w:rsid w:val="00D022EE"/>
    <w:rsid w:val="00D06325"/>
    <w:rsid w:val="00D06E29"/>
    <w:rsid w:val="00D1681B"/>
    <w:rsid w:val="00D25866"/>
    <w:rsid w:val="00D34658"/>
    <w:rsid w:val="00D443FC"/>
    <w:rsid w:val="00D638D1"/>
    <w:rsid w:val="00D76E6A"/>
    <w:rsid w:val="00D862F3"/>
    <w:rsid w:val="00D97C3C"/>
    <w:rsid w:val="00DA6561"/>
    <w:rsid w:val="00DB5C0A"/>
    <w:rsid w:val="00DC033D"/>
    <w:rsid w:val="00DC77D1"/>
    <w:rsid w:val="00DD5C36"/>
    <w:rsid w:val="00E03AA8"/>
    <w:rsid w:val="00E04199"/>
    <w:rsid w:val="00E05FD9"/>
    <w:rsid w:val="00E3202C"/>
    <w:rsid w:val="00E44C5E"/>
    <w:rsid w:val="00E52064"/>
    <w:rsid w:val="00E54C5C"/>
    <w:rsid w:val="00E5532D"/>
    <w:rsid w:val="00E55D8E"/>
    <w:rsid w:val="00E60F21"/>
    <w:rsid w:val="00E632CA"/>
    <w:rsid w:val="00E827F7"/>
    <w:rsid w:val="00E83567"/>
    <w:rsid w:val="00E840E3"/>
    <w:rsid w:val="00E84F95"/>
    <w:rsid w:val="00E86FB4"/>
    <w:rsid w:val="00E9739C"/>
    <w:rsid w:val="00EA445C"/>
    <w:rsid w:val="00EB5118"/>
    <w:rsid w:val="00EB6CFE"/>
    <w:rsid w:val="00EC32A1"/>
    <w:rsid w:val="00EF2F36"/>
    <w:rsid w:val="00F023F7"/>
    <w:rsid w:val="00F17870"/>
    <w:rsid w:val="00F247E9"/>
    <w:rsid w:val="00F3044A"/>
    <w:rsid w:val="00F362CF"/>
    <w:rsid w:val="00F40FB3"/>
    <w:rsid w:val="00F422A6"/>
    <w:rsid w:val="00F44863"/>
    <w:rsid w:val="00F470F4"/>
    <w:rsid w:val="00F548A4"/>
    <w:rsid w:val="00F5521A"/>
    <w:rsid w:val="00F57EDD"/>
    <w:rsid w:val="00F6015C"/>
    <w:rsid w:val="00F66621"/>
    <w:rsid w:val="00F8179B"/>
    <w:rsid w:val="00F841CC"/>
    <w:rsid w:val="00F875C2"/>
    <w:rsid w:val="00F92B1E"/>
    <w:rsid w:val="00F94450"/>
    <w:rsid w:val="00FB469F"/>
    <w:rsid w:val="00FC77A3"/>
    <w:rsid w:val="00FD441D"/>
    <w:rsid w:val="00FE03E8"/>
    <w:rsid w:val="00FE20F3"/>
    <w:rsid w:val="06BA522B"/>
    <w:rsid w:val="169913F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BC334F"/>
  <w15:docId w15:val="{16131597-F57E-4B5F-B7FA-DC79416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lang w:val="fr-FR"/>
    </w:rPr>
  </w:style>
  <w:style w:type="character" w:customStyle="1" w:styleId="FooterChar">
    <w:name w:val="Footer Char"/>
    <w:basedOn w:val="DefaultParagraphFont"/>
    <w:link w:val="Footer"/>
    <w:uiPriority w:val="99"/>
    <w:rPr>
      <w:lang w:val="fr-FR"/>
    </w:rPr>
  </w:style>
  <w:style w:type="paragraph" w:customStyle="1" w:styleId="ti3">
    <w:name w:val="ti3"/>
    <w:basedOn w:val="NoSpacing"/>
    <w:next w:val="Heading3"/>
    <w:link w:val="ti3Car"/>
    <w:qFormat/>
    <w:pPr>
      <w:ind w:left="708"/>
    </w:pPr>
    <w:rPr>
      <w:rFonts w:ascii="Times New Roman" w:hAnsi="Times New Roman"/>
      <w:b/>
      <w:sz w:val="26"/>
    </w:rPr>
  </w:style>
  <w:style w:type="paragraph" w:styleId="NoSpacing">
    <w:name w:val="No Spacing"/>
    <w:uiPriority w:val="1"/>
    <w:qFormat/>
    <w:rPr>
      <w:rFonts w:eastAsiaTheme="minorHAnsi"/>
      <w:sz w:val="22"/>
      <w:szCs w:val="22"/>
      <w:lang w:eastAsia="en-US"/>
    </w:rPr>
  </w:style>
  <w:style w:type="character" w:customStyle="1" w:styleId="ti3Car">
    <w:name w:val="ti3 Car"/>
    <w:basedOn w:val="DefaultParagraphFont"/>
    <w:link w:val="ti3"/>
    <w:rPr>
      <w:rFonts w:ascii="Times New Roman" w:hAnsi="Times New Roman"/>
      <w:b/>
      <w:sz w:val="26"/>
      <w:lang w:val="fr-F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fr-F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2">
    <w:name w:val="ti2"/>
    <w:basedOn w:val="Normal"/>
    <w:link w:val="ti2Car"/>
    <w:qFormat/>
    <w:pPr>
      <w:spacing w:after="40"/>
    </w:pPr>
    <w:rPr>
      <w:rFonts w:ascii="Times New Roman" w:hAnsi="Times New Roman" w:cs="Times New Roman"/>
      <w:b/>
      <w:sz w:val="26"/>
      <w:szCs w:val="26"/>
    </w:rPr>
  </w:style>
  <w:style w:type="character" w:customStyle="1" w:styleId="ti2Car">
    <w:name w:val="ti2 Car"/>
    <w:basedOn w:val="DefaultParagraphFont"/>
    <w:link w:val="ti2"/>
    <w:rPr>
      <w:rFonts w:ascii="Times New Roman" w:hAnsi="Times New Roman" w:cs="Times New Roman"/>
      <w:b/>
      <w:sz w:val="26"/>
      <w:szCs w:val="26"/>
      <w:lang w:val="fr-FR"/>
    </w:rPr>
  </w:style>
  <w:style w:type="paragraph" w:customStyle="1" w:styleId="ti4">
    <w:name w:val="ti4"/>
    <w:basedOn w:val="ti3"/>
    <w:next w:val="Heading4"/>
    <w:link w:val="ti4Car"/>
    <w:qFormat/>
    <w:pPr>
      <w:ind w:left="1416"/>
    </w:pPr>
  </w:style>
  <w:style w:type="character" w:customStyle="1" w:styleId="ti4Car">
    <w:name w:val="ti4 Car"/>
    <w:basedOn w:val="ti3Car"/>
    <w:link w:val="ti4"/>
    <w:rPr>
      <w:rFonts w:ascii="Times New Roman" w:hAnsi="Times New Roman"/>
      <w:b/>
      <w:sz w:val="26"/>
      <w:lang w:val="fr-FR"/>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fr-FR"/>
    </w:rPr>
  </w:style>
  <w:style w:type="paragraph" w:customStyle="1" w:styleId="Default">
    <w:name w:val="Default"/>
    <w:pPr>
      <w:autoSpaceDE w:val="0"/>
      <w:autoSpaceDN w:val="0"/>
      <w:adjustRightInd w:val="0"/>
    </w:pPr>
    <w:rPr>
      <w:rFonts w:ascii="Times New Roman" w:eastAsiaTheme="minorHAnsi" w:hAnsi="Times New Roman" w:cs="Times New Roman"/>
      <w:color w:val="000000"/>
      <w:sz w:val="24"/>
      <w:szCs w:val="24"/>
      <w:lang w:val="zh-CN" w:eastAsia="en-US"/>
    </w:rPr>
  </w:style>
  <w:style w:type="character" w:styleId="PlaceholderText">
    <w:name w:val="Placeholder Text"/>
    <w:basedOn w:val="DefaultParagraphFont"/>
    <w:uiPriority w:val="99"/>
    <w:semiHidden/>
    <w:rPr>
      <w:color w:val="808080"/>
    </w:rPr>
  </w:style>
  <w:style w:type="character" w:customStyle="1" w:styleId="hps">
    <w:name w:val="hps"/>
    <w:basedOn w:val="DefaultParagraphFont"/>
    <w:rsid w:val="00DD5C36"/>
  </w:style>
  <w:style w:type="character" w:styleId="Hyperlink">
    <w:name w:val="Hyperlink"/>
    <w:basedOn w:val="DefaultParagraphFont"/>
    <w:uiPriority w:val="99"/>
    <w:unhideWhenUsed/>
    <w:rsid w:val="0021594E"/>
    <w:rPr>
      <w:color w:val="0563C1" w:themeColor="hyperlink"/>
      <w:u w:val="single"/>
    </w:rPr>
  </w:style>
  <w:style w:type="character" w:customStyle="1" w:styleId="markedcontent">
    <w:name w:val="markedcontent"/>
    <w:basedOn w:val="DefaultParagraphFont"/>
    <w:rsid w:val="0021594E"/>
  </w:style>
  <w:style w:type="character" w:customStyle="1" w:styleId="title-text">
    <w:name w:val="title-text"/>
    <w:basedOn w:val="DefaultParagraphFont"/>
    <w:rsid w:val="005C773F"/>
  </w:style>
  <w:style w:type="character" w:customStyle="1" w:styleId="anchor-text">
    <w:name w:val="anchor-text"/>
    <w:basedOn w:val="DefaultParagraphFont"/>
    <w:rsid w:val="005C773F"/>
  </w:style>
  <w:style w:type="character" w:customStyle="1" w:styleId="UnresolvedMention1">
    <w:name w:val="Unresolved Mention1"/>
    <w:basedOn w:val="DefaultParagraphFont"/>
    <w:uiPriority w:val="99"/>
    <w:semiHidden/>
    <w:unhideWhenUsed/>
    <w:rsid w:val="00942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0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oleObject" Target="embeddings/oleObject14.bin"/><Relationship Id="rId47" Type="http://schemas.openxmlformats.org/officeDocument/2006/relationships/image" Target="media/image17.emf"/><Relationship Id="rId63" Type="http://schemas.openxmlformats.org/officeDocument/2006/relationships/image" Target="media/image25.emf"/><Relationship Id="rId68" Type="http://schemas.openxmlformats.org/officeDocument/2006/relationships/oleObject" Target="embeddings/oleObject27.bin"/><Relationship Id="rId84" Type="http://schemas.openxmlformats.org/officeDocument/2006/relationships/theme" Target="theme/theme1.xml"/><Relationship Id="rId16"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2.emf"/><Relationship Id="rId53" Type="http://schemas.openxmlformats.org/officeDocument/2006/relationships/image" Target="media/image20.emf"/><Relationship Id="rId58" Type="http://schemas.openxmlformats.org/officeDocument/2006/relationships/oleObject" Target="embeddings/oleObject22.bin"/><Relationship Id="rId74" Type="http://schemas.openxmlformats.org/officeDocument/2006/relationships/hyperlink" Target="https://doi.org/10.3390/ph15050646" TargetMode="External"/><Relationship Id="rId79" Type="http://schemas.openxmlformats.org/officeDocument/2006/relationships/hyperlink" Target="https://www.sciencedirect.com/journal/journal-of-the-indian-chemical-society/vol/99/issue/11" TargetMode="External"/><Relationship Id="rId5" Type="http://schemas.openxmlformats.org/officeDocument/2006/relationships/settings" Target="settings.xml"/><Relationship Id="rId61" Type="http://schemas.openxmlformats.org/officeDocument/2006/relationships/image" Target="media/image24.emf"/><Relationship Id="rId82" Type="http://schemas.openxmlformats.org/officeDocument/2006/relationships/hyperlink" Target="http://dx.doi.org/10.4236/ojpc.2013.34018" TargetMode="External"/><Relationship Id="rId1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chart" Target="charts/chart1.xml"/><Relationship Id="rId77" Type="http://schemas.openxmlformats.org/officeDocument/2006/relationships/hyperlink" Target="https://doi.org/10.1016/j.molliq.2021.117719" TargetMode="External"/><Relationship Id="rId8" Type="http://schemas.openxmlformats.org/officeDocument/2006/relationships/endnotes" Target="endnotes.xml"/><Relationship Id="rId51" Type="http://schemas.openxmlformats.org/officeDocument/2006/relationships/image" Target="media/image19.emf"/><Relationship Id="rId72" Type="http://schemas.openxmlformats.org/officeDocument/2006/relationships/hyperlink" Target="https://doi.org/10.1038/nrmicro.2017.161" TargetMode="External"/><Relationship Id="rId80" Type="http://schemas.openxmlformats.org/officeDocument/2006/relationships/hyperlink" Target="https://www.researchgate.net/journal/Journal-of-Medicinal-Chemistry-1520-4804"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3.emf"/><Relationship Id="rId67" Type="http://schemas.openxmlformats.org/officeDocument/2006/relationships/image" Target="media/image27.emf"/><Relationship Id="rId20" Type="http://schemas.openxmlformats.org/officeDocument/2006/relationships/oleObject" Target="embeddings/oleObject3.bin"/><Relationship Id="rId41" Type="http://schemas.openxmlformats.org/officeDocument/2006/relationships/image" Target="media/image14.e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chart" Target="charts/chart2.xml"/><Relationship Id="rId75" Type="http://schemas.openxmlformats.org/officeDocument/2006/relationships/hyperlink" Target="https://www.sciencedirect.com/journal/journal-of-molecular-liquid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eader" Target="header2.xml"/><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6.emf"/><Relationship Id="rId73" Type="http://schemas.openxmlformats.org/officeDocument/2006/relationships/hyperlink" Target="https://doi.org/10.1080/07391102.2018.1528887" TargetMode="External"/><Relationship Id="rId78" Type="http://schemas.openxmlformats.org/officeDocument/2006/relationships/hyperlink" Target="https://www.sciencedirect.com/journal/journal-of-the-indian-chemical-society" TargetMode="External"/><Relationship Id="rId81" Type="http://schemas.openxmlformats.org/officeDocument/2006/relationships/hyperlink" Target="http://dx.doi.org/10.1021/jm000942e"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image" Target="media/image13.e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emf"/><Relationship Id="rId76" Type="http://schemas.openxmlformats.org/officeDocument/2006/relationships/hyperlink" Target="https://www.sciencedirect.com/journal/journal-of-molecular-liquids/vol/344/suppl/C" TargetMode="External"/><Relationship Id="rId7" Type="http://schemas.openxmlformats.org/officeDocument/2006/relationships/footnotes" Target="footnotes.xml"/><Relationship Id="rId71" Type="http://schemas.openxmlformats.org/officeDocument/2006/relationships/hyperlink" Target="https://doi.org/10.1016/j.coph.2018.06.003" TargetMode="External"/><Relationship Id="rId2" Type="http://schemas.openxmlformats.org/officeDocument/2006/relationships/customXml" Target="../customXml/item2.xml"/><Relationship Id="rId29" Type="http://schemas.openxmlformats.org/officeDocument/2006/relationships/image" Target="media/image8.e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emf"/><Relationship Id="rId66" Type="http://schemas.openxmlformats.org/officeDocument/2006/relationships/oleObject" Target="embeddings/oleObject26.bin"/></Relationships>
</file>

<file path=word/charts/_rels/chart1.xml.rels><?xml version="1.0" encoding="UTF-8" standalone="yes"?>
<Relationships xmlns="http://schemas.openxmlformats.org/package/2006/relationships"><Relationship Id="rId1" Type="http://schemas.openxmlformats.org/officeDocument/2006/relationships/oleObject" Target="file:///E:\01%20TRAVAUX%20POST%20THESE\00%20TRAVAUX%20%20POST%20CAMES%2022\00%20COMMUNICATIONS\GUINEE%2023\00%20PRODUCTIONS%20GUINEE%2023\MUNUSCRIT%20GUINEE%2023\MANUSCRIT%20NTIPALLU%2022\YAF\STABILITE+Q%20THERAPEU%20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01%20TRAVAUX%20POST%20THESE\00%20TRAVAUX%20%20POST%20CAMES%2022\00%20COMMUNICATIONS\GUINEE%2023\00%20PRODUCTIONS%20GUINEE%2023\MUNUSCRIT%20GUINEE%2023\MANUSCRIT%20NTIPALLU%2022\YAF\STABILITE+Q%20THERAPEU%20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5.9785713158600666E-3"/>
                  <c:y val="-6.1294695999338502E-3"/>
                </c:manualLayout>
              </c:layout>
              <c:tx>
                <c:rich>
                  <a:bodyPr/>
                  <a:lstStyle/>
                  <a:p>
                    <a:r>
                      <a:rPr lang="en-US"/>
                      <a:t>P-4A1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26-4C13-A448-13ACDCAEAB66}"/>
                </c:ext>
              </c:extLst>
            </c:dLbl>
            <c:dLbl>
              <c:idx val="1"/>
              <c:layout>
                <c:manualLayout>
                  <c:x val="-1.6666666666666666E-2"/>
                  <c:y val="-3.1372549019607912E-2"/>
                </c:manualLayout>
              </c:layout>
              <c:tx>
                <c:rich>
                  <a:bodyPr/>
                  <a:lstStyle/>
                  <a:p>
                    <a:r>
                      <a:rPr lang="en-US"/>
                      <a:t>P-Al2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26-4C13-A448-13ACDCAEAB66}"/>
                </c:ext>
              </c:extLst>
            </c:dLbl>
            <c:dLbl>
              <c:idx val="2"/>
              <c:layout>
                <c:manualLayout>
                  <c:x val="-4.1747819225273215E-2"/>
                  <c:y val="-6.5900658240440266E-2"/>
                </c:manualLayout>
              </c:layout>
              <c:tx>
                <c:rich>
                  <a:bodyPr/>
                  <a:lstStyle/>
                  <a:p>
                    <a:r>
                      <a:rPr lang="en-US"/>
                      <a:t>P-Al3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26-4C13-A448-13ACDCAEAB66}"/>
                </c:ext>
              </c:extLst>
            </c:dLbl>
            <c:dLbl>
              <c:idx val="3"/>
              <c:layout>
                <c:manualLayout>
                  <c:x val="-0.12507025701685706"/>
                  <c:y val="-2.6278274054255698E-2"/>
                </c:manualLayout>
              </c:layout>
              <c:tx>
                <c:rich>
                  <a:bodyPr/>
                  <a:lstStyle/>
                  <a:p>
                    <a:r>
                      <a:rPr lang="en-US"/>
                      <a:t>P-Ar4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26-4C13-A448-13ACDCAEAB66}"/>
                </c:ext>
              </c:extLst>
            </c:dLbl>
            <c:dLbl>
              <c:idx val="4"/>
              <c:layout>
                <c:manualLayout>
                  <c:x val="-0.13711462468832342"/>
                  <c:y val="2.7835427856286177E-2"/>
                </c:manualLayout>
              </c:layout>
              <c:tx>
                <c:rich>
                  <a:bodyPr/>
                  <a:lstStyle/>
                  <a:p>
                    <a:r>
                      <a:rPr lang="en-US"/>
                      <a:t>P-Bi5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26-4C13-A448-13ACDCAEAB66}"/>
                </c:ext>
              </c:extLst>
            </c:dLbl>
            <c:dLbl>
              <c:idx val="5"/>
              <c:layout>
                <c:manualLayout>
                  <c:x val="-7.3667965852965825E-2"/>
                  <c:y val="-4.7223500668519068E-2"/>
                </c:manualLayout>
              </c:layout>
              <c:tx>
                <c:rich>
                  <a:bodyPr/>
                  <a:lstStyle/>
                  <a:p>
                    <a:r>
                      <a:rPr lang="en-US"/>
                      <a:t>P-8A6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26-4C13-A448-13ACDCAEAB66}"/>
                </c:ext>
              </c:extLst>
            </c:dLbl>
            <c:dLbl>
              <c:idx val="6"/>
              <c:layout>
                <c:manualLayout>
                  <c:x val="-0.12924368532855057"/>
                  <c:y val="7.4584538369280506E-3"/>
                </c:manualLayout>
              </c:layout>
              <c:tx>
                <c:rich>
                  <a:bodyPr/>
                  <a:lstStyle/>
                  <a:p>
                    <a:r>
                      <a:rPr lang="en-US"/>
                      <a:t>P-Fa7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326-4C13-A448-13ACDCAEAB66}"/>
                </c:ext>
              </c:extLst>
            </c:dLbl>
            <c:dLbl>
              <c:idx val="7"/>
              <c:layout>
                <c:manualLayout>
                  <c:x val="-0.12254669572828109"/>
                  <c:y val="-1.8012763687269701E-2"/>
                </c:manualLayout>
              </c:layout>
              <c:tx>
                <c:rich>
                  <a:bodyPr/>
                  <a:lstStyle/>
                  <a:p>
                    <a:r>
                      <a:rPr lang="en-US"/>
                      <a:t>P-Fo8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26-4C13-A448-13ACDCAEAB66}"/>
                </c:ext>
              </c:extLst>
            </c:dLbl>
            <c:dLbl>
              <c:idx val="8"/>
              <c:layout>
                <c:manualLayout>
                  <c:x val="-1.6666666666666666E-2"/>
                  <c:y val="1.7647058823529339E-2"/>
                </c:manualLayout>
              </c:layout>
              <c:tx>
                <c:rich>
                  <a:bodyPr/>
                  <a:lstStyle/>
                  <a:p>
                    <a:r>
                      <a:rPr lang="en-US"/>
                      <a:t>P-Hy9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26-4C13-A448-13ACDCAEAB66}"/>
                </c:ext>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ACP2_HID!$B$2:$B$10</c:f>
              <c:numCache>
                <c:formatCode>0</c:formatCode>
                <c:ptCount val="9"/>
                <c:pt idx="0">
                  <c:v>1.6306265169732632</c:v>
                </c:pt>
                <c:pt idx="1">
                  <c:v>1.8721792959630013</c:v>
                </c:pt>
                <c:pt idx="2">
                  <c:v>0.48755059610524576</c:v>
                </c:pt>
                <c:pt idx="3">
                  <c:v>-0.74004267778879085</c:v>
                </c:pt>
                <c:pt idx="4">
                  <c:v>-3.2934762602172385</c:v>
                </c:pt>
                <c:pt idx="5">
                  <c:v>-1.012284932945968</c:v>
                </c:pt>
                <c:pt idx="6">
                  <c:v>-2.285446777492623</c:v>
                </c:pt>
                <c:pt idx="7">
                  <c:v>-1.5219323469931587</c:v>
                </c:pt>
                <c:pt idx="8">
                  <c:v>4.862826586396273</c:v>
                </c:pt>
              </c:numCache>
            </c:numRef>
          </c:xVal>
          <c:yVal>
            <c:numRef>
              <c:f>ACP2_HID!$C$2:$C$10</c:f>
              <c:numCache>
                <c:formatCode>0</c:formatCode>
                <c:ptCount val="9"/>
                <c:pt idx="0">
                  <c:v>-0.44293826813843384</c:v>
                </c:pt>
                <c:pt idx="1">
                  <c:v>0.29718575846618539</c:v>
                </c:pt>
                <c:pt idx="2">
                  <c:v>2.2739009332229481</c:v>
                </c:pt>
                <c:pt idx="3">
                  <c:v>2.4450806548735984</c:v>
                </c:pt>
                <c:pt idx="4">
                  <c:v>-2.0151823425220581</c:v>
                </c:pt>
                <c:pt idx="5">
                  <c:v>0.16478210584727335</c:v>
                </c:pt>
                <c:pt idx="6">
                  <c:v>-0.75043120785617079</c:v>
                </c:pt>
                <c:pt idx="7">
                  <c:v>-0.3559903310384851</c:v>
                </c:pt>
                <c:pt idx="8">
                  <c:v>-1.6164073028548618</c:v>
                </c:pt>
              </c:numCache>
            </c:numRef>
          </c:yVal>
          <c:smooth val="0"/>
          <c:extLst>
            <c:ext xmlns:c16="http://schemas.microsoft.com/office/drawing/2014/chart" uri="{C3380CC4-5D6E-409C-BE32-E72D297353CC}">
              <c16:uniqueId val="{00000009-2326-4C13-A448-13ACDCAEAB66}"/>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5.79E-2"/>
                  <c:y val="-3.1372549019607843E-2"/>
                </c:manualLayout>
              </c:layout>
              <c:tx>
                <c:rich>
                  <a:bodyPr/>
                  <a:lstStyle/>
                  <a:p>
                    <a:r>
                      <a:rPr lang="en-US"/>
                      <a:t>∆E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326-4C13-A448-13ACDCAEAB66}"/>
                </c:ext>
              </c:extLst>
            </c:dLbl>
            <c:dLbl>
              <c:idx val="1"/>
              <c:layout>
                <c:manualLayout>
                  <c:x val="-1.6666666666666666E-2"/>
                  <c:y val="1.7647058823529269E-2"/>
                </c:manualLayout>
              </c:layout>
              <c:tx>
                <c:rich>
                  <a:bodyPr/>
                  <a:lstStyle/>
                  <a:p>
                    <a:r>
                      <a:rPr lang="el-GR"/>
                      <a:t>χ</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26-4C13-A448-13ACDCAEAB66}"/>
                </c:ext>
              </c:extLst>
            </c:dLbl>
            <c:dLbl>
              <c:idx val="2"/>
              <c:layout>
                <c:manualLayout>
                  <c:x val="-2.0168801423752487E-3"/>
                  <c:y val="-5.9674850883069105E-2"/>
                </c:manualLayout>
              </c:layout>
              <c:tx>
                <c:rich>
                  <a:bodyPr/>
                  <a:lstStyle/>
                  <a:p>
                    <a:r>
                      <a:rPr lang="hy-AM"/>
                      <a:t>ղ</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326-4C13-A448-13ACDCAEAB66}"/>
                </c:ext>
              </c:extLst>
            </c:dLbl>
            <c:dLbl>
              <c:idx val="3"/>
              <c:layout>
                <c:manualLayout>
                  <c:x val="-1.6666666666666666E-2"/>
                  <c:y val="1.7647058823529412E-2"/>
                </c:manualLayout>
              </c:layout>
              <c:tx>
                <c:rich>
                  <a:bodyPr/>
                  <a:lstStyle/>
                  <a:p>
                    <a:r>
                      <a:rPr lang="en-US"/>
                      <a:t>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26-4C13-A448-13ACDCAEAB66}"/>
                </c:ext>
              </c:extLst>
            </c:dLbl>
            <c:dLbl>
              <c:idx val="4"/>
              <c:layout>
                <c:manualLayout>
                  <c:x val="-1.6666666666666666E-2"/>
                  <c:y val="1.7647058823529269E-2"/>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326-4C13-A448-13ACDCAEAB66}"/>
                </c:ext>
              </c:extLst>
            </c:dLbl>
            <c:dLbl>
              <c:idx val="5"/>
              <c:layout>
                <c:manualLayout>
                  <c:x val="-7.2133333333333369E-2"/>
                  <c:y val="1.7647058823529412E-2"/>
                </c:manualLayout>
              </c:layout>
              <c:tx>
                <c:rich>
                  <a:bodyPr/>
                  <a:lstStyle/>
                  <a:p>
                    <a:r>
                      <a:rPr lang="en-US"/>
                      <a:t>µ</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26-4C13-A448-13ACDCAEAB66}"/>
                </c:ext>
              </c:extLst>
            </c:dLbl>
            <c:dLbl>
              <c:idx val="6"/>
              <c:layout>
                <c:manualLayout>
                  <c:x val="-7.11834645669292E-2"/>
                  <c:y val="-3.1372549019607843E-2"/>
                </c:manualLayout>
              </c:layout>
              <c:tx>
                <c:rich>
                  <a:bodyPr/>
                  <a:lstStyle/>
                  <a:p>
                    <a:r>
                      <a:rPr lang="en-US"/>
                      <a:t>HBA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326-4C13-A448-13ACDCAEAB66}"/>
                </c:ext>
              </c:extLst>
            </c:dLbl>
            <c:dLbl>
              <c:idx val="7"/>
              <c:layout>
                <c:manualLayout>
                  <c:x val="-1.6666666666666666E-2"/>
                  <c:y val="-3.1372549019607843E-2"/>
                </c:manualLayout>
              </c:layout>
              <c:tx>
                <c:rich>
                  <a:bodyPr/>
                  <a:lstStyle/>
                  <a:p>
                    <a:r>
                      <a:rPr lang="en-US"/>
                      <a:t>LogP</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26-4C13-A448-13ACDCAEAB66}"/>
                </c:ext>
              </c:extLst>
            </c:dLbl>
            <c:dLbl>
              <c:idx val="8"/>
              <c:layout>
                <c:manualLayout>
                  <c:x val="-0.1086334221896809"/>
                  <c:y val="-2.0280704850762731E-2"/>
                </c:manualLayout>
              </c:layout>
              <c:tx>
                <c:rich>
                  <a:bodyPr/>
                  <a:lstStyle/>
                  <a:p>
                    <a:r>
                      <a:rPr lang="en-US"/>
                      <a:t>HBD</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326-4C13-A448-13ACDCAEAB66}"/>
                </c:ext>
              </c:extLst>
            </c:dLbl>
            <c:dLbl>
              <c:idx val="9"/>
              <c:layout>
                <c:manualLayout>
                  <c:x val="-8.0966666666666673E-2"/>
                  <c:y val="1.7647058823529412E-2"/>
                </c:manualLayout>
              </c:layout>
              <c:tx>
                <c:rich>
                  <a:bodyPr/>
                  <a:lstStyle/>
                  <a:p>
                    <a:r>
                      <a:rPr lang="en-US"/>
                      <a:t>TPSA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326-4C13-A448-13ACDCAEAB66}"/>
                </c:ext>
              </c:extLst>
            </c:dLbl>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ACP2_HID!$J$2:$J$11</c:f>
              <c:numCache>
                <c:formatCode>0</c:formatCode>
                <c:ptCount val="10"/>
                <c:pt idx="0">
                  <c:v>-3.7658364111962026</c:v>
                </c:pt>
                <c:pt idx="1">
                  <c:v>2.4267559553417919</c:v>
                </c:pt>
                <c:pt idx="2">
                  <c:v>-3.7655887070495457</c:v>
                </c:pt>
                <c:pt idx="3">
                  <c:v>3.8902612691170191</c:v>
                </c:pt>
                <c:pt idx="4">
                  <c:v>3.4382705148555655</c:v>
                </c:pt>
                <c:pt idx="5">
                  <c:v>-3.5186307815023916</c:v>
                </c:pt>
                <c:pt idx="6">
                  <c:v>-0.84265683748991949</c:v>
                </c:pt>
                <c:pt idx="7">
                  <c:v>2.2546899897313097</c:v>
                </c:pt>
                <c:pt idx="8">
                  <c:v>-3.5834367096931738</c:v>
                </c:pt>
                <c:pt idx="9">
                  <c:v>-2.7316436005443347</c:v>
                </c:pt>
              </c:numCache>
            </c:numRef>
          </c:xVal>
          <c:yVal>
            <c:numRef>
              <c:f>ACP2_HID!$K$2:$K$11</c:f>
              <c:numCache>
                <c:formatCode>0</c:formatCode>
                <c:ptCount val="10"/>
                <c:pt idx="0">
                  <c:v>1.0510176692071214</c:v>
                </c:pt>
                <c:pt idx="1">
                  <c:v>-4.0536202011345122</c:v>
                </c:pt>
                <c:pt idx="2">
                  <c:v>1.0522290532798835</c:v>
                </c:pt>
                <c:pt idx="3">
                  <c:v>-1.7503516897149756</c:v>
                </c:pt>
                <c:pt idx="4">
                  <c:v>-3.3255455560884002</c:v>
                </c:pt>
                <c:pt idx="5">
                  <c:v>-2.828311157618467</c:v>
                </c:pt>
                <c:pt idx="6">
                  <c:v>3.8378521673587618</c:v>
                </c:pt>
                <c:pt idx="7">
                  <c:v>4.8034094661381399</c:v>
                </c:pt>
                <c:pt idx="8">
                  <c:v>-1.9933118566485968</c:v>
                </c:pt>
                <c:pt idx="9">
                  <c:v>-4.1403364541506766</c:v>
                </c:pt>
              </c:numCache>
            </c:numRef>
          </c:yVal>
          <c:smooth val="0"/>
          <c:extLst>
            <c:ext xmlns:c16="http://schemas.microsoft.com/office/drawing/2014/chart" uri="{C3380CC4-5D6E-409C-BE32-E72D297353CC}">
              <c16:uniqueId val="{00000014-2326-4C13-A448-13ACDCAEAB66}"/>
            </c:ext>
          </c:extLst>
        </c:ser>
        <c:ser>
          <c:idx val="2"/>
          <c:order val="2"/>
          <c:spPr>
            <a:ln w="12700">
              <a:solidFill>
                <a:srgbClr val="FF0000"/>
              </a:solidFill>
              <a:prstDash val="solid"/>
            </a:ln>
          </c:spPr>
          <c:marker>
            <c:symbol val="none"/>
          </c:marker>
          <c:xVal>
            <c:numLit>
              <c:formatCode>General</c:formatCode>
              <c:ptCount val="2"/>
              <c:pt idx="0">
                <c:v>0</c:v>
              </c:pt>
              <c:pt idx="1">
                <c:v>-3.7658364111962026</c:v>
              </c:pt>
            </c:numLit>
          </c:xVal>
          <c:yVal>
            <c:numLit>
              <c:formatCode>General</c:formatCode>
              <c:ptCount val="2"/>
              <c:pt idx="0">
                <c:v>0</c:v>
              </c:pt>
              <c:pt idx="1">
                <c:v>1.0510176692071214</c:v>
              </c:pt>
            </c:numLit>
          </c:yVal>
          <c:smooth val="0"/>
          <c:extLst>
            <c:ext xmlns:c16="http://schemas.microsoft.com/office/drawing/2014/chart" uri="{C3380CC4-5D6E-409C-BE32-E72D297353CC}">
              <c16:uniqueId val="{00000015-2326-4C13-A448-13ACDCAEAB66}"/>
            </c:ext>
          </c:extLst>
        </c:ser>
        <c:ser>
          <c:idx val="3"/>
          <c:order val="3"/>
          <c:spPr>
            <a:ln w="12700">
              <a:solidFill>
                <a:srgbClr val="FF0000"/>
              </a:solidFill>
              <a:prstDash val="solid"/>
            </a:ln>
          </c:spPr>
          <c:marker>
            <c:symbol val="none"/>
          </c:marker>
          <c:xVal>
            <c:numLit>
              <c:formatCode>General</c:formatCode>
              <c:ptCount val="2"/>
              <c:pt idx="0">
                <c:v>0</c:v>
              </c:pt>
              <c:pt idx="1">
                <c:v>2.4267559553417919</c:v>
              </c:pt>
            </c:numLit>
          </c:xVal>
          <c:yVal>
            <c:numLit>
              <c:formatCode>General</c:formatCode>
              <c:ptCount val="2"/>
              <c:pt idx="0">
                <c:v>0</c:v>
              </c:pt>
              <c:pt idx="1">
                <c:v>-4.0536202011345122</c:v>
              </c:pt>
            </c:numLit>
          </c:yVal>
          <c:smooth val="0"/>
          <c:extLst>
            <c:ext xmlns:c16="http://schemas.microsoft.com/office/drawing/2014/chart" uri="{C3380CC4-5D6E-409C-BE32-E72D297353CC}">
              <c16:uniqueId val="{00000016-2326-4C13-A448-13ACDCAEAB66}"/>
            </c:ext>
          </c:extLst>
        </c:ser>
        <c:ser>
          <c:idx val="4"/>
          <c:order val="4"/>
          <c:spPr>
            <a:ln w="12700">
              <a:solidFill>
                <a:srgbClr val="FF0000"/>
              </a:solidFill>
              <a:prstDash val="solid"/>
            </a:ln>
          </c:spPr>
          <c:marker>
            <c:symbol val="none"/>
          </c:marker>
          <c:xVal>
            <c:numLit>
              <c:formatCode>General</c:formatCode>
              <c:ptCount val="2"/>
              <c:pt idx="0">
                <c:v>0</c:v>
              </c:pt>
              <c:pt idx="1">
                <c:v>-3.7655887070495457</c:v>
              </c:pt>
            </c:numLit>
          </c:xVal>
          <c:yVal>
            <c:numLit>
              <c:formatCode>General</c:formatCode>
              <c:ptCount val="2"/>
              <c:pt idx="0">
                <c:v>0</c:v>
              </c:pt>
              <c:pt idx="1">
                <c:v>1.0522290532798835</c:v>
              </c:pt>
            </c:numLit>
          </c:yVal>
          <c:smooth val="0"/>
          <c:extLst>
            <c:ext xmlns:c16="http://schemas.microsoft.com/office/drawing/2014/chart" uri="{C3380CC4-5D6E-409C-BE32-E72D297353CC}">
              <c16:uniqueId val="{00000017-2326-4C13-A448-13ACDCAEAB66}"/>
            </c:ext>
          </c:extLst>
        </c:ser>
        <c:ser>
          <c:idx val="5"/>
          <c:order val="5"/>
          <c:spPr>
            <a:ln w="12700">
              <a:solidFill>
                <a:srgbClr val="FF0000"/>
              </a:solidFill>
              <a:prstDash val="solid"/>
            </a:ln>
          </c:spPr>
          <c:marker>
            <c:symbol val="none"/>
          </c:marker>
          <c:xVal>
            <c:numLit>
              <c:formatCode>General</c:formatCode>
              <c:ptCount val="2"/>
              <c:pt idx="0">
                <c:v>0</c:v>
              </c:pt>
              <c:pt idx="1">
                <c:v>3.8902612691170191</c:v>
              </c:pt>
            </c:numLit>
          </c:xVal>
          <c:yVal>
            <c:numLit>
              <c:formatCode>General</c:formatCode>
              <c:ptCount val="2"/>
              <c:pt idx="0">
                <c:v>0</c:v>
              </c:pt>
              <c:pt idx="1">
                <c:v>-1.7503516897149756</c:v>
              </c:pt>
            </c:numLit>
          </c:yVal>
          <c:smooth val="0"/>
          <c:extLst>
            <c:ext xmlns:c16="http://schemas.microsoft.com/office/drawing/2014/chart" uri="{C3380CC4-5D6E-409C-BE32-E72D297353CC}">
              <c16:uniqueId val="{00000018-2326-4C13-A448-13ACDCAEAB66}"/>
            </c:ext>
          </c:extLst>
        </c:ser>
        <c:ser>
          <c:idx val="6"/>
          <c:order val="6"/>
          <c:spPr>
            <a:ln w="12700">
              <a:solidFill>
                <a:srgbClr val="FF0000"/>
              </a:solidFill>
              <a:prstDash val="solid"/>
            </a:ln>
          </c:spPr>
          <c:marker>
            <c:symbol val="none"/>
          </c:marker>
          <c:xVal>
            <c:numLit>
              <c:formatCode>General</c:formatCode>
              <c:ptCount val="2"/>
              <c:pt idx="0">
                <c:v>0</c:v>
              </c:pt>
              <c:pt idx="1">
                <c:v>3.4382705148555655</c:v>
              </c:pt>
            </c:numLit>
          </c:xVal>
          <c:yVal>
            <c:numLit>
              <c:formatCode>General</c:formatCode>
              <c:ptCount val="2"/>
              <c:pt idx="0">
                <c:v>0</c:v>
              </c:pt>
              <c:pt idx="1">
                <c:v>-3.3255455560884002</c:v>
              </c:pt>
            </c:numLit>
          </c:yVal>
          <c:smooth val="0"/>
          <c:extLst>
            <c:ext xmlns:c16="http://schemas.microsoft.com/office/drawing/2014/chart" uri="{C3380CC4-5D6E-409C-BE32-E72D297353CC}">
              <c16:uniqueId val="{00000019-2326-4C13-A448-13ACDCAEAB66}"/>
            </c:ext>
          </c:extLst>
        </c:ser>
        <c:ser>
          <c:idx val="7"/>
          <c:order val="7"/>
          <c:spPr>
            <a:ln w="12700">
              <a:solidFill>
                <a:srgbClr val="FF0000"/>
              </a:solidFill>
              <a:prstDash val="solid"/>
            </a:ln>
          </c:spPr>
          <c:marker>
            <c:symbol val="none"/>
          </c:marker>
          <c:xVal>
            <c:numLit>
              <c:formatCode>General</c:formatCode>
              <c:ptCount val="2"/>
              <c:pt idx="0">
                <c:v>0</c:v>
              </c:pt>
              <c:pt idx="1">
                <c:v>-3.5186307815023916</c:v>
              </c:pt>
            </c:numLit>
          </c:xVal>
          <c:yVal>
            <c:numLit>
              <c:formatCode>General</c:formatCode>
              <c:ptCount val="2"/>
              <c:pt idx="0">
                <c:v>0</c:v>
              </c:pt>
              <c:pt idx="1">
                <c:v>-2.828311157618467</c:v>
              </c:pt>
            </c:numLit>
          </c:yVal>
          <c:smooth val="0"/>
          <c:extLst>
            <c:ext xmlns:c16="http://schemas.microsoft.com/office/drawing/2014/chart" uri="{C3380CC4-5D6E-409C-BE32-E72D297353CC}">
              <c16:uniqueId val="{0000001A-2326-4C13-A448-13ACDCAEAB66}"/>
            </c:ext>
          </c:extLst>
        </c:ser>
        <c:ser>
          <c:idx val="8"/>
          <c:order val="8"/>
          <c:spPr>
            <a:ln w="12700">
              <a:solidFill>
                <a:srgbClr val="FF0000"/>
              </a:solidFill>
              <a:prstDash val="solid"/>
            </a:ln>
          </c:spPr>
          <c:marker>
            <c:symbol val="none"/>
          </c:marker>
          <c:xVal>
            <c:numLit>
              <c:formatCode>General</c:formatCode>
              <c:ptCount val="2"/>
              <c:pt idx="0">
                <c:v>0</c:v>
              </c:pt>
              <c:pt idx="1">
                <c:v>-0.84265683748991949</c:v>
              </c:pt>
            </c:numLit>
          </c:xVal>
          <c:yVal>
            <c:numLit>
              <c:formatCode>General</c:formatCode>
              <c:ptCount val="2"/>
              <c:pt idx="0">
                <c:v>0</c:v>
              </c:pt>
              <c:pt idx="1">
                <c:v>3.8378521673587618</c:v>
              </c:pt>
            </c:numLit>
          </c:yVal>
          <c:smooth val="0"/>
          <c:extLst>
            <c:ext xmlns:c16="http://schemas.microsoft.com/office/drawing/2014/chart" uri="{C3380CC4-5D6E-409C-BE32-E72D297353CC}">
              <c16:uniqueId val="{0000001B-2326-4C13-A448-13ACDCAEAB66}"/>
            </c:ext>
          </c:extLst>
        </c:ser>
        <c:ser>
          <c:idx val="9"/>
          <c:order val="9"/>
          <c:spPr>
            <a:ln w="12700">
              <a:solidFill>
                <a:srgbClr val="FF0000"/>
              </a:solidFill>
              <a:prstDash val="solid"/>
            </a:ln>
          </c:spPr>
          <c:marker>
            <c:symbol val="none"/>
          </c:marker>
          <c:xVal>
            <c:numLit>
              <c:formatCode>General</c:formatCode>
              <c:ptCount val="2"/>
              <c:pt idx="0">
                <c:v>0</c:v>
              </c:pt>
              <c:pt idx="1">
                <c:v>2.2546899897313097</c:v>
              </c:pt>
            </c:numLit>
          </c:xVal>
          <c:yVal>
            <c:numLit>
              <c:formatCode>General</c:formatCode>
              <c:ptCount val="2"/>
              <c:pt idx="0">
                <c:v>0</c:v>
              </c:pt>
              <c:pt idx="1">
                <c:v>4.8034094661381399</c:v>
              </c:pt>
            </c:numLit>
          </c:yVal>
          <c:smooth val="0"/>
          <c:extLst>
            <c:ext xmlns:c16="http://schemas.microsoft.com/office/drawing/2014/chart" uri="{C3380CC4-5D6E-409C-BE32-E72D297353CC}">
              <c16:uniqueId val="{0000001C-2326-4C13-A448-13ACDCAEAB66}"/>
            </c:ext>
          </c:extLst>
        </c:ser>
        <c:ser>
          <c:idx val="10"/>
          <c:order val="10"/>
          <c:spPr>
            <a:ln w="12700">
              <a:solidFill>
                <a:srgbClr val="FF0000"/>
              </a:solidFill>
              <a:prstDash val="solid"/>
            </a:ln>
          </c:spPr>
          <c:marker>
            <c:symbol val="none"/>
          </c:marker>
          <c:xVal>
            <c:numLit>
              <c:formatCode>General</c:formatCode>
              <c:ptCount val="2"/>
              <c:pt idx="0">
                <c:v>0</c:v>
              </c:pt>
              <c:pt idx="1">
                <c:v>-3.5834367096931738</c:v>
              </c:pt>
            </c:numLit>
          </c:xVal>
          <c:yVal>
            <c:numLit>
              <c:formatCode>General</c:formatCode>
              <c:ptCount val="2"/>
              <c:pt idx="0">
                <c:v>0</c:v>
              </c:pt>
              <c:pt idx="1">
                <c:v>-1.9933118566485968</c:v>
              </c:pt>
            </c:numLit>
          </c:yVal>
          <c:smooth val="0"/>
          <c:extLst>
            <c:ext xmlns:c16="http://schemas.microsoft.com/office/drawing/2014/chart" uri="{C3380CC4-5D6E-409C-BE32-E72D297353CC}">
              <c16:uniqueId val="{0000001D-2326-4C13-A448-13ACDCAEAB66}"/>
            </c:ext>
          </c:extLst>
        </c:ser>
        <c:ser>
          <c:idx val="11"/>
          <c:order val="11"/>
          <c:spPr>
            <a:ln w="12700">
              <a:solidFill>
                <a:srgbClr val="FF0000"/>
              </a:solidFill>
              <a:prstDash val="solid"/>
            </a:ln>
          </c:spPr>
          <c:marker>
            <c:symbol val="none"/>
          </c:marker>
          <c:xVal>
            <c:numLit>
              <c:formatCode>General</c:formatCode>
              <c:ptCount val="2"/>
              <c:pt idx="0">
                <c:v>0</c:v>
              </c:pt>
              <c:pt idx="1">
                <c:v>-2.7316436005443347</c:v>
              </c:pt>
            </c:numLit>
          </c:xVal>
          <c:yVal>
            <c:numLit>
              <c:formatCode>General</c:formatCode>
              <c:ptCount val="2"/>
              <c:pt idx="0">
                <c:v>0</c:v>
              </c:pt>
              <c:pt idx="1">
                <c:v>-4.1403364541506766</c:v>
              </c:pt>
            </c:numLit>
          </c:yVal>
          <c:smooth val="0"/>
          <c:extLst>
            <c:ext xmlns:c16="http://schemas.microsoft.com/office/drawing/2014/chart" uri="{C3380CC4-5D6E-409C-BE32-E72D297353CC}">
              <c16:uniqueId val="{0000001E-2326-4C13-A448-13ACDCAEAB66}"/>
            </c:ext>
          </c:extLst>
        </c:ser>
        <c:dLbls>
          <c:showLegendKey val="0"/>
          <c:showVal val="0"/>
          <c:showCatName val="0"/>
          <c:showSerName val="0"/>
          <c:showPercent val="0"/>
          <c:showBubbleSize val="0"/>
        </c:dLbls>
        <c:axId val="1884310879"/>
        <c:axId val="407413951"/>
      </c:scatterChart>
      <c:valAx>
        <c:axId val="1884310879"/>
        <c:scaling>
          <c:orientation val="minMax"/>
          <c:max val="7"/>
          <c:min val="-6"/>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F</a:t>
                </a:r>
                <a:r>
                  <a:rPr lang="fr-FR" sz="1000" baseline="-25000">
                    <a:latin typeface="Times New Roman" panose="02020603050405020304" pitchFamily="18" charset="0"/>
                    <a:cs typeface="Times New Roman" panose="02020603050405020304" pitchFamily="18" charset="0"/>
                  </a:rPr>
                  <a:t>1</a:t>
                </a:r>
                <a:r>
                  <a:rPr lang="fr-FR" sz="1000">
                    <a:latin typeface="Times New Roman" panose="02020603050405020304" pitchFamily="18" charset="0"/>
                    <a:cs typeface="Times New Roman" panose="02020603050405020304" pitchFamily="18" charset="0"/>
                  </a:rPr>
                  <a:t> (55,56 %)</a:t>
                </a:r>
              </a:p>
            </c:rich>
          </c:tx>
          <c:overlay val="0"/>
        </c:title>
        <c:numFmt formatCode="General" sourceLinked="0"/>
        <c:majorTickMark val="cross"/>
        <c:minorTickMark val="none"/>
        <c:tickLblPos val="low"/>
        <c:txPr>
          <a:bodyPr/>
          <a:lstStyle/>
          <a:p>
            <a:pPr>
              <a:defRPr sz="1000">
                <a:latin typeface="Times New Roman" panose="02020603050405020304" pitchFamily="18" charset="0"/>
                <a:cs typeface="Times New Roman" panose="02020603050405020304" pitchFamily="18" charset="0"/>
              </a:defRPr>
            </a:pPr>
            <a:endParaRPr lang="en-US"/>
          </a:p>
        </c:txPr>
        <c:crossAx val="407413951"/>
        <c:crosses val="autoZero"/>
        <c:crossBetween val="midCat"/>
        <c:majorUnit val="1"/>
      </c:valAx>
      <c:valAx>
        <c:axId val="407413951"/>
        <c:scaling>
          <c:orientation val="minMax"/>
          <c:max val="5"/>
          <c:min val="-5"/>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fr-FR" sz="1000">
                    <a:latin typeface="Times New Roman" panose="02020603050405020304" pitchFamily="18" charset="0"/>
                    <a:cs typeface="Times New Roman" panose="02020603050405020304" pitchFamily="18" charset="0"/>
                  </a:rPr>
                  <a:t>F</a:t>
                </a:r>
                <a:r>
                  <a:rPr lang="fr-FR" sz="1000" baseline="-25000">
                    <a:latin typeface="Times New Roman" panose="02020603050405020304" pitchFamily="18" charset="0"/>
                    <a:cs typeface="Times New Roman" panose="02020603050405020304" pitchFamily="18" charset="0"/>
                  </a:rPr>
                  <a:t>2</a:t>
                </a:r>
                <a:r>
                  <a:rPr lang="fr-FR" sz="1000">
                    <a:latin typeface="Times New Roman" panose="02020603050405020304" pitchFamily="18" charset="0"/>
                    <a:cs typeface="Times New Roman" panose="02020603050405020304" pitchFamily="18" charset="0"/>
                  </a:rPr>
                  <a:t> (20,92 %)</a:t>
                </a:r>
              </a:p>
            </c:rich>
          </c:tx>
          <c:overlay val="0"/>
        </c:title>
        <c:numFmt formatCode="General" sourceLinked="0"/>
        <c:majorTickMark val="cross"/>
        <c:minorTickMark val="none"/>
        <c:tickLblPos val="low"/>
        <c:txPr>
          <a:bodyPr/>
          <a:lstStyle/>
          <a:p>
            <a:pPr>
              <a:defRPr sz="1000">
                <a:latin typeface="Times New Roman" panose="02020603050405020304" pitchFamily="18" charset="0"/>
                <a:cs typeface="Times New Roman" panose="02020603050405020304" pitchFamily="18" charset="0"/>
              </a:defRPr>
            </a:pPr>
            <a:endParaRPr lang="en-US"/>
          </a:p>
        </c:txPr>
        <c:crossAx val="1884310879"/>
        <c:crosses val="autoZero"/>
        <c:crossBetween val="midCat"/>
        <c:majorUnit val="1"/>
      </c:valAx>
      <c:spPr>
        <a:ln>
          <a:solidFill>
            <a:srgbClr val="808080"/>
          </a:solidFill>
          <a:prstDash val="solid"/>
        </a:ln>
      </c:spPr>
    </c:plotArea>
    <c:plotVisOnly val="1"/>
    <c:dispBlanksAs val="gap"/>
    <c:showDLblsOverMax val="0"/>
  </c:chart>
  <c:spPr>
    <a:ln w="63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2700">
              <a:solidFill>
                <a:srgbClr val="780000"/>
              </a:solidFill>
              <a:prstDash val="solid"/>
            </a:ln>
            <a:effectLst/>
          </c:spPr>
          <c:marker>
            <c:spPr>
              <a:noFill/>
              <a:ln w="6350">
                <a:noFill/>
              </a:ln>
            </c:spPr>
          </c:marker>
          <c:dPt>
            <c:idx val="2"/>
            <c:bubble3D val="0"/>
            <c:spPr>
              <a:ln w="12700">
                <a:solidFill>
                  <a:srgbClr val="007800"/>
                </a:solidFill>
                <a:prstDash val="solid"/>
              </a:ln>
              <a:effectLst/>
            </c:spPr>
            <c:extLst>
              <c:ext xmlns:c16="http://schemas.microsoft.com/office/drawing/2014/chart" uri="{C3380CC4-5D6E-409C-BE32-E72D297353CC}">
                <c16:uniqueId val="{00000001-8EA7-48FE-8278-047112A36B51}"/>
              </c:ext>
            </c:extLst>
          </c:dPt>
          <c:dPt>
            <c:idx val="3"/>
            <c:bubble3D val="0"/>
            <c:spPr>
              <a:ln w="12700">
                <a:solidFill>
                  <a:srgbClr val="007800"/>
                </a:solidFill>
                <a:prstDash val="solid"/>
              </a:ln>
              <a:effectLst/>
            </c:spPr>
            <c:extLst>
              <c:ext xmlns:c16="http://schemas.microsoft.com/office/drawing/2014/chart" uri="{C3380CC4-5D6E-409C-BE32-E72D297353CC}">
                <c16:uniqueId val="{00000003-8EA7-48FE-8278-047112A36B51}"/>
              </c:ext>
            </c:extLst>
          </c:dPt>
          <c:dPt>
            <c:idx val="4"/>
            <c:bubble3D val="0"/>
            <c:spPr>
              <a:ln w="12700">
                <a:solidFill>
                  <a:srgbClr val="007800"/>
                </a:solidFill>
                <a:prstDash val="solid"/>
              </a:ln>
              <a:effectLst/>
            </c:spPr>
            <c:extLst>
              <c:ext xmlns:c16="http://schemas.microsoft.com/office/drawing/2014/chart" uri="{C3380CC4-5D6E-409C-BE32-E72D297353CC}">
                <c16:uniqueId val="{00000005-8EA7-48FE-8278-047112A36B51}"/>
              </c:ext>
            </c:extLst>
          </c:dPt>
          <c:dPt>
            <c:idx val="5"/>
            <c:bubble3D val="0"/>
            <c:spPr>
              <a:ln w="12700">
                <a:solidFill>
                  <a:srgbClr val="007800"/>
                </a:solidFill>
                <a:prstDash val="solid"/>
              </a:ln>
              <a:effectLst/>
            </c:spPr>
            <c:extLst>
              <c:ext xmlns:c16="http://schemas.microsoft.com/office/drawing/2014/chart" uri="{C3380CC4-5D6E-409C-BE32-E72D297353CC}">
                <c16:uniqueId val="{00000007-8EA7-48FE-8278-047112A36B51}"/>
              </c:ext>
            </c:extLst>
          </c:dPt>
          <c:dPt>
            <c:idx val="6"/>
            <c:bubble3D val="0"/>
            <c:spPr>
              <a:ln w="12700">
                <a:solidFill>
                  <a:srgbClr val="007800"/>
                </a:solidFill>
                <a:prstDash val="solid"/>
              </a:ln>
              <a:effectLst/>
            </c:spPr>
            <c:extLst>
              <c:ext xmlns:c16="http://schemas.microsoft.com/office/drawing/2014/chart" uri="{C3380CC4-5D6E-409C-BE32-E72D297353CC}">
                <c16:uniqueId val="{00000009-8EA7-48FE-8278-047112A36B51}"/>
              </c:ext>
            </c:extLst>
          </c:dPt>
          <c:dPt>
            <c:idx val="7"/>
            <c:bubble3D val="0"/>
            <c:spPr>
              <a:ln w="12700">
                <a:solidFill>
                  <a:srgbClr val="007800"/>
                </a:solidFill>
                <a:prstDash val="solid"/>
              </a:ln>
              <a:effectLst/>
            </c:spPr>
            <c:extLst>
              <c:ext xmlns:c16="http://schemas.microsoft.com/office/drawing/2014/chart" uri="{C3380CC4-5D6E-409C-BE32-E72D297353CC}">
                <c16:uniqueId val="{0000000B-8EA7-48FE-8278-047112A36B51}"/>
              </c:ext>
            </c:extLst>
          </c:dPt>
          <c:dPt>
            <c:idx val="8"/>
            <c:bubble3D val="0"/>
            <c:spPr>
              <a:ln w="12700">
                <a:solidFill>
                  <a:srgbClr val="007800"/>
                </a:solidFill>
                <a:prstDash val="solid"/>
              </a:ln>
              <a:effectLst/>
            </c:spPr>
            <c:extLst>
              <c:ext xmlns:c16="http://schemas.microsoft.com/office/drawing/2014/chart" uri="{C3380CC4-5D6E-409C-BE32-E72D297353CC}">
                <c16:uniqueId val="{0000000D-8EA7-48FE-8278-047112A36B51}"/>
              </c:ext>
            </c:extLst>
          </c:dPt>
          <c:dPt>
            <c:idx val="9"/>
            <c:bubble3D val="0"/>
            <c:spPr>
              <a:ln w="12700">
                <a:solidFill>
                  <a:srgbClr val="007800"/>
                </a:solidFill>
                <a:prstDash val="solid"/>
              </a:ln>
              <a:effectLst/>
            </c:spPr>
            <c:extLst>
              <c:ext xmlns:c16="http://schemas.microsoft.com/office/drawing/2014/chart" uri="{C3380CC4-5D6E-409C-BE32-E72D297353CC}">
                <c16:uniqueId val="{0000000F-8EA7-48FE-8278-047112A36B51}"/>
              </c:ext>
            </c:extLst>
          </c:dPt>
          <c:dPt>
            <c:idx val="10"/>
            <c:bubble3D val="0"/>
            <c:spPr>
              <a:ln w="12700">
                <a:solidFill>
                  <a:srgbClr val="007800"/>
                </a:solidFill>
                <a:prstDash val="solid"/>
              </a:ln>
              <a:effectLst/>
            </c:spPr>
            <c:extLst>
              <c:ext xmlns:c16="http://schemas.microsoft.com/office/drawing/2014/chart" uri="{C3380CC4-5D6E-409C-BE32-E72D297353CC}">
                <c16:uniqueId val="{00000011-8EA7-48FE-8278-047112A36B51}"/>
              </c:ext>
            </c:extLst>
          </c:dPt>
          <c:dPt>
            <c:idx val="11"/>
            <c:bubble3D val="0"/>
            <c:spPr>
              <a:ln w="12700">
                <a:solidFill>
                  <a:srgbClr val="007800"/>
                </a:solidFill>
                <a:prstDash val="solid"/>
              </a:ln>
              <a:effectLst/>
            </c:spPr>
            <c:extLst>
              <c:ext xmlns:c16="http://schemas.microsoft.com/office/drawing/2014/chart" uri="{C3380CC4-5D6E-409C-BE32-E72D297353CC}">
                <c16:uniqueId val="{00000013-8EA7-48FE-8278-047112A36B51}"/>
              </c:ext>
            </c:extLst>
          </c:dPt>
          <c:dPt>
            <c:idx val="12"/>
            <c:bubble3D val="0"/>
            <c:spPr>
              <a:ln w="12700">
                <a:solidFill>
                  <a:srgbClr val="007800"/>
                </a:solidFill>
                <a:prstDash val="solid"/>
              </a:ln>
              <a:effectLst/>
            </c:spPr>
            <c:extLst>
              <c:ext xmlns:c16="http://schemas.microsoft.com/office/drawing/2014/chart" uri="{C3380CC4-5D6E-409C-BE32-E72D297353CC}">
                <c16:uniqueId val="{00000015-8EA7-48FE-8278-047112A36B51}"/>
              </c:ext>
            </c:extLst>
          </c:dPt>
          <c:dPt>
            <c:idx val="13"/>
            <c:bubble3D val="0"/>
            <c:spPr>
              <a:ln w="12700">
                <a:solidFill>
                  <a:srgbClr val="007800"/>
                </a:solidFill>
                <a:prstDash val="solid"/>
              </a:ln>
              <a:effectLst/>
            </c:spPr>
            <c:extLst>
              <c:ext xmlns:c16="http://schemas.microsoft.com/office/drawing/2014/chart" uri="{C3380CC4-5D6E-409C-BE32-E72D297353CC}">
                <c16:uniqueId val="{00000017-8EA7-48FE-8278-047112A36B51}"/>
              </c:ext>
            </c:extLst>
          </c:dPt>
          <c:dPt>
            <c:idx val="14"/>
            <c:bubble3D val="0"/>
            <c:spPr>
              <a:ln w="12700">
                <a:solidFill>
                  <a:srgbClr val="007800"/>
                </a:solidFill>
                <a:prstDash val="solid"/>
              </a:ln>
              <a:effectLst/>
            </c:spPr>
            <c:extLst>
              <c:ext xmlns:c16="http://schemas.microsoft.com/office/drawing/2014/chart" uri="{C3380CC4-5D6E-409C-BE32-E72D297353CC}">
                <c16:uniqueId val="{00000019-8EA7-48FE-8278-047112A36B51}"/>
              </c:ext>
            </c:extLst>
          </c:dPt>
          <c:dPt>
            <c:idx val="15"/>
            <c:bubble3D val="0"/>
            <c:spPr>
              <a:ln w="12700">
                <a:solidFill>
                  <a:srgbClr val="007800"/>
                </a:solidFill>
                <a:prstDash val="solid"/>
              </a:ln>
              <a:effectLst/>
            </c:spPr>
            <c:extLst>
              <c:ext xmlns:c16="http://schemas.microsoft.com/office/drawing/2014/chart" uri="{C3380CC4-5D6E-409C-BE32-E72D297353CC}">
                <c16:uniqueId val="{0000001B-8EA7-48FE-8278-047112A36B51}"/>
              </c:ext>
            </c:extLst>
          </c:dPt>
          <c:dPt>
            <c:idx val="16"/>
            <c:bubble3D val="0"/>
            <c:spPr>
              <a:ln w="12700">
                <a:solidFill>
                  <a:srgbClr val="007800"/>
                </a:solidFill>
                <a:prstDash val="solid"/>
              </a:ln>
              <a:effectLst/>
            </c:spPr>
            <c:extLst>
              <c:ext xmlns:c16="http://schemas.microsoft.com/office/drawing/2014/chart" uri="{C3380CC4-5D6E-409C-BE32-E72D297353CC}">
                <c16:uniqueId val="{0000001D-8EA7-48FE-8278-047112A36B51}"/>
              </c:ext>
            </c:extLst>
          </c:dPt>
          <c:dPt>
            <c:idx val="21"/>
            <c:bubble3D val="0"/>
            <c:spPr>
              <a:ln w="12700">
                <a:solidFill>
                  <a:srgbClr val="C82896"/>
                </a:solidFill>
                <a:prstDash val="solid"/>
              </a:ln>
              <a:effectLst/>
            </c:spPr>
            <c:extLst>
              <c:ext xmlns:c16="http://schemas.microsoft.com/office/drawing/2014/chart" uri="{C3380CC4-5D6E-409C-BE32-E72D297353CC}">
                <c16:uniqueId val="{0000001F-8EA7-48FE-8278-047112A36B51}"/>
              </c:ext>
            </c:extLst>
          </c:dPt>
          <c:dPt>
            <c:idx val="22"/>
            <c:bubble3D val="0"/>
            <c:spPr>
              <a:ln w="12700">
                <a:solidFill>
                  <a:srgbClr val="C82896"/>
                </a:solidFill>
                <a:prstDash val="solid"/>
              </a:ln>
              <a:effectLst/>
            </c:spPr>
            <c:extLst>
              <c:ext xmlns:c16="http://schemas.microsoft.com/office/drawing/2014/chart" uri="{C3380CC4-5D6E-409C-BE32-E72D297353CC}">
                <c16:uniqueId val="{00000021-8EA7-48FE-8278-047112A36B51}"/>
              </c:ext>
            </c:extLst>
          </c:dPt>
          <c:dPt>
            <c:idx val="23"/>
            <c:bubble3D val="0"/>
            <c:spPr>
              <a:ln w="12700">
                <a:solidFill>
                  <a:srgbClr val="C82896"/>
                </a:solidFill>
                <a:prstDash val="solid"/>
              </a:ln>
              <a:effectLst/>
            </c:spPr>
            <c:extLst>
              <c:ext xmlns:c16="http://schemas.microsoft.com/office/drawing/2014/chart" uri="{C3380CC4-5D6E-409C-BE32-E72D297353CC}">
                <c16:uniqueId val="{00000023-8EA7-48FE-8278-047112A36B51}"/>
              </c:ext>
            </c:extLst>
          </c:dPt>
          <c:dPt>
            <c:idx val="24"/>
            <c:bubble3D val="0"/>
            <c:spPr>
              <a:ln w="12700">
                <a:solidFill>
                  <a:srgbClr val="C82896"/>
                </a:solidFill>
                <a:prstDash val="solid"/>
              </a:ln>
              <a:effectLst/>
            </c:spPr>
            <c:extLst>
              <c:ext xmlns:c16="http://schemas.microsoft.com/office/drawing/2014/chart" uri="{C3380CC4-5D6E-409C-BE32-E72D297353CC}">
                <c16:uniqueId val="{00000025-8EA7-48FE-8278-047112A36B51}"/>
              </c:ext>
            </c:extLst>
          </c:dPt>
          <c:dPt>
            <c:idx val="25"/>
            <c:bubble3D val="0"/>
            <c:spPr>
              <a:ln w="12700">
                <a:solidFill>
                  <a:srgbClr val="C82896"/>
                </a:solidFill>
                <a:prstDash val="solid"/>
              </a:ln>
              <a:effectLst/>
            </c:spPr>
            <c:extLst>
              <c:ext xmlns:c16="http://schemas.microsoft.com/office/drawing/2014/chart" uri="{C3380CC4-5D6E-409C-BE32-E72D297353CC}">
                <c16:uniqueId val="{00000027-8EA7-48FE-8278-047112A36B51}"/>
              </c:ext>
            </c:extLst>
          </c:dPt>
          <c:dPt>
            <c:idx val="26"/>
            <c:bubble3D val="0"/>
            <c:spPr>
              <a:ln w="12700">
                <a:solidFill>
                  <a:srgbClr val="C82896"/>
                </a:solidFill>
                <a:prstDash val="solid"/>
              </a:ln>
              <a:effectLst/>
            </c:spPr>
            <c:extLst>
              <c:ext xmlns:c16="http://schemas.microsoft.com/office/drawing/2014/chart" uri="{C3380CC4-5D6E-409C-BE32-E72D297353CC}">
                <c16:uniqueId val="{00000029-8EA7-48FE-8278-047112A36B51}"/>
              </c:ext>
            </c:extLst>
          </c:dPt>
          <c:dPt>
            <c:idx val="27"/>
            <c:bubble3D val="0"/>
            <c:spPr>
              <a:ln w="12700">
                <a:solidFill>
                  <a:srgbClr val="C82896"/>
                </a:solidFill>
                <a:prstDash val="solid"/>
              </a:ln>
              <a:effectLst/>
            </c:spPr>
            <c:extLst>
              <c:ext xmlns:c16="http://schemas.microsoft.com/office/drawing/2014/chart" uri="{C3380CC4-5D6E-409C-BE32-E72D297353CC}">
                <c16:uniqueId val="{0000002B-8EA7-48FE-8278-047112A36B51}"/>
              </c:ext>
            </c:extLst>
          </c:dPt>
          <c:dPt>
            <c:idx val="28"/>
            <c:bubble3D val="0"/>
            <c:spPr>
              <a:ln w="12700">
                <a:solidFill>
                  <a:srgbClr val="C82896"/>
                </a:solidFill>
                <a:prstDash val="solid"/>
              </a:ln>
              <a:effectLst/>
            </c:spPr>
            <c:extLst>
              <c:ext xmlns:c16="http://schemas.microsoft.com/office/drawing/2014/chart" uri="{C3380CC4-5D6E-409C-BE32-E72D297353CC}">
                <c16:uniqueId val="{0000002D-8EA7-48FE-8278-047112A36B51}"/>
              </c:ext>
            </c:extLst>
          </c:dPt>
          <c:dPt>
            <c:idx val="33"/>
            <c:bubble3D val="0"/>
            <c:spPr>
              <a:ln w="12700">
                <a:solidFill>
                  <a:srgbClr val="FF6600"/>
                </a:solidFill>
                <a:prstDash val="solid"/>
              </a:ln>
              <a:effectLst/>
            </c:spPr>
            <c:extLst>
              <c:ext xmlns:c16="http://schemas.microsoft.com/office/drawing/2014/chart" uri="{C3380CC4-5D6E-409C-BE32-E72D297353CC}">
                <c16:uniqueId val="{0000002F-8EA7-48FE-8278-047112A36B51}"/>
              </c:ext>
            </c:extLst>
          </c:dPt>
          <c:dPt>
            <c:idx val="36"/>
            <c:bubble3D val="0"/>
            <c:spPr>
              <a:ln w="12700">
                <a:solidFill>
                  <a:srgbClr val="006699"/>
                </a:solidFill>
                <a:prstDash val="solid"/>
              </a:ln>
              <a:effectLst/>
            </c:spPr>
            <c:extLst>
              <c:ext xmlns:c16="http://schemas.microsoft.com/office/drawing/2014/chart" uri="{C3380CC4-5D6E-409C-BE32-E72D297353CC}">
                <c16:uniqueId val="{00000031-8EA7-48FE-8278-047112A36B51}"/>
              </c:ext>
            </c:extLst>
          </c:dPt>
          <c:dPt>
            <c:idx val="37"/>
            <c:bubble3D val="0"/>
            <c:spPr>
              <a:ln w="12700">
                <a:solidFill>
                  <a:srgbClr val="006699"/>
                </a:solidFill>
                <a:prstDash val="solid"/>
              </a:ln>
              <a:effectLst/>
            </c:spPr>
            <c:extLst>
              <c:ext xmlns:c16="http://schemas.microsoft.com/office/drawing/2014/chart" uri="{C3380CC4-5D6E-409C-BE32-E72D297353CC}">
                <c16:uniqueId val="{00000033-8EA7-48FE-8278-047112A36B51}"/>
              </c:ext>
            </c:extLst>
          </c:dPt>
          <c:dPt>
            <c:idx val="38"/>
            <c:bubble3D val="0"/>
            <c:spPr>
              <a:ln w="12700">
                <a:solidFill>
                  <a:srgbClr val="006699"/>
                </a:solidFill>
                <a:prstDash val="solid"/>
              </a:ln>
              <a:effectLst/>
            </c:spPr>
            <c:extLst>
              <c:ext xmlns:c16="http://schemas.microsoft.com/office/drawing/2014/chart" uri="{C3380CC4-5D6E-409C-BE32-E72D297353CC}">
                <c16:uniqueId val="{00000035-8EA7-48FE-8278-047112A36B51}"/>
              </c:ext>
            </c:extLst>
          </c:dPt>
          <c:dPt>
            <c:idx val="39"/>
            <c:bubble3D val="0"/>
            <c:spPr>
              <a:ln w="12700">
                <a:solidFill>
                  <a:srgbClr val="006699"/>
                </a:solidFill>
                <a:prstDash val="solid"/>
              </a:ln>
              <a:effectLst/>
            </c:spPr>
            <c:extLst>
              <c:ext xmlns:c16="http://schemas.microsoft.com/office/drawing/2014/chart" uri="{C3380CC4-5D6E-409C-BE32-E72D297353CC}">
                <c16:uniqueId val="{00000037-8EA7-48FE-8278-047112A36B51}"/>
              </c:ext>
            </c:extLst>
          </c:dPt>
          <c:dPt>
            <c:idx val="40"/>
            <c:bubble3D val="0"/>
            <c:spPr>
              <a:ln w="12700">
                <a:solidFill>
                  <a:srgbClr val="006699"/>
                </a:solidFill>
                <a:prstDash val="solid"/>
              </a:ln>
              <a:effectLst/>
            </c:spPr>
            <c:extLst>
              <c:ext xmlns:c16="http://schemas.microsoft.com/office/drawing/2014/chart" uri="{C3380CC4-5D6E-409C-BE32-E72D297353CC}">
                <c16:uniqueId val="{00000039-8EA7-48FE-8278-047112A36B51}"/>
              </c:ext>
            </c:extLst>
          </c:dPt>
          <c:dPt>
            <c:idx val="41"/>
            <c:bubble3D val="0"/>
            <c:spPr>
              <a:ln w="12700">
                <a:solidFill>
                  <a:srgbClr val="006699"/>
                </a:solidFill>
                <a:prstDash val="solid"/>
              </a:ln>
              <a:effectLst/>
            </c:spPr>
            <c:extLst>
              <c:ext xmlns:c16="http://schemas.microsoft.com/office/drawing/2014/chart" uri="{C3380CC4-5D6E-409C-BE32-E72D297353CC}">
                <c16:uniqueId val="{0000003B-8EA7-48FE-8278-047112A36B51}"/>
              </c:ext>
            </c:extLst>
          </c:dPt>
          <c:dPt>
            <c:idx val="42"/>
            <c:bubble3D val="0"/>
            <c:spPr>
              <a:ln w="12700">
                <a:solidFill>
                  <a:srgbClr val="006699"/>
                </a:solidFill>
                <a:prstDash val="solid"/>
              </a:ln>
              <a:effectLst/>
            </c:spPr>
            <c:extLst>
              <c:ext xmlns:c16="http://schemas.microsoft.com/office/drawing/2014/chart" uri="{C3380CC4-5D6E-409C-BE32-E72D297353CC}">
                <c16:uniqueId val="{0000003D-8EA7-48FE-8278-047112A36B51}"/>
              </c:ext>
            </c:extLst>
          </c:dPt>
          <c:dPt>
            <c:idx val="43"/>
            <c:bubble3D val="0"/>
            <c:spPr>
              <a:ln w="12700">
                <a:solidFill>
                  <a:srgbClr val="006699"/>
                </a:solidFill>
                <a:prstDash val="solid"/>
              </a:ln>
              <a:effectLst/>
            </c:spPr>
            <c:extLst>
              <c:ext xmlns:c16="http://schemas.microsoft.com/office/drawing/2014/chart" uri="{C3380CC4-5D6E-409C-BE32-E72D297353CC}">
                <c16:uniqueId val="{0000003F-8EA7-48FE-8278-047112A36B51}"/>
              </c:ext>
            </c:extLst>
          </c:dPt>
          <c:dPt>
            <c:idx val="44"/>
            <c:bubble3D val="0"/>
            <c:spPr>
              <a:ln w="12700">
                <a:solidFill>
                  <a:srgbClr val="006699"/>
                </a:solidFill>
                <a:prstDash val="solid"/>
              </a:ln>
              <a:effectLst/>
            </c:spPr>
            <c:extLst>
              <c:ext xmlns:c16="http://schemas.microsoft.com/office/drawing/2014/chart" uri="{C3380CC4-5D6E-409C-BE32-E72D297353CC}">
                <c16:uniqueId val="{00000041-8EA7-48FE-8278-047112A36B51}"/>
              </c:ext>
            </c:extLst>
          </c:dPt>
          <c:dPt>
            <c:idx val="45"/>
            <c:bubble3D val="0"/>
            <c:spPr>
              <a:ln w="12700">
                <a:solidFill>
                  <a:srgbClr val="006699"/>
                </a:solidFill>
                <a:prstDash val="solid"/>
              </a:ln>
              <a:effectLst/>
            </c:spPr>
            <c:extLst>
              <c:ext xmlns:c16="http://schemas.microsoft.com/office/drawing/2014/chart" uri="{C3380CC4-5D6E-409C-BE32-E72D297353CC}">
                <c16:uniqueId val="{00000043-8EA7-48FE-8278-047112A36B51}"/>
              </c:ext>
            </c:extLst>
          </c:dPt>
          <c:dPt>
            <c:idx val="46"/>
            <c:bubble3D val="0"/>
            <c:spPr>
              <a:ln w="12700">
                <a:solidFill>
                  <a:srgbClr val="006699"/>
                </a:solidFill>
                <a:prstDash val="solid"/>
              </a:ln>
              <a:effectLst/>
            </c:spPr>
            <c:extLst>
              <c:ext xmlns:c16="http://schemas.microsoft.com/office/drawing/2014/chart" uri="{C3380CC4-5D6E-409C-BE32-E72D297353CC}">
                <c16:uniqueId val="{00000045-8EA7-48FE-8278-047112A36B51}"/>
              </c:ext>
            </c:extLst>
          </c:dPt>
          <c:dPt>
            <c:idx val="47"/>
            <c:bubble3D val="0"/>
            <c:spPr>
              <a:ln w="12700">
                <a:solidFill>
                  <a:srgbClr val="006699"/>
                </a:solidFill>
                <a:prstDash val="solid"/>
              </a:ln>
              <a:effectLst/>
            </c:spPr>
            <c:extLst>
              <c:ext xmlns:c16="http://schemas.microsoft.com/office/drawing/2014/chart" uri="{C3380CC4-5D6E-409C-BE32-E72D297353CC}">
                <c16:uniqueId val="{00000047-8EA7-48FE-8278-047112A36B51}"/>
              </c:ext>
            </c:extLst>
          </c:dPt>
          <c:dPt>
            <c:idx val="48"/>
            <c:bubble3D val="0"/>
            <c:spPr>
              <a:ln w="12700">
                <a:solidFill>
                  <a:srgbClr val="006699"/>
                </a:solidFill>
                <a:prstDash val="solid"/>
              </a:ln>
              <a:effectLst/>
            </c:spPr>
            <c:extLst>
              <c:ext xmlns:c16="http://schemas.microsoft.com/office/drawing/2014/chart" uri="{C3380CC4-5D6E-409C-BE32-E72D297353CC}">
                <c16:uniqueId val="{00000049-8EA7-48FE-8278-047112A36B51}"/>
              </c:ext>
            </c:extLst>
          </c:dPt>
          <c:dPt>
            <c:idx val="49"/>
            <c:bubble3D val="0"/>
            <c:spPr>
              <a:ln w="12700">
                <a:solidFill>
                  <a:srgbClr val="006699"/>
                </a:solidFill>
                <a:prstDash val="solid"/>
              </a:ln>
              <a:effectLst/>
            </c:spPr>
            <c:extLst>
              <c:ext xmlns:c16="http://schemas.microsoft.com/office/drawing/2014/chart" uri="{C3380CC4-5D6E-409C-BE32-E72D297353CC}">
                <c16:uniqueId val="{0000004B-8EA7-48FE-8278-047112A36B51}"/>
              </c:ext>
            </c:extLst>
          </c:dPt>
          <c:dPt>
            <c:idx val="50"/>
            <c:bubble3D val="0"/>
            <c:spPr>
              <a:ln w="12700">
                <a:solidFill>
                  <a:srgbClr val="006699"/>
                </a:solidFill>
                <a:prstDash val="solid"/>
              </a:ln>
              <a:effectLst/>
            </c:spPr>
            <c:extLst>
              <c:ext xmlns:c16="http://schemas.microsoft.com/office/drawing/2014/chart" uri="{C3380CC4-5D6E-409C-BE32-E72D297353CC}">
                <c16:uniqueId val="{0000004D-8EA7-48FE-8278-047112A36B51}"/>
              </c:ext>
            </c:extLst>
          </c:dPt>
          <c:xVal>
            <c:numRef>
              <c:f>CAH2_HID!$AG$1:$AG$57</c:f>
              <c:numCache>
                <c:formatCode>0</c:formatCode>
                <c:ptCount val="57"/>
                <c:pt idx="0">
                  <c:v>3.71875</c:v>
                </c:pt>
                <c:pt idx="1">
                  <c:v>1.75</c:v>
                </c:pt>
                <c:pt idx="2">
                  <c:v>1.75</c:v>
                </c:pt>
                <c:pt idx="3">
                  <c:v>1</c:v>
                </c:pt>
                <c:pt idx="4">
                  <c:v>1</c:v>
                </c:pt>
                <c:pt idx="5">
                  <c:v>1</c:v>
                </c:pt>
                <c:pt idx="6">
                  <c:v>2.5</c:v>
                </c:pt>
                <c:pt idx="7">
                  <c:v>2.5</c:v>
                </c:pt>
                <c:pt idx="8">
                  <c:v>2</c:v>
                </c:pt>
                <c:pt idx="9">
                  <c:v>2</c:v>
                </c:pt>
                <c:pt idx="10">
                  <c:v>2</c:v>
                </c:pt>
                <c:pt idx="11">
                  <c:v>3</c:v>
                </c:pt>
                <c:pt idx="12">
                  <c:v>3</c:v>
                </c:pt>
                <c:pt idx="13">
                  <c:v>3</c:v>
                </c:pt>
                <c:pt idx="14">
                  <c:v>2.5</c:v>
                </c:pt>
                <c:pt idx="15">
                  <c:v>2.5</c:v>
                </c:pt>
                <c:pt idx="16">
                  <c:v>1.75</c:v>
                </c:pt>
                <c:pt idx="17">
                  <c:v>1.75</c:v>
                </c:pt>
                <c:pt idx="18">
                  <c:v>5.6875</c:v>
                </c:pt>
                <c:pt idx="19">
                  <c:v>5.6875</c:v>
                </c:pt>
                <c:pt idx="20">
                  <c:v>4.5</c:v>
                </c:pt>
                <c:pt idx="21">
                  <c:v>4.5</c:v>
                </c:pt>
                <c:pt idx="22">
                  <c:v>4</c:v>
                </c:pt>
                <c:pt idx="23">
                  <c:v>4</c:v>
                </c:pt>
                <c:pt idx="24">
                  <c:v>4</c:v>
                </c:pt>
                <c:pt idx="25">
                  <c:v>5</c:v>
                </c:pt>
                <c:pt idx="26">
                  <c:v>5</c:v>
                </c:pt>
                <c:pt idx="27">
                  <c:v>5</c:v>
                </c:pt>
                <c:pt idx="28">
                  <c:v>4.5</c:v>
                </c:pt>
                <c:pt idx="29">
                  <c:v>4.5</c:v>
                </c:pt>
                <c:pt idx="30">
                  <c:v>6.875</c:v>
                </c:pt>
                <c:pt idx="31">
                  <c:v>6.875</c:v>
                </c:pt>
                <c:pt idx="32">
                  <c:v>6</c:v>
                </c:pt>
                <c:pt idx="33">
                  <c:v>6</c:v>
                </c:pt>
                <c:pt idx="34">
                  <c:v>6</c:v>
                </c:pt>
                <c:pt idx="35">
                  <c:v>7.75</c:v>
                </c:pt>
                <c:pt idx="36">
                  <c:v>7.75</c:v>
                </c:pt>
                <c:pt idx="37">
                  <c:v>7</c:v>
                </c:pt>
                <c:pt idx="38">
                  <c:v>7</c:v>
                </c:pt>
                <c:pt idx="39">
                  <c:v>7</c:v>
                </c:pt>
                <c:pt idx="40">
                  <c:v>8.5</c:v>
                </c:pt>
                <c:pt idx="41">
                  <c:v>8.5</c:v>
                </c:pt>
                <c:pt idx="42">
                  <c:v>8</c:v>
                </c:pt>
                <c:pt idx="43">
                  <c:v>8</c:v>
                </c:pt>
                <c:pt idx="44">
                  <c:v>8</c:v>
                </c:pt>
                <c:pt idx="45">
                  <c:v>9</c:v>
                </c:pt>
                <c:pt idx="46">
                  <c:v>9</c:v>
                </c:pt>
                <c:pt idx="47">
                  <c:v>9</c:v>
                </c:pt>
                <c:pt idx="48">
                  <c:v>8.5</c:v>
                </c:pt>
                <c:pt idx="49">
                  <c:v>8.5</c:v>
                </c:pt>
                <c:pt idx="50">
                  <c:v>7.75</c:v>
                </c:pt>
                <c:pt idx="51">
                  <c:v>7.75</c:v>
                </c:pt>
                <c:pt idx="52">
                  <c:v>6.875</c:v>
                </c:pt>
                <c:pt idx="53">
                  <c:v>6.875</c:v>
                </c:pt>
                <c:pt idx="54">
                  <c:v>5.6875</c:v>
                </c:pt>
                <c:pt idx="55">
                  <c:v>5.6875</c:v>
                </c:pt>
                <c:pt idx="56">
                  <c:v>3.71875</c:v>
                </c:pt>
              </c:numCache>
            </c:numRef>
          </c:xVal>
          <c:yVal>
            <c:numRef>
              <c:f>CAH2_HID!$AH$1:$AH$57</c:f>
              <c:numCache>
                <c:formatCode>0</c:formatCode>
                <c:ptCount val="57"/>
                <c:pt idx="0">
                  <c:v>32.725121009099183</c:v>
                </c:pt>
                <c:pt idx="1">
                  <c:v>32.725121009099183</c:v>
                </c:pt>
                <c:pt idx="2">
                  <c:v>9.0929715768243469</c:v>
                </c:pt>
                <c:pt idx="3">
                  <c:v>9.0929715768243469</c:v>
                </c:pt>
                <c:pt idx="4">
                  <c:v>0</c:v>
                </c:pt>
                <c:pt idx="5">
                  <c:v>9.0929715768243469</c:v>
                </c:pt>
                <c:pt idx="6">
                  <c:v>9.0929715768243469</c:v>
                </c:pt>
                <c:pt idx="7">
                  <c:v>1.1039156746872347</c:v>
                </c:pt>
                <c:pt idx="8">
                  <c:v>1.1039156746872347</c:v>
                </c:pt>
                <c:pt idx="9">
                  <c:v>0</c:v>
                </c:pt>
                <c:pt idx="10">
                  <c:v>1.1039156746872347</c:v>
                </c:pt>
                <c:pt idx="11">
                  <c:v>1.1039156746872347</c:v>
                </c:pt>
                <c:pt idx="12">
                  <c:v>0</c:v>
                </c:pt>
                <c:pt idx="13">
                  <c:v>1.1039156746872347</c:v>
                </c:pt>
                <c:pt idx="14">
                  <c:v>1.1039156746872347</c:v>
                </c:pt>
                <c:pt idx="15">
                  <c:v>9.0929715768243469</c:v>
                </c:pt>
                <c:pt idx="16">
                  <c:v>9.0929715768243469</c:v>
                </c:pt>
                <c:pt idx="17">
                  <c:v>32.725121009099183</c:v>
                </c:pt>
                <c:pt idx="18">
                  <c:v>32.725121009099183</c:v>
                </c:pt>
                <c:pt idx="19">
                  <c:v>16.934284454711126</c:v>
                </c:pt>
                <c:pt idx="20">
                  <c:v>16.934284454711126</c:v>
                </c:pt>
                <c:pt idx="21">
                  <c:v>4.1640595771460331</c:v>
                </c:pt>
                <c:pt idx="22">
                  <c:v>4.1640595771460331</c:v>
                </c:pt>
                <c:pt idx="23">
                  <c:v>0</c:v>
                </c:pt>
                <c:pt idx="24">
                  <c:v>4.1640595771460331</c:v>
                </c:pt>
                <c:pt idx="25">
                  <c:v>4.1640595771460331</c:v>
                </c:pt>
                <c:pt idx="26">
                  <c:v>0</c:v>
                </c:pt>
                <c:pt idx="27">
                  <c:v>4.1640595771460331</c:v>
                </c:pt>
                <c:pt idx="28">
                  <c:v>4.1640595771460331</c:v>
                </c:pt>
                <c:pt idx="29">
                  <c:v>16.934284454711126</c:v>
                </c:pt>
                <c:pt idx="30">
                  <c:v>16.934284454711126</c:v>
                </c:pt>
                <c:pt idx="31">
                  <c:v>10.95364971490231</c:v>
                </c:pt>
                <c:pt idx="32">
                  <c:v>10.95364971490231</c:v>
                </c:pt>
                <c:pt idx="33">
                  <c:v>0</c:v>
                </c:pt>
                <c:pt idx="34">
                  <c:v>10.95364971490231</c:v>
                </c:pt>
                <c:pt idx="35">
                  <c:v>10.95364971490231</c:v>
                </c:pt>
                <c:pt idx="36">
                  <c:v>4.0796745349202492</c:v>
                </c:pt>
                <c:pt idx="37">
                  <c:v>4.0796745349202492</c:v>
                </c:pt>
                <c:pt idx="38">
                  <c:v>0</c:v>
                </c:pt>
                <c:pt idx="39">
                  <c:v>4.0796745349202492</c:v>
                </c:pt>
                <c:pt idx="40">
                  <c:v>4.0796745349202492</c:v>
                </c:pt>
                <c:pt idx="41">
                  <c:v>0.94632345770950799</c:v>
                </c:pt>
                <c:pt idx="42">
                  <c:v>0.94632345770950799</c:v>
                </c:pt>
                <c:pt idx="43">
                  <c:v>0</c:v>
                </c:pt>
                <c:pt idx="44">
                  <c:v>0.94632345770950799</c:v>
                </c:pt>
                <c:pt idx="45">
                  <c:v>0.94632345770950799</c:v>
                </c:pt>
                <c:pt idx="46">
                  <c:v>0</c:v>
                </c:pt>
                <c:pt idx="47">
                  <c:v>0.94632345770950799</c:v>
                </c:pt>
                <c:pt idx="48">
                  <c:v>0.94632345770950799</c:v>
                </c:pt>
                <c:pt idx="49">
                  <c:v>4.0796745349202492</c:v>
                </c:pt>
                <c:pt idx="50">
                  <c:v>4.0796745349202492</c:v>
                </c:pt>
                <c:pt idx="51">
                  <c:v>10.95364971490231</c:v>
                </c:pt>
                <c:pt idx="52">
                  <c:v>10.95364971490231</c:v>
                </c:pt>
                <c:pt idx="53">
                  <c:v>16.934284454711126</c:v>
                </c:pt>
                <c:pt idx="54">
                  <c:v>16.934284454711126</c:v>
                </c:pt>
                <c:pt idx="55">
                  <c:v>32.725121009099183</c:v>
                </c:pt>
                <c:pt idx="56">
                  <c:v>32.725121009099183</c:v>
                </c:pt>
              </c:numCache>
            </c:numRef>
          </c:yVal>
          <c:smooth val="0"/>
          <c:extLst>
            <c:ext xmlns:c16="http://schemas.microsoft.com/office/drawing/2014/chart" uri="{C3380CC4-5D6E-409C-BE32-E72D297353CC}">
              <c16:uniqueId val="{0000004E-8EA7-48FE-8278-047112A36B51}"/>
            </c:ext>
          </c:extLst>
        </c:ser>
        <c:ser>
          <c:idx val="1"/>
          <c:order val="1"/>
          <c:spPr>
            <a:ln w="12700">
              <a:solidFill>
                <a:srgbClr val="000000"/>
              </a:solidFill>
              <a:prstDash val="sysDash"/>
            </a:ln>
          </c:spPr>
          <c:marker>
            <c:symbol val="none"/>
          </c:marker>
          <c:xVal>
            <c:numLit>
              <c:formatCode>General</c:formatCode>
              <c:ptCount val="2"/>
              <c:pt idx="0">
                <c:v>0</c:v>
              </c:pt>
              <c:pt idx="1">
                <c:v>10</c:v>
              </c:pt>
            </c:numLit>
          </c:xVal>
          <c:yVal>
            <c:numLit>
              <c:formatCode>General</c:formatCode>
              <c:ptCount val="2"/>
              <c:pt idx="0">
                <c:v>10.023310645863329</c:v>
              </c:pt>
              <c:pt idx="1">
                <c:v>10.023310645863329</c:v>
              </c:pt>
            </c:numLit>
          </c:yVal>
          <c:smooth val="0"/>
          <c:extLst>
            <c:ext xmlns:c16="http://schemas.microsoft.com/office/drawing/2014/chart" uri="{C3380CC4-5D6E-409C-BE32-E72D297353CC}">
              <c16:uniqueId val="{0000004F-8EA7-48FE-8278-047112A36B51}"/>
            </c:ext>
          </c:extLst>
        </c:ser>
        <c:ser>
          <c:idx val="2"/>
          <c:order val="2"/>
          <c:spPr>
            <a:ln w="19050">
              <a:noFill/>
            </a:ln>
            <a:effectLst/>
          </c:spPr>
          <c:marker>
            <c:spPr>
              <a:noFill/>
              <a:ln w="6350">
                <a:noFill/>
              </a:ln>
            </c:spPr>
          </c:marker>
          <c:dLbls>
            <c:dLbl>
              <c:idx val="0"/>
              <c:tx>
                <c:rich>
                  <a:bodyPr/>
                  <a:lstStyle/>
                  <a:p>
                    <a:r>
                      <a:rPr lang="en-US"/>
                      <a:t>P-Hy9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0-8EA7-48FE-8278-047112A36B51}"/>
                </c:ext>
              </c:extLst>
            </c:dLbl>
            <c:dLbl>
              <c:idx val="1"/>
              <c:tx>
                <c:rich>
                  <a:bodyPr/>
                  <a:lstStyle/>
                  <a:p>
                    <a:r>
                      <a:rPr lang="en-US"/>
                      <a:t>P-4A1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8EA7-48FE-8278-047112A36B51}"/>
                </c:ext>
              </c:extLst>
            </c:dLbl>
            <c:dLbl>
              <c:idx val="2"/>
              <c:tx>
                <c:rich>
                  <a:bodyPr/>
                  <a:lstStyle/>
                  <a:p>
                    <a:r>
                      <a:rPr lang="en-US"/>
                      <a:t>P-Al2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2-8EA7-48FE-8278-047112A36B51}"/>
                </c:ext>
              </c:extLst>
            </c:dLbl>
            <c:dLbl>
              <c:idx val="3"/>
              <c:tx>
                <c:rich>
                  <a:bodyPr/>
                  <a:lstStyle/>
                  <a:p>
                    <a:r>
                      <a:rPr lang="en-US"/>
                      <a:t>P-Al3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8EA7-48FE-8278-047112A36B51}"/>
                </c:ext>
              </c:extLst>
            </c:dLbl>
            <c:dLbl>
              <c:idx val="4"/>
              <c:tx>
                <c:rich>
                  <a:bodyPr/>
                  <a:lstStyle/>
                  <a:p>
                    <a:r>
                      <a:rPr lang="en-US"/>
                      <a:t>P-Ar4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4-8EA7-48FE-8278-047112A36B51}"/>
                </c:ext>
              </c:extLst>
            </c:dLbl>
            <c:dLbl>
              <c:idx val="5"/>
              <c:tx>
                <c:rich>
                  <a:bodyPr/>
                  <a:lstStyle/>
                  <a:p>
                    <a:r>
                      <a:rPr lang="en-US"/>
                      <a:t>P-Bi5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8EA7-48FE-8278-047112A36B51}"/>
                </c:ext>
              </c:extLst>
            </c:dLbl>
            <c:dLbl>
              <c:idx val="6"/>
              <c:tx>
                <c:rich>
                  <a:bodyPr/>
                  <a:lstStyle/>
                  <a:p>
                    <a:r>
                      <a:rPr lang="en-US"/>
                      <a:t>P-8A6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6-8EA7-48FE-8278-047112A36B51}"/>
                </c:ext>
              </c:extLst>
            </c:dLbl>
            <c:dLbl>
              <c:idx val="7"/>
              <c:tx>
                <c:rich>
                  <a:bodyPr/>
                  <a:lstStyle/>
                  <a:p>
                    <a:r>
                      <a:rPr lang="en-US"/>
                      <a:t>P-Fa7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8EA7-48FE-8278-047112A36B51}"/>
                </c:ext>
              </c:extLst>
            </c:dLbl>
            <c:dLbl>
              <c:idx val="8"/>
              <c:tx>
                <c:rich>
                  <a:bodyPr/>
                  <a:lstStyle/>
                  <a:p>
                    <a:r>
                      <a:rPr lang="en-US"/>
                      <a:t>P-Fo8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8-8EA7-48FE-8278-047112A36B51}"/>
                </c:ext>
              </c:extLst>
            </c:dLbl>
            <c:spPr>
              <a:noFill/>
              <a:ln>
                <a:noFill/>
              </a:ln>
              <a:effectLst/>
            </c:spPr>
            <c:txPr>
              <a:bodyPr rot="-5400000" vert="horz"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CAH2_HID!$AI$1:$AI$9</c:f>
              <c:numCache>
                <c:formatCode>0</c:formatCode>
                <c:ptCount val="9"/>
                <c:pt idx="0">
                  <c:v>1</c:v>
                </c:pt>
                <c:pt idx="1">
                  <c:v>2</c:v>
                </c:pt>
                <c:pt idx="2">
                  <c:v>3</c:v>
                </c:pt>
                <c:pt idx="3">
                  <c:v>4</c:v>
                </c:pt>
                <c:pt idx="4">
                  <c:v>5</c:v>
                </c:pt>
                <c:pt idx="5">
                  <c:v>6</c:v>
                </c:pt>
                <c:pt idx="6">
                  <c:v>7</c:v>
                </c:pt>
                <c:pt idx="7">
                  <c:v>8</c:v>
                </c:pt>
                <c:pt idx="8">
                  <c:v>9</c:v>
                </c:pt>
              </c:numCache>
            </c:numRef>
          </c:xVal>
          <c:yVal>
            <c:numRef>
              <c:f>CAH2_HID!$AJ$1:$AJ$9</c:f>
              <c:numCache>
                <c:formatCode>0</c:formatCode>
                <c:ptCount val="9"/>
                <c:pt idx="0">
                  <c:v>0</c:v>
                </c:pt>
                <c:pt idx="1">
                  <c:v>0</c:v>
                </c:pt>
                <c:pt idx="2">
                  <c:v>0</c:v>
                </c:pt>
                <c:pt idx="3">
                  <c:v>0</c:v>
                </c:pt>
                <c:pt idx="4">
                  <c:v>0</c:v>
                </c:pt>
                <c:pt idx="5">
                  <c:v>0</c:v>
                </c:pt>
                <c:pt idx="6">
                  <c:v>0</c:v>
                </c:pt>
                <c:pt idx="7">
                  <c:v>0</c:v>
                </c:pt>
                <c:pt idx="8">
                  <c:v>0</c:v>
                </c:pt>
              </c:numCache>
            </c:numRef>
          </c:yVal>
          <c:smooth val="0"/>
          <c:extLst>
            <c:ext xmlns:c16="http://schemas.microsoft.com/office/drawing/2014/chart" uri="{C3380CC4-5D6E-409C-BE32-E72D297353CC}">
              <c16:uniqueId val="{00000059-8EA7-48FE-8278-047112A36B51}"/>
            </c:ext>
          </c:extLst>
        </c:ser>
        <c:dLbls>
          <c:showLegendKey val="0"/>
          <c:showVal val="0"/>
          <c:showCatName val="0"/>
          <c:showSerName val="0"/>
          <c:showPercent val="0"/>
          <c:showBubbleSize val="0"/>
        </c:dLbls>
        <c:axId val="410306975"/>
        <c:axId val="410310303"/>
      </c:scatterChart>
      <c:valAx>
        <c:axId val="410306975"/>
        <c:scaling>
          <c:orientation val="minMax"/>
          <c:max val="10"/>
          <c:min val="0"/>
        </c:scaling>
        <c:delete val="0"/>
        <c:axPos val="b"/>
        <c:title>
          <c:tx>
            <c:rich>
              <a:bodyPr/>
              <a:lstStyle/>
              <a:p>
                <a:pPr>
                  <a:defRPr sz="800" b="1"/>
                </a:pPr>
                <a:r>
                  <a:rPr lang="fr-FR"/>
                  <a:t> </a:t>
                </a:r>
              </a:p>
            </c:rich>
          </c:tx>
          <c:overlay val="0"/>
        </c:title>
        <c:numFmt formatCode="General" sourceLinked="0"/>
        <c:majorTickMark val="none"/>
        <c:minorTickMark val="none"/>
        <c:tickLblPos val="none"/>
        <c:txPr>
          <a:bodyPr/>
          <a:lstStyle/>
          <a:p>
            <a:pPr>
              <a:defRPr sz="700"/>
            </a:pPr>
            <a:endParaRPr lang="en-US"/>
          </a:p>
        </c:txPr>
        <c:crossAx val="410310303"/>
        <c:crosses val="autoZero"/>
        <c:crossBetween val="midCat"/>
      </c:valAx>
      <c:valAx>
        <c:axId val="410310303"/>
        <c:scaling>
          <c:orientation val="minMax"/>
          <c:min val="0"/>
        </c:scaling>
        <c:delete val="0"/>
        <c:axPos val="l"/>
        <c:title>
          <c:tx>
            <c:rich>
              <a:bodyPr/>
              <a:lstStyle/>
              <a:p>
                <a:pPr>
                  <a:defRPr sz="800" b="1">
                    <a:latin typeface="Times New Roman" panose="02020603050405020304" pitchFamily="18" charset="0"/>
                    <a:cs typeface="Times New Roman" panose="02020603050405020304" pitchFamily="18" charset="0"/>
                  </a:defRPr>
                </a:pPr>
                <a:r>
                  <a:rPr lang="fr-FR"/>
                  <a:t>Dissimilarity</a:t>
                </a:r>
              </a:p>
            </c:rich>
          </c:tx>
          <c:overlay val="0"/>
        </c:title>
        <c:numFmt formatCode="General" sourceLinked="0"/>
        <c:majorTickMark val="cross"/>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0306975"/>
        <c:crosses val="autoZero"/>
        <c:crossBetween val="midCat"/>
      </c:val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2CAD7-470E-48B1-99C9-00DDC880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1</Pages>
  <Words>4064</Words>
  <Characters>23168</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MISSA</dc:creator>
  <cp:lastModifiedBy>SDI PC New 16</cp:lastModifiedBy>
  <cp:revision>157</cp:revision>
  <cp:lastPrinted>2025-10-15T08:48:00Z</cp:lastPrinted>
  <dcterms:created xsi:type="dcterms:W3CDTF">2020-09-28T13:39:00Z</dcterms:created>
  <dcterms:modified xsi:type="dcterms:W3CDTF">2025-11-14T10:22:00Z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1036-11.2.0.9984</vt:lpwstr>
  </property>
</Properties>
</file>