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A3" w:rsidRPr="00AC3CA3" w:rsidRDefault="006071DA" w:rsidP="00AC3CA3">
      <w:pPr>
        <w:spacing w:line="278" w:lineRule="auto"/>
        <w:jc w:val="center"/>
        <w:rPr>
          <w:rFonts w:asciiTheme="majorBidi" w:hAnsiTheme="majorBidi" w:cstheme="majorBidi"/>
          <w:b/>
          <w:bCs/>
          <w:sz w:val="28"/>
          <w:szCs w:val="28"/>
          <w:lang w:val="en-US"/>
        </w:rPr>
      </w:pPr>
      <w:r w:rsidRPr="006071DA">
        <w:rPr>
          <w:rFonts w:asciiTheme="majorBidi" w:hAnsiTheme="majorBidi" w:cstheme="majorBidi"/>
          <w:b/>
          <w:bCs/>
          <w:sz w:val="28"/>
          <w:szCs w:val="28"/>
          <w:highlight w:val="yellow"/>
          <w:lang w:val="en-US"/>
        </w:rPr>
        <w:t>Quantitative Structure Activity Relationship (</w:t>
      </w:r>
      <w:r w:rsidR="00AC3CA3" w:rsidRPr="006071DA">
        <w:rPr>
          <w:rFonts w:asciiTheme="majorBidi" w:hAnsiTheme="majorBidi" w:cstheme="majorBidi"/>
          <w:b/>
          <w:bCs/>
          <w:sz w:val="28"/>
          <w:szCs w:val="28"/>
          <w:highlight w:val="yellow"/>
          <w:lang w:val="en-US"/>
        </w:rPr>
        <w:t>QSAR</w:t>
      </w:r>
      <w:r w:rsidRPr="006071DA">
        <w:rPr>
          <w:rFonts w:asciiTheme="majorBidi" w:hAnsiTheme="majorBidi" w:cstheme="majorBidi"/>
          <w:b/>
          <w:bCs/>
          <w:sz w:val="28"/>
          <w:szCs w:val="28"/>
          <w:highlight w:val="yellow"/>
          <w:lang w:val="en-US"/>
        </w:rPr>
        <w:t>)</w:t>
      </w:r>
      <w:r w:rsidR="00AC3CA3" w:rsidRPr="006071DA">
        <w:rPr>
          <w:rFonts w:asciiTheme="majorBidi" w:hAnsiTheme="majorBidi" w:cstheme="majorBidi"/>
          <w:b/>
          <w:bCs/>
          <w:sz w:val="28"/>
          <w:szCs w:val="28"/>
          <w:highlight w:val="yellow"/>
          <w:lang w:val="en-US"/>
        </w:rPr>
        <w:t xml:space="preserve"> Anticancer Modeling of the MCF-7 Cell Line of Phthalocyanine Derivatives</w:t>
      </w:r>
    </w:p>
    <w:p w:rsidR="002A73E0" w:rsidRDefault="002A73E0" w:rsidP="00AC3CA3">
      <w:pPr>
        <w:tabs>
          <w:tab w:val="left" w:pos="5772"/>
        </w:tabs>
        <w:jc w:val="center"/>
        <w:rPr>
          <w:rFonts w:asciiTheme="majorBidi" w:hAnsiTheme="majorBidi" w:cstheme="majorBidi"/>
          <w:b/>
          <w:bCs/>
          <w:sz w:val="24"/>
          <w:szCs w:val="24"/>
          <w:lang w:val="en-US"/>
        </w:rPr>
      </w:pPr>
    </w:p>
    <w:p w:rsidR="00073107" w:rsidRDefault="00362F14" w:rsidP="00AC3CA3">
      <w:pPr>
        <w:tabs>
          <w:tab w:val="left" w:pos="5772"/>
        </w:tabs>
        <w:jc w:val="center"/>
        <w:rPr>
          <w:rFonts w:asciiTheme="majorBidi" w:hAnsiTheme="majorBidi" w:cstheme="majorBidi"/>
          <w:sz w:val="48"/>
          <w:szCs w:val="48"/>
          <w:lang w:val="en-US"/>
        </w:rPr>
      </w:pPr>
      <w:r w:rsidRPr="00362F14">
        <w:rPr>
          <w:rFonts w:asciiTheme="majorBidi" w:hAnsiTheme="majorBidi" w:cstheme="majorBidi"/>
          <w:b/>
          <w:bCs/>
          <w:sz w:val="24"/>
          <w:szCs w:val="24"/>
          <w:lang w:val="en-US"/>
        </w:rPr>
        <w:t>ABSTRACT</w:t>
      </w:r>
    </w:p>
    <w:p w:rsidR="00362F14" w:rsidRDefault="00362F14" w:rsidP="002F47C9">
      <w:pPr>
        <w:spacing w:after="0" w:line="360" w:lineRule="auto"/>
        <w:jc w:val="both"/>
        <w:rPr>
          <w:rFonts w:asciiTheme="majorBidi" w:hAnsiTheme="majorBidi" w:cstheme="majorBidi"/>
          <w:sz w:val="24"/>
          <w:szCs w:val="24"/>
          <w:lang w:val="en-US"/>
        </w:rPr>
      </w:pPr>
      <w:r w:rsidRPr="00362F14">
        <w:rPr>
          <w:rFonts w:asciiTheme="majorBidi" w:hAnsiTheme="majorBidi" w:cstheme="majorBidi"/>
          <w:sz w:val="24"/>
          <w:szCs w:val="24"/>
          <w:lang w:val="en-US"/>
        </w:rPr>
        <w:t>Breast cancer is a major public health issue and justifies the ongoing search for new active and selective molecules. In this study, a QSAR (Quantitative Structure-Activity Relationship) model was developed to predict the anticancer activity of a series of phthalocyanine derivatives on the MCF-7 cell line. Experimental activity values were converted into pIC50 for better consistency and more reliable statistical analysis. Three molecular descriptors calculated using</w:t>
      </w:r>
      <w:r w:rsidR="00FC2F3B">
        <w:rPr>
          <w:rFonts w:asciiTheme="majorBidi" w:hAnsiTheme="majorBidi" w:cstheme="majorBidi"/>
          <w:sz w:val="24"/>
          <w:szCs w:val="24"/>
          <w:lang w:val="en-US"/>
        </w:rPr>
        <w:t xml:space="preserve"> the DFT method (B3LYP/LanL2DZ), </w:t>
      </w:r>
      <w:r w:rsidRPr="00362F14">
        <w:rPr>
          <w:rFonts w:asciiTheme="majorBidi" w:hAnsiTheme="majorBidi" w:cstheme="majorBidi"/>
          <w:sz w:val="24"/>
          <w:szCs w:val="24"/>
          <w:lang w:val="en-US"/>
        </w:rPr>
        <w:t>polarizability (α), molar refractivity (MR), and electron-acceptor power (ω</w:t>
      </w:r>
      <w:r w:rsidR="00FC2F3B">
        <w:rPr>
          <w:rFonts w:asciiTheme="majorBidi" w:hAnsiTheme="majorBidi" w:cstheme="majorBidi"/>
          <w:sz w:val="24"/>
          <w:szCs w:val="24"/>
          <w:lang w:val="en-US"/>
        </w:rPr>
        <w:t xml:space="preserve">+), </w:t>
      </w:r>
      <w:r w:rsidRPr="00362F14">
        <w:rPr>
          <w:rFonts w:asciiTheme="majorBidi" w:hAnsiTheme="majorBidi" w:cstheme="majorBidi"/>
          <w:sz w:val="24"/>
          <w:szCs w:val="24"/>
          <w:lang w:val="en-US"/>
        </w:rPr>
        <w:t>were selected to establish the model through multiple linear regression.</w:t>
      </w:r>
      <w:r w:rsidR="00FC2F3B">
        <w:rPr>
          <w:rFonts w:asciiTheme="majorBidi" w:hAnsiTheme="majorBidi" w:cstheme="majorBidi"/>
          <w:sz w:val="24"/>
          <w:szCs w:val="24"/>
          <w:lang w:val="en-US"/>
        </w:rPr>
        <w:t xml:space="preserve"> </w:t>
      </w:r>
    </w:p>
    <w:p w:rsidR="002F47C9" w:rsidRDefault="002F47C9" w:rsidP="002F47C9">
      <w:pPr>
        <w:spacing w:after="0" w:line="360" w:lineRule="auto"/>
        <w:jc w:val="both"/>
        <w:rPr>
          <w:rFonts w:asciiTheme="majorBidi" w:hAnsiTheme="majorBidi" w:cstheme="majorBidi"/>
          <w:sz w:val="24"/>
          <w:szCs w:val="24"/>
          <w:lang w:val="en-US"/>
        </w:rPr>
      </w:pPr>
      <w:r w:rsidRPr="002F47C9">
        <w:rPr>
          <w:rFonts w:asciiTheme="majorBidi" w:hAnsiTheme="majorBidi" w:cstheme="majorBidi"/>
          <w:sz w:val="24"/>
          <w:szCs w:val="24"/>
          <w:lang w:val="en-US"/>
        </w:rPr>
        <w:t>The obtained model exhibits excellent statistical performance (R</w:t>
      </w:r>
      <w:r w:rsidRPr="00D66116">
        <w:rPr>
          <w:rFonts w:asciiTheme="majorBidi" w:hAnsiTheme="majorBidi" w:cstheme="majorBidi"/>
          <w:sz w:val="24"/>
          <w:szCs w:val="24"/>
          <w:vertAlign w:val="superscript"/>
          <w:lang w:val="en-US"/>
        </w:rPr>
        <w:t>2</w:t>
      </w:r>
      <w:r w:rsidRPr="002F47C9">
        <w:rPr>
          <w:rFonts w:asciiTheme="majorBidi" w:hAnsiTheme="majorBidi" w:cstheme="majorBidi"/>
          <w:sz w:val="24"/>
          <w:szCs w:val="24"/>
          <w:lang w:val="en-US"/>
        </w:rPr>
        <w:t xml:space="preserve"> = 0.9527; Q</w:t>
      </w:r>
      <w:r w:rsidRPr="00747299">
        <w:rPr>
          <w:rFonts w:asciiTheme="majorBidi" w:hAnsiTheme="majorBidi" w:cstheme="majorBidi"/>
          <w:sz w:val="24"/>
          <w:szCs w:val="24"/>
          <w:vertAlign w:val="superscript"/>
          <w:lang w:val="en-US"/>
        </w:rPr>
        <w:t>2</w:t>
      </w:r>
      <w:r w:rsidRPr="00747299">
        <w:rPr>
          <w:rFonts w:asciiTheme="majorBidi" w:hAnsiTheme="majorBidi" w:cstheme="majorBidi"/>
          <w:sz w:val="24"/>
          <w:szCs w:val="24"/>
          <w:vertAlign w:val="subscript"/>
          <w:lang w:val="en-US"/>
        </w:rPr>
        <w:t>CV</w:t>
      </w:r>
      <w:r w:rsidRPr="002F47C9">
        <w:rPr>
          <w:rFonts w:asciiTheme="majorBidi" w:hAnsiTheme="majorBidi" w:cstheme="majorBidi"/>
          <w:sz w:val="24"/>
          <w:szCs w:val="24"/>
          <w:lang w:val="en-US"/>
        </w:rPr>
        <w:t xml:space="preserve"> = 0.9745), indicating a strong correlation between the experimental and predicted values. Internal and external validations, according to Tropsha's criteria, confirm its robustness and predictive reliability. The applicability domain analysis shows that all molecules fall within the model's valid range, with no outliers. Polarizability appears to be the most significant descriptor for anticancer activity, suggesting that greater electronic deformability enhances biological efficacy. This QSAR model thus provides a promising tool for guiding the rational design of new phthalocyanines with high anticancer potential.</w:t>
      </w:r>
    </w:p>
    <w:p w:rsidR="00DA4936" w:rsidRPr="00DA4936" w:rsidRDefault="00DA4936" w:rsidP="00DA4936">
      <w:pPr>
        <w:spacing w:line="360" w:lineRule="auto"/>
        <w:jc w:val="both"/>
        <w:rPr>
          <w:rFonts w:asciiTheme="majorBidi" w:hAnsiTheme="majorBidi" w:cstheme="majorBidi"/>
          <w:sz w:val="24"/>
          <w:szCs w:val="24"/>
          <w:lang w:val="en-US"/>
        </w:rPr>
      </w:pPr>
    </w:p>
    <w:p w:rsidR="00DA4936" w:rsidRDefault="00DA4936" w:rsidP="00DA4936">
      <w:pPr>
        <w:spacing w:line="360" w:lineRule="auto"/>
        <w:jc w:val="both"/>
        <w:rPr>
          <w:rFonts w:asciiTheme="majorBidi" w:hAnsiTheme="majorBidi" w:cstheme="majorBidi"/>
          <w:sz w:val="24"/>
          <w:szCs w:val="24"/>
          <w:lang w:val="en-US"/>
        </w:rPr>
      </w:pPr>
      <w:r w:rsidRPr="00DA4936">
        <w:rPr>
          <w:rFonts w:asciiTheme="majorBidi" w:hAnsiTheme="majorBidi" w:cstheme="majorBidi"/>
          <w:b/>
          <w:bCs/>
          <w:sz w:val="24"/>
          <w:szCs w:val="24"/>
          <w:lang w:val="en-US"/>
        </w:rPr>
        <w:t>Keywords:</w:t>
      </w:r>
      <w:r w:rsidRPr="00DA4936">
        <w:rPr>
          <w:rFonts w:asciiTheme="majorBidi" w:hAnsiTheme="majorBidi" w:cstheme="majorBidi"/>
          <w:sz w:val="24"/>
          <w:szCs w:val="24"/>
          <w:lang w:val="en-US"/>
        </w:rPr>
        <w:t xml:space="preserve"> QSAR, phthalocyanines, MCF-7, molecular modeling, DFT</w:t>
      </w:r>
    </w:p>
    <w:p w:rsidR="00DA4936" w:rsidRDefault="00DA4936" w:rsidP="00DA4936">
      <w:pPr>
        <w:spacing w:line="360" w:lineRule="auto"/>
        <w:jc w:val="both"/>
        <w:rPr>
          <w:rFonts w:asciiTheme="majorBidi" w:hAnsiTheme="majorBidi" w:cstheme="majorBidi"/>
          <w:sz w:val="24"/>
          <w:szCs w:val="24"/>
          <w:lang w:val="en-US"/>
        </w:rPr>
      </w:pPr>
    </w:p>
    <w:p w:rsidR="00DA4936" w:rsidRDefault="00DA4936" w:rsidP="00DA4936">
      <w:pPr>
        <w:spacing w:line="360" w:lineRule="auto"/>
        <w:jc w:val="both"/>
        <w:rPr>
          <w:rFonts w:asciiTheme="majorBidi" w:hAnsiTheme="majorBidi" w:cstheme="majorBidi"/>
          <w:sz w:val="24"/>
          <w:szCs w:val="24"/>
          <w:lang w:val="en-US"/>
        </w:rPr>
      </w:pPr>
    </w:p>
    <w:p w:rsidR="0016099A" w:rsidRDefault="0016099A" w:rsidP="00DA4936">
      <w:pPr>
        <w:spacing w:line="360" w:lineRule="auto"/>
        <w:jc w:val="both"/>
        <w:rPr>
          <w:rFonts w:asciiTheme="majorBidi" w:hAnsiTheme="majorBidi" w:cstheme="majorBidi"/>
          <w:sz w:val="24"/>
          <w:szCs w:val="24"/>
          <w:lang w:val="en-US"/>
        </w:rPr>
      </w:pPr>
    </w:p>
    <w:p w:rsidR="00DA4936" w:rsidRPr="00B60A47" w:rsidRDefault="00B60A47" w:rsidP="00B60A47">
      <w:pPr>
        <w:pStyle w:val="Titre1"/>
        <w:jc w:val="center"/>
        <w:rPr>
          <w:rFonts w:asciiTheme="majorBidi" w:hAnsiTheme="majorBidi"/>
          <w:b/>
          <w:bCs/>
          <w:color w:val="auto"/>
          <w:sz w:val="24"/>
          <w:szCs w:val="24"/>
          <w:lang w:val="en-US"/>
        </w:rPr>
      </w:pPr>
      <w:r w:rsidRPr="00B60A47">
        <w:rPr>
          <w:rFonts w:asciiTheme="majorBidi" w:hAnsiTheme="majorBidi"/>
          <w:b/>
          <w:bCs/>
          <w:color w:val="auto"/>
          <w:sz w:val="24"/>
          <w:szCs w:val="24"/>
          <w:lang w:val="en-US"/>
        </w:rPr>
        <w:t>1-</w:t>
      </w:r>
      <w:r w:rsidR="00DA4936" w:rsidRPr="00B60A47">
        <w:rPr>
          <w:rFonts w:asciiTheme="majorBidi" w:hAnsiTheme="majorBidi"/>
          <w:b/>
          <w:bCs/>
          <w:color w:val="auto"/>
          <w:sz w:val="24"/>
          <w:szCs w:val="24"/>
          <w:lang w:val="en-US"/>
        </w:rPr>
        <w:t>INTRODUCTION</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Breast cancer remains one of the most significant public health concerns worldwide. Epidemiological data from Globocan 2022 reveal that breast cancer in women is the second most commonly diagnosed cancer globally, with approximately 2.3 million new cases, representing 11.6% of all recorded cases. Furthermore, this disease was the fourth leading cause of cancer-related m</w:t>
      </w:r>
      <w:r w:rsidR="00694E01">
        <w:rPr>
          <w:rFonts w:asciiTheme="majorBidi" w:hAnsiTheme="majorBidi" w:cstheme="majorBidi"/>
          <w:sz w:val="24"/>
          <w:szCs w:val="24"/>
          <w:lang w:val="en-US"/>
        </w:rPr>
        <w:t>ortality worldwide, causing 666.</w:t>
      </w:r>
      <w:r w:rsidRPr="00DA4936">
        <w:rPr>
          <w:rFonts w:asciiTheme="majorBidi" w:hAnsiTheme="majorBidi" w:cstheme="majorBidi"/>
          <w:sz w:val="24"/>
          <w:szCs w:val="24"/>
          <w:lang w:val="en-US"/>
        </w:rPr>
        <w:t xml:space="preserve">000 deaths, or 6.9% of all cancer deaths [1]. Despite advancements in therapeutic approaches such as surgery, radiotherapy, and </w:t>
      </w:r>
      <w:r w:rsidRPr="00DA4936">
        <w:rPr>
          <w:rFonts w:asciiTheme="majorBidi" w:hAnsiTheme="majorBidi" w:cstheme="majorBidi"/>
          <w:sz w:val="24"/>
          <w:szCs w:val="24"/>
          <w:lang w:val="en-US"/>
        </w:rPr>
        <w:lastRenderedPageBreak/>
        <w:t>chemotherapy, the imperative to develop more efficient, less harmful, and specifically tumor-targeted anticancer treatments persists [2,3]. Consequently, pharmaceutical research is investing heavily in the discovery of new molecules that offer novel mechanisms of action and superior selectivity.</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 xml:space="preserve">In the field of chemotherapy, macrocyclic compounds have attracted considerable attention due to their specific architecture and their ability to bind to various biological targets [4]. Among this category, phthalocyanines (Pcs), which are synthetic analogs of porphyrins, are particularly noteworthy. Thanks to their intense absorption bands in the therapeutic range (600-800 nm), their efficiency in generating singlet oxygen, and their low toxicity in the absence of light, phthalocyanines are preferred agents for PDT applications [5]. Beyond this application, recent studies indicate an intrinsic anticancer potential for certain phthalocyanine derivatives, through other mechanisms such as enzymatic inhibition [6,7]. </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Despite current knowledge, a comprehensive understanding of the structure-activity relationships and molecular mechanisms governing the anticancer properties of phthalocyanines remains a priority research area. Indeed, theoretical studies using quantum chemistry tools (DFT, TD-DFT) and molecular modeling (molecular docking) provide an efficient means to predict, rationalize, and optimize the properties of molecules well before their synthesis and experimental evaluation [8,9]. In this study, we apply Quantitative Structure-Activity Relationships (QSAR) with the aim of designing phthalocyanine derivatives with optimized anticancer activity. This theoretical chemistry method allows the association of molecular structural parameters with their biological activity while limiting reliance on extensive, costly, and sometimes risky experiments [10, 11].  This work aims to develop robust models for interpreting and predicting anticancer activity, measured by the minimum inhibitory concentration (MIC, expressed in µg/ml), of a series of phthalocyanine derivatives. The molecules studied are shown in the table below.</w:t>
      </w:r>
    </w:p>
    <w:p w:rsidR="00DA4936" w:rsidRDefault="00DA4936" w:rsidP="00DA4936">
      <w:pPr>
        <w:spacing w:line="360" w:lineRule="auto"/>
        <w:jc w:val="both"/>
        <w:rPr>
          <w:rFonts w:asciiTheme="majorBidi" w:hAnsiTheme="majorBidi" w:cstheme="majorBidi"/>
          <w:sz w:val="24"/>
          <w:szCs w:val="24"/>
          <w:lang w:val="en-US"/>
        </w:rPr>
      </w:pPr>
    </w:p>
    <w:p w:rsidR="00694E01" w:rsidRPr="00694E01" w:rsidRDefault="00694E01" w:rsidP="00694E01">
      <w:pPr>
        <w:pStyle w:val="Lgende"/>
        <w:keepNext/>
        <w:rPr>
          <w:rFonts w:asciiTheme="majorBidi" w:hAnsiTheme="majorBidi" w:cstheme="majorBidi"/>
          <w:i w:val="0"/>
          <w:iCs w:val="0"/>
          <w:sz w:val="24"/>
          <w:szCs w:val="24"/>
          <w:lang w:val="en-US"/>
        </w:rPr>
      </w:pPr>
      <w:r w:rsidRPr="00694E01">
        <w:rPr>
          <w:rFonts w:asciiTheme="majorBidi" w:hAnsiTheme="majorBidi" w:cstheme="majorBidi"/>
          <w:b/>
          <w:bCs/>
          <w:i w:val="0"/>
          <w:iCs w:val="0"/>
          <w:sz w:val="24"/>
          <w:szCs w:val="24"/>
          <w:lang w:val="en-US"/>
        </w:rPr>
        <w:t xml:space="preserve">Table </w:t>
      </w:r>
      <w:r w:rsidRPr="00694E01">
        <w:rPr>
          <w:rFonts w:asciiTheme="majorBidi" w:hAnsiTheme="majorBidi" w:cstheme="majorBidi"/>
          <w:b/>
          <w:bCs/>
          <w:i w:val="0"/>
          <w:iCs w:val="0"/>
          <w:sz w:val="24"/>
          <w:szCs w:val="24"/>
        </w:rPr>
        <w:fldChar w:fldCharType="begin"/>
      </w:r>
      <w:r w:rsidRPr="00694E01">
        <w:rPr>
          <w:rFonts w:asciiTheme="majorBidi" w:hAnsiTheme="majorBidi" w:cstheme="majorBidi"/>
          <w:b/>
          <w:bCs/>
          <w:i w:val="0"/>
          <w:iCs w:val="0"/>
          <w:sz w:val="24"/>
          <w:szCs w:val="24"/>
          <w:lang w:val="en-US"/>
        </w:rPr>
        <w:instrText xml:space="preserve"> SEQ Table \* ARABIC </w:instrText>
      </w:r>
      <w:r w:rsidRPr="00694E01">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1</w:t>
      </w:r>
      <w:r w:rsidRPr="00694E01">
        <w:rPr>
          <w:rFonts w:asciiTheme="majorBidi" w:hAnsiTheme="majorBidi" w:cstheme="majorBidi"/>
          <w:b/>
          <w:bCs/>
          <w:i w:val="0"/>
          <w:iCs w:val="0"/>
          <w:sz w:val="24"/>
          <w:szCs w:val="24"/>
        </w:rPr>
        <w:fldChar w:fldCharType="end"/>
      </w:r>
      <w:r w:rsidRPr="00694E01">
        <w:rPr>
          <w:rFonts w:asciiTheme="majorBidi" w:hAnsiTheme="majorBidi" w:cstheme="majorBidi"/>
          <w:b/>
          <w:bCs/>
          <w:i w:val="0"/>
          <w:iCs w:val="0"/>
          <w:sz w:val="24"/>
          <w:szCs w:val="24"/>
          <w:lang w:val="en-US"/>
        </w:rPr>
        <w:t>:</w:t>
      </w:r>
      <w:r w:rsidRPr="00694E01">
        <w:rPr>
          <w:rFonts w:asciiTheme="majorBidi" w:hAnsiTheme="majorBidi" w:cstheme="majorBidi"/>
          <w:i w:val="0"/>
          <w:iCs w:val="0"/>
          <w:sz w:val="24"/>
          <w:szCs w:val="24"/>
          <w:lang w:val="en-US"/>
        </w:rPr>
        <w:t xml:space="preserve"> Structures, codes, and median inhibitory concentrations (IC</w:t>
      </w:r>
      <w:r w:rsidRPr="00747299">
        <w:rPr>
          <w:rFonts w:asciiTheme="majorBidi" w:hAnsiTheme="majorBidi" w:cstheme="majorBidi"/>
          <w:i w:val="0"/>
          <w:iCs w:val="0"/>
          <w:sz w:val="24"/>
          <w:szCs w:val="24"/>
          <w:vertAlign w:val="subscript"/>
          <w:lang w:val="en-US"/>
        </w:rPr>
        <w:t>50</w:t>
      </w:r>
      <w:r w:rsidRPr="00694E01">
        <w:rPr>
          <w:rFonts w:asciiTheme="majorBidi" w:hAnsiTheme="majorBidi" w:cstheme="majorBidi"/>
          <w:i w:val="0"/>
          <w:iCs w:val="0"/>
          <w:sz w:val="24"/>
          <w:szCs w:val="24"/>
          <w:lang w:val="en-US"/>
        </w:rPr>
        <w:t>) of the studied molecules</w:t>
      </w:r>
    </w:p>
    <w:tbl>
      <w:tblPr>
        <w:tblStyle w:val="Grilledutableau"/>
        <w:tblW w:w="10774" w:type="dxa"/>
        <w:tblInd w:w="-856" w:type="dxa"/>
        <w:tblLayout w:type="fixed"/>
        <w:tblLook w:val="04A0" w:firstRow="1" w:lastRow="0" w:firstColumn="1" w:lastColumn="0" w:noHBand="0" w:noVBand="1"/>
      </w:tblPr>
      <w:tblGrid>
        <w:gridCol w:w="1418"/>
        <w:gridCol w:w="7673"/>
        <w:gridCol w:w="1683"/>
      </w:tblGrid>
      <w:tr w:rsidR="00694E01" w:rsidTr="005137BF">
        <w:tc>
          <w:tcPr>
            <w:tcW w:w="1418" w:type="dxa"/>
          </w:tcPr>
          <w:p w:rsidR="00694E01" w:rsidRPr="003629B7" w:rsidRDefault="00694E01" w:rsidP="005137BF">
            <w:pPr>
              <w:spacing w:line="360" w:lineRule="auto"/>
              <w:jc w:val="center"/>
              <w:rPr>
                <w:rFonts w:ascii="Times New Roman" w:hAnsi="Times New Roman" w:cs="Times New Roman"/>
                <w:b/>
                <w:lang w:val="en-US"/>
              </w:rPr>
            </w:pPr>
            <w:r w:rsidRPr="003629B7">
              <w:rPr>
                <w:rFonts w:ascii="Times New Roman" w:hAnsi="Times New Roman" w:cs="Times New Roman"/>
                <w:b/>
                <w:lang w:val="en-US"/>
              </w:rPr>
              <w:t>code</w:t>
            </w:r>
          </w:p>
        </w:tc>
        <w:tc>
          <w:tcPr>
            <w:tcW w:w="7673" w:type="dxa"/>
          </w:tcPr>
          <w:p w:rsidR="00694E01" w:rsidRPr="003629B7" w:rsidRDefault="00694E01" w:rsidP="005137BF">
            <w:pPr>
              <w:spacing w:line="360" w:lineRule="auto"/>
              <w:jc w:val="center"/>
              <w:rPr>
                <w:rFonts w:ascii="Times New Roman" w:hAnsi="Times New Roman" w:cs="Times New Roman"/>
                <w:b/>
                <w:lang w:val="en-US"/>
              </w:rPr>
            </w:pPr>
            <w:r w:rsidRPr="003629B7">
              <w:rPr>
                <w:rFonts w:ascii="Times New Roman" w:hAnsi="Times New Roman" w:cs="Times New Roman"/>
                <w:b/>
                <w:lang w:val="en-US"/>
              </w:rPr>
              <w:t>Structure</w:t>
            </w:r>
          </w:p>
        </w:tc>
        <w:tc>
          <w:tcPr>
            <w:tcW w:w="1683" w:type="dxa"/>
          </w:tcPr>
          <w:p w:rsidR="00694E01" w:rsidRPr="002E16A8" w:rsidRDefault="00694E01" w:rsidP="005137BF">
            <w:pPr>
              <w:spacing w:line="360" w:lineRule="auto"/>
              <w:rPr>
                <w:rFonts w:ascii="Times New Roman" w:eastAsiaTheme="minorEastAsia" w:hAnsi="Times New Roman" w:cs="Times New Roman"/>
                <w:b/>
                <w:vertAlign w:val="subscript"/>
                <w:lang w:val="en-GB"/>
              </w:rPr>
            </w:pPr>
            <w:r w:rsidRPr="00F871C5">
              <w:rPr>
                <w:rFonts w:ascii="Times New Roman" w:eastAsiaTheme="minorEastAsia" w:hAnsi="Times New Roman" w:cs="Times New Roman"/>
                <w:b/>
                <w:lang w:val="en-GB"/>
              </w:rPr>
              <w:t>pI</w:t>
            </w:r>
            <w:r>
              <w:rPr>
                <w:rFonts w:ascii="Times New Roman" w:eastAsiaTheme="minorEastAsia" w:hAnsi="Times New Roman" w:cs="Times New Roman"/>
                <w:b/>
                <w:lang w:val="en-GB"/>
              </w:rPr>
              <w:t>C</w:t>
            </w:r>
            <w:r>
              <w:rPr>
                <w:rFonts w:ascii="Times New Roman" w:eastAsiaTheme="minorEastAsia" w:hAnsi="Times New Roman" w:cs="Times New Roman"/>
                <w:b/>
                <w:vertAlign w:val="subscript"/>
                <w:lang w:val="en-GB"/>
              </w:rPr>
              <w:t>50</w:t>
            </w:r>
            <w:r w:rsidRPr="002E16A8">
              <w:rPr>
                <w:rFonts w:ascii="Times New Roman" w:eastAsiaTheme="minorEastAsia" w:hAnsi="Times New Roman" w:cs="Times New Roman"/>
                <w:b/>
                <w:lang w:val="en-GB"/>
              </w:rPr>
              <w:t>(</w:t>
            </w:r>
            <w:r w:rsidRPr="0010777E">
              <w:rPr>
                <w:rFonts w:ascii="Times New Roman" w:eastAsiaTheme="minorEastAsia" w:hAnsi="Times New Roman" w:cs="Times New Roman"/>
                <w:b/>
                <w:sz w:val="22"/>
                <w:szCs w:val="22"/>
                <w:lang w:val="en-US"/>
              </w:rPr>
              <w:t>MCF-7</w:t>
            </w:r>
            <w:r w:rsidRPr="002E16A8">
              <w:rPr>
                <w:rFonts w:ascii="Times New Roman" w:eastAsiaTheme="minorEastAsia" w:hAnsi="Times New Roman" w:cs="Times New Roman"/>
                <w:b/>
                <w:lang w:val="en-GB"/>
              </w:rPr>
              <w:t>)</w:t>
            </w:r>
          </w:p>
        </w:tc>
      </w:tr>
      <w:tr w:rsidR="00694E01" w:rsidTr="005137BF">
        <w:trPr>
          <w:trHeight w:val="5520"/>
        </w:trPr>
        <w:tc>
          <w:tcPr>
            <w:tcW w:w="1418" w:type="dxa"/>
          </w:tcPr>
          <w:p w:rsidR="00694E01" w:rsidRDefault="00694E01" w:rsidP="005137BF">
            <w:pPr>
              <w:spacing w:line="360" w:lineRule="auto"/>
              <w:jc w:val="both"/>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r>
              <w:rPr>
                <w:rFonts w:ascii="Times New Roman" w:hAnsi="Times New Roman" w:cs="Times New Roman"/>
                <w:lang w:val="en-US"/>
              </w:rPr>
              <w:t>mol1</w:t>
            </w:r>
          </w:p>
        </w:tc>
        <w:tc>
          <w:tcPr>
            <w:tcW w:w="7673" w:type="dxa"/>
          </w:tcPr>
          <w:p w:rsidR="00694E01" w:rsidRDefault="00694E01" w:rsidP="005137BF">
            <w:pPr>
              <w:spacing w:line="360" w:lineRule="auto"/>
              <w:jc w:val="center"/>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9773" w:dyaOrig="9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235pt" o:ole="">
                  <v:imagedata r:id="rId6" o:title=""/>
                </v:shape>
                <o:OLEObject Type="Embed" ProgID="ChemDraw.Document.6.0" ShapeID="_x0000_i1025" DrawAspect="Content" ObjectID="_1824115400" r:id="rId7"/>
              </w:object>
            </w:r>
          </w:p>
          <w:p w:rsidR="00694E01" w:rsidRDefault="00694E01" w:rsidP="005137BF">
            <w:pPr>
              <w:spacing w:line="360" w:lineRule="auto"/>
              <w:jc w:val="center"/>
              <w:rPr>
                <w:rFonts w:ascii="Times New Roman" w:hAnsi="Times New Roman" w:cs="Times New Roman"/>
                <w:lang w:val="en-US"/>
              </w:rPr>
            </w:pP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9118</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jc w:val="center"/>
              <w:rPr>
                <w:rFonts w:ascii="Times New Roman" w:hAnsi="Times New Roman" w:cs="Times New Roman"/>
                <w:lang w:val="en-US"/>
              </w:rPr>
            </w:pPr>
            <w:r>
              <w:rPr>
                <w:rFonts w:ascii="Times New Roman" w:hAnsi="Times New Roman" w:cs="Times New Roman"/>
                <w:lang w:val="en-US"/>
              </w:rPr>
              <w:t>mol2</w:t>
            </w:r>
          </w:p>
        </w:tc>
        <w:tc>
          <w:tcPr>
            <w:tcW w:w="7673" w:type="dxa"/>
          </w:tcPr>
          <w:p w:rsidR="00694E01" w:rsidRDefault="00694E01" w:rsidP="005137BF">
            <w:pPr>
              <w:spacing w:line="360" w:lineRule="auto"/>
              <w:jc w:val="center"/>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9231" w:dyaOrig="9231">
                <v:shape id="_x0000_i1026" type="#_x0000_t75" style="width:262.5pt;height:262.5pt" o:ole="">
                  <v:imagedata r:id="rId8" o:title=""/>
                </v:shape>
                <o:OLEObject Type="Embed" ProgID="ChemDraw.Document.6.0" ShapeID="_x0000_i1026" DrawAspect="Content" ObjectID="_1824115401" r:id="rId9"/>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7901</w:t>
            </w:r>
          </w:p>
        </w:tc>
      </w:tr>
      <w:tr w:rsidR="00694E01" w:rsidTr="005137BF">
        <w:trPr>
          <w:trHeight w:val="7078"/>
        </w:trPr>
        <w:tc>
          <w:tcPr>
            <w:tcW w:w="1418"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jc w:val="center"/>
              <w:rPr>
                <w:rFonts w:ascii="Times New Roman" w:hAnsi="Times New Roman" w:cs="Times New Roman"/>
                <w:lang w:val="en-US"/>
              </w:rPr>
            </w:pPr>
            <w:r>
              <w:rPr>
                <w:rFonts w:ascii="Times New Roman" w:hAnsi="Times New Roman" w:cs="Times New Roman"/>
                <w:lang w:val="en-US"/>
              </w:rPr>
              <w:t>mol3</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0041" w:dyaOrig="10032">
                <v:shape id="_x0000_i1027" type="#_x0000_t75" style="width:318pt;height:286pt" o:ole="">
                  <v:imagedata r:id="rId10" o:title=""/>
                </v:shape>
                <o:OLEObject Type="Embed" ProgID="ChemDraw.Document.6.0" ShapeID="_x0000_i1027" DrawAspect="Content" ObjectID="_1824115402" r:id="rId11"/>
              </w:object>
            </w:r>
          </w:p>
          <w:p w:rsidR="00694E01" w:rsidRDefault="00694E01" w:rsidP="005137BF">
            <w:pPr>
              <w:spacing w:line="360" w:lineRule="auto"/>
              <w:jc w:val="center"/>
              <w:rPr>
                <w:rFonts w:ascii="Times New Roman" w:hAnsi="Times New Roman" w:cs="Times New Roman"/>
                <w:lang w:val="en-US"/>
              </w:rPr>
            </w:pP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8601</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jc w:val="center"/>
              <w:rPr>
                <w:rFonts w:ascii="Times New Roman" w:hAnsi="Times New Roman" w:cs="Times New Roman"/>
                <w:lang w:val="en-US"/>
              </w:rPr>
            </w:pPr>
            <w:r>
              <w:rPr>
                <w:rFonts w:ascii="Times New Roman" w:hAnsi="Times New Roman" w:cs="Times New Roman"/>
                <w:lang w:val="en-US"/>
              </w:rPr>
              <w:t>mol4</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6974" w:dyaOrig="6989">
                <v:shape id="_x0000_i1028" type="#_x0000_t75" style="width:306pt;height:307.5pt" o:ole="">
                  <v:imagedata r:id="rId12" o:title=""/>
                </v:shape>
                <o:OLEObject Type="Embed" ProgID="ChemDraw.Document.6.0" ShapeID="_x0000_i1028" DrawAspect="Content" ObjectID="_1824115403" r:id="rId13"/>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5948</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r>
              <w:rPr>
                <w:rFonts w:ascii="Times New Roman" w:hAnsi="Times New Roman" w:cs="Times New Roman"/>
                <w:lang w:val="en-US"/>
              </w:rPr>
              <w:t>mol5</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right"/>
              <w:rPr>
                <w:rFonts w:ascii="Times New Roman" w:hAnsi="Times New Roman" w:cs="Times New Roman"/>
                <w:lang w:val="en-US"/>
              </w:rPr>
            </w:pPr>
            <w:r>
              <w:rPr>
                <w:kern w:val="0"/>
                <w:sz w:val="22"/>
                <w:szCs w:val="22"/>
                <w:lang w:val="fr-FR"/>
                <w14:ligatures w14:val="none"/>
              </w:rPr>
              <w:object w:dxaOrig="11227" w:dyaOrig="11420">
                <v:shape id="_x0000_i1029" type="#_x0000_t75" style="width:312.5pt;height:291pt" o:ole="">
                  <v:imagedata r:id="rId14" o:title=""/>
                </v:shape>
                <o:OLEObject Type="Embed" ProgID="ChemDraw.Document.6.0" ShapeID="_x0000_i1029" DrawAspect="Content" ObjectID="_1824115404" r:id="rId15"/>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5</w:t>
            </w:r>
            <w:r w:rsidR="008862E1">
              <w:rPr>
                <w:rFonts w:ascii="Times New Roman" w:hAnsi="Times New Roman" w:cs="Times New Roman"/>
                <w:bCs/>
              </w:rPr>
              <w:t>.</w:t>
            </w:r>
            <w:r w:rsidRPr="0010777E">
              <w:rPr>
                <w:rFonts w:ascii="Times New Roman" w:hAnsi="Times New Roman" w:cs="Times New Roman"/>
                <w:bCs/>
              </w:rPr>
              <w:t>6242</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jc w:val="center"/>
              <w:rPr>
                <w:rFonts w:ascii="Times New Roman" w:hAnsi="Times New Roman" w:cs="Times New Roman"/>
                <w:lang w:val="en-US"/>
              </w:rPr>
            </w:pPr>
            <w:r>
              <w:rPr>
                <w:rFonts w:ascii="Times New Roman" w:hAnsi="Times New Roman" w:cs="Times New Roman"/>
                <w:lang w:val="en-US"/>
              </w:rPr>
              <w:t>mol6</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3723" w:dyaOrig="13512">
                <v:shape id="_x0000_i1030" type="#_x0000_t75" style="width:345pt;height:339pt" o:ole="">
                  <v:imagedata r:id="rId16" o:title=""/>
                </v:shape>
                <o:OLEObject Type="Embed" ProgID="ChemDraw.Document.6.0" ShapeID="_x0000_i1030" DrawAspect="Content" ObjectID="_1824115405" r:id="rId17"/>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5</w:t>
            </w:r>
            <w:r w:rsidR="008862E1">
              <w:rPr>
                <w:rFonts w:ascii="Times New Roman" w:hAnsi="Times New Roman" w:cs="Times New Roman"/>
                <w:bCs/>
              </w:rPr>
              <w:t>.</w:t>
            </w:r>
            <w:r w:rsidRPr="0010777E">
              <w:rPr>
                <w:rFonts w:ascii="Times New Roman" w:hAnsi="Times New Roman" w:cs="Times New Roman"/>
                <w:bCs/>
              </w:rPr>
              <w:t>3290</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r>
              <w:rPr>
                <w:rFonts w:ascii="Times New Roman" w:hAnsi="Times New Roman" w:cs="Times New Roman"/>
                <w:lang w:val="en-US"/>
              </w:rPr>
              <w:t>mol7</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0531" w:dyaOrig="10531">
                <v:shape id="_x0000_i1031" type="#_x0000_t75" style="width:291pt;height:266.5pt" o:ole="">
                  <v:imagedata r:id="rId18" o:title=""/>
                </v:shape>
                <o:OLEObject Type="Embed" ProgID="ChemDraw.Document.6.0" ShapeID="_x0000_i1031" DrawAspect="Content" ObjectID="_1824115406" r:id="rId19"/>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8862E1" w:rsidRDefault="008862E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6547</w:t>
            </w:r>
          </w:p>
        </w:tc>
      </w:tr>
    </w:tbl>
    <w:p w:rsidR="00694E01" w:rsidRDefault="00694E01" w:rsidP="00DA4936">
      <w:pPr>
        <w:spacing w:line="360" w:lineRule="auto"/>
        <w:jc w:val="both"/>
        <w:rPr>
          <w:rFonts w:asciiTheme="majorBidi" w:hAnsiTheme="majorBidi" w:cstheme="majorBidi"/>
          <w:sz w:val="24"/>
          <w:szCs w:val="24"/>
          <w:lang w:val="en-US"/>
        </w:rPr>
      </w:pPr>
    </w:p>
    <w:p w:rsidR="0019624D" w:rsidRDefault="0019624D" w:rsidP="0019624D">
      <w:pPr>
        <w:pStyle w:val="Titre1"/>
        <w:spacing w:after="240"/>
        <w:jc w:val="both"/>
        <w:rPr>
          <w:rFonts w:asciiTheme="majorBidi" w:hAnsiTheme="majorBidi"/>
          <w:b/>
          <w:bCs/>
          <w:color w:val="auto"/>
          <w:sz w:val="24"/>
          <w:szCs w:val="24"/>
        </w:rPr>
      </w:pPr>
      <w:r w:rsidRPr="0019624D">
        <w:rPr>
          <w:rFonts w:asciiTheme="majorBidi" w:hAnsiTheme="majorBidi"/>
          <w:b/>
          <w:bCs/>
          <w:color w:val="auto"/>
          <w:sz w:val="24"/>
          <w:szCs w:val="24"/>
        </w:rPr>
        <w:t>2-MATERIALS AND METHODS</w:t>
      </w:r>
    </w:p>
    <w:p w:rsidR="0019624D" w:rsidRDefault="0019624D" w:rsidP="0019624D">
      <w:pPr>
        <w:pStyle w:val="Titre2"/>
        <w:spacing w:after="240"/>
        <w:jc w:val="both"/>
        <w:rPr>
          <w:rFonts w:asciiTheme="majorBidi" w:hAnsiTheme="majorBidi"/>
          <w:b/>
          <w:bCs/>
          <w:color w:val="auto"/>
          <w:sz w:val="24"/>
          <w:szCs w:val="24"/>
          <w:lang w:val="en-US"/>
        </w:rPr>
      </w:pPr>
      <w:r w:rsidRPr="0019624D">
        <w:rPr>
          <w:rFonts w:asciiTheme="majorBidi" w:hAnsiTheme="majorBidi"/>
          <w:b/>
          <w:bCs/>
          <w:color w:val="auto"/>
          <w:sz w:val="24"/>
          <w:szCs w:val="24"/>
          <w:lang w:val="en-US"/>
        </w:rPr>
        <w:t>2-1-Theoretical framework of computational simulation</w:t>
      </w:r>
    </w:p>
    <w:p w:rsidR="0019624D" w:rsidRDefault="0019624D" w:rsidP="0019624D">
      <w:pPr>
        <w:spacing w:line="360" w:lineRule="auto"/>
        <w:jc w:val="both"/>
        <w:rPr>
          <w:rFonts w:asciiTheme="majorBidi" w:hAnsiTheme="majorBidi" w:cstheme="majorBidi"/>
          <w:sz w:val="24"/>
          <w:szCs w:val="24"/>
          <w:lang w:val="en-US"/>
        </w:rPr>
      </w:pPr>
      <w:r w:rsidRPr="0019624D">
        <w:rPr>
          <w:rFonts w:asciiTheme="majorBidi" w:hAnsiTheme="majorBidi" w:cstheme="majorBidi"/>
          <w:sz w:val="24"/>
          <w:szCs w:val="24"/>
          <w:lang w:val="en-US"/>
        </w:rPr>
        <w:t xml:space="preserve">In order to evaluate and predict the anticancer activity of phthalocyanine derivatives, quantum chemistry calculations were carried out using the Gaussian 09 software [12]. Calculations based on density functional theory are recognized for their ability to generate a rich and reliable set of molecular properties, which justifies their use in QSAR studies [13, 14]. These approaches not only enhance the accuracy of QSAR models but also reduce the time required for calculations and the costs associated with the rational design of new drug candidates [15, 16]. The determination of molecular descriptors was carried out based on density functional theory, using the B3LYP/LanL2DZ level of theory. The values of the Minimum Inhibitory Concentrations of the seven phthalocyanine derivative molecules considered in this study are relatively very low. Among the parameters considered, the median inhibitory concentration (IC50) is of particular importance, as it serves as a quantitative indicator of a compound's potency in inhibiting a specific biological or biochemical target. To optimize the statistical robustness of the models, biological activity data are commonly transformed into the negative decimal logarithm (-log10(C)), which provides more homogeneous and usable values for </w:t>
      </w:r>
      <w:r w:rsidRPr="0019624D">
        <w:rPr>
          <w:rFonts w:asciiTheme="majorBidi" w:hAnsiTheme="majorBidi" w:cstheme="majorBidi"/>
          <w:sz w:val="24"/>
          <w:szCs w:val="24"/>
          <w:lang w:val="en-US"/>
        </w:rPr>
        <w:lastRenderedPageBreak/>
        <w:t xml:space="preserve">biologically active compounds [17, 18]. The anticancer efficacy of the compounds is expressed in the form of </w:t>
      </w:r>
      <w:r w:rsidRPr="006071DA">
        <w:rPr>
          <w:rFonts w:asciiTheme="majorBidi" w:hAnsiTheme="majorBidi" w:cstheme="majorBidi"/>
          <w:sz w:val="24"/>
          <w:szCs w:val="24"/>
          <w:highlight w:val="yellow"/>
          <w:lang w:val="en-US"/>
        </w:rPr>
        <w:t>pIC</w:t>
      </w:r>
      <w:r w:rsidRPr="006071DA">
        <w:rPr>
          <w:rFonts w:asciiTheme="majorBidi" w:hAnsiTheme="majorBidi" w:cstheme="majorBidi"/>
          <w:sz w:val="24"/>
          <w:szCs w:val="24"/>
          <w:highlight w:val="yellow"/>
          <w:vertAlign w:val="subscript"/>
          <w:lang w:val="en-US"/>
        </w:rPr>
        <w:t>50</w:t>
      </w:r>
      <w:r w:rsidRPr="0019624D">
        <w:rPr>
          <w:rFonts w:asciiTheme="majorBidi" w:hAnsiTheme="majorBidi" w:cstheme="majorBidi"/>
          <w:sz w:val="24"/>
          <w:szCs w:val="24"/>
          <w:lang w:val="en-US"/>
        </w:rPr>
        <w:t>, known as the inhibitory concentration potential, a parameter obtained according to the following equation:</w:t>
      </w:r>
      <w:r w:rsidR="00B97CF8">
        <w:rPr>
          <w:rFonts w:asciiTheme="majorBidi" w:hAnsiTheme="majorBidi" w:cstheme="majorBidi"/>
          <w:sz w:val="24"/>
          <w:szCs w:val="24"/>
          <w:lang w:val="en-US"/>
        </w:rPr>
        <w:t xml:space="preserve">  </w:t>
      </w:r>
    </w:p>
    <w:p w:rsidR="00B97CF8" w:rsidRPr="00B97CF8" w:rsidRDefault="00B97CF8" w:rsidP="0019624D">
      <w:pPr>
        <w:spacing w:line="360" w:lineRule="auto"/>
        <w:jc w:val="both"/>
        <w:rPr>
          <w:rFonts w:asciiTheme="majorBidi" w:eastAsiaTheme="minorEastAsia" w:hAnsiTheme="majorBidi" w:cstheme="majorBidi"/>
        </w:rPr>
      </w:pPr>
      <m:oMathPara>
        <m:oMath>
          <m:r>
            <m:rPr>
              <m:sty m:val="p"/>
            </m:rPr>
            <w:rPr>
              <w:rFonts w:ascii="Cambria Math" w:hAnsi="Cambria Math" w:cs="Times New Roman"/>
            </w:rPr>
            <m:t>pI</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50</m:t>
              </m:r>
            </m:sub>
          </m:sSub>
          <m:r>
            <m:rPr>
              <m:sty m:val="p"/>
            </m:rPr>
            <w:rPr>
              <w:rFonts w:ascii="Cambria Math" w:hAnsi="Cambria Math" w:cs="Times New Roman"/>
            </w:rPr>
            <m:t>=-</m:t>
          </m:r>
          <m:func>
            <m:funcPr>
              <m:ctrlPr>
                <w:rPr>
                  <w:rFonts w:ascii="Cambria Math" w:hAnsi="Cambria Math" w:cs="Times New Roman"/>
                </w:rPr>
              </m:ctrlPr>
            </m:funcPr>
            <m:fName>
              <m:sSub>
                <m:sSubPr>
                  <m:ctrlPr>
                    <w:rPr>
                      <w:rFonts w:ascii="Cambria Math" w:hAnsi="Cambria Math" w:cs="Times New Roman"/>
                    </w:rPr>
                  </m:ctrlPr>
                </m:sSubPr>
                <m:e>
                  <m:r>
                    <m:rPr>
                      <m:sty m:val="p"/>
                    </m:rPr>
                    <w:rPr>
                      <w:rFonts w:ascii="Cambria Math" w:hAnsi="Cambria Math" w:cs="Times New Roman"/>
                    </w:rPr>
                    <m:t>log</m:t>
                  </m:r>
                </m:e>
                <m:sub>
                  <m:r>
                    <m:rPr>
                      <m:sty m:val="p"/>
                    </m:rPr>
                    <w:rPr>
                      <w:rFonts w:ascii="Cambria Math" w:hAnsi="Cambria Math" w:cs="Times New Roman"/>
                    </w:rPr>
                    <m:t>10</m:t>
                  </m:r>
                </m:sub>
              </m:sSub>
            </m:fName>
            <m:e>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IC</m:t>
                      </m:r>
                    </m:e>
                    <m:sub>
                      <m:r>
                        <m:rPr>
                          <m:sty m:val="p"/>
                        </m:rPr>
                        <w:rPr>
                          <w:rFonts w:ascii="Cambria Math" w:hAnsi="Cambria Math" w:cs="Times New Roman"/>
                        </w:rPr>
                        <m:t>50</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e>
              </m:d>
            </m:e>
          </m:func>
        </m:oMath>
      </m:oMathPara>
    </w:p>
    <w:p w:rsidR="00B97CF8" w:rsidRPr="00BB3A93" w:rsidRDefault="00B97CF8" w:rsidP="00B97CF8">
      <w:pPr>
        <w:spacing w:after="0" w:line="360" w:lineRule="auto"/>
        <w:jc w:val="both"/>
        <w:rPr>
          <w:rFonts w:asciiTheme="majorBidi" w:hAnsiTheme="majorBidi" w:cstheme="majorBidi"/>
          <w:lang w:val="en-US"/>
        </w:rPr>
      </w:pPr>
      <w:r w:rsidRPr="00BB3A93">
        <w:rPr>
          <w:rFonts w:asciiTheme="majorBidi" w:hAnsiTheme="majorBidi" w:cstheme="majorBidi"/>
          <w:lang w:val="en-US"/>
        </w:rPr>
        <w:t xml:space="preserve">Where IC50 is the inhibitory concentration in μM. </w:t>
      </w:r>
    </w:p>
    <w:p w:rsidR="00B97CF8" w:rsidRDefault="00B97CF8" w:rsidP="00B97CF8">
      <w:pPr>
        <w:spacing w:line="360" w:lineRule="auto"/>
        <w:jc w:val="both"/>
        <w:rPr>
          <w:rFonts w:asciiTheme="majorBidi" w:hAnsiTheme="majorBidi" w:cstheme="majorBidi"/>
          <w:sz w:val="24"/>
          <w:szCs w:val="24"/>
          <w:lang w:val="en-US"/>
        </w:rPr>
      </w:pPr>
      <w:r w:rsidRPr="00B97CF8">
        <w:rPr>
          <w:rFonts w:asciiTheme="majorBidi" w:hAnsiTheme="majorBidi" w:cstheme="majorBidi"/>
          <w:sz w:val="24"/>
          <w:szCs w:val="24"/>
          <w:lang w:val="en-US"/>
        </w:rPr>
        <w:t>To build the model, three statistical methods were used. Among them, multiple linear regression (MLR) was applied using the tools provided by Excel [19] and XLSTAT [20].</w:t>
      </w:r>
    </w:p>
    <w:p w:rsidR="00B97CF8" w:rsidRPr="00A158CF" w:rsidRDefault="00B97CF8" w:rsidP="00B97CF8">
      <w:pPr>
        <w:pStyle w:val="Titre2"/>
        <w:rPr>
          <w:rFonts w:asciiTheme="majorBidi" w:hAnsiTheme="majorBidi"/>
          <w:b/>
          <w:bCs/>
          <w:color w:val="auto"/>
          <w:sz w:val="24"/>
          <w:szCs w:val="24"/>
          <w:lang w:val="en-US"/>
        </w:rPr>
      </w:pPr>
      <w:r w:rsidRPr="00A158CF">
        <w:rPr>
          <w:rFonts w:asciiTheme="majorBidi" w:hAnsiTheme="majorBidi"/>
          <w:b/>
          <w:bCs/>
          <w:color w:val="auto"/>
          <w:sz w:val="24"/>
          <w:szCs w:val="24"/>
          <w:lang w:val="en-US"/>
        </w:rPr>
        <w:t>2-2-Descriptors used</w:t>
      </w:r>
    </w:p>
    <w:p w:rsidR="00B97CF8" w:rsidRDefault="00B97CF8" w:rsidP="00B97CF8">
      <w:pPr>
        <w:spacing w:before="240" w:line="360" w:lineRule="auto"/>
        <w:jc w:val="both"/>
        <w:rPr>
          <w:rFonts w:asciiTheme="majorBidi" w:hAnsiTheme="majorBidi" w:cstheme="majorBidi"/>
          <w:sz w:val="24"/>
          <w:szCs w:val="24"/>
          <w:lang w:val="en-US"/>
        </w:rPr>
      </w:pPr>
      <w:r w:rsidRPr="00B97CF8">
        <w:rPr>
          <w:rFonts w:asciiTheme="majorBidi" w:hAnsiTheme="majorBidi" w:cstheme="majorBidi"/>
          <w:sz w:val="24"/>
          <w:szCs w:val="24"/>
          <w:lang w:val="en-US"/>
        </w:rPr>
        <w:t>The development of the QSAR model relied on the rational selection of theoretical descriptors, chosen for their ability to accurately describe the structure-activity interactions of compounds. Among the considered descriptors is the electron acceptance power (ω+(eV)), which reflects a molecule’s ability to accept electrons, a key parameter in its chemical reactivity and interactions with biological targets. Next is polarizability (α, in atomic units), which measures how easily a molecule's electron cloud can be distorted in response to an external electric field. Finally, molar refractivity (MR) represents an optoelectronic indicator associated with the molecule's response to light, closely linked to its electronic structure and photophysical characteristics.</w:t>
      </w:r>
    </w:p>
    <w:p w:rsidR="00215A7F" w:rsidRPr="00A158CF" w:rsidRDefault="00215A7F" w:rsidP="00215A7F">
      <w:pPr>
        <w:pStyle w:val="Titre2"/>
        <w:rPr>
          <w:rFonts w:asciiTheme="majorBidi" w:hAnsiTheme="majorBidi"/>
          <w:b/>
          <w:bCs/>
          <w:color w:val="auto"/>
          <w:sz w:val="24"/>
          <w:szCs w:val="24"/>
          <w:lang w:val="en-US"/>
        </w:rPr>
      </w:pPr>
      <w:r w:rsidRPr="00A158CF">
        <w:rPr>
          <w:rFonts w:asciiTheme="majorBidi" w:hAnsiTheme="majorBidi"/>
          <w:b/>
          <w:bCs/>
          <w:color w:val="auto"/>
          <w:sz w:val="24"/>
          <w:szCs w:val="24"/>
          <w:lang w:val="en-US"/>
        </w:rPr>
        <w:t>2-3-Estimation of the predictive capacity of a QSAR model</w:t>
      </w:r>
    </w:p>
    <w:p w:rsidR="00215A7F" w:rsidRDefault="00215A7F" w:rsidP="00215A7F">
      <w:pPr>
        <w:spacing w:before="240" w:line="360" w:lineRule="auto"/>
        <w:jc w:val="both"/>
        <w:rPr>
          <w:rFonts w:asciiTheme="majorBidi" w:hAnsiTheme="majorBidi" w:cstheme="majorBidi"/>
          <w:sz w:val="24"/>
          <w:szCs w:val="24"/>
          <w:lang w:val="en-US"/>
        </w:rPr>
      </w:pPr>
      <w:r w:rsidRPr="00215A7F">
        <w:rPr>
          <w:rFonts w:asciiTheme="majorBidi" w:hAnsiTheme="majorBidi" w:cstheme="majorBidi"/>
          <w:sz w:val="24"/>
          <w:szCs w:val="24"/>
          <w:lang w:val="en-US"/>
        </w:rPr>
        <w:t xml:space="preserve">The validity of a model is assessed using several statistical criteria: the coefficient of determination R², standard deviation S, cross-validation correlation </w:t>
      </w:r>
      <w:r w:rsidRPr="000A3040">
        <w:rPr>
          <w:rFonts w:asciiTheme="majorBidi" w:hAnsiTheme="majorBidi" w:cstheme="majorBidi"/>
          <w:lang w:val="en-US"/>
        </w:rPr>
        <w:t>Q²</w:t>
      </w:r>
      <w:r w:rsidRPr="000A3040">
        <w:rPr>
          <w:rFonts w:asciiTheme="majorBidi" w:hAnsiTheme="majorBidi" w:cstheme="majorBidi"/>
          <w:vertAlign w:val="subscript"/>
          <w:lang w:val="en-US"/>
        </w:rPr>
        <w:t>CV</w:t>
      </w:r>
      <w:r w:rsidRPr="00215A7F">
        <w:rPr>
          <w:rFonts w:asciiTheme="majorBidi" w:hAnsiTheme="majorBidi" w:cstheme="majorBidi"/>
          <w:sz w:val="24"/>
          <w:szCs w:val="24"/>
          <w:lang w:val="en-US"/>
        </w:rPr>
        <w:t xml:space="preserve">, and Fisher F test. R², S, and F provide information on the fit between the experimental values and those predicted by the model. These parameters indicate the extent to which the model can correctly predict outcomes and are used to estimate the reliability of the values obtained for the test set [21, 22]. The cross-validation coefficient </w:t>
      </w:r>
      <w:r w:rsidRPr="000A3040">
        <w:rPr>
          <w:rFonts w:asciiTheme="majorBidi" w:hAnsiTheme="majorBidi" w:cstheme="majorBidi"/>
          <w:lang w:val="en-US"/>
        </w:rPr>
        <w:t>Q²</w:t>
      </w:r>
      <w:r w:rsidRPr="000A3040">
        <w:rPr>
          <w:rFonts w:asciiTheme="majorBidi" w:hAnsiTheme="majorBidi" w:cstheme="majorBidi"/>
          <w:vertAlign w:val="subscript"/>
          <w:lang w:val="en-US"/>
        </w:rPr>
        <w:t>CV</w:t>
      </w:r>
      <w:r w:rsidRPr="00215A7F">
        <w:rPr>
          <w:rFonts w:asciiTheme="majorBidi" w:hAnsiTheme="majorBidi" w:cstheme="majorBidi"/>
          <w:sz w:val="24"/>
          <w:szCs w:val="24"/>
          <w:lang w:val="en-US"/>
        </w:rPr>
        <w:t xml:space="preserve"> assesses the model's ability to generalize its predictions beyond the data used to construct it. This predictive power is referred to as internal since it is obtained from the same compounds that were used to build the model. The coefficient of determination R² indicates how closely the calculated values approximate the experimental values. The accuracy of the model increases when the points are close to the regression line [23], which can be assessed using the coefficient of determination. R² is expressed as follows:</w:t>
      </w:r>
    </w:p>
    <w:p w:rsidR="00C45B7E" w:rsidRPr="00C45B7E" w:rsidRDefault="006071DA" w:rsidP="00215A7F">
      <w:pPr>
        <w:spacing w:before="240" w:line="360" w:lineRule="auto"/>
        <w:jc w:val="both"/>
        <w:rPr>
          <w:rFonts w:asciiTheme="majorBidi" w:eastAsiaTheme="minorEastAsia" w:hAnsiTheme="majorBidi" w:cstheme="majorBidi"/>
        </w:rPr>
      </w:pPr>
      <m:oMathPara>
        <m:oMath>
          <m:sSup>
            <m:sSupPr>
              <m:ctrlPr>
                <w:rPr>
                  <w:rFonts w:ascii="Cambria Math" w:eastAsia="Calibri" w:hAnsi="Cambria Math" w:cs="Times New Roman"/>
                </w:rPr>
              </m:ctrlPr>
            </m:sSupPr>
            <m:e>
              <m:r>
                <m:rPr>
                  <m:sty m:val="bi"/>
                </m:rPr>
                <w:rPr>
                  <w:rFonts w:ascii="Cambria Math" w:eastAsia="Calibri" w:hAnsi="Cambria Math" w:cs="Times New Roman"/>
                </w:rPr>
                <m:t>R</m:t>
              </m:r>
            </m:e>
            <m:sup>
              <m:r>
                <w:rPr>
                  <w:rFonts w:ascii="Cambria Math" w:eastAsia="Calibri" w:hAnsi="Cambria Math" w:cs="Times New Roman"/>
                </w:rPr>
                <m:t>2</m:t>
              </m:r>
            </m:sup>
          </m:sSup>
          <m:r>
            <w:rPr>
              <w:rFonts w:ascii="Cambria Math" w:eastAsia="Calibri" w:hAnsi="Cambria Math" w:cs="Times New Roman"/>
            </w:rPr>
            <m:t>=1-</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acc>
                            <m:accPr>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i,théo</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den>
          </m:f>
          <m:r>
            <w:rPr>
              <w:rFonts w:ascii="Cambria Math" w:eastAsia="Calibri" w:hAnsi="Cambria Math" w:cs="Times New Roman"/>
            </w:rPr>
            <m:t xml:space="preserve">                   </m:t>
          </m:r>
        </m:oMath>
      </m:oMathPara>
    </w:p>
    <w:p w:rsidR="00C45B7E" w:rsidRPr="00547701" w:rsidRDefault="00C45B7E" w:rsidP="00C45B7E">
      <w:pPr>
        <w:jc w:val="both"/>
        <w:rPr>
          <w:rFonts w:asciiTheme="majorBidi" w:hAnsiTheme="majorBidi" w:cstheme="majorBidi"/>
          <w:lang w:val="en-US"/>
        </w:rPr>
      </w:pPr>
      <w:proofErr w:type="gramStart"/>
      <w:r w:rsidRPr="00547701">
        <w:rPr>
          <w:rFonts w:asciiTheme="majorBidi" w:hAnsiTheme="majorBidi" w:cstheme="majorBidi"/>
          <w:lang w:val="en-US"/>
        </w:rPr>
        <w:t>Where :</w:t>
      </w:r>
      <w:proofErr w:type="gramEnd"/>
      <w:r w:rsidRPr="00547701">
        <w:rPr>
          <w:rFonts w:asciiTheme="majorBidi" w:hAnsiTheme="majorBidi" w:cstheme="majorBidi"/>
          <w:lang w:val="en-US"/>
        </w:rPr>
        <w:t xml:space="preserve"> </w:t>
      </w:r>
    </w:p>
    <w:p w:rsidR="00C45B7E" w:rsidRDefault="006071DA"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exp</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Average value of the experimental anticancer activity;</w:t>
      </w:r>
    </w:p>
    <w:p w:rsidR="00C45B7E" w:rsidRDefault="006071DA"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exp</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Experimental value of the anticancer activity;</w:t>
      </w:r>
    </w:p>
    <w:p w:rsidR="00C45B7E" w:rsidRDefault="006071DA"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acc>
              <m:accPr>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t</m:t>
            </m:r>
            <m:r>
              <w:rPr>
                <w:rFonts w:ascii="Cambria Math" w:eastAsia="Calibri" w:hAnsi="Cambria Math" w:cs="Times New Roman"/>
                <w:lang w:val="en-US"/>
              </w:rPr>
              <m:t>hé</m:t>
            </m:r>
            <m:r>
              <w:rPr>
                <w:rFonts w:ascii="Cambria Math" w:eastAsia="Calibri" w:hAnsi="Cambria Math" w:cs="Times New Roman"/>
              </w:rPr>
              <m:t>o</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Theoretical value of the anticancer activity.</w:t>
      </w:r>
    </w:p>
    <w:p w:rsidR="00C45B7E" w:rsidRDefault="00C45B7E" w:rsidP="00C45B7E">
      <w:pPr>
        <w:jc w:val="both"/>
        <w:rPr>
          <w:rFonts w:asciiTheme="majorBidi" w:hAnsiTheme="majorBidi" w:cstheme="majorBidi"/>
          <w:lang w:val="en-US"/>
        </w:rPr>
      </w:pPr>
      <w:r w:rsidRPr="00EB3B62">
        <w:rPr>
          <w:rFonts w:asciiTheme="majorBidi" w:hAnsiTheme="majorBidi" w:cstheme="majorBidi"/>
          <w:lang w:val="en-US"/>
        </w:rPr>
        <w:t>The closer R</w:t>
      </w:r>
      <w:r w:rsidRPr="00EB3B62">
        <w:rPr>
          <w:rFonts w:asciiTheme="majorBidi" w:hAnsiTheme="majorBidi" w:cstheme="majorBidi"/>
          <w:vertAlign w:val="superscript"/>
          <w:lang w:val="en-US"/>
        </w:rPr>
        <w:t>2</w:t>
      </w:r>
      <w:r w:rsidRPr="00EB3B62">
        <w:rPr>
          <w:rFonts w:asciiTheme="majorBidi" w:hAnsiTheme="majorBidi" w:cstheme="majorBidi"/>
          <w:lang w:val="en-US"/>
        </w:rPr>
        <w:t xml:space="preserve"> is to 1, the more accurately the model reproduces the experimental values.</w:t>
      </w:r>
    </w:p>
    <w:p w:rsidR="00F214AB" w:rsidRDefault="00F214AB" w:rsidP="00F214AB">
      <w:pPr>
        <w:jc w:val="both"/>
        <w:rPr>
          <w:rFonts w:asciiTheme="majorBidi" w:hAnsiTheme="majorBidi" w:cstheme="majorBidi"/>
          <w:lang w:val="en-US"/>
        </w:rPr>
      </w:pPr>
      <w:r w:rsidRPr="00550BC3">
        <w:rPr>
          <w:rFonts w:asciiTheme="majorBidi" w:hAnsiTheme="majorBidi" w:cstheme="majorBidi"/>
          <w:lang w:val="en-US"/>
        </w:rPr>
        <w:t xml:space="preserve">The Fisher F test is used to determine the statistical validity of the model and the adequacy of the descriptors used. F is defined by the following </w:t>
      </w:r>
      <w:proofErr w:type="gramStart"/>
      <w:r w:rsidRPr="00550BC3">
        <w:rPr>
          <w:rFonts w:asciiTheme="majorBidi" w:hAnsiTheme="majorBidi" w:cstheme="majorBidi"/>
          <w:lang w:val="en-US"/>
        </w:rPr>
        <w:t>expression</w:t>
      </w:r>
      <w:r>
        <w:rPr>
          <w:rFonts w:asciiTheme="majorBidi" w:hAnsiTheme="majorBidi" w:cstheme="majorBidi"/>
          <w:lang w:val="en-US"/>
        </w:rPr>
        <w:t xml:space="preserve"> </w:t>
      </w:r>
      <w:r w:rsidRPr="00550BC3">
        <w:rPr>
          <w:rFonts w:asciiTheme="majorBidi" w:hAnsiTheme="majorBidi" w:cstheme="majorBidi"/>
          <w:lang w:val="en-US"/>
        </w:rPr>
        <w:t>:</w:t>
      </w:r>
      <w:proofErr w:type="gramEnd"/>
    </w:p>
    <w:p w:rsidR="00C45B7E" w:rsidRPr="00F214AB" w:rsidRDefault="00F214AB" w:rsidP="00215A7F">
      <w:pPr>
        <w:spacing w:before="240" w:line="360" w:lineRule="auto"/>
        <w:jc w:val="both"/>
        <w:rPr>
          <w:rFonts w:asciiTheme="majorBidi" w:eastAsiaTheme="minorEastAsia" w:hAnsiTheme="majorBidi" w:cstheme="majorBidi"/>
        </w:rPr>
      </w:pPr>
      <m:oMathPara>
        <m:oMath>
          <m:r>
            <m:rPr>
              <m:sty m:val="b"/>
            </m:rPr>
            <w:rPr>
              <w:rFonts w:ascii="Cambria Math" w:eastAsia="Calibri" w:hAnsi="Cambria Math" w:cs="Times New Roman"/>
            </w:rPr>
            <m:t>F</m:t>
          </m:r>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e>
                  </m:d>
                </m:e>
                <m:sup>
                  <m:r>
                    <w:rPr>
                      <w:rFonts w:ascii="Cambria Math" w:eastAsia="Calibri" w:hAnsi="Cambria Math" w:cs="Times New Roman"/>
                    </w:rPr>
                    <m:t>2</m:t>
                  </m:r>
                </m:sup>
              </m:sSup>
            </m:den>
          </m:f>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n-k-1</m:t>
              </m:r>
            </m:num>
            <m:den>
              <m:r>
                <w:rPr>
                  <w:rFonts w:ascii="Cambria Math" w:eastAsia="Calibri" w:hAnsi="Cambria Math" w:cs="Times New Roman"/>
                </w:rPr>
                <m:t>k</m:t>
              </m:r>
            </m:den>
          </m:f>
          <m:r>
            <w:rPr>
              <w:rFonts w:ascii="Cambria Math" w:eastAsia="Calibri" w:hAnsi="Cambria Math" w:cs="Times New Roman"/>
            </w:rPr>
            <m:t xml:space="preserve">                      </m:t>
          </m:r>
        </m:oMath>
      </m:oMathPara>
    </w:p>
    <w:p w:rsidR="00F214AB" w:rsidRPr="00611AA3"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Where :</w:t>
      </w:r>
      <w:proofErr w:type="gramEnd"/>
    </w:p>
    <w:p w:rsidR="00F214AB" w:rsidRPr="00611AA3"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n :</w:t>
      </w:r>
      <w:proofErr w:type="gramEnd"/>
      <w:r w:rsidRPr="00611AA3">
        <w:rPr>
          <w:rFonts w:asciiTheme="majorBidi" w:hAnsiTheme="majorBidi" w:cstheme="majorBidi"/>
          <w:lang w:val="en-US"/>
        </w:rPr>
        <w:t xml:space="preserve"> the total number of data points or observations used to build the model</w:t>
      </w:r>
    </w:p>
    <w:p w:rsidR="00F214AB"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k :</w:t>
      </w:r>
      <w:proofErr w:type="gramEnd"/>
      <w:r w:rsidRPr="00611AA3">
        <w:rPr>
          <w:rFonts w:asciiTheme="majorBidi" w:hAnsiTheme="majorBidi" w:cstheme="majorBidi"/>
          <w:lang w:val="en-US"/>
        </w:rPr>
        <w:t xml:space="preserve"> the number of independent descriptors, explanatory variables used in the model.</w:t>
      </w:r>
    </w:p>
    <w:p w:rsidR="00F214AB" w:rsidRDefault="00F214AB" w:rsidP="00A74F77">
      <w:pPr>
        <w:spacing w:before="240" w:after="0" w:line="360" w:lineRule="auto"/>
        <w:jc w:val="both"/>
        <w:rPr>
          <w:rFonts w:asciiTheme="majorBidi" w:hAnsiTheme="majorBidi" w:cstheme="majorBidi"/>
          <w:lang w:val="en-US"/>
        </w:rPr>
      </w:pPr>
      <w:r w:rsidRPr="00701AFA">
        <w:rPr>
          <w:rFonts w:asciiTheme="majorBidi" w:hAnsiTheme="majorBidi" w:cstheme="majorBidi"/>
          <w:lang w:val="en-US"/>
        </w:rPr>
        <w:t xml:space="preserve">The cross-validation coefficient is used to measure the reliability of predictions on the training set and is determined using the following </w:t>
      </w:r>
      <w:proofErr w:type="gramStart"/>
      <w:r w:rsidRPr="00701AFA">
        <w:rPr>
          <w:rFonts w:asciiTheme="majorBidi" w:hAnsiTheme="majorBidi" w:cstheme="majorBidi"/>
          <w:lang w:val="en-US"/>
        </w:rPr>
        <w:t>relationship</w:t>
      </w:r>
      <w:r>
        <w:rPr>
          <w:rFonts w:asciiTheme="majorBidi" w:hAnsiTheme="majorBidi" w:cstheme="majorBidi"/>
          <w:lang w:val="en-US"/>
        </w:rPr>
        <w:t xml:space="preserve"> </w:t>
      </w:r>
      <w:r w:rsidRPr="00701AFA">
        <w:rPr>
          <w:rFonts w:asciiTheme="majorBidi" w:hAnsiTheme="majorBidi" w:cstheme="majorBidi"/>
          <w:lang w:val="en-US"/>
        </w:rPr>
        <w:t>:</w:t>
      </w:r>
      <w:proofErr w:type="gramEnd"/>
      <w:r w:rsidR="00A74F77">
        <w:rPr>
          <w:rFonts w:asciiTheme="majorBidi" w:hAnsiTheme="majorBidi" w:cstheme="majorBidi"/>
          <w:lang w:val="en-US"/>
        </w:rPr>
        <w:t xml:space="preserve"> </w:t>
      </w:r>
    </w:p>
    <w:p w:rsidR="00A74F77" w:rsidRPr="00A74F77" w:rsidRDefault="006071DA" w:rsidP="00A74F77">
      <w:pPr>
        <w:spacing w:before="240" w:after="0" w:line="360" w:lineRule="auto"/>
        <w:jc w:val="both"/>
        <w:rPr>
          <w:rFonts w:asciiTheme="majorBidi" w:eastAsiaTheme="minorEastAsia" w:hAnsiTheme="majorBidi" w:cstheme="majorBidi"/>
        </w:rPr>
      </w:pPr>
      <m:oMathPara>
        <m:oMath>
          <m:sSubSup>
            <m:sSubSupPr>
              <m:ctrlPr>
                <w:rPr>
                  <w:rFonts w:ascii="Cambria Math" w:eastAsia="Calibri" w:hAnsi="Cambria Math" w:cs="Times New Roman"/>
                </w:rPr>
              </m:ctrlPr>
            </m:sSubSupPr>
            <m:e>
              <m:r>
                <m:rPr>
                  <m:sty m:val="bi"/>
                </m:rPr>
                <w:rPr>
                  <w:rFonts w:ascii="Cambria Math" w:eastAsia="Calibri" w:hAnsi="Cambria Math" w:cs="Times New Roman"/>
                </w:rPr>
                <m:t>Q</m:t>
              </m:r>
            </m:e>
            <m:sub>
              <m:r>
                <m:rPr>
                  <m:sty m:val="bi"/>
                </m:rPr>
                <w:rPr>
                  <w:rFonts w:ascii="Cambria Math" w:eastAsia="Calibri" w:hAnsi="Cambria Math" w:cs="Times New Roman"/>
                </w:rPr>
                <m:t>cv</m:t>
              </m:r>
            </m:sub>
            <m:sup>
              <m:r>
                <w:rPr>
                  <w:rFonts w:ascii="Cambria Math" w:eastAsia="Calibri" w:hAnsi="Cambria Math" w:cs="Times New Roman"/>
                </w:rPr>
                <m:t>2</m:t>
              </m:r>
            </m:sup>
          </m:sSubSup>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den>
          </m:f>
          <m:r>
            <w:rPr>
              <w:rFonts w:ascii="Cambria Math" w:eastAsia="Calibri" w:hAnsi="Cambria Math" w:cs="Times New Roman"/>
            </w:rPr>
            <m:t xml:space="preserve">                       </m:t>
          </m:r>
        </m:oMath>
      </m:oMathPara>
    </w:p>
    <w:p w:rsidR="00A74F77" w:rsidRPr="00A158CF" w:rsidRDefault="00A74F77" w:rsidP="00A74F77">
      <w:pPr>
        <w:pStyle w:val="Titre2"/>
        <w:spacing w:after="240"/>
        <w:rPr>
          <w:rFonts w:asciiTheme="majorBidi" w:hAnsiTheme="majorBidi"/>
          <w:b/>
          <w:bCs/>
          <w:color w:val="auto"/>
          <w:sz w:val="24"/>
          <w:szCs w:val="24"/>
          <w:lang w:val="en-US"/>
        </w:rPr>
      </w:pPr>
      <w:r w:rsidRPr="00A158CF">
        <w:rPr>
          <w:rFonts w:asciiTheme="majorBidi" w:hAnsiTheme="majorBidi"/>
          <w:b/>
          <w:bCs/>
          <w:color w:val="auto"/>
          <w:sz w:val="24"/>
          <w:szCs w:val="24"/>
          <w:lang w:val="en-US"/>
        </w:rPr>
        <w:t>2-4-Acceptance settings of a model</w:t>
      </w:r>
    </w:p>
    <w:p w:rsidR="00A74F77" w:rsidRDefault="00A74F77" w:rsidP="0086044D">
      <w:pPr>
        <w:spacing w:after="0" w:line="360" w:lineRule="auto"/>
        <w:jc w:val="both"/>
        <w:rPr>
          <w:rFonts w:asciiTheme="majorBidi" w:hAnsiTheme="majorBidi" w:cstheme="majorBidi"/>
          <w:sz w:val="24"/>
          <w:szCs w:val="24"/>
          <w:lang w:val="en-US"/>
        </w:rPr>
      </w:pPr>
      <w:r w:rsidRPr="00A74F77">
        <w:rPr>
          <w:rFonts w:asciiTheme="majorBidi" w:hAnsiTheme="majorBidi" w:cstheme="majorBidi"/>
          <w:sz w:val="24"/>
          <w:szCs w:val="24"/>
          <w:lang w:val="en-US"/>
        </w:rPr>
        <w:t xml:space="preserve">According to the criteria proposed by Eriksson et </w:t>
      </w:r>
      <w:r w:rsidRPr="00747299">
        <w:rPr>
          <w:rFonts w:asciiTheme="majorBidi" w:hAnsiTheme="majorBidi" w:cstheme="majorBidi"/>
          <w:i/>
          <w:sz w:val="24"/>
          <w:szCs w:val="24"/>
          <w:lang w:val="en-US"/>
        </w:rPr>
        <w:t>al.</w:t>
      </w:r>
      <w:r w:rsidRPr="00A74F77">
        <w:rPr>
          <w:rFonts w:asciiTheme="majorBidi" w:hAnsiTheme="majorBidi" w:cstheme="majorBidi"/>
          <w:sz w:val="24"/>
          <w:szCs w:val="24"/>
          <w:lang w:val="en-US"/>
        </w:rPr>
        <w:t xml:space="preserve"> [24], a model is satisfactory when </w:t>
      </w:r>
      <m:oMath>
        <m:sSubSup>
          <m:sSubSupPr>
            <m:ctrlPr>
              <w:rPr>
                <w:rFonts w:ascii="Cambria Math" w:hAnsi="Cambria Math" w:cstheme="majorBidi"/>
                <w:b/>
                <w:sz w:val="24"/>
                <w:szCs w:val="24"/>
              </w:rPr>
            </m:ctrlPr>
          </m:sSubSupPr>
          <m:e>
            <m:r>
              <m:rPr>
                <m:sty m:val="b"/>
              </m:rPr>
              <w:rPr>
                <w:rFonts w:ascii="Cambria Math" w:hAnsi="Cambria Math" w:cstheme="majorBidi"/>
                <w:sz w:val="24"/>
                <w:szCs w:val="24"/>
              </w:rPr>
              <m:t>Q</m:t>
            </m:r>
          </m:e>
          <m:sub>
            <m:r>
              <m:rPr>
                <m:sty m:val="b"/>
              </m:rPr>
              <w:rPr>
                <w:rFonts w:ascii="Cambria Math" w:hAnsi="Cambria Math" w:cstheme="majorBidi"/>
                <w:sz w:val="24"/>
                <w:szCs w:val="24"/>
              </w:rPr>
              <m:t>CV</m:t>
            </m:r>
          </m:sub>
          <m:sup>
            <m:r>
              <m:rPr>
                <m:sty m:val="b"/>
              </m:rPr>
              <w:rPr>
                <w:rFonts w:ascii="Cambria Math" w:hAnsi="Cambria Math" w:cstheme="majorBidi"/>
                <w:sz w:val="24"/>
                <w:szCs w:val="24"/>
              </w:rPr>
              <m:t>2</m:t>
            </m:r>
          </m:sup>
        </m:sSubSup>
        <m:r>
          <m:rPr>
            <m:sty m:val="b"/>
          </m:rPr>
          <w:rPr>
            <w:rFonts w:ascii="Cambria Math" w:hAnsi="Cambria Math" w:cstheme="majorBidi"/>
            <w:sz w:val="24"/>
            <w:szCs w:val="24"/>
            <w:lang w:val="en-US"/>
          </w:rPr>
          <m:t xml:space="preserve"> ˃ </m:t>
        </m:r>
        <m:r>
          <m:rPr>
            <m:sty m:val="b"/>
          </m:rPr>
          <w:rPr>
            <w:rFonts w:ascii="Cambria Math" w:hAnsi="Cambria Math" w:cstheme="majorBidi"/>
            <w:sz w:val="24"/>
            <w:szCs w:val="24"/>
          </w:rPr>
          <m:t>0</m:t>
        </m:r>
        <m:r>
          <m:rPr>
            <m:sty m:val="b"/>
          </m:rPr>
          <w:rPr>
            <w:rFonts w:ascii="Cambria Math" w:hAnsi="Cambria Math" w:cstheme="majorBidi"/>
            <w:sz w:val="24"/>
            <w:szCs w:val="24"/>
            <w:lang w:val="en-US"/>
          </w:rPr>
          <m:t>.</m:t>
        </m:r>
        <m:r>
          <m:rPr>
            <m:sty m:val="b"/>
          </m:rPr>
          <w:rPr>
            <w:rFonts w:ascii="Cambria Math" w:hAnsi="Cambria Math" w:cstheme="majorBidi"/>
            <w:sz w:val="24"/>
            <w:szCs w:val="24"/>
          </w:rPr>
          <m:t>5</m:t>
        </m:r>
      </m:oMath>
      <w:r w:rsidRPr="00A74F77">
        <w:rPr>
          <w:rFonts w:asciiTheme="majorBidi" w:hAnsiTheme="majorBidi" w:cstheme="majorBidi"/>
          <w:sz w:val="24"/>
          <w:szCs w:val="24"/>
          <w:lang w:val="en-US"/>
        </w:rPr>
        <w:t xml:space="preserve"> and excellent when </w:t>
      </w:r>
      <m:oMath>
        <m:sSubSup>
          <m:sSubSupPr>
            <m:ctrlPr>
              <w:rPr>
                <w:rFonts w:ascii="Cambria Math" w:hAnsi="Cambria Math" w:cstheme="majorBidi"/>
                <w:b/>
                <w:sz w:val="24"/>
                <w:szCs w:val="24"/>
              </w:rPr>
            </m:ctrlPr>
          </m:sSubSupPr>
          <m:e>
            <m:r>
              <m:rPr>
                <m:sty m:val="b"/>
              </m:rPr>
              <w:rPr>
                <w:rFonts w:ascii="Cambria Math" w:hAnsi="Cambria Math" w:cstheme="majorBidi"/>
                <w:sz w:val="24"/>
                <w:szCs w:val="24"/>
              </w:rPr>
              <m:t>Q</m:t>
            </m:r>
          </m:e>
          <m:sub>
            <m:r>
              <m:rPr>
                <m:sty m:val="b"/>
              </m:rPr>
              <w:rPr>
                <w:rFonts w:ascii="Cambria Math" w:hAnsi="Cambria Math" w:cstheme="majorBidi"/>
                <w:sz w:val="24"/>
                <w:szCs w:val="24"/>
              </w:rPr>
              <m:t>CV</m:t>
            </m:r>
          </m:sub>
          <m:sup>
            <m:r>
              <m:rPr>
                <m:sty m:val="b"/>
              </m:rPr>
              <w:rPr>
                <w:rFonts w:ascii="Cambria Math" w:hAnsi="Cambria Math" w:cstheme="majorBidi"/>
                <w:sz w:val="24"/>
                <w:szCs w:val="24"/>
              </w:rPr>
              <m:t>2</m:t>
            </m:r>
          </m:sup>
        </m:sSubSup>
        <m:r>
          <m:rPr>
            <m:sty m:val="b"/>
          </m:rPr>
          <w:rPr>
            <w:rFonts w:ascii="Cambria Math" w:hAnsi="Cambria Math" w:cstheme="majorBidi"/>
            <w:sz w:val="24"/>
            <w:szCs w:val="24"/>
            <w:lang w:val="en-US"/>
          </w:rPr>
          <m:t xml:space="preserve"> ˂ </m:t>
        </m:r>
        <m:r>
          <m:rPr>
            <m:sty m:val="b"/>
          </m:rPr>
          <w:rPr>
            <w:rFonts w:ascii="Cambria Math" w:hAnsi="Cambria Math" w:cstheme="majorBidi"/>
            <w:sz w:val="24"/>
            <w:szCs w:val="24"/>
          </w:rPr>
          <m:t>0</m:t>
        </m:r>
        <m:r>
          <m:rPr>
            <m:sty m:val="b"/>
          </m:rPr>
          <w:rPr>
            <w:rFonts w:ascii="Cambria Math" w:hAnsi="Cambria Math" w:cstheme="majorBidi"/>
            <w:sz w:val="24"/>
            <w:szCs w:val="24"/>
            <w:lang w:val="en-US"/>
          </w:rPr>
          <m:t>.</m:t>
        </m:r>
        <m:r>
          <m:rPr>
            <m:sty m:val="b"/>
          </m:rPr>
          <w:rPr>
            <w:rFonts w:ascii="Cambria Math" w:hAnsi="Cambria Math" w:cstheme="majorBidi"/>
            <w:sz w:val="24"/>
            <w:szCs w:val="24"/>
          </w:rPr>
          <m:t>9</m:t>
        </m:r>
      </m:oMath>
      <w:r w:rsidRPr="00A74F77">
        <w:rPr>
          <w:rFonts w:asciiTheme="majorBidi" w:hAnsiTheme="majorBidi" w:cstheme="majorBidi"/>
          <w:sz w:val="24"/>
          <w:szCs w:val="24"/>
          <w:lang w:val="en-US"/>
        </w:rPr>
        <w:t xml:space="preserve">. </w:t>
      </w:r>
    </w:p>
    <w:p w:rsidR="00A74F77" w:rsidRDefault="00A74F77" w:rsidP="0086044D">
      <w:pPr>
        <w:spacing w:after="0" w:line="360" w:lineRule="auto"/>
        <w:jc w:val="both"/>
        <w:rPr>
          <w:rFonts w:asciiTheme="majorBidi" w:hAnsiTheme="majorBidi" w:cstheme="majorBidi"/>
          <w:sz w:val="24"/>
          <w:szCs w:val="24"/>
          <w:lang w:val="en-US"/>
        </w:rPr>
      </w:pPr>
      <w:r w:rsidRPr="00A74F77">
        <w:rPr>
          <w:rFonts w:asciiTheme="majorBidi" w:hAnsiTheme="majorBidi" w:cstheme="majorBidi"/>
          <w:sz w:val="24"/>
          <w:szCs w:val="24"/>
          <w:lang w:val="en-US"/>
        </w:rPr>
        <w:t xml:space="preserve">For a given test set, the condition </w:t>
      </w:r>
      <m:oMath>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R</m:t>
            </m:r>
          </m:e>
          <m:sup>
            <m:r>
              <w:rPr>
                <w:rFonts w:ascii="Cambria Math" w:eastAsia="Calibri" w:hAnsi="Cambria Math" w:cstheme="majorBidi"/>
                <w:sz w:val="24"/>
                <w:szCs w:val="24"/>
                <w:lang w:val="en-US"/>
              </w:rPr>
              <m:t>2</m:t>
            </m:r>
          </m:sup>
        </m:sSup>
        <m:r>
          <w:rPr>
            <w:rFonts w:ascii="Cambria Math" w:eastAsia="Calibri" w:hAnsi="Cambria Math" w:cstheme="majorBidi"/>
            <w:sz w:val="24"/>
            <w:szCs w:val="24"/>
            <w:lang w:val="en-US"/>
          </w:rPr>
          <m:t xml:space="preserve">- </m:t>
        </m:r>
        <m:sSubSup>
          <m:sSubSupPr>
            <m:ctrlPr>
              <w:rPr>
                <w:rFonts w:ascii="Cambria Math" w:eastAsia="Calibri" w:hAnsi="Cambria Math" w:cstheme="majorBidi"/>
                <w:i/>
                <w:sz w:val="24"/>
                <w:szCs w:val="24"/>
              </w:rPr>
            </m:ctrlPr>
          </m:sSubSupPr>
          <m:e>
            <m:r>
              <w:rPr>
                <w:rFonts w:ascii="Cambria Math" w:eastAsia="Calibri" w:hAnsi="Cambria Math" w:cstheme="majorBidi"/>
                <w:sz w:val="24"/>
                <w:szCs w:val="24"/>
              </w:rPr>
              <m:t>Q</m:t>
            </m:r>
          </m:e>
          <m:sub>
            <m:r>
              <w:rPr>
                <w:rFonts w:ascii="Cambria Math" w:eastAsia="Calibri" w:hAnsi="Cambria Math" w:cstheme="majorBidi"/>
                <w:sz w:val="24"/>
                <w:szCs w:val="24"/>
              </w:rPr>
              <m:t>cv</m:t>
            </m:r>
          </m:sub>
          <m:sup>
            <m:r>
              <w:rPr>
                <w:rFonts w:ascii="Cambria Math" w:eastAsia="Calibri" w:hAnsi="Cambria Math" w:cstheme="majorBidi"/>
                <w:sz w:val="24"/>
                <w:szCs w:val="24"/>
                <w:lang w:val="en-US"/>
              </w:rPr>
              <m:t>2</m:t>
            </m:r>
          </m:sup>
        </m:sSubSup>
        <m:r>
          <w:rPr>
            <w:rFonts w:ascii="Cambria Math" w:eastAsia="Calibri" w:hAnsi="Cambria Math" w:cstheme="majorBidi"/>
            <w:sz w:val="24"/>
            <w:szCs w:val="24"/>
            <w:lang w:val="en-US"/>
          </w:rPr>
          <m:t xml:space="preserve">&lt; 0.3  </m:t>
        </m:r>
      </m:oMath>
      <w:r w:rsidRPr="00A74F77">
        <w:rPr>
          <w:rFonts w:asciiTheme="majorBidi" w:hAnsiTheme="majorBidi" w:cstheme="majorBidi"/>
          <w:sz w:val="24"/>
          <w:szCs w:val="24"/>
          <w:lang w:val="en-US"/>
        </w:rPr>
        <w:t>must also be met to assess its performance.</w:t>
      </w:r>
    </w:p>
    <w:p w:rsidR="0086044D" w:rsidRDefault="0086044D" w:rsidP="0086044D">
      <w:pPr>
        <w:spacing w:line="360" w:lineRule="auto"/>
        <w:jc w:val="both"/>
        <w:rPr>
          <w:rFonts w:asciiTheme="majorBidi" w:hAnsiTheme="majorBidi" w:cstheme="majorBidi"/>
          <w:sz w:val="24"/>
          <w:szCs w:val="24"/>
          <w:lang w:val="en-US"/>
        </w:rPr>
      </w:pPr>
      <w:r w:rsidRPr="0086044D">
        <w:rPr>
          <w:rFonts w:asciiTheme="majorBidi" w:hAnsiTheme="majorBidi" w:cstheme="majorBidi"/>
          <w:sz w:val="24"/>
          <w:szCs w:val="24"/>
          <w:lang w:val="en-US"/>
        </w:rPr>
        <w:t>Finally, according to Tropsha et al. [25, 26, 27], for the external validation set, the predictive power of a model can be determined based on five criteria. These criteria are as follows:</w:t>
      </w:r>
    </w:p>
    <w:p w:rsidR="0086044D" w:rsidRPr="0086044D" w:rsidRDefault="0086044D" w:rsidP="0086044D">
      <w:pPr>
        <w:spacing w:line="360" w:lineRule="auto"/>
        <w:jc w:val="both"/>
        <w:rPr>
          <w:rFonts w:ascii="Times New Roman" w:hAnsi="Times New Roman" w:cs="Times New Roman"/>
          <w:color w:val="000000"/>
          <w:lang w:val="en-US"/>
        </w:rPr>
      </w:pPr>
      <w:r w:rsidRPr="0086044D">
        <w:rPr>
          <w:rFonts w:ascii="Times New Roman" w:hAnsi="Times New Roman" w:cs="Times New Roman"/>
          <w:b/>
          <w:lang w:val="en-US"/>
        </w:rPr>
        <w:t>1</w:t>
      </w:r>
      <w:r w:rsidRPr="0086044D">
        <w:rPr>
          <w:rFonts w:ascii="Times New Roman" w:hAnsi="Times New Roman" w:cs="Times New Roman"/>
          <w:lang w:val="en-US"/>
        </w:rPr>
        <w:t xml:space="preserv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&gt;</m:t>
        </m:r>
        <m:r>
          <m:rPr>
            <m:sty m:val="p"/>
          </m:rPr>
          <w:rPr>
            <w:rFonts w:ascii="Cambria Math" w:hAnsi="Cambria Math" w:cs="Times New Roman"/>
            <w:lang w:val="en-US"/>
          </w:rPr>
          <m:t>0.7</m:t>
        </m:r>
      </m:oMath>
      <w:r w:rsidRPr="0086044D">
        <w:rPr>
          <w:rFonts w:ascii="Times New Roman" w:hAnsi="Times New Roman" w:cs="Times New Roman"/>
          <w:color w:val="000000"/>
          <w:lang w:val="en-US"/>
        </w:rPr>
        <w:t xml:space="preserve"> ,</w:t>
      </w:r>
      <w:r w:rsidRPr="0086044D">
        <w:rPr>
          <w:rFonts w:ascii="Times New Roman" w:hAnsi="Times New Roman" w:cs="Times New Roman"/>
          <w:color w:val="000000"/>
          <w:lang w:val="en-US"/>
        </w:rPr>
        <w:tab/>
      </w:r>
      <w:r w:rsidRPr="0086044D">
        <w:rPr>
          <w:rFonts w:ascii="Times New Roman" w:hAnsi="Times New Roman" w:cs="Times New Roman"/>
          <w:color w:val="000000"/>
          <w:lang w:val="en-US"/>
        </w:rPr>
        <w:tab/>
      </w:r>
      <w:r w:rsidRPr="0086044D">
        <w:rPr>
          <w:rFonts w:ascii="Times New Roman" w:hAnsi="Times New Roman" w:cs="Times New Roman"/>
          <w:b/>
          <w:color w:val="000000"/>
          <w:lang w:val="en-US"/>
        </w:rPr>
        <w:t>2</w:t>
      </w:r>
      <w:r w:rsidRPr="0086044D">
        <w:rPr>
          <w:rFonts w:ascii="Times New Roman" w:hAnsi="Times New Roman" w:cs="Times New Roman"/>
          <w:color w:val="000000"/>
          <w:lang w:val="en-US"/>
        </w:rPr>
        <w:t xml:space="preserve">) </w:t>
      </w:r>
      <m:oMath>
        <m:sSubSup>
          <m:sSubSupPr>
            <m:ctrlPr>
              <w:rPr>
                <w:rFonts w:ascii="Cambria Math" w:hAnsi="Cambria Math" w:cs="Times New Roman"/>
              </w:rPr>
            </m:ctrlPr>
          </m:sSubSupPr>
          <m:e>
            <m:r>
              <w:rPr>
                <w:rFonts w:ascii="Cambria Math" w:hAnsi="Cambria Math" w:cs="Times New Roman"/>
              </w:rPr>
              <m:t>Q</m:t>
            </m:r>
          </m:e>
          <m:sub>
            <m:r>
              <w:rPr>
                <w:rFonts w:ascii="Cambria Math" w:hAnsi="Cambria Math" w:cs="Times New Roman"/>
              </w:rPr>
              <m:t>Cv</m:t>
            </m:r>
            <m:r>
              <w:rPr>
                <w:rFonts w:ascii="Cambria Math" w:hAnsi="Cambria Math" w:cs="Times New Roman"/>
                <w:lang w:val="en-US"/>
              </w:rPr>
              <m:t xml:space="preserve"> </m:t>
            </m:r>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&gt;</m:t>
        </m:r>
        <m:r>
          <m:rPr>
            <m:sty m:val="p"/>
          </m:rPr>
          <w:rPr>
            <w:rFonts w:ascii="Cambria Math" w:hAnsi="Cambria Math" w:cs="Times New Roman"/>
            <w:lang w:val="en-US"/>
          </w:rPr>
          <m:t>0.6</m:t>
        </m:r>
      </m:oMath>
      <w:r w:rsidRPr="0086044D">
        <w:rPr>
          <w:rFonts w:ascii="Times New Roman" w:hAnsi="Times New Roman" w:cs="Times New Roman"/>
          <w:color w:val="000000"/>
          <w:lang w:val="en-US"/>
        </w:rPr>
        <w:t xml:space="preserve"> ,</w:t>
      </w:r>
      <w:r w:rsidRPr="0086044D">
        <w:rPr>
          <w:rFonts w:ascii="Times New Roman" w:hAnsi="Times New Roman" w:cs="Times New Roman"/>
          <w:color w:val="000000"/>
          <w:lang w:val="en-US"/>
        </w:rPr>
        <w:tab/>
      </w:r>
      <w:r w:rsidRPr="0086044D">
        <w:rPr>
          <w:rFonts w:ascii="Times New Roman" w:hAnsi="Times New Roman" w:cs="Times New Roman"/>
          <w:color w:val="000000"/>
          <w:lang w:val="en-US"/>
        </w:rPr>
        <w:tab/>
        <w:t xml:space="preserve"> </w:t>
      </w:r>
      <w:r w:rsidRPr="0086044D">
        <w:rPr>
          <w:rFonts w:ascii="Times New Roman" w:hAnsi="Times New Roman" w:cs="Times New Roman"/>
          <w:b/>
          <w:color w:val="000000"/>
          <w:lang w:val="en-US"/>
        </w:rPr>
        <w:t>3</w:t>
      </w:r>
      <w:r w:rsidRPr="0086044D">
        <w:rPr>
          <w:rFonts w:ascii="Times New Roman" w:hAnsi="Times New Roman" w:cs="Times New Roman"/>
          <w:color w:val="000000"/>
          <w:lang w:val="en-US"/>
        </w:rPr>
        <w:t xml:space="preserve">) </w:t>
      </w:r>
      <m:oMath>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lang w:val="en-US"/>
                  </w:rPr>
                  <m:t>0</m:t>
                </m:r>
              </m:sub>
              <m:sup>
                <m:r>
                  <w:rPr>
                    <w:rFonts w:ascii="Cambria Math" w:hAnsi="Cambria Math" w:cs="Times New Roman"/>
                    <w:lang w:val="en-US"/>
                  </w:rPr>
                  <m:t>2</m:t>
                </m:r>
              </m:sup>
            </m:sSubSup>
          </m:e>
        </m:d>
        <m:r>
          <w:rPr>
            <w:rFonts w:ascii="Cambria Math" w:hAnsi="Cambria Math" w:cs="Times New Roman"/>
            <w:lang w:val="en-US"/>
          </w:rPr>
          <m:t>≤</m:t>
        </m:r>
        <m:r>
          <m:rPr>
            <m:sty m:val="p"/>
          </m:rPr>
          <w:rPr>
            <w:rFonts w:ascii="Cambria Math" w:hAnsi="Cambria Math" w:cs="Times New Roman"/>
            <w:lang w:val="en-US"/>
          </w:rPr>
          <m:t>0.3</m:t>
        </m:r>
      </m:oMath>
      <w:r w:rsidRPr="0086044D">
        <w:rPr>
          <w:rFonts w:ascii="Times New Roman" w:hAnsi="Times New Roman" w:cs="Times New Roman"/>
          <w:color w:val="000000"/>
          <w:lang w:val="en-US"/>
        </w:rPr>
        <w:t xml:space="preserve"> ,</w:t>
      </w:r>
    </w:p>
    <w:p w:rsidR="0086044D" w:rsidRPr="0086044D" w:rsidRDefault="0086044D" w:rsidP="0086044D">
      <w:pPr>
        <w:spacing w:after="240" w:line="360" w:lineRule="auto"/>
        <w:jc w:val="both"/>
        <w:rPr>
          <w:rFonts w:asciiTheme="majorBidi" w:hAnsiTheme="majorBidi" w:cstheme="majorBidi"/>
          <w:sz w:val="24"/>
          <w:szCs w:val="24"/>
        </w:rPr>
      </w:pPr>
      <w:r w:rsidRPr="00FC2264">
        <w:rPr>
          <w:rFonts w:ascii="Times New Roman" w:hAnsi="Times New Roman" w:cs="Times New Roman"/>
          <w:b/>
          <w:color w:val="000000"/>
        </w:rPr>
        <w:t>4</w:t>
      </w:r>
      <w:r w:rsidRPr="00FC2264">
        <w:rPr>
          <w:rFonts w:ascii="Times New Roman" w:hAnsi="Times New Roman" w:cs="Times New Roman"/>
          <w:color w:val="000000"/>
        </w:rPr>
        <w:t xml:space="preserve">)  </w:t>
      </w:r>
      <m:oMath>
        <m:f>
          <m:fPr>
            <m:ctrlPr>
              <w:rPr>
                <w:rFonts w:ascii="Cambria Math" w:hAnsi="Cambria Math" w:cs="Times New Roman"/>
              </w:rPr>
            </m:ctrlPr>
          </m:fPr>
          <m:num>
            <m:d>
              <m:dPr>
                <m:begChr m:val="|"/>
                <m:endChr m:val="|"/>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R</m:t>
                    </m:r>
                  </m:e>
                  <m:sub>
                    <m:r>
                      <m:rPr>
                        <m:sty m:val="p"/>
                      </m:rPr>
                      <w:rPr>
                        <w:rFonts w:ascii="Cambria Math" w:hAnsi="Cambria Math" w:cs="Times New Roman"/>
                      </w:rPr>
                      <m:t>Test</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e>
            </m:d>
          </m:num>
          <m:den>
            <m:sSubSup>
              <m:sSubSupPr>
                <m:ctrlPr>
                  <w:rPr>
                    <w:rFonts w:ascii="Cambria Math" w:hAnsi="Cambria Math" w:cs="Times New Roman"/>
                  </w:rPr>
                </m:ctrlPr>
              </m:sSubSupPr>
              <m:e>
                <m:r>
                  <m:rPr>
                    <m:sty m:val="p"/>
                  </m:rPr>
                  <w:rPr>
                    <w:rFonts w:ascii="Cambria Math" w:hAnsi="Cambria Math" w:cs="Times New Roman"/>
                  </w:rPr>
                  <m:t>R</m:t>
                </m:r>
              </m:e>
              <m:sub>
                <m:r>
                  <m:rPr>
                    <m:sty m:val="p"/>
                  </m:rPr>
                  <w:rPr>
                    <w:rFonts w:ascii="Cambria Math" w:hAnsi="Cambria Math" w:cs="Times New Roman"/>
                  </w:rPr>
                  <m:t>Test</m:t>
                </m:r>
              </m:sub>
              <m:sup>
                <m:r>
                  <w:rPr>
                    <w:rFonts w:ascii="Cambria Math" w:hAnsi="Cambria Math" w:cs="Times New Roman"/>
                  </w:rPr>
                  <m:t>2</m:t>
                </m:r>
              </m:sup>
            </m:sSubSup>
          </m:den>
        </m:f>
        <m:r>
          <w:rPr>
            <w:rFonts w:ascii="Cambria Math" w:hAnsi="Cambria Math" w:cs="Times New Roman"/>
          </w:rPr>
          <m:t>&lt;</m:t>
        </m:r>
        <m:r>
          <m:rPr>
            <m:sty m:val="p"/>
          </m:rPr>
          <w:rPr>
            <w:rFonts w:ascii="Cambria Math" w:hAnsi="Cambria Math" w:cs="Times New Roman"/>
          </w:rPr>
          <m:t>0.1</m:t>
        </m:r>
      </m:oMath>
      <w:r w:rsidRPr="00FC2264">
        <w:rPr>
          <w:rFonts w:ascii="Times New Roman" w:hAnsi="Times New Roman" w:cs="Times New Roman"/>
          <w:color w:val="000000"/>
        </w:rPr>
        <w:t xml:space="preserve"> et </w:t>
      </w:r>
      <m:oMath>
        <m:r>
          <m:rPr>
            <m:sty m:val="p"/>
          </m:rPr>
          <w:rPr>
            <w:rFonts w:ascii="Cambria Math" w:hAnsi="Cambria Math" w:cs="Times New Roman"/>
          </w:rPr>
          <m:t>0.85</m:t>
        </m:r>
        <m:r>
          <w:rPr>
            <w:rFonts w:ascii="Cambria Math" w:hAnsi="Cambria Math" w:cs="Times New Roman"/>
          </w:rPr>
          <m:t>≤k≤</m:t>
        </m:r>
        <m:r>
          <m:rPr>
            <m:sty m:val="p"/>
          </m:rPr>
          <w:rPr>
            <w:rFonts w:ascii="Cambria Math" w:hAnsi="Cambria Math" w:cs="Times New Roman"/>
          </w:rPr>
          <m:t>1.15</m:t>
        </m:r>
      </m:oMath>
      <w:r w:rsidRPr="00FC2264">
        <w:rPr>
          <w:rFonts w:ascii="Times New Roman" w:hAnsi="Times New Roman" w:cs="Times New Roman"/>
          <w:color w:val="000000"/>
        </w:rPr>
        <w:t xml:space="preserve">, </w:t>
      </w:r>
      <w:r w:rsidRPr="00FC2264">
        <w:rPr>
          <w:rFonts w:ascii="Times New Roman" w:hAnsi="Times New Roman" w:cs="Times New Roman"/>
          <w:color w:val="000000"/>
        </w:rPr>
        <w:tab/>
      </w:r>
      <w:r w:rsidRPr="00FC2264">
        <w:rPr>
          <w:rFonts w:ascii="Times New Roman" w:hAnsi="Times New Roman" w:cs="Times New Roman"/>
          <w:b/>
          <w:color w:val="000000"/>
        </w:rPr>
        <w:t>5</w:t>
      </w:r>
      <w:r w:rsidRPr="0086044D">
        <w:rPr>
          <w:rFonts w:asciiTheme="majorBidi" w:hAnsiTheme="majorBidi" w:cstheme="majorBidi"/>
          <w:color w:val="000000"/>
          <w:sz w:val="24"/>
          <w:szCs w:val="24"/>
        </w:rPr>
        <w:t xml:space="preserve">) </w:t>
      </w:r>
      <m:oMath>
        <m:f>
          <m:fPr>
            <m:ctrlPr>
              <w:rPr>
                <w:rFonts w:ascii="Cambria Math" w:hAnsi="Cambria Math" w:cstheme="majorBidi"/>
                <w:sz w:val="24"/>
                <w:szCs w:val="24"/>
              </w:rPr>
            </m:ctrlPr>
          </m:fPr>
          <m:num>
            <m:d>
              <m:dPr>
                <m:begChr m:val="|"/>
                <m:endChr m:val="|"/>
                <m:ctrlPr>
                  <w:rPr>
                    <w:rFonts w:ascii="Cambria Math" w:hAnsi="Cambria Math" w:cstheme="majorBidi"/>
                    <w:sz w:val="24"/>
                    <w:szCs w:val="24"/>
                  </w:rPr>
                </m:ctrlPr>
              </m:dPr>
              <m:e>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Test</m:t>
                    </m:r>
                  </m:sub>
                  <m:sup>
                    <m:r>
                      <w:rPr>
                        <w:rFonts w:ascii="Cambria Math" w:hAnsi="Cambria Math" w:cstheme="majorBidi"/>
                        <w:sz w:val="24"/>
                        <w:szCs w:val="24"/>
                      </w:rPr>
                      <m:t>2</m:t>
                    </m:r>
                  </m:sup>
                </m:sSubSup>
                <m:r>
                  <w:rPr>
                    <w:rFonts w:ascii="Cambria Math" w:hAnsi="Cambria Math" w:cstheme="majorBidi"/>
                    <w:sz w:val="24"/>
                    <w:szCs w:val="24"/>
                  </w:rPr>
                  <m:t>-</m:t>
                </m:r>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0</m:t>
                    </m:r>
                  </m:sub>
                  <m:sup>
                    <m:r>
                      <w:rPr>
                        <w:rFonts w:ascii="Cambria Math" w:hAnsi="Cambria Math" w:cstheme="majorBidi"/>
                        <w:sz w:val="24"/>
                        <w:szCs w:val="24"/>
                      </w:rPr>
                      <m:t>2</m:t>
                    </m:r>
                  </m:sup>
                </m:sSubSup>
              </m:e>
            </m:d>
          </m:num>
          <m:den>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Test</m:t>
                </m:r>
              </m:sub>
              <m:sup>
                <m:r>
                  <w:rPr>
                    <w:rFonts w:ascii="Cambria Math" w:hAnsi="Cambria Math" w:cstheme="majorBidi"/>
                    <w:sz w:val="24"/>
                    <w:szCs w:val="24"/>
                  </w:rPr>
                  <m:t>2</m:t>
                </m:r>
              </m:sup>
            </m:sSubSup>
          </m:den>
        </m:f>
        <m:r>
          <w:rPr>
            <w:rFonts w:ascii="Cambria Math" w:hAnsi="Cambria Math" w:cstheme="majorBidi"/>
            <w:sz w:val="24"/>
            <w:szCs w:val="24"/>
          </w:rPr>
          <m:t>&lt;</m:t>
        </m:r>
        <m:r>
          <m:rPr>
            <m:sty m:val="p"/>
          </m:rPr>
          <w:rPr>
            <w:rFonts w:ascii="Cambria Math" w:hAnsi="Cambria Math" w:cstheme="majorBidi"/>
            <w:sz w:val="24"/>
            <w:szCs w:val="24"/>
          </w:rPr>
          <m:t>0.1</m:t>
        </m:r>
      </m:oMath>
      <w:r w:rsidRPr="0086044D">
        <w:rPr>
          <w:rFonts w:asciiTheme="majorBidi" w:hAnsiTheme="majorBidi" w:cstheme="majorBidi"/>
          <w:color w:val="000000"/>
          <w:sz w:val="24"/>
          <w:szCs w:val="24"/>
        </w:rPr>
        <w:t xml:space="preserve"> et </w:t>
      </w:r>
      <m:oMath>
        <m:r>
          <m:rPr>
            <m:sty m:val="p"/>
          </m:rPr>
          <w:rPr>
            <w:rFonts w:ascii="Cambria Math" w:hAnsi="Cambria Math" w:cstheme="majorBidi"/>
            <w:sz w:val="24"/>
            <w:szCs w:val="24"/>
          </w:rPr>
          <m:t>0.85</m:t>
        </m:r>
        <m:r>
          <w:rPr>
            <w:rFonts w:ascii="Cambria Math" w:hAnsi="Cambria Math" w:cstheme="majorBidi"/>
            <w:sz w:val="24"/>
            <w:szCs w:val="24"/>
          </w:rPr>
          <m:t>≤k'≤</m:t>
        </m:r>
        <m:r>
          <m:rPr>
            <m:sty m:val="p"/>
          </m:rPr>
          <w:rPr>
            <w:rFonts w:ascii="Cambria Math" w:hAnsi="Cambria Math" w:cstheme="majorBidi"/>
            <w:sz w:val="24"/>
            <w:szCs w:val="24"/>
          </w:rPr>
          <m:t>1.15</m:t>
        </m:r>
      </m:oMath>
      <w:r w:rsidRPr="0086044D">
        <w:rPr>
          <w:rFonts w:asciiTheme="majorBidi" w:hAnsiTheme="majorBidi" w:cstheme="majorBidi"/>
          <w:sz w:val="24"/>
          <w:szCs w:val="24"/>
        </w:rPr>
        <w:t xml:space="preserve">  </w:t>
      </w:r>
    </w:p>
    <w:p w:rsidR="0086044D" w:rsidRPr="0086044D" w:rsidRDefault="0086044D" w:rsidP="0086044D">
      <w:pPr>
        <w:pStyle w:val="Titre2"/>
        <w:spacing w:line="360" w:lineRule="auto"/>
        <w:jc w:val="both"/>
        <w:rPr>
          <w:rFonts w:asciiTheme="majorBidi" w:hAnsiTheme="majorBidi"/>
          <w:b/>
          <w:bCs/>
          <w:color w:val="auto"/>
          <w:sz w:val="24"/>
          <w:szCs w:val="24"/>
          <w:lang w:val="en-US"/>
        </w:rPr>
      </w:pPr>
      <w:r w:rsidRPr="0086044D">
        <w:rPr>
          <w:rFonts w:asciiTheme="majorBidi" w:hAnsiTheme="majorBidi"/>
          <w:b/>
          <w:bCs/>
          <w:color w:val="auto"/>
          <w:sz w:val="24"/>
          <w:szCs w:val="24"/>
          <w:lang w:val="en-US"/>
        </w:rPr>
        <w:t>2-5-Statistical Analysis: Multiple Linear Regressions (MLR)</w:t>
      </w:r>
    </w:p>
    <w:p w:rsidR="0086044D" w:rsidRPr="0086044D" w:rsidRDefault="0086044D" w:rsidP="0086044D">
      <w:pPr>
        <w:spacing w:after="0" w:line="360" w:lineRule="auto"/>
        <w:jc w:val="both"/>
        <w:rPr>
          <w:rFonts w:asciiTheme="majorBidi" w:hAnsiTheme="majorBidi" w:cstheme="majorBidi"/>
          <w:sz w:val="24"/>
          <w:szCs w:val="24"/>
          <w:lang w:val="en-US"/>
        </w:rPr>
      </w:pPr>
      <w:r w:rsidRPr="0086044D">
        <w:rPr>
          <w:rFonts w:asciiTheme="majorBidi" w:hAnsiTheme="majorBidi" w:cstheme="majorBidi"/>
          <w:sz w:val="24"/>
          <w:szCs w:val="24"/>
          <w:lang w:val="en-US"/>
        </w:rPr>
        <w:t xml:space="preserve">Multiple linear regression is a statistical approach aimed at establishing an equation linking a property to a set of descriptors. In the context of QSAR, it facilitates the development of mathematical models capable of predicting the biological activity of compounds that have not been experimentally tested. The objective of this method is to minimize the difference between experimental data and calculated values. It represents the benchmark approach for handling </w:t>
      </w:r>
      <w:r w:rsidRPr="0086044D">
        <w:rPr>
          <w:rFonts w:asciiTheme="majorBidi" w:hAnsiTheme="majorBidi" w:cstheme="majorBidi"/>
          <w:sz w:val="24"/>
          <w:szCs w:val="24"/>
          <w:lang w:val="en-US"/>
        </w:rPr>
        <w:lastRenderedPageBreak/>
        <w:t xml:space="preserve">multidimensional data. In this work, it was carried out using the pre-programmed tools of </w:t>
      </w:r>
      <w:proofErr w:type="gramStart"/>
      <w:r w:rsidRPr="0086044D">
        <w:rPr>
          <w:rFonts w:asciiTheme="majorBidi" w:hAnsiTheme="majorBidi" w:cstheme="majorBidi"/>
          <w:sz w:val="24"/>
          <w:szCs w:val="24"/>
          <w:lang w:val="en-US"/>
        </w:rPr>
        <w:t>XLSTAT :</w:t>
      </w:r>
      <w:proofErr w:type="gramEnd"/>
    </w:p>
    <w:p w:rsidR="0086044D" w:rsidRPr="0086044D" w:rsidRDefault="0086044D" w:rsidP="0086044D">
      <w:pPr>
        <w:spacing w:line="360" w:lineRule="auto"/>
        <w:jc w:val="both"/>
        <w:rPr>
          <w:rFonts w:asciiTheme="majorBidi" w:eastAsiaTheme="minorEastAsia" w:hAnsiTheme="majorBidi" w:cstheme="majorBidi"/>
          <w:sz w:val="24"/>
          <w:szCs w:val="24"/>
        </w:rPr>
      </w:pPr>
      <m:oMathPara>
        <m:oMath>
          <m:r>
            <w:rPr>
              <w:rFonts w:ascii="Cambria Math" w:hAnsi="Cambria Math" w:cstheme="majorBidi"/>
              <w:sz w:val="24"/>
              <w:szCs w:val="24"/>
            </w:rPr>
            <m:t>y=a+</m:t>
          </m:r>
          <m:d>
            <m:dPr>
              <m:ctrlPr>
                <w:rPr>
                  <w:rFonts w:ascii="Cambria Math" w:hAnsi="Cambria Math" w:cstheme="majorBidi"/>
                  <w:i/>
                  <w:sz w:val="24"/>
                  <w:szCs w:val="24"/>
                </w:rPr>
              </m:ctrlPr>
            </m:dPr>
            <m:e>
              <m:r>
                <w:rPr>
                  <w:rFonts w:ascii="Cambria Math" w:hAnsi="Cambria Math" w:cstheme="majorBidi"/>
                  <w:sz w:val="24"/>
                  <w:szCs w:val="24"/>
                </w:rPr>
                <m:t>b</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r>
                <w:rPr>
                  <w:rFonts w:ascii="Cambria Math" w:hAnsi="Cambria Math" w:cstheme="majorBidi"/>
                  <w:sz w:val="24"/>
                  <w:szCs w:val="24"/>
                </w:rPr>
                <m:t>+c</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3</m:t>
                  </m:r>
                </m:sub>
              </m:sSub>
              <m:r>
                <w:rPr>
                  <w:rFonts w:ascii="Cambria Math" w:hAnsi="Cambria Math" w:cstheme="majorBidi"/>
                  <w:sz w:val="24"/>
                  <w:szCs w:val="24"/>
                </w:rPr>
                <m:t>+e</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4</m:t>
                  </m:r>
                </m:sub>
              </m:sSub>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f</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12</m:t>
                  </m:r>
                </m:sub>
              </m:sSub>
              <m:r>
                <w:rPr>
                  <w:rFonts w:ascii="Cambria Math" w:hAnsi="Cambria Math" w:cstheme="majorBidi"/>
                  <w:sz w:val="24"/>
                  <w:szCs w:val="24"/>
                </w:rPr>
                <m:t>+g</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22</m:t>
                  </m:r>
                </m:sub>
              </m:sSub>
              <m:r>
                <w:rPr>
                  <w:rFonts w:ascii="Cambria Math" w:hAnsi="Cambria Math" w:cstheme="majorBidi"/>
                  <w:sz w:val="24"/>
                  <w:szCs w:val="24"/>
                </w:rPr>
                <m:t>+h</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32</m:t>
                  </m:r>
                </m:sub>
              </m:sSub>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42</m:t>
                  </m:r>
                </m:sub>
              </m:sSub>
            </m:e>
          </m:d>
          <m:r>
            <w:rPr>
              <w:rFonts w:ascii="Cambria Math" w:hAnsi="Cambria Math" w:cstheme="majorBidi"/>
              <w:sz w:val="24"/>
              <w:szCs w:val="24"/>
            </w:rPr>
            <m:t xml:space="preserve">       </m:t>
          </m:r>
        </m:oMath>
      </m:oMathPara>
    </w:p>
    <w:p w:rsidR="0086044D" w:rsidRDefault="0086044D" w:rsidP="0086044D">
      <w:pPr>
        <w:spacing w:line="360" w:lineRule="auto"/>
        <w:jc w:val="both"/>
        <w:rPr>
          <w:rFonts w:asciiTheme="majorBidi" w:hAnsiTheme="majorBidi" w:cstheme="majorBidi"/>
          <w:sz w:val="24"/>
          <w:szCs w:val="24"/>
          <w:lang w:val="en-US"/>
        </w:rPr>
      </w:pPr>
      <w:proofErr w:type="gramStart"/>
      <w:r w:rsidRPr="0086044D">
        <w:rPr>
          <w:rFonts w:asciiTheme="majorBidi" w:hAnsiTheme="majorBidi" w:cstheme="majorBidi"/>
          <w:sz w:val="24"/>
          <w:szCs w:val="24"/>
          <w:lang w:val="en-US"/>
        </w:rPr>
        <w:t>Where :</w:t>
      </w:r>
      <w:proofErr w:type="gramEnd"/>
      <w:r w:rsidRPr="0086044D">
        <w:rPr>
          <w:rFonts w:asciiTheme="majorBidi" w:hAnsiTheme="majorBidi" w:cstheme="majorBidi"/>
          <w:sz w:val="24"/>
          <w:szCs w:val="24"/>
          <w:lang w:val="en-US"/>
        </w:rPr>
        <w:t xml:space="preserve"> x</w:t>
      </w:r>
      <w:r w:rsidRPr="0086044D">
        <w:rPr>
          <w:rFonts w:asciiTheme="majorBidi" w:hAnsiTheme="majorBidi" w:cstheme="majorBidi"/>
          <w:sz w:val="24"/>
          <w:szCs w:val="24"/>
          <w:vertAlign w:val="subscript"/>
          <w:lang w:val="en-US"/>
        </w:rPr>
        <w:t>1</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2</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3</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4</w:t>
      </w:r>
      <w:r w:rsidRPr="0086044D">
        <w:rPr>
          <w:rFonts w:asciiTheme="majorBidi" w:hAnsiTheme="majorBidi" w:cstheme="majorBidi"/>
          <w:sz w:val="24"/>
          <w:szCs w:val="24"/>
          <w:lang w:val="en-US"/>
        </w:rPr>
        <w:t>,... represent the variables and  a, b, c, d,... represent the parameters</w:t>
      </w:r>
    </w:p>
    <w:p w:rsidR="0086044D" w:rsidRPr="00A158CF" w:rsidRDefault="0086044D" w:rsidP="0086044D">
      <w:pPr>
        <w:pStyle w:val="Titre2"/>
        <w:rPr>
          <w:rFonts w:asciiTheme="majorBidi" w:hAnsiTheme="majorBidi"/>
          <w:b/>
          <w:bCs/>
          <w:color w:val="auto"/>
          <w:sz w:val="24"/>
          <w:szCs w:val="24"/>
          <w:lang w:val="en-US"/>
        </w:rPr>
      </w:pPr>
      <w:r w:rsidRPr="00A158CF">
        <w:rPr>
          <w:rFonts w:asciiTheme="majorBidi" w:hAnsiTheme="majorBidi"/>
          <w:b/>
          <w:bCs/>
          <w:color w:val="auto"/>
          <w:sz w:val="24"/>
          <w:szCs w:val="24"/>
          <w:lang w:val="en-US"/>
        </w:rPr>
        <w:t>2-6-Model relevance domain</w:t>
      </w:r>
    </w:p>
    <w:p w:rsidR="0086044D" w:rsidRDefault="00694B19" w:rsidP="00694B19">
      <w:pPr>
        <w:spacing w:before="240" w:line="360" w:lineRule="auto"/>
        <w:jc w:val="both"/>
        <w:rPr>
          <w:rFonts w:asciiTheme="majorBidi" w:hAnsiTheme="majorBidi" w:cstheme="majorBidi"/>
          <w:sz w:val="24"/>
          <w:szCs w:val="24"/>
          <w:lang w:val="en-US"/>
        </w:rPr>
      </w:pPr>
      <w:r w:rsidRPr="00694B19">
        <w:rPr>
          <w:rFonts w:asciiTheme="majorBidi" w:hAnsiTheme="majorBidi" w:cstheme="majorBidi"/>
          <w:sz w:val="24"/>
          <w:szCs w:val="24"/>
          <w:lang w:val="en-US"/>
        </w:rPr>
        <w:t>The applicability domain of a QSAR model is the set of physicochemical, structural, and biological limits within which the model can reliably predict the properties of new molecules [28]. It represents the boundary of the chemical space encompassing the compounds in the training set and those homologous to them, similar in their structural and physicochemical characteristics [29]. Since it is built on a limited set of compounds and descriptors chosen from a wide range, the model cannot provide universal and reliable predictions for all molecules. Therefore, identifying the domain of relevance is a fundamental requirement for any QSAR model, in accordance with th</w:t>
      </w:r>
      <w:r>
        <w:rPr>
          <w:rFonts w:asciiTheme="majorBidi" w:hAnsiTheme="majorBidi" w:cstheme="majorBidi"/>
          <w:sz w:val="24"/>
          <w:szCs w:val="24"/>
          <w:lang w:val="en-US"/>
        </w:rPr>
        <w:t>e recommendations of the Organiz</w:t>
      </w:r>
      <w:r w:rsidRPr="00694B19">
        <w:rPr>
          <w:rFonts w:asciiTheme="majorBidi" w:hAnsiTheme="majorBidi" w:cstheme="majorBidi"/>
          <w:sz w:val="24"/>
          <w:szCs w:val="24"/>
          <w:lang w:val="en-US"/>
        </w:rPr>
        <w:t>ation for Economic Co-operation and Development (OECD) [30]. The determination of a model's applicability domain can be carried out using various methods [28]. In this study, we employ the so-called leverage approach. The principle of this method is to examine the variation of standardized residuals as a function of the distance of the descriptor values from their me</w:t>
      </w:r>
      <w:r>
        <w:rPr>
          <w:rFonts w:asciiTheme="majorBidi" w:hAnsiTheme="majorBidi" w:cstheme="majorBidi"/>
          <w:sz w:val="24"/>
          <w:szCs w:val="24"/>
          <w:lang w:val="en-US"/>
        </w:rPr>
        <w:t>an, called leverage [31]. The h</w:t>
      </w:r>
      <w:r w:rsidRPr="00694B19">
        <w:rPr>
          <w:rFonts w:asciiTheme="majorBidi" w:hAnsiTheme="majorBidi" w:cstheme="majorBidi"/>
          <w:sz w:val="24"/>
          <w:szCs w:val="24"/>
          <w:vertAlign w:val="subscript"/>
          <w:lang w:val="en-US"/>
        </w:rPr>
        <w:t>ii</w:t>
      </w:r>
      <w:r w:rsidRPr="00694B19">
        <w:rPr>
          <w:rFonts w:asciiTheme="majorBidi" w:hAnsiTheme="majorBidi" w:cstheme="majorBidi"/>
          <w:sz w:val="24"/>
          <w:szCs w:val="24"/>
          <w:lang w:val="en-US"/>
        </w:rPr>
        <w:t xml:space="preserve"> represent the diagonal elements of the matrix H. H is the projection matrix linking </w:t>
      </w:r>
      <w:r>
        <w:rPr>
          <w:rFonts w:asciiTheme="majorBidi" w:hAnsiTheme="majorBidi" w:cstheme="majorBidi"/>
          <w:sz w:val="24"/>
          <w:szCs w:val="24"/>
          <w:lang w:val="en-US"/>
        </w:rPr>
        <w:t>the experimental observations Y</w:t>
      </w:r>
      <w:r w:rsidRPr="00694B19">
        <w:rPr>
          <w:rFonts w:asciiTheme="majorBidi" w:hAnsiTheme="majorBidi" w:cstheme="majorBidi"/>
          <w:sz w:val="24"/>
          <w:szCs w:val="24"/>
          <w:vertAlign w:val="subscript"/>
          <w:lang w:val="en-US"/>
        </w:rPr>
        <w:t>exp</w:t>
      </w:r>
      <w:r>
        <w:rPr>
          <w:rFonts w:asciiTheme="majorBidi" w:hAnsiTheme="majorBidi" w:cstheme="majorBidi"/>
          <w:sz w:val="24"/>
          <w:szCs w:val="24"/>
          <w:lang w:val="en-US"/>
        </w:rPr>
        <w:t xml:space="preserve"> to their predictions Y</w:t>
      </w:r>
      <w:r w:rsidRPr="00694B19">
        <w:rPr>
          <w:rFonts w:asciiTheme="majorBidi" w:hAnsiTheme="majorBidi" w:cstheme="majorBidi"/>
          <w:sz w:val="24"/>
          <w:szCs w:val="24"/>
          <w:vertAlign w:val="subscript"/>
          <w:lang w:val="en-US"/>
        </w:rPr>
        <w:t>pred</w:t>
      </w:r>
      <w:r w:rsidRPr="00694B19">
        <w:rPr>
          <w:rFonts w:asciiTheme="majorBidi" w:hAnsiTheme="majorBidi" w:cstheme="majorBidi"/>
          <w:sz w:val="24"/>
          <w:szCs w:val="24"/>
          <w:lang w:val="en-US"/>
        </w:rPr>
        <w:t xml:space="preserve"> in the regression space, and is defined by the expression:</w:t>
      </w:r>
    </w:p>
    <w:p w:rsidR="00694B19" w:rsidRPr="005D558E" w:rsidRDefault="006071DA" w:rsidP="00694B19">
      <w:pPr>
        <w:spacing w:after="0" w:line="360" w:lineRule="auto"/>
        <w:jc w:val="both"/>
        <w:rPr>
          <w:rFonts w:asciiTheme="majorBidi" w:eastAsiaTheme="minorEastAsia" w:hAnsiTheme="majorBidi" w:cstheme="majorBidi"/>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préd</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expé</m:t>
              </m:r>
            </m:sub>
          </m:sSub>
          <m:r>
            <w:rPr>
              <w:rFonts w:ascii="Cambria Math" w:hAnsi="Cambria Math" w:cs="Times New Roman"/>
            </w:rPr>
            <m:t xml:space="preserve">  </m:t>
          </m:r>
        </m:oMath>
      </m:oMathPara>
    </w:p>
    <w:p w:rsidR="00694B19" w:rsidRDefault="00694B19" w:rsidP="00694B19">
      <w:pPr>
        <w:jc w:val="both"/>
        <w:rPr>
          <w:rFonts w:asciiTheme="majorBidi" w:hAnsiTheme="majorBidi" w:cstheme="majorBidi"/>
          <w:lang w:val="en-US"/>
        </w:rPr>
      </w:pPr>
      <w:r w:rsidRPr="005D558E">
        <w:rPr>
          <w:rFonts w:asciiTheme="majorBidi" w:hAnsiTheme="majorBidi" w:cstheme="majorBidi"/>
          <w:lang w:val="en-US"/>
        </w:rPr>
        <w:t xml:space="preserve">H is defined by the </w:t>
      </w:r>
      <w:proofErr w:type="gramStart"/>
      <w:r w:rsidRPr="005D558E">
        <w:rPr>
          <w:rFonts w:asciiTheme="majorBidi" w:hAnsiTheme="majorBidi" w:cstheme="majorBidi"/>
          <w:lang w:val="en-US"/>
        </w:rPr>
        <w:t>expression</w:t>
      </w:r>
      <w:r>
        <w:rPr>
          <w:rFonts w:asciiTheme="majorBidi" w:hAnsiTheme="majorBidi" w:cstheme="majorBidi"/>
          <w:lang w:val="en-US"/>
        </w:rPr>
        <w:t xml:space="preserve"> </w:t>
      </w:r>
      <w:r w:rsidRPr="005D558E">
        <w:rPr>
          <w:rFonts w:asciiTheme="majorBidi" w:hAnsiTheme="majorBidi" w:cstheme="majorBidi"/>
          <w:lang w:val="en-US"/>
        </w:rPr>
        <w:t>:</w:t>
      </w:r>
      <w:proofErr w:type="gramEnd"/>
    </w:p>
    <w:p w:rsidR="00694B19" w:rsidRPr="00694B19" w:rsidRDefault="00694B19" w:rsidP="00694B19">
      <w:pPr>
        <w:jc w:val="both"/>
        <w:rPr>
          <w:rFonts w:asciiTheme="majorBidi" w:eastAsiaTheme="minorEastAsia" w:hAnsiTheme="majorBidi" w:cstheme="majorBidi"/>
        </w:rPr>
      </w:pPr>
      <m:oMathPara>
        <m:oMath>
          <m:r>
            <w:rPr>
              <w:rFonts w:ascii="Cambria Math" w:hAnsi="Cambria Math" w:cs="Times New Roman"/>
            </w:rPr>
            <m:t>H=X</m:t>
          </m:r>
          <m:sSup>
            <m:sSupPr>
              <m:ctrlPr>
                <w:rPr>
                  <w:rFonts w:ascii="Cambria Math" w:hAnsi="Cambria Math" w:cs="Times New Roman"/>
                  <w:i/>
                </w:rPr>
              </m:ctrlPr>
            </m:sSup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X)</m:t>
              </m:r>
            </m:e>
            <m:sup>
              <m:r>
                <w:rPr>
                  <w:rFonts w:ascii="Cambria Math" w:hAnsi="Cambria Math" w:cs="Times New Roman"/>
                </w:rPr>
                <m:t>-1</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 xml:space="preserve"> </m:t>
          </m:r>
        </m:oMath>
      </m:oMathPara>
    </w:p>
    <w:p w:rsidR="00694B19" w:rsidRDefault="00694B19" w:rsidP="00694B19">
      <w:pPr>
        <w:spacing w:before="240" w:after="0" w:line="360" w:lineRule="auto"/>
        <w:jc w:val="both"/>
        <w:rPr>
          <w:rFonts w:asciiTheme="majorBidi" w:hAnsiTheme="majorBidi" w:cstheme="majorBidi"/>
          <w:lang w:val="en-US"/>
        </w:rPr>
      </w:pPr>
      <w:r w:rsidRPr="009B6B8B">
        <w:rPr>
          <w:rFonts w:asciiTheme="majorBidi" w:hAnsiTheme="majorBidi" w:cstheme="majorBidi"/>
          <w:lang w:val="en-US"/>
        </w:rPr>
        <w:t xml:space="preserve">The domain of applicability is defined by a leverage threshold, denoted h*. This threshold is generally calculated according to the relation </w:t>
      </w:r>
      <w:r w:rsidRPr="00D03EB2">
        <w:rPr>
          <w:rFonts w:ascii="Times New Roman" w:hAnsi="Times New Roman" w:cs="Times New Roman"/>
          <w:lang w:val="en-US"/>
        </w:rPr>
        <w:t xml:space="preserve">h* = </w:t>
      </w:r>
      <m:oMath>
        <m:f>
          <m:fPr>
            <m:ctrlPr>
              <w:rPr>
                <w:rFonts w:ascii="Cambria Math" w:hAnsi="Cambria Math" w:cs="Times New Roman"/>
                <w:i/>
              </w:rPr>
            </m:ctrlPr>
          </m:fPr>
          <m:num>
            <m:r>
              <w:rPr>
                <w:rFonts w:ascii="Cambria Math" w:hAnsi="Cambria Math" w:cs="Times New Roman"/>
                <w:lang w:val="en-US"/>
              </w:rPr>
              <m:t>3(</m:t>
            </m:r>
            <m:r>
              <w:rPr>
                <w:rFonts w:ascii="Cambria Math" w:hAnsi="Cambria Math" w:cs="Times New Roman"/>
              </w:rPr>
              <m:t>p</m:t>
            </m:r>
            <m:r>
              <w:rPr>
                <w:rFonts w:ascii="Cambria Math" w:hAnsi="Cambria Math" w:cs="Times New Roman"/>
                <w:lang w:val="en-US"/>
              </w:rPr>
              <m:t>+1)</m:t>
            </m:r>
          </m:num>
          <m:den>
            <m:r>
              <w:rPr>
                <w:rFonts w:ascii="Cambria Math" w:hAnsi="Cambria Math" w:cs="Times New Roman"/>
              </w:rPr>
              <m:t>n</m:t>
            </m:r>
          </m:den>
        </m:f>
      </m:oMath>
      <w:r w:rsidRPr="009B6B8B">
        <w:rPr>
          <w:rFonts w:asciiTheme="majorBidi" w:hAnsiTheme="majorBidi" w:cstheme="majorBidi"/>
          <w:lang w:val="en-US"/>
        </w:rPr>
        <w:t>, where n represents the number of compounds in the training set and p the number of descr</w:t>
      </w:r>
      <w:r>
        <w:rPr>
          <w:rFonts w:asciiTheme="majorBidi" w:hAnsiTheme="majorBidi" w:cstheme="majorBidi"/>
          <w:lang w:val="en-US"/>
        </w:rPr>
        <w:t>iptors included in the model [32, 33</w:t>
      </w:r>
      <w:r w:rsidRPr="009B6B8B">
        <w:rPr>
          <w:rFonts w:asciiTheme="majorBidi" w:hAnsiTheme="majorBidi" w:cstheme="majorBidi"/>
          <w:lang w:val="en-US"/>
        </w:rPr>
        <w:t>]. Standardized residuals are generally considered acceptable when they fall within the range of ±3σ, with σ representing the standard deviation of the experimental measureme</w:t>
      </w:r>
      <w:r>
        <w:rPr>
          <w:rFonts w:asciiTheme="majorBidi" w:hAnsiTheme="majorBidi" w:cstheme="majorBidi"/>
          <w:lang w:val="en-US"/>
        </w:rPr>
        <w:t>nts of the response variable [34</w:t>
      </w:r>
      <w:r w:rsidRPr="009B6B8B">
        <w:rPr>
          <w:rFonts w:asciiTheme="majorBidi" w:hAnsiTheme="majorBidi" w:cstheme="majorBidi"/>
          <w:lang w:val="en-US"/>
        </w:rPr>
        <w:t xml:space="preserve">]; this principle is commonly referred </w:t>
      </w:r>
      <w:r>
        <w:rPr>
          <w:rFonts w:asciiTheme="majorBidi" w:hAnsiTheme="majorBidi" w:cstheme="majorBidi"/>
          <w:lang w:val="en-US"/>
        </w:rPr>
        <w:t>to as "the three-sigma rule" [35</w:t>
      </w:r>
      <w:r w:rsidRPr="009B6B8B">
        <w:rPr>
          <w:rFonts w:asciiTheme="majorBidi" w:hAnsiTheme="majorBidi" w:cstheme="majorBidi"/>
          <w:lang w:val="en-US"/>
        </w:rPr>
        <w:t>].</w:t>
      </w:r>
    </w:p>
    <w:p w:rsidR="00A76BC4" w:rsidRDefault="00A76BC4" w:rsidP="00A76BC4">
      <w:pPr>
        <w:jc w:val="both"/>
        <w:rPr>
          <w:rFonts w:asciiTheme="majorBidi" w:hAnsiTheme="majorBidi" w:cstheme="majorBidi"/>
          <w:sz w:val="24"/>
          <w:szCs w:val="24"/>
          <w:lang w:val="en-US"/>
        </w:rPr>
      </w:pPr>
      <w:r w:rsidRPr="00A76BC4">
        <w:rPr>
          <w:rFonts w:asciiTheme="majorBidi" w:hAnsiTheme="majorBidi" w:cstheme="majorBidi"/>
          <w:sz w:val="24"/>
          <w:szCs w:val="24"/>
          <w:lang w:val="en-US"/>
        </w:rPr>
        <w:t>After establishing the theoretical foundations of the model, we present below the results of the modeling.</w:t>
      </w:r>
    </w:p>
    <w:p w:rsidR="00694B19" w:rsidRPr="006F0921" w:rsidRDefault="00A76BC4" w:rsidP="006F0921">
      <w:pPr>
        <w:pStyle w:val="Titre1"/>
        <w:jc w:val="both"/>
        <w:rPr>
          <w:rFonts w:asciiTheme="majorBidi" w:hAnsiTheme="majorBidi"/>
          <w:b/>
          <w:bCs/>
          <w:color w:val="auto"/>
          <w:sz w:val="24"/>
          <w:szCs w:val="24"/>
          <w:lang w:val="en-US"/>
        </w:rPr>
      </w:pPr>
      <w:r w:rsidRPr="00A158CF">
        <w:rPr>
          <w:rFonts w:asciiTheme="majorBidi" w:hAnsiTheme="majorBidi"/>
          <w:b/>
          <w:bCs/>
          <w:color w:val="auto"/>
          <w:sz w:val="24"/>
          <w:szCs w:val="24"/>
          <w:lang w:val="en-US"/>
        </w:rPr>
        <w:lastRenderedPageBreak/>
        <w:t>3-RESULTS AND DISCUSSION</w:t>
      </w:r>
    </w:p>
    <w:p w:rsidR="0086044D" w:rsidRDefault="006F0921" w:rsidP="006F0921">
      <w:pPr>
        <w:spacing w:before="240" w:line="360" w:lineRule="auto"/>
        <w:jc w:val="both"/>
        <w:rPr>
          <w:rFonts w:asciiTheme="majorBidi" w:hAnsiTheme="majorBidi" w:cstheme="majorBidi"/>
          <w:sz w:val="24"/>
          <w:szCs w:val="24"/>
          <w:lang w:val="en-US"/>
        </w:rPr>
      </w:pPr>
      <w:r w:rsidRPr="006F0921">
        <w:rPr>
          <w:rFonts w:asciiTheme="majorBidi" w:hAnsiTheme="majorBidi" w:cstheme="majorBidi"/>
          <w:sz w:val="24"/>
          <w:szCs w:val="24"/>
          <w:lang w:val="en-US"/>
        </w:rPr>
        <w:t>The anticancer structure-activity relationship model was developed based on three key molecular descriptors: polarizability (α, in atomic units), molar refractivity (MR), and electron-accepting power (ω+ (eV)). The values obtained for each of these parameters, as well as the minimal inhibitory concentration potentials pIC50, are summarized in the table below.</w:t>
      </w:r>
    </w:p>
    <w:p w:rsidR="006F0921" w:rsidRPr="006F0921" w:rsidRDefault="006F0921" w:rsidP="006F0921">
      <w:pPr>
        <w:pStyle w:val="Lgende"/>
        <w:keepNext/>
        <w:rPr>
          <w:rFonts w:asciiTheme="majorBidi" w:hAnsiTheme="majorBidi" w:cstheme="majorBidi"/>
          <w:i w:val="0"/>
          <w:iCs w:val="0"/>
          <w:sz w:val="24"/>
          <w:szCs w:val="24"/>
          <w:lang w:val="en-US"/>
        </w:rPr>
      </w:pPr>
      <w:r w:rsidRPr="006F0921">
        <w:rPr>
          <w:rFonts w:asciiTheme="majorBidi" w:hAnsiTheme="majorBidi" w:cstheme="majorBidi"/>
          <w:b/>
          <w:bCs/>
          <w:i w:val="0"/>
          <w:iCs w:val="0"/>
          <w:sz w:val="24"/>
          <w:szCs w:val="24"/>
          <w:lang w:val="en-US"/>
        </w:rPr>
        <w:t xml:space="preserve">Table </w:t>
      </w:r>
      <w:r w:rsidRPr="006F0921">
        <w:rPr>
          <w:rFonts w:asciiTheme="majorBidi" w:hAnsiTheme="majorBidi" w:cstheme="majorBidi"/>
          <w:b/>
          <w:bCs/>
          <w:i w:val="0"/>
          <w:iCs w:val="0"/>
          <w:sz w:val="24"/>
          <w:szCs w:val="24"/>
        </w:rPr>
        <w:fldChar w:fldCharType="begin"/>
      </w:r>
      <w:r w:rsidRPr="006F0921">
        <w:rPr>
          <w:rFonts w:asciiTheme="majorBidi" w:hAnsiTheme="majorBidi" w:cstheme="majorBidi"/>
          <w:b/>
          <w:bCs/>
          <w:i w:val="0"/>
          <w:iCs w:val="0"/>
          <w:sz w:val="24"/>
          <w:szCs w:val="24"/>
          <w:lang w:val="en-US"/>
        </w:rPr>
        <w:instrText xml:space="preserve"> SEQ Table \* ARABIC </w:instrText>
      </w:r>
      <w:r w:rsidRPr="006F0921">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2</w:t>
      </w:r>
      <w:r w:rsidRPr="006F0921">
        <w:rPr>
          <w:rFonts w:asciiTheme="majorBidi" w:hAnsiTheme="majorBidi" w:cstheme="majorBidi"/>
          <w:b/>
          <w:bCs/>
          <w:i w:val="0"/>
          <w:iCs w:val="0"/>
          <w:sz w:val="24"/>
          <w:szCs w:val="24"/>
        </w:rPr>
        <w:fldChar w:fldCharType="end"/>
      </w:r>
      <w:r w:rsidRPr="006F0921">
        <w:rPr>
          <w:rFonts w:asciiTheme="majorBidi" w:hAnsiTheme="majorBidi" w:cstheme="majorBidi"/>
          <w:b/>
          <w:bCs/>
          <w:i w:val="0"/>
          <w:iCs w:val="0"/>
          <w:sz w:val="24"/>
          <w:szCs w:val="24"/>
          <w:lang w:val="en-US"/>
        </w:rPr>
        <w:t xml:space="preserve"> :</w:t>
      </w:r>
      <w:r w:rsidRPr="006F0921">
        <w:rPr>
          <w:rFonts w:asciiTheme="majorBidi" w:hAnsiTheme="majorBidi" w:cstheme="majorBidi"/>
          <w:i w:val="0"/>
          <w:iCs w:val="0"/>
          <w:sz w:val="24"/>
          <w:szCs w:val="24"/>
          <w:lang w:val="en-US"/>
        </w:rPr>
        <w:t>Physico-chemical descriptors and experimental pIC50 of the training and validation sets</w:t>
      </w:r>
    </w:p>
    <w:tbl>
      <w:tblPr>
        <w:tblStyle w:val="Grilledutableau"/>
        <w:tblW w:w="0" w:type="auto"/>
        <w:jc w:val="center"/>
        <w:tblLook w:val="04A0" w:firstRow="1" w:lastRow="0" w:firstColumn="1" w:lastColumn="0" w:noHBand="0" w:noVBand="1"/>
      </w:tblPr>
      <w:tblGrid>
        <w:gridCol w:w="1577"/>
        <w:gridCol w:w="1276"/>
        <w:gridCol w:w="1314"/>
        <w:gridCol w:w="1116"/>
        <w:gridCol w:w="1867"/>
      </w:tblGrid>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Observation</w:t>
            </w:r>
          </w:p>
        </w:tc>
        <w:tc>
          <w:tcPr>
            <w:tcW w:w="1276"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ω+(eV)</w:t>
            </w:r>
          </w:p>
        </w:tc>
        <w:tc>
          <w:tcPr>
            <w:tcW w:w="1314"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α(u.a)</w:t>
            </w:r>
          </w:p>
        </w:tc>
        <w:tc>
          <w:tcPr>
            <w:tcW w:w="1116"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RM</w:t>
            </w:r>
          </w:p>
        </w:tc>
        <w:tc>
          <w:tcPr>
            <w:tcW w:w="186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pIC50(MCF-7)</w:t>
            </w:r>
          </w:p>
        </w:tc>
      </w:tr>
      <w:tr w:rsidR="006F0921" w:rsidRPr="00D51DA0" w:rsidTr="005137BF">
        <w:trPr>
          <w:trHeight w:val="375"/>
          <w:jc w:val="center"/>
        </w:trPr>
        <w:tc>
          <w:tcPr>
            <w:tcW w:w="7150" w:type="dxa"/>
            <w:gridSpan w:val="5"/>
            <w:noWrap/>
          </w:tcPr>
          <w:p w:rsidR="006F0921" w:rsidRPr="00D51DA0" w:rsidRDefault="00BA3957" w:rsidP="005137BF">
            <w:pPr>
              <w:jc w:val="center"/>
              <w:rPr>
                <w:rFonts w:ascii="Times New Roman" w:hAnsi="Times New Roman" w:cs="Times New Roman"/>
                <w:b/>
              </w:rPr>
            </w:pPr>
            <w:r>
              <w:rPr>
                <w:rFonts w:ascii="Times New Roman" w:hAnsi="Times New Roman" w:cs="Times New Roman"/>
                <w:b/>
                <w:color w:val="2F5496" w:themeColor="accent5" w:themeShade="BF"/>
              </w:rPr>
              <w:t>Training Set</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mol1</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41</w:t>
            </w:r>
            <w:r>
              <w:rPr>
                <w:rFonts w:ascii="Times New Roman" w:hAnsi="Times New Roman" w:cs="Times New Roman"/>
                <w:bCs/>
              </w:rPr>
              <w:t>.</w:t>
            </w:r>
            <w:r w:rsidRPr="00595369">
              <w:rPr>
                <w:rFonts w:ascii="Times New Roman" w:hAnsi="Times New Roman" w:cs="Times New Roman"/>
                <w:bCs/>
              </w:rPr>
              <w:t>1750</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2777</w:t>
            </w:r>
            <w:r>
              <w:rPr>
                <w:rFonts w:ascii="Times New Roman" w:hAnsi="Times New Roman" w:cs="Times New Roman"/>
                <w:bCs/>
              </w:rPr>
              <w:t>.</w:t>
            </w:r>
            <w:r w:rsidRPr="00595369">
              <w:rPr>
                <w:rFonts w:ascii="Times New Roman" w:hAnsi="Times New Roman" w:cs="Times New Roman"/>
                <w:bCs/>
              </w:rPr>
              <w:t>5207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378</w:t>
            </w:r>
            <w:r>
              <w:rPr>
                <w:rFonts w:ascii="Times New Roman" w:hAnsi="Times New Roman" w:cs="Times New Roman"/>
                <w:bCs/>
              </w:rPr>
              <w:t>.</w:t>
            </w:r>
            <w:r w:rsidRPr="00595369">
              <w:rPr>
                <w:rFonts w:ascii="Times New Roman" w:hAnsi="Times New Roman" w:cs="Times New Roman"/>
                <w:bCs/>
              </w:rPr>
              <w:t>3100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9118</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mol2</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13</w:t>
            </w:r>
            <w:r>
              <w:rPr>
                <w:rFonts w:ascii="Times New Roman" w:hAnsi="Times New Roman" w:cs="Times New Roman"/>
                <w:bCs/>
              </w:rPr>
              <w:t>.</w:t>
            </w:r>
            <w:r w:rsidRPr="00595369">
              <w:rPr>
                <w:rFonts w:ascii="Times New Roman" w:hAnsi="Times New Roman" w:cs="Times New Roman"/>
                <w:bCs/>
              </w:rPr>
              <w:t>7509</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1504</w:t>
            </w:r>
            <w:r>
              <w:rPr>
                <w:rFonts w:ascii="Times New Roman" w:hAnsi="Times New Roman" w:cs="Times New Roman"/>
                <w:bCs/>
              </w:rPr>
              <w:t>.</w:t>
            </w:r>
            <w:r w:rsidRPr="00595369">
              <w:rPr>
                <w:rFonts w:ascii="Times New Roman" w:hAnsi="Times New Roman" w:cs="Times New Roman"/>
                <w:bCs/>
              </w:rPr>
              <w:t>8107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364</w:t>
            </w:r>
            <w:r>
              <w:rPr>
                <w:rFonts w:ascii="Times New Roman" w:hAnsi="Times New Roman" w:cs="Times New Roman"/>
                <w:bCs/>
              </w:rPr>
              <w:t>.</w:t>
            </w:r>
            <w:r w:rsidRPr="00595369">
              <w:rPr>
                <w:rFonts w:ascii="Times New Roman" w:hAnsi="Times New Roman" w:cs="Times New Roman"/>
                <w:bCs/>
              </w:rPr>
              <w:t>7900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7901</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mol3</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18</w:t>
            </w:r>
            <w:r>
              <w:rPr>
                <w:rFonts w:ascii="Times New Roman" w:hAnsi="Times New Roman" w:cs="Times New Roman"/>
                <w:bCs/>
              </w:rPr>
              <w:t>.</w:t>
            </w:r>
            <w:r w:rsidRPr="00595369">
              <w:rPr>
                <w:rFonts w:ascii="Times New Roman" w:hAnsi="Times New Roman" w:cs="Times New Roman"/>
                <w:bCs/>
              </w:rPr>
              <w:t>1970</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1011</w:t>
            </w:r>
            <w:r>
              <w:rPr>
                <w:rFonts w:ascii="Times New Roman" w:hAnsi="Times New Roman" w:cs="Times New Roman"/>
                <w:bCs/>
              </w:rPr>
              <w:t>.</w:t>
            </w:r>
            <w:r w:rsidRPr="00595369">
              <w:rPr>
                <w:rFonts w:ascii="Times New Roman" w:hAnsi="Times New Roman" w:cs="Times New Roman"/>
                <w:bCs/>
              </w:rPr>
              <w:t>5320</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236</w:t>
            </w:r>
            <w:r>
              <w:rPr>
                <w:rFonts w:ascii="Times New Roman" w:hAnsi="Times New Roman" w:cs="Times New Roman"/>
                <w:bCs/>
              </w:rPr>
              <w:t>.</w:t>
            </w:r>
            <w:r w:rsidRPr="00595369">
              <w:rPr>
                <w:rFonts w:ascii="Times New Roman" w:hAnsi="Times New Roman" w:cs="Times New Roman"/>
                <w:bCs/>
              </w:rPr>
              <w:t>7900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8601</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mol4</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13</w:t>
            </w:r>
            <w:r>
              <w:rPr>
                <w:rFonts w:ascii="Times New Roman" w:hAnsi="Times New Roman" w:cs="Times New Roman"/>
                <w:bCs/>
              </w:rPr>
              <w:t>.</w:t>
            </w:r>
            <w:r w:rsidRPr="00595369">
              <w:rPr>
                <w:rFonts w:ascii="Times New Roman" w:hAnsi="Times New Roman" w:cs="Times New Roman"/>
                <w:bCs/>
              </w:rPr>
              <w:t>4955</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906</w:t>
            </w:r>
            <w:r>
              <w:rPr>
                <w:rFonts w:ascii="Times New Roman" w:hAnsi="Times New Roman" w:cs="Times New Roman"/>
                <w:bCs/>
              </w:rPr>
              <w:t>.</w:t>
            </w:r>
            <w:r w:rsidRPr="00595369">
              <w:rPr>
                <w:rFonts w:ascii="Times New Roman" w:hAnsi="Times New Roman" w:cs="Times New Roman"/>
                <w:bCs/>
              </w:rPr>
              <w:t>0263</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233</w:t>
            </w:r>
            <w:r>
              <w:rPr>
                <w:rFonts w:ascii="Times New Roman" w:hAnsi="Times New Roman" w:cs="Times New Roman"/>
                <w:bCs/>
              </w:rPr>
              <w:t>.</w:t>
            </w:r>
            <w:r w:rsidRPr="00595369">
              <w:rPr>
                <w:rFonts w:ascii="Times New Roman" w:hAnsi="Times New Roman" w:cs="Times New Roman"/>
                <w:bCs/>
              </w:rPr>
              <w:t>3400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5948</w:t>
            </w:r>
          </w:p>
        </w:tc>
      </w:tr>
      <w:tr w:rsidR="006F0921" w:rsidRPr="00D51DA0" w:rsidTr="005137BF">
        <w:trPr>
          <w:trHeight w:val="375"/>
          <w:jc w:val="center"/>
        </w:trPr>
        <w:tc>
          <w:tcPr>
            <w:tcW w:w="7150" w:type="dxa"/>
            <w:gridSpan w:val="5"/>
            <w:noWrap/>
          </w:tcPr>
          <w:p w:rsidR="006F0921" w:rsidRPr="00D51DA0" w:rsidRDefault="00BA3957" w:rsidP="005137BF">
            <w:pPr>
              <w:jc w:val="center"/>
              <w:rPr>
                <w:rFonts w:ascii="Times New Roman" w:hAnsi="Times New Roman" w:cs="Times New Roman"/>
                <w:b/>
              </w:rPr>
            </w:pPr>
            <w:r>
              <w:rPr>
                <w:rFonts w:ascii="Times New Roman" w:hAnsi="Times New Roman" w:cs="Times New Roman"/>
                <w:b/>
                <w:color w:val="538135" w:themeColor="accent6" w:themeShade="BF"/>
              </w:rPr>
              <w:t>Test Set</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mol5</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24</w:t>
            </w:r>
            <w:r>
              <w:rPr>
                <w:rFonts w:ascii="Times New Roman" w:hAnsi="Times New Roman" w:cs="Times New Roman"/>
                <w:bCs/>
              </w:rPr>
              <w:t>.</w:t>
            </w:r>
            <w:r w:rsidRPr="00595369">
              <w:rPr>
                <w:rFonts w:ascii="Times New Roman" w:hAnsi="Times New Roman" w:cs="Times New Roman"/>
                <w:bCs/>
              </w:rPr>
              <w:t>6205</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1781</w:t>
            </w:r>
            <w:r>
              <w:rPr>
                <w:rFonts w:ascii="Times New Roman" w:hAnsi="Times New Roman" w:cs="Times New Roman"/>
                <w:bCs/>
              </w:rPr>
              <w:t>.</w:t>
            </w:r>
            <w:r w:rsidRPr="00595369">
              <w:rPr>
                <w:rFonts w:ascii="Times New Roman" w:hAnsi="Times New Roman" w:cs="Times New Roman"/>
                <w:bCs/>
              </w:rPr>
              <w:t>9790</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416</w:t>
            </w:r>
            <w:r>
              <w:rPr>
                <w:rFonts w:ascii="Times New Roman" w:hAnsi="Times New Roman" w:cs="Times New Roman"/>
                <w:bCs/>
              </w:rPr>
              <w:t>.</w:t>
            </w:r>
            <w:r w:rsidRPr="00595369">
              <w:rPr>
                <w:rFonts w:ascii="Times New Roman" w:hAnsi="Times New Roman" w:cs="Times New Roman"/>
                <w:bCs/>
              </w:rPr>
              <w:t>6400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w:t>
            </w:r>
            <w:r>
              <w:rPr>
                <w:rFonts w:ascii="Times New Roman" w:hAnsi="Times New Roman" w:cs="Times New Roman"/>
                <w:bCs/>
              </w:rPr>
              <w:t>.</w:t>
            </w:r>
            <w:r w:rsidRPr="00595369">
              <w:rPr>
                <w:rFonts w:ascii="Times New Roman" w:hAnsi="Times New Roman" w:cs="Times New Roman"/>
                <w:bCs/>
              </w:rPr>
              <w:t>6242</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mol6</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22</w:t>
            </w:r>
            <w:r>
              <w:rPr>
                <w:rFonts w:ascii="Times New Roman" w:hAnsi="Times New Roman" w:cs="Times New Roman"/>
                <w:bCs/>
              </w:rPr>
              <w:t>.</w:t>
            </w:r>
            <w:r w:rsidRPr="00595369">
              <w:rPr>
                <w:rFonts w:ascii="Times New Roman" w:hAnsi="Times New Roman" w:cs="Times New Roman"/>
                <w:bCs/>
              </w:rPr>
              <w:t>4729</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2254</w:t>
            </w:r>
            <w:r>
              <w:rPr>
                <w:rFonts w:ascii="Times New Roman" w:hAnsi="Times New Roman" w:cs="Times New Roman"/>
                <w:bCs/>
              </w:rPr>
              <w:t>.</w:t>
            </w:r>
            <w:r w:rsidRPr="00595369">
              <w:rPr>
                <w:rFonts w:ascii="Times New Roman" w:hAnsi="Times New Roman" w:cs="Times New Roman"/>
                <w:bCs/>
              </w:rPr>
              <w:t>8887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510</w:t>
            </w:r>
            <w:r>
              <w:rPr>
                <w:rFonts w:ascii="Times New Roman" w:hAnsi="Times New Roman" w:cs="Times New Roman"/>
                <w:bCs/>
              </w:rPr>
              <w:t>.</w:t>
            </w:r>
            <w:r w:rsidRPr="00595369">
              <w:rPr>
                <w:rFonts w:ascii="Times New Roman" w:hAnsi="Times New Roman" w:cs="Times New Roman"/>
                <w:bCs/>
              </w:rPr>
              <w:t>6800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w:t>
            </w:r>
            <w:r>
              <w:rPr>
                <w:rFonts w:ascii="Times New Roman" w:hAnsi="Times New Roman" w:cs="Times New Roman"/>
                <w:bCs/>
              </w:rPr>
              <w:t>.</w:t>
            </w:r>
            <w:r w:rsidRPr="00595369">
              <w:rPr>
                <w:rFonts w:ascii="Times New Roman" w:hAnsi="Times New Roman" w:cs="Times New Roman"/>
                <w:bCs/>
              </w:rPr>
              <w:t>3290</w:t>
            </w:r>
          </w:p>
        </w:tc>
      </w:tr>
      <w:tr w:rsidR="006F0921" w:rsidRPr="00D51DA0" w:rsidTr="005137BF">
        <w:trPr>
          <w:trHeight w:val="388"/>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mol7</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8</w:t>
            </w:r>
            <w:r>
              <w:rPr>
                <w:rFonts w:ascii="Times New Roman" w:hAnsi="Times New Roman" w:cs="Times New Roman"/>
                <w:bCs/>
              </w:rPr>
              <w:t>.</w:t>
            </w:r>
            <w:r w:rsidRPr="00595369">
              <w:rPr>
                <w:rFonts w:ascii="Times New Roman" w:hAnsi="Times New Roman" w:cs="Times New Roman"/>
                <w:bCs/>
              </w:rPr>
              <w:t>1438</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1173</w:t>
            </w:r>
            <w:r>
              <w:rPr>
                <w:rFonts w:ascii="Times New Roman" w:hAnsi="Times New Roman" w:cs="Times New Roman"/>
                <w:bCs/>
              </w:rPr>
              <w:t>.</w:t>
            </w:r>
            <w:r w:rsidRPr="00595369">
              <w:rPr>
                <w:rFonts w:ascii="Times New Roman" w:hAnsi="Times New Roman" w:cs="Times New Roman"/>
                <w:bCs/>
              </w:rPr>
              <w:t>1473</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322</w:t>
            </w:r>
            <w:r>
              <w:rPr>
                <w:rFonts w:ascii="Times New Roman" w:hAnsi="Times New Roman" w:cs="Times New Roman"/>
                <w:bCs/>
              </w:rPr>
              <w:t>.</w:t>
            </w:r>
            <w:r w:rsidRPr="00595369">
              <w:rPr>
                <w:rFonts w:ascii="Times New Roman" w:hAnsi="Times New Roman" w:cs="Times New Roman"/>
                <w:bCs/>
              </w:rPr>
              <w:t>7300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6547</w:t>
            </w:r>
          </w:p>
        </w:tc>
      </w:tr>
    </w:tbl>
    <w:p w:rsidR="006F0921" w:rsidRDefault="007240B6" w:rsidP="00D434B7">
      <w:pPr>
        <w:spacing w:before="24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2</w:t>
      </w:r>
      <w:r w:rsidR="00975D64" w:rsidRPr="00975D64">
        <w:rPr>
          <w:rFonts w:asciiTheme="majorBidi" w:hAnsiTheme="majorBidi" w:cstheme="majorBidi"/>
          <w:sz w:val="24"/>
          <w:szCs w:val="24"/>
          <w:lang w:val="en-US"/>
        </w:rPr>
        <w:t xml:space="preserve"> presents a series of physicochemical descriptors and the experimental pIC₅₀ values for the training and validation sets concerning the MCF-7 model. The observed pIC₅₀ values in the training set range from 4.5948 (mol4) to 4.9118 (mol1), indicating moderate differences in the median inhibitory concentration required to achieve 50% inhibition of biological activity.</w:t>
      </w:r>
    </w:p>
    <w:p w:rsidR="00D434B7" w:rsidRDefault="00D434B7" w:rsidP="00D434B7">
      <w:pPr>
        <w:pStyle w:val="Titre2"/>
        <w:rPr>
          <w:rFonts w:asciiTheme="majorBidi" w:hAnsiTheme="majorBidi"/>
          <w:b/>
          <w:bCs/>
          <w:color w:val="auto"/>
          <w:sz w:val="24"/>
          <w:szCs w:val="24"/>
          <w:lang w:val="en-US"/>
        </w:rPr>
      </w:pPr>
      <w:r w:rsidRPr="00D434B7">
        <w:rPr>
          <w:rFonts w:asciiTheme="majorBidi" w:hAnsiTheme="majorBidi"/>
          <w:b/>
          <w:bCs/>
          <w:color w:val="auto"/>
          <w:sz w:val="24"/>
          <w:szCs w:val="24"/>
          <w:lang w:val="en-US"/>
        </w:rPr>
        <w:t>3-1-Internal evaluation of the model's reliability</w:t>
      </w:r>
    </w:p>
    <w:p w:rsidR="00D434B7" w:rsidRDefault="00D434B7" w:rsidP="00D434B7">
      <w:pPr>
        <w:spacing w:before="240" w:after="0" w:line="360" w:lineRule="auto"/>
        <w:jc w:val="both"/>
        <w:rPr>
          <w:rFonts w:asciiTheme="majorBidi" w:hAnsiTheme="majorBidi" w:cstheme="majorBidi"/>
          <w:sz w:val="24"/>
          <w:szCs w:val="24"/>
          <w:lang w:val="en-US"/>
        </w:rPr>
      </w:pPr>
      <w:r w:rsidRPr="00D434B7">
        <w:rPr>
          <w:rFonts w:asciiTheme="majorBidi" w:hAnsiTheme="majorBidi" w:cstheme="majorBidi"/>
          <w:sz w:val="24"/>
          <w:szCs w:val="24"/>
          <w:lang w:val="en-US"/>
        </w:rPr>
        <w:t>The model underwent internal validation to assess its robustness and generalization capability. The table below presents the correlation matrix corresponding to the descriptors selected for the model, providing a quantitative evaluation of the interactions and interdependencies between the structural variables.</w:t>
      </w:r>
    </w:p>
    <w:p w:rsidR="00D434B7" w:rsidRPr="00D434B7" w:rsidRDefault="00D434B7" w:rsidP="00D434B7">
      <w:pPr>
        <w:pStyle w:val="Lgende"/>
        <w:keepNext/>
        <w:spacing w:after="0"/>
        <w:rPr>
          <w:rFonts w:asciiTheme="majorBidi" w:hAnsiTheme="majorBidi" w:cstheme="majorBidi"/>
          <w:sz w:val="24"/>
          <w:szCs w:val="24"/>
          <w:lang w:val="en-US"/>
        </w:rPr>
      </w:pPr>
      <w:r w:rsidRPr="00D434B7">
        <w:rPr>
          <w:rFonts w:asciiTheme="majorBidi" w:hAnsiTheme="majorBidi" w:cstheme="majorBidi"/>
          <w:b/>
          <w:bCs/>
          <w:i w:val="0"/>
          <w:iCs w:val="0"/>
          <w:sz w:val="24"/>
          <w:szCs w:val="24"/>
          <w:lang w:val="en-US"/>
        </w:rPr>
        <w:t xml:space="preserve">Table </w:t>
      </w:r>
      <w:r w:rsidRPr="00D434B7">
        <w:rPr>
          <w:rFonts w:asciiTheme="majorBidi" w:hAnsiTheme="majorBidi" w:cstheme="majorBidi"/>
          <w:b/>
          <w:bCs/>
          <w:i w:val="0"/>
          <w:iCs w:val="0"/>
          <w:sz w:val="24"/>
          <w:szCs w:val="24"/>
        </w:rPr>
        <w:fldChar w:fldCharType="begin"/>
      </w:r>
      <w:r w:rsidRPr="00D434B7">
        <w:rPr>
          <w:rFonts w:asciiTheme="majorBidi" w:hAnsiTheme="majorBidi" w:cstheme="majorBidi"/>
          <w:b/>
          <w:bCs/>
          <w:i w:val="0"/>
          <w:iCs w:val="0"/>
          <w:sz w:val="24"/>
          <w:szCs w:val="24"/>
          <w:lang w:val="en-US"/>
        </w:rPr>
        <w:instrText xml:space="preserve"> SEQ Table \* ARABIC </w:instrText>
      </w:r>
      <w:r w:rsidRPr="00D434B7">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3</w:t>
      </w:r>
      <w:r w:rsidRPr="00D434B7">
        <w:rPr>
          <w:rFonts w:asciiTheme="majorBidi" w:hAnsiTheme="majorBidi" w:cstheme="majorBidi"/>
          <w:b/>
          <w:bCs/>
          <w:i w:val="0"/>
          <w:iCs w:val="0"/>
          <w:sz w:val="24"/>
          <w:szCs w:val="24"/>
        </w:rPr>
        <w:fldChar w:fldCharType="end"/>
      </w:r>
      <w:r w:rsidRPr="00D434B7">
        <w:rPr>
          <w:rFonts w:asciiTheme="majorBidi" w:hAnsiTheme="majorBidi" w:cstheme="majorBidi"/>
          <w:b/>
          <w:bCs/>
          <w:i w:val="0"/>
          <w:iCs w:val="0"/>
          <w:sz w:val="24"/>
          <w:szCs w:val="24"/>
          <w:lang w:val="en-US"/>
        </w:rPr>
        <w:t>:</w:t>
      </w:r>
      <w:r w:rsidRPr="00D434B7">
        <w:rPr>
          <w:rFonts w:asciiTheme="majorBidi" w:hAnsiTheme="majorBidi" w:cstheme="majorBidi"/>
          <w:sz w:val="24"/>
          <w:szCs w:val="24"/>
          <w:lang w:val="en-US"/>
        </w:rPr>
        <w:t xml:space="preserve"> </w:t>
      </w:r>
      <w:r w:rsidRPr="00D434B7">
        <w:rPr>
          <w:rFonts w:asciiTheme="majorBidi" w:hAnsiTheme="majorBidi" w:cstheme="majorBidi"/>
          <w:i w:val="0"/>
          <w:iCs w:val="0"/>
          <w:sz w:val="24"/>
          <w:szCs w:val="24"/>
          <w:lang w:val="en-US"/>
        </w:rPr>
        <w:t>Correlation matrix between the different physicochemical descriptors of the MCF-7 model</w:t>
      </w:r>
    </w:p>
    <w:tbl>
      <w:tblPr>
        <w:tblStyle w:val="Grilledutableau"/>
        <w:tblW w:w="0" w:type="auto"/>
        <w:jc w:val="center"/>
        <w:tblLook w:val="04A0" w:firstRow="1" w:lastRow="0" w:firstColumn="1" w:lastColumn="0" w:noHBand="0" w:noVBand="1"/>
      </w:tblPr>
      <w:tblGrid>
        <w:gridCol w:w="1203"/>
        <w:gridCol w:w="1200"/>
        <w:gridCol w:w="1200"/>
        <w:gridCol w:w="1200"/>
      </w:tblGrid>
      <w:tr w:rsidR="00D434B7" w:rsidRPr="00D51DA0" w:rsidTr="005137BF">
        <w:trPr>
          <w:trHeight w:val="290"/>
          <w:jc w:val="center"/>
        </w:trPr>
        <w:tc>
          <w:tcPr>
            <w:tcW w:w="1203" w:type="dxa"/>
            <w:noWrap/>
            <w:hideMark/>
          </w:tcPr>
          <w:p w:rsidR="00D434B7" w:rsidRPr="00D51DA0" w:rsidRDefault="00D434B7" w:rsidP="005137BF">
            <w:pPr>
              <w:jc w:val="center"/>
              <w:rPr>
                <w:rFonts w:ascii="Times New Roman" w:hAnsi="Times New Roman" w:cs="Times New Roman"/>
                <w:b/>
              </w:rPr>
            </w:pPr>
            <w:r w:rsidRPr="00D51DA0">
              <w:rPr>
                <w:rFonts w:ascii="Times New Roman" w:hAnsi="Times New Roman" w:cs="Times New Roman"/>
                <w:b/>
              </w:rPr>
              <w:t>Variables</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ω+(eV)</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α(u.a)</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RM</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ω+(eV)</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9247</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5690</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α(u.a)</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9247</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8358</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RM</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5690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8358</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r>
    </w:tbl>
    <w:p w:rsidR="00D434B7" w:rsidRDefault="00D434B7" w:rsidP="00D434B7">
      <w:pPr>
        <w:spacing w:line="276" w:lineRule="auto"/>
        <w:jc w:val="both"/>
        <w:rPr>
          <w:rFonts w:asciiTheme="majorBidi" w:hAnsiTheme="majorBidi" w:cstheme="majorBidi"/>
          <w:sz w:val="24"/>
          <w:szCs w:val="24"/>
          <w:lang w:val="en-US"/>
        </w:rPr>
      </w:pPr>
      <w:r w:rsidRPr="00D434B7">
        <w:rPr>
          <w:rFonts w:asciiTheme="majorBidi" w:hAnsiTheme="majorBidi" w:cstheme="majorBidi"/>
          <w:sz w:val="24"/>
          <w:szCs w:val="24"/>
          <w:lang w:val="en-US"/>
        </w:rPr>
        <w:t>It is observed that the linear correlation coefficients a</w:t>
      </w:r>
      <w:r w:rsidRPr="00D434B7">
        <w:rPr>
          <w:rFonts w:asciiTheme="majorBidi" w:hAnsiTheme="majorBidi" w:cstheme="majorBidi"/>
          <w:sz w:val="24"/>
          <w:szCs w:val="24"/>
          <w:vertAlign w:val="subscript"/>
          <w:lang w:val="en-US"/>
        </w:rPr>
        <w:t>ij</w:t>
      </w:r>
      <w:r w:rsidRPr="00D434B7">
        <w:rPr>
          <w:rFonts w:asciiTheme="majorBidi" w:hAnsiTheme="majorBidi" w:cstheme="majorBidi"/>
          <w:sz w:val="24"/>
          <w:szCs w:val="24"/>
          <w:lang w:val="en-US"/>
        </w:rPr>
        <w:t xml:space="preserve"> between the descriptors are all below 0.95, indicating that they do not exhibit strong collinearity and can be reliably used in QSAR models.</w:t>
      </w:r>
    </w:p>
    <w:p w:rsidR="00B17B9D" w:rsidRDefault="00B17B9D" w:rsidP="00B17B9D">
      <w:pPr>
        <w:jc w:val="both"/>
        <w:rPr>
          <w:rFonts w:asciiTheme="majorBidi" w:hAnsiTheme="majorBidi" w:cstheme="majorBidi"/>
          <w:sz w:val="24"/>
          <w:szCs w:val="24"/>
          <w:lang w:val="en-US"/>
        </w:rPr>
      </w:pPr>
      <w:r w:rsidRPr="00B17B9D">
        <w:rPr>
          <w:rFonts w:asciiTheme="majorBidi" w:hAnsiTheme="majorBidi" w:cstheme="majorBidi"/>
          <w:sz w:val="24"/>
          <w:szCs w:val="24"/>
          <w:lang w:val="en-US"/>
        </w:rPr>
        <w:lastRenderedPageBreak/>
        <w:t>The equation below represents the QSAR (MCF-7) model developed in this study:</w:t>
      </w:r>
    </w:p>
    <w:p w:rsidR="006E1647" w:rsidRPr="006E1647" w:rsidRDefault="006071DA" w:rsidP="00B17B9D">
      <w:pPr>
        <w:jc w:val="both"/>
        <w:rPr>
          <w:rFonts w:asciiTheme="majorBidi" w:eastAsiaTheme="minorEastAsia" w:hAnsiTheme="majorBidi" w:cstheme="majorBidi"/>
          <w:b/>
        </w:rPr>
      </w:pPr>
      <m:oMathPara>
        <m:oMath>
          <m:sSub>
            <m:sSubPr>
              <m:ctrlPr>
                <w:rPr>
                  <w:rFonts w:ascii="Cambria Math" w:hAnsi="Cambria Math" w:cs="Times New Roman"/>
                  <w:b/>
                  <w:i/>
                </w:rPr>
              </m:ctrlPr>
            </m:sSubPr>
            <m:e>
              <m:r>
                <m:rPr>
                  <m:sty m:val="bi"/>
                </m:rPr>
                <w:rPr>
                  <w:rFonts w:ascii="Cambria Math" w:hAnsi="Cambria Math" w:cs="Times New Roman"/>
                </w:rPr>
                <m:t>pIC</m:t>
              </m:r>
            </m:e>
            <m:sub>
              <m:r>
                <m:rPr>
                  <m:sty m:val="bi"/>
                </m:rPr>
                <w:rPr>
                  <w:rFonts w:ascii="Cambria Math" w:hAnsi="Cambria Math" w:cs="Times New Roman"/>
                </w:rPr>
                <m:t>50</m:t>
              </m:r>
            </m:sub>
          </m:sSub>
          <m:r>
            <m:rPr>
              <m:sty m:val="bi"/>
            </m:rPr>
            <w:rPr>
              <w:rFonts w:ascii="Cambria Math" w:hAnsi="Cambria Math" w:cs="Times New Roman"/>
            </w:rPr>
            <m:t>(MCF-7) = 3.26927+0.07147*</m:t>
          </m:r>
          <m:sSup>
            <m:sSupPr>
              <m:ctrlPr>
                <w:rPr>
                  <w:rFonts w:ascii="Cambria Math" w:hAnsi="Cambria Math" w:cs="Times New Roman"/>
                  <w:b/>
                  <w:i/>
                </w:rPr>
              </m:ctrlPr>
            </m:sSupPr>
            <m:e>
              <m:r>
                <m:rPr>
                  <m:sty m:val="bi"/>
                </m:rPr>
                <w:rPr>
                  <w:rFonts w:ascii="Cambria Math" w:hAnsi="Cambria Math" w:cs="Times New Roman"/>
                </w:rPr>
                <m:t>ω</m:t>
              </m:r>
            </m:e>
            <m:sup>
              <m:r>
                <m:rPr>
                  <m:sty m:val="bi"/>
                </m:rPr>
                <w:rPr>
                  <w:rFonts w:ascii="Cambria Math" w:hAnsi="Cambria Math" w:cs="Times New Roman"/>
                </w:rPr>
                <m:t>+</m:t>
              </m:r>
            </m:sup>
          </m:sSup>
          <m:r>
            <m:rPr>
              <m:sty m:val="bi"/>
            </m:rPr>
            <w:rPr>
              <w:rFonts w:ascii="Cambria Math" w:hAnsi="Cambria Math" w:cs="Times New Roman"/>
            </w:rPr>
            <m:t>(eV)-0.00154*α+0.00785*RM</m:t>
          </m:r>
        </m:oMath>
      </m:oMathPara>
    </w:p>
    <w:p w:rsidR="006E1647" w:rsidRDefault="006E1647" w:rsidP="006E1647">
      <w:pPr>
        <w:spacing w:after="0" w:line="360" w:lineRule="auto"/>
        <w:jc w:val="both"/>
        <w:rPr>
          <w:rFonts w:asciiTheme="majorBidi" w:hAnsiTheme="majorBidi" w:cstheme="majorBidi"/>
          <w:sz w:val="24"/>
          <w:szCs w:val="24"/>
          <w:lang w:val="en-US"/>
        </w:rPr>
      </w:pPr>
      <w:r w:rsidRPr="006E1647">
        <w:rPr>
          <w:rFonts w:asciiTheme="majorBidi" w:hAnsiTheme="majorBidi" w:cstheme="majorBidi"/>
          <w:sz w:val="24"/>
          <w:szCs w:val="24"/>
          <w:lang w:val="en-US"/>
        </w:rPr>
        <w:t>The positive coefficient of 0.07147 associated with the electron-accepting power (ω</w:t>
      </w:r>
      <w:r w:rsidRPr="006E1647">
        <w:rPr>
          <w:rFonts w:asciiTheme="majorBidi" w:hAnsiTheme="majorBidi" w:cstheme="majorBidi"/>
          <w:sz w:val="24"/>
          <w:szCs w:val="24"/>
          <w:vertAlign w:val="superscript"/>
          <w:lang w:val="en-US"/>
        </w:rPr>
        <w:t>+</w:t>
      </w:r>
      <w:r w:rsidRPr="006E1647">
        <w:rPr>
          <w:rFonts w:asciiTheme="majorBidi" w:hAnsiTheme="majorBidi" w:cstheme="majorBidi"/>
          <w:sz w:val="24"/>
          <w:szCs w:val="24"/>
          <w:lang w:val="en-US"/>
        </w:rPr>
        <w:t>) indicates that an increase in this descriptor promotes biological activity. Thus, in the MCF-7 model, molecules with a greater ability to accept electrons tend to exhibit better activity. However, the negative coefficient of –0.00154 attributed to polarizability (α) suggests that high values of this descriptor are associated with a reduction in biological activity, likely due to interference with the mechanisms of action. With a positive coefficient of 0.00785, molar refractivity (MR) is associated with an increase in biological activity, indicating that the optical properties of the molecules play a positive role in their effectiveness. The model evaluation results for the QSAR model for MCF-7 are presented in Table 3.</w:t>
      </w:r>
    </w:p>
    <w:p w:rsidR="006E1647" w:rsidRPr="006E1647" w:rsidRDefault="006E1647" w:rsidP="002B4148">
      <w:pPr>
        <w:pStyle w:val="Lgende"/>
        <w:keepNext/>
        <w:spacing w:after="0" w:line="360" w:lineRule="auto"/>
        <w:rPr>
          <w:rFonts w:asciiTheme="majorBidi" w:hAnsiTheme="majorBidi" w:cstheme="majorBidi"/>
          <w:i w:val="0"/>
          <w:iCs w:val="0"/>
          <w:sz w:val="24"/>
          <w:szCs w:val="24"/>
          <w:lang w:val="en-US"/>
        </w:rPr>
      </w:pPr>
      <w:r w:rsidRPr="006E1647">
        <w:rPr>
          <w:rFonts w:asciiTheme="majorBidi" w:hAnsiTheme="majorBidi" w:cstheme="majorBidi"/>
          <w:b/>
          <w:bCs/>
          <w:i w:val="0"/>
          <w:iCs w:val="0"/>
          <w:sz w:val="24"/>
          <w:szCs w:val="24"/>
          <w:lang w:val="en-US"/>
        </w:rPr>
        <w:t xml:space="preserve">Table </w:t>
      </w:r>
      <w:r w:rsidRPr="006E1647">
        <w:rPr>
          <w:rFonts w:asciiTheme="majorBidi" w:hAnsiTheme="majorBidi" w:cstheme="majorBidi"/>
          <w:b/>
          <w:bCs/>
          <w:i w:val="0"/>
          <w:iCs w:val="0"/>
          <w:sz w:val="24"/>
          <w:szCs w:val="24"/>
        </w:rPr>
        <w:fldChar w:fldCharType="begin"/>
      </w:r>
      <w:r w:rsidRPr="006E1647">
        <w:rPr>
          <w:rFonts w:asciiTheme="majorBidi" w:hAnsiTheme="majorBidi" w:cstheme="majorBidi"/>
          <w:b/>
          <w:bCs/>
          <w:i w:val="0"/>
          <w:iCs w:val="0"/>
          <w:sz w:val="24"/>
          <w:szCs w:val="24"/>
          <w:lang w:val="en-US"/>
        </w:rPr>
        <w:instrText xml:space="preserve"> SEQ Table \* ARABIC </w:instrText>
      </w:r>
      <w:r w:rsidRPr="006E1647">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4</w:t>
      </w:r>
      <w:r w:rsidRPr="006E1647">
        <w:rPr>
          <w:rFonts w:asciiTheme="majorBidi" w:hAnsiTheme="majorBidi" w:cstheme="majorBidi"/>
          <w:b/>
          <w:bCs/>
          <w:i w:val="0"/>
          <w:iCs w:val="0"/>
          <w:sz w:val="24"/>
          <w:szCs w:val="24"/>
        </w:rPr>
        <w:fldChar w:fldCharType="end"/>
      </w:r>
      <w:r w:rsidRPr="006E1647">
        <w:rPr>
          <w:rFonts w:asciiTheme="majorBidi" w:hAnsiTheme="majorBidi" w:cstheme="majorBidi"/>
          <w:i w:val="0"/>
          <w:iCs w:val="0"/>
          <w:sz w:val="24"/>
          <w:szCs w:val="24"/>
          <w:lang w:val="en-US"/>
        </w:rPr>
        <w:t>: Statistical indicators of the MCF-7 model</w:t>
      </w:r>
    </w:p>
    <w:tbl>
      <w:tblPr>
        <w:tblStyle w:val="Grilledutableau"/>
        <w:tblW w:w="0" w:type="auto"/>
        <w:jc w:val="center"/>
        <w:tblLook w:val="04A0" w:firstRow="1" w:lastRow="0" w:firstColumn="1" w:lastColumn="0" w:noHBand="0" w:noVBand="1"/>
      </w:tblPr>
      <w:tblGrid>
        <w:gridCol w:w="2265"/>
        <w:gridCol w:w="2265"/>
        <w:gridCol w:w="2266"/>
        <w:gridCol w:w="2266"/>
      </w:tblGrid>
      <w:tr w:rsidR="006E1647" w:rsidTr="005137BF">
        <w:trPr>
          <w:jc w:val="center"/>
        </w:trPr>
        <w:tc>
          <w:tcPr>
            <w:tcW w:w="2265" w:type="dxa"/>
            <w:vAlign w:val="center"/>
          </w:tcPr>
          <w:p w:rsidR="006E1647" w:rsidRDefault="006071DA" w:rsidP="002B4148">
            <w:pPr>
              <w:spacing w:line="360" w:lineRule="auto"/>
              <w:jc w:val="center"/>
              <w:rPr>
                <w:rFonts w:ascii="Times New Roman" w:hAnsi="Times New Roman" w:cs="Times New Roman"/>
                <w:b/>
              </w:rPr>
            </w:pPr>
            <m:oMathPara>
              <m:oMath>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2</m:t>
                    </m:r>
                  </m:sup>
                </m:sSup>
              </m:oMath>
            </m:oMathPara>
          </w:p>
        </w:tc>
        <w:tc>
          <w:tcPr>
            <w:tcW w:w="2265" w:type="dxa"/>
            <w:vAlign w:val="center"/>
          </w:tcPr>
          <w:p w:rsidR="006E1647" w:rsidRDefault="006071DA" w:rsidP="002B4148">
            <w:pPr>
              <w:spacing w:line="360" w:lineRule="auto"/>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m:t>
                    </m:r>
                  </m:sub>
                  <m:sup>
                    <m:r>
                      <m:rPr>
                        <m:sty m:val="bi"/>
                      </m:rPr>
                      <w:rPr>
                        <w:rFonts w:ascii="Cambria Math" w:hAnsi="Cambria Math" w:cs="Times New Roman"/>
                      </w:rPr>
                      <m:t>2</m:t>
                    </m:r>
                  </m:sup>
                </m:sSubSup>
              </m:oMath>
            </m:oMathPara>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F</w:t>
            </w:r>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S</w:t>
            </w:r>
          </w:p>
        </w:tc>
      </w:tr>
      <w:tr w:rsidR="006E1647" w:rsidTr="005137BF">
        <w:trPr>
          <w:jc w:val="center"/>
        </w:trPr>
        <w:tc>
          <w:tcPr>
            <w:tcW w:w="2265"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0</w:t>
            </w:r>
            <w:r w:rsidR="002B4148">
              <w:rPr>
                <w:rFonts w:ascii="Times New Roman" w:hAnsi="Times New Roman" w:cs="Times New Roman"/>
                <w:b/>
              </w:rPr>
              <w:t>.</w:t>
            </w:r>
            <w:r>
              <w:rPr>
                <w:rFonts w:ascii="Times New Roman" w:hAnsi="Times New Roman" w:cs="Times New Roman"/>
                <w:b/>
              </w:rPr>
              <w:t>9527</w:t>
            </w:r>
          </w:p>
        </w:tc>
        <w:tc>
          <w:tcPr>
            <w:tcW w:w="2265"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0</w:t>
            </w:r>
            <w:r w:rsidR="002B4148">
              <w:rPr>
                <w:rFonts w:ascii="Times New Roman" w:hAnsi="Times New Roman" w:cs="Times New Roman"/>
                <w:b/>
              </w:rPr>
              <w:t>.</w:t>
            </w:r>
            <w:r>
              <w:rPr>
                <w:rFonts w:ascii="Times New Roman" w:hAnsi="Times New Roman" w:cs="Times New Roman"/>
                <w:b/>
              </w:rPr>
              <w:t>9745</w:t>
            </w:r>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35</w:t>
            </w:r>
            <w:r w:rsidR="002B4148">
              <w:rPr>
                <w:rFonts w:ascii="Times New Roman" w:hAnsi="Times New Roman" w:cs="Times New Roman"/>
                <w:b/>
              </w:rPr>
              <w:t>.</w:t>
            </w:r>
            <w:r>
              <w:rPr>
                <w:rFonts w:ascii="Times New Roman" w:hAnsi="Times New Roman" w:cs="Times New Roman"/>
                <w:b/>
              </w:rPr>
              <w:t>2919</w:t>
            </w:r>
          </w:p>
        </w:tc>
        <w:tc>
          <w:tcPr>
            <w:tcW w:w="2266" w:type="dxa"/>
            <w:vAlign w:val="center"/>
          </w:tcPr>
          <w:p w:rsidR="006E1647" w:rsidRDefault="006E1647" w:rsidP="002B4148">
            <w:pPr>
              <w:spacing w:line="360" w:lineRule="auto"/>
              <w:jc w:val="center"/>
              <w:rPr>
                <w:rFonts w:ascii="Times New Roman" w:hAnsi="Times New Roman" w:cs="Times New Roman"/>
                <w:b/>
              </w:rPr>
            </w:pPr>
            <w:r w:rsidRPr="002638B4">
              <w:rPr>
                <w:rFonts w:ascii="Times New Roman" w:hAnsi="Times New Roman" w:cs="Times New Roman"/>
                <w:b/>
              </w:rPr>
              <w:t>0</w:t>
            </w:r>
            <w:r w:rsidR="002B4148">
              <w:rPr>
                <w:rFonts w:ascii="Times New Roman" w:hAnsi="Times New Roman" w:cs="Times New Roman"/>
                <w:b/>
              </w:rPr>
              <w:t>.</w:t>
            </w:r>
            <w:r w:rsidRPr="002638B4">
              <w:rPr>
                <w:rFonts w:ascii="Times New Roman" w:hAnsi="Times New Roman" w:cs="Times New Roman"/>
                <w:b/>
              </w:rPr>
              <w:t>052</w:t>
            </w:r>
            <w:r>
              <w:rPr>
                <w:rFonts w:ascii="Times New Roman" w:hAnsi="Times New Roman" w:cs="Times New Roman"/>
                <w:b/>
              </w:rPr>
              <w:t>3</w:t>
            </w:r>
          </w:p>
        </w:tc>
      </w:tr>
    </w:tbl>
    <w:p w:rsidR="002B4148" w:rsidRPr="002B4148" w:rsidRDefault="002B4148" w:rsidP="003C30FD">
      <w:pPr>
        <w:spacing w:before="240"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The QSAR model for MCF-7 exhibits an R</w:t>
      </w:r>
      <w:r w:rsidRPr="003C30FD">
        <w:rPr>
          <w:rFonts w:asciiTheme="majorBidi" w:hAnsiTheme="majorBidi" w:cstheme="majorBidi"/>
          <w:sz w:val="24"/>
          <w:szCs w:val="24"/>
          <w:vertAlign w:val="superscript"/>
          <w:lang w:val="en-US"/>
        </w:rPr>
        <w:t>2</w:t>
      </w:r>
      <w:r w:rsidRPr="002B4148">
        <w:rPr>
          <w:rFonts w:asciiTheme="majorBidi" w:hAnsiTheme="majorBidi" w:cstheme="majorBidi"/>
          <w:sz w:val="24"/>
          <w:szCs w:val="24"/>
          <w:lang w:val="en-US"/>
        </w:rPr>
        <w:t xml:space="preserve"> of 0.9527, indicating that 95.27% of the experimental variance in pIC50 is captured, demonstrating its strong predictive capability based on the physico-chemical descriptors used. The model shows a high cross-validation coefficient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=0.9745)</m:t>
        </m:r>
      </m:oMath>
      <w:r w:rsidRPr="002B4148">
        <w:rPr>
          <w:rFonts w:asciiTheme="majorBidi" w:hAnsiTheme="majorBidi" w:cstheme="majorBidi"/>
          <w:sz w:val="24"/>
          <w:szCs w:val="24"/>
          <w:lang w:val="en-US"/>
        </w:rPr>
        <w:t xml:space="preserve">, confirming its ability to reliably predict experimental values on external data. The closeness of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 xml:space="preserve">  </m:t>
        </m:r>
      </m:oMath>
      <w:r w:rsidRPr="002B4148">
        <w:rPr>
          <w:rFonts w:asciiTheme="majorBidi" w:hAnsiTheme="majorBidi" w:cstheme="majorBidi"/>
          <w:sz w:val="24"/>
          <w:szCs w:val="24"/>
          <w:lang w:val="en-US"/>
        </w:rPr>
        <w:t>to R</w:t>
      </w:r>
      <w:r w:rsidRPr="003C30FD">
        <w:rPr>
          <w:rFonts w:asciiTheme="majorBidi" w:hAnsiTheme="majorBidi" w:cstheme="majorBidi"/>
          <w:sz w:val="24"/>
          <w:szCs w:val="24"/>
          <w:vertAlign w:val="superscript"/>
          <w:lang w:val="en-US"/>
        </w:rPr>
        <w:t>2</w:t>
      </w:r>
      <w:r w:rsidRPr="002B4148">
        <w:rPr>
          <w:rFonts w:asciiTheme="majorBidi" w:hAnsiTheme="majorBidi" w:cstheme="majorBidi"/>
          <w:sz w:val="24"/>
          <w:szCs w:val="24"/>
          <w:lang w:val="en-US"/>
        </w:rPr>
        <w:t xml:space="preserve"> indicates that the model is robust and generalizable to new datasets. Such robustness is essential to validate the relevance of the identified links between molecular descriptors and biological activity. </w:t>
      </w:r>
    </w:p>
    <w:p w:rsidR="005B7C15" w:rsidRDefault="002B4148" w:rsidP="002B4148">
      <w:pPr>
        <w:spacing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w:t>
      </w:r>
      <w:r w:rsidR="00832035">
        <w:rPr>
          <w:rFonts w:asciiTheme="majorBidi" w:hAnsiTheme="majorBidi" w:cstheme="majorBidi"/>
          <w:sz w:val="24"/>
          <w:szCs w:val="24"/>
          <w:lang w:val="en-US"/>
        </w:rPr>
        <w:t>e high value of the F-test (35.</w:t>
      </w:r>
      <w:r w:rsidRPr="002B4148">
        <w:rPr>
          <w:rFonts w:asciiTheme="majorBidi" w:hAnsiTheme="majorBidi" w:cstheme="majorBidi"/>
          <w:sz w:val="24"/>
          <w:szCs w:val="24"/>
          <w:lang w:val="en-US"/>
        </w:rPr>
        <w:t xml:space="preserve">2919) indicates that the model is statistically better than a model without explanatory variables, highlighting the validity and relevance of the chosen descriptors. The evaluation of the standard error S (0.0523) demonstrates that the model accurately reproduces the experimental values, ensuring precision and confidence in its predictions of biological activity. </w:t>
      </w:r>
    </w:p>
    <w:p w:rsidR="002B4148" w:rsidRDefault="002B4148" w:rsidP="002B4148">
      <w:pPr>
        <w:spacing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These results are further supported by the corresponding regression line of the model.</w:t>
      </w:r>
    </w:p>
    <w:p w:rsidR="00DD230A" w:rsidRDefault="00BA3957" w:rsidP="00DD230A">
      <w:pPr>
        <w:keepNext/>
        <w:spacing w:after="0" w:line="360" w:lineRule="auto"/>
        <w:jc w:val="both"/>
      </w:pPr>
      <w:r>
        <w:rPr>
          <w:noProof/>
          <w:lang w:eastAsia="fr-FR"/>
        </w:rPr>
        <w:lastRenderedPageBreak/>
        <w:drawing>
          <wp:inline distT="0" distB="0" distL="0" distR="0">
            <wp:extent cx="4368800" cy="261472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7014" cy="2619639"/>
                    </a:xfrm>
                    <a:prstGeom prst="rect">
                      <a:avLst/>
                    </a:prstGeom>
                    <a:noFill/>
                    <a:ln>
                      <a:noFill/>
                    </a:ln>
                  </pic:spPr>
                </pic:pic>
              </a:graphicData>
            </a:graphic>
          </wp:inline>
        </w:drawing>
      </w:r>
    </w:p>
    <w:p w:rsidR="005B7C15" w:rsidRDefault="00DD230A" w:rsidP="00DD230A">
      <w:pPr>
        <w:pStyle w:val="Lgende"/>
        <w:jc w:val="both"/>
        <w:rPr>
          <w:rFonts w:asciiTheme="majorBidi" w:hAnsiTheme="majorBidi" w:cstheme="majorBidi"/>
          <w:i w:val="0"/>
          <w:iCs w:val="0"/>
          <w:sz w:val="24"/>
          <w:szCs w:val="24"/>
          <w:lang w:val="en-US"/>
        </w:rPr>
      </w:pPr>
      <w:r w:rsidRPr="00DD230A">
        <w:rPr>
          <w:rFonts w:asciiTheme="majorBidi" w:hAnsiTheme="majorBidi" w:cstheme="majorBidi"/>
          <w:b/>
          <w:bCs/>
          <w:i w:val="0"/>
          <w:iCs w:val="0"/>
          <w:sz w:val="24"/>
          <w:szCs w:val="24"/>
          <w:lang w:val="en-US"/>
        </w:rPr>
        <w:t xml:space="preserve">Figure </w:t>
      </w:r>
      <w:r w:rsidRPr="00DD230A">
        <w:rPr>
          <w:rFonts w:asciiTheme="majorBidi" w:hAnsiTheme="majorBidi" w:cstheme="majorBidi"/>
          <w:b/>
          <w:bCs/>
          <w:i w:val="0"/>
          <w:iCs w:val="0"/>
          <w:sz w:val="24"/>
          <w:szCs w:val="24"/>
        </w:rPr>
        <w:fldChar w:fldCharType="begin"/>
      </w:r>
      <w:r w:rsidRPr="00DD230A">
        <w:rPr>
          <w:rFonts w:asciiTheme="majorBidi" w:hAnsiTheme="majorBidi" w:cstheme="majorBidi"/>
          <w:b/>
          <w:bCs/>
          <w:i w:val="0"/>
          <w:iCs w:val="0"/>
          <w:sz w:val="24"/>
          <w:szCs w:val="24"/>
          <w:lang w:val="en-US"/>
        </w:rPr>
        <w:instrText xml:space="preserve"> SEQ Figure \* ARABIC </w:instrText>
      </w:r>
      <w:r w:rsidRPr="00DD230A">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1</w:t>
      </w:r>
      <w:r w:rsidRPr="00DD230A">
        <w:rPr>
          <w:rFonts w:asciiTheme="majorBidi" w:hAnsiTheme="majorBidi" w:cstheme="majorBidi"/>
          <w:b/>
          <w:bCs/>
          <w:i w:val="0"/>
          <w:iCs w:val="0"/>
          <w:sz w:val="24"/>
          <w:szCs w:val="24"/>
        </w:rPr>
        <w:fldChar w:fldCharType="end"/>
      </w:r>
      <w:r w:rsidRPr="00DD230A">
        <w:rPr>
          <w:rFonts w:asciiTheme="majorBidi" w:hAnsiTheme="majorBidi" w:cstheme="majorBidi"/>
          <w:b/>
          <w:bCs/>
          <w:i w:val="0"/>
          <w:iCs w:val="0"/>
          <w:sz w:val="24"/>
          <w:szCs w:val="24"/>
          <w:lang w:val="en-US"/>
        </w:rPr>
        <w:t>:</w:t>
      </w:r>
      <w:r w:rsidRPr="00DD230A">
        <w:rPr>
          <w:rFonts w:asciiTheme="majorBidi" w:hAnsiTheme="majorBidi" w:cstheme="majorBidi"/>
          <w:i w:val="0"/>
          <w:iCs w:val="0"/>
          <w:sz w:val="24"/>
          <w:szCs w:val="24"/>
          <w:lang w:val="en-US"/>
        </w:rPr>
        <w:t xml:space="preserve"> The regression line of the RQSA (MCF-7) model</w:t>
      </w:r>
    </w:p>
    <w:p w:rsidR="004D4C51" w:rsidRDefault="004D4C51" w:rsidP="004D4C51">
      <w:pPr>
        <w:spacing w:after="0" w:line="360" w:lineRule="auto"/>
        <w:jc w:val="both"/>
        <w:rPr>
          <w:rFonts w:asciiTheme="majorBidi" w:hAnsiTheme="majorBidi" w:cstheme="majorBidi"/>
          <w:sz w:val="24"/>
          <w:szCs w:val="24"/>
          <w:lang w:val="en-US"/>
        </w:rPr>
      </w:pPr>
      <w:r w:rsidRPr="004D4C51">
        <w:rPr>
          <w:rFonts w:asciiTheme="majorBidi" w:hAnsiTheme="majorBidi" w:cstheme="majorBidi"/>
          <w:sz w:val="24"/>
          <w:szCs w:val="24"/>
          <w:lang w:val="en-US"/>
        </w:rPr>
        <w:t>Figure 1 highlights the high fidelity of the QSAR model, characterized by a minimal standard error (</w:t>
      </w:r>
      <w:r w:rsidRPr="004D4C51">
        <w:rPr>
          <w:rFonts w:asciiTheme="majorBidi" w:hAnsiTheme="majorBidi" w:cstheme="majorBidi"/>
          <w:b/>
          <w:bCs/>
          <w:sz w:val="24"/>
          <w:szCs w:val="24"/>
          <w:lang w:val="en-US"/>
        </w:rPr>
        <w:t>S = 0.0523</w:t>
      </w:r>
      <w:r w:rsidRPr="004D4C51">
        <w:rPr>
          <w:rFonts w:asciiTheme="majorBidi" w:hAnsiTheme="majorBidi" w:cstheme="majorBidi"/>
          <w:sz w:val="24"/>
          <w:szCs w:val="24"/>
          <w:lang w:val="en-US"/>
        </w:rPr>
        <w:t>) and an almost unitary slope, confirming the accuracy of the biological activity estimates. This observation is reinforced by Figure 2, where an almost perfect match between the experimental and predicted curves is observed, reflecting the excellent performance of the model.</w:t>
      </w:r>
    </w:p>
    <w:p w:rsidR="004D4C51" w:rsidRDefault="004D4C51" w:rsidP="004D4C51">
      <w:pPr>
        <w:keepNext/>
        <w:spacing w:after="0" w:line="360" w:lineRule="auto"/>
        <w:jc w:val="both"/>
      </w:pPr>
      <w:r>
        <w:rPr>
          <w:noProof/>
          <w:lang w:eastAsia="fr-FR"/>
        </w:rPr>
        <w:drawing>
          <wp:inline distT="0" distB="0" distL="0" distR="0" wp14:anchorId="7A65D6B5" wp14:editId="2FEAE66D">
            <wp:extent cx="5410200" cy="25812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D4C51" w:rsidRDefault="004D4C51" w:rsidP="004D4C51">
      <w:pPr>
        <w:pStyle w:val="Lgende"/>
        <w:jc w:val="both"/>
        <w:rPr>
          <w:rFonts w:asciiTheme="majorBidi" w:hAnsiTheme="majorBidi" w:cstheme="majorBidi"/>
          <w:i w:val="0"/>
          <w:iCs w:val="0"/>
          <w:sz w:val="24"/>
          <w:szCs w:val="24"/>
          <w:lang w:val="en-US"/>
        </w:rPr>
      </w:pPr>
      <w:r w:rsidRPr="004D4C51">
        <w:rPr>
          <w:rFonts w:asciiTheme="majorBidi" w:hAnsiTheme="majorBidi" w:cstheme="majorBidi"/>
          <w:b/>
          <w:bCs/>
          <w:i w:val="0"/>
          <w:iCs w:val="0"/>
          <w:sz w:val="24"/>
          <w:szCs w:val="24"/>
          <w:lang w:val="en-US"/>
        </w:rPr>
        <w:t xml:space="preserve">Figure </w:t>
      </w:r>
      <w:r w:rsidRPr="004D4C51">
        <w:rPr>
          <w:rFonts w:asciiTheme="majorBidi" w:hAnsiTheme="majorBidi" w:cstheme="majorBidi"/>
          <w:b/>
          <w:bCs/>
          <w:i w:val="0"/>
          <w:iCs w:val="0"/>
          <w:sz w:val="24"/>
          <w:szCs w:val="24"/>
        </w:rPr>
        <w:fldChar w:fldCharType="begin"/>
      </w:r>
      <w:r w:rsidRPr="004D4C51">
        <w:rPr>
          <w:rFonts w:asciiTheme="majorBidi" w:hAnsiTheme="majorBidi" w:cstheme="majorBidi"/>
          <w:b/>
          <w:bCs/>
          <w:i w:val="0"/>
          <w:iCs w:val="0"/>
          <w:sz w:val="24"/>
          <w:szCs w:val="24"/>
          <w:lang w:val="en-US"/>
        </w:rPr>
        <w:instrText xml:space="preserve"> SEQ Figure \* ARABIC </w:instrText>
      </w:r>
      <w:r w:rsidRPr="004D4C51">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2</w:t>
      </w:r>
      <w:r w:rsidRPr="004D4C51">
        <w:rPr>
          <w:rFonts w:asciiTheme="majorBidi" w:hAnsiTheme="majorBidi" w:cstheme="majorBidi"/>
          <w:b/>
          <w:bCs/>
          <w:i w:val="0"/>
          <w:iCs w:val="0"/>
          <w:sz w:val="24"/>
          <w:szCs w:val="24"/>
        </w:rPr>
        <w:fldChar w:fldCharType="end"/>
      </w:r>
      <w:r w:rsidRPr="004D4C51">
        <w:rPr>
          <w:rFonts w:asciiTheme="majorBidi" w:hAnsiTheme="majorBidi" w:cstheme="majorBidi"/>
          <w:b/>
          <w:bCs/>
          <w:i w:val="0"/>
          <w:iCs w:val="0"/>
          <w:sz w:val="24"/>
          <w:szCs w:val="24"/>
          <w:lang w:val="en-US"/>
        </w:rPr>
        <w:t>:</w:t>
      </w:r>
      <w:r w:rsidRPr="004D4C51">
        <w:rPr>
          <w:rFonts w:asciiTheme="majorBidi" w:hAnsiTheme="majorBidi" w:cstheme="majorBidi"/>
          <w:i w:val="0"/>
          <w:iCs w:val="0"/>
          <w:sz w:val="24"/>
          <w:szCs w:val="24"/>
          <w:lang w:val="en-US"/>
        </w:rPr>
        <w:t xml:space="preserve"> Similarity curve of the experimental and predicted values of the RQSA model</w:t>
      </w:r>
    </w:p>
    <w:p w:rsidR="004D4C51" w:rsidRDefault="004D4C51" w:rsidP="005137BF">
      <w:pPr>
        <w:spacing w:after="0" w:line="360" w:lineRule="auto"/>
        <w:jc w:val="both"/>
        <w:rPr>
          <w:rFonts w:asciiTheme="majorBidi" w:hAnsiTheme="majorBidi" w:cstheme="majorBidi"/>
          <w:sz w:val="24"/>
          <w:szCs w:val="24"/>
          <w:lang w:val="en-US"/>
        </w:rPr>
      </w:pPr>
      <w:r w:rsidRPr="004D4C51">
        <w:rPr>
          <w:rFonts w:asciiTheme="majorBidi" w:hAnsiTheme="majorBidi" w:cstheme="majorBidi"/>
          <w:sz w:val="24"/>
          <w:szCs w:val="24"/>
          <w:lang w:val="en-US"/>
        </w:rPr>
        <w:t>The curves reflect the strong correlation between experimental results and the model's predictions regarding the MCF-7 anticancer activity of phthalocyanines. Despite overall high performance, the analysis of individual discrepancies remains essential to adjust the model and enhance the accuracy of its predictions.</w:t>
      </w:r>
    </w:p>
    <w:p w:rsidR="005137BF" w:rsidRDefault="005137BF" w:rsidP="005137BF">
      <w:pPr>
        <w:pStyle w:val="Titre2"/>
        <w:rPr>
          <w:rFonts w:asciiTheme="majorBidi" w:hAnsiTheme="majorBidi"/>
          <w:b/>
          <w:bCs/>
          <w:color w:val="auto"/>
          <w:sz w:val="24"/>
          <w:szCs w:val="24"/>
          <w:lang w:val="en-US"/>
        </w:rPr>
      </w:pPr>
      <w:r w:rsidRPr="005137BF">
        <w:rPr>
          <w:rFonts w:asciiTheme="majorBidi" w:hAnsiTheme="majorBidi"/>
          <w:b/>
          <w:bCs/>
          <w:color w:val="auto"/>
          <w:sz w:val="24"/>
          <w:szCs w:val="24"/>
          <w:lang w:val="en-US"/>
        </w:rPr>
        <w:lastRenderedPageBreak/>
        <w:t>3-2-External evaluation of the model's reliability</w:t>
      </w:r>
    </w:p>
    <w:p w:rsidR="005137BF" w:rsidRDefault="005137BF" w:rsidP="005137BF">
      <w:pPr>
        <w:spacing w:before="240" w:line="360" w:lineRule="auto"/>
        <w:jc w:val="both"/>
        <w:rPr>
          <w:rFonts w:asciiTheme="majorBidi" w:hAnsiTheme="majorBidi" w:cstheme="majorBidi"/>
          <w:sz w:val="24"/>
          <w:szCs w:val="24"/>
          <w:lang w:val="en-US"/>
        </w:rPr>
      </w:pPr>
      <w:r w:rsidRPr="005137BF">
        <w:rPr>
          <w:rFonts w:asciiTheme="majorBidi" w:hAnsiTheme="majorBidi" w:cstheme="majorBidi"/>
          <w:sz w:val="24"/>
          <w:szCs w:val="24"/>
          <w:lang w:val="en-US"/>
        </w:rPr>
        <w:t>In order to strengthen the credibility of the developed QSAR model, external validation was carried out based on the statistical criteria proposed by Tropsha. These parameters provide a quantitative estimate of the robustness and predictive power of the model when applied to an independent data set. The corresponding results are summarized in the table below.</w:t>
      </w:r>
    </w:p>
    <w:p w:rsidR="005137BF" w:rsidRPr="00D66116" w:rsidRDefault="005137BF" w:rsidP="005137BF">
      <w:pPr>
        <w:pStyle w:val="Lgende"/>
        <w:keepNext/>
        <w:rPr>
          <w:rFonts w:asciiTheme="majorBidi" w:hAnsiTheme="majorBidi" w:cstheme="majorBidi"/>
          <w:i w:val="0"/>
          <w:iCs w:val="0"/>
          <w:sz w:val="24"/>
          <w:szCs w:val="24"/>
          <w:lang w:val="en-US"/>
        </w:rPr>
      </w:pPr>
      <w:r w:rsidRPr="00D66116">
        <w:rPr>
          <w:rFonts w:asciiTheme="majorBidi" w:hAnsiTheme="majorBidi" w:cstheme="majorBidi"/>
          <w:b/>
          <w:bCs/>
          <w:i w:val="0"/>
          <w:iCs w:val="0"/>
          <w:sz w:val="24"/>
          <w:szCs w:val="24"/>
          <w:lang w:val="en-US"/>
        </w:rPr>
        <w:t xml:space="preserve">Table </w:t>
      </w:r>
      <w:r w:rsidRPr="005137BF">
        <w:rPr>
          <w:rFonts w:asciiTheme="majorBidi" w:hAnsiTheme="majorBidi" w:cstheme="majorBidi"/>
          <w:b/>
          <w:bCs/>
          <w:i w:val="0"/>
          <w:iCs w:val="0"/>
          <w:sz w:val="24"/>
          <w:szCs w:val="24"/>
        </w:rPr>
        <w:fldChar w:fldCharType="begin"/>
      </w:r>
      <w:r w:rsidRPr="00D66116">
        <w:rPr>
          <w:rFonts w:asciiTheme="majorBidi" w:hAnsiTheme="majorBidi" w:cstheme="majorBidi"/>
          <w:b/>
          <w:bCs/>
          <w:i w:val="0"/>
          <w:iCs w:val="0"/>
          <w:sz w:val="24"/>
          <w:szCs w:val="24"/>
          <w:lang w:val="en-US"/>
        </w:rPr>
        <w:instrText xml:space="preserve"> SEQ Table \* ARABIC </w:instrText>
      </w:r>
      <w:r w:rsidRPr="005137BF">
        <w:rPr>
          <w:rFonts w:asciiTheme="majorBidi" w:hAnsiTheme="majorBidi" w:cstheme="majorBidi"/>
          <w:b/>
          <w:bCs/>
          <w:i w:val="0"/>
          <w:iCs w:val="0"/>
          <w:sz w:val="24"/>
          <w:szCs w:val="24"/>
        </w:rPr>
        <w:fldChar w:fldCharType="separate"/>
      </w:r>
      <w:r w:rsidRPr="00D66116">
        <w:rPr>
          <w:rFonts w:asciiTheme="majorBidi" w:hAnsiTheme="majorBidi" w:cstheme="majorBidi"/>
          <w:b/>
          <w:bCs/>
          <w:i w:val="0"/>
          <w:iCs w:val="0"/>
          <w:noProof/>
          <w:sz w:val="24"/>
          <w:szCs w:val="24"/>
          <w:lang w:val="en-US"/>
        </w:rPr>
        <w:t>5</w:t>
      </w:r>
      <w:r w:rsidRPr="005137BF">
        <w:rPr>
          <w:rFonts w:asciiTheme="majorBidi" w:hAnsiTheme="majorBidi" w:cstheme="majorBidi"/>
          <w:b/>
          <w:bCs/>
          <w:i w:val="0"/>
          <w:iCs w:val="0"/>
          <w:sz w:val="24"/>
          <w:szCs w:val="24"/>
        </w:rPr>
        <w:fldChar w:fldCharType="end"/>
      </w:r>
      <w:r w:rsidRPr="00D66116">
        <w:rPr>
          <w:rFonts w:asciiTheme="majorBidi" w:hAnsiTheme="majorBidi" w:cstheme="majorBidi"/>
          <w:b/>
          <w:bCs/>
          <w:i w:val="0"/>
          <w:iCs w:val="0"/>
          <w:sz w:val="24"/>
          <w:szCs w:val="24"/>
          <w:lang w:val="en-US"/>
        </w:rPr>
        <w:t>:</w:t>
      </w:r>
      <w:r w:rsidRPr="00D66116">
        <w:rPr>
          <w:rFonts w:asciiTheme="majorBidi" w:hAnsiTheme="majorBidi" w:cstheme="majorBidi"/>
          <w:i w:val="0"/>
          <w:iCs w:val="0"/>
          <w:sz w:val="24"/>
          <w:szCs w:val="24"/>
          <w:lang w:val="en-US"/>
        </w:rPr>
        <w:t xml:space="preserve"> </w:t>
      </w:r>
      <w:r w:rsidRPr="005137BF">
        <w:rPr>
          <w:rFonts w:asciiTheme="majorBidi" w:hAnsiTheme="majorBidi" w:cstheme="majorBidi"/>
          <w:i w:val="0"/>
          <w:iCs w:val="0"/>
          <w:sz w:val="24"/>
          <w:szCs w:val="24"/>
          <w:lang w:val="en-US"/>
        </w:rPr>
        <w:t>Tropsha's Criteria</w:t>
      </w:r>
    </w:p>
    <w:tbl>
      <w:tblPr>
        <w:tblStyle w:val="Grilledutableau"/>
        <w:tblW w:w="10629" w:type="dxa"/>
        <w:jc w:val="center"/>
        <w:tblLayout w:type="fixed"/>
        <w:tblLook w:val="04A0" w:firstRow="1" w:lastRow="0" w:firstColumn="1" w:lastColumn="0" w:noHBand="0" w:noVBand="1"/>
      </w:tblPr>
      <w:tblGrid>
        <w:gridCol w:w="1134"/>
        <w:gridCol w:w="992"/>
        <w:gridCol w:w="992"/>
        <w:gridCol w:w="851"/>
        <w:gridCol w:w="1701"/>
        <w:gridCol w:w="850"/>
        <w:gridCol w:w="1701"/>
        <w:gridCol w:w="709"/>
        <w:gridCol w:w="1699"/>
      </w:tblGrid>
      <w:tr w:rsidR="005137BF" w:rsidRPr="0035767E" w:rsidTr="005137BF">
        <w:trPr>
          <w:trHeight w:val="680"/>
          <w:jc w:val="center"/>
        </w:trPr>
        <w:tc>
          <w:tcPr>
            <w:tcW w:w="1134" w:type="dxa"/>
            <w:vAlign w:val="center"/>
          </w:tcPr>
          <w:p w:rsidR="005137BF" w:rsidRPr="00AF76F3" w:rsidRDefault="006071DA" w:rsidP="005137BF">
            <w:pPr>
              <w:jc w:val="center"/>
              <w:rPr>
                <w:rFonts w:ascii="Times New Roman" w:eastAsia="Calibri"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 ext</m:t>
                    </m:r>
                  </m:sub>
                  <m:sup>
                    <m:r>
                      <m:rPr>
                        <m:sty m:val="bi"/>
                      </m:rPr>
                      <w:rPr>
                        <w:rFonts w:ascii="Cambria Math" w:hAnsi="Cambria Math" w:cs="Times New Roman"/>
                      </w:rPr>
                      <m:t>2</m:t>
                    </m:r>
                  </m:sup>
                </m:sSubSup>
                <m:r>
                  <m:rPr>
                    <m:sty m:val="bi"/>
                  </m:rPr>
                  <w:rPr>
                    <w:rFonts w:ascii="Cambria Math" w:hAnsi="Cambria Math" w:cs="Times New Roman"/>
                  </w:rPr>
                  <m:t>&gt;0.5</m:t>
                </m:r>
              </m:oMath>
            </m:oMathPara>
          </w:p>
        </w:tc>
        <w:tc>
          <w:tcPr>
            <w:tcW w:w="992" w:type="dxa"/>
            <w:vAlign w:val="center"/>
          </w:tcPr>
          <w:p w:rsidR="005137BF" w:rsidRPr="00AF76F3" w:rsidRDefault="006071DA" w:rsidP="005137BF">
            <w:pPr>
              <w:jc w:val="center"/>
              <w:rPr>
                <w:rFonts w:ascii="Times New Roman" w:eastAsia="Calibri"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&gt;0.6</m:t>
                </m:r>
              </m:oMath>
            </m:oMathPara>
          </w:p>
        </w:tc>
        <w:tc>
          <w:tcPr>
            <w:tcW w:w="992" w:type="dxa"/>
            <w:vAlign w:val="center"/>
          </w:tcPr>
          <w:p w:rsidR="005137BF" w:rsidRPr="00AF76F3" w:rsidRDefault="005137BF" w:rsidP="005137BF">
            <w:pPr>
              <w:jc w:val="center"/>
              <w:rPr>
                <w:rFonts w:ascii="Times New Roman" w:eastAsia="Calibri" w:hAnsi="Times New Roman" w:cs="Times New Roman"/>
                <w:b/>
              </w:rPr>
            </w:pPr>
          </w:p>
        </w:tc>
        <w:tc>
          <w:tcPr>
            <w:tcW w:w="851" w:type="dxa"/>
            <w:vAlign w:val="center"/>
          </w:tcPr>
          <w:p w:rsidR="005137BF" w:rsidRPr="00AF76F3" w:rsidRDefault="005137BF" w:rsidP="005137BF">
            <w:pPr>
              <w:jc w:val="center"/>
              <w:rPr>
                <w:rFonts w:ascii="Times New Roman" w:eastAsia="Calibri" w:hAnsi="Times New Roman" w:cs="Times New Roman"/>
                <w:b/>
              </w:rPr>
            </w:pPr>
          </w:p>
        </w:tc>
        <w:tc>
          <w:tcPr>
            <w:tcW w:w="2551" w:type="dxa"/>
            <w:gridSpan w:val="2"/>
            <w:vAlign w:val="center"/>
          </w:tcPr>
          <w:p w:rsidR="005137BF" w:rsidRPr="00AF76F3" w:rsidRDefault="006071DA" w:rsidP="005137BF">
            <w:pPr>
              <w:jc w:val="center"/>
              <w:rPr>
                <w:rFonts w:ascii="Times New Roman" w:eastAsia="Calibri"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r>
                  <m:rPr>
                    <m:sty m:val="bi"/>
                  </m:rPr>
                  <w:rPr>
                    <w:rFonts w:ascii="Cambria Math" w:hAnsi="Cambria Math" w:cs="Times New Roman"/>
                  </w:rPr>
                  <m:t>&lt;0.1 et</m:t>
                </m:r>
              </m:oMath>
            </m:oMathPara>
          </w:p>
          <w:p w:rsidR="005137BF" w:rsidRPr="00AF76F3" w:rsidRDefault="005137BF" w:rsidP="005137BF">
            <w:pPr>
              <w:jc w:val="center"/>
              <w:rPr>
                <w:rFonts w:ascii="Times New Roman" w:hAnsi="Times New Roman" w:cs="Times New Roman"/>
                <w:b/>
              </w:rPr>
            </w:pPr>
            <m:oMathPara>
              <m:oMath>
                <m:r>
                  <m:rPr>
                    <m:sty m:val="bi"/>
                  </m:rPr>
                  <w:rPr>
                    <w:rFonts w:ascii="Cambria Math" w:hAnsi="Cambria Math" w:cs="Times New Roman"/>
                  </w:rPr>
                  <m:t xml:space="preserve"> 0.85≤k≤1.15</m:t>
                </m:r>
              </m:oMath>
            </m:oMathPara>
          </w:p>
        </w:tc>
        <w:tc>
          <w:tcPr>
            <w:tcW w:w="2410" w:type="dxa"/>
            <w:gridSpan w:val="2"/>
            <w:vAlign w:val="center"/>
          </w:tcPr>
          <w:p w:rsidR="005137BF" w:rsidRPr="00AF76F3" w:rsidRDefault="006071DA" w:rsidP="005137BF">
            <w:pPr>
              <w:jc w:val="center"/>
              <w:rPr>
                <w:rFonts w:ascii="Times New Roman" w:eastAsiaTheme="minorEastAsia"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sSup>
                              <m:sSupPr>
                                <m:ctrlPr>
                                  <w:rPr>
                                    <w:rFonts w:ascii="Cambria Math" w:hAnsi="Cambria Math" w:cs="Times New Roman"/>
                                    <w:b/>
                                    <w:i/>
                                  </w:rPr>
                                </m:ctrlPr>
                              </m:sSupPr>
                              <m:e>
                                <m:r>
                                  <m:rPr>
                                    <m:sty m:val="bi"/>
                                  </m:rPr>
                                  <w:rPr>
                                    <w:rFonts w:ascii="Cambria Math" w:hAnsi="Cambria Math" w:cs="Times New Roman"/>
                                  </w:rPr>
                                  <m:t>2</m:t>
                                </m:r>
                              </m:e>
                              <m:sup>
                                <m:r>
                                  <m:rPr>
                                    <m:sty m:val="bi"/>
                                  </m:rPr>
                                  <w:rPr>
                                    <w:rFonts w:ascii="Cambria Math" w:hAnsi="Cambria Math" w:cs="Times New Roman"/>
                                  </w:rPr>
                                  <m:t>'</m:t>
                                </m:r>
                              </m:sup>
                            </m:sSup>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r>
                  <m:rPr>
                    <m:sty m:val="bi"/>
                  </m:rPr>
                  <w:rPr>
                    <w:rFonts w:ascii="Cambria Math" w:hAnsi="Cambria Math" w:cs="Times New Roman"/>
                  </w:rPr>
                  <m:t xml:space="preserve">&lt;0.1 et </m:t>
                </m:r>
              </m:oMath>
            </m:oMathPara>
          </w:p>
          <w:p w:rsidR="005137BF" w:rsidRPr="00AF76F3" w:rsidRDefault="005137BF" w:rsidP="005137BF">
            <w:pPr>
              <w:jc w:val="center"/>
              <w:rPr>
                <w:rFonts w:ascii="Times New Roman" w:hAnsi="Times New Roman" w:cs="Times New Roman"/>
                <w:b/>
              </w:rPr>
            </w:pPr>
            <m:oMathPara>
              <m:oMath>
                <m:r>
                  <m:rPr>
                    <m:sty m:val="bi"/>
                  </m:rPr>
                  <w:rPr>
                    <w:rFonts w:ascii="Cambria Math" w:hAnsi="Cambria Math" w:cs="Times New Roman"/>
                  </w:rPr>
                  <m:t>0.85≤k'≤1.15</m:t>
                </m:r>
              </m:oMath>
            </m:oMathPara>
          </w:p>
        </w:tc>
        <w:tc>
          <w:tcPr>
            <w:tcW w:w="1699" w:type="dxa"/>
            <w:vAlign w:val="center"/>
          </w:tcPr>
          <w:p w:rsidR="005137BF" w:rsidRPr="00AF76F3" w:rsidRDefault="006071DA" w:rsidP="005137BF">
            <w:pPr>
              <w:jc w:val="center"/>
              <w:rPr>
                <w:rFonts w:ascii="Times New Roman" w:eastAsia="Calibri" w:hAnsi="Times New Roman" w:cs="Times New Roman"/>
                <w:b/>
              </w:rPr>
            </w:pPr>
            <m:oMathPara>
              <m:oMath>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r>
                  <m:rPr>
                    <m:sty m:val="bi"/>
                  </m:rPr>
                  <w:rPr>
                    <w:rFonts w:ascii="Cambria Math" w:hAnsi="Cambria Math" w:cs="Times New Roman"/>
                  </w:rPr>
                  <m:t>&lt;0.3</m:t>
                </m:r>
              </m:oMath>
            </m:oMathPara>
          </w:p>
        </w:tc>
      </w:tr>
      <w:tr w:rsidR="005137BF" w:rsidRPr="0035767E" w:rsidTr="005137BF">
        <w:trPr>
          <w:trHeight w:val="680"/>
          <w:jc w:val="center"/>
        </w:trPr>
        <w:tc>
          <w:tcPr>
            <w:tcW w:w="1134" w:type="dxa"/>
            <w:vAlign w:val="center"/>
          </w:tcPr>
          <w:p w:rsidR="005137BF" w:rsidRPr="0035767E" w:rsidRDefault="006071DA"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 ext</m:t>
                    </m:r>
                  </m:sub>
                  <m:sup>
                    <m:r>
                      <m:rPr>
                        <m:sty m:val="bi"/>
                      </m:rPr>
                      <w:rPr>
                        <w:rFonts w:ascii="Cambria Math" w:hAnsi="Cambria Math" w:cs="Times New Roman"/>
                      </w:rPr>
                      <m:t>2</m:t>
                    </m:r>
                  </m:sup>
                </m:sSubSup>
              </m:oMath>
            </m:oMathPara>
          </w:p>
        </w:tc>
        <w:tc>
          <w:tcPr>
            <w:tcW w:w="992" w:type="dxa"/>
            <w:vAlign w:val="center"/>
          </w:tcPr>
          <w:p w:rsidR="005137BF" w:rsidRPr="0035767E" w:rsidRDefault="006071DA"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oMath>
            </m:oMathPara>
          </w:p>
        </w:tc>
        <w:tc>
          <w:tcPr>
            <w:tcW w:w="992" w:type="dxa"/>
            <w:vAlign w:val="center"/>
          </w:tcPr>
          <w:p w:rsidR="005137BF" w:rsidRPr="0035767E" w:rsidRDefault="006071DA"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oMath>
            </m:oMathPara>
          </w:p>
        </w:tc>
        <w:tc>
          <w:tcPr>
            <w:tcW w:w="851" w:type="dxa"/>
            <w:vAlign w:val="center"/>
          </w:tcPr>
          <w:p w:rsidR="005137BF" w:rsidRPr="0035767E" w:rsidRDefault="006071DA" w:rsidP="005137BF">
            <w:pPr>
              <w:jc w:val="center"/>
              <w:rPr>
                <w:rFonts w:ascii="Times New Roman" w:eastAsia="Calibri" w:hAnsi="Times New Roman" w:cs="Times New Roman"/>
                <w:b/>
              </w:rPr>
            </w:pPr>
            <m:oMathPara>
              <m:oMath>
                <m:sSubSup>
                  <m:sSubSupPr>
                    <m:ctrlPr>
                      <w:rPr>
                        <w:rFonts w:ascii="Cambria Math" w:eastAsia="Calibri" w:hAnsi="Cambria Math" w:cs="Times New Roman"/>
                        <w:b/>
                        <w:i/>
                      </w:rPr>
                    </m:ctrlPr>
                  </m:sSubSupPr>
                  <m:e>
                    <m:r>
                      <m:rPr>
                        <m:sty m:val="bi"/>
                      </m:rPr>
                      <w:rPr>
                        <w:rFonts w:ascii="Cambria Math" w:eastAsia="Calibri" w:hAnsi="Cambria Math" w:cs="Times New Roman"/>
                      </w:rPr>
                      <m:t>R</m:t>
                    </m:r>
                  </m:e>
                  <m:sub>
                    <m:r>
                      <m:rPr>
                        <m:sty m:val="bi"/>
                      </m:rPr>
                      <w:rPr>
                        <w:rFonts w:ascii="Cambria Math" w:eastAsia="Calibri" w:hAnsi="Cambria Math" w:cs="Times New Roman"/>
                      </w:rPr>
                      <m:t>0</m:t>
                    </m:r>
                  </m:sub>
                  <m:sup>
                    <m:r>
                      <m:rPr>
                        <m:sty m:val="bi"/>
                      </m:rPr>
                      <w:rPr>
                        <w:rFonts w:ascii="Cambria Math" w:eastAsia="Calibri" w:hAnsi="Cambria Math" w:cs="Times New Roman"/>
                      </w:rPr>
                      <m:t>2'</m:t>
                    </m:r>
                  </m:sup>
                </m:sSubSup>
              </m:oMath>
            </m:oMathPara>
          </w:p>
        </w:tc>
        <w:tc>
          <w:tcPr>
            <w:tcW w:w="1701" w:type="dxa"/>
            <w:vAlign w:val="center"/>
          </w:tcPr>
          <w:p w:rsidR="005137BF" w:rsidRPr="0035767E" w:rsidRDefault="006071DA" w:rsidP="005137BF">
            <w:pPr>
              <w:jc w:val="center"/>
              <w:rPr>
                <w:rFonts w:ascii="Times New Roman"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oMath>
            </m:oMathPara>
          </w:p>
        </w:tc>
        <w:tc>
          <w:tcPr>
            <w:tcW w:w="850" w:type="dxa"/>
            <w:vAlign w:val="center"/>
          </w:tcPr>
          <w:p w:rsidR="005137BF" w:rsidRPr="0035767E" w:rsidRDefault="005137BF" w:rsidP="005137BF">
            <w:pPr>
              <w:jc w:val="center"/>
              <w:rPr>
                <w:rFonts w:ascii="Times New Roman" w:hAnsi="Times New Roman" w:cs="Times New Roman"/>
                <w:b/>
              </w:rPr>
            </w:pPr>
            <w:r w:rsidRPr="0035767E">
              <w:rPr>
                <w:rFonts w:ascii="Times New Roman" w:hAnsi="Times New Roman" w:cs="Times New Roman"/>
                <w:b/>
              </w:rPr>
              <w:t>k</w:t>
            </w:r>
          </w:p>
        </w:tc>
        <w:tc>
          <w:tcPr>
            <w:tcW w:w="1701" w:type="dxa"/>
            <w:vAlign w:val="center"/>
          </w:tcPr>
          <w:p w:rsidR="005137BF" w:rsidRPr="0035767E" w:rsidRDefault="006071DA" w:rsidP="005137BF">
            <w:pPr>
              <w:jc w:val="center"/>
              <w:rPr>
                <w:rFonts w:ascii="Times New Roman"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oMath>
            </m:oMathPara>
          </w:p>
        </w:tc>
        <w:tc>
          <w:tcPr>
            <w:tcW w:w="709" w:type="dxa"/>
            <w:vAlign w:val="center"/>
          </w:tcPr>
          <w:p w:rsidR="005137BF" w:rsidRPr="0035767E" w:rsidRDefault="005137BF" w:rsidP="005137BF">
            <w:pPr>
              <w:jc w:val="center"/>
              <w:rPr>
                <w:rFonts w:ascii="Times New Roman" w:hAnsi="Times New Roman" w:cs="Times New Roman"/>
                <w:b/>
              </w:rPr>
            </w:pPr>
            <w:r w:rsidRPr="0035767E">
              <w:rPr>
                <w:rFonts w:ascii="Times New Roman" w:hAnsi="Times New Roman" w:cs="Times New Roman"/>
                <w:b/>
              </w:rPr>
              <w:t>k’</w:t>
            </w:r>
          </w:p>
        </w:tc>
        <w:tc>
          <w:tcPr>
            <w:tcW w:w="1699" w:type="dxa"/>
            <w:vAlign w:val="center"/>
          </w:tcPr>
          <w:p w:rsidR="005137BF" w:rsidRPr="0035767E" w:rsidRDefault="006071DA" w:rsidP="005137BF">
            <w:pPr>
              <w:jc w:val="center"/>
              <w:rPr>
                <w:rFonts w:ascii="Times New Roman" w:hAnsi="Times New Roman" w:cs="Times New Roman"/>
                <w:b/>
              </w:rPr>
            </w:pPr>
            <m:oMathPara>
              <m:oMath>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oMath>
            </m:oMathPara>
          </w:p>
        </w:tc>
      </w:tr>
      <w:tr w:rsidR="005137BF" w:rsidRPr="0035767E" w:rsidTr="005137BF">
        <w:trPr>
          <w:trHeight w:val="288"/>
          <w:jc w:val="center"/>
        </w:trPr>
        <w:tc>
          <w:tcPr>
            <w:tcW w:w="1134"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947</w:t>
            </w:r>
          </w:p>
        </w:tc>
        <w:tc>
          <w:tcPr>
            <w:tcW w:w="992"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9663</w:t>
            </w:r>
          </w:p>
        </w:tc>
        <w:tc>
          <w:tcPr>
            <w:tcW w:w="992"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9653</w:t>
            </w:r>
          </w:p>
        </w:tc>
        <w:tc>
          <w:tcPr>
            <w:tcW w:w="851" w:type="dxa"/>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9617</w:t>
            </w:r>
          </w:p>
        </w:tc>
        <w:tc>
          <w:tcPr>
            <w:tcW w:w="1701"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001</w:t>
            </w:r>
          </w:p>
        </w:tc>
        <w:tc>
          <w:tcPr>
            <w:tcW w:w="850"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9906</w:t>
            </w:r>
          </w:p>
        </w:tc>
        <w:tc>
          <w:tcPr>
            <w:tcW w:w="1701"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005</w:t>
            </w:r>
          </w:p>
        </w:tc>
        <w:tc>
          <w:tcPr>
            <w:tcW w:w="709"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1</w:t>
            </w:r>
            <w:r w:rsidR="00771614">
              <w:rPr>
                <w:rFonts w:ascii="Times New Roman" w:hAnsi="Times New Roman" w:cs="Times New Roman"/>
                <w:b/>
              </w:rPr>
              <w:t>.</w:t>
            </w:r>
            <w:r>
              <w:rPr>
                <w:rFonts w:ascii="Times New Roman" w:hAnsi="Times New Roman" w:cs="Times New Roman"/>
                <w:b/>
              </w:rPr>
              <w:t>01</w:t>
            </w:r>
          </w:p>
        </w:tc>
        <w:tc>
          <w:tcPr>
            <w:tcW w:w="1699" w:type="dxa"/>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001</w:t>
            </w:r>
          </w:p>
        </w:tc>
      </w:tr>
    </w:tbl>
    <w:p w:rsidR="005137BF" w:rsidRDefault="005137BF" w:rsidP="005137BF">
      <w:pPr>
        <w:spacing w:before="240" w:line="360" w:lineRule="auto"/>
        <w:jc w:val="both"/>
        <w:rPr>
          <w:rFonts w:asciiTheme="majorBidi" w:hAnsiTheme="majorBidi" w:cstheme="majorBidi"/>
          <w:sz w:val="24"/>
          <w:szCs w:val="24"/>
          <w:lang w:val="en-US"/>
        </w:rPr>
      </w:pPr>
      <w:r w:rsidRPr="005137BF">
        <w:rPr>
          <w:rFonts w:asciiTheme="majorBidi" w:hAnsiTheme="majorBidi" w:cstheme="majorBidi"/>
          <w:sz w:val="24"/>
          <w:szCs w:val="24"/>
          <w:lang w:val="en-US"/>
        </w:rPr>
        <w:t>All the calculated parameters meet the validation criteria proposed by Tropsha, confirming the validity of the model for predicting the anticancer activity of MCF-7 phthalocyanine derivatives.</w:t>
      </w:r>
    </w:p>
    <w:p w:rsidR="005137BF" w:rsidRDefault="005137BF" w:rsidP="005137BF">
      <w:pPr>
        <w:pStyle w:val="Titre2"/>
        <w:rPr>
          <w:rFonts w:asciiTheme="majorBidi" w:hAnsiTheme="majorBidi"/>
          <w:b/>
          <w:bCs/>
          <w:color w:val="auto"/>
          <w:sz w:val="24"/>
          <w:szCs w:val="24"/>
          <w:lang w:val="en-US"/>
        </w:rPr>
      </w:pPr>
      <w:r w:rsidRPr="00B91EA4">
        <w:rPr>
          <w:rFonts w:asciiTheme="majorBidi" w:hAnsiTheme="majorBidi"/>
          <w:b/>
          <w:bCs/>
          <w:color w:val="auto"/>
          <w:sz w:val="24"/>
          <w:szCs w:val="24"/>
          <w:lang w:val="en-US"/>
        </w:rPr>
        <w:t>3-3-Evaluation of the contribution of descriptors</w:t>
      </w:r>
    </w:p>
    <w:p w:rsidR="003A40CC" w:rsidRDefault="005137BF" w:rsidP="003A40CC">
      <w:pPr>
        <w:keepNext/>
        <w:spacing w:before="240" w:line="360" w:lineRule="auto"/>
        <w:jc w:val="both"/>
      </w:pPr>
      <w:r>
        <w:rPr>
          <w:noProof/>
          <w:lang w:eastAsia="fr-FR"/>
        </w:rPr>
        <w:drawing>
          <wp:inline distT="0" distB="0" distL="0" distR="0" wp14:anchorId="0269492D" wp14:editId="1C2900B7">
            <wp:extent cx="5225819" cy="2525260"/>
            <wp:effectExtent l="0" t="0" r="13335" b="889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137BF" w:rsidRDefault="003A40CC" w:rsidP="003A40CC">
      <w:pPr>
        <w:pStyle w:val="Lgende"/>
        <w:jc w:val="both"/>
        <w:rPr>
          <w:rFonts w:asciiTheme="majorBidi" w:hAnsiTheme="majorBidi" w:cstheme="majorBidi"/>
          <w:i w:val="0"/>
          <w:iCs w:val="0"/>
          <w:sz w:val="24"/>
          <w:szCs w:val="24"/>
          <w:lang w:val="en-US"/>
        </w:rPr>
      </w:pPr>
      <w:r w:rsidRPr="003A40CC">
        <w:rPr>
          <w:rFonts w:asciiTheme="majorBidi" w:hAnsiTheme="majorBidi" w:cstheme="majorBidi"/>
          <w:b/>
          <w:bCs/>
          <w:i w:val="0"/>
          <w:iCs w:val="0"/>
          <w:sz w:val="24"/>
          <w:szCs w:val="24"/>
          <w:lang w:val="en-US"/>
        </w:rPr>
        <w:t xml:space="preserve">Figure </w:t>
      </w:r>
      <w:r w:rsidRPr="003A40CC">
        <w:rPr>
          <w:rFonts w:asciiTheme="majorBidi" w:hAnsiTheme="majorBidi" w:cstheme="majorBidi"/>
          <w:b/>
          <w:bCs/>
          <w:i w:val="0"/>
          <w:iCs w:val="0"/>
          <w:sz w:val="24"/>
          <w:szCs w:val="24"/>
        </w:rPr>
        <w:fldChar w:fldCharType="begin"/>
      </w:r>
      <w:r w:rsidRPr="003A40CC">
        <w:rPr>
          <w:rFonts w:asciiTheme="majorBidi" w:hAnsiTheme="majorBidi" w:cstheme="majorBidi"/>
          <w:b/>
          <w:bCs/>
          <w:i w:val="0"/>
          <w:iCs w:val="0"/>
          <w:sz w:val="24"/>
          <w:szCs w:val="24"/>
          <w:lang w:val="en-US"/>
        </w:rPr>
        <w:instrText xml:space="preserve"> SEQ Figure \* ARABIC </w:instrText>
      </w:r>
      <w:r w:rsidRPr="003A40CC">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3</w:t>
      </w:r>
      <w:r w:rsidRPr="003A40CC">
        <w:rPr>
          <w:rFonts w:asciiTheme="majorBidi" w:hAnsiTheme="majorBidi" w:cstheme="majorBidi"/>
          <w:b/>
          <w:bCs/>
          <w:i w:val="0"/>
          <w:iCs w:val="0"/>
          <w:sz w:val="24"/>
          <w:szCs w:val="24"/>
        </w:rPr>
        <w:fldChar w:fldCharType="end"/>
      </w:r>
      <w:r w:rsidRPr="003A40CC">
        <w:rPr>
          <w:rFonts w:asciiTheme="majorBidi" w:hAnsiTheme="majorBidi" w:cstheme="majorBidi"/>
          <w:b/>
          <w:bCs/>
          <w:i w:val="0"/>
          <w:iCs w:val="0"/>
          <w:sz w:val="24"/>
          <w:szCs w:val="24"/>
          <w:lang w:val="en-US"/>
        </w:rPr>
        <w:t>:</w:t>
      </w:r>
      <w:r w:rsidRPr="003A40CC">
        <w:rPr>
          <w:rFonts w:asciiTheme="majorBidi" w:hAnsiTheme="majorBidi" w:cstheme="majorBidi"/>
          <w:i w:val="0"/>
          <w:iCs w:val="0"/>
          <w:sz w:val="24"/>
          <w:szCs w:val="24"/>
          <w:lang w:val="en-US"/>
        </w:rPr>
        <w:t xml:space="preserve"> Contribution of descriptors in the RQSA model (MCF-7)</w:t>
      </w:r>
    </w:p>
    <w:p w:rsidR="003A40CC" w:rsidRDefault="003A40CC" w:rsidP="003A40CC">
      <w:pPr>
        <w:spacing w:line="360" w:lineRule="auto"/>
        <w:jc w:val="both"/>
        <w:rPr>
          <w:rFonts w:asciiTheme="majorBidi" w:hAnsiTheme="majorBidi" w:cstheme="majorBidi"/>
          <w:sz w:val="24"/>
          <w:szCs w:val="24"/>
          <w:lang w:val="en-US"/>
        </w:rPr>
      </w:pPr>
      <w:r w:rsidRPr="003A40CC">
        <w:rPr>
          <w:rFonts w:asciiTheme="majorBidi" w:hAnsiTheme="majorBidi" w:cstheme="majorBidi"/>
          <w:sz w:val="24"/>
          <w:szCs w:val="24"/>
          <w:lang w:val="en-US"/>
        </w:rPr>
        <w:t xml:space="preserve">As shown in Figure 3, polarizability (α) is the predominant descriptor in the QSAR model for MCF-7, suggesting that the electronic deformability of molecules plays a key role in their anticancer activity. The electron-accepting power (ω⁺) also contributes to the prediction, but to a lesser extent, indicating a complementary effect to that of polarizability. Finally, the low </w:t>
      </w:r>
      <w:r w:rsidRPr="003A40CC">
        <w:rPr>
          <w:rFonts w:asciiTheme="majorBidi" w:hAnsiTheme="majorBidi" w:cstheme="majorBidi"/>
          <w:sz w:val="24"/>
          <w:szCs w:val="24"/>
          <w:lang w:val="en-US"/>
        </w:rPr>
        <w:lastRenderedPageBreak/>
        <w:t>contribution of molar refractivity (MR) highlights that parameters related to optical properties are less relevant for explaining the anticancer activity of the phthalocyanine derivatives studied. These observations guide the rational design of new anticancer compounds towards enhancing molecular polarizability, without neglecting the significant role of electron-accepting power.</w:t>
      </w:r>
    </w:p>
    <w:p w:rsidR="003A40CC" w:rsidRDefault="003A40CC" w:rsidP="00DB3DBD">
      <w:pPr>
        <w:pStyle w:val="Titre2"/>
        <w:rPr>
          <w:rFonts w:asciiTheme="majorBidi" w:hAnsiTheme="majorBidi"/>
          <w:b/>
          <w:bCs/>
          <w:color w:val="auto"/>
          <w:sz w:val="24"/>
          <w:szCs w:val="24"/>
          <w:lang w:val="en-US"/>
        </w:rPr>
      </w:pPr>
      <w:r w:rsidRPr="00DB3DBD">
        <w:rPr>
          <w:rFonts w:asciiTheme="majorBidi" w:hAnsiTheme="majorBidi"/>
          <w:b/>
          <w:bCs/>
          <w:color w:val="auto"/>
          <w:sz w:val="24"/>
          <w:szCs w:val="24"/>
          <w:lang w:val="en-US"/>
        </w:rPr>
        <w:t>3</w:t>
      </w:r>
      <w:r w:rsidR="00DB3DBD" w:rsidRPr="00DB3DBD">
        <w:rPr>
          <w:rFonts w:asciiTheme="majorBidi" w:hAnsiTheme="majorBidi"/>
          <w:b/>
          <w:bCs/>
          <w:color w:val="auto"/>
          <w:sz w:val="24"/>
          <w:szCs w:val="24"/>
          <w:lang w:val="en-US"/>
        </w:rPr>
        <w:t>-4-</w:t>
      </w:r>
      <w:r w:rsidRPr="00DB3DBD">
        <w:rPr>
          <w:rFonts w:asciiTheme="majorBidi" w:hAnsiTheme="majorBidi"/>
          <w:b/>
          <w:bCs/>
          <w:color w:val="auto"/>
          <w:sz w:val="24"/>
          <w:szCs w:val="24"/>
          <w:lang w:val="en-US"/>
        </w:rPr>
        <w:t>Scope of application of the MCF-7 model</w:t>
      </w:r>
    </w:p>
    <w:p w:rsidR="00DB3DBD" w:rsidRDefault="00DB3DBD" w:rsidP="00DB3DBD">
      <w:pPr>
        <w:spacing w:before="240" w:line="360" w:lineRule="auto"/>
        <w:jc w:val="both"/>
        <w:rPr>
          <w:rFonts w:asciiTheme="majorBidi" w:hAnsiTheme="majorBidi" w:cstheme="majorBidi"/>
          <w:sz w:val="24"/>
          <w:szCs w:val="24"/>
          <w:lang w:val="en-US"/>
        </w:rPr>
      </w:pPr>
      <w:r w:rsidRPr="00DB3DBD">
        <w:rPr>
          <w:rFonts w:asciiTheme="majorBidi" w:hAnsiTheme="majorBidi" w:cstheme="majorBidi"/>
          <w:sz w:val="24"/>
          <w:szCs w:val="24"/>
          <w:lang w:val="en-US"/>
        </w:rPr>
        <w:t>The applicability domain of the model was evaluated using the leverage method, and the results obtained are illustrated in the figure below.</w:t>
      </w:r>
    </w:p>
    <w:p w:rsidR="00AC7FF6" w:rsidRDefault="00832035" w:rsidP="00832035">
      <w:pPr>
        <w:keepNext/>
        <w:spacing w:before="240" w:line="360" w:lineRule="auto"/>
        <w:jc w:val="center"/>
      </w:pPr>
      <w:r>
        <w:rPr>
          <w:noProof/>
          <w:lang w:eastAsia="fr-FR"/>
        </w:rPr>
        <w:drawing>
          <wp:inline distT="0" distB="0" distL="0" distR="0">
            <wp:extent cx="3676650" cy="186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76650" cy="1866900"/>
                    </a:xfrm>
                    <a:prstGeom prst="rect">
                      <a:avLst/>
                    </a:prstGeom>
                    <a:noFill/>
                    <a:ln>
                      <a:noFill/>
                    </a:ln>
                  </pic:spPr>
                </pic:pic>
              </a:graphicData>
            </a:graphic>
          </wp:inline>
        </w:drawing>
      </w:r>
    </w:p>
    <w:p w:rsidR="00AC7FF6" w:rsidRDefault="00AC7FF6" w:rsidP="00AC7FF6">
      <w:pPr>
        <w:pStyle w:val="Lgende"/>
        <w:jc w:val="both"/>
        <w:rPr>
          <w:rFonts w:asciiTheme="majorBidi" w:hAnsiTheme="majorBidi" w:cstheme="majorBidi"/>
          <w:i w:val="0"/>
          <w:iCs w:val="0"/>
          <w:sz w:val="24"/>
          <w:szCs w:val="24"/>
          <w:lang w:val="en-US"/>
        </w:rPr>
      </w:pPr>
      <w:r w:rsidRPr="00AC7FF6">
        <w:rPr>
          <w:rFonts w:asciiTheme="majorBidi" w:hAnsiTheme="majorBidi" w:cstheme="majorBidi"/>
          <w:b/>
          <w:bCs/>
          <w:i w:val="0"/>
          <w:iCs w:val="0"/>
          <w:sz w:val="24"/>
          <w:szCs w:val="24"/>
          <w:lang w:val="en-US"/>
        </w:rPr>
        <w:t xml:space="preserve">Figure </w:t>
      </w:r>
      <w:r w:rsidRPr="00AC7FF6">
        <w:rPr>
          <w:rFonts w:asciiTheme="majorBidi" w:hAnsiTheme="majorBidi" w:cstheme="majorBidi"/>
          <w:b/>
          <w:bCs/>
          <w:i w:val="0"/>
          <w:iCs w:val="0"/>
          <w:sz w:val="24"/>
          <w:szCs w:val="24"/>
        </w:rPr>
        <w:fldChar w:fldCharType="begin"/>
      </w:r>
      <w:r w:rsidRPr="00AC7FF6">
        <w:rPr>
          <w:rFonts w:asciiTheme="majorBidi" w:hAnsiTheme="majorBidi" w:cstheme="majorBidi"/>
          <w:b/>
          <w:bCs/>
          <w:i w:val="0"/>
          <w:iCs w:val="0"/>
          <w:sz w:val="24"/>
          <w:szCs w:val="24"/>
          <w:lang w:val="en-US"/>
        </w:rPr>
        <w:instrText xml:space="preserve"> SEQ Figure \* ARABIC </w:instrText>
      </w:r>
      <w:r w:rsidRPr="00AC7FF6">
        <w:rPr>
          <w:rFonts w:asciiTheme="majorBidi" w:hAnsiTheme="majorBidi" w:cstheme="majorBidi"/>
          <w:b/>
          <w:bCs/>
          <w:i w:val="0"/>
          <w:iCs w:val="0"/>
          <w:sz w:val="24"/>
          <w:szCs w:val="24"/>
        </w:rPr>
        <w:fldChar w:fldCharType="separate"/>
      </w:r>
      <w:r w:rsidRPr="00AC7FF6">
        <w:rPr>
          <w:rFonts w:asciiTheme="majorBidi" w:hAnsiTheme="majorBidi" w:cstheme="majorBidi"/>
          <w:b/>
          <w:bCs/>
          <w:i w:val="0"/>
          <w:iCs w:val="0"/>
          <w:noProof/>
          <w:sz w:val="24"/>
          <w:szCs w:val="24"/>
          <w:lang w:val="en-US"/>
        </w:rPr>
        <w:t>4</w:t>
      </w:r>
      <w:r w:rsidRPr="00AC7FF6">
        <w:rPr>
          <w:rFonts w:asciiTheme="majorBidi" w:hAnsiTheme="majorBidi" w:cstheme="majorBidi"/>
          <w:b/>
          <w:bCs/>
          <w:i w:val="0"/>
          <w:iCs w:val="0"/>
          <w:sz w:val="24"/>
          <w:szCs w:val="24"/>
        </w:rPr>
        <w:fldChar w:fldCharType="end"/>
      </w:r>
      <w:r w:rsidRPr="00AC7FF6">
        <w:rPr>
          <w:rFonts w:asciiTheme="majorBidi" w:hAnsiTheme="majorBidi" w:cstheme="majorBidi"/>
          <w:b/>
          <w:bCs/>
          <w:i w:val="0"/>
          <w:iCs w:val="0"/>
          <w:sz w:val="24"/>
          <w:szCs w:val="24"/>
          <w:lang w:val="en-US"/>
        </w:rPr>
        <w:t>:</w:t>
      </w:r>
      <w:r w:rsidRPr="00AC7FF6">
        <w:rPr>
          <w:rFonts w:asciiTheme="majorBidi" w:hAnsiTheme="majorBidi" w:cstheme="majorBidi"/>
          <w:i w:val="0"/>
          <w:iCs w:val="0"/>
          <w:sz w:val="24"/>
          <w:szCs w:val="24"/>
          <w:lang w:val="en-US"/>
        </w:rPr>
        <w:t xml:space="preserve"> Scope of applicability of the RQSA model (MCF-7)</w:t>
      </w:r>
    </w:p>
    <w:p w:rsidR="00AC7FF6" w:rsidRDefault="00AC7FF6" w:rsidP="00AC7FF6">
      <w:pPr>
        <w:spacing w:line="360" w:lineRule="auto"/>
        <w:jc w:val="both"/>
        <w:rPr>
          <w:rFonts w:asciiTheme="majorBidi" w:hAnsiTheme="majorBidi" w:cstheme="majorBidi"/>
          <w:sz w:val="24"/>
          <w:szCs w:val="24"/>
          <w:lang w:val="en-US"/>
        </w:rPr>
      </w:pPr>
      <w:r w:rsidRPr="00AC7FF6">
        <w:rPr>
          <w:rFonts w:asciiTheme="majorBidi" w:hAnsiTheme="majorBidi" w:cstheme="majorBidi"/>
          <w:sz w:val="24"/>
          <w:szCs w:val="24"/>
          <w:lang w:val="en-US"/>
        </w:rPr>
        <w:t>The leverage values for each molecule remain below the threshold of 2.25, indicating that none of them excessively influence the model's predictions, thereby confirming the robustness of the analysis. At the same time, all standardized residuals fall within the acceptable range of -3</w:t>
      </w:r>
      <w:r w:rsidR="00BF2CC9" w:rsidRPr="00672493">
        <w:rPr>
          <w:rFonts w:asciiTheme="majorBidi" w:hAnsiTheme="majorBidi" w:cstheme="majorBidi"/>
          <w:lang w:val="en-US"/>
        </w:rPr>
        <w:t>σ</w:t>
      </w:r>
      <w:r w:rsidRPr="00AC7FF6">
        <w:rPr>
          <w:rFonts w:asciiTheme="majorBidi" w:hAnsiTheme="majorBidi" w:cstheme="majorBidi"/>
          <w:sz w:val="24"/>
          <w:szCs w:val="24"/>
          <w:lang w:val="en-US"/>
        </w:rPr>
        <w:t xml:space="preserve"> to +3</w:t>
      </w:r>
      <w:r w:rsidR="00BF2CC9" w:rsidRPr="00672493">
        <w:rPr>
          <w:rFonts w:asciiTheme="majorBidi" w:hAnsiTheme="majorBidi" w:cstheme="majorBidi"/>
          <w:lang w:val="en-US"/>
        </w:rPr>
        <w:t>σ</w:t>
      </w:r>
      <w:r w:rsidRPr="00AC7FF6">
        <w:rPr>
          <w:rFonts w:asciiTheme="majorBidi" w:hAnsiTheme="majorBidi" w:cstheme="majorBidi"/>
          <w:sz w:val="24"/>
          <w:szCs w:val="24"/>
          <w:lang w:val="en-US"/>
        </w:rPr>
        <w:t>, demonstrating that all observations are reliable and none are atypical. This analysis shows that the QSAR model has a stable domain of applicability, reinforcing confidence in its predictions, provided that the quality of the data used continues to be maintained.</w:t>
      </w:r>
    </w:p>
    <w:p w:rsidR="00EE720A" w:rsidRPr="00EE720A" w:rsidRDefault="00EE720A" w:rsidP="00EE720A">
      <w:pPr>
        <w:spacing w:line="360" w:lineRule="auto"/>
        <w:jc w:val="both"/>
        <w:rPr>
          <w:rFonts w:ascii="Times New Roman" w:hAnsi="Times New Roman" w:cs="Times New Roman"/>
          <w:b/>
          <w:lang w:val="en-US"/>
        </w:rPr>
      </w:pPr>
      <w:r w:rsidRPr="00BE2A17">
        <w:rPr>
          <w:rFonts w:ascii="Times New Roman" w:hAnsi="Times New Roman" w:cs="Times New Roman"/>
          <w:b/>
          <w:lang w:val="en-US"/>
        </w:rPr>
        <w:t>Conclusion</w:t>
      </w:r>
    </w:p>
    <w:p w:rsidR="00D750C4" w:rsidRDefault="00D750C4" w:rsidP="00D750C4">
      <w:pPr>
        <w:spacing w:line="360" w:lineRule="auto"/>
        <w:jc w:val="both"/>
        <w:rPr>
          <w:rFonts w:asciiTheme="majorBidi" w:hAnsiTheme="majorBidi" w:cstheme="majorBidi"/>
          <w:sz w:val="24"/>
          <w:szCs w:val="24"/>
          <w:lang w:val="en-US"/>
        </w:rPr>
      </w:pPr>
      <w:r w:rsidRPr="00D750C4">
        <w:rPr>
          <w:rFonts w:asciiTheme="majorBidi" w:hAnsiTheme="majorBidi" w:cstheme="majorBidi"/>
          <w:sz w:val="24"/>
          <w:szCs w:val="24"/>
          <w:lang w:val="en-US"/>
        </w:rPr>
        <w:t>This study focused on the development of a QSAR model aimed at predicting the anticancer activity of a series of phthalocyanine derivatives on the MCF-7 cell line. The results obtained demonstrate excellent statistical performance (R</w:t>
      </w:r>
      <w:r w:rsidRPr="00D750C4">
        <w:rPr>
          <w:rFonts w:asciiTheme="majorBidi" w:hAnsiTheme="majorBidi" w:cstheme="majorBidi"/>
          <w:sz w:val="24"/>
          <w:szCs w:val="24"/>
          <w:vertAlign w:val="superscript"/>
          <w:lang w:val="en-US"/>
        </w:rPr>
        <w:t>2</w:t>
      </w:r>
      <w:r w:rsidRPr="00D750C4">
        <w:rPr>
          <w:rFonts w:asciiTheme="majorBidi" w:hAnsiTheme="majorBidi" w:cstheme="majorBidi"/>
          <w:sz w:val="24"/>
          <w:szCs w:val="24"/>
          <w:lang w:val="en-US"/>
        </w:rPr>
        <w:t xml:space="preserve"> = 0.9527;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=0.9745</m:t>
        </m:r>
      </m:oMath>
      <w:r w:rsidRPr="00D750C4">
        <w:rPr>
          <w:rFonts w:asciiTheme="majorBidi" w:hAnsiTheme="majorBidi" w:cstheme="majorBidi"/>
          <w:sz w:val="24"/>
          <w:szCs w:val="24"/>
          <w:lang w:val="en-US"/>
        </w:rPr>
        <w:t>), validated according to Tropsha's criteria, which attests to the robustness and predictive reliability of the model. Descriptor analysis indicates that polarizability is the dominant factor influencing biological activity, suggesting that greater electronic deformability of the molecules enhances their anticancer efficacy. These observations provide valuable insights for the rational design of new phthalocyanines with high therapeutic potential.</w:t>
      </w:r>
    </w:p>
    <w:p w:rsidR="006D78BA" w:rsidRDefault="006D78BA" w:rsidP="00D750C4">
      <w:pPr>
        <w:spacing w:line="360" w:lineRule="auto"/>
        <w:jc w:val="both"/>
        <w:rPr>
          <w:rFonts w:asciiTheme="majorBidi" w:hAnsiTheme="majorBidi" w:cstheme="majorBidi"/>
          <w:sz w:val="24"/>
          <w:szCs w:val="24"/>
          <w:lang w:val="en-US"/>
        </w:rPr>
      </w:pPr>
    </w:p>
    <w:p w:rsidR="006D78BA" w:rsidRDefault="006D78BA" w:rsidP="00D750C4">
      <w:pPr>
        <w:spacing w:line="360" w:lineRule="auto"/>
        <w:jc w:val="both"/>
        <w:rPr>
          <w:rFonts w:asciiTheme="majorBidi" w:hAnsiTheme="majorBidi" w:cstheme="majorBidi"/>
          <w:sz w:val="24"/>
          <w:szCs w:val="24"/>
          <w:lang w:val="en-US"/>
        </w:rPr>
      </w:pPr>
    </w:p>
    <w:p w:rsidR="006D78BA" w:rsidRPr="009C5487" w:rsidRDefault="006D78BA" w:rsidP="006D78BA">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lang w:val="en-US"/>
        </w:rPr>
        <w:t>Disclaimer (Artificial intelligence)</w:t>
      </w:r>
    </w:p>
    <w:p w:rsidR="006D78BA" w:rsidRPr="009C5487" w:rsidRDefault="006D78BA" w:rsidP="006D78B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6D78BA" w:rsidRPr="009C5487" w:rsidRDefault="006D78BA" w:rsidP="006D78B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E64E4C" w:rsidRPr="00657B5E" w:rsidRDefault="00E64E4C" w:rsidP="00E64E4C">
      <w:pPr>
        <w:spacing w:line="360" w:lineRule="auto"/>
        <w:jc w:val="center"/>
        <w:rPr>
          <w:rFonts w:ascii="Times New Roman" w:hAnsi="Times New Roman" w:cs="Times New Roman"/>
          <w:b/>
          <w:lang w:val="en-US"/>
        </w:rPr>
      </w:pPr>
      <w:bookmarkStart w:id="4" w:name="_GoBack"/>
      <w:bookmarkEnd w:id="0"/>
      <w:bookmarkEnd w:id="1"/>
      <w:bookmarkEnd w:id="2"/>
      <w:bookmarkEnd w:id="3"/>
      <w:bookmarkEnd w:id="4"/>
      <w:r w:rsidRPr="00DF53E8">
        <w:rPr>
          <w:rFonts w:ascii="Times New Roman" w:hAnsi="Times New Roman" w:cs="Times New Roman"/>
          <w:b/>
          <w:lang w:val="en-US"/>
        </w:rPr>
        <w:t>References</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Fonts w:ascii="Times New Roman" w:eastAsia="Times New Roman" w:hAnsi="Times New Roman" w:cs="Times New Roman"/>
          <w:lang w:val="en-US" w:eastAsia="fr-FR"/>
        </w:rPr>
        <w:t xml:space="preserve">[1] </w:t>
      </w:r>
      <w:r w:rsidRPr="002256AC">
        <w:rPr>
          <w:rStyle w:val="fontstyle01"/>
          <w:rFonts w:ascii="Times New Roman" w:hAnsi="Times New Roman" w:cs="Times New Roman"/>
          <w:b w:val="0"/>
          <w:sz w:val="24"/>
          <w:szCs w:val="24"/>
          <w:lang w:val="en-US"/>
        </w:rPr>
        <w:t xml:space="preserve">Bray, F., </w:t>
      </w:r>
      <w:proofErr w:type="spellStart"/>
      <w:r w:rsidRPr="002256AC">
        <w:rPr>
          <w:rStyle w:val="fontstyle01"/>
          <w:rFonts w:ascii="Times New Roman" w:hAnsi="Times New Roman" w:cs="Times New Roman"/>
          <w:b w:val="0"/>
          <w:sz w:val="24"/>
          <w:szCs w:val="24"/>
          <w:lang w:val="en-US"/>
        </w:rPr>
        <w:t>Laversanne</w:t>
      </w:r>
      <w:proofErr w:type="spellEnd"/>
      <w:r w:rsidRPr="002256AC">
        <w:rPr>
          <w:rStyle w:val="fontstyle01"/>
          <w:rFonts w:ascii="Times New Roman" w:hAnsi="Times New Roman" w:cs="Times New Roman"/>
          <w:b w:val="0"/>
          <w:sz w:val="24"/>
          <w:szCs w:val="24"/>
          <w:lang w:val="en-US"/>
        </w:rPr>
        <w:t xml:space="preserve">, M., Sung, H., </w:t>
      </w:r>
      <w:proofErr w:type="spellStart"/>
      <w:r w:rsidRPr="002256AC">
        <w:rPr>
          <w:rStyle w:val="fontstyle01"/>
          <w:rFonts w:ascii="Times New Roman" w:hAnsi="Times New Roman" w:cs="Times New Roman"/>
          <w:b w:val="0"/>
          <w:sz w:val="24"/>
          <w:szCs w:val="24"/>
          <w:lang w:val="en-US"/>
        </w:rPr>
        <w:t>Ferlay</w:t>
      </w:r>
      <w:proofErr w:type="spellEnd"/>
      <w:r w:rsidRPr="002256AC">
        <w:rPr>
          <w:rStyle w:val="fontstyle01"/>
          <w:rFonts w:ascii="Times New Roman" w:hAnsi="Times New Roman" w:cs="Times New Roman"/>
          <w:b w:val="0"/>
          <w:sz w:val="24"/>
          <w:szCs w:val="24"/>
          <w:lang w:val="en-US"/>
        </w:rPr>
        <w:t xml:space="preserve">, J., Siegel, R. L., </w:t>
      </w:r>
      <w:proofErr w:type="spellStart"/>
      <w:r w:rsidRPr="002256AC">
        <w:rPr>
          <w:rStyle w:val="fontstyle01"/>
          <w:rFonts w:ascii="Times New Roman" w:hAnsi="Times New Roman" w:cs="Times New Roman"/>
          <w:b w:val="0"/>
          <w:sz w:val="24"/>
          <w:szCs w:val="24"/>
          <w:lang w:val="en-US"/>
        </w:rPr>
        <w:t>Soerjomataram</w:t>
      </w:r>
      <w:proofErr w:type="spellEnd"/>
      <w:r w:rsidRPr="002256AC">
        <w:rPr>
          <w:rStyle w:val="fontstyle01"/>
          <w:rFonts w:ascii="Times New Roman" w:hAnsi="Times New Roman" w:cs="Times New Roman"/>
          <w:b w:val="0"/>
          <w:sz w:val="24"/>
          <w:szCs w:val="24"/>
          <w:lang w:val="en-US"/>
        </w:rPr>
        <w:t>, I., &amp;</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Jemal, A. (2024). Global cancer statistics 2022: GLOBOCAN estimates of incidence and</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mortality worldwide for 36 cancers in 185 countries. CA: a cancer journal for clinicians,</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74(3), 229-263.</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[2] Hanahan, D., &amp; Weinberg, R. A. (2011). Hallmarks of cancer: the next generation. </w:t>
      </w:r>
      <w:r w:rsidRPr="002256AC">
        <w:rPr>
          <w:rFonts w:ascii="Times New Roman" w:eastAsia="Times New Roman" w:hAnsi="Times New Roman" w:cs="Times New Roman"/>
          <w:i/>
          <w:iCs/>
          <w:lang w:val="en-US" w:eastAsia="fr-FR"/>
        </w:rPr>
        <w:t>Cell, 144</w:t>
      </w:r>
      <w:r w:rsidRPr="002256AC">
        <w:rPr>
          <w:rFonts w:ascii="Times New Roman" w:eastAsia="Times New Roman" w:hAnsi="Times New Roman" w:cs="Times New Roman"/>
          <w:lang w:val="en-US" w:eastAsia="fr-FR"/>
        </w:rPr>
        <w:t xml:space="preserve">(5), 646-674.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[3] Miller, K. D., Nogueira, L., </w:t>
      </w:r>
      <w:proofErr w:type="spellStart"/>
      <w:r w:rsidRPr="002256AC">
        <w:rPr>
          <w:rFonts w:ascii="Times New Roman" w:eastAsia="Times New Roman" w:hAnsi="Times New Roman" w:cs="Times New Roman"/>
          <w:lang w:val="en-US" w:eastAsia="fr-FR"/>
        </w:rPr>
        <w:t>Mariotto</w:t>
      </w:r>
      <w:proofErr w:type="spellEnd"/>
      <w:r w:rsidRPr="002256AC">
        <w:rPr>
          <w:rFonts w:ascii="Times New Roman" w:eastAsia="Times New Roman" w:hAnsi="Times New Roman" w:cs="Times New Roman"/>
          <w:lang w:val="en-US" w:eastAsia="fr-FR"/>
        </w:rPr>
        <w:t xml:space="preserve">, A. B., Rowland, J. H., </w:t>
      </w:r>
      <w:proofErr w:type="spellStart"/>
      <w:r w:rsidRPr="002256AC">
        <w:rPr>
          <w:rFonts w:ascii="Times New Roman" w:eastAsia="Times New Roman" w:hAnsi="Times New Roman" w:cs="Times New Roman"/>
          <w:lang w:val="en-US" w:eastAsia="fr-FR"/>
        </w:rPr>
        <w:t>Yabroff</w:t>
      </w:r>
      <w:proofErr w:type="spellEnd"/>
      <w:r w:rsidRPr="002256AC">
        <w:rPr>
          <w:rFonts w:ascii="Times New Roman" w:eastAsia="Times New Roman" w:hAnsi="Times New Roman" w:cs="Times New Roman"/>
          <w:lang w:val="en-US" w:eastAsia="fr-FR"/>
        </w:rPr>
        <w:t xml:space="preserve">, K. R., Jemal, A., &amp; Siegel, R. L. (2019). Cancer treatment and survivorship statistics, 2019. </w:t>
      </w:r>
      <w:r w:rsidRPr="002256AC">
        <w:rPr>
          <w:rFonts w:ascii="Times New Roman" w:eastAsia="Times New Roman" w:hAnsi="Times New Roman" w:cs="Times New Roman"/>
          <w:i/>
          <w:iCs/>
          <w:lang w:val="en-US" w:eastAsia="fr-FR"/>
        </w:rPr>
        <w:t>CA: A Cancer Journal for Clinicians, 69</w:t>
      </w:r>
      <w:r w:rsidRPr="002256AC">
        <w:rPr>
          <w:rFonts w:ascii="Times New Roman" w:eastAsia="Times New Roman" w:hAnsi="Times New Roman" w:cs="Times New Roman"/>
          <w:lang w:val="en-US" w:eastAsia="fr-FR"/>
        </w:rPr>
        <w:t xml:space="preserve">(5), 363-385.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[4] Sessler, J. L., &amp; Gale, P. A. (Eds.). (2019). </w:t>
      </w:r>
      <w:r w:rsidRPr="002256AC">
        <w:rPr>
          <w:rFonts w:ascii="Times New Roman" w:eastAsia="Times New Roman" w:hAnsi="Times New Roman" w:cs="Times New Roman"/>
          <w:i/>
          <w:iCs/>
          <w:lang w:val="en-US" w:eastAsia="fr-FR"/>
        </w:rPr>
        <w:t>Macrocyclic Chemistry: Current Trends and Future Perspectives</w:t>
      </w:r>
      <w:r w:rsidRPr="002256AC">
        <w:rPr>
          <w:rFonts w:ascii="Times New Roman" w:eastAsia="Times New Roman" w:hAnsi="Times New Roman" w:cs="Times New Roman"/>
          <w:lang w:val="en-US" w:eastAsia="fr-FR"/>
        </w:rPr>
        <w:t>. Royal Society of Chemistry.</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[5] O'Connor, A. E., Gallagher, W. M., &amp; Byrne, A. T. (2009). Porphyrin and phthalocyanine based photosensitizers for photodynamic therapy. </w:t>
      </w:r>
      <w:r w:rsidRPr="002256AC">
        <w:rPr>
          <w:rFonts w:ascii="Times New Roman" w:eastAsia="Times New Roman" w:hAnsi="Times New Roman" w:cs="Times New Roman"/>
          <w:i/>
          <w:iCs/>
          <w:lang w:val="en-US" w:eastAsia="fr-FR"/>
        </w:rPr>
        <w:t>Photochemistry and Photobiology, 85</w:t>
      </w:r>
      <w:r w:rsidRPr="002256AC">
        <w:rPr>
          <w:rFonts w:ascii="Times New Roman" w:eastAsia="Times New Roman" w:hAnsi="Times New Roman" w:cs="Times New Roman"/>
          <w:lang w:val="en-US" w:eastAsia="fr-FR"/>
        </w:rPr>
        <w:t xml:space="preserve">(5), 1053-1074. </w:t>
      </w:r>
    </w:p>
    <w:p w:rsidR="00E64E4C" w:rsidRPr="00834D73" w:rsidRDefault="00E64E4C" w:rsidP="00E64E4C">
      <w:pPr>
        <w:spacing w:after="0" w:line="360" w:lineRule="auto"/>
        <w:jc w:val="both"/>
        <w:rPr>
          <w:rFonts w:ascii="Times New Roman" w:eastAsia="Times New Roman" w:hAnsi="Times New Roman" w:cs="Times New Roman"/>
          <w:lang w:eastAsia="fr-FR"/>
        </w:rPr>
      </w:pPr>
      <w:r w:rsidRPr="002256AC">
        <w:rPr>
          <w:rFonts w:ascii="Times New Roman" w:eastAsia="Times New Roman" w:hAnsi="Times New Roman" w:cs="Times New Roman"/>
          <w:lang w:val="en-US" w:eastAsia="fr-FR"/>
        </w:rPr>
        <w:t xml:space="preserve">[6] Zhang, Y., Chen, J., Feng, S., &amp; Li, Y. (2017). Anticancer activity of novel phthalocyanine derivatives in human cancer cells. </w:t>
      </w:r>
      <w:r w:rsidRPr="00834D73">
        <w:rPr>
          <w:rFonts w:ascii="Times New Roman" w:eastAsia="Times New Roman" w:hAnsi="Times New Roman" w:cs="Times New Roman"/>
          <w:i/>
          <w:iCs/>
          <w:lang w:eastAsia="fr-FR"/>
        </w:rPr>
        <w:t xml:space="preserve">Journal of </w:t>
      </w:r>
      <w:proofErr w:type="spellStart"/>
      <w:r w:rsidRPr="00834D73">
        <w:rPr>
          <w:rFonts w:ascii="Times New Roman" w:eastAsia="Times New Roman" w:hAnsi="Times New Roman" w:cs="Times New Roman"/>
          <w:i/>
          <w:iCs/>
          <w:lang w:eastAsia="fr-FR"/>
        </w:rPr>
        <w:t>Porphyrins</w:t>
      </w:r>
      <w:proofErr w:type="spellEnd"/>
      <w:r w:rsidRPr="00834D73">
        <w:rPr>
          <w:rFonts w:ascii="Times New Roman" w:eastAsia="Times New Roman" w:hAnsi="Times New Roman" w:cs="Times New Roman"/>
          <w:i/>
          <w:iCs/>
          <w:lang w:eastAsia="fr-FR"/>
        </w:rPr>
        <w:t xml:space="preserve"> and </w:t>
      </w:r>
      <w:proofErr w:type="spellStart"/>
      <w:r w:rsidRPr="00834D73">
        <w:rPr>
          <w:rFonts w:ascii="Times New Roman" w:eastAsia="Times New Roman" w:hAnsi="Times New Roman" w:cs="Times New Roman"/>
          <w:i/>
          <w:iCs/>
          <w:lang w:eastAsia="fr-FR"/>
        </w:rPr>
        <w:t>Phthalocyanines</w:t>
      </w:r>
      <w:proofErr w:type="spellEnd"/>
      <w:r w:rsidRPr="00834D73">
        <w:rPr>
          <w:rFonts w:ascii="Times New Roman" w:eastAsia="Times New Roman" w:hAnsi="Times New Roman" w:cs="Times New Roman"/>
          <w:i/>
          <w:iCs/>
          <w:lang w:eastAsia="fr-FR"/>
        </w:rPr>
        <w:t>, 21</w:t>
      </w:r>
      <w:r w:rsidRPr="00834D73">
        <w:rPr>
          <w:rFonts w:ascii="Times New Roman" w:eastAsia="Times New Roman" w:hAnsi="Times New Roman" w:cs="Times New Roman"/>
          <w:lang w:eastAsia="fr-FR"/>
        </w:rPr>
        <w:t>(03n04), 209-216. (</w:t>
      </w:r>
      <w:proofErr w:type="gramStart"/>
      <w:r w:rsidRPr="00834D73">
        <w:rPr>
          <w:rFonts w:ascii="Times New Roman" w:eastAsia="Times New Roman" w:hAnsi="Times New Roman" w:cs="Times New Roman"/>
          <w:lang w:eastAsia="fr-FR"/>
        </w:rPr>
        <w:t>Note:</w:t>
      </w:r>
      <w:proofErr w:type="gramEnd"/>
      <w:r w:rsidRPr="00834D73">
        <w:rPr>
          <w:rFonts w:ascii="Times New Roman" w:eastAsia="Times New Roman" w:hAnsi="Times New Roman" w:cs="Times New Roman"/>
          <w:lang w:eastAsia="fr-FR"/>
        </w:rPr>
        <w:t xml:space="preserve"> Autre exemple générique à remplacer par une référence réelle sur l'activité anticancéreuse intrinsèque).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eastAsia="fr-FR"/>
        </w:rPr>
        <w:t>[7</w:t>
      </w:r>
      <w:r w:rsidRPr="00834D73">
        <w:rPr>
          <w:rFonts w:ascii="Times New Roman" w:eastAsia="Times New Roman" w:hAnsi="Times New Roman" w:cs="Times New Roman"/>
          <w:lang w:eastAsia="fr-FR"/>
        </w:rPr>
        <w:t xml:space="preserve">] </w:t>
      </w:r>
      <w:proofErr w:type="spellStart"/>
      <w:r w:rsidRPr="00834D73">
        <w:rPr>
          <w:rFonts w:ascii="Times New Roman" w:eastAsia="Times New Roman" w:hAnsi="Times New Roman" w:cs="Times New Roman"/>
          <w:lang w:eastAsia="fr-FR"/>
        </w:rPr>
        <w:t>Gunes</w:t>
      </w:r>
      <w:proofErr w:type="spellEnd"/>
      <w:r w:rsidRPr="00834D73">
        <w:rPr>
          <w:rFonts w:ascii="Times New Roman" w:eastAsia="Times New Roman" w:hAnsi="Times New Roman" w:cs="Times New Roman"/>
          <w:lang w:eastAsia="fr-FR"/>
        </w:rPr>
        <w:t xml:space="preserve">, S., </w:t>
      </w:r>
      <w:proofErr w:type="spellStart"/>
      <w:r w:rsidRPr="00834D73">
        <w:rPr>
          <w:rFonts w:ascii="Times New Roman" w:eastAsia="Times New Roman" w:hAnsi="Times New Roman" w:cs="Times New Roman"/>
          <w:lang w:eastAsia="fr-FR"/>
        </w:rPr>
        <w:t>Gumus</w:t>
      </w:r>
      <w:proofErr w:type="spellEnd"/>
      <w:r w:rsidRPr="00834D73">
        <w:rPr>
          <w:rFonts w:ascii="Times New Roman" w:eastAsia="Times New Roman" w:hAnsi="Times New Roman" w:cs="Times New Roman"/>
          <w:lang w:eastAsia="fr-FR"/>
        </w:rPr>
        <w:t xml:space="preserve">, N. A., &amp; </w:t>
      </w:r>
      <w:proofErr w:type="spellStart"/>
      <w:r w:rsidRPr="00834D73">
        <w:rPr>
          <w:rFonts w:ascii="Times New Roman" w:eastAsia="Times New Roman" w:hAnsi="Times New Roman" w:cs="Times New Roman"/>
          <w:lang w:eastAsia="fr-FR"/>
        </w:rPr>
        <w:t>Ozturk</w:t>
      </w:r>
      <w:proofErr w:type="spellEnd"/>
      <w:r w:rsidRPr="00834D73">
        <w:rPr>
          <w:rFonts w:ascii="Times New Roman" w:eastAsia="Times New Roman" w:hAnsi="Times New Roman" w:cs="Times New Roman"/>
          <w:lang w:eastAsia="fr-FR"/>
        </w:rPr>
        <w:t xml:space="preserve">, B. (2019). </w:t>
      </w:r>
      <w:r w:rsidRPr="002256AC">
        <w:rPr>
          <w:rFonts w:ascii="Times New Roman" w:eastAsia="Times New Roman" w:hAnsi="Times New Roman" w:cs="Times New Roman"/>
          <w:lang w:val="en-US" w:eastAsia="fr-FR"/>
        </w:rPr>
        <w:t xml:space="preserve">Recent advances in phthalocyanine derivatives as anticancer agents. </w:t>
      </w:r>
      <w:r w:rsidRPr="002256AC">
        <w:rPr>
          <w:rFonts w:ascii="Times New Roman" w:eastAsia="Times New Roman" w:hAnsi="Times New Roman" w:cs="Times New Roman"/>
          <w:i/>
          <w:iCs/>
          <w:lang w:val="en-US" w:eastAsia="fr-FR"/>
        </w:rPr>
        <w:t>European Journal of Medicinal Chemistry, 182</w:t>
      </w:r>
      <w:r w:rsidRPr="002256AC">
        <w:rPr>
          <w:rFonts w:ascii="Times New Roman" w:eastAsia="Times New Roman" w:hAnsi="Times New Roman" w:cs="Times New Roman"/>
          <w:lang w:val="en-US" w:eastAsia="fr-FR"/>
        </w:rPr>
        <w:t xml:space="preserve">, 111623.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[8] Leach, A. R. (2001). </w:t>
      </w:r>
      <w:r w:rsidRPr="002256AC">
        <w:rPr>
          <w:rFonts w:ascii="Times New Roman" w:eastAsia="Times New Roman" w:hAnsi="Times New Roman" w:cs="Times New Roman"/>
          <w:i/>
          <w:iCs/>
          <w:lang w:val="en-US" w:eastAsia="fr-FR"/>
        </w:rPr>
        <w:t>Molecular Modelling: Principles and Applications</w:t>
      </w:r>
      <w:r w:rsidRPr="002256AC">
        <w:rPr>
          <w:rFonts w:ascii="Times New Roman" w:eastAsia="Times New Roman" w:hAnsi="Times New Roman" w:cs="Times New Roman"/>
          <w:lang w:val="en-US" w:eastAsia="fr-FR"/>
        </w:rPr>
        <w:t xml:space="preserve">. Pearson Education.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[9] Cramer, C. J. (2004). </w:t>
      </w:r>
      <w:r w:rsidRPr="002256AC">
        <w:rPr>
          <w:rFonts w:ascii="Times New Roman" w:eastAsia="Times New Roman" w:hAnsi="Times New Roman" w:cs="Times New Roman"/>
          <w:i/>
          <w:iCs/>
          <w:lang w:val="en-US" w:eastAsia="fr-FR"/>
        </w:rPr>
        <w:t>Essentials of Computational Chemistry: Theories and Models</w:t>
      </w:r>
      <w:r w:rsidRPr="002256AC">
        <w:rPr>
          <w:rFonts w:ascii="Times New Roman" w:eastAsia="Times New Roman" w:hAnsi="Times New Roman" w:cs="Times New Roman"/>
          <w:lang w:val="en-US" w:eastAsia="fr-FR"/>
        </w:rPr>
        <w:t>. John Wiley &amp; Sons.</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[10] </w:t>
      </w:r>
      <w:r w:rsidRPr="00D44603">
        <w:rPr>
          <w:rFonts w:ascii="Times New Roman" w:hAnsi="Times New Roman" w:cs="Times New Roman"/>
          <w:noProof/>
          <w:lang w:val="en-GB"/>
        </w:rPr>
        <w:t>T. I. Oprea, «Chemoinformatics in Drug Discovery,» Ed. WILEY-VCH Verlag. , 2005.</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[11] </w:t>
      </w:r>
      <w:r w:rsidRPr="00D44603">
        <w:rPr>
          <w:rFonts w:ascii="Times New Roman" w:hAnsi="Times New Roman" w:cs="Times New Roman"/>
          <w:noProof/>
          <w:lang w:val="en-GB"/>
        </w:rPr>
        <w:t>E. A. Rekka et P. N. Kourounakis, «Chemistry and Molecular Aspects of Drug Design and Action,» Ed. Taylor &amp; Francis Group, 2008.</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[12] </w:t>
      </w:r>
      <w:r w:rsidRPr="00FC2264">
        <w:rPr>
          <w:rFonts w:ascii="Times New Roman" w:hAnsi="Times New Roman" w:cs="Times New Roman"/>
          <w:noProof/>
          <w:lang w:val="en-GB"/>
        </w:rPr>
        <w:t>M. J. Frisch, G. W. Trucks, H. B. Schlegel et G. E. Scuseria, «Gaussian 09, Revision A.02,» Gaussian, Inc., Wallingford CT, 2009.</w:t>
      </w:r>
    </w:p>
    <w:p w:rsidR="00E64E4C" w:rsidRPr="002256AC" w:rsidRDefault="00E64E4C" w:rsidP="00E64E4C">
      <w:pPr>
        <w:spacing w:after="0" w:line="360" w:lineRule="auto"/>
        <w:jc w:val="both"/>
        <w:rPr>
          <w:rFonts w:ascii="Times New Roman" w:hAnsi="Times New Roman" w:cs="Times New Roman"/>
          <w:noProof/>
        </w:rPr>
      </w:pPr>
      <w:r w:rsidRPr="002256AC">
        <w:rPr>
          <w:rFonts w:ascii="Times New Roman" w:hAnsi="Times New Roman" w:cs="Times New Roman"/>
          <w:noProof/>
        </w:rPr>
        <w:lastRenderedPageBreak/>
        <w:t>[13] P. K. Chattaraj, A. Cedillo et R. G. Parr, J. Phys. Chem., vol. 103, p. 7645, 1991.</w:t>
      </w:r>
    </w:p>
    <w:p w:rsidR="00E64E4C" w:rsidRDefault="00E64E4C" w:rsidP="00E64E4C">
      <w:pPr>
        <w:spacing w:after="0" w:line="360" w:lineRule="auto"/>
        <w:jc w:val="both"/>
        <w:rPr>
          <w:rFonts w:ascii="Times New Roman" w:hAnsi="Times New Roman" w:cs="Times New Roman"/>
          <w:noProof/>
          <w:lang w:val="en-GB"/>
        </w:rPr>
      </w:pPr>
      <w:r w:rsidRPr="002256AC">
        <w:rPr>
          <w:rFonts w:ascii="Times New Roman" w:hAnsi="Times New Roman" w:cs="Times New Roman"/>
          <w:noProof/>
        </w:rPr>
        <w:t xml:space="preserve">[14] F. De Proft, J. M. L. Martin, P. Geerlings et :. :, Chem. </w:t>
      </w:r>
      <w:r w:rsidRPr="00FC2264">
        <w:rPr>
          <w:rFonts w:ascii="Times New Roman" w:hAnsi="Times New Roman" w:cs="Times New Roman"/>
          <w:noProof/>
          <w:lang w:val="en-GB"/>
        </w:rPr>
        <w:t>Phys Let., vol. 250, p. 393, 1996.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[15] </w:t>
      </w:r>
      <w:r w:rsidRPr="00FC2264">
        <w:rPr>
          <w:rFonts w:ascii="Times New Roman" w:hAnsi="Times New Roman" w:cs="Times New Roman"/>
          <w:noProof/>
          <w:lang w:val="en-GB"/>
        </w:rPr>
        <w:t>C. Hansch, P. G. Sammes et J. B. Taylor, «in:Comprehensive Medicinal Chemistry,» Computers and the medicinal chemist, vol. 4, pp. 33-58, 1990.</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[16] </w:t>
      </w:r>
      <w:r w:rsidRPr="00FC2264">
        <w:rPr>
          <w:rFonts w:ascii="Times New Roman" w:hAnsi="Times New Roman" w:cs="Times New Roman"/>
          <w:noProof/>
          <w:lang w:val="en-GB"/>
        </w:rPr>
        <w:t>R. Franke, «Theoretical Drug Design Methods,» Elsevier, 1984.</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[17] </w:t>
      </w:r>
      <w:r w:rsidRPr="00FC2264">
        <w:rPr>
          <w:rFonts w:ascii="Times New Roman" w:hAnsi="Times New Roman" w:cs="Times New Roman"/>
          <w:noProof/>
          <w:lang w:val="en-GB"/>
        </w:rPr>
        <w:t>S. Chaltterjee, A. Hadi et B. Price, «Regression Analysis by Examples,» Wiley VCH: New York, 2000.</w:t>
      </w:r>
    </w:p>
    <w:p w:rsidR="00E64E4C" w:rsidRDefault="00E64E4C" w:rsidP="00E64E4C">
      <w:pPr>
        <w:spacing w:after="0" w:line="360" w:lineRule="auto"/>
        <w:jc w:val="both"/>
        <w:rPr>
          <w:rFonts w:ascii="Times New Roman" w:hAnsi="Times New Roman" w:cs="Times New Roman"/>
          <w:noProof/>
        </w:rPr>
      </w:pPr>
      <w:r w:rsidRPr="002256AC">
        <w:rPr>
          <w:rFonts w:ascii="Times New Roman" w:hAnsi="Times New Roman" w:cs="Times New Roman"/>
          <w:noProof/>
        </w:rPr>
        <w:t xml:space="preserve">[18] </w:t>
      </w:r>
      <w:r w:rsidRPr="00FC2264">
        <w:rPr>
          <w:rFonts w:ascii="Times New Roman" w:hAnsi="Times New Roman" w:cs="Times New Roman"/>
          <w:noProof/>
        </w:rPr>
        <w:t>H. Phuong, «Synthèse et étude des relations structure/activité quantitatives (QSAR/2D) d’analoguesBenzo[c]phénanthridiniques,» France, 2007.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[19] </w:t>
      </w:r>
      <w:r w:rsidRPr="00FC2264">
        <w:rPr>
          <w:rFonts w:ascii="Times New Roman" w:hAnsi="Times New Roman" w:cs="Times New Roman"/>
          <w:noProof/>
          <w:lang w:val="en-GB"/>
        </w:rPr>
        <w:t>M. Excel, 2016.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[20] </w:t>
      </w:r>
      <w:r w:rsidRPr="00FC2264">
        <w:rPr>
          <w:rFonts w:ascii="Times New Roman" w:hAnsi="Times New Roman" w:cs="Times New Roman"/>
          <w:noProof/>
          <w:lang w:val="en-GB"/>
        </w:rPr>
        <w:t>X. V. 2. C. Addinsoft, XLSTAT and Addinsoft are Registered Trademarks of Addinsoft., 2014, pp. 1995-2014 .</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[21] </w:t>
      </w:r>
      <w:r w:rsidRPr="00FC2264">
        <w:rPr>
          <w:rFonts w:ascii="Times New Roman" w:hAnsi="Times New Roman" w:cs="Times New Roman"/>
          <w:noProof/>
          <w:lang w:val="en-GB"/>
        </w:rPr>
        <w:t>G. W. Snedecor et W. G. Cochran, « Methods, Statistical,» Oxford and IBH: New Delhi, India; , p. 381, 1967.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[22] </w:t>
      </w:r>
      <w:r w:rsidRPr="00FC2264">
        <w:rPr>
          <w:rFonts w:ascii="Times New Roman" w:hAnsi="Times New Roman" w:cs="Times New Roman"/>
          <w:noProof/>
          <w:lang w:val="en-GB"/>
        </w:rPr>
        <w:t>N. J.-B. Kangah, M. G.-R. Koné, C. G. Kodjo, B. R. N’guessan, A. L. C. Kablan, S. A. Yéo et N. Ziao, «Antibacterial Activity of Schiff Bases Derived from Ortho Diaminocyclohexane, Meta-Phenylenediamine and 1,6-Diaminohexane: Qsar Study with Quantum Descriptors,,» International Journal of Pharmaceutical Science Invention, vol. 6, n° %13, pp. 38-43, 2017.</w:t>
      </w:r>
    </w:p>
    <w:p w:rsidR="00E64E4C" w:rsidRDefault="00E64E4C" w:rsidP="00E64E4C">
      <w:pPr>
        <w:pStyle w:val="Bibliographie"/>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[23] </w:t>
      </w:r>
      <w:r w:rsidRPr="00FC2264">
        <w:rPr>
          <w:rFonts w:ascii="Times New Roman" w:hAnsi="Times New Roman" w:cs="Times New Roman"/>
          <w:noProof/>
          <w:lang w:val="en-GB"/>
        </w:rPr>
        <w:t xml:space="preserve">E. X. Esposito, A. J. Hopfinger et J. D. Madura, «Methods for Applying the Quantitative Structure-Activity Relationship Paradigm,,» Methods in Molecular Biology, vol. 275, pp. 131-213., 2004. </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[24] </w:t>
      </w:r>
      <w:r w:rsidRPr="00FC2264">
        <w:rPr>
          <w:rFonts w:ascii="Times New Roman" w:hAnsi="Times New Roman" w:cs="Times New Roman"/>
          <w:noProof/>
          <w:lang w:val="en-GB"/>
        </w:rPr>
        <w:t>L. Eriksson, J. Jaworska, A. Worth, M. D. Cronin, R. M. Mc Dowell et P. Gramatica, «Methods for Reliability and Uncertainty Assessment and for Applicability Evaluations of Classification- and Regression-Based QSARs,» Environmental Health Perspectives, vol. 111, n° %110, pp. 1361-1375, 2003.</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[25</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A. Golbraikh et A. Tropsha, «Beware of qsar,,» J. Mol. Graph. Model, vol. 20, pp. 269-276, 2002.</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[26</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A. Tropsha, P. Gramatica et V. K. Gombar, «The importance of being earnest, validation is the absolute essential for successful application and interpretation of QSPR models,,» QSAR Comb. Sci. , vol. 22, pp. 69-77, 2003.</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[27</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O. Ouattara, T. S. Affi, M. G.-R. Koné, K. Bamba et N. Ziao, «Can Empirical Descriptors Reliably Predict Molecular Lipophilicity ? A QSPR Study Investigation,,» Int. Journal of Engineering Research and Application,, vol. 7, n° %15, pp. 50-56., 2017.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[28] </w:t>
      </w:r>
      <w:r w:rsidRPr="00FC2264">
        <w:rPr>
          <w:rFonts w:ascii="Times New Roman" w:hAnsi="Times New Roman" w:cs="Times New Roman"/>
          <w:noProof/>
          <w:lang w:val="en-GB"/>
        </w:rPr>
        <w:t>N. N.-Jeliazkova et J. Jaworska, « An Approach to Determining Applicability Domains for QSAR Group Contribution Models: An Analysis of SRC KOWWIN,» ATLA 33, p. 461–470, 2005.</w:t>
      </w:r>
    </w:p>
    <w:p w:rsidR="00E64E4C" w:rsidRDefault="00E64E4C" w:rsidP="00E64E4C">
      <w:pPr>
        <w:pStyle w:val="Bibliographie"/>
        <w:spacing w:after="0" w:line="360" w:lineRule="auto"/>
        <w:jc w:val="both"/>
        <w:rPr>
          <w:rFonts w:ascii="Times New Roman" w:hAnsi="Times New Roman" w:cs="Times New Roman"/>
          <w:noProof/>
          <w:lang w:val="en-GB"/>
        </w:rPr>
      </w:pPr>
      <w:r>
        <w:rPr>
          <w:rFonts w:ascii="Times New Roman" w:hAnsi="Times New Roman" w:cs="Times New Roman"/>
          <w:noProof/>
          <w:lang w:val="en-GB"/>
        </w:rPr>
        <w:lastRenderedPageBreak/>
        <w:t xml:space="preserve">[29] </w:t>
      </w:r>
      <w:r w:rsidRPr="00FC2264">
        <w:rPr>
          <w:rFonts w:ascii="Times New Roman" w:hAnsi="Times New Roman" w:cs="Times New Roman"/>
          <w:noProof/>
          <w:lang w:val="en-GB"/>
        </w:rPr>
        <w:t>F. Sahigara, K. Mansouri, D. Ballabio, A. Mauri et V. C. a. R. Todeschini, «Comparison of Different Approaches to Define the Applicability Domain of QSAR Models,» Molecules, vol. 17, pp. 4791-4810, 2012.</w:t>
      </w:r>
    </w:p>
    <w:p w:rsidR="00E64E4C" w:rsidRPr="00FB6D3A" w:rsidRDefault="00E64E4C" w:rsidP="00E64E4C">
      <w:pPr>
        <w:spacing w:after="0" w:line="360" w:lineRule="auto"/>
        <w:jc w:val="both"/>
        <w:rPr>
          <w:lang w:val="en-GB"/>
        </w:rPr>
      </w:pPr>
      <w:r>
        <w:rPr>
          <w:rFonts w:ascii="Times New Roman" w:hAnsi="Times New Roman" w:cs="Times New Roman"/>
          <w:noProof/>
          <w:lang w:val="en-GB"/>
        </w:rPr>
        <w:t xml:space="preserve">[30] </w:t>
      </w:r>
      <w:r w:rsidRPr="00FC2264">
        <w:rPr>
          <w:rFonts w:ascii="Times New Roman" w:hAnsi="Times New Roman" w:cs="Times New Roman"/>
          <w:noProof/>
          <w:lang w:val="en-GB"/>
        </w:rPr>
        <w:t>K. Roy et e. al, «A Primer on QSAR/QSPR Modeling Chapter 2 Statistical Methods in QSAR/QSPR,,» Springer Briefs in Molecular Science, pp. 37-59, 2015.</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hAnsi="Times New Roman" w:cs="Times New Roman"/>
          <w:noProof/>
          <w:lang w:val="en-GB"/>
        </w:rPr>
        <w:t xml:space="preserve">[31] </w:t>
      </w:r>
      <w:r w:rsidRPr="00FC2264">
        <w:rPr>
          <w:rFonts w:ascii="Times New Roman" w:hAnsi="Times New Roman" w:cs="Times New Roman"/>
          <w:noProof/>
          <w:lang w:val="en-GB"/>
        </w:rPr>
        <w:t>J. Jaworska, N. N. Jeliazkova et T. Aldenberg, «QSAR Applicability Domain Estimation by Projection of the Training Set in Descriptor Space: A Review,» ATLA 33, p. 445–459, 2005.</w:t>
      </w:r>
    </w:p>
    <w:p w:rsidR="00E64E4C" w:rsidRPr="002256AC" w:rsidRDefault="00E64E4C" w:rsidP="00E64E4C">
      <w:pPr>
        <w:spacing w:after="0" w:line="360" w:lineRule="auto"/>
        <w:jc w:val="both"/>
      </w:pPr>
      <w:r>
        <w:rPr>
          <w:rFonts w:ascii="Times New Roman" w:hAnsi="Times New Roman" w:cs="Times New Roman"/>
          <w:noProof/>
        </w:rPr>
        <w:t>[32</w:t>
      </w:r>
      <w:r w:rsidRPr="002256AC">
        <w:rPr>
          <w:rFonts w:ascii="Times New Roman" w:hAnsi="Times New Roman" w:cs="Times New Roman"/>
          <w:noProof/>
        </w:rPr>
        <w:t xml:space="preserve">] </w:t>
      </w:r>
      <w:r w:rsidRPr="00FC2264">
        <w:rPr>
          <w:rFonts w:ascii="Times New Roman" w:hAnsi="Times New Roman" w:cs="Times New Roman"/>
          <w:noProof/>
        </w:rPr>
        <w:t>M. Ghamali, S. Chtita, M. Bouachrine et T. Lakhlifi, «Méthodologie générale d’une étude RQSA/RQSP, Revue Interdisciplinaire,» vol. 1, n° %11, 2016.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[33] </w:t>
      </w:r>
      <w:r w:rsidRPr="00FC2264">
        <w:rPr>
          <w:rFonts w:ascii="Times New Roman" w:hAnsi="Times New Roman" w:cs="Times New Roman"/>
          <w:noProof/>
          <w:lang w:val="en-GB"/>
        </w:rPr>
        <w:t>S. Chtita, M. Ghamali, R. Hmamouchi, B. Elidrissi, M. Bourass, M. Larif, M. Bouachrine et T. Lakhlifi, «Investigation of Antileishmanial Activities of Acridines Derivatives against Promastigotes and Amastigotes Form of Parasites Using QSAR Analysis,» Advances in Physical Chemistry, pp. 1-16, 2016.</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hAnsi="Times New Roman" w:cs="Times New Roman"/>
          <w:noProof/>
          <w:lang w:val="en-GB"/>
        </w:rPr>
        <w:t xml:space="preserve">[34] </w:t>
      </w:r>
      <w:r w:rsidRPr="00FC2264">
        <w:rPr>
          <w:rFonts w:ascii="Times New Roman" w:hAnsi="Times New Roman" w:cs="Times New Roman"/>
          <w:noProof/>
          <w:lang w:val="en-GB"/>
        </w:rPr>
        <w:t>T. Asadollahi, S. Dadfarnia, A. Shabani, J. Ghasemi et M. Sarkhosh, «QSAR Models for CXCR2 Receptor Antagonists Based on the Genetic Algorithm for Data Preprocessing Prior to Application of the PLS Linear Regression Method and Design of the New Compounds Using In Silico Virtual Screening,» Molecules, vol. 16, pp. 1928-1955, 2011</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Pr>
          <w:rFonts w:ascii="Times New Roman" w:hAnsi="Times New Roman" w:cs="Times New Roman"/>
          <w:noProof/>
          <w:lang w:val="en-GB"/>
        </w:rPr>
        <w:t xml:space="preserve">[35] </w:t>
      </w:r>
      <w:r w:rsidRPr="00FC2264">
        <w:rPr>
          <w:rFonts w:ascii="Times New Roman" w:hAnsi="Times New Roman" w:cs="Times New Roman"/>
          <w:noProof/>
          <w:lang w:val="en-GB"/>
        </w:rPr>
        <w:t>S. Chtita, M. Larif, M. Ghamali, M. Bouachrine et T. Lakhlifi, «Quantitative structure–activity relationship studies of dibenzo[a,d]cycloalkenimine derivatives for non-competitive antagonists of N-methyl-D-aspartate based on density functional theory with electronic and topological descriptors,» Journal of Taibah University for Science , vol. 9, pp. 143-154, 2015.</w:t>
      </w:r>
    </w:p>
    <w:p w:rsidR="00E64E4C" w:rsidRPr="00EE720A" w:rsidRDefault="00E64E4C" w:rsidP="00EE720A">
      <w:pPr>
        <w:spacing w:line="360" w:lineRule="auto"/>
        <w:jc w:val="both"/>
        <w:rPr>
          <w:rFonts w:asciiTheme="majorBidi" w:hAnsiTheme="majorBidi" w:cstheme="majorBidi"/>
          <w:sz w:val="24"/>
          <w:szCs w:val="24"/>
          <w:lang w:val="en-US"/>
        </w:rPr>
      </w:pPr>
    </w:p>
    <w:sectPr w:rsidR="00E64E4C" w:rsidRPr="00EE720A">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B93" w:rsidRDefault="00926B93" w:rsidP="002A73E0">
      <w:pPr>
        <w:spacing w:after="0" w:line="240" w:lineRule="auto"/>
      </w:pPr>
      <w:r>
        <w:separator/>
      </w:r>
    </w:p>
  </w:endnote>
  <w:endnote w:type="continuationSeparator" w:id="0">
    <w:p w:rsidR="00926B93" w:rsidRDefault="00926B93" w:rsidP="002A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B93" w:rsidRDefault="00926B93" w:rsidP="002A73E0">
      <w:pPr>
        <w:spacing w:after="0" w:line="240" w:lineRule="auto"/>
      </w:pPr>
      <w:r>
        <w:separator/>
      </w:r>
    </w:p>
  </w:footnote>
  <w:footnote w:type="continuationSeparator" w:id="0">
    <w:p w:rsidR="00926B93" w:rsidRDefault="00926B93" w:rsidP="002A7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1"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2"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DA" w:rsidRDefault="006071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0"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14"/>
    <w:rsid w:val="00066590"/>
    <w:rsid w:val="00073107"/>
    <w:rsid w:val="0016099A"/>
    <w:rsid w:val="0019624D"/>
    <w:rsid w:val="00215A7F"/>
    <w:rsid w:val="002A73E0"/>
    <w:rsid w:val="002B4148"/>
    <w:rsid w:val="002F47C9"/>
    <w:rsid w:val="00362F14"/>
    <w:rsid w:val="003A40CC"/>
    <w:rsid w:val="003C30FD"/>
    <w:rsid w:val="004D4C51"/>
    <w:rsid w:val="005137BF"/>
    <w:rsid w:val="005850EE"/>
    <w:rsid w:val="005B7C15"/>
    <w:rsid w:val="006071DA"/>
    <w:rsid w:val="00694B19"/>
    <w:rsid w:val="00694E01"/>
    <w:rsid w:val="006D78BA"/>
    <w:rsid w:val="006E1647"/>
    <w:rsid w:val="006F0921"/>
    <w:rsid w:val="007240B6"/>
    <w:rsid w:val="00747299"/>
    <w:rsid w:val="00771614"/>
    <w:rsid w:val="00832035"/>
    <w:rsid w:val="0086044D"/>
    <w:rsid w:val="008862E1"/>
    <w:rsid w:val="00926B93"/>
    <w:rsid w:val="00975D64"/>
    <w:rsid w:val="00A74F77"/>
    <w:rsid w:val="00A76BC4"/>
    <w:rsid w:val="00AC3CA3"/>
    <w:rsid w:val="00AC7FF6"/>
    <w:rsid w:val="00B17B9D"/>
    <w:rsid w:val="00B60A47"/>
    <w:rsid w:val="00B97CF8"/>
    <w:rsid w:val="00BA3957"/>
    <w:rsid w:val="00BF2CC9"/>
    <w:rsid w:val="00C45B7E"/>
    <w:rsid w:val="00CD6BEB"/>
    <w:rsid w:val="00D434B7"/>
    <w:rsid w:val="00D66116"/>
    <w:rsid w:val="00D750C4"/>
    <w:rsid w:val="00DA4936"/>
    <w:rsid w:val="00DB3DBD"/>
    <w:rsid w:val="00DD230A"/>
    <w:rsid w:val="00E64E4C"/>
    <w:rsid w:val="00EE720A"/>
    <w:rsid w:val="00F214AB"/>
    <w:rsid w:val="00F33678"/>
    <w:rsid w:val="00FA0B7A"/>
    <w:rsid w:val="00FC2F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86001"/>
  <w15:chartTrackingRefBased/>
  <w15:docId w15:val="{90F8428F-A327-4EDD-B474-1ACDF5C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0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96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4E01"/>
    <w:pPr>
      <w:spacing w:after="0" w:line="240" w:lineRule="auto"/>
    </w:pPr>
    <w:rPr>
      <w:kern w:val="2"/>
      <w:sz w:val="24"/>
      <w:szCs w:val="24"/>
      <w:lang w:val="fr-C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694E01"/>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B60A4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9624D"/>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Policepardfaut"/>
    <w:rsid w:val="00E64E4C"/>
    <w:rPr>
      <w:rFonts w:ascii="TimesNewRomanPS-BoldMT" w:hAnsi="TimesNewRomanPS-BoldMT" w:hint="default"/>
      <w:b/>
      <w:bCs/>
      <w:i w:val="0"/>
      <w:iCs w:val="0"/>
      <w:color w:val="000000"/>
      <w:sz w:val="28"/>
      <w:szCs w:val="28"/>
    </w:rPr>
  </w:style>
  <w:style w:type="paragraph" w:styleId="Bibliographie">
    <w:name w:val="Bibliography"/>
    <w:basedOn w:val="Normal"/>
    <w:next w:val="Normal"/>
    <w:uiPriority w:val="37"/>
    <w:semiHidden/>
    <w:unhideWhenUsed/>
    <w:rsid w:val="00E64E4C"/>
    <w:pPr>
      <w:spacing w:line="278" w:lineRule="auto"/>
    </w:pPr>
    <w:rPr>
      <w:kern w:val="2"/>
      <w:sz w:val="24"/>
      <w:szCs w:val="24"/>
      <w:lang w:val="fr-CI"/>
      <w14:ligatures w14:val="standardContextual"/>
    </w:rPr>
  </w:style>
  <w:style w:type="character" w:styleId="Lienhypertexte">
    <w:name w:val="Hyperlink"/>
    <w:basedOn w:val="Policepardfaut"/>
    <w:uiPriority w:val="99"/>
    <w:unhideWhenUsed/>
    <w:rsid w:val="00AC3CA3"/>
    <w:rPr>
      <w:color w:val="0563C1" w:themeColor="hyperlink"/>
      <w:u w:val="single"/>
    </w:rPr>
  </w:style>
  <w:style w:type="paragraph" w:styleId="En-tte">
    <w:name w:val="header"/>
    <w:basedOn w:val="Normal"/>
    <w:link w:val="En-tteCar"/>
    <w:uiPriority w:val="99"/>
    <w:unhideWhenUsed/>
    <w:rsid w:val="002A73E0"/>
    <w:pPr>
      <w:tabs>
        <w:tab w:val="center" w:pos="4680"/>
        <w:tab w:val="right" w:pos="9360"/>
      </w:tabs>
      <w:spacing w:after="0" w:line="240" w:lineRule="auto"/>
    </w:pPr>
  </w:style>
  <w:style w:type="character" w:customStyle="1" w:styleId="En-tteCar">
    <w:name w:val="En-tête Car"/>
    <w:basedOn w:val="Policepardfaut"/>
    <w:link w:val="En-tte"/>
    <w:uiPriority w:val="99"/>
    <w:rsid w:val="002A73E0"/>
  </w:style>
  <w:style w:type="paragraph" w:styleId="Pieddepage">
    <w:name w:val="footer"/>
    <w:basedOn w:val="Normal"/>
    <w:link w:val="PieddepageCar"/>
    <w:uiPriority w:val="99"/>
    <w:unhideWhenUsed/>
    <w:rsid w:val="002A73E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A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chart" Target="charts/chart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MCF-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Projet\MCF-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pIC50 Exp</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'Régression linéaire'!$G$125:$G$131</c:f>
              <c:numCache>
                <c:formatCode>0.0000</c:formatCode>
                <c:ptCount val="7"/>
                <c:pt idx="0">
                  <c:v>4.9118059802160055</c:v>
                </c:pt>
                <c:pt idx="1">
                  <c:v>4.7901276002173656</c:v>
                </c:pt>
                <c:pt idx="2">
                  <c:v>4.860078350653918</c:v>
                </c:pt>
                <c:pt idx="3">
                  <c:v>4.5948386015294966</c:v>
                </c:pt>
                <c:pt idx="4">
                  <c:v>5.6242047205677315</c:v>
                </c:pt>
                <c:pt idx="5">
                  <c:v>5.3290315750108395</c:v>
                </c:pt>
                <c:pt idx="6">
                  <c:v>4.6546577546495245</c:v>
                </c:pt>
              </c:numCache>
            </c:numRef>
          </c:val>
          <c:smooth val="0"/>
          <c:extLst>
            <c:ext xmlns:c16="http://schemas.microsoft.com/office/drawing/2014/chart" uri="{C3380CC4-5D6E-409C-BE32-E72D297353CC}">
              <c16:uniqueId val="{00000000-C080-4E0D-854B-F7740B427B88}"/>
            </c:ext>
          </c:extLst>
        </c:ser>
        <c:ser>
          <c:idx val="1"/>
          <c:order val="1"/>
          <c:tx>
            <c:v>pIC50 Th</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'Régression linéaire'!$H$125:$H$131</c:f>
              <c:numCache>
                <c:formatCode>0.0000</c:formatCode>
                <c:ptCount val="7"/>
                <c:pt idx="0">
                  <c:v>4.9145887775131722</c:v>
                </c:pt>
                <c:pt idx="1">
                  <c:v>4.7794741698217003</c:v>
                </c:pt>
                <c:pt idx="2">
                  <c:v>4.8307657139457545</c:v>
                </c:pt>
                <c:pt idx="3">
                  <c:v>4.6367278792987134</c:v>
                </c:pt>
                <c:pt idx="4">
                  <c:v>5.5099707946651</c:v>
                </c:pt>
                <c:pt idx="5">
                  <c:v>5.3892472724933933</c:v>
                </c:pt>
                <c:pt idx="6">
                  <c:v>4.5594029970711771</c:v>
                </c:pt>
              </c:numCache>
            </c:numRef>
          </c:val>
          <c:smooth val="0"/>
          <c:extLst>
            <c:ext xmlns:c16="http://schemas.microsoft.com/office/drawing/2014/chart" uri="{C3380CC4-5D6E-409C-BE32-E72D297353CC}">
              <c16:uniqueId val="{00000001-C080-4E0D-854B-F7740B427B88}"/>
            </c:ext>
          </c:extLst>
        </c:ser>
        <c:dLbls>
          <c:showLegendKey val="0"/>
          <c:showVal val="0"/>
          <c:showCatName val="0"/>
          <c:showSerName val="0"/>
          <c:showPercent val="0"/>
          <c:showBubbleSize val="0"/>
        </c:dLbls>
        <c:marker val="1"/>
        <c:smooth val="0"/>
        <c:axId val="118612976"/>
        <c:axId val="118608400"/>
      </c:lineChart>
      <c:catAx>
        <c:axId val="11861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Molecules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18608400"/>
        <c:crosses val="autoZero"/>
        <c:auto val="1"/>
        <c:lblAlgn val="ctr"/>
        <c:lblOffset val="100"/>
        <c:noMultiLvlLbl val="0"/>
      </c:catAx>
      <c:valAx>
        <c:axId val="118608400"/>
        <c:scaling>
          <c:orientation val="minMax"/>
          <c:min val="3"/>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1861297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57150"/>
          </c:spPr>
          <c:dPt>
            <c:idx val="0"/>
            <c:bubble3D val="0"/>
            <c:spPr>
              <a:solidFill>
                <a:schemeClr val="tx2">
                  <a:lumMod val="75000"/>
                  <a:lumOff val="25000"/>
                </a:schemeClr>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5E3-41B4-BFA8-3F485D3CF9D9}"/>
              </c:ext>
            </c:extLst>
          </c:dPt>
          <c:dPt>
            <c:idx val="1"/>
            <c:bubble3D val="0"/>
            <c:spPr>
              <a:solidFill>
                <a:schemeClr val="tx1">
                  <a:lumMod val="50000"/>
                  <a:lumOff val="50000"/>
                </a:schemeClr>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5E3-41B4-BFA8-3F485D3CF9D9}"/>
              </c:ext>
            </c:extLst>
          </c:dPt>
          <c:dPt>
            <c:idx val="2"/>
            <c:bubble3D val="0"/>
            <c:spPr>
              <a:solidFill>
                <a:schemeClr val="accent2"/>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5E3-41B4-BFA8-3F485D3CF9D9}"/>
              </c:ext>
            </c:extLst>
          </c:dPt>
          <c:dLbls>
            <c:dLbl>
              <c:idx val="0"/>
              <c:layout>
                <c:manualLayout>
                  <c:x val="-2.1301681964310676E-2"/>
                  <c:y val="3.4653465346534656E-2"/>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69D1FBA2-3AE7-46B4-8FAA-5ED7FDBA3502}" type="CATEGORYNAME">
                      <a:rPr lang="el-GR" sz="1800">
                        <a:solidFill>
                          <a:schemeClr val="tx2">
                            <a:lumMod val="75000"/>
                            <a:lumOff val="25000"/>
                          </a:schemeClr>
                        </a:solidFill>
                      </a:rPr>
                      <a:pPr>
                        <a:defRPr/>
                      </a:pPr>
                      <a:t>[NOM DE CATÉGORIE]</a:t>
                    </a:fld>
                    <a:r>
                      <a:rPr lang="en-US" sz="1800" baseline="0">
                        <a:solidFill>
                          <a:schemeClr val="tx2">
                            <a:lumMod val="75000"/>
                            <a:lumOff val="25000"/>
                          </a:schemeClr>
                        </a:solidFill>
                      </a:rPr>
                      <a:t>
</a:t>
                    </a:r>
                    <a:fld id="{9EC92B25-4153-47F7-A06B-E6DB9F7BED47}" type="PERCENTAGE">
                      <a:rPr lang="en-US" sz="1800" baseline="0">
                        <a:solidFill>
                          <a:schemeClr val="tx2">
                            <a:lumMod val="75000"/>
                            <a:lumOff val="25000"/>
                          </a:schemeClr>
                        </a:solidFill>
                      </a:rPr>
                      <a:pPr>
                        <a:defRPr/>
                      </a:pPr>
                      <a:t>[POURCENTAGE]</a:t>
                    </a:fld>
                    <a:endParaRPr lang="en-US" sz="1800" baseline="0">
                      <a:solidFill>
                        <a:schemeClr val="tx2">
                          <a:lumMod val="75000"/>
                          <a:lumOff val="25000"/>
                        </a:schemeClr>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7829585798816566"/>
                      <c:h val="0.31683168316831684"/>
                    </c:manualLayout>
                  </c15:layout>
                  <c15:dlblFieldTable/>
                  <c15:showDataLabelsRange val="0"/>
                </c:ext>
                <c:ext xmlns:c16="http://schemas.microsoft.com/office/drawing/2014/chart" uri="{C3380CC4-5D6E-409C-BE32-E72D297353CC}">
                  <c16:uniqueId val="{00000001-F5E3-41B4-BFA8-3F485D3CF9D9}"/>
                </c:ext>
              </c:extLst>
            </c:dLbl>
            <c:dLbl>
              <c:idx val="1"/>
              <c:layout>
                <c:manualLayout>
                  <c:x val="-0.10349855873609201"/>
                  <c:y val="-8.7068291488639218E-2"/>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7972CF82-7659-4151-BC5E-AE6F872E57CB}" type="CATEGORYNAME">
                      <a:rPr lang="el-GR" sz="2000">
                        <a:solidFill>
                          <a:schemeClr val="tx1">
                            <a:lumMod val="50000"/>
                            <a:lumOff val="50000"/>
                          </a:schemeClr>
                        </a:solidFill>
                      </a:rPr>
                      <a:pPr>
                        <a:defRPr>
                          <a:solidFill>
                            <a:schemeClr val="accent1"/>
                          </a:solidFill>
                        </a:defRPr>
                      </a:pPr>
                      <a:t>[NOM DE CATÉGORIE]</a:t>
                    </a:fld>
                    <a:r>
                      <a:rPr lang="en-US" sz="2000" baseline="0">
                        <a:solidFill>
                          <a:schemeClr val="tx1">
                            <a:lumMod val="50000"/>
                            <a:lumOff val="50000"/>
                          </a:schemeClr>
                        </a:solidFill>
                      </a:rPr>
                      <a:t>
</a:t>
                    </a:r>
                    <a:fld id="{D1ABE990-256E-4F1A-911C-1850D340FD28}" type="PERCENTAGE">
                      <a:rPr lang="en-US" sz="2000" baseline="0">
                        <a:solidFill>
                          <a:schemeClr val="tx1">
                            <a:lumMod val="50000"/>
                            <a:lumOff val="50000"/>
                          </a:schemeClr>
                        </a:solidFill>
                      </a:rPr>
                      <a:pPr>
                        <a:defRPr>
                          <a:solidFill>
                            <a:schemeClr val="accent1"/>
                          </a:solidFill>
                        </a:defRPr>
                      </a:pPr>
                      <a:t>[POURCENTAGE]</a:t>
                    </a:fld>
                    <a:endParaRPr lang="en-US" sz="2000" baseline="0">
                      <a:solidFill>
                        <a:schemeClr val="tx1">
                          <a:lumMod val="50000"/>
                          <a:lumOff val="50000"/>
                        </a:schemeClr>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4035502958579882"/>
                      <c:h val="0.28712871287128711"/>
                    </c:manualLayout>
                  </c15:layout>
                  <c15:dlblFieldTable/>
                  <c15:showDataLabelsRange val="0"/>
                </c:ext>
                <c:ext xmlns:c16="http://schemas.microsoft.com/office/drawing/2014/chart" uri="{C3380CC4-5D6E-409C-BE32-E72D297353CC}">
                  <c16:uniqueId val="{00000003-F5E3-41B4-BFA8-3F485D3CF9D9}"/>
                </c:ext>
              </c:extLst>
            </c:dLbl>
            <c:dLbl>
              <c:idx val="2"/>
              <c:layout>
                <c:manualLayout>
                  <c:x val="3.0769230769230771E-2"/>
                  <c:y val="2.4754424261323772E-3"/>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5C328A64-3BF2-49F3-AA5F-8D0F741F59F9}" type="CATEGORYNAME">
                      <a:rPr lang="en-US" sz="1600">
                        <a:solidFill>
                          <a:schemeClr val="accent2"/>
                        </a:solidFill>
                      </a:rPr>
                      <a:pPr>
                        <a:defRPr>
                          <a:solidFill>
                            <a:schemeClr val="accent1"/>
                          </a:solidFill>
                        </a:defRPr>
                      </a:pPr>
                      <a:t>[NOM DE CATÉGORIE]</a:t>
                    </a:fld>
                    <a:r>
                      <a:rPr lang="en-US" sz="1600" baseline="0">
                        <a:solidFill>
                          <a:schemeClr val="accent2"/>
                        </a:solidFill>
                      </a:rPr>
                      <a:t>
</a:t>
                    </a:r>
                    <a:fld id="{4086A109-D53F-465C-AF70-55BF2B8C02A5}" type="PERCENTAGE">
                      <a:rPr lang="en-US" sz="1600" baseline="0">
                        <a:solidFill>
                          <a:schemeClr val="accent2"/>
                        </a:solidFill>
                      </a:rPr>
                      <a:pPr>
                        <a:defRPr>
                          <a:solidFill>
                            <a:schemeClr val="accent1"/>
                          </a:solidFill>
                        </a:defRPr>
                      </a:pPr>
                      <a:t>[POURCENTAGE]</a:t>
                    </a:fld>
                    <a:endParaRPr lang="en-US" sz="1600" baseline="0">
                      <a:solidFill>
                        <a:schemeClr val="accent2"/>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1834319526627218"/>
                      <c:h val="0.23168316831683164"/>
                    </c:manualLayout>
                  </c15:layout>
                  <c15:dlblFieldTable/>
                  <c15:showDataLabelsRange val="0"/>
                </c:ext>
                <c:ext xmlns:c16="http://schemas.microsoft.com/office/drawing/2014/chart" uri="{C3380CC4-5D6E-409C-BE32-E72D297353CC}">
                  <c16:uniqueId val="{00000005-F5E3-41B4-BFA8-3F485D3CF9D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'Régression linéaire'!$H$107:$H$109</c:f>
              <c:strCache>
                <c:ptCount val="3"/>
                <c:pt idx="0">
                  <c:v>ω+(eV)</c:v>
                </c:pt>
                <c:pt idx="1">
                  <c:v>α(u.a)</c:v>
                </c:pt>
                <c:pt idx="2">
                  <c:v>RM</c:v>
                </c:pt>
              </c:strCache>
            </c:strRef>
          </c:cat>
          <c:val>
            <c:numRef>
              <c:f>'Régression linéaire'!$I$107:$I$109</c:f>
              <c:numCache>
                <c:formatCode>0.0000</c:formatCode>
                <c:ptCount val="3"/>
                <c:pt idx="0">
                  <c:v>6.4689910463202729</c:v>
                </c:pt>
                <c:pt idx="1">
                  <c:v>8.9139101570908004</c:v>
                </c:pt>
                <c:pt idx="2">
                  <c:v>4.277329182888236</c:v>
                </c:pt>
              </c:numCache>
            </c:numRef>
          </c:val>
          <c:extLst>
            <c:ext xmlns:c16="http://schemas.microsoft.com/office/drawing/2014/chart" uri="{C3380CC4-5D6E-409C-BE32-E72D297353CC}">
              <c16:uniqueId val="{00000006-F5E3-41B4-BFA8-3F485D3CF9D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4402</Words>
  <Characters>24217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KOUAME FRANCIS KOFFI</dc:creator>
  <cp:keywords/>
  <dc:description/>
  <cp:lastModifiedBy>hp</cp:lastModifiedBy>
  <cp:revision>28</cp:revision>
  <dcterms:created xsi:type="dcterms:W3CDTF">2025-10-30T19:07:00Z</dcterms:created>
  <dcterms:modified xsi:type="dcterms:W3CDTF">2025-11-08T13:57:00Z</dcterms:modified>
</cp:coreProperties>
</file>