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347" w:rsidRPr="001F508A" w:rsidRDefault="00D66347" w:rsidP="00D66347">
      <w:pPr>
        <w:spacing w:line="360" w:lineRule="auto"/>
        <w:jc w:val="center"/>
        <w:rPr>
          <w:rFonts w:ascii="Arial" w:hAnsi="Arial" w:cs="Arial"/>
          <w:b/>
          <w:bCs/>
          <w:sz w:val="28"/>
          <w:szCs w:val="28"/>
        </w:rPr>
      </w:pPr>
      <w:r w:rsidRPr="001F508A">
        <w:rPr>
          <w:rFonts w:ascii="Arial" w:hAnsi="Arial" w:cs="Arial"/>
          <w:b/>
          <w:bCs/>
          <w:sz w:val="28"/>
          <w:szCs w:val="28"/>
        </w:rPr>
        <w:t xml:space="preserve">Physicochemical Analysis of Wastewater of Industrial Area of </w:t>
      </w:r>
      <w:proofErr w:type="spellStart"/>
      <w:r w:rsidRPr="001F508A">
        <w:rPr>
          <w:rFonts w:ascii="Arial" w:hAnsi="Arial" w:cs="Arial"/>
          <w:b/>
          <w:bCs/>
          <w:sz w:val="28"/>
          <w:szCs w:val="28"/>
        </w:rPr>
        <w:t>Mahasamund</w:t>
      </w:r>
      <w:proofErr w:type="spellEnd"/>
      <w:r w:rsidRPr="001F508A">
        <w:rPr>
          <w:rFonts w:ascii="Arial" w:hAnsi="Arial" w:cs="Arial"/>
          <w:b/>
          <w:bCs/>
          <w:sz w:val="28"/>
          <w:szCs w:val="28"/>
        </w:rPr>
        <w:t xml:space="preserve"> (</w:t>
      </w:r>
      <w:proofErr w:type="spellStart"/>
      <w:r w:rsidRPr="001F508A">
        <w:rPr>
          <w:rFonts w:ascii="Arial" w:hAnsi="Arial" w:cs="Arial"/>
          <w:b/>
          <w:bCs/>
          <w:sz w:val="28"/>
          <w:szCs w:val="28"/>
        </w:rPr>
        <w:t>Chhattisagarh</w:t>
      </w:r>
      <w:proofErr w:type="spellEnd"/>
      <w:r w:rsidRPr="001F508A">
        <w:rPr>
          <w:rFonts w:ascii="Arial" w:hAnsi="Arial" w:cs="Arial"/>
          <w:b/>
          <w:bCs/>
          <w:sz w:val="28"/>
          <w:szCs w:val="28"/>
        </w:rPr>
        <w:t>)</w:t>
      </w:r>
    </w:p>
    <w:p w:rsidR="00635D54" w:rsidRPr="00B9740A" w:rsidRDefault="00635D54" w:rsidP="00635D54">
      <w:pPr>
        <w:tabs>
          <w:tab w:val="left" w:pos="7791"/>
        </w:tabs>
        <w:spacing w:before="240" w:line="360" w:lineRule="auto"/>
        <w:jc w:val="both"/>
        <w:rPr>
          <w:rFonts w:ascii="Arial" w:hAnsi="Arial" w:cs="Arial"/>
          <w:b/>
          <w:bCs/>
          <w:sz w:val="20"/>
          <w:szCs w:val="20"/>
        </w:rPr>
      </w:pPr>
      <w:r w:rsidRPr="00B9740A">
        <w:rPr>
          <w:rFonts w:ascii="Arial" w:hAnsi="Arial" w:cs="Arial"/>
          <w:b/>
          <w:bCs/>
          <w:sz w:val="20"/>
          <w:szCs w:val="20"/>
        </w:rPr>
        <w:t>ABSTRACT</w:t>
      </w:r>
    </w:p>
    <w:p w:rsidR="000B3988" w:rsidRPr="00B85963" w:rsidRDefault="000B3988" w:rsidP="000B3988">
      <w:pPr>
        <w:pStyle w:val="NormalWeb"/>
        <w:ind w:left="360"/>
        <w:jc w:val="both"/>
        <w:rPr>
          <w:rFonts w:ascii="Arial" w:hAnsi="Arial" w:cs="Arial"/>
          <w:sz w:val="20"/>
          <w:szCs w:val="20"/>
        </w:rPr>
      </w:pPr>
      <w:r w:rsidRPr="00B85963">
        <w:rPr>
          <w:rFonts w:ascii="Arial" w:hAnsi="Arial" w:cs="Arial"/>
          <w:sz w:val="20"/>
          <w:szCs w:val="20"/>
        </w:rPr>
        <w:t xml:space="preserve">The study focuses on assessing the </w:t>
      </w:r>
      <w:r w:rsidRPr="00B85963">
        <w:rPr>
          <w:rStyle w:val="Strong"/>
          <w:rFonts w:ascii="Arial" w:hAnsi="Arial" w:cs="Arial"/>
          <w:b w:val="0"/>
          <w:bCs w:val="0"/>
          <w:sz w:val="20"/>
          <w:szCs w:val="20"/>
        </w:rPr>
        <w:t>impact of industrialization on local water quality and the environment</w:t>
      </w:r>
      <w:r w:rsidRPr="00B85963">
        <w:rPr>
          <w:rFonts w:ascii="Arial" w:hAnsi="Arial" w:cs="Arial"/>
          <w:sz w:val="20"/>
          <w:szCs w:val="20"/>
        </w:rPr>
        <w:t xml:space="preserve"> in the </w:t>
      </w:r>
      <w:proofErr w:type="spellStart"/>
      <w:r w:rsidRPr="00B85963">
        <w:rPr>
          <w:rFonts w:ascii="Arial" w:hAnsi="Arial" w:cs="Arial"/>
          <w:sz w:val="20"/>
          <w:szCs w:val="20"/>
        </w:rPr>
        <w:t>Mahasamund</w:t>
      </w:r>
      <w:proofErr w:type="spellEnd"/>
      <w:r w:rsidRPr="00B85963">
        <w:rPr>
          <w:rFonts w:ascii="Arial" w:hAnsi="Arial" w:cs="Arial"/>
          <w:sz w:val="20"/>
          <w:szCs w:val="20"/>
        </w:rPr>
        <w:t xml:space="preserve"> region, Chhattisgarh.</w:t>
      </w:r>
      <w:r w:rsidRPr="00B85963">
        <w:rPr>
          <w:rFonts w:ascii="Arial" w:hAnsi="Arial" w:cs="Arial"/>
          <w:sz w:val="20"/>
          <w:szCs w:val="20"/>
          <w:cs/>
        </w:rPr>
        <w:t xml:space="preserve"> </w:t>
      </w:r>
      <w:r w:rsidRPr="00B85963">
        <w:rPr>
          <w:rFonts w:ascii="Arial" w:hAnsi="Arial" w:cs="Arial"/>
          <w:sz w:val="20"/>
          <w:szCs w:val="20"/>
        </w:rPr>
        <w:t xml:space="preserve">Its main objective is to </w:t>
      </w:r>
      <w:r w:rsidRPr="00B85963">
        <w:rPr>
          <w:rStyle w:val="Strong"/>
          <w:rFonts w:ascii="Arial" w:hAnsi="Arial" w:cs="Arial"/>
          <w:b w:val="0"/>
          <w:bCs w:val="0"/>
          <w:sz w:val="20"/>
          <w:szCs w:val="20"/>
        </w:rPr>
        <w:t>analyze physicochemical parameters</w:t>
      </w:r>
      <w:r w:rsidRPr="00B85963">
        <w:rPr>
          <w:rFonts w:ascii="Arial" w:hAnsi="Arial" w:cs="Arial"/>
          <w:sz w:val="20"/>
          <w:szCs w:val="20"/>
        </w:rPr>
        <w:t xml:space="preserve"> of water a</w:t>
      </w:r>
      <w:bookmarkStart w:id="0" w:name="_GoBack"/>
      <w:bookmarkEnd w:id="0"/>
      <w:r w:rsidRPr="00B85963">
        <w:rPr>
          <w:rFonts w:ascii="Arial" w:hAnsi="Arial" w:cs="Arial"/>
          <w:sz w:val="20"/>
          <w:szCs w:val="20"/>
        </w:rPr>
        <w:t xml:space="preserve">nd wastewater and relate them to </w:t>
      </w:r>
      <w:smartTag w:uri="urn:schemas-microsoft-com:office:smarttags" w:element="stockticker">
        <w:r w:rsidRPr="00B85963">
          <w:rPr>
            <w:rStyle w:val="Strong"/>
            <w:rFonts w:ascii="Arial" w:hAnsi="Arial" w:cs="Arial"/>
            <w:b w:val="0"/>
            <w:bCs w:val="0"/>
            <w:sz w:val="20"/>
            <w:szCs w:val="20"/>
          </w:rPr>
          <w:t>BIS</w:t>
        </w:r>
      </w:smartTag>
      <w:r w:rsidRPr="00B85963">
        <w:rPr>
          <w:rStyle w:val="Strong"/>
          <w:rFonts w:ascii="Arial" w:hAnsi="Arial" w:cs="Arial"/>
          <w:b w:val="0"/>
          <w:bCs w:val="0"/>
          <w:sz w:val="20"/>
          <w:szCs w:val="20"/>
        </w:rPr>
        <w:t xml:space="preserve"> (IS: 10500)</w:t>
      </w:r>
      <w:r w:rsidRPr="00B85963">
        <w:rPr>
          <w:rFonts w:ascii="Arial" w:hAnsi="Arial" w:cs="Arial"/>
          <w:sz w:val="20"/>
          <w:szCs w:val="20"/>
        </w:rPr>
        <w:t xml:space="preserve"> and </w:t>
      </w:r>
      <w:r w:rsidRPr="00B85963">
        <w:rPr>
          <w:rStyle w:val="Strong"/>
          <w:rFonts w:ascii="Arial" w:hAnsi="Arial" w:cs="Arial"/>
          <w:b w:val="0"/>
          <w:bCs w:val="0"/>
          <w:sz w:val="20"/>
          <w:szCs w:val="20"/>
        </w:rPr>
        <w:t>WHO</w:t>
      </w:r>
      <w:r w:rsidRPr="00B85963">
        <w:rPr>
          <w:rFonts w:ascii="Arial" w:hAnsi="Arial" w:cs="Arial"/>
          <w:sz w:val="20"/>
          <w:szCs w:val="20"/>
        </w:rPr>
        <w:t xml:space="preserve"> standards.</w:t>
      </w:r>
      <w:r w:rsidRPr="00B85963">
        <w:rPr>
          <w:rFonts w:ascii="Arial" w:hAnsi="Arial" w:cs="Arial"/>
          <w:sz w:val="20"/>
          <w:szCs w:val="20"/>
          <w:cs/>
        </w:rPr>
        <w:t xml:space="preserve"> </w:t>
      </w:r>
      <w:r w:rsidRPr="00B85963">
        <w:rPr>
          <w:rFonts w:ascii="Arial" w:hAnsi="Arial" w:cs="Arial"/>
          <w:sz w:val="20"/>
          <w:szCs w:val="20"/>
        </w:rPr>
        <w:t xml:space="preserve">The research was conducted in </w:t>
      </w:r>
      <w:proofErr w:type="spellStart"/>
      <w:r w:rsidRPr="00B85963">
        <w:rPr>
          <w:rStyle w:val="Strong"/>
          <w:rFonts w:ascii="Arial" w:hAnsi="Arial" w:cs="Arial"/>
          <w:b w:val="0"/>
          <w:bCs w:val="0"/>
          <w:sz w:val="20"/>
          <w:szCs w:val="20"/>
        </w:rPr>
        <w:t>Birkoni</w:t>
      </w:r>
      <w:proofErr w:type="spellEnd"/>
      <w:r w:rsidRPr="00B85963">
        <w:rPr>
          <w:rStyle w:val="Strong"/>
          <w:rFonts w:ascii="Arial" w:hAnsi="Arial" w:cs="Arial"/>
          <w:b w:val="0"/>
          <w:bCs w:val="0"/>
          <w:sz w:val="20"/>
          <w:szCs w:val="20"/>
        </w:rPr>
        <w:t xml:space="preserve"> and </w:t>
      </w:r>
      <w:proofErr w:type="spellStart"/>
      <w:r w:rsidRPr="00B85963">
        <w:rPr>
          <w:rStyle w:val="Strong"/>
          <w:rFonts w:ascii="Arial" w:hAnsi="Arial" w:cs="Arial"/>
          <w:b w:val="0"/>
          <w:bCs w:val="0"/>
          <w:sz w:val="20"/>
          <w:szCs w:val="20"/>
        </w:rPr>
        <w:t>Belsonda</w:t>
      </w:r>
      <w:proofErr w:type="spellEnd"/>
      <w:r w:rsidRPr="00B85963">
        <w:rPr>
          <w:rFonts w:ascii="Arial" w:hAnsi="Arial" w:cs="Arial"/>
          <w:sz w:val="20"/>
          <w:szCs w:val="20"/>
        </w:rPr>
        <w:t>, two rapidly developing industrial areas with agro-based, textile, and chemical units.</w:t>
      </w:r>
      <w:r w:rsidRPr="00B85963">
        <w:rPr>
          <w:rFonts w:ascii="Arial" w:hAnsi="Arial" w:cs="Arial"/>
          <w:sz w:val="20"/>
          <w:szCs w:val="20"/>
          <w:cs/>
        </w:rPr>
        <w:t xml:space="preserve"> </w:t>
      </w:r>
      <w:r w:rsidRPr="00B85963">
        <w:rPr>
          <w:rFonts w:ascii="Arial" w:hAnsi="Arial" w:cs="Arial"/>
          <w:sz w:val="20"/>
          <w:szCs w:val="20"/>
        </w:rPr>
        <w:t xml:space="preserve">Uncontrolled discharge of untreated effluents and sewage has </w:t>
      </w:r>
      <w:r w:rsidRPr="00B85963">
        <w:rPr>
          <w:rStyle w:val="Strong"/>
          <w:rFonts w:ascii="Arial" w:hAnsi="Arial" w:cs="Arial"/>
          <w:b w:val="0"/>
          <w:bCs w:val="0"/>
          <w:sz w:val="20"/>
          <w:szCs w:val="20"/>
        </w:rPr>
        <w:t>polluted both surface and groundwater sources</w:t>
      </w:r>
      <w:r w:rsidRPr="00B85963">
        <w:rPr>
          <w:rFonts w:ascii="Arial" w:hAnsi="Arial" w:cs="Arial"/>
          <w:sz w:val="20"/>
          <w:szCs w:val="20"/>
        </w:rPr>
        <w:t>.</w:t>
      </w:r>
      <w:r w:rsidRPr="00B85963">
        <w:rPr>
          <w:rFonts w:ascii="Arial" w:hAnsi="Arial" w:cs="Arial"/>
          <w:sz w:val="20"/>
          <w:szCs w:val="20"/>
          <w:cs/>
        </w:rPr>
        <w:t xml:space="preserve"> </w:t>
      </w:r>
      <w:r w:rsidRPr="00B85963">
        <w:rPr>
          <w:rFonts w:ascii="Arial" w:hAnsi="Arial" w:cs="Arial"/>
          <w:sz w:val="20"/>
          <w:szCs w:val="20"/>
        </w:rPr>
        <w:t xml:space="preserve">Seasonal sampling was performed during </w:t>
      </w:r>
      <w:r w:rsidRPr="00B85963">
        <w:rPr>
          <w:rStyle w:val="Strong"/>
          <w:rFonts w:ascii="Arial" w:hAnsi="Arial" w:cs="Arial"/>
          <w:b w:val="0"/>
          <w:bCs w:val="0"/>
          <w:sz w:val="20"/>
          <w:szCs w:val="20"/>
        </w:rPr>
        <w:t>pre-monsoon, monsoon, and post-monsoon</w:t>
      </w:r>
      <w:r w:rsidRPr="00B85963">
        <w:rPr>
          <w:rFonts w:ascii="Arial" w:hAnsi="Arial" w:cs="Arial"/>
          <w:sz w:val="20"/>
          <w:szCs w:val="20"/>
        </w:rPr>
        <w:t xml:space="preserve"> periods following </w:t>
      </w:r>
      <w:r w:rsidRPr="00B85963">
        <w:rPr>
          <w:rStyle w:val="Strong"/>
          <w:rFonts w:ascii="Arial" w:hAnsi="Arial" w:cs="Arial"/>
          <w:b w:val="0"/>
          <w:bCs w:val="0"/>
          <w:sz w:val="20"/>
          <w:szCs w:val="20"/>
        </w:rPr>
        <w:t>APHA (2017)</w:t>
      </w:r>
      <w:r w:rsidRPr="00B85963">
        <w:rPr>
          <w:rFonts w:ascii="Arial" w:hAnsi="Arial" w:cs="Arial"/>
          <w:sz w:val="20"/>
          <w:szCs w:val="20"/>
        </w:rPr>
        <w:t xml:space="preserve"> guidelines.</w:t>
      </w:r>
      <w:r w:rsidRPr="00B85963">
        <w:rPr>
          <w:rFonts w:ascii="Arial" w:hAnsi="Arial" w:cs="Arial"/>
          <w:sz w:val="20"/>
          <w:szCs w:val="20"/>
          <w:cs/>
        </w:rPr>
        <w:t xml:space="preserve"> </w:t>
      </w:r>
      <w:r w:rsidRPr="00B85963">
        <w:rPr>
          <w:rFonts w:ascii="Arial" w:hAnsi="Arial" w:cs="Arial"/>
          <w:sz w:val="20"/>
          <w:szCs w:val="20"/>
        </w:rPr>
        <w:t xml:space="preserve">Key parameters studied included </w:t>
      </w:r>
      <w:r w:rsidRPr="00B85963">
        <w:rPr>
          <w:rStyle w:val="Strong"/>
          <w:rFonts w:ascii="Arial" w:hAnsi="Arial" w:cs="Arial"/>
          <w:b w:val="0"/>
          <w:bCs w:val="0"/>
          <w:sz w:val="20"/>
          <w:szCs w:val="20"/>
        </w:rPr>
        <w:t>pH, TDS, hardness, chloride, sulfate, nitrate, DO, BOD, and COD</w:t>
      </w:r>
      <w:r w:rsidRPr="00B85963">
        <w:rPr>
          <w:rFonts w:ascii="Arial" w:hAnsi="Arial" w:cs="Arial"/>
          <w:sz w:val="20"/>
          <w:szCs w:val="20"/>
        </w:rPr>
        <w:t>.</w:t>
      </w:r>
      <w:r w:rsidRPr="00B85963">
        <w:rPr>
          <w:rFonts w:ascii="Arial" w:hAnsi="Arial" w:cs="Arial"/>
          <w:sz w:val="20"/>
          <w:szCs w:val="20"/>
          <w:cs/>
        </w:rPr>
        <w:t xml:space="preserve"> </w:t>
      </w:r>
      <w:r w:rsidRPr="00B85963">
        <w:rPr>
          <w:rFonts w:ascii="Arial" w:hAnsi="Arial" w:cs="Arial"/>
          <w:sz w:val="20"/>
          <w:szCs w:val="20"/>
        </w:rPr>
        <w:t xml:space="preserve">pH values ranged between </w:t>
      </w:r>
      <w:r w:rsidRPr="00B85963">
        <w:rPr>
          <w:rStyle w:val="Strong"/>
          <w:rFonts w:ascii="Arial" w:hAnsi="Arial" w:cs="Arial"/>
          <w:b w:val="0"/>
          <w:bCs w:val="0"/>
          <w:sz w:val="20"/>
          <w:szCs w:val="20"/>
        </w:rPr>
        <w:t>6.4–8.3</w:t>
      </w:r>
      <w:r w:rsidRPr="00B85963">
        <w:rPr>
          <w:rFonts w:ascii="Arial" w:hAnsi="Arial" w:cs="Arial"/>
          <w:sz w:val="20"/>
          <w:szCs w:val="20"/>
        </w:rPr>
        <w:t>, indicating mild acidity to alkalinity from industrial and domestic effluents.</w:t>
      </w:r>
      <w:r w:rsidRPr="00B85963">
        <w:rPr>
          <w:rFonts w:ascii="Arial" w:hAnsi="Arial" w:cs="Arial"/>
          <w:sz w:val="20"/>
          <w:szCs w:val="20"/>
          <w:cs/>
        </w:rPr>
        <w:t xml:space="preserve"> </w:t>
      </w:r>
      <w:r w:rsidRPr="00B85963">
        <w:rPr>
          <w:rStyle w:val="Strong"/>
          <w:rFonts w:ascii="Arial" w:hAnsi="Arial" w:cs="Arial"/>
          <w:b w:val="0"/>
          <w:bCs w:val="0"/>
          <w:sz w:val="20"/>
          <w:szCs w:val="20"/>
        </w:rPr>
        <w:t xml:space="preserve"> </w:t>
      </w:r>
      <w:smartTag w:uri="urn:schemas-microsoft-com:office:smarttags" w:element="stockticker">
        <w:r w:rsidRPr="00B85963">
          <w:rPr>
            <w:rStyle w:val="Strong"/>
            <w:rFonts w:ascii="Arial" w:hAnsi="Arial" w:cs="Arial"/>
            <w:b w:val="0"/>
            <w:bCs w:val="0"/>
            <w:sz w:val="20"/>
            <w:szCs w:val="20"/>
          </w:rPr>
          <w:t>TDS</w:t>
        </w:r>
      </w:smartTag>
      <w:r w:rsidRPr="00B85963">
        <w:rPr>
          <w:rFonts w:ascii="Arial" w:hAnsi="Arial" w:cs="Arial"/>
          <w:sz w:val="20"/>
          <w:szCs w:val="20"/>
        </w:rPr>
        <w:t xml:space="preserve"> exceeded permissible limits, reflecting high salinity and ionic concentration.</w:t>
      </w:r>
      <w:r w:rsidRPr="00B85963">
        <w:rPr>
          <w:rFonts w:ascii="Arial" w:hAnsi="Arial" w:cs="Arial"/>
          <w:sz w:val="20"/>
          <w:szCs w:val="20"/>
          <w:cs/>
        </w:rPr>
        <w:t xml:space="preserve"> </w:t>
      </w:r>
      <w:r w:rsidRPr="00B85963">
        <w:rPr>
          <w:rStyle w:val="Strong"/>
          <w:rFonts w:ascii="Arial" w:hAnsi="Arial" w:cs="Arial"/>
          <w:b w:val="0"/>
          <w:bCs w:val="0"/>
          <w:sz w:val="20"/>
          <w:szCs w:val="20"/>
        </w:rPr>
        <w:t>Hardness (160–780 mg/L)</w:t>
      </w:r>
      <w:r w:rsidRPr="00B85963">
        <w:rPr>
          <w:rFonts w:ascii="Arial" w:hAnsi="Arial" w:cs="Arial"/>
          <w:sz w:val="20"/>
          <w:szCs w:val="20"/>
        </w:rPr>
        <w:t xml:space="preserve"> classified most samples as hard to very hard, showing mineral contamination.</w:t>
      </w:r>
      <w:r w:rsidRPr="00B85963">
        <w:rPr>
          <w:rFonts w:ascii="Arial" w:hAnsi="Arial" w:cs="Arial"/>
          <w:sz w:val="20"/>
          <w:szCs w:val="20"/>
          <w:cs/>
        </w:rPr>
        <w:t xml:space="preserve"> </w:t>
      </w:r>
      <w:r w:rsidRPr="00B85963">
        <w:rPr>
          <w:rStyle w:val="Strong"/>
          <w:rFonts w:ascii="Arial" w:hAnsi="Arial" w:cs="Arial"/>
          <w:b w:val="0"/>
          <w:bCs w:val="0"/>
          <w:sz w:val="20"/>
          <w:szCs w:val="20"/>
        </w:rPr>
        <w:t>Low DO (&lt;4 mg/L)</w:t>
      </w:r>
      <w:r w:rsidRPr="00B85963">
        <w:rPr>
          <w:rFonts w:ascii="Arial" w:hAnsi="Arial" w:cs="Arial"/>
          <w:sz w:val="20"/>
          <w:szCs w:val="20"/>
        </w:rPr>
        <w:t xml:space="preserve"> and high </w:t>
      </w:r>
      <w:r w:rsidRPr="00B85963">
        <w:rPr>
          <w:rStyle w:val="Strong"/>
          <w:rFonts w:ascii="Arial" w:hAnsi="Arial" w:cs="Arial"/>
          <w:b w:val="0"/>
          <w:bCs w:val="0"/>
          <w:sz w:val="20"/>
          <w:szCs w:val="20"/>
        </w:rPr>
        <w:t>BOD (up to 48 mg/L)</w:t>
      </w:r>
      <w:r w:rsidRPr="00B85963">
        <w:rPr>
          <w:rFonts w:ascii="Arial" w:hAnsi="Arial" w:cs="Arial"/>
          <w:sz w:val="20"/>
          <w:szCs w:val="20"/>
        </w:rPr>
        <w:t xml:space="preserve"> and </w:t>
      </w:r>
      <w:r w:rsidRPr="00B85963">
        <w:rPr>
          <w:rStyle w:val="Strong"/>
          <w:rFonts w:ascii="Arial" w:hAnsi="Arial" w:cs="Arial"/>
          <w:b w:val="0"/>
          <w:bCs w:val="0"/>
          <w:sz w:val="20"/>
          <w:szCs w:val="20"/>
        </w:rPr>
        <w:t>COD (up to 120 mg/L)</w:t>
      </w:r>
      <w:r w:rsidRPr="00B85963">
        <w:rPr>
          <w:rFonts w:ascii="Arial" w:hAnsi="Arial" w:cs="Arial"/>
          <w:sz w:val="20"/>
          <w:szCs w:val="20"/>
        </w:rPr>
        <w:t xml:space="preserve"> proved severe organic load from untreated waste.</w:t>
      </w:r>
      <w:r w:rsidRPr="00B85963">
        <w:rPr>
          <w:rFonts w:ascii="Arial" w:hAnsi="Arial" w:cs="Arial"/>
          <w:sz w:val="20"/>
          <w:szCs w:val="20"/>
          <w:cs/>
        </w:rPr>
        <w:t xml:space="preserve"> </w:t>
      </w:r>
      <w:r w:rsidRPr="00B85963">
        <w:rPr>
          <w:rFonts w:ascii="Arial" w:hAnsi="Arial" w:cs="Arial"/>
          <w:sz w:val="20"/>
          <w:szCs w:val="20"/>
        </w:rPr>
        <w:t xml:space="preserve">Water Quality Index (WQI) categorized most samples as </w:t>
      </w:r>
      <w:r w:rsidRPr="00B85963">
        <w:rPr>
          <w:rStyle w:val="Strong"/>
          <w:rFonts w:ascii="Arial" w:hAnsi="Arial" w:cs="Arial"/>
          <w:b w:val="0"/>
          <w:bCs w:val="0"/>
          <w:sz w:val="20"/>
          <w:szCs w:val="20"/>
        </w:rPr>
        <w:t>moderately to highly polluted</w:t>
      </w:r>
      <w:r w:rsidRPr="00B85963">
        <w:rPr>
          <w:rFonts w:ascii="Arial" w:hAnsi="Arial" w:cs="Arial"/>
          <w:sz w:val="20"/>
          <w:szCs w:val="20"/>
        </w:rPr>
        <w:t>, unsuitable for direct domestic use.</w:t>
      </w:r>
      <w:r w:rsidRPr="00B85963">
        <w:rPr>
          <w:rFonts w:ascii="Arial" w:hAnsi="Arial" w:cs="Arial"/>
          <w:sz w:val="20"/>
          <w:szCs w:val="20"/>
          <w:cs/>
        </w:rPr>
        <w:t xml:space="preserve"> </w:t>
      </w:r>
      <w:r w:rsidRPr="00B85963">
        <w:rPr>
          <w:rFonts w:ascii="Arial" w:hAnsi="Arial" w:cs="Arial"/>
          <w:sz w:val="20"/>
          <w:szCs w:val="20"/>
        </w:rPr>
        <w:t xml:space="preserve">Compared with BIS and WHO limits, many parameters exceeded standards, showing </w:t>
      </w:r>
      <w:r w:rsidRPr="00B85963">
        <w:rPr>
          <w:rStyle w:val="Strong"/>
          <w:rFonts w:ascii="Arial" w:hAnsi="Arial" w:cs="Arial"/>
          <w:b w:val="0"/>
          <w:bCs w:val="0"/>
          <w:sz w:val="20"/>
          <w:szCs w:val="20"/>
        </w:rPr>
        <w:t>unsuitability for drinking</w:t>
      </w:r>
      <w:r w:rsidRPr="00B85963">
        <w:rPr>
          <w:rFonts w:ascii="Arial" w:hAnsi="Arial" w:cs="Arial"/>
          <w:sz w:val="20"/>
          <w:szCs w:val="20"/>
        </w:rPr>
        <w:t xml:space="preserve"> and </w:t>
      </w:r>
      <w:r w:rsidRPr="00B85963">
        <w:rPr>
          <w:rStyle w:val="Strong"/>
          <w:rFonts w:ascii="Arial" w:hAnsi="Arial" w:cs="Arial"/>
          <w:b w:val="0"/>
          <w:bCs w:val="0"/>
          <w:sz w:val="20"/>
          <w:szCs w:val="20"/>
        </w:rPr>
        <w:t>moderate suitability for irrigation</w:t>
      </w:r>
      <w:r w:rsidRPr="00B85963">
        <w:rPr>
          <w:rFonts w:ascii="Arial" w:hAnsi="Arial" w:cs="Arial"/>
          <w:sz w:val="20"/>
          <w:szCs w:val="20"/>
        </w:rPr>
        <w:t>.</w:t>
      </w:r>
      <w:r w:rsidRPr="00B85963">
        <w:rPr>
          <w:rFonts w:ascii="Arial" w:hAnsi="Arial" w:cs="Arial"/>
          <w:sz w:val="20"/>
          <w:szCs w:val="20"/>
          <w:cs/>
        </w:rPr>
        <w:t xml:space="preserve"> </w:t>
      </w:r>
      <w:r w:rsidRPr="00B85963">
        <w:rPr>
          <w:rFonts w:ascii="Arial" w:hAnsi="Arial" w:cs="Arial"/>
          <w:sz w:val="20"/>
          <w:szCs w:val="20"/>
        </w:rPr>
        <w:t xml:space="preserve">Polluted water poses </w:t>
      </w:r>
      <w:r w:rsidRPr="00B85963">
        <w:rPr>
          <w:rStyle w:val="Strong"/>
          <w:rFonts w:ascii="Arial" w:hAnsi="Arial" w:cs="Arial"/>
          <w:b w:val="0"/>
          <w:bCs w:val="0"/>
          <w:sz w:val="20"/>
          <w:szCs w:val="20"/>
        </w:rPr>
        <w:t>public health risks</w:t>
      </w:r>
      <w:r w:rsidRPr="00B85963">
        <w:rPr>
          <w:rFonts w:ascii="Arial" w:hAnsi="Arial" w:cs="Arial"/>
          <w:sz w:val="20"/>
          <w:szCs w:val="20"/>
        </w:rPr>
        <w:t>, including methemoglobinemia, gastrointestinal issues, and cardiovascular problems.</w:t>
      </w:r>
      <w:r w:rsidRPr="00B85963">
        <w:rPr>
          <w:rFonts w:ascii="Arial" w:hAnsi="Arial" w:cs="Arial"/>
          <w:sz w:val="20"/>
          <w:szCs w:val="20"/>
          <w:cs/>
        </w:rPr>
        <w:t xml:space="preserve"> </w:t>
      </w:r>
      <w:r w:rsidRPr="00B85963">
        <w:rPr>
          <w:rFonts w:ascii="Arial" w:hAnsi="Arial" w:cs="Arial"/>
          <w:sz w:val="20"/>
          <w:szCs w:val="20"/>
        </w:rPr>
        <w:t xml:space="preserve">Environmental effects include </w:t>
      </w:r>
      <w:r w:rsidRPr="00B85963">
        <w:rPr>
          <w:rStyle w:val="Strong"/>
          <w:rFonts w:ascii="Arial" w:hAnsi="Arial" w:cs="Arial"/>
          <w:b w:val="0"/>
          <w:bCs w:val="0"/>
          <w:sz w:val="20"/>
          <w:szCs w:val="20"/>
        </w:rPr>
        <w:t>loss of aquatic biodiversity, eutrophication, and soil degradation</w:t>
      </w:r>
      <w:r w:rsidRPr="00B85963">
        <w:rPr>
          <w:rFonts w:ascii="Arial" w:hAnsi="Arial" w:cs="Arial"/>
          <w:sz w:val="20"/>
          <w:szCs w:val="20"/>
        </w:rPr>
        <w:t>.</w:t>
      </w:r>
      <w:r w:rsidRPr="00B85963">
        <w:rPr>
          <w:rFonts w:ascii="Arial" w:hAnsi="Arial" w:cs="Arial"/>
          <w:sz w:val="20"/>
          <w:szCs w:val="20"/>
          <w:cs/>
        </w:rPr>
        <w:t xml:space="preserve"> </w:t>
      </w:r>
      <w:r w:rsidRPr="00B85963">
        <w:rPr>
          <w:rFonts w:ascii="Arial" w:hAnsi="Arial" w:cs="Arial"/>
          <w:sz w:val="20"/>
          <w:szCs w:val="20"/>
        </w:rPr>
        <w:t xml:space="preserve">The study stresses the need for </w:t>
      </w:r>
      <w:r w:rsidRPr="00B85963">
        <w:rPr>
          <w:rStyle w:val="Strong"/>
          <w:rFonts w:ascii="Arial" w:hAnsi="Arial" w:cs="Arial"/>
          <w:b w:val="0"/>
          <w:bCs w:val="0"/>
          <w:sz w:val="20"/>
          <w:szCs w:val="20"/>
        </w:rPr>
        <w:t>integrated, eco-sustainable wastewater management</w:t>
      </w:r>
      <w:r w:rsidRPr="00B85963">
        <w:rPr>
          <w:rFonts w:ascii="Arial" w:hAnsi="Arial" w:cs="Arial"/>
          <w:sz w:val="20"/>
          <w:szCs w:val="20"/>
        </w:rPr>
        <w:t xml:space="preserve"> strategies.</w:t>
      </w:r>
      <w:r w:rsidRPr="00B85963">
        <w:rPr>
          <w:rFonts w:ascii="Arial" w:hAnsi="Arial" w:cs="Arial"/>
          <w:sz w:val="20"/>
          <w:szCs w:val="20"/>
          <w:cs/>
        </w:rPr>
        <w:t xml:space="preserve"> </w:t>
      </w:r>
      <w:r w:rsidRPr="00B85963">
        <w:rPr>
          <w:rFonts w:ascii="Arial" w:hAnsi="Arial" w:cs="Arial"/>
          <w:sz w:val="20"/>
          <w:szCs w:val="20"/>
        </w:rPr>
        <w:t xml:space="preserve">The research concludes that </w:t>
      </w:r>
      <w:r w:rsidRPr="00B85963">
        <w:rPr>
          <w:rStyle w:val="Strong"/>
          <w:rFonts w:ascii="Arial" w:hAnsi="Arial" w:cs="Arial"/>
          <w:b w:val="0"/>
          <w:bCs w:val="0"/>
          <w:sz w:val="20"/>
          <w:szCs w:val="20"/>
        </w:rPr>
        <w:t>sustainable wastewater management, eco-based technologies, and policy integration</w:t>
      </w:r>
      <w:r w:rsidRPr="00B85963">
        <w:rPr>
          <w:rFonts w:ascii="Arial" w:hAnsi="Arial" w:cs="Arial"/>
          <w:sz w:val="20"/>
          <w:szCs w:val="20"/>
        </w:rPr>
        <w:t xml:space="preserve"> can restore </w:t>
      </w:r>
      <w:proofErr w:type="spellStart"/>
      <w:r w:rsidRPr="00B85963">
        <w:rPr>
          <w:rFonts w:ascii="Arial" w:hAnsi="Arial" w:cs="Arial"/>
          <w:sz w:val="20"/>
          <w:szCs w:val="20"/>
        </w:rPr>
        <w:t>Mahasamund’s</w:t>
      </w:r>
      <w:proofErr w:type="spellEnd"/>
      <w:r w:rsidRPr="00B85963">
        <w:rPr>
          <w:rFonts w:ascii="Arial" w:hAnsi="Arial" w:cs="Arial"/>
          <w:sz w:val="20"/>
          <w:szCs w:val="20"/>
        </w:rPr>
        <w:t xml:space="preserve"> water ecosystem and promote long-term environmental health.</w:t>
      </w:r>
    </w:p>
    <w:p w:rsidR="000B3988" w:rsidRPr="00B85963" w:rsidRDefault="000B3988" w:rsidP="000B3988">
      <w:pPr>
        <w:spacing w:line="240" w:lineRule="auto"/>
        <w:jc w:val="both"/>
        <w:rPr>
          <w:rFonts w:ascii="Arial" w:hAnsi="Arial" w:cs="Arial"/>
          <w:b/>
          <w:bCs/>
          <w:i/>
          <w:iCs/>
          <w:sz w:val="20"/>
          <w:szCs w:val="20"/>
        </w:rPr>
      </w:pPr>
      <w:r w:rsidRPr="00B85963">
        <w:rPr>
          <w:rFonts w:ascii="Arial" w:hAnsi="Arial" w:cs="Arial"/>
          <w:b/>
          <w:bCs/>
          <w:i/>
          <w:iCs/>
          <w:sz w:val="20"/>
          <w:szCs w:val="20"/>
        </w:rPr>
        <w:t xml:space="preserve">Keywords: industrial area, ecosystem, </w:t>
      </w:r>
      <w:r w:rsidRPr="00B85963">
        <w:rPr>
          <w:rFonts w:ascii="Arial" w:hAnsi="Arial" w:cs="Arial"/>
          <w:b/>
          <w:bCs/>
          <w:i/>
          <w:iCs/>
          <w:sz w:val="20"/>
          <w:szCs w:val="18"/>
          <w:cs/>
          <w:lang w:bidi="hi-IN"/>
        </w:rPr>
        <w:t>waste</w:t>
      </w:r>
      <w:r w:rsidRPr="00B85963">
        <w:rPr>
          <w:rFonts w:ascii="Arial" w:hAnsi="Arial" w:cs="Arial"/>
          <w:b/>
          <w:bCs/>
          <w:i/>
          <w:iCs/>
          <w:sz w:val="20"/>
          <w:szCs w:val="20"/>
        </w:rPr>
        <w:t>water,</w:t>
      </w:r>
      <w:r w:rsidRPr="00B85963">
        <w:rPr>
          <w:rFonts w:ascii="Arial" w:hAnsi="Arial" w:cs="Arial"/>
          <w:b/>
          <w:bCs/>
          <w:i/>
          <w:iCs/>
          <w:sz w:val="20"/>
          <w:szCs w:val="18"/>
          <w:cs/>
          <w:lang w:bidi="hi-IN"/>
        </w:rPr>
        <w:t xml:space="preserve"> physicochemical, WHO</w:t>
      </w:r>
      <w:r w:rsidRPr="00B85963">
        <w:rPr>
          <w:rFonts w:ascii="Arial" w:hAnsi="Arial" w:cs="Arial"/>
          <w:b/>
          <w:bCs/>
          <w:i/>
          <w:iCs/>
          <w:sz w:val="20"/>
          <w:szCs w:val="20"/>
        </w:rPr>
        <w:t>.</w:t>
      </w:r>
    </w:p>
    <w:p w:rsidR="00BC213A" w:rsidRDefault="00BC213A" w:rsidP="00BC213A">
      <w:pPr>
        <w:spacing w:line="240" w:lineRule="auto"/>
        <w:jc w:val="both"/>
        <w:rPr>
          <w:rFonts w:ascii="Arial" w:hAnsi="Arial" w:cs="Arial"/>
          <w:b/>
          <w:bCs/>
          <w:sz w:val="22"/>
          <w:szCs w:val="22"/>
        </w:rPr>
      </w:pPr>
    </w:p>
    <w:p w:rsidR="000B3988" w:rsidRPr="00B85963" w:rsidRDefault="000B3988" w:rsidP="000B3988">
      <w:pPr>
        <w:spacing w:line="240" w:lineRule="auto"/>
        <w:jc w:val="both"/>
        <w:rPr>
          <w:rFonts w:ascii="Arial" w:hAnsi="Arial" w:cs="Arial"/>
          <w:b/>
          <w:bCs/>
          <w:i/>
          <w:iCs/>
          <w:sz w:val="20"/>
          <w:szCs w:val="20"/>
        </w:rPr>
      </w:pPr>
      <w:r w:rsidRPr="00B85963">
        <w:rPr>
          <w:rFonts w:ascii="Arial" w:hAnsi="Arial" w:cs="Arial"/>
          <w:b/>
          <w:bCs/>
          <w:sz w:val="22"/>
          <w:szCs w:val="22"/>
        </w:rPr>
        <w:t>1. INTRODUCTION</w:t>
      </w:r>
    </w:p>
    <w:p w:rsidR="000B3988" w:rsidRPr="00B85963" w:rsidRDefault="000B3988" w:rsidP="000B3988">
      <w:pPr>
        <w:spacing w:line="360" w:lineRule="auto"/>
        <w:jc w:val="both"/>
        <w:rPr>
          <w:rFonts w:ascii="Arial" w:hAnsi="Arial" w:cs="Arial"/>
          <w:sz w:val="20"/>
          <w:szCs w:val="20"/>
        </w:rPr>
      </w:pPr>
      <w:r w:rsidRPr="00B85963">
        <w:rPr>
          <w:rFonts w:ascii="Arial" w:hAnsi="Arial" w:cs="Arial"/>
          <w:sz w:val="20"/>
          <w:szCs w:val="20"/>
        </w:rPr>
        <w:t xml:space="preserve">Water is most critical natural resource, vital to life, development and environmental sustainability. </w:t>
      </w:r>
      <w:r w:rsidRPr="00B85963">
        <w:rPr>
          <w:rFonts w:ascii="Arial" w:hAnsi="Arial" w:cs="Arial"/>
          <w:sz w:val="20"/>
          <w:szCs w:val="20"/>
          <w:highlight w:val="cyan"/>
        </w:rPr>
        <w:t>I</w:t>
      </w:r>
      <w:r w:rsidRPr="00B85963">
        <w:rPr>
          <w:rFonts w:ascii="Arial" w:hAnsi="Arial" w:cs="Arial"/>
          <w:sz w:val="20"/>
          <w:szCs w:val="20"/>
        </w:rPr>
        <w:t xml:space="preserve">ncreasing urbanization, industrialization and population growth the stress on freshwater resources has increased, particularly in developing nations such as India. The exponential growth in generation of wastewater with limited treatment capacity has become a significant environmental and public health issue (Vaidya et al., 2023). India generates almost 61,948 Million </w:t>
      </w:r>
      <w:proofErr w:type="spellStart"/>
      <w:r w:rsidRPr="00B85963">
        <w:rPr>
          <w:rFonts w:ascii="Arial" w:hAnsi="Arial" w:cs="Arial"/>
          <w:sz w:val="20"/>
          <w:szCs w:val="20"/>
        </w:rPr>
        <w:t>Liters</w:t>
      </w:r>
      <w:proofErr w:type="spellEnd"/>
      <w:r w:rsidRPr="00B85963">
        <w:rPr>
          <w:rFonts w:ascii="Arial" w:hAnsi="Arial" w:cs="Arial"/>
          <w:sz w:val="20"/>
          <w:szCs w:val="20"/>
        </w:rPr>
        <w:t xml:space="preserve"> per Day (MLD) of sewage, of which only around 38% is properly treated, while the rest of the wastewater is released into the environment in untreated or partially treated form, as stated by the Central Pollution Control Board (CPCB) (Vaidya et al., 2023; </w:t>
      </w:r>
      <w:proofErr w:type="spellStart"/>
      <w:r w:rsidRPr="00B85963">
        <w:rPr>
          <w:rFonts w:ascii="Arial" w:hAnsi="Arial" w:cs="Arial"/>
          <w:sz w:val="20"/>
          <w:szCs w:val="20"/>
        </w:rPr>
        <w:t>Adbarzi</w:t>
      </w:r>
      <w:proofErr w:type="spellEnd"/>
      <w:r w:rsidRPr="00B85963">
        <w:rPr>
          <w:rFonts w:ascii="Arial" w:hAnsi="Arial" w:cs="Arial"/>
          <w:sz w:val="20"/>
          <w:szCs w:val="20"/>
        </w:rPr>
        <w:t xml:space="preserve"> et al., 2020). Untreated sewage pollutes rivers, lakes, and aquifers of groundwater, posing risks to ecosystems and human health by facilitating the transmission of waterborne diseases and the deposition of harmful substances (</w:t>
      </w:r>
      <w:proofErr w:type="spellStart"/>
      <w:r w:rsidRPr="00B85963">
        <w:rPr>
          <w:rFonts w:ascii="Arial" w:hAnsi="Arial" w:cs="Arial"/>
          <w:sz w:val="20"/>
          <w:szCs w:val="20"/>
        </w:rPr>
        <w:t>Parwin</w:t>
      </w:r>
      <w:proofErr w:type="spellEnd"/>
      <w:r w:rsidRPr="00B85963">
        <w:rPr>
          <w:rFonts w:ascii="Arial" w:hAnsi="Arial" w:cs="Arial"/>
          <w:sz w:val="20"/>
          <w:szCs w:val="20"/>
        </w:rPr>
        <w:t xml:space="preserve"> et al., 2024; Bharti et al., 2020). </w:t>
      </w:r>
      <w:proofErr w:type="spellStart"/>
      <w:r w:rsidRPr="00B85963">
        <w:rPr>
          <w:rFonts w:ascii="Arial" w:hAnsi="Arial" w:cs="Arial"/>
          <w:sz w:val="20"/>
          <w:szCs w:val="20"/>
        </w:rPr>
        <w:t>Mahasamund</w:t>
      </w:r>
      <w:proofErr w:type="spellEnd"/>
      <w:r w:rsidRPr="00B85963">
        <w:rPr>
          <w:rFonts w:ascii="Arial" w:hAnsi="Arial" w:cs="Arial"/>
          <w:sz w:val="20"/>
          <w:szCs w:val="20"/>
        </w:rPr>
        <w:t xml:space="preserve"> a central-eastern Chhattisgarh district represents an opposite case study of the dynamics and challenges involved in wastewater management in this environment. Groundwater is the major source of drinking and agricultural water in </w:t>
      </w:r>
      <w:proofErr w:type="spellStart"/>
      <w:r w:rsidRPr="00B85963">
        <w:rPr>
          <w:rFonts w:ascii="Arial" w:hAnsi="Arial" w:cs="Arial"/>
          <w:sz w:val="20"/>
          <w:szCs w:val="20"/>
        </w:rPr>
        <w:t>Mahasamund</w:t>
      </w:r>
      <w:proofErr w:type="spellEnd"/>
      <w:r w:rsidRPr="00B85963">
        <w:rPr>
          <w:rFonts w:ascii="Arial" w:hAnsi="Arial" w:cs="Arial"/>
          <w:sz w:val="20"/>
          <w:szCs w:val="20"/>
        </w:rPr>
        <w:t xml:space="preserve">, which is accessed mainly through borewells and handpumps. While surface water contamination from industrial effluent and domestic sewage has </w:t>
      </w:r>
      <w:r w:rsidRPr="00B85963">
        <w:rPr>
          <w:rFonts w:ascii="Arial" w:hAnsi="Arial" w:cs="Arial"/>
          <w:sz w:val="20"/>
          <w:szCs w:val="20"/>
        </w:rPr>
        <w:lastRenderedPageBreak/>
        <w:t>also increased, groundwater sources are progressively threatened by leaching contaminants (Chaudhary et al., 2024). Seasonal fluctuations, particularly during the dry and monsoon seasons, consequently increase this pressure, impacting both the quality and availability of water resources (</w:t>
      </w:r>
      <w:proofErr w:type="spellStart"/>
      <w:r w:rsidRPr="00B85963">
        <w:rPr>
          <w:rFonts w:ascii="Arial" w:hAnsi="Arial" w:cs="Arial"/>
          <w:sz w:val="20"/>
          <w:szCs w:val="20"/>
        </w:rPr>
        <w:t>Chandrakar</w:t>
      </w:r>
      <w:proofErr w:type="spellEnd"/>
      <w:r w:rsidRPr="00B85963">
        <w:rPr>
          <w:rFonts w:ascii="Arial" w:hAnsi="Arial" w:cs="Arial"/>
          <w:sz w:val="20"/>
          <w:szCs w:val="20"/>
        </w:rPr>
        <w:t xml:space="preserve"> et al., 2018). A number of studies conducted in comparable environments in India unveil shocking variations in physicochemical parameters including pH, TDS, BOD, COD, heavy metals, and microbial load of wastewater samples (</w:t>
      </w:r>
      <w:proofErr w:type="spellStart"/>
      <w:r w:rsidRPr="00B85963">
        <w:rPr>
          <w:rFonts w:ascii="Arial" w:hAnsi="Arial" w:cs="Arial"/>
          <w:sz w:val="20"/>
          <w:szCs w:val="20"/>
        </w:rPr>
        <w:t>Adbarzi</w:t>
      </w:r>
      <w:proofErr w:type="spellEnd"/>
      <w:r w:rsidRPr="00B85963">
        <w:rPr>
          <w:rFonts w:ascii="Arial" w:hAnsi="Arial" w:cs="Arial"/>
          <w:sz w:val="20"/>
          <w:szCs w:val="20"/>
        </w:rPr>
        <w:t xml:space="preserve"> et al., 2020; </w:t>
      </w:r>
      <w:proofErr w:type="spellStart"/>
      <w:r w:rsidRPr="00B85963">
        <w:rPr>
          <w:rFonts w:ascii="Arial" w:hAnsi="Arial" w:cs="Arial"/>
          <w:sz w:val="20"/>
          <w:szCs w:val="20"/>
        </w:rPr>
        <w:t>Sahu</w:t>
      </w:r>
      <w:proofErr w:type="spellEnd"/>
      <w:r w:rsidRPr="00B85963">
        <w:rPr>
          <w:rFonts w:ascii="Arial" w:hAnsi="Arial" w:cs="Arial"/>
          <w:sz w:val="20"/>
          <w:szCs w:val="20"/>
        </w:rPr>
        <w:t xml:space="preserve"> et al., 2022). Without proper treatment, these pollutants seep into the water and soil bodies, significantly impacting agriculture production and subjecting the people to risky health hazards (Bharti et al., 2020; </w:t>
      </w:r>
      <w:proofErr w:type="spellStart"/>
      <w:r w:rsidRPr="00B85963">
        <w:rPr>
          <w:rFonts w:ascii="Arial" w:hAnsi="Arial" w:cs="Arial"/>
          <w:sz w:val="20"/>
          <w:szCs w:val="20"/>
        </w:rPr>
        <w:t>Parwin</w:t>
      </w:r>
      <w:proofErr w:type="spellEnd"/>
      <w:r w:rsidRPr="00B85963">
        <w:rPr>
          <w:rFonts w:ascii="Arial" w:hAnsi="Arial" w:cs="Arial"/>
          <w:sz w:val="20"/>
          <w:szCs w:val="20"/>
        </w:rPr>
        <w:t xml:space="preserve"> et al., 2024). In </w:t>
      </w:r>
      <w:proofErr w:type="spellStart"/>
      <w:r w:rsidRPr="00B85963">
        <w:rPr>
          <w:rFonts w:ascii="Arial" w:hAnsi="Arial" w:cs="Arial"/>
          <w:sz w:val="20"/>
          <w:szCs w:val="20"/>
        </w:rPr>
        <w:t>Mahasamund</w:t>
      </w:r>
      <w:proofErr w:type="spellEnd"/>
      <w:r w:rsidRPr="00B85963">
        <w:rPr>
          <w:rFonts w:ascii="Arial" w:hAnsi="Arial" w:cs="Arial"/>
          <w:sz w:val="20"/>
          <w:szCs w:val="20"/>
        </w:rPr>
        <w:t>, this is also compounded by inadequate institutional capacity, poor monitoring, and public ignorance of wastewater threats (Gu</w:t>
      </w:r>
      <w:r w:rsidR="00A30B19">
        <w:rPr>
          <w:rFonts w:ascii="Arial" w:hAnsi="Arial" w:cs="Arial"/>
          <w:sz w:val="20"/>
          <w:szCs w:val="20"/>
        </w:rPr>
        <w:t>pta, 2020; Singh et al., 2023).</w:t>
      </w:r>
      <w:r w:rsidR="00A30B19">
        <w:rPr>
          <w:rFonts w:ascii="Arial" w:hAnsi="Arial" w:cs="Arial Unicode MS" w:hint="cs"/>
          <w:sz w:val="20"/>
          <w:szCs w:val="18"/>
          <w:cs/>
          <w:lang w:bidi="hi-IN"/>
        </w:rPr>
        <w:t xml:space="preserve"> </w:t>
      </w:r>
      <w:r w:rsidRPr="00B85963">
        <w:rPr>
          <w:rFonts w:ascii="Arial" w:hAnsi="Arial" w:cs="Arial"/>
          <w:sz w:val="20"/>
          <w:szCs w:val="20"/>
        </w:rPr>
        <w:t xml:space="preserve">The urgent requirement for sustainable wastewater treatment methods becomes apparent in this context. Centralized sewage treatment plants (STPs), although available in some regions of the nation; tend to be underperforming based on deficiencies of trained personnel, ineffective maintenance procedures, and insufficient funding (Gautam et al., 2013; Chatterjee et al., 2016). An area where one can foresee innovation is the utilization of bio-coagulants from natural sources like fruit peels, seeds, and other plant-based materials. Banana peels (Musa </w:t>
      </w:r>
      <w:proofErr w:type="spellStart"/>
      <w:r w:rsidRPr="00B85963">
        <w:rPr>
          <w:rFonts w:ascii="Arial" w:hAnsi="Arial" w:cs="Arial"/>
          <w:sz w:val="20"/>
          <w:szCs w:val="20"/>
        </w:rPr>
        <w:t>paradisiaca</w:t>
      </w:r>
      <w:proofErr w:type="spellEnd"/>
      <w:r w:rsidRPr="00B85963">
        <w:rPr>
          <w:rFonts w:ascii="Arial" w:hAnsi="Arial" w:cs="Arial"/>
          <w:sz w:val="20"/>
          <w:szCs w:val="20"/>
        </w:rPr>
        <w:t xml:space="preserve">), soybean hulls, and </w:t>
      </w:r>
      <w:proofErr w:type="spellStart"/>
      <w:r w:rsidRPr="00B85963">
        <w:rPr>
          <w:rFonts w:ascii="Arial" w:hAnsi="Arial" w:cs="Arial"/>
          <w:sz w:val="20"/>
          <w:szCs w:val="20"/>
        </w:rPr>
        <w:t>Strychnos</w:t>
      </w:r>
      <w:proofErr w:type="spellEnd"/>
      <w:r w:rsidRPr="00B85963">
        <w:rPr>
          <w:rFonts w:ascii="Arial" w:hAnsi="Arial" w:cs="Arial"/>
          <w:sz w:val="20"/>
          <w:szCs w:val="20"/>
        </w:rPr>
        <w:t xml:space="preserve"> </w:t>
      </w:r>
      <w:proofErr w:type="spellStart"/>
      <w:r w:rsidRPr="00B85963">
        <w:rPr>
          <w:rFonts w:ascii="Arial" w:hAnsi="Arial" w:cs="Arial"/>
          <w:sz w:val="20"/>
          <w:szCs w:val="20"/>
        </w:rPr>
        <w:t>potatorum</w:t>
      </w:r>
      <w:proofErr w:type="spellEnd"/>
      <w:r w:rsidRPr="00B85963">
        <w:rPr>
          <w:rFonts w:ascii="Arial" w:hAnsi="Arial" w:cs="Arial"/>
          <w:sz w:val="20"/>
          <w:szCs w:val="20"/>
        </w:rPr>
        <w:t xml:space="preserve"> seeds have also been recognized as suitable agents for turbidity and pollutant removal (</w:t>
      </w:r>
      <w:proofErr w:type="spellStart"/>
      <w:r w:rsidRPr="00B85963">
        <w:rPr>
          <w:rFonts w:ascii="Arial" w:hAnsi="Arial" w:cs="Arial"/>
          <w:sz w:val="20"/>
          <w:szCs w:val="20"/>
        </w:rPr>
        <w:t>Aripen</w:t>
      </w:r>
      <w:proofErr w:type="spellEnd"/>
      <w:r w:rsidRPr="00B85963">
        <w:rPr>
          <w:rFonts w:ascii="Arial" w:hAnsi="Arial" w:cs="Arial"/>
          <w:sz w:val="20"/>
          <w:szCs w:val="20"/>
        </w:rPr>
        <w:t xml:space="preserve"> et al., 2023; </w:t>
      </w:r>
      <w:proofErr w:type="spellStart"/>
      <w:r w:rsidRPr="00B85963">
        <w:rPr>
          <w:rFonts w:ascii="Arial" w:hAnsi="Arial" w:cs="Arial"/>
          <w:sz w:val="20"/>
          <w:szCs w:val="20"/>
        </w:rPr>
        <w:t>Daverey</w:t>
      </w:r>
      <w:proofErr w:type="spellEnd"/>
      <w:r w:rsidRPr="00B85963">
        <w:rPr>
          <w:rFonts w:ascii="Arial" w:hAnsi="Arial" w:cs="Arial"/>
          <w:sz w:val="20"/>
          <w:szCs w:val="20"/>
        </w:rPr>
        <w:t xml:space="preserve"> et al., 2019; </w:t>
      </w:r>
      <w:proofErr w:type="spellStart"/>
      <w:r w:rsidRPr="00B85963">
        <w:rPr>
          <w:rFonts w:ascii="Arial" w:hAnsi="Arial" w:cs="Arial"/>
          <w:sz w:val="20"/>
          <w:szCs w:val="20"/>
        </w:rPr>
        <w:t>Choubey</w:t>
      </w:r>
      <w:proofErr w:type="spellEnd"/>
      <w:r w:rsidRPr="00B85963">
        <w:rPr>
          <w:rFonts w:ascii="Arial" w:hAnsi="Arial" w:cs="Arial"/>
          <w:sz w:val="20"/>
          <w:szCs w:val="20"/>
        </w:rPr>
        <w:t xml:space="preserve">, 2014). These bio-coagulants not only provide an inexpensive substitute for synthetic chemicals but also facilitate a circular economy through the reuse of agricultural and food wastage (Chong &amp; </w:t>
      </w:r>
      <w:proofErr w:type="spellStart"/>
      <w:r w:rsidRPr="00B85963">
        <w:rPr>
          <w:rFonts w:ascii="Arial" w:hAnsi="Arial" w:cs="Arial"/>
          <w:sz w:val="20"/>
          <w:szCs w:val="20"/>
        </w:rPr>
        <w:t>Kiew</w:t>
      </w:r>
      <w:proofErr w:type="spellEnd"/>
      <w:r w:rsidRPr="00B85963">
        <w:rPr>
          <w:rFonts w:ascii="Arial" w:hAnsi="Arial" w:cs="Arial"/>
          <w:sz w:val="20"/>
          <w:szCs w:val="20"/>
        </w:rPr>
        <w:t>, 2017; Patel et al., 2025).</w:t>
      </w:r>
    </w:p>
    <w:p w:rsidR="00D66347" w:rsidRPr="001F508A" w:rsidRDefault="007A22BB" w:rsidP="00463D4F">
      <w:pPr>
        <w:spacing w:line="360" w:lineRule="auto"/>
        <w:jc w:val="both"/>
        <w:rPr>
          <w:rFonts w:ascii="Arial" w:hAnsi="Arial" w:cs="Arial"/>
          <w:b/>
          <w:bCs/>
          <w:sz w:val="22"/>
          <w:szCs w:val="22"/>
        </w:rPr>
      </w:pPr>
      <w:r w:rsidRPr="001F508A">
        <w:rPr>
          <w:rFonts w:ascii="Arial" w:hAnsi="Arial" w:cs="Arial"/>
          <w:b/>
          <w:bCs/>
          <w:sz w:val="22"/>
          <w:szCs w:val="22"/>
        </w:rPr>
        <w:t xml:space="preserve">2. METHODOLOGY </w:t>
      </w:r>
    </w:p>
    <w:p w:rsidR="00A30B19" w:rsidRPr="00B85963" w:rsidRDefault="00A30B19" w:rsidP="00A30B19">
      <w:pPr>
        <w:pStyle w:val="CommentText"/>
        <w:rPr>
          <w:rFonts w:ascii="Arial" w:hAnsi="Arial" w:cs="Arial"/>
        </w:rPr>
      </w:pPr>
      <w:r w:rsidRPr="00B85963">
        <w:rPr>
          <w:rFonts w:ascii="Arial" w:hAnsi="Arial" w:cs="Arial"/>
          <w:b/>
          <w:bCs/>
          <w:sz w:val="22"/>
          <w:szCs w:val="22"/>
        </w:rPr>
        <w:t>2.1 Climatic condition of study area</w:t>
      </w:r>
    </w:p>
    <w:p w:rsidR="00A30B19" w:rsidRPr="00B85963" w:rsidRDefault="00A30B19" w:rsidP="00A30B19">
      <w:pPr>
        <w:spacing w:before="120" w:after="120" w:line="360" w:lineRule="auto"/>
        <w:jc w:val="both"/>
        <w:rPr>
          <w:rFonts w:ascii="Arial" w:hAnsi="Arial" w:cs="Arial"/>
          <w:sz w:val="20"/>
          <w:szCs w:val="20"/>
        </w:rPr>
      </w:pPr>
      <w:r w:rsidRPr="00B85963">
        <w:rPr>
          <w:rFonts w:ascii="Arial" w:hAnsi="Arial" w:cs="Arial"/>
          <w:sz w:val="20"/>
          <w:szCs w:val="20"/>
        </w:rPr>
        <w:t xml:space="preserve">The study was carried out in Chhattisgarh's </w:t>
      </w:r>
      <w:proofErr w:type="spellStart"/>
      <w:r w:rsidRPr="00B85963">
        <w:rPr>
          <w:rFonts w:ascii="Arial" w:hAnsi="Arial" w:cs="Arial"/>
          <w:sz w:val="20"/>
          <w:szCs w:val="20"/>
        </w:rPr>
        <w:t>Mahasamund</w:t>
      </w:r>
      <w:proofErr w:type="spellEnd"/>
      <w:r w:rsidRPr="00B85963">
        <w:rPr>
          <w:rFonts w:ascii="Arial" w:hAnsi="Arial" w:cs="Arial"/>
          <w:sz w:val="20"/>
          <w:szCs w:val="20"/>
        </w:rPr>
        <w:t xml:space="preserve"> district, an area that has seen considerable industrial development over the last decade. The main industrial area of interest in this study is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a developing industrial cluster made up of ceramic, agro-processing, and chemical-based industries generating huge quantities of wastewater. The </w:t>
      </w:r>
      <w:proofErr w:type="spellStart"/>
      <w:r w:rsidRPr="00B85963">
        <w:rPr>
          <w:rFonts w:ascii="Arial" w:hAnsi="Arial" w:cs="Arial"/>
          <w:sz w:val="20"/>
          <w:szCs w:val="20"/>
        </w:rPr>
        <w:t>Belsonda</w:t>
      </w:r>
      <w:proofErr w:type="spellEnd"/>
      <w:r w:rsidRPr="00B85963">
        <w:rPr>
          <w:rFonts w:ascii="Arial" w:hAnsi="Arial" w:cs="Arial"/>
          <w:sz w:val="20"/>
          <w:szCs w:val="20"/>
        </w:rPr>
        <w:t xml:space="preserve"> Water Treatment Plant was also chosen as an alternate site, which is a centralized treatment plant with mixed industrial and domestic wastewater feed streams. The area falls between latitudes of 20°30′–21°15′ N and longitudes of 82°00′–83°15′ E, with a tropical monsoon climate having hot summers, moderate winters, and a monsoon lasting from June to September.</w:t>
      </w:r>
    </w:p>
    <w:p w:rsidR="00A30B19" w:rsidRPr="00B85963" w:rsidRDefault="00A30B19" w:rsidP="00A30B19">
      <w:pPr>
        <w:pStyle w:val="CommentText"/>
        <w:rPr>
          <w:rFonts w:ascii="Arial" w:hAnsi="Arial" w:cs="Arial"/>
          <w:b/>
          <w:bCs/>
          <w:sz w:val="22"/>
          <w:lang w:bidi="hi-IN"/>
        </w:rPr>
      </w:pPr>
      <w:r w:rsidRPr="00B85963">
        <w:rPr>
          <w:rFonts w:ascii="Arial" w:hAnsi="Arial" w:cs="Arial"/>
          <w:b/>
          <w:bCs/>
          <w:sz w:val="22"/>
          <w:szCs w:val="22"/>
        </w:rPr>
        <w:t xml:space="preserve">2.2 </w:t>
      </w:r>
      <w:r w:rsidRPr="00B85963">
        <w:rPr>
          <w:rFonts w:ascii="Arial" w:hAnsi="Arial" w:cs="Arial"/>
          <w:b/>
          <w:bCs/>
          <w:sz w:val="22"/>
          <w:szCs w:val="22"/>
          <w:lang w:bidi="hi-IN"/>
        </w:rPr>
        <w:t>Duration</w:t>
      </w:r>
      <w:r w:rsidRPr="00B85963">
        <w:rPr>
          <w:rFonts w:ascii="Arial" w:hAnsi="Arial" w:cs="Arial"/>
          <w:b/>
          <w:bCs/>
          <w:sz w:val="22"/>
          <w:szCs w:val="22"/>
        </w:rPr>
        <w:t xml:space="preserve"> and frequency of sampling</w:t>
      </w:r>
    </w:p>
    <w:p w:rsidR="00A30B19" w:rsidRPr="00B85963" w:rsidRDefault="00A30B19" w:rsidP="00A30B19">
      <w:pPr>
        <w:pStyle w:val="CommentText"/>
        <w:jc w:val="both"/>
        <w:rPr>
          <w:rFonts w:ascii="Arial" w:hAnsi="Arial" w:cs="Arial"/>
          <w:b/>
          <w:bCs/>
          <w:szCs w:val="18"/>
          <w:lang w:bidi="hi-IN"/>
        </w:rPr>
      </w:pPr>
      <w:r w:rsidRPr="00B85963">
        <w:rPr>
          <w:rFonts w:ascii="Arial" w:hAnsi="Arial" w:cs="Arial"/>
        </w:rPr>
        <w:t>Bi-monthly sampling was undertaken for six months (January to June 2024), covering dry and pre-monsoon seasons. Temporal study design catered to seasonal differences in the effluent's characteristics (</w:t>
      </w:r>
      <w:proofErr w:type="spellStart"/>
      <w:r w:rsidRPr="00B85963">
        <w:rPr>
          <w:rFonts w:ascii="Arial" w:hAnsi="Arial" w:cs="Arial"/>
        </w:rPr>
        <w:t>Adbarzi</w:t>
      </w:r>
      <w:proofErr w:type="spellEnd"/>
      <w:r w:rsidRPr="00B85963">
        <w:rPr>
          <w:rFonts w:ascii="Arial" w:hAnsi="Arial" w:cs="Arial"/>
        </w:rPr>
        <w:t xml:space="preserve"> et al., 2020).</w:t>
      </w:r>
    </w:p>
    <w:p w:rsidR="00A30B19" w:rsidRPr="00B85963" w:rsidRDefault="00A30B19" w:rsidP="00A30B19">
      <w:pPr>
        <w:pStyle w:val="CommentText"/>
        <w:jc w:val="both"/>
        <w:rPr>
          <w:rFonts w:ascii="Arial" w:hAnsi="Arial" w:cs="Arial"/>
          <w:b/>
          <w:bCs/>
        </w:rPr>
      </w:pPr>
      <w:r w:rsidRPr="00B85963">
        <w:rPr>
          <w:rFonts w:ascii="Arial" w:hAnsi="Arial" w:cs="Arial"/>
          <w:b/>
          <w:bCs/>
          <w:sz w:val="22"/>
          <w:szCs w:val="22"/>
        </w:rPr>
        <w:t>2.</w:t>
      </w:r>
      <w:r w:rsidRPr="00B85963">
        <w:rPr>
          <w:rFonts w:ascii="Arial" w:hAnsi="Arial" w:cs="Arial"/>
          <w:b/>
          <w:bCs/>
          <w:sz w:val="22"/>
          <w:szCs w:val="22"/>
          <w:cs/>
          <w:lang w:bidi="hi-IN"/>
        </w:rPr>
        <w:t xml:space="preserve">3 </w:t>
      </w:r>
      <w:r w:rsidRPr="00B85963">
        <w:rPr>
          <w:rFonts w:ascii="Arial" w:hAnsi="Arial" w:cs="Arial"/>
          <w:b/>
          <w:bCs/>
          <w:sz w:val="22"/>
          <w:szCs w:val="22"/>
        </w:rPr>
        <w:t>Sampling and storing technique</w:t>
      </w:r>
    </w:p>
    <w:p w:rsidR="00A30B19" w:rsidRPr="00B85963" w:rsidRDefault="00A30B19" w:rsidP="00A30B19">
      <w:pPr>
        <w:spacing w:before="120" w:after="120" w:line="360" w:lineRule="auto"/>
        <w:jc w:val="both"/>
        <w:rPr>
          <w:rFonts w:ascii="Arial" w:hAnsi="Arial" w:cs="Arial"/>
          <w:sz w:val="20"/>
          <w:szCs w:val="18"/>
          <w:cs/>
          <w:lang w:bidi="hi-IN"/>
        </w:rPr>
      </w:pPr>
      <w:r w:rsidRPr="00B85963">
        <w:rPr>
          <w:rFonts w:ascii="Arial" w:hAnsi="Arial" w:cs="Arial"/>
          <w:sz w:val="20"/>
          <w:szCs w:val="20"/>
        </w:rPr>
        <w:t xml:space="preserve">The samples of wastewater were gathered using pre-cleaned 2 L HDPE bottles according to the APHA (2017) guidelines. Bottles were cleaned using the sample water prior to collection, closed, labelled, and </w:t>
      </w:r>
      <w:r w:rsidRPr="00B85963">
        <w:rPr>
          <w:rFonts w:ascii="Arial" w:hAnsi="Arial" w:cs="Arial"/>
          <w:sz w:val="20"/>
          <w:szCs w:val="20"/>
        </w:rPr>
        <w:lastRenderedPageBreak/>
        <w:t>moved under chilled conditions (4°C) to the Environmental Science Laboratory.</w:t>
      </w:r>
      <w:r w:rsidRPr="00B85963">
        <w:rPr>
          <w:rFonts w:ascii="Arial" w:hAnsi="Arial" w:cs="Arial"/>
          <w:szCs w:val="21"/>
          <w:cs/>
          <w:lang w:bidi="hi-IN"/>
        </w:rPr>
        <w:t xml:space="preserve"> </w:t>
      </w:r>
      <w:r w:rsidRPr="00B85963">
        <w:rPr>
          <w:rFonts w:ascii="Arial" w:hAnsi="Arial" w:cs="Arial"/>
          <w:sz w:val="20"/>
          <w:szCs w:val="20"/>
        </w:rPr>
        <w:t>They were analysed within 24 h of collection to avoid degradation or chemical change.</w:t>
      </w:r>
    </w:p>
    <w:p w:rsidR="00A30B19" w:rsidRPr="00B85963" w:rsidRDefault="00A30B19" w:rsidP="00A30B19">
      <w:pPr>
        <w:pStyle w:val="CommentText"/>
        <w:numPr>
          <w:ilvl w:val="1"/>
          <w:numId w:val="9"/>
        </w:numPr>
        <w:rPr>
          <w:rFonts w:ascii="Arial" w:hAnsi="Arial" w:cs="Arial"/>
          <w:b/>
          <w:bCs/>
          <w:sz w:val="22"/>
          <w:lang w:bidi="hi-IN"/>
        </w:rPr>
      </w:pPr>
      <w:r w:rsidRPr="00B85963">
        <w:rPr>
          <w:rFonts w:ascii="Arial" w:hAnsi="Arial" w:cs="Arial"/>
          <w:b/>
          <w:bCs/>
          <w:sz w:val="22"/>
          <w:szCs w:val="22"/>
        </w:rPr>
        <w:t>Analysis methodology name of all parameters</w:t>
      </w:r>
    </w:p>
    <w:p w:rsidR="00A30B19" w:rsidRPr="00B85963" w:rsidRDefault="00A30B19" w:rsidP="00A30B19">
      <w:pPr>
        <w:spacing w:before="120" w:after="120" w:line="360" w:lineRule="auto"/>
        <w:jc w:val="both"/>
        <w:rPr>
          <w:rFonts w:ascii="Arial" w:hAnsi="Arial" w:cs="Arial"/>
          <w:sz w:val="20"/>
          <w:szCs w:val="20"/>
        </w:rPr>
      </w:pPr>
      <w:r w:rsidRPr="00B85963">
        <w:rPr>
          <w:rFonts w:ascii="Arial" w:hAnsi="Arial" w:cs="Arial"/>
          <w:sz w:val="20"/>
          <w:szCs w:val="20"/>
        </w:rPr>
        <w:t>Physicochemical examinations were carried out to establish baseline water quality. Parameters measured included:</w:t>
      </w:r>
      <w:r w:rsidRPr="00B85963">
        <w:rPr>
          <w:rFonts w:ascii="Arial" w:hAnsi="Arial" w:cs="Arial"/>
          <w:sz w:val="20"/>
          <w:szCs w:val="18"/>
          <w:cs/>
          <w:lang w:bidi="hi-IN"/>
        </w:rPr>
        <w:t xml:space="preserve"> </w:t>
      </w:r>
      <w:r w:rsidRPr="00B85963">
        <w:rPr>
          <w:rFonts w:ascii="Arial" w:hAnsi="Arial" w:cs="Arial"/>
          <w:sz w:val="20"/>
          <w:szCs w:val="20"/>
        </w:rPr>
        <w:t>pH, turbidity, total dissolved solids (TDS), Total hardness (TH), total alkalinity, dissolved oxygen (DO), sulphate, chloride, and fluoride.</w:t>
      </w:r>
      <w:r w:rsidRPr="00B85963">
        <w:rPr>
          <w:rFonts w:ascii="Arial" w:hAnsi="Arial" w:cs="Arial"/>
          <w:sz w:val="20"/>
          <w:szCs w:val="18"/>
          <w:cs/>
          <w:lang w:bidi="hi-IN"/>
        </w:rPr>
        <w:t xml:space="preserve"> </w:t>
      </w:r>
      <w:r w:rsidRPr="00B85963">
        <w:rPr>
          <w:rFonts w:ascii="Arial" w:hAnsi="Arial" w:cs="Arial"/>
          <w:sz w:val="20"/>
          <w:szCs w:val="20"/>
        </w:rPr>
        <w:t>Standard procedures according to APHA (2017) were used for all measurements.</w:t>
      </w:r>
    </w:p>
    <w:p w:rsidR="00AF1A21" w:rsidRPr="001F508A" w:rsidRDefault="00F51583" w:rsidP="00463D4F">
      <w:pPr>
        <w:jc w:val="both"/>
        <w:rPr>
          <w:rFonts w:ascii="Arial" w:hAnsi="Arial" w:cs="Arial"/>
          <w:b/>
          <w:bCs/>
          <w:sz w:val="22"/>
          <w:szCs w:val="22"/>
        </w:rPr>
      </w:pPr>
      <w:r>
        <w:rPr>
          <w:rFonts w:ascii="Arial" w:hAnsi="Arial" w:cs="Arial"/>
          <w:b/>
          <w:bCs/>
          <w:sz w:val="22"/>
          <w:szCs w:val="22"/>
        </w:rPr>
        <w:t>3.</w:t>
      </w:r>
      <w:r w:rsidR="00AF1A21" w:rsidRPr="001F508A">
        <w:rPr>
          <w:rFonts w:ascii="Arial" w:hAnsi="Arial" w:cs="Arial"/>
          <w:b/>
          <w:bCs/>
          <w:sz w:val="22"/>
          <w:szCs w:val="22"/>
        </w:rPr>
        <w:t xml:space="preserve"> RESULT</w:t>
      </w:r>
      <w:r>
        <w:rPr>
          <w:rFonts w:ascii="Arial" w:hAnsi="Arial" w:cs="Arial"/>
          <w:b/>
          <w:bCs/>
          <w:sz w:val="22"/>
          <w:szCs w:val="22"/>
        </w:rPr>
        <w:t xml:space="preserve"> AND DISCUSION</w:t>
      </w:r>
      <w:r w:rsidR="00A0238F" w:rsidRPr="001F508A">
        <w:rPr>
          <w:rFonts w:ascii="Arial" w:hAnsi="Arial" w:cs="Arial"/>
          <w:b/>
          <w:bCs/>
          <w:sz w:val="22"/>
          <w:szCs w:val="22"/>
        </w:rPr>
        <w:t xml:space="preserve"> </w:t>
      </w:r>
    </w:p>
    <w:p w:rsidR="00D66347" w:rsidRPr="001F508A" w:rsidRDefault="00A0238F" w:rsidP="00463D4F">
      <w:pPr>
        <w:jc w:val="both"/>
        <w:rPr>
          <w:rFonts w:ascii="Arial" w:hAnsi="Arial" w:cs="Arial"/>
          <w:sz w:val="20"/>
          <w:szCs w:val="20"/>
        </w:rPr>
      </w:pPr>
      <w:proofErr w:type="spellStart"/>
      <w:r w:rsidRPr="001F508A">
        <w:rPr>
          <w:rFonts w:ascii="Arial" w:hAnsi="Arial" w:cs="Arial"/>
          <w:sz w:val="20"/>
          <w:szCs w:val="20"/>
        </w:rPr>
        <w:t>Physico</w:t>
      </w:r>
      <w:proofErr w:type="spellEnd"/>
      <w:r w:rsidRPr="001F508A">
        <w:rPr>
          <w:rFonts w:ascii="Arial" w:hAnsi="Arial" w:cs="Arial"/>
          <w:sz w:val="20"/>
          <w:szCs w:val="20"/>
        </w:rPr>
        <w:t xml:space="preserve">-Chemical Parameters of Water Samples from </w:t>
      </w:r>
      <w:proofErr w:type="spellStart"/>
      <w:r w:rsidRPr="001F508A">
        <w:rPr>
          <w:rFonts w:ascii="Arial" w:hAnsi="Arial" w:cs="Arial"/>
          <w:sz w:val="20"/>
          <w:szCs w:val="20"/>
        </w:rPr>
        <w:t>Mahasamund</w:t>
      </w:r>
      <w:proofErr w:type="spellEnd"/>
      <w:r w:rsidRPr="001F508A">
        <w:rPr>
          <w:rFonts w:ascii="Arial" w:hAnsi="Arial" w:cs="Arial"/>
          <w:sz w:val="20"/>
          <w:szCs w:val="20"/>
        </w:rPr>
        <w:t xml:space="preserve"> The evaluation of </w:t>
      </w:r>
      <w:proofErr w:type="spellStart"/>
      <w:r w:rsidRPr="001F508A">
        <w:rPr>
          <w:rFonts w:ascii="Arial" w:hAnsi="Arial" w:cs="Arial"/>
          <w:sz w:val="20"/>
          <w:szCs w:val="20"/>
        </w:rPr>
        <w:t>physico</w:t>
      </w:r>
      <w:proofErr w:type="spellEnd"/>
      <w:r w:rsidRPr="001F508A">
        <w:rPr>
          <w:rFonts w:ascii="Arial" w:hAnsi="Arial" w:cs="Arial"/>
          <w:sz w:val="20"/>
          <w:szCs w:val="20"/>
        </w:rPr>
        <w:t xml:space="preserve">-chemical parameters provides critical insights into the quality, safety, and pollution status of water resources. Groundwater and river water samples from the industrial areas of </w:t>
      </w:r>
      <w:proofErr w:type="spellStart"/>
      <w:r w:rsidRPr="001F508A">
        <w:rPr>
          <w:rFonts w:ascii="Arial" w:hAnsi="Arial" w:cs="Arial"/>
          <w:sz w:val="20"/>
          <w:szCs w:val="20"/>
        </w:rPr>
        <w:t>Birkoni</w:t>
      </w:r>
      <w:proofErr w:type="spellEnd"/>
      <w:r w:rsidRPr="001F508A">
        <w:rPr>
          <w:rFonts w:ascii="Arial" w:hAnsi="Arial" w:cs="Arial"/>
          <w:sz w:val="20"/>
          <w:szCs w:val="20"/>
        </w:rPr>
        <w:t xml:space="preserve"> and </w:t>
      </w:r>
      <w:proofErr w:type="spellStart"/>
      <w:r w:rsidRPr="001F508A">
        <w:rPr>
          <w:rFonts w:ascii="Arial" w:hAnsi="Arial" w:cs="Arial"/>
          <w:sz w:val="20"/>
          <w:szCs w:val="20"/>
        </w:rPr>
        <w:t>Belsonda</w:t>
      </w:r>
      <w:proofErr w:type="spellEnd"/>
      <w:r w:rsidRPr="001F508A">
        <w:rPr>
          <w:rFonts w:ascii="Arial" w:hAnsi="Arial" w:cs="Arial"/>
          <w:sz w:val="20"/>
          <w:szCs w:val="20"/>
        </w:rPr>
        <w:t xml:space="preserve"> (</w:t>
      </w:r>
      <w:proofErr w:type="spellStart"/>
      <w:r w:rsidRPr="001F508A">
        <w:rPr>
          <w:rFonts w:ascii="Arial" w:hAnsi="Arial" w:cs="Arial"/>
          <w:sz w:val="20"/>
          <w:szCs w:val="20"/>
        </w:rPr>
        <w:t>Mahasamund</w:t>
      </w:r>
      <w:proofErr w:type="spellEnd"/>
      <w:r w:rsidRPr="001F508A">
        <w:rPr>
          <w:rFonts w:ascii="Arial" w:hAnsi="Arial" w:cs="Arial"/>
          <w:sz w:val="20"/>
          <w:szCs w:val="20"/>
        </w:rPr>
        <w:t xml:space="preserve"> district) were </w:t>
      </w:r>
      <w:proofErr w:type="spellStart"/>
      <w:r w:rsidRPr="001F508A">
        <w:rPr>
          <w:rFonts w:ascii="Arial" w:hAnsi="Arial" w:cs="Arial"/>
          <w:sz w:val="20"/>
          <w:szCs w:val="20"/>
        </w:rPr>
        <w:t>analyzed</w:t>
      </w:r>
      <w:proofErr w:type="spellEnd"/>
      <w:r w:rsidRPr="001F508A">
        <w:rPr>
          <w:rFonts w:ascii="Arial" w:hAnsi="Arial" w:cs="Arial"/>
          <w:sz w:val="20"/>
          <w:szCs w:val="20"/>
        </w:rPr>
        <w:t xml:space="preserve"> seasonally to assess variations in key indicators of water chemistry. These findings reflect the combined effects of industrial activity, seasonal hydrological processes, and environmental sustainability challenges.</w:t>
      </w:r>
    </w:p>
    <w:p w:rsidR="00463D4F" w:rsidRPr="00F51583" w:rsidRDefault="00F51583" w:rsidP="00463D4F">
      <w:pPr>
        <w:jc w:val="both"/>
        <w:rPr>
          <w:rFonts w:ascii="Arial" w:hAnsi="Arial" w:cs="Arial"/>
          <w:sz w:val="22"/>
          <w:szCs w:val="22"/>
        </w:rPr>
      </w:pPr>
      <w:r w:rsidRPr="00F51583">
        <w:rPr>
          <w:rFonts w:ascii="Arial" w:hAnsi="Arial" w:cs="Arial"/>
          <w:b/>
          <w:bCs/>
          <w:sz w:val="22"/>
          <w:szCs w:val="22"/>
        </w:rPr>
        <w:t xml:space="preserve">3.1 </w:t>
      </w:r>
      <w:r w:rsidR="00463D4F" w:rsidRPr="00F51583">
        <w:rPr>
          <w:rFonts w:ascii="Arial" w:hAnsi="Arial" w:cs="Arial"/>
          <w:b/>
          <w:bCs/>
          <w:sz w:val="22"/>
          <w:szCs w:val="22"/>
        </w:rPr>
        <w:t>Chloride (Cl</w:t>
      </w:r>
      <w:r w:rsidR="00463D4F" w:rsidRPr="00F51583">
        <w:rPr>
          <w:rFonts w:ascii="Cambria Math" w:hAnsi="Cambria Math" w:cs="Cambria Math"/>
          <w:b/>
          <w:bCs/>
          <w:sz w:val="22"/>
          <w:szCs w:val="22"/>
        </w:rPr>
        <w:t>⁻</w:t>
      </w:r>
      <w:r w:rsidR="00463D4F" w:rsidRPr="00F51583">
        <w:rPr>
          <w:rFonts w:ascii="Arial" w:hAnsi="Arial" w:cs="Arial"/>
          <w:b/>
          <w:bCs/>
          <w:sz w:val="22"/>
          <w:szCs w:val="22"/>
        </w:rPr>
        <w:t>)</w:t>
      </w:r>
      <w:r w:rsidR="00450F0D" w:rsidRPr="00F51583">
        <w:rPr>
          <w:rFonts w:ascii="Arial" w:hAnsi="Arial" w:cs="Arial"/>
          <w:b/>
          <w:bCs/>
          <w:sz w:val="22"/>
          <w:szCs w:val="22"/>
        </w:rPr>
        <w:t>:-</w:t>
      </w:r>
      <w:r w:rsidR="00463D4F" w:rsidRPr="00F51583">
        <w:rPr>
          <w:rFonts w:ascii="Arial" w:hAnsi="Arial" w:cs="Arial"/>
          <w:b/>
          <w:bCs/>
          <w:sz w:val="22"/>
          <w:szCs w:val="22"/>
        </w:rPr>
        <w:t xml:space="preserve"> </w:t>
      </w:r>
    </w:p>
    <w:p w:rsidR="00A30B19" w:rsidRPr="00B85963" w:rsidRDefault="00A30B19" w:rsidP="00A30B19">
      <w:pPr>
        <w:jc w:val="both"/>
        <w:rPr>
          <w:rFonts w:ascii="Arial" w:hAnsi="Arial" w:cs="Arial"/>
          <w:b/>
          <w:bCs/>
          <w:strike/>
          <w:sz w:val="20"/>
          <w:szCs w:val="20"/>
          <w:highlight w:val="yellow"/>
          <w:lang w:val="en-US"/>
        </w:rPr>
      </w:pPr>
      <w:r w:rsidRPr="00B85963">
        <w:rPr>
          <w:rFonts w:ascii="Arial" w:hAnsi="Arial" w:cs="Arial"/>
          <w:b/>
          <w:bCs/>
          <w:sz w:val="20"/>
          <w:szCs w:val="20"/>
          <w:lang w:val="en-US"/>
        </w:rPr>
        <w:t xml:space="preserve">Table 1: Seasonal variations in Chloride as Cl of water samples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2"/>
        <w:gridCol w:w="1712"/>
        <w:gridCol w:w="1716"/>
      </w:tblGrid>
      <w:tr w:rsidR="00A30B19" w:rsidRPr="00B85963" w:rsidTr="002F345E">
        <w:trPr>
          <w:trHeight w:val="972"/>
          <w:jc w:val="center"/>
        </w:trPr>
        <w:tc>
          <w:tcPr>
            <w:tcW w:w="581" w:type="pct"/>
            <w:noWrap/>
            <w:vAlign w:val="center"/>
            <w:hideMark/>
          </w:tcPr>
          <w:p w:rsidR="00A30B19" w:rsidRPr="00B85963" w:rsidRDefault="00A30B19" w:rsidP="002F345E">
            <w:pPr>
              <w:spacing w:after="0" w:line="240" w:lineRule="auto"/>
              <w:jc w:val="center"/>
              <w:rPr>
                <w:rFonts w:ascii="Arial" w:eastAsia="Times New Roman" w:hAnsi="Arial" w:cs="Arial"/>
                <w:b/>
                <w:bCs/>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841" w:type="pct"/>
            <w:vAlign w:val="center"/>
            <w:hideMark/>
          </w:tcPr>
          <w:p w:rsidR="00A30B19" w:rsidRPr="00B85963" w:rsidRDefault="00A30B19"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94" w:type="pct"/>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r w:rsidRPr="00B85963">
              <w:rPr>
                <w:rFonts w:ascii="Arial" w:eastAsia="Times New Roman" w:hAnsi="Arial" w:cs="Arial"/>
                <w:color w:val="000000"/>
                <w:kern w:val="0"/>
                <w:sz w:val="20"/>
                <w:szCs w:val="20"/>
                <w:lang w:eastAsia="en-IN"/>
                <w14:ligatures w14:val="none"/>
              </w:rPr>
              <w:t xml:space="preserve"> </w:t>
            </w:r>
          </w:p>
        </w:tc>
        <w:tc>
          <w:tcPr>
            <w:tcW w:w="894" w:type="pct"/>
            <w:vAlign w:val="center"/>
            <w:hideMark/>
          </w:tcPr>
          <w:p w:rsidR="00A30B19" w:rsidRPr="00B85963" w:rsidRDefault="00A30B1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r w:rsidRPr="00B85963">
              <w:rPr>
                <w:rFonts w:ascii="Arial" w:eastAsia="Times New Roman" w:hAnsi="Arial" w:cs="Arial"/>
                <w:kern w:val="0"/>
                <w:sz w:val="20"/>
                <w:szCs w:val="20"/>
                <w:lang w:eastAsia="en-IN"/>
                <w14:ligatures w14:val="none"/>
              </w:rPr>
              <w:t xml:space="preserve"> </w:t>
            </w:r>
          </w:p>
        </w:tc>
        <w:tc>
          <w:tcPr>
            <w:tcW w:w="894" w:type="pct"/>
            <w:vAlign w:val="center"/>
            <w:hideMark/>
          </w:tcPr>
          <w:p w:rsidR="00A30B19" w:rsidRPr="00B85963" w:rsidRDefault="00A30B19" w:rsidP="002F345E">
            <w:pPr>
              <w:spacing w:after="0" w:line="240" w:lineRule="auto"/>
              <w:jc w:val="center"/>
              <w:rPr>
                <w:rFonts w:ascii="Arial" w:eastAsia="Times New Roman" w:hAnsi="Arial" w:cs="Arial Unicode MS"/>
                <w:kern w:val="0"/>
                <w:sz w:val="20"/>
                <w:szCs w:val="18"/>
                <w:lang w:eastAsia="en-IN" w:bidi="hi-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96" w:type="pct"/>
            <w:vAlign w:val="center"/>
            <w:hideMark/>
          </w:tcPr>
          <w:p w:rsidR="00A30B19" w:rsidRPr="00B85963" w:rsidRDefault="00A30B1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r w:rsidRPr="00B85963">
              <w:rPr>
                <w:rFonts w:ascii="Arial" w:eastAsia="Times New Roman" w:hAnsi="Arial" w:cs="Arial"/>
                <w:kern w:val="0"/>
                <w:sz w:val="20"/>
                <w:szCs w:val="20"/>
                <w:lang w:eastAsia="en-IN"/>
                <w14:ligatures w14:val="none"/>
              </w:rPr>
              <w:t xml:space="preserve"> </w:t>
            </w:r>
          </w:p>
        </w:tc>
      </w:tr>
      <w:tr w:rsidR="00A30B19" w:rsidRPr="00B85963" w:rsidTr="002F345E">
        <w:trPr>
          <w:trHeight w:val="600"/>
          <w:jc w:val="center"/>
        </w:trPr>
        <w:tc>
          <w:tcPr>
            <w:tcW w:w="581"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Monsoon</w:t>
            </w:r>
          </w:p>
        </w:tc>
        <w:tc>
          <w:tcPr>
            <w:tcW w:w="841" w:type="pct"/>
            <w:vAlign w:val="center"/>
            <w:hideMark/>
          </w:tcPr>
          <w:p w:rsidR="00A30B19" w:rsidRPr="00B85963" w:rsidRDefault="00A30B1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Chloride as Cl (mg/mL)</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49.38</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42.40</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50.43</w:t>
            </w:r>
          </w:p>
        </w:tc>
        <w:tc>
          <w:tcPr>
            <w:tcW w:w="896"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53.36</w:t>
            </w:r>
          </w:p>
        </w:tc>
      </w:tr>
      <w:tr w:rsidR="00A30B19" w:rsidRPr="00B85963" w:rsidTr="002F345E">
        <w:trPr>
          <w:trHeight w:val="600"/>
          <w:jc w:val="center"/>
        </w:trPr>
        <w:tc>
          <w:tcPr>
            <w:tcW w:w="581"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Winter</w:t>
            </w:r>
          </w:p>
        </w:tc>
        <w:tc>
          <w:tcPr>
            <w:tcW w:w="841" w:type="pct"/>
            <w:vAlign w:val="center"/>
            <w:hideMark/>
          </w:tcPr>
          <w:p w:rsidR="00A30B19" w:rsidRPr="00B85963" w:rsidRDefault="00A30B1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Chloride as Cl (mg/mL)</w:t>
            </w:r>
          </w:p>
        </w:tc>
        <w:tc>
          <w:tcPr>
            <w:tcW w:w="894" w:type="pct"/>
            <w:vAlign w:val="center"/>
            <w:hideMark/>
          </w:tcPr>
          <w:p w:rsidR="00A30B19" w:rsidRPr="00B85963" w:rsidRDefault="00A30B1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35.66</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55.73</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44.83</w:t>
            </w:r>
          </w:p>
        </w:tc>
        <w:tc>
          <w:tcPr>
            <w:tcW w:w="896"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46.28</w:t>
            </w:r>
          </w:p>
        </w:tc>
      </w:tr>
      <w:tr w:rsidR="00A30B19" w:rsidRPr="00B85963" w:rsidTr="002F345E">
        <w:trPr>
          <w:trHeight w:val="600"/>
          <w:jc w:val="center"/>
        </w:trPr>
        <w:tc>
          <w:tcPr>
            <w:tcW w:w="581"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841" w:type="pct"/>
            <w:vAlign w:val="center"/>
            <w:hideMark/>
          </w:tcPr>
          <w:p w:rsidR="00A30B19" w:rsidRPr="00B85963" w:rsidRDefault="00A30B1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Chloride as Cl (mg/mL)</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47.47</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38.38</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44.36</w:t>
            </w:r>
          </w:p>
        </w:tc>
        <w:tc>
          <w:tcPr>
            <w:tcW w:w="896"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47.23</w:t>
            </w:r>
          </w:p>
        </w:tc>
      </w:tr>
    </w:tbl>
    <w:p w:rsidR="00A30B19" w:rsidRPr="00B85963" w:rsidRDefault="00A30B19" w:rsidP="00A30B19">
      <w:pPr>
        <w:jc w:val="both"/>
        <w:rPr>
          <w:rFonts w:ascii="Arial" w:hAnsi="Arial" w:cs="Arial"/>
          <w:sz w:val="20"/>
          <w:szCs w:val="20"/>
          <w:lang w:val="en-US"/>
        </w:rPr>
      </w:pPr>
    </w:p>
    <w:p w:rsidR="00A30B19" w:rsidRPr="00B85963" w:rsidRDefault="00A30B19" w:rsidP="00A30B19">
      <w:pPr>
        <w:jc w:val="center"/>
        <w:rPr>
          <w:rFonts w:ascii="Arial" w:hAnsi="Arial" w:cs="Arial"/>
          <w:sz w:val="20"/>
          <w:szCs w:val="20"/>
          <w:lang w:val="en-US"/>
        </w:rPr>
      </w:pPr>
      <w:r w:rsidRPr="00B85963">
        <w:rPr>
          <w:rFonts w:ascii="Arial" w:hAnsi="Arial" w:cs="Arial"/>
          <w:noProof/>
          <w:sz w:val="20"/>
          <w:szCs w:val="20"/>
          <w:lang w:val="en-US" w:bidi="hi-IN"/>
        </w:rPr>
        <w:drawing>
          <wp:inline distT="0" distB="0" distL="0" distR="0" wp14:anchorId="2B9664F9" wp14:editId="43AC6E7C">
            <wp:extent cx="6076950" cy="2124075"/>
            <wp:effectExtent l="0" t="0" r="19050" b="9525"/>
            <wp:docPr id="1" name="Chart 1">
              <a:extLst xmlns:a="http://schemas.openxmlformats.org/drawingml/2006/main">
                <a:ext uri="{FF2B5EF4-FFF2-40B4-BE49-F238E27FC236}">
                  <a16:creationId xmlns:a16="http://schemas.microsoft.com/office/drawing/2014/main" id="{1CF6E159-370B-A527-C3F2-C42F99B3DF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30B19" w:rsidRPr="00B85963" w:rsidRDefault="00A30B19" w:rsidP="00A30B19">
      <w:pPr>
        <w:jc w:val="center"/>
        <w:rPr>
          <w:rFonts w:ascii="Arial" w:hAnsi="Arial" w:cs="Arial"/>
          <w:b/>
          <w:bCs/>
          <w:strike/>
          <w:sz w:val="20"/>
          <w:szCs w:val="20"/>
          <w:lang w:val="en-US"/>
        </w:rPr>
      </w:pPr>
      <w:r w:rsidRPr="00B85963">
        <w:rPr>
          <w:rFonts w:ascii="Arial" w:hAnsi="Arial" w:cs="Arial"/>
          <w:b/>
          <w:bCs/>
          <w:sz w:val="20"/>
          <w:szCs w:val="20"/>
          <w:lang w:val="en-US"/>
        </w:rPr>
        <w:t xml:space="preserve">Figure 1: Seasonal variations in Chloride as Cl of water samples </w:t>
      </w:r>
    </w:p>
    <w:p w:rsidR="00A30B19" w:rsidRDefault="00A30B19" w:rsidP="00A30B19">
      <w:pPr>
        <w:jc w:val="both"/>
        <w:rPr>
          <w:rFonts w:ascii="Arial" w:hAnsi="Arial" w:cs="Arial Unicode MS"/>
          <w:sz w:val="20"/>
          <w:szCs w:val="18"/>
          <w:lang w:bidi="hi-IN"/>
        </w:rPr>
      </w:pPr>
      <w:r w:rsidRPr="00B85963">
        <w:rPr>
          <w:rFonts w:ascii="Arial" w:hAnsi="Arial" w:cs="Arial"/>
          <w:sz w:val="20"/>
          <w:szCs w:val="20"/>
        </w:rPr>
        <w:lastRenderedPageBreak/>
        <w:t xml:space="preserve">Seasonal variations in chloride are summarized in Table 1 and Figure 1. During the monsoon, concentrations ranged from 42.40 to 53.36 mg/mL, with the maximum recorded in </w:t>
      </w:r>
      <w:proofErr w:type="spellStart"/>
      <w:r w:rsidRPr="00B85963">
        <w:rPr>
          <w:rFonts w:ascii="Arial" w:hAnsi="Arial" w:cs="Arial"/>
          <w:sz w:val="20"/>
          <w:szCs w:val="20"/>
        </w:rPr>
        <w:t>Belsonda</w:t>
      </w:r>
      <w:proofErr w:type="spellEnd"/>
      <w:r w:rsidRPr="00B85963">
        <w:rPr>
          <w:rFonts w:ascii="Arial" w:hAnsi="Arial" w:cs="Arial"/>
          <w:sz w:val="20"/>
          <w:szCs w:val="20"/>
        </w:rPr>
        <w:t xml:space="preserve"> river water. Winter values were more variable, from 35.66 mg/mL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groundwater) to 55.73 mg/mL (</w:t>
      </w:r>
      <w:proofErr w:type="spellStart"/>
      <w:r w:rsidRPr="00B85963">
        <w:rPr>
          <w:rFonts w:ascii="Arial" w:hAnsi="Arial" w:cs="Arial"/>
          <w:sz w:val="20"/>
          <w:szCs w:val="20"/>
        </w:rPr>
        <w:t>Belsonda</w:t>
      </w:r>
      <w:proofErr w:type="spellEnd"/>
      <w:r w:rsidRPr="00B85963">
        <w:rPr>
          <w:rFonts w:ascii="Arial" w:hAnsi="Arial" w:cs="Arial"/>
          <w:sz w:val="20"/>
          <w:szCs w:val="20"/>
        </w:rPr>
        <w:t xml:space="preserve"> groundwater), indicating localized contamination sources. Summer values were moderate (38.38–47.47 mg/mL). Across all seasons, river water consistently contained higher chloride levels than groundwater, suggesting industrial contributions.</w:t>
      </w:r>
    </w:p>
    <w:p w:rsidR="009A0F46" w:rsidRPr="00F51583" w:rsidRDefault="00F51583" w:rsidP="00A30B19">
      <w:pPr>
        <w:jc w:val="both"/>
        <w:rPr>
          <w:rFonts w:ascii="Arial" w:hAnsi="Arial" w:cs="Arial"/>
          <w:b/>
          <w:bCs/>
          <w:sz w:val="22"/>
          <w:szCs w:val="22"/>
        </w:rPr>
      </w:pPr>
      <w:r w:rsidRPr="00F51583">
        <w:rPr>
          <w:rFonts w:ascii="Arial" w:hAnsi="Arial" w:cs="Arial"/>
          <w:b/>
          <w:bCs/>
          <w:sz w:val="22"/>
          <w:szCs w:val="22"/>
        </w:rPr>
        <w:t xml:space="preserve">3.2 </w:t>
      </w:r>
      <w:r w:rsidR="00450F0D" w:rsidRPr="00F51583">
        <w:rPr>
          <w:rFonts w:ascii="Arial" w:hAnsi="Arial" w:cs="Arial"/>
          <w:b/>
          <w:bCs/>
          <w:sz w:val="22"/>
          <w:szCs w:val="22"/>
        </w:rPr>
        <w:t>Total Dissolved Solids (TDS):-</w:t>
      </w:r>
    </w:p>
    <w:p w:rsidR="00A30B19" w:rsidRPr="00B85963" w:rsidRDefault="00A30B19" w:rsidP="00A30B19">
      <w:pPr>
        <w:jc w:val="both"/>
        <w:rPr>
          <w:rFonts w:ascii="Arial" w:hAnsi="Arial" w:cs="Arial"/>
          <w:b/>
          <w:bCs/>
          <w:sz w:val="20"/>
          <w:szCs w:val="20"/>
          <w:lang w:val="en-US"/>
        </w:rPr>
      </w:pPr>
      <w:r w:rsidRPr="00B85963">
        <w:rPr>
          <w:rFonts w:ascii="Arial" w:hAnsi="Arial" w:cs="Arial"/>
          <w:b/>
          <w:bCs/>
          <w:sz w:val="20"/>
          <w:szCs w:val="20"/>
          <w:lang w:val="en-US"/>
        </w:rPr>
        <w:t xml:space="preserve">Table 2: Seasonal variations in </w:t>
      </w:r>
      <w:r w:rsidRPr="00B85963">
        <w:rPr>
          <w:rFonts w:ascii="Arial" w:eastAsia="Times New Roman" w:hAnsi="Arial" w:cs="Arial"/>
          <w:b/>
          <w:bCs/>
          <w:kern w:val="0"/>
          <w:sz w:val="20"/>
          <w:szCs w:val="20"/>
          <w:lang w:eastAsia="en-IN"/>
          <w14:ligatures w14:val="none"/>
        </w:rPr>
        <w:t>TDS (mg/mL)</w:t>
      </w:r>
      <w:r w:rsidRPr="00B85963">
        <w:rPr>
          <w:rFonts w:ascii="Arial" w:hAnsi="Arial" w:cs="Arial"/>
          <w:b/>
          <w:bCs/>
          <w:sz w:val="20"/>
          <w:szCs w:val="20"/>
          <w:lang w:val="en-US"/>
        </w:rPr>
        <w:t xml:space="preserve"> of water samples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A30B19" w:rsidRPr="00B85963" w:rsidTr="002F345E">
        <w:trPr>
          <w:trHeight w:val="999"/>
        </w:trPr>
        <w:tc>
          <w:tcPr>
            <w:tcW w:w="581"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841" w:type="pct"/>
            <w:vAlign w:val="center"/>
            <w:hideMark/>
          </w:tcPr>
          <w:p w:rsidR="00A30B19" w:rsidRPr="00B85963" w:rsidRDefault="00A30B19"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94" w:type="pct"/>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95" w:type="pct"/>
            <w:vAlign w:val="center"/>
            <w:hideMark/>
          </w:tcPr>
          <w:p w:rsidR="00A30B19" w:rsidRPr="00B85963" w:rsidRDefault="00A30B1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95" w:type="pct"/>
            <w:vAlign w:val="center"/>
            <w:hideMark/>
          </w:tcPr>
          <w:p w:rsidR="00A30B19" w:rsidRPr="00B85963" w:rsidRDefault="00A30B1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94" w:type="pct"/>
            <w:vAlign w:val="center"/>
            <w:hideMark/>
          </w:tcPr>
          <w:p w:rsidR="00A30B19" w:rsidRPr="00B85963" w:rsidRDefault="00A30B1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A30B19" w:rsidRPr="00B85963" w:rsidTr="002F345E">
        <w:trPr>
          <w:trHeight w:val="600"/>
        </w:trPr>
        <w:tc>
          <w:tcPr>
            <w:tcW w:w="581"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Monsoon</w:t>
            </w:r>
          </w:p>
        </w:tc>
        <w:tc>
          <w:tcPr>
            <w:tcW w:w="841" w:type="pct"/>
            <w:vAlign w:val="center"/>
            <w:hideMark/>
          </w:tcPr>
          <w:p w:rsidR="00A30B19" w:rsidRPr="00B85963" w:rsidRDefault="00A30B1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TDS (mg/mL)</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453</w:t>
            </w:r>
          </w:p>
        </w:tc>
        <w:tc>
          <w:tcPr>
            <w:tcW w:w="895"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420</w:t>
            </w:r>
          </w:p>
        </w:tc>
        <w:tc>
          <w:tcPr>
            <w:tcW w:w="895"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480</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495</w:t>
            </w:r>
          </w:p>
        </w:tc>
      </w:tr>
      <w:tr w:rsidR="00A30B19" w:rsidRPr="00B85963" w:rsidTr="002F345E">
        <w:trPr>
          <w:trHeight w:val="600"/>
        </w:trPr>
        <w:tc>
          <w:tcPr>
            <w:tcW w:w="581"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Winter</w:t>
            </w:r>
          </w:p>
        </w:tc>
        <w:tc>
          <w:tcPr>
            <w:tcW w:w="841" w:type="pct"/>
            <w:vAlign w:val="center"/>
            <w:hideMark/>
          </w:tcPr>
          <w:p w:rsidR="00A30B19" w:rsidRPr="00B85963" w:rsidRDefault="00A30B1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TDS (mg/mL)</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120</w:t>
            </w:r>
          </w:p>
        </w:tc>
        <w:tc>
          <w:tcPr>
            <w:tcW w:w="895"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436</w:t>
            </w:r>
          </w:p>
        </w:tc>
        <w:tc>
          <w:tcPr>
            <w:tcW w:w="895"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158</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438</w:t>
            </w:r>
          </w:p>
        </w:tc>
      </w:tr>
      <w:tr w:rsidR="00A30B19" w:rsidRPr="00B85963" w:rsidTr="002F345E">
        <w:trPr>
          <w:trHeight w:val="600"/>
        </w:trPr>
        <w:tc>
          <w:tcPr>
            <w:tcW w:w="581"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841" w:type="pct"/>
            <w:vAlign w:val="center"/>
            <w:hideMark/>
          </w:tcPr>
          <w:p w:rsidR="00A30B19" w:rsidRPr="00B85963" w:rsidRDefault="00A30B1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TDS (mg/mL)</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387</w:t>
            </w:r>
          </w:p>
        </w:tc>
        <w:tc>
          <w:tcPr>
            <w:tcW w:w="895"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410</w:t>
            </w:r>
          </w:p>
        </w:tc>
        <w:tc>
          <w:tcPr>
            <w:tcW w:w="895"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440</w:t>
            </w:r>
          </w:p>
        </w:tc>
        <w:tc>
          <w:tcPr>
            <w:tcW w:w="894" w:type="pct"/>
            <w:noWrap/>
            <w:vAlign w:val="center"/>
            <w:hideMark/>
          </w:tcPr>
          <w:p w:rsidR="00A30B19" w:rsidRPr="00B85963" w:rsidRDefault="00A30B1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425</w:t>
            </w:r>
          </w:p>
        </w:tc>
      </w:tr>
    </w:tbl>
    <w:p w:rsidR="00A30B19" w:rsidRPr="00930B4D" w:rsidRDefault="00930B4D" w:rsidP="00A30B19">
      <w:pPr>
        <w:jc w:val="both"/>
        <w:rPr>
          <w:rFonts w:ascii="Arial" w:hAnsi="Arial" w:cs="Arial Unicode MS"/>
          <w:sz w:val="20"/>
          <w:szCs w:val="18"/>
          <w:lang w:val="en-US" w:bidi="hi-IN"/>
        </w:rPr>
      </w:pPr>
      <w:r w:rsidRPr="00B85963">
        <w:rPr>
          <w:rFonts w:ascii="Arial" w:hAnsi="Arial" w:cs="Arial"/>
          <w:noProof/>
          <w:sz w:val="20"/>
          <w:szCs w:val="20"/>
          <w:lang w:val="en-US" w:bidi="hi-IN"/>
        </w:rPr>
        <w:drawing>
          <wp:inline distT="0" distB="0" distL="0" distR="0" wp14:anchorId="315DF097" wp14:editId="7BE392B7">
            <wp:extent cx="6076950" cy="2095500"/>
            <wp:effectExtent l="0" t="0" r="19050" b="19050"/>
            <wp:docPr id="1066553217" name="Chart 1">
              <a:extLst xmlns:a="http://schemas.openxmlformats.org/drawingml/2006/main">
                <a:ext uri="{FF2B5EF4-FFF2-40B4-BE49-F238E27FC236}">
                  <a16:creationId xmlns:a16="http://schemas.microsoft.com/office/drawing/2014/main" id="{967C7CB3-A7B6-4B73-A848-4685FF74EB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30B19" w:rsidRPr="00A30B19" w:rsidRDefault="00A30B19" w:rsidP="00930B4D">
      <w:pPr>
        <w:ind w:left="720" w:firstLine="720"/>
        <w:rPr>
          <w:rFonts w:ascii="Arial" w:hAnsi="Arial" w:cs="Arial"/>
          <w:b/>
          <w:bCs/>
          <w:strike/>
          <w:sz w:val="18"/>
          <w:szCs w:val="18"/>
          <w:lang w:val="en-US"/>
        </w:rPr>
      </w:pPr>
      <w:r w:rsidRPr="00A30B19">
        <w:rPr>
          <w:rFonts w:ascii="Arial" w:hAnsi="Arial" w:cs="Arial"/>
          <w:b/>
          <w:bCs/>
          <w:sz w:val="20"/>
          <w:szCs w:val="20"/>
          <w:lang w:val="en-US"/>
        </w:rPr>
        <w:t xml:space="preserve">Figure 2: Seasonal variations in </w:t>
      </w:r>
      <w:r w:rsidRPr="00A30B19">
        <w:rPr>
          <w:rFonts w:ascii="Arial" w:eastAsia="Times New Roman" w:hAnsi="Arial" w:cs="Arial"/>
          <w:b/>
          <w:bCs/>
          <w:kern w:val="0"/>
          <w:sz w:val="20"/>
          <w:szCs w:val="20"/>
          <w:lang w:eastAsia="en-IN"/>
          <w14:ligatures w14:val="none"/>
        </w:rPr>
        <w:t>TDS (mg/mL)</w:t>
      </w:r>
      <w:r w:rsidRPr="00A30B19">
        <w:rPr>
          <w:rFonts w:ascii="Arial" w:hAnsi="Arial" w:cs="Arial"/>
          <w:b/>
          <w:bCs/>
          <w:sz w:val="20"/>
          <w:szCs w:val="20"/>
          <w:lang w:val="en-US"/>
        </w:rPr>
        <w:t xml:space="preserve"> of water samples</w:t>
      </w:r>
      <w:r w:rsidRPr="00A30B19">
        <w:rPr>
          <w:rFonts w:ascii="Arial" w:hAnsi="Arial" w:cs="Arial"/>
          <w:b/>
          <w:bCs/>
          <w:sz w:val="18"/>
          <w:szCs w:val="18"/>
          <w:lang w:val="en-US"/>
        </w:rPr>
        <w:t xml:space="preserve"> </w:t>
      </w:r>
    </w:p>
    <w:p w:rsidR="00A30B19" w:rsidRDefault="00A30B19" w:rsidP="00A30B19">
      <w:pPr>
        <w:jc w:val="both"/>
        <w:rPr>
          <w:rFonts w:ascii="Arial" w:hAnsi="Arial" w:cs="Arial Unicode MS"/>
          <w:sz w:val="20"/>
          <w:szCs w:val="18"/>
          <w:lang w:bidi="hi-IN"/>
        </w:rPr>
      </w:pPr>
      <w:r w:rsidRPr="00B85963">
        <w:rPr>
          <w:rFonts w:ascii="Arial" w:hAnsi="Arial" w:cs="Arial"/>
          <w:sz w:val="20"/>
          <w:szCs w:val="20"/>
        </w:rPr>
        <w:t xml:space="preserve">Table 2 and Figure 2 present seasonal fluctuations in TDS. During monsoon, values were elevated (420–495 mg/mL), reflecting solute enrichment from runoff and industrial discharge. In winter,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groundwater declined sharply to 120 mg/mL, while </w:t>
      </w:r>
      <w:proofErr w:type="spellStart"/>
      <w:r w:rsidRPr="00B85963">
        <w:rPr>
          <w:rFonts w:ascii="Arial" w:hAnsi="Arial" w:cs="Arial"/>
          <w:sz w:val="20"/>
          <w:szCs w:val="20"/>
        </w:rPr>
        <w:t>Belsonda</w:t>
      </w:r>
      <w:proofErr w:type="spellEnd"/>
      <w:r w:rsidRPr="00B85963">
        <w:rPr>
          <w:rFonts w:ascii="Arial" w:hAnsi="Arial" w:cs="Arial"/>
          <w:sz w:val="20"/>
          <w:szCs w:val="20"/>
        </w:rPr>
        <w:t xml:space="preserve"> sources remained high (436–438 mg/mL), pointing to localized inputs. Summer concentrations were moderately high (387–440 mg/mL). These results indicate both seasonal dilution effects and industrial influence, highlighting the necessity of effective effluent treatment. </w:t>
      </w:r>
    </w:p>
    <w:p w:rsidR="00225797" w:rsidRPr="00F51583" w:rsidRDefault="00F51583" w:rsidP="00A30B19">
      <w:pPr>
        <w:jc w:val="both"/>
        <w:rPr>
          <w:rFonts w:ascii="Arial" w:hAnsi="Arial" w:cs="Arial"/>
          <w:sz w:val="22"/>
          <w:szCs w:val="22"/>
        </w:rPr>
      </w:pPr>
      <w:r w:rsidRPr="00F51583">
        <w:rPr>
          <w:rFonts w:ascii="Arial" w:hAnsi="Arial" w:cs="Arial"/>
          <w:b/>
          <w:bCs/>
          <w:sz w:val="22"/>
          <w:szCs w:val="22"/>
        </w:rPr>
        <w:t xml:space="preserve">3.3 </w:t>
      </w:r>
      <w:r w:rsidR="00463D4F" w:rsidRPr="00F51583">
        <w:rPr>
          <w:rFonts w:ascii="Arial" w:hAnsi="Arial" w:cs="Arial"/>
          <w:b/>
          <w:bCs/>
          <w:sz w:val="22"/>
          <w:szCs w:val="22"/>
        </w:rPr>
        <w:t xml:space="preserve">Alkalinity (as </w:t>
      </w:r>
      <w:proofErr w:type="spellStart"/>
      <w:r w:rsidR="00463D4F" w:rsidRPr="00F51583">
        <w:rPr>
          <w:rFonts w:ascii="Arial" w:hAnsi="Arial" w:cs="Arial"/>
          <w:b/>
          <w:bCs/>
          <w:sz w:val="22"/>
          <w:szCs w:val="22"/>
        </w:rPr>
        <w:t>CaCO</w:t>
      </w:r>
      <w:proofErr w:type="spellEnd"/>
      <w:r w:rsidR="00463D4F" w:rsidRPr="00F51583">
        <w:rPr>
          <w:rFonts w:ascii="Cambria Math" w:hAnsi="Cambria Math" w:cs="Cambria Math"/>
          <w:b/>
          <w:bCs/>
          <w:sz w:val="22"/>
          <w:szCs w:val="22"/>
        </w:rPr>
        <w:t>₃</w:t>
      </w:r>
      <w:r w:rsidR="00463D4F" w:rsidRPr="00F51583">
        <w:rPr>
          <w:rFonts w:ascii="Arial" w:hAnsi="Arial" w:cs="Arial"/>
          <w:b/>
          <w:bCs/>
          <w:sz w:val="22"/>
          <w:szCs w:val="22"/>
        </w:rPr>
        <w:t>)</w:t>
      </w:r>
      <w:r w:rsidR="00450F0D" w:rsidRPr="00F51583">
        <w:rPr>
          <w:rFonts w:ascii="Arial" w:hAnsi="Arial" w:cs="Arial"/>
          <w:b/>
          <w:bCs/>
          <w:sz w:val="22"/>
          <w:szCs w:val="22"/>
        </w:rPr>
        <w:t>:-</w:t>
      </w:r>
    </w:p>
    <w:p w:rsidR="00930B4D" w:rsidRPr="00B85963" w:rsidRDefault="00930B4D" w:rsidP="00930B4D">
      <w:pPr>
        <w:spacing w:after="0" w:line="240" w:lineRule="auto"/>
        <w:rPr>
          <w:rFonts w:ascii="Arial" w:eastAsia="Times New Roman" w:hAnsi="Arial" w:cs="Arial"/>
          <w:color w:val="000000"/>
          <w:kern w:val="0"/>
          <w:sz w:val="20"/>
          <w:szCs w:val="20"/>
          <w:lang w:eastAsia="en-IN"/>
          <w14:ligatures w14:val="none"/>
        </w:rPr>
      </w:pPr>
      <w:r w:rsidRPr="00B85963">
        <w:rPr>
          <w:rFonts w:ascii="Arial" w:hAnsi="Arial" w:cs="Arial"/>
          <w:b/>
          <w:bCs/>
          <w:sz w:val="20"/>
          <w:szCs w:val="20"/>
          <w:lang w:val="en-US"/>
        </w:rPr>
        <w:t xml:space="preserve">Table 3: Seasonal variations in </w:t>
      </w:r>
      <w:r w:rsidRPr="00B85963">
        <w:rPr>
          <w:rFonts w:ascii="Arial" w:eastAsia="Times New Roman" w:hAnsi="Arial" w:cs="Arial"/>
          <w:b/>
          <w:bCs/>
          <w:kern w:val="0"/>
          <w:sz w:val="20"/>
          <w:szCs w:val="20"/>
          <w:lang w:eastAsia="en-IN"/>
          <w14:ligatures w14:val="none"/>
        </w:rPr>
        <w:t>Alkalinity as CaCO</w:t>
      </w:r>
      <w:r w:rsidRPr="00B85963">
        <w:rPr>
          <w:rFonts w:ascii="Arial" w:eastAsia="Times New Roman" w:hAnsi="Arial" w:cs="Arial"/>
          <w:b/>
          <w:bCs/>
          <w:kern w:val="0"/>
          <w:sz w:val="20"/>
          <w:szCs w:val="20"/>
          <w:vertAlign w:val="subscript"/>
          <w:lang w:eastAsia="en-IN"/>
          <w14:ligatures w14:val="none"/>
        </w:rPr>
        <w:t>3</w:t>
      </w:r>
      <w:r w:rsidRPr="00B85963">
        <w:rPr>
          <w:rFonts w:ascii="Arial" w:eastAsia="Times New Roman" w:hAnsi="Arial" w:cs="Arial"/>
          <w:b/>
          <w:bCs/>
          <w:kern w:val="0"/>
          <w:sz w:val="20"/>
          <w:szCs w:val="20"/>
          <w:lang w:eastAsia="en-IN"/>
          <w14:ligatures w14:val="none"/>
        </w:rPr>
        <w:t xml:space="preserve"> (mg/mL)</w:t>
      </w:r>
      <w:r w:rsidRPr="00B85963">
        <w:rPr>
          <w:rFonts w:ascii="Arial" w:eastAsia="Times New Roman" w:hAnsi="Arial" w:cs="Arial"/>
          <w:b/>
          <w:bCs/>
          <w:color w:val="000000"/>
          <w:kern w:val="0"/>
          <w:sz w:val="20"/>
          <w:szCs w:val="20"/>
          <w:lang w:eastAsia="en-IN"/>
          <w14:ligatures w14:val="none"/>
        </w:rPr>
        <w:t xml:space="preserve"> </w:t>
      </w:r>
      <w:r w:rsidRPr="00B85963">
        <w:rPr>
          <w:rFonts w:ascii="Arial" w:hAnsi="Arial" w:cs="Arial"/>
          <w:b/>
          <w:bCs/>
          <w:sz w:val="20"/>
          <w:szCs w:val="20"/>
          <w:lang w:val="en-US"/>
        </w:rPr>
        <w:t xml:space="preserve">of water samples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930B4D" w:rsidRPr="00B85963" w:rsidTr="002F345E">
        <w:trPr>
          <w:trHeight w:val="999"/>
        </w:trPr>
        <w:tc>
          <w:tcPr>
            <w:tcW w:w="581"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841" w:type="pct"/>
            <w:vAlign w:val="center"/>
            <w:hideMark/>
          </w:tcPr>
          <w:p w:rsidR="00930B4D" w:rsidRPr="00B85963" w:rsidRDefault="00930B4D"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94" w:type="pct"/>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95" w:type="pct"/>
            <w:vAlign w:val="center"/>
            <w:hideMark/>
          </w:tcPr>
          <w:p w:rsidR="00930B4D" w:rsidRPr="00B85963" w:rsidRDefault="00930B4D"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95" w:type="pct"/>
            <w:vAlign w:val="center"/>
            <w:hideMark/>
          </w:tcPr>
          <w:p w:rsidR="00930B4D" w:rsidRPr="00B85963" w:rsidRDefault="00930B4D"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94" w:type="pct"/>
            <w:vAlign w:val="center"/>
            <w:hideMark/>
          </w:tcPr>
          <w:p w:rsidR="00930B4D" w:rsidRPr="00B85963" w:rsidRDefault="00930B4D"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930B4D" w:rsidRPr="00B85963" w:rsidTr="002F345E">
        <w:trPr>
          <w:trHeight w:val="600"/>
        </w:trPr>
        <w:tc>
          <w:tcPr>
            <w:tcW w:w="581"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lastRenderedPageBreak/>
              <w:t>Monsoon</w:t>
            </w:r>
          </w:p>
        </w:tc>
        <w:tc>
          <w:tcPr>
            <w:tcW w:w="841" w:type="pct"/>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lang w:eastAsia="en-IN"/>
                <w14:ligatures w14:val="none"/>
              </w:rPr>
              <w:t>CaCO</w:t>
            </w:r>
            <w:r w:rsidRPr="00B85963">
              <w:rPr>
                <w:rFonts w:ascii="Arial" w:eastAsia="Times New Roman" w:hAnsi="Arial" w:cs="Arial"/>
                <w:kern w:val="0"/>
                <w:sz w:val="20"/>
                <w:szCs w:val="20"/>
                <w:vertAlign w:val="subscript"/>
                <w:lang w:eastAsia="en-IN"/>
                <w14:ligatures w14:val="none"/>
              </w:rPr>
              <w:t>3</w:t>
            </w:r>
            <w:r w:rsidRPr="00B85963">
              <w:rPr>
                <w:rFonts w:ascii="Arial" w:eastAsia="Times New Roman" w:hAnsi="Arial" w:cs="Arial"/>
                <w:kern w:val="0"/>
                <w:sz w:val="20"/>
                <w:szCs w:val="20"/>
                <w:lang w:eastAsia="en-IN"/>
                <w14:ligatures w14:val="none"/>
              </w:rPr>
              <w:t xml:space="preserve"> (mg/mL)</w:t>
            </w:r>
          </w:p>
        </w:tc>
        <w:tc>
          <w:tcPr>
            <w:tcW w:w="894"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180.06</w:t>
            </w:r>
          </w:p>
        </w:tc>
        <w:tc>
          <w:tcPr>
            <w:tcW w:w="895"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190.13</w:t>
            </w:r>
          </w:p>
        </w:tc>
        <w:tc>
          <w:tcPr>
            <w:tcW w:w="895"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195.18</w:t>
            </w:r>
          </w:p>
        </w:tc>
        <w:tc>
          <w:tcPr>
            <w:tcW w:w="894"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196.17</w:t>
            </w:r>
          </w:p>
        </w:tc>
      </w:tr>
      <w:tr w:rsidR="00930B4D" w:rsidRPr="00B85963" w:rsidTr="002F345E">
        <w:trPr>
          <w:trHeight w:val="600"/>
        </w:trPr>
        <w:tc>
          <w:tcPr>
            <w:tcW w:w="581"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Winter</w:t>
            </w:r>
          </w:p>
        </w:tc>
        <w:tc>
          <w:tcPr>
            <w:tcW w:w="841" w:type="pct"/>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lang w:eastAsia="en-IN"/>
                <w14:ligatures w14:val="none"/>
              </w:rPr>
              <w:t>CaCO</w:t>
            </w:r>
            <w:r w:rsidRPr="00B85963">
              <w:rPr>
                <w:rFonts w:ascii="Arial" w:eastAsia="Times New Roman" w:hAnsi="Arial" w:cs="Arial"/>
                <w:kern w:val="0"/>
                <w:sz w:val="20"/>
                <w:szCs w:val="20"/>
                <w:vertAlign w:val="subscript"/>
                <w:lang w:eastAsia="en-IN"/>
                <w14:ligatures w14:val="none"/>
              </w:rPr>
              <w:t>3</w:t>
            </w:r>
            <w:r w:rsidRPr="00B85963">
              <w:rPr>
                <w:rFonts w:ascii="Arial" w:eastAsia="Times New Roman" w:hAnsi="Arial" w:cs="Arial"/>
                <w:kern w:val="0"/>
                <w:sz w:val="20"/>
                <w:szCs w:val="20"/>
                <w:lang w:eastAsia="en-IN"/>
                <w14:ligatures w14:val="none"/>
              </w:rPr>
              <w:t xml:space="preserve"> (mg/mL)</w:t>
            </w:r>
          </w:p>
        </w:tc>
        <w:tc>
          <w:tcPr>
            <w:tcW w:w="894"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43.38</w:t>
            </w:r>
          </w:p>
        </w:tc>
        <w:tc>
          <w:tcPr>
            <w:tcW w:w="895"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169</w:t>
            </w:r>
          </w:p>
        </w:tc>
        <w:tc>
          <w:tcPr>
            <w:tcW w:w="895"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68.17</w:t>
            </w:r>
          </w:p>
        </w:tc>
        <w:tc>
          <w:tcPr>
            <w:tcW w:w="894"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196.32</w:t>
            </w:r>
          </w:p>
        </w:tc>
      </w:tr>
      <w:tr w:rsidR="00930B4D" w:rsidRPr="00B85963" w:rsidTr="002F345E">
        <w:trPr>
          <w:trHeight w:val="600"/>
        </w:trPr>
        <w:tc>
          <w:tcPr>
            <w:tcW w:w="581"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841" w:type="pct"/>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lang w:eastAsia="en-IN"/>
                <w14:ligatures w14:val="none"/>
              </w:rPr>
              <w:t>CaCO</w:t>
            </w:r>
            <w:r w:rsidRPr="00B85963">
              <w:rPr>
                <w:rFonts w:ascii="Arial" w:eastAsia="Times New Roman" w:hAnsi="Arial" w:cs="Arial"/>
                <w:kern w:val="0"/>
                <w:sz w:val="20"/>
                <w:szCs w:val="20"/>
                <w:vertAlign w:val="subscript"/>
                <w:lang w:eastAsia="en-IN"/>
                <w14:ligatures w14:val="none"/>
              </w:rPr>
              <w:t>3</w:t>
            </w:r>
            <w:r w:rsidRPr="00B85963">
              <w:rPr>
                <w:rFonts w:ascii="Arial" w:eastAsia="Times New Roman" w:hAnsi="Arial" w:cs="Arial"/>
                <w:kern w:val="0"/>
                <w:sz w:val="20"/>
                <w:szCs w:val="20"/>
                <w:lang w:eastAsia="en-IN"/>
                <w14:ligatures w14:val="none"/>
              </w:rPr>
              <w:t xml:space="preserve"> (mg/mL)</w:t>
            </w:r>
          </w:p>
        </w:tc>
        <w:tc>
          <w:tcPr>
            <w:tcW w:w="894"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172.04</w:t>
            </w:r>
          </w:p>
        </w:tc>
        <w:tc>
          <w:tcPr>
            <w:tcW w:w="895"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184.18</w:t>
            </w:r>
          </w:p>
        </w:tc>
        <w:tc>
          <w:tcPr>
            <w:tcW w:w="895"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175.05</w:t>
            </w:r>
          </w:p>
        </w:tc>
        <w:tc>
          <w:tcPr>
            <w:tcW w:w="894"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182.33</w:t>
            </w:r>
          </w:p>
        </w:tc>
      </w:tr>
    </w:tbl>
    <w:p w:rsidR="00930B4D" w:rsidRPr="00B85963" w:rsidRDefault="00930B4D" w:rsidP="00930B4D">
      <w:pPr>
        <w:jc w:val="center"/>
        <w:rPr>
          <w:rFonts w:ascii="Arial" w:hAnsi="Arial" w:cs="Arial"/>
          <w:sz w:val="20"/>
          <w:szCs w:val="20"/>
          <w:lang w:val="en-US"/>
        </w:rPr>
      </w:pPr>
    </w:p>
    <w:p w:rsidR="00930B4D" w:rsidRPr="00B85963" w:rsidRDefault="00930B4D" w:rsidP="00930B4D">
      <w:pPr>
        <w:jc w:val="center"/>
        <w:rPr>
          <w:rFonts w:ascii="Arial" w:hAnsi="Arial" w:cs="Arial"/>
          <w:sz w:val="20"/>
          <w:szCs w:val="20"/>
          <w:lang w:val="en-US"/>
        </w:rPr>
      </w:pPr>
      <w:r w:rsidRPr="00B85963">
        <w:rPr>
          <w:rFonts w:ascii="Arial" w:hAnsi="Arial" w:cs="Arial"/>
          <w:noProof/>
          <w:sz w:val="20"/>
          <w:szCs w:val="20"/>
          <w:lang w:val="en-US" w:bidi="hi-IN"/>
        </w:rPr>
        <w:drawing>
          <wp:inline distT="0" distB="0" distL="0" distR="0" wp14:anchorId="00A8BCF9" wp14:editId="64665567">
            <wp:extent cx="4572000" cy="2743200"/>
            <wp:effectExtent l="0" t="0" r="0" b="0"/>
            <wp:docPr id="1451080932" name="Chart 1">
              <a:extLst xmlns:a="http://schemas.openxmlformats.org/drawingml/2006/main">
                <a:ext uri="{FF2B5EF4-FFF2-40B4-BE49-F238E27FC236}">
                  <a16:creationId xmlns:a16="http://schemas.microsoft.com/office/drawing/2014/main" id="{B457A9B6-D383-4E3E-9BCC-D94552649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0B4D" w:rsidRPr="00B85963" w:rsidRDefault="00930B4D" w:rsidP="00930B4D">
      <w:pPr>
        <w:spacing w:after="0" w:line="360" w:lineRule="auto"/>
        <w:ind w:left="720"/>
        <w:jc w:val="both"/>
        <w:rPr>
          <w:rFonts w:ascii="Arial" w:hAnsi="Arial" w:cs="Arial"/>
          <w:b/>
          <w:bCs/>
          <w:strike/>
          <w:sz w:val="20"/>
          <w:szCs w:val="20"/>
          <w:highlight w:val="yellow"/>
          <w:lang w:val="en-US"/>
        </w:rPr>
      </w:pPr>
      <w:r w:rsidRPr="00B85963">
        <w:rPr>
          <w:rFonts w:ascii="Arial" w:hAnsi="Arial" w:cs="Arial"/>
          <w:b/>
          <w:bCs/>
          <w:sz w:val="20"/>
          <w:szCs w:val="20"/>
          <w:lang w:val="en-US"/>
        </w:rPr>
        <w:t xml:space="preserve">Figure 3: Seasonal variations in </w:t>
      </w:r>
      <w:r w:rsidRPr="00B85963">
        <w:rPr>
          <w:rFonts w:ascii="Arial" w:eastAsia="Times New Roman" w:hAnsi="Arial" w:cs="Arial"/>
          <w:b/>
          <w:bCs/>
          <w:kern w:val="0"/>
          <w:sz w:val="20"/>
          <w:szCs w:val="20"/>
          <w:lang w:eastAsia="en-IN"/>
          <w14:ligatures w14:val="none"/>
        </w:rPr>
        <w:t>Alkalinity as CaCO</w:t>
      </w:r>
      <w:r w:rsidRPr="00B85963">
        <w:rPr>
          <w:rFonts w:ascii="Arial" w:eastAsia="Times New Roman" w:hAnsi="Arial" w:cs="Arial"/>
          <w:b/>
          <w:bCs/>
          <w:kern w:val="0"/>
          <w:sz w:val="20"/>
          <w:szCs w:val="20"/>
          <w:vertAlign w:val="subscript"/>
          <w:lang w:eastAsia="en-IN"/>
          <w14:ligatures w14:val="none"/>
        </w:rPr>
        <w:t>3</w:t>
      </w:r>
      <w:r w:rsidRPr="00B85963">
        <w:rPr>
          <w:rFonts w:ascii="Arial" w:eastAsia="Times New Roman" w:hAnsi="Arial" w:cs="Arial"/>
          <w:b/>
          <w:bCs/>
          <w:kern w:val="0"/>
          <w:sz w:val="20"/>
          <w:szCs w:val="20"/>
          <w:lang w:eastAsia="en-IN"/>
          <w14:ligatures w14:val="none"/>
        </w:rPr>
        <w:t xml:space="preserve"> (mg/mL)</w:t>
      </w:r>
      <w:r w:rsidRPr="00B85963">
        <w:rPr>
          <w:rFonts w:ascii="Arial" w:eastAsia="Times New Roman" w:hAnsi="Arial" w:cs="Arial"/>
          <w:b/>
          <w:bCs/>
          <w:color w:val="000000"/>
          <w:kern w:val="0"/>
          <w:sz w:val="20"/>
          <w:szCs w:val="20"/>
          <w:lang w:eastAsia="en-IN"/>
          <w14:ligatures w14:val="none"/>
        </w:rPr>
        <w:t xml:space="preserve"> </w:t>
      </w:r>
      <w:r w:rsidRPr="00B85963">
        <w:rPr>
          <w:rFonts w:ascii="Arial" w:hAnsi="Arial" w:cs="Arial"/>
          <w:b/>
          <w:bCs/>
          <w:sz w:val="20"/>
          <w:szCs w:val="20"/>
          <w:lang w:val="en-US"/>
        </w:rPr>
        <w:t xml:space="preserve">of water samples </w:t>
      </w:r>
    </w:p>
    <w:p w:rsidR="00930B4D" w:rsidRDefault="00930B4D" w:rsidP="00930B4D">
      <w:pPr>
        <w:ind w:firstLine="720"/>
        <w:jc w:val="both"/>
        <w:rPr>
          <w:rFonts w:ascii="Arial" w:hAnsi="Arial" w:cs="Arial Unicode MS"/>
          <w:sz w:val="20"/>
          <w:szCs w:val="18"/>
          <w:lang w:bidi="hi-IN"/>
        </w:rPr>
      </w:pPr>
      <w:r w:rsidRPr="00B85963">
        <w:rPr>
          <w:rFonts w:ascii="Arial" w:hAnsi="Arial" w:cs="Arial"/>
          <w:sz w:val="20"/>
          <w:szCs w:val="20"/>
        </w:rPr>
        <w:t xml:space="preserve">As shown in Table 3 and Figure 3, alkalinity levels varied seasonally. Monsoon samples exhibited elevated buffering capacity (180.06–196.17 mg/mL), linked to leaching and runoff. Winter values fell sharply in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groundwater (43.38 mg/mL) but remained high in </w:t>
      </w:r>
      <w:proofErr w:type="spellStart"/>
      <w:r w:rsidRPr="00B85963">
        <w:rPr>
          <w:rFonts w:ascii="Arial" w:hAnsi="Arial" w:cs="Arial"/>
          <w:sz w:val="20"/>
          <w:szCs w:val="20"/>
        </w:rPr>
        <w:t>Belsonda</w:t>
      </w:r>
      <w:proofErr w:type="spellEnd"/>
      <w:r w:rsidRPr="00B85963">
        <w:rPr>
          <w:rFonts w:ascii="Arial" w:hAnsi="Arial" w:cs="Arial"/>
          <w:sz w:val="20"/>
          <w:szCs w:val="20"/>
        </w:rPr>
        <w:t xml:space="preserve"> river water (196.32 mg/mL). Summer concentrations were moderately high (172.04–184.18 mg/mL), reflecting reduced dilution. These trends underline anthropogenic impacts on water chemistry and reinforce the need for eco-sustainable practices.</w:t>
      </w:r>
    </w:p>
    <w:p w:rsidR="00225797" w:rsidRPr="00930B4D" w:rsidRDefault="00F51583" w:rsidP="00930B4D">
      <w:pPr>
        <w:jc w:val="both"/>
        <w:rPr>
          <w:rFonts w:ascii="Arial" w:hAnsi="Arial" w:cs="Arial"/>
          <w:sz w:val="20"/>
          <w:szCs w:val="20"/>
        </w:rPr>
      </w:pPr>
      <w:r w:rsidRPr="00F51583">
        <w:rPr>
          <w:rFonts w:ascii="Arial" w:hAnsi="Arial" w:cs="Arial"/>
          <w:b/>
          <w:bCs/>
          <w:sz w:val="22"/>
          <w:szCs w:val="22"/>
        </w:rPr>
        <w:t xml:space="preserve">3.4 </w:t>
      </w:r>
      <w:r w:rsidR="00463D4F" w:rsidRPr="00F51583">
        <w:rPr>
          <w:rFonts w:ascii="Arial" w:hAnsi="Arial" w:cs="Arial"/>
          <w:b/>
          <w:bCs/>
          <w:sz w:val="22"/>
          <w:szCs w:val="22"/>
        </w:rPr>
        <w:t>Calcium (Ca²</w:t>
      </w:r>
      <w:r w:rsidR="00463D4F" w:rsidRPr="00F51583">
        <w:rPr>
          <w:rFonts w:ascii="Cambria Math" w:hAnsi="Cambria Math" w:cs="Cambria Math"/>
          <w:b/>
          <w:bCs/>
          <w:sz w:val="22"/>
          <w:szCs w:val="22"/>
        </w:rPr>
        <w:t>⁺</w:t>
      </w:r>
      <w:r w:rsidR="00EA6555" w:rsidRPr="00F51583">
        <w:rPr>
          <w:rFonts w:ascii="Arial" w:hAnsi="Arial" w:cs="Arial"/>
          <w:b/>
          <w:bCs/>
          <w:sz w:val="22"/>
          <w:szCs w:val="22"/>
        </w:rPr>
        <w:t>):</w:t>
      </w:r>
      <w:r w:rsidR="00450F0D" w:rsidRPr="00F51583">
        <w:rPr>
          <w:rFonts w:ascii="Arial" w:hAnsi="Arial" w:cs="Arial"/>
          <w:b/>
          <w:bCs/>
          <w:sz w:val="22"/>
          <w:szCs w:val="22"/>
        </w:rPr>
        <w:t>-</w:t>
      </w:r>
    </w:p>
    <w:p w:rsidR="00930B4D" w:rsidRPr="00B85963" w:rsidRDefault="00930B4D" w:rsidP="00930B4D">
      <w:pPr>
        <w:spacing w:after="0" w:line="240" w:lineRule="auto"/>
        <w:rPr>
          <w:rFonts w:ascii="Arial" w:hAnsi="Arial" w:cs="Arial"/>
          <w:b/>
          <w:bCs/>
          <w:sz w:val="20"/>
          <w:szCs w:val="20"/>
          <w:lang w:val="en-US"/>
        </w:rPr>
      </w:pPr>
      <w:r w:rsidRPr="00B85963">
        <w:rPr>
          <w:rFonts w:ascii="Arial" w:hAnsi="Arial" w:cs="Arial"/>
          <w:b/>
          <w:bCs/>
          <w:sz w:val="20"/>
          <w:szCs w:val="20"/>
          <w:lang w:val="en-US"/>
        </w:rPr>
        <w:t xml:space="preserve">Table 4: Seasonal variations in </w:t>
      </w:r>
      <w:r w:rsidRPr="00B85963">
        <w:rPr>
          <w:rFonts w:ascii="Arial" w:eastAsia="Times New Roman" w:hAnsi="Arial" w:cs="Arial"/>
          <w:b/>
          <w:bCs/>
          <w:kern w:val="0"/>
          <w:sz w:val="20"/>
          <w:szCs w:val="20"/>
          <w:lang w:eastAsia="en-IN"/>
          <w14:ligatures w14:val="none"/>
        </w:rPr>
        <w:t>Calcium as Ca</w:t>
      </w:r>
      <w:r w:rsidRPr="00B85963">
        <w:rPr>
          <w:rFonts w:ascii="Arial" w:eastAsia="Times New Roman" w:hAnsi="Arial" w:cs="Arial"/>
          <w:b/>
          <w:bCs/>
          <w:kern w:val="0"/>
          <w:sz w:val="20"/>
          <w:szCs w:val="20"/>
          <w:vertAlign w:val="superscript"/>
          <w:lang w:eastAsia="en-IN"/>
          <w14:ligatures w14:val="none"/>
        </w:rPr>
        <w:t>2+</w:t>
      </w:r>
      <w:r w:rsidRPr="00B85963">
        <w:rPr>
          <w:rFonts w:ascii="Arial" w:eastAsia="Times New Roman" w:hAnsi="Arial" w:cs="Arial"/>
          <w:b/>
          <w:bCs/>
          <w:kern w:val="0"/>
          <w:sz w:val="20"/>
          <w:szCs w:val="20"/>
          <w:lang w:eastAsia="en-IN"/>
          <w14:ligatures w14:val="none"/>
        </w:rPr>
        <w:t xml:space="preserve"> (mg/mL)</w:t>
      </w:r>
      <w:r w:rsidRPr="00B85963">
        <w:rPr>
          <w:rFonts w:ascii="Arial" w:hAnsi="Arial" w:cs="Arial"/>
          <w:b/>
          <w:bCs/>
          <w:sz w:val="20"/>
          <w:szCs w:val="20"/>
          <w:lang w:val="en-US"/>
        </w:rPr>
        <w:t xml:space="preserve"> of water samples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930B4D" w:rsidRPr="00B85963" w:rsidTr="002F345E">
        <w:trPr>
          <w:trHeight w:val="999"/>
        </w:trPr>
        <w:tc>
          <w:tcPr>
            <w:tcW w:w="581"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841" w:type="pct"/>
            <w:vAlign w:val="center"/>
            <w:hideMark/>
          </w:tcPr>
          <w:p w:rsidR="00930B4D" w:rsidRPr="00B85963" w:rsidRDefault="00930B4D"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94" w:type="pct"/>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95" w:type="pct"/>
            <w:vAlign w:val="center"/>
            <w:hideMark/>
          </w:tcPr>
          <w:p w:rsidR="00930B4D" w:rsidRPr="00B85963" w:rsidRDefault="00930B4D"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95" w:type="pct"/>
            <w:vAlign w:val="center"/>
            <w:hideMark/>
          </w:tcPr>
          <w:p w:rsidR="00930B4D" w:rsidRPr="00B85963" w:rsidRDefault="00930B4D"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94" w:type="pct"/>
            <w:vAlign w:val="center"/>
            <w:hideMark/>
          </w:tcPr>
          <w:p w:rsidR="00930B4D" w:rsidRPr="00B85963" w:rsidRDefault="00930B4D"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930B4D" w:rsidRPr="00B85963" w:rsidTr="002F345E">
        <w:trPr>
          <w:trHeight w:val="600"/>
        </w:trPr>
        <w:tc>
          <w:tcPr>
            <w:tcW w:w="581"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Monsoon</w:t>
            </w:r>
          </w:p>
        </w:tc>
        <w:tc>
          <w:tcPr>
            <w:tcW w:w="841" w:type="pct"/>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lang w:eastAsia="en-IN"/>
                <w14:ligatures w14:val="none"/>
              </w:rPr>
              <w:t>Ca</w:t>
            </w:r>
            <w:r w:rsidRPr="00B85963">
              <w:rPr>
                <w:rFonts w:ascii="Arial" w:eastAsia="Times New Roman" w:hAnsi="Arial" w:cs="Arial"/>
                <w:kern w:val="0"/>
                <w:sz w:val="20"/>
                <w:szCs w:val="20"/>
                <w:vertAlign w:val="superscript"/>
                <w:lang w:eastAsia="en-IN"/>
                <w14:ligatures w14:val="none"/>
              </w:rPr>
              <w:t>2+</w:t>
            </w:r>
            <w:r w:rsidRPr="00B85963">
              <w:rPr>
                <w:rFonts w:ascii="Arial" w:eastAsia="Times New Roman" w:hAnsi="Arial" w:cs="Arial"/>
                <w:kern w:val="0"/>
                <w:sz w:val="20"/>
                <w:szCs w:val="20"/>
                <w:lang w:eastAsia="en-IN"/>
                <w14:ligatures w14:val="none"/>
              </w:rPr>
              <w:t xml:space="preserve"> (mg/mL)</w:t>
            </w:r>
          </w:p>
        </w:tc>
        <w:tc>
          <w:tcPr>
            <w:tcW w:w="894"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60.33</w:t>
            </w:r>
          </w:p>
        </w:tc>
        <w:tc>
          <w:tcPr>
            <w:tcW w:w="895"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48.06</w:t>
            </w:r>
          </w:p>
        </w:tc>
        <w:tc>
          <w:tcPr>
            <w:tcW w:w="895"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60.07</w:t>
            </w:r>
          </w:p>
        </w:tc>
        <w:tc>
          <w:tcPr>
            <w:tcW w:w="894"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53.03</w:t>
            </w:r>
          </w:p>
        </w:tc>
      </w:tr>
      <w:tr w:rsidR="00930B4D" w:rsidRPr="00B85963" w:rsidTr="002F345E">
        <w:trPr>
          <w:trHeight w:val="600"/>
        </w:trPr>
        <w:tc>
          <w:tcPr>
            <w:tcW w:w="581"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Winter</w:t>
            </w:r>
          </w:p>
        </w:tc>
        <w:tc>
          <w:tcPr>
            <w:tcW w:w="841" w:type="pct"/>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lang w:eastAsia="en-IN"/>
                <w14:ligatures w14:val="none"/>
              </w:rPr>
              <w:t>Ca</w:t>
            </w:r>
            <w:r w:rsidRPr="00B85963">
              <w:rPr>
                <w:rFonts w:ascii="Arial" w:eastAsia="Times New Roman" w:hAnsi="Arial" w:cs="Arial"/>
                <w:kern w:val="0"/>
                <w:sz w:val="20"/>
                <w:szCs w:val="20"/>
                <w:vertAlign w:val="superscript"/>
                <w:lang w:eastAsia="en-IN"/>
                <w14:ligatures w14:val="none"/>
              </w:rPr>
              <w:t>2+</w:t>
            </w:r>
            <w:r w:rsidRPr="00B85963">
              <w:rPr>
                <w:rFonts w:ascii="Arial" w:eastAsia="Times New Roman" w:hAnsi="Arial" w:cs="Arial"/>
                <w:kern w:val="0"/>
                <w:sz w:val="20"/>
                <w:szCs w:val="20"/>
                <w:lang w:eastAsia="en-IN"/>
                <w14:ligatures w14:val="none"/>
              </w:rPr>
              <w:t xml:space="preserve"> (mg/mL)</w:t>
            </w:r>
          </w:p>
        </w:tc>
        <w:tc>
          <w:tcPr>
            <w:tcW w:w="894"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19.52</w:t>
            </w:r>
          </w:p>
        </w:tc>
        <w:tc>
          <w:tcPr>
            <w:tcW w:w="895"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55.23</w:t>
            </w:r>
          </w:p>
        </w:tc>
        <w:tc>
          <w:tcPr>
            <w:tcW w:w="895"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15.28</w:t>
            </w:r>
          </w:p>
        </w:tc>
        <w:tc>
          <w:tcPr>
            <w:tcW w:w="894"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60.31</w:t>
            </w:r>
          </w:p>
        </w:tc>
      </w:tr>
      <w:tr w:rsidR="00930B4D" w:rsidRPr="00B85963" w:rsidTr="002F345E">
        <w:trPr>
          <w:trHeight w:val="600"/>
        </w:trPr>
        <w:tc>
          <w:tcPr>
            <w:tcW w:w="581"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841" w:type="pct"/>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lang w:eastAsia="en-IN"/>
                <w14:ligatures w14:val="none"/>
              </w:rPr>
              <w:t>Ca</w:t>
            </w:r>
            <w:r w:rsidRPr="00B85963">
              <w:rPr>
                <w:rFonts w:ascii="Arial" w:eastAsia="Times New Roman" w:hAnsi="Arial" w:cs="Arial"/>
                <w:kern w:val="0"/>
                <w:sz w:val="20"/>
                <w:szCs w:val="20"/>
                <w:vertAlign w:val="superscript"/>
                <w:lang w:eastAsia="en-IN"/>
                <w14:ligatures w14:val="none"/>
              </w:rPr>
              <w:t>2+</w:t>
            </w:r>
            <w:r w:rsidRPr="00B85963">
              <w:rPr>
                <w:rFonts w:ascii="Arial" w:eastAsia="Times New Roman" w:hAnsi="Arial" w:cs="Arial"/>
                <w:kern w:val="0"/>
                <w:sz w:val="20"/>
                <w:szCs w:val="20"/>
                <w:lang w:eastAsia="en-IN"/>
                <w14:ligatures w14:val="none"/>
              </w:rPr>
              <w:t xml:space="preserve"> (mg/mL)</w:t>
            </w:r>
          </w:p>
        </w:tc>
        <w:tc>
          <w:tcPr>
            <w:tcW w:w="894"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50.1</w:t>
            </w:r>
          </w:p>
        </w:tc>
        <w:tc>
          <w:tcPr>
            <w:tcW w:w="895"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40.06</w:t>
            </w:r>
          </w:p>
        </w:tc>
        <w:tc>
          <w:tcPr>
            <w:tcW w:w="895"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55.35</w:t>
            </w:r>
          </w:p>
        </w:tc>
        <w:tc>
          <w:tcPr>
            <w:tcW w:w="894" w:type="pct"/>
            <w:noWrap/>
            <w:vAlign w:val="center"/>
            <w:hideMark/>
          </w:tcPr>
          <w:p w:rsidR="00930B4D" w:rsidRPr="00B85963" w:rsidRDefault="00930B4D"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50.31</w:t>
            </w:r>
          </w:p>
        </w:tc>
      </w:tr>
    </w:tbl>
    <w:p w:rsidR="00930B4D" w:rsidRPr="00B85963" w:rsidRDefault="00930B4D" w:rsidP="00930B4D">
      <w:pPr>
        <w:jc w:val="both"/>
        <w:rPr>
          <w:rFonts w:ascii="Arial" w:hAnsi="Arial" w:cs="Arial"/>
          <w:sz w:val="20"/>
          <w:szCs w:val="20"/>
          <w:lang w:val="en-US"/>
        </w:rPr>
      </w:pPr>
    </w:p>
    <w:p w:rsidR="00930B4D" w:rsidRPr="00B85963" w:rsidRDefault="00930B4D" w:rsidP="00930B4D">
      <w:pPr>
        <w:jc w:val="center"/>
        <w:rPr>
          <w:rFonts w:ascii="Arial" w:hAnsi="Arial" w:cs="Arial"/>
          <w:sz w:val="20"/>
          <w:szCs w:val="20"/>
          <w:lang w:val="en-US"/>
        </w:rPr>
      </w:pPr>
      <w:r w:rsidRPr="00B85963">
        <w:rPr>
          <w:rFonts w:ascii="Arial" w:hAnsi="Arial" w:cs="Arial"/>
          <w:noProof/>
          <w:sz w:val="20"/>
          <w:szCs w:val="20"/>
          <w:lang w:val="en-US" w:bidi="hi-IN"/>
        </w:rPr>
        <w:lastRenderedPageBreak/>
        <w:drawing>
          <wp:inline distT="0" distB="0" distL="0" distR="0" wp14:anchorId="7C2975C1" wp14:editId="5D975FE7">
            <wp:extent cx="5934075" cy="2038350"/>
            <wp:effectExtent l="0" t="0" r="9525" b="19050"/>
            <wp:docPr id="1116313222" name="Chart 1">
              <a:extLst xmlns:a="http://schemas.openxmlformats.org/drawingml/2006/main">
                <a:ext uri="{FF2B5EF4-FFF2-40B4-BE49-F238E27FC236}">
                  <a16:creationId xmlns:a16="http://schemas.microsoft.com/office/drawing/2014/main" id="{A88840C3-CB96-40C5-980E-4CCFD20653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30B4D" w:rsidRPr="00930B4D" w:rsidRDefault="00930B4D" w:rsidP="00930B4D">
      <w:pPr>
        <w:ind w:firstLine="720"/>
        <w:jc w:val="both"/>
        <w:rPr>
          <w:rFonts w:ascii="Arial" w:hAnsi="Arial" w:cs="Arial"/>
          <w:sz w:val="18"/>
          <w:szCs w:val="16"/>
          <w:lang w:bidi="hi-IN"/>
        </w:rPr>
      </w:pPr>
      <w:r w:rsidRPr="00930B4D">
        <w:rPr>
          <w:rFonts w:ascii="Arial" w:hAnsi="Arial" w:cs="Arial"/>
          <w:b/>
          <w:bCs/>
          <w:sz w:val="20"/>
          <w:szCs w:val="20"/>
          <w:lang w:val="en-US"/>
        </w:rPr>
        <w:t xml:space="preserve">Figure 3: Seasonal variations in </w:t>
      </w:r>
      <w:r w:rsidRPr="00930B4D">
        <w:rPr>
          <w:rFonts w:ascii="Arial" w:eastAsia="Times New Roman" w:hAnsi="Arial" w:cs="Arial"/>
          <w:b/>
          <w:bCs/>
          <w:kern w:val="0"/>
          <w:sz w:val="20"/>
          <w:szCs w:val="20"/>
          <w:lang w:eastAsia="en-IN"/>
          <w14:ligatures w14:val="none"/>
        </w:rPr>
        <w:t>Alkalinity as CaCO</w:t>
      </w:r>
      <w:r w:rsidRPr="00930B4D">
        <w:rPr>
          <w:rFonts w:ascii="Arial" w:eastAsia="Times New Roman" w:hAnsi="Arial" w:cs="Arial"/>
          <w:b/>
          <w:bCs/>
          <w:kern w:val="0"/>
          <w:sz w:val="20"/>
          <w:szCs w:val="20"/>
          <w:vertAlign w:val="subscript"/>
          <w:lang w:eastAsia="en-IN"/>
          <w14:ligatures w14:val="none"/>
        </w:rPr>
        <w:t>3</w:t>
      </w:r>
      <w:r w:rsidRPr="00930B4D">
        <w:rPr>
          <w:rFonts w:ascii="Arial" w:eastAsia="Times New Roman" w:hAnsi="Arial" w:cs="Arial"/>
          <w:b/>
          <w:bCs/>
          <w:kern w:val="0"/>
          <w:sz w:val="20"/>
          <w:szCs w:val="20"/>
          <w:lang w:eastAsia="en-IN"/>
          <w14:ligatures w14:val="none"/>
        </w:rPr>
        <w:t xml:space="preserve"> (mg/mL)</w:t>
      </w:r>
      <w:r w:rsidRPr="00930B4D">
        <w:rPr>
          <w:rFonts w:ascii="Arial" w:eastAsia="Times New Roman" w:hAnsi="Arial" w:cs="Arial"/>
          <w:b/>
          <w:bCs/>
          <w:color w:val="000000"/>
          <w:kern w:val="0"/>
          <w:sz w:val="20"/>
          <w:szCs w:val="20"/>
          <w:lang w:eastAsia="en-IN"/>
          <w14:ligatures w14:val="none"/>
        </w:rPr>
        <w:t xml:space="preserve"> </w:t>
      </w:r>
      <w:r w:rsidRPr="00930B4D">
        <w:rPr>
          <w:rFonts w:ascii="Arial" w:hAnsi="Arial" w:cs="Arial"/>
          <w:b/>
          <w:bCs/>
          <w:sz w:val="20"/>
          <w:szCs w:val="20"/>
          <w:lang w:val="en-US"/>
        </w:rPr>
        <w:t>of water samples</w:t>
      </w:r>
    </w:p>
    <w:p w:rsidR="00930B4D" w:rsidRPr="00B85963" w:rsidRDefault="00930B4D" w:rsidP="00930B4D">
      <w:pPr>
        <w:ind w:firstLine="720"/>
        <w:jc w:val="both"/>
        <w:rPr>
          <w:rFonts w:ascii="Arial" w:hAnsi="Arial" w:cs="Arial"/>
          <w:sz w:val="20"/>
          <w:szCs w:val="20"/>
        </w:rPr>
      </w:pPr>
      <w:r w:rsidRPr="00B85963">
        <w:rPr>
          <w:rFonts w:ascii="Arial" w:hAnsi="Arial" w:cs="Arial"/>
          <w:sz w:val="20"/>
          <w:szCs w:val="20"/>
        </w:rPr>
        <w:t xml:space="preserve">Seasonal calcium concentrations (Table 4, Figure 4) showed distinct variations. Monsoon levels were 48.06–60.33 mg/mL, with higher values in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water. Winter concentrations dropped significantly in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river water (15.28 mg/mL) but peaked in </w:t>
      </w:r>
      <w:proofErr w:type="spellStart"/>
      <w:r w:rsidRPr="00B85963">
        <w:rPr>
          <w:rFonts w:ascii="Arial" w:hAnsi="Arial" w:cs="Arial"/>
          <w:sz w:val="20"/>
          <w:szCs w:val="20"/>
        </w:rPr>
        <w:t>Belsonda</w:t>
      </w:r>
      <w:proofErr w:type="spellEnd"/>
      <w:r w:rsidRPr="00B85963">
        <w:rPr>
          <w:rFonts w:ascii="Arial" w:hAnsi="Arial" w:cs="Arial"/>
          <w:sz w:val="20"/>
          <w:szCs w:val="20"/>
        </w:rPr>
        <w:t xml:space="preserve"> river water (60.31 mg/mL). Summer values were moderate (40.06–55.35 mg/mL). These results point to mineral leaching during monsoon and localized contamination during winter. </w:t>
      </w:r>
    </w:p>
    <w:p w:rsidR="006A5416" w:rsidRPr="00F51583" w:rsidRDefault="00F51583" w:rsidP="006A5416">
      <w:pPr>
        <w:jc w:val="both"/>
        <w:rPr>
          <w:rFonts w:ascii="Arial" w:hAnsi="Arial" w:cs="Arial"/>
          <w:sz w:val="22"/>
          <w:szCs w:val="22"/>
        </w:rPr>
      </w:pPr>
      <w:r w:rsidRPr="00F51583">
        <w:rPr>
          <w:rFonts w:ascii="Arial" w:hAnsi="Arial" w:cs="Arial"/>
          <w:b/>
          <w:bCs/>
          <w:sz w:val="22"/>
          <w:szCs w:val="22"/>
        </w:rPr>
        <w:t xml:space="preserve">3.5 </w:t>
      </w:r>
      <w:r w:rsidR="00463D4F" w:rsidRPr="00F51583">
        <w:rPr>
          <w:rFonts w:ascii="Arial" w:hAnsi="Arial" w:cs="Arial"/>
          <w:b/>
          <w:bCs/>
          <w:sz w:val="22"/>
          <w:szCs w:val="22"/>
        </w:rPr>
        <w:t>Magnesium (Mg²</w:t>
      </w:r>
      <w:r w:rsidR="00463D4F" w:rsidRPr="00F51583">
        <w:rPr>
          <w:rFonts w:ascii="Cambria Math" w:hAnsi="Cambria Math" w:cs="Cambria Math"/>
          <w:b/>
          <w:bCs/>
          <w:sz w:val="22"/>
          <w:szCs w:val="22"/>
        </w:rPr>
        <w:t>⁺</w:t>
      </w:r>
      <w:r w:rsidR="00463D4F" w:rsidRPr="00F51583">
        <w:rPr>
          <w:rFonts w:ascii="Arial" w:hAnsi="Arial" w:cs="Arial"/>
          <w:b/>
          <w:bCs/>
          <w:sz w:val="22"/>
          <w:szCs w:val="22"/>
        </w:rPr>
        <w:t>)</w:t>
      </w:r>
    </w:p>
    <w:p w:rsidR="001D2089" w:rsidRPr="00B85963" w:rsidRDefault="001D2089" w:rsidP="001D2089">
      <w:pPr>
        <w:spacing w:after="0" w:line="240" w:lineRule="auto"/>
        <w:rPr>
          <w:rFonts w:ascii="Arial" w:hAnsi="Arial" w:cs="Arial"/>
          <w:b/>
          <w:bCs/>
          <w:sz w:val="20"/>
          <w:szCs w:val="20"/>
          <w:lang w:val="en-US"/>
        </w:rPr>
      </w:pPr>
      <w:r w:rsidRPr="00B85963">
        <w:rPr>
          <w:rFonts w:ascii="Arial" w:hAnsi="Arial" w:cs="Arial"/>
          <w:b/>
          <w:bCs/>
          <w:sz w:val="20"/>
          <w:szCs w:val="20"/>
          <w:lang w:val="en-US"/>
        </w:rPr>
        <w:t xml:space="preserve">Table 5: Seasonal variations in </w:t>
      </w:r>
      <w:r w:rsidRPr="00B85963">
        <w:rPr>
          <w:rFonts w:ascii="Arial" w:eastAsia="Times New Roman" w:hAnsi="Arial" w:cs="Arial"/>
          <w:b/>
          <w:bCs/>
          <w:kern w:val="0"/>
          <w:sz w:val="20"/>
          <w:szCs w:val="20"/>
          <w:lang w:eastAsia="en-IN"/>
          <w14:ligatures w14:val="none"/>
        </w:rPr>
        <w:t>Magnesium as Mg</w:t>
      </w:r>
      <w:r w:rsidRPr="00B85963">
        <w:rPr>
          <w:rFonts w:ascii="Arial" w:eastAsia="Times New Roman" w:hAnsi="Arial" w:cs="Arial"/>
          <w:b/>
          <w:bCs/>
          <w:kern w:val="0"/>
          <w:sz w:val="20"/>
          <w:szCs w:val="20"/>
          <w:vertAlign w:val="superscript"/>
          <w:lang w:eastAsia="en-IN"/>
          <w14:ligatures w14:val="none"/>
        </w:rPr>
        <w:t>2+</w:t>
      </w:r>
      <w:r w:rsidRPr="00B85963">
        <w:rPr>
          <w:rFonts w:ascii="Arial" w:eastAsia="Times New Roman" w:hAnsi="Arial" w:cs="Arial"/>
          <w:b/>
          <w:bCs/>
          <w:kern w:val="0"/>
          <w:sz w:val="20"/>
          <w:szCs w:val="20"/>
          <w:lang w:eastAsia="en-IN"/>
          <w14:ligatures w14:val="none"/>
        </w:rPr>
        <w:t xml:space="preserve"> (mg/mL)</w:t>
      </w:r>
      <w:r w:rsidRPr="00B85963">
        <w:rPr>
          <w:rFonts w:ascii="Arial" w:hAnsi="Arial" w:cs="Arial"/>
          <w:b/>
          <w:bCs/>
          <w:sz w:val="20"/>
          <w:szCs w:val="20"/>
          <w:lang w:val="en-US"/>
        </w:rPr>
        <w:t xml:space="preserve"> of water samples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624"/>
        <w:gridCol w:w="1818"/>
        <w:gridCol w:w="1626"/>
        <w:gridCol w:w="1574"/>
        <w:gridCol w:w="1695"/>
      </w:tblGrid>
      <w:tr w:rsidR="001D2089" w:rsidRPr="00B85963" w:rsidTr="002F345E">
        <w:trPr>
          <w:trHeight w:val="999"/>
        </w:trPr>
        <w:tc>
          <w:tcPr>
            <w:tcW w:w="647"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848" w:type="pct"/>
            <w:vAlign w:val="center"/>
            <w:hideMark/>
          </w:tcPr>
          <w:p w:rsidR="001D2089" w:rsidRPr="00B85963" w:rsidRDefault="001D2089"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949" w:type="pct"/>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49" w:type="pct"/>
            <w:vAlign w:val="center"/>
            <w:hideMark/>
          </w:tcPr>
          <w:p w:rsidR="001D2089" w:rsidRPr="00B85963" w:rsidRDefault="001D208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22" w:type="pct"/>
            <w:vAlign w:val="center"/>
            <w:hideMark/>
          </w:tcPr>
          <w:p w:rsidR="001D2089" w:rsidRPr="00B85963" w:rsidRDefault="001D208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85" w:type="pct"/>
            <w:vAlign w:val="center"/>
            <w:hideMark/>
          </w:tcPr>
          <w:p w:rsidR="001D2089" w:rsidRPr="00B85963" w:rsidRDefault="001D208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1D2089" w:rsidRPr="00B85963" w:rsidTr="002F345E">
        <w:trPr>
          <w:trHeight w:val="600"/>
        </w:trPr>
        <w:tc>
          <w:tcPr>
            <w:tcW w:w="647"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Monsoon</w:t>
            </w:r>
          </w:p>
        </w:tc>
        <w:tc>
          <w:tcPr>
            <w:tcW w:w="848" w:type="pct"/>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lang w:eastAsia="en-IN"/>
                <w14:ligatures w14:val="none"/>
              </w:rPr>
              <w:t>Mg</w:t>
            </w:r>
            <w:r w:rsidRPr="00B85963">
              <w:rPr>
                <w:rFonts w:ascii="Arial" w:eastAsia="Times New Roman" w:hAnsi="Arial" w:cs="Arial"/>
                <w:kern w:val="0"/>
                <w:sz w:val="20"/>
                <w:szCs w:val="20"/>
                <w:vertAlign w:val="superscript"/>
                <w:lang w:eastAsia="en-IN"/>
                <w14:ligatures w14:val="none"/>
              </w:rPr>
              <w:t>2+</w:t>
            </w:r>
            <w:r w:rsidRPr="00B85963">
              <w:rPr>
                <w:rFonts w:ascii="Arial" w:eastAsia="Times New Roman" w:hAnsi="Arial" w:cs="Arial"/>
                <w:kern w:val="0"/>
                <w:sz w:val="20"/>
                <w:szCs w:val="20"/>
                <w:lang w:eastAsia="en-IN"/>
                <w14:ligatures w14:val="none"/>
              </w:rPr>
              <w:t xml:space="preserve"> (mg/mL)</w:t>
            </w:r>
          </w:p>
        </w:tc>
        <w:tc>
          <w:tcPr>
            <w:tcW w:w="949"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25.45</w:t>
            </w:r>
          </w:p>
        </w:tc>
        <w:tc>
          <w:tcPr>
            <w:tcW w:w="849"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32.78</w:t>
            </w:r>
          </w:p>
        </w:tc>
        <w:tc>
          <w:tcPr>
            <w:tcW w:w="822"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40.75</w:t>
            </w:r>
          </w:p>
        </w:tc>
        <w:tc>
          <w:tcPr>
            <w:tcW w:w="88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35.75</w:t>
            </w:r>
          </w:p>
        </w:tc>
      </w:tr>
      <w:tr w:rsidR="001D2089" w:rsidRPr="00B85963" w:rsidTr="002F345E">
        <w:trPr>
          <w:trHeight w:val="600"/>
        </w:trPr>
        <w:tc>
          <w:tcPr>
            <w:tcW w:w="647"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Winter</w:t>
            </w:r>
          </w:p>
        </w:tc>
        <w:tc>
          <w:tcPr>
            <w:tcW w:w="848" w:type="pct"/>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lang w:eastAsia="en-IN"/>
                <w14:ligatures w14:val="none"/>
              </w:rPr>
              <w:t>Mg</w:t>
            </w:r>
            <w:r w:rsidRPr="00B85963">
              <w:rPr>
                <w:rFonts w:ascii="Arial" w:eastAsia="Times New Roman" w:hAnsi="Arial" w:cs="Arial"/>
                <w:kern w:val="0"/>
                <w:sz w:val="20"/>
                <w:szCs w:val="20"/>
                <w:vertAlign w:val="superscript"/>
                <w:lang w:eastAsia="en-IN"/>
                <w14:ligatures w14:val="none"/>
              </w:rPr>
              <w:t>2+</w:t>
            </w:r>
            <w:r w:rsidRPr="00B85963">
              <w:rPr>
                <w:rFonts w:ascii="Arial" w:eastAsia="Times New Roman" w:hAnsi="Arial" w:cs="Arial"/>
                <w:kern w:val="0"/>
                <w:sz w:val="20"/>
                <w:szCs w:val="20"/>
                <w:lang w:eastAsia="en-IN"/>
                <w14:ligatures w14:val="none"/>
              </w:rPr>
              <w:t xml:space="preserve"> (mg/mL)</w:t>
            </w:r>
          </w:p>
        </w:tc>
        <w:tc>
          <w:tcPr>
            <w:tcW w:w="949"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5.66</w:t>
            </w:r>
          </w:p>
        </w:tc>
        <w:tc>
          <w:tcPr>
            <w:tcW w:w="849"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32.21</w:t>
            </w:r>
          </w:p>
        </w:tc>
        <w:tc>
          <w:tcPr>
            <w:tcW w:w="822"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5.66</w:t>
            </w:r>
          </w:p>
        </w:tc>
        <w:tc>
          <w:tcPr>
            <w:tcW w:w="88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35.24</w:t>
            </w:r>
          </w:p>
        </w:tc>
      </w:tr>
      <w:tr w:rsidR="001D2089" w:rsidRPr="00B85963" w:rsidTr="002F345E">
        <w:trPr>
          <w:trHeight w:val="600"/>
        </w:trPr>
        <w:tc>
          <w:tcPr>
            <w:tcW w:w="647"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848" w:type="pct"/>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lang w:eastAsia="en-IN"/>
                <w14:ligatures w14:val="none"/>
              </w:rPr>
              <w:t>Mg</w:t>
            </w:r>
            <w:r w:rsidRPr="00B85963">
              <w:rPr>
                <w:rFonts w:ascii="Arial" w:eastAsia="Times New Roman" w:hAnsi="Arial" w:cs="Arial"/>
                <w:kern w:val="0"/>
                <w:sz w:val="20"/>
                <w:szCs w:val="20"/>
                <w:vertAlign w:val="superscript"/>
                <w:lang w:eastAsia="en-IN"/>
                <w14:ligatures w14:val="none"/>
              </w:rPr>
              <w:t>2+</w:t>
            </w:r>
            <w:r w:rsidRPr="00B85963">
              <w:rPr>
                <w:rFonts w:ascii="Arial" w:eastAsia="Times New Roman" w:hAnsi="Arial" w:cs="Arial"/>
                <w:kern w:val="0"/>
                <w:sz w:val="20"/>
                <w:szCs w:val="20"/>
                <w:lang w:eastAsia="en-IN"/>
                <w14:ligatures w14:val="none"/>
              </w:rPr>
              <w:t xml:space="preserve"> (mg/mL)</w:t>
            </w:r>
          </w:p>
        </w:tc>
        <w:tc>
          <w:tcPr>
            <w:tcW w:w="949"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27.43</w:t>
            </w:r>
          </w:p>
        </w:tc>
        <w:tc>
          <w:tcPr>
            <w:tcW w:w="849"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35.76</w:t>
            </w:r>
          </w:p>
        </w:tc>
        <w:tc>
          <w:tcPr>
            <w:tcW w:w="822"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22.07</w:t>
            </w:r>
          </w:p>
        </w:tc>
        <w:tc>
          <w:tcPr>
            <w:tcW w:w="88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30.25</w:t>
            </w:r>
          </w:p>
        </w:tc>
      </w:tr>
    </w:tbl>
    <w:p w:rsidR="001D2089" w:rsidRPr="00B85963" w:rsidRDefault="001D2089" w:rsidP="001D2089">
      <w:pPr>
        <w:jc w:val="center"/>
        <w:rPr>
          <w:rFonts w:ascii="Arial" w:hAnsi="Arial" w:cs="Arial"/>
          <w:sz w:val="20"/>
          <w:szCs w:val="20"/>
          <w:lang w:val="en-US"/>
        </w:rPr>
      </w:pPr>
      <w:r w:rsidRPr="00B85963">
        <w:rPr>
          <w:rFonts w:ascii="Arial" w:hAnsi="Arial" w:cs="Arial"/>
          <w:noProof/>
          <w:sz w:val="20"/>
          <w:szCs w:val="20"/>
          <w:lang w:val="en-US" w:bidi="hi-IN"/>
        </w:rPr>
        <w:drawing>
          <wp:inline distT="0" distB="0" distL="0" distR="0" wp14:anchorId="76C8DA9A" wp14:editId="12773F08">
            <wp:extent cx="5819775" cy="2419350"/>
            <wp:effectExtent l="0" t="0" r="9525" b="19050"/>
            <wp:docPr id="1349476186" name="Chart 1">
              <a:extLst xmlns:a="http://schemas.openxmlformats.org/drawingml/2006/main">
                <a:ext uri="{FF2B5EF4-FFF2-40B4-BE49-F238E27FC236}">
                  <a16:creationId xmlns:a16="http://schemas.microsoft.com/office/drawing/2014/main" id="{49DAE683-F137-4FDC-80F8-A3ECD9EC68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D2089" w:rsidRPr="001D2089" w:rsidRDefault="001D2089" w:rsidP="001D2089">
      <w:pPr>
        <w:spacing w:after="0" w:line="240" w:lineRule="auto"/>
        <w:jc w:val="center"/>
        <w:rPr>
          <w:rFonts w:ascii="Arial" w:hAnsi="Arial" w:cs="Arial Unicode MS"/>
          <w:b/>
          <w:bCs/>
          <w:sz w:val="20"/>
          <w:szCs w:val="18"/>
          <w:lang w:val="en-US" w:bidi="hi-IN"/>
        </w:rPr>
      </w:pPr>
      <w:r w:rsidRPr="001D2089">
        <w:rPr>
          <w:rFonts w:ascii="Arial" w:hAnsi="Arial" w:cs="Arial"/>
          <w:b/>
          <w:bCs/>
          <w:sz w:val="20"/>
          <w:szCs w:val="20"/>
          <w:lang w:val="en-US"/>
        </w:rPr>
        <w:lastRenderedPageBreak/>
        <w:t xml:space="preserve">Figure 5: Seasonal variations in </w:t>
      </w:r>
      <w:r w:rsidRPr="001D2089">
        <w:rPr>
          <w:rFonts w:ascii="Arial" w:eastAsia="Times New Roman" w:hAnsi="Arial" w:cs="Arial"/>
          <w:b/>
          <w:bCs/>
          <w:kern w:val="0"/>
          <w:sz w:val="20"/>
          <w:szCs w:val="20"/>
          <w:lang w:eastAsia="en-IN"/>
          <w14:ligatures w14:val="none"/>
        </w:rPr>
        <w:t>Magnesium as Mg</w:t>
      </w:r>
      <w:r w:rsidRPr="001D2089">
        <w:rPr>
          <w:rFonts w:ascii="Arial" w:eastAsia="Times New Roman" w:hAnsi="Arial" w:cs="Arial"/>
          <w:b/>
          <w:bCs/>
          <w:kern w:val="0"/>
          <w:sz w:val="20"/>
          <w:szCs w:val="20"/>
          <w:vertAlign w:val="superscript"/>
          <w:lang w:eastAsia="en-IN"/>
          <w14:ligatures w14:val="none"/>
        </w:rPr>
        <w:t>2+</w:t>
      </w:r>
      <w:r w:rsidRPr="001D2089">
        <w:rPr>
          <w:rFonts w:ascii="Arial" w:eastAsia="Times New Roman" w:hAnsi="Arial" w:cs="Arial"/>
          <w:b/>
          <w:bCs/>
          <w:kern w:val="0"/>
          <w:sz w:val="20"/>
          <w:szCs w:val="20"/>
          <w:lang w:eastAsia="en-IN"/>
          <w14:ligatures w14:val="none"/>
        </w:rPr>
        <w:t xml:space="preserve"> (mg/mL)</w:t>
      </w:r>
      <w:r w:rsidRPr="001D2089">
        <w:rPr>
          <w:rFonts w:ascii="Arial" w:hAnsi="Arial" w:cs="Arial"/>
          <w:b/>
          <w:bCs/>
          <w:sz w:val="20"/>
          <w:szCs w:val="20"/>
          <w:lang w:val="en-US"/>
        </w:rPr>
        <w:t xml:space="preserve"> of water</w:t>
      </w:r>
      <w:r>
        <w:rPr>
          <w:rFonts w:ascii="Arial" w:hAnsi="Arial" w:cs="Arial"/>
          <w:b/>
          <w:bCs/>
          <w:sz w:val="20"/>
          <w:szCs w:val="20"/>
          <w:lang w:val="en-US"/>
        </w:rPr>
        <w:t xml:space="preserve"> samples </w:t>
      </w:r>
    </w:p>
    <w:p w:rsidR="001D2089" w:rsidRPr="00B85963" w:rsidRDefault="001D2089" w:rsidP="001D2089">
      <w:pPr>
        <w:jc w:val="both"/>
        <w:rPr>
          <w:rFonts w:ascii="Arial" w:hAnsi="Arial" w:cs="Arial"/>
          <w:sz w:val="20"/>
          <w:szCs w:val="20"/>
        </w:rPr>
      </w:pPr>
      <w:r w:rsidRPr="00B85963">
        <w:rPr>
          <w:rFonts w:ascii="Arial" w:hAnsi="Arial" w:cs="Arial"/>
          <w:sz w:val="20"/>
          <w:szCs w:val="20"/>
        </w:rPr>
        <w:t xml:space="preserve">Magnesium data (Table 5, Figure 5) revealed substantial variability. Monsoon levels ranged from 25.45 to 40.75 mg/mL, with the highest in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river water. Winter values dropped sharply in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(5.66 mg/mL) but remained high in </w:t>
      </w:r>
      <w:proofErr w:type="spellStart"/>
      <w:r w:rsidRPr="00B85963">
        <w:rPr>
          <w:rFonts w:ascii="Arial" w:hAnsi="Arial" w:cs="Arial"/>
          <w:sz w:val="20"/>
          <w:szCs w:val="20"/>
        </w:rPr>
        <w:t>Belsonda</w:t>
      </w:r>
      <w:proofErr w:type="spellEnd"/>
      <w:r w:rsidRPr="00B85963">
        <w:rPr>
          <w:rFonts w:ascii="Arial" w:hAnsi="Arial" w:cs="Arial"/>
          <w:sz w:val="20"/>
          <w:szCs w:val="20"/>
        </w:rPr>
        <w:t xml:space="preserve"> (32.21–35.24 mg/mL). Summer levels were moderate (22.07–35.76 mg/mL). This indicates seasonal dilution and industrial inputs as controlling factors.</w:t>
      </w:r>
    </w:p>
    <w:p w:rsidR="00463D4F" w:rsidRPr="00F51583" w:rsidRDefault="00463D4F" w:rsidP="00463D4F">
      <w:pPr>
        <w:jc w:val="both"/>
        <w:rPr>
          <w:rFonts w:ascii="Arial" w:hAnsi="Arial" w:cs="Arial"/>
          <w:sz w:val="20"/>
          <w:szCs w:val="20"/>
        </w:rPr>
      </w:pPr>
      <w:r w:rsidRPr="00F51583">
        <w:rPr>
          <w:rFonts w:ascii="Arial" w:hAnsi="Arial" w:cs="Arial"/>
          <w:b/>
          <w:bCs/>
          <w:sz w:val="20"/>
          <w:szCs w:val="20"/>
        </w:rPr>
        <w:t xml:space="preserve"> </w:t>
      </w:r>
      <w:r w:rsidR="00F51583">
        <w:rPr>
          <w:rFonts w:ascii="Arial" w:hAnsi="Arial" w:cs="Arial"/>
          <w:b/>
          <w:bCs/>
          <w:sz w:val="22"/>
          <w:szCs w:val="22"/>
        </w:rPr>
        <w:t xml:space="preserve">3.6 </w:t>
      </w:r>
      <w:proofErr w:type="gramStart"/>
      <w:r w:rsidR="00F51583" w:rsidRPr="00F51583">
        <w:rPr>
          <w:rFonts w:ascii="Arial" w:hAnsi="Arial" w:cs="Arial"/>
          <w:b/>
          <w:bCs/>
          <w:sz w:val="22"/>
          <w:szCs w:val="22"/>
        </w:rPr>
        <w:t>pH:</w:t>
      </w:r>
      <w:r w:rsidR="0028499F" w:rsidRPr="00F51583">
        <w:rPr>
          <w:rFonts w:ascii="Arial" w:hAnsi="Arial" w:cs="Arial"/>
          <w:b/>
          <w:bCs/>
          <w:sz w:val="22"/>
          <w:szCs w:val="22"/>
        </w:rPr>
        <w:t>-</w:t>
      </w:r>
      <w:proofErr w:type="gramEnd"/>
    </w:p>
    <w:p w:rsidR="001D2089" w:rsidRPr="00B85963" w:rsidRDefault="001D2089" w:rsidP="001D2089">
      <w:pPr>
        <w:spacing w:after="0" w:line="240" w:lineRule="auto"/>
        <w:rPr>
          <w:rFonts w:ascii="Arial" w:hAnsi="Arial" w:cs="Arial"/>
          <w:b/>
          <w:bCs/>
          <w:sz w:val="20"/>
          <w:szCs w:val="20"/>
          <w:lang w:val="en-US"/>
        </w:rPr>
      </w:pPr>
      <w:r w:rsidRPr="00B85963">
        <w:rPr>
          <w:rFonts w:ascii="Arial" w:hAnsi="Arial" w:cs="Arial"/>
          <w:b/>
          <w:bCs/>
          <w:sz w:val="20"/>
          <w:szCs w:val="20"/>
          <w:lang w:val="en-US"/>
        </w:rPr>
        <w:t xml:space="preserve">Table 6: Seasonal variations in </w:t>
      </w:r>
      <w:r w:rsidRPr="00B85963">
        <w:rPr>
          <w:rFonts w:ascii="Arial" w:eastAsia="Times New Roman" w:hAnsi="Arial" w:cs="Arial"/>
          <w:b/>
          <w:bCs/>
          <w:kern w:val="0"/>
          <w:sz w:val="20"/>
          <w:szCs w:val="20"/>
          <w:vertAlign w:val="subscript"/>
          <w:lang w:eastAsia="en-IN"/>
          <w14:ligatures w14:val="none"/>
        </w:rPr>
        <w:t>P</w:t>
      </w:r>
      <w:r w:rsidRPr="00B85963">
        <w:rPr>
          <w:rFonts w:ascii="Arial" w:eastAsia="Times New Roman" w:hAnsi="Arial" w:cs="Arial"/>
          <w:b/>
          <w:bCs/>
          <w:kern w:val="0"/>
          <w:sz w:val="20"/>
          <w:szCs w:val="20"/>
          <w:lang w:eastAsia="en-IN"/>
          <w14:ligatures w14:val="none"/>
        </w:rPr>
        <w:t>H</w:t>
      </w:r>
      <w:r w:rsidRPr="00B85963">
        <w:rPr>
          <w:rFonts w:ascii="Arial" w:hAnsi="Arial" w:cs="Arial"/>
          <w:b/>
          <w:bCs/>
          <w:sz w:val="20"/>
          <w:szCs w:val="20"/>
          <w:lang w:val="en-US"/>
        </w:rPr>
        <w:t xml:space="preserve"> of water samples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1D2089" w:rsidRPr="00B85963" w:rsidTr="001D2089">
        <w:trPr>
          <w:trHeight w:val="999"/>
        </w:trPr>
        <w:tc>
          <w:tcPr>
            <w:tcW w:w="581"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841" w:type="pct"/>
            <w:vAlign w:val="center"/>
            <w:hideMark/>
          </w:tcPr>
          <w:p w:rsidR="001D2089" w:rsidRPr="00B85963" w:rsidRDefault="001D2089"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94" w:type="pct"/>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95" w:type="pct"/>
            <w:vAlign w:val="center"/>
            <w:hideMark/>
          </w:tcPr>
          <w:p w:rsidR="001D2089" w:rsidRPr="00B85963" w:rsidRDefault="001D208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95" w:type="pct"/>
            <w:vAlign w:val="center"/>
            <w:hideMark/>
          </w:tcPr>
          <w:p w:rsidR="001D2089" w:rsidRPr="00B85963" w:rsidRDefault="001D208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94" w:type="pct"/>
            <w:vAlign w:val="center"/>
            <w:hideMark/>
          </w:tcPr>
          <w:p w:rsidR="001D2089" w:rsidRPr="00B85963" w:rsidRDefault="001D208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1D2089" w:rsidRPr="00B85963" w:rsidTr="001D2089">
        <w:trPr>
          <w:trHeight w:val="600"/>
        </w:trPr>
        <w:tc>
          <w:tcPr>
            <w:tcW w:w="581"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Monsoon</w:t>
            </w:r>
          </w:p>
        </w:tc>
        <w:tc>
          <w:tcPr>
            <w:tcW w:w="841" w:type="pct"/>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vertAlign w:val="subscript"/>
                <w:lang w:eastAsia="en-IN"/>
                <w14:ligatures w14:val="none"/>
              </w:rPr>
              <w:t>P</w:t>
            </w:r>
            <w:r w:rsidRPr="00B85963">
              <w:rPr>
                <w:rFonts w:ascii="Arial" w:eastAsia="Times New Roman" w:hAnsi="Arial" w:cs="Arial"/>
                <w:kern w:val="0"/>
                <w:sz w:val="20"/>
                <w:szCs w:val="20"/>
                <w:lang w:eastAsia="en-IN"/>
                <w14:ligatures w14:val="none"/>
              </w:rPr>
              <w:t>H</w:t>
            </w:r>
          </w:p>
        </w:tc>
        <w:tc>
          <w:tcPr>
            <w:tcW w:w="894"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7.5</w:t>
            </w:r>
          </w:p>
        </w:tc>
        <w:tc>
          <w:tcPr>
            <w:tcW w:w="89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7.6</w:t>
            </w:r>
          </w:p>
        </w:tc>
        <w:tc>
          <w:tcPr>
            <w:tcW w:w="89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8.2</w:t>
            </w:r>
          </w:p>
        </w:tc>
        <w:tc>
          <w:tcPr>
            <w:tcW w:w="894"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8.0</w:t>
            </w:r>
          </w:p>
        </w:tc>
      </w:tr>
      <w:tr w:rsidR="001D2089" w:rsidRPr="00B85963" w:rsidTr="001D2089">
        <w:trPr>
          <w:trHeight w:val="600"/>
        </w:trPr>
        <w:tc>
          <w:tcPr>
            <w:tcW w:w="581"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Winter</w:t>
            </w:r>
          </w:p>
        </w:tc>
        <w:tc>
          <w:tcPr>
            <w:tcW w:w="841" w:type="pct"/>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vertAlign w:val="subscript"/>
                <w:lang w:eastAsia="en-IN"/>
                <w14:ligatures w14:val="none"/>
              </w:rPr>
              <w:t>P</w:t>
            </w:r>
            <w:r w:rsidRPr="00B85963">
              <w:rPr>
                <w:rFonts w:ascii="Arial" w:eastAsia="Times New Roman" w:hAnsi="Arial" w:cs="Arial"/>
                <w:kern w:val="0"/>
                <w:sz w:val="20"/>
                <w:szCs w:val="20"/>
                <w:lang w:eastAsia="en-IN"/>
                <w14:ligatures w14:val="none"/>
              </w:rPr>
              <w:t>H</w:t>
            </w:r>
          </w:p>
        </w:tc>
        <w:tc>
          <w:tcPr>
            <w:tcW w:w="894"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7.2</w:t>
            </w:r>
          </w:p>
        </w:tc>
        <w:tc>
          <w:tcPr>
            <w:tcW w:w="89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7.9</w:t>
            </w:r>
          </w:p>
        </w:tc>
        <w:tc>
          <w:tcPr>
            <w:tcW w:w="89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7.3</w:t>
            </w:r>
          </w:p>
        </w:tc>
        <w:tc>
          <w:tcPr>
            <w:tcW w:w="894"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8.0</w:t>
            </w:r>
          </w:p>
        </w:tc>
      </w:tr>
      <w:tr w:rsidR="001D2089" w:rsidRPr="00B85963" w:rsidTr="001D2089">
        <w:trPr>
          <w:trHeight w:val="600"/>
        </w:trPr>
        <w:tc>
          <w:tcPr>
            <w:tcW w:w="581"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841" w:type="pct"/>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vertAlign w:val="subscript"/>
                <w:lang w:eastAsia="en-IN"/>
                <w14:ligatures w14:val="none"/>
              </w:rPr>
              <w:t>P</w:t>
            </w:r>
            <w:r w:rsidRPr="00B85963">
              <w:rPr>
                <w:rFonts w:ascii="Arial" w:eastAsia="Times New Roman" w:hAnsi="Arial" w:cs="Arial"/>
                <w:kern w:val="0"/>
                <w:sz w:val="20"/>
                <w:szCs w:val="20"/>
                <w:lang w:eastAsia="en-IN"/>
                <w14:ligatures w14:val="none"/>
              </w:rPr>
              <w:t>H</w:t>
            </w:r>
          </w:p>
        </w:tc>
        <w:tc>
          <w:tcPr>
            <w:tcW w:w="894"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7.19</w:t>
            </w:r>
          </w:p>
        </w:tc>
        <w:tc>
          <w:tcPr>
            <w:tcW w:w="89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7.4</w:t>
            </w:r>
          </w:p>
        </w:tc>
        <w:tc>
          <w:tcPr>
            <w:tcW w:w="89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7.3</w:t>
            </w:r>
          </w:p>
        </w:tc>
        <w:tc>
          <w:tcPr>
            <w:tcW w:w="894"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7.8</w:t>
            </w:r>
          </w:p>
        </w:tc>
      </w:tr>
    </w:tbl>
    <w:p w:rsidR="001D2089" w:rsidRDefault="001D2089" w:rsidP="001D2089">
      <w:pPr>
        <w:rPr>
          <w:rFonts w:ascii="Arial" w:hAnsi="Arial" w:cs="Arial Unicode MS"/>
          <w:sz w:val="20"/>
          <w:szCs w:val="18"/>
          <w:lang w:val="en-US" w:bidi="hi-IN"/>
        </w:rPr>
      </w:pPr>
      <w:r w:rsidRPr="00B85963">
        <w:rPr>
          <w:rFonts w:ascii="Arial" w:hAnsi="Arial" w:cs="Arial"/>
          <w:noProof/>
          <w:sz w:val="20"/>
          <w:szCs w:val="20"/>
          <w:lang w:val="en-US" w:bidi="hi-IN"/>
        </w:rPr>
        <w:drawing>
          <wp:inline distT="0" distB="0" distL="0" distR="0" wp14:anchorId="01D8A2DD" wp14:editId="6EEC97E7">
            <wp:extent cx="5495925" cy="2390775"/>
            <wp:effectExtent l="0" t="0" r="9525" b="9525"/>
            <wp:docPr id="3" name="Chart 1">
              <a:extLst xmlns:a="http://schemas.openxmlformats.org/drawingml/2006/main">
                <a:ext uri="{FF2B5EF4-FFF2-40B4-BE49-F238E27FC236}">
                  <a16:creationId xmlns:a16="http://schemas.microsoft.com/office/drawing/2014/main" id="{D3B33422-D8BF-43D6-9879-AFC27C89F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D2089" w:rsidRPr="001D2089" w:rsidRDefault="001D2089" w:rsidP="001D2089">
      <w:pPr>
        <w:rPr>
          <w:rFonts w:ascii="Arial" w:hAnsi="Arial" w:cs="Arial Unicode MS"/>
          <w:sz w:val="20"/>
          <w:szCs w:val="18"/>
          <w:lang w:val="en-US" w:bidi="hi-IN"/>
        </w:rPr>
      </w:pPr>
      <w:r w:rsidRPr="00F51583">
        <w:rPr>
          <w:rFonts w:ascii="Arial" w:hAnsi="Arial" w:cs="Arial"/>
          <w:b/>
          <w:bCs/>
          <w:sz w:val="20"/>
          <w:szCs w:val="20"/>
          <w:lang w:val="en-US"/>
        </w:rPr>
        <w:t xml:space="preserve">Figure 6: Seasonal variations in </w:t>
      </w:r>
      <w:r w:rsidRPr="00F51583">
        <w:rPr>
          <w:rFonts w:ascii="Arial" w:eastAsia="Times New Roman" w:hAnsi="Arial" w:cs="Arial"/>
          <w:b/>
          <w:bCs/>
          <w:kern w:val="0"/>
          <w:sz w:val="20"/>
          <w:szCs w:val="20"/>
          <w:vertAlign w:val="subscript"/>
          <w:lang w:eastAsia="en-IN"/>
          <w14:ligatures w14:val="none"/>
        </w:rPr>
        <w:t>P</w:t>
      </w:r>
      <w:r w:rsidRPr="00F51583">
        <w:rPr>
          <w:rFonts w:ascii="Arial" w:eastAsia="Times New Roman" w:hAnsi="Arial" w:cs="Arial"/>
          <w:b/>
          <w:bCs/>
          <w:kern w:val="0"/>
          <w:sz w:val="20"/>
          <w:szCs w:val="20"/>
          <w:lang w:eastAsia="en-IN"/>
          <w14:ligatures w14:val="none"/>
        </w:rPr>
        <w:t>H</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rsidR="00463D4F" w:rsidRPr="001D2089" w:rsidRDefault="001D2089" w:rsidP="00463D4F">
      <w:pPr>
        <w:jc w:val="both"/>
        <w:rPr>
          <w:rFonts w:ascii="Arial" w:hAnsi="Arial" w:cs="Arial Unicode MS"/>
          <w:sz w:val="20"/>
          <w:szCs w:val="18"/>
          <w:cs/>
          <w:lang w:bidi="hi-IN"/>
        </w:rPr>
      </w:pPr>
      <w:r w:rsidRPr="00B85963">
        <w:rPr>
          <w:rFonts w:ascii="Arial" w:hAnsi="Arial" w:cs="Arial"/>
          <w:sz w:val="20"/>
          <w:szCs w:val="20"/>
        </w:rPr>
        <w:t xml:space="preserve">Seasonal pH values (Table 6, Figure 6) remained slightly alkaline, with minor variation. Monsoon values ranged 7.5–8.2, winter 7.2–8.0, and summer 7.19–7.8. The highest value was in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river water during monsoon (8.2). Overall, pH remained within permissible limits but consistent alkalinity </w:t>
      </w:r>
      <w:r>
        <w:rPr>
          <w:rFonts w:ascii="Arial" w:hAnsi="Arial" w:cs="Arial"/>
          <w:sz w:val="20"/>
          <w:szCs w:val="20"/>
        </w:rPr>
        <w:t xml:space="preserve">suggests anthropogenic inputs. </w:t>
      </w:r>
    </w:p>
    <w:p w:rsidR="00225797" w:rsidRPr="00F51583" w:rsidRDefault="00F51583" w:rsidP="00463D4F">
      <w:pPr>
        <w:jc w:val="both"/>
        <w:rPr>
          <w:rFonts w:ascii="Arial" w:hAnsi="Arial" w:cs="Arial"/>
          <w:b/>
          <w:bCs/>
          <w:sz w:val="22"/>
          <w:szCs w:val="22"/>
        </w:rPr>
      </w:pPr>
      <w:r w:rsidRPr="00F51583">
        <w:rPr>
          <w:rFonts w:ascii="Arial" w:hAnsi="Arial" w:cs="Arial"/>
          <w:b/>
          <w:bCs/>
          <w:sz w:val="22"/>
          <w:szCs w:val="22"/>
        </w:rPr>
        <w:t xml:space="preserve">3.7 </w:t>
      </w:r>
      <w:r w:rsidR="00463D4F" w:rsidRPr="00F51583">
        <w:rPr>
          <w:rFonts w:ascii="Arial" w:hAnsi="Arial" w:cs="Arial"/>
          <w:b/>
          <w:bCs/>
          <w:sz w:val="22"/>
          <w:szCs w:val="22"/>
        </w:rPr>
        <w:t>Turbidity</w:t>
      </w:r>
      <w:r w:rsidR="0028499F" w:rsidRPr="00F51583">
        <w:rPr>
          <w:rFonts w:ascii="Arial" w:hAnsi="Arial" w:cs="Arial"/>
          <w:b/>
          <w:bCs/>
          <w:sz w:val="22"/>
          <w:szCs w:val="22"/>
        </w:rPr>
        <w:t>:-</w:t>
      </w:r>
    </w:p>
    <w:p w:rsidR="001D2089" w:rsidRPr="00B85963" w:rsidRDefault="001D2089" w:rsidP="001D2089">
      <w:pPr>
        <w:spacing w:after="0" w:line="240" w:lineRule="auto"/>
        <w:rPr>
          <w:rFonts w:ascii="Arial" w:hAnsi="Arial" w:cs="Arial"/>
          <w:b/>
          <w:bCs/>
          <w:strike/>
          <w:sz w:val="20"/>
          <w:szCs w:val="20"/>
          <w:highlight w:val="yellow"/>
          <w:lang w:val="en-US"/>
        </w:rPr>
      </w:pPr>
      <w:r w:rsidRPr="00B85963">
        <w:rPr>
          <w:rFonts w:ascii="Arial" w:hAnsi="Arial" w:cs="Arial"/>
          <w:b/>
          <w:bCs/>
          <w:sz w:val="20"/>
          <w:szCs w:val="20"/>
          <w:lang w:val="en-US"/>
        </w:rPr>
        <w:t xml:space="preserve">Table 7: Seasonal variations in </w:t>
      </w:r>
      <w:r w:rsidRPr="00B85963">
        <w:rPr>
          <w:rFonts w:ascii="Arial" w:eastAsia="Times New Roman" w:hAnsi="Arial" w:cs="Arial"/>
          <w:b/>
          <w:bCs/>
          <w:kern w:val="0"/>
          <w:sz w:val="20"/>
          <w:szCs w:val="20"/>
          <w:lang w:eastAsia="en-IN"/>
          <w14:ligatures w14:val="none"/>
        </w:rPr>
        <w:t>Turbidity (NTU)</w:t>
      </w:r>
      <w:r w:rsidRPr="00B85963">
        <w:rPr>
          <w:rFonts w:ascii="Arial" w:hAnsi="Arial" w:cs="Arial"/>
          <w:b/>
          <w:bCs/>
          <w:sz w:val="20"/>
          <w:szCs w:val="20"/>
          <w:lang w:val="en-US"/>
        </w:rPr>
        <w:t xml:space="preserve"> of water samples </w:t>
      </w:r>
    </w:p>
    <w:p w:rsidR="001D2089" w:rsidRPr="00B85963" w:rsidRDefault="001D2089" w:rsidP="001D2089">
      <w:pPr>
        <w:spacing w:after="0" w:line="240" w:lineRule="auto"/>
        <w:rPr>
          <w:rFonts w:ascii="Arial" w:hAnsi="Arial" w:cs="Arial"/>
          <w:b/>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1D2089" w:rsidRPr="00B85963" w:rsidTr="002F345E">
        <w:trPr>
          <w:trHeight w:val="999"/>
        </w:trPr>
        <w:tc>
          <w:tcPr>
            <w:tcW w:w="581"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841" w:type="pct"/>
            <w:vAlign w:val="center"/>
            <w:hideMark/>
          </w:tcPr>
          <w:p w:rsidR="001D2089" w:rsidRPr="00B85963" w:rsidRDefault="001D2089"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94" w:type="pct"/>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95" w:type="pct"/>
            <w:vAlign w:val="center"/>
            <w:hideMark/>
          </w:tcPr>
          <w:p w:rsidR="001D2089" w:rsidRPr="00B85963" w:rsidRDefault="001D208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95" w:type="pct"/>
            <w:vAlign w:val="center"/>
            <w:hideMark/>
          </w:tcPr>
          <w:p w:rsidR="001D2089" w:rsidRPr="00B85963" w:rsidRDefault="001D208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94" w:type="pct"/>
            <w:vAlign w:val="center"/>
            <w:hideMark/>
          </w:tcPr>
          <w:p w:rsidR="001D2089" w:rsidRPr="00B85963" w:rsidRDefault="001D208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1D2089" w:rsidRPr="00B85963" w:rsidTr="002F345E">
        <w:trPr>
          <w:trHeight w:val="600"/>
        </w:trPr>
        <w:tc>
          <w:tcPr>
            <w:tcW w:w="581"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lastRenderedPageBreak/>
              <w:t>Monsoon</w:t>
            </w:r>
          </w:p>
        </w:tc>
        <w:tc>
          <w:tcPr>
            <w:tcW w:w="841" w:type="pct"/>
            <w:vAlign w:val="center"/>
            <w:hideMark/>
          </w:tcPr>
          <w:p w:rsidR="001D2089" w:rsidRPr="00B85963" w:rsidRDefault="001D208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Turbidity (NTU)</w:t>
            </w:r>
          </w:p>
        </w:tc>
        <w:tc>
          <w:tcPr>
            <w:tcW w:w="894"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0.8</w:t>
            </w:r>
          </w:p>
        </w:tc>
        <w:tc>
          <w:tcPr>
            <w:tcW w:w="89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0.9</w:t>
            </w:r>
          </w:p>
        </w:tc>
        <w:tc>
          <w:tcPr>
            <w:tcW w:w="89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1.0</w:t>
            </w:r>
          </w:p>
        </w:tc>
        <w:tc>
          <w:tcPr>
            <w:tcW w:w="894"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0.9</w:t>
            </w:r>
          </w:p>
        </w:tc>
      </w:tr>
      <w:tr w:rsidR="001D2089" w:rsidRPr="00B85963" w:rsidTr="002F345E">
        <w:trPr>
          <w:trHeight w:val="600"/>
        </w:trPr>
        <w:tc>
          <w:tcPr>
            <w:tcW w:w="581"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Winter</w:t>
            </w:r>
          </w:p>
        </w:tc>
        <w:tc>
          <w:tcPr>
            <w:tcW w:w="841" w:type="pct"/>
            <w:vAlign w:val="center"/>
            <w:hideMark/>
          </w:tcPr>
          <w:p w:rsidR="001D2089" w:rsidRPr="00B85963" w:rsidRDefault="001D208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Turbidity (NTU)</w:t>
            </w:r>
          </w:p>
        </w:tc>
        <w:tc>
          <w:tcPr>
            <w:tcW w:w="894"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0.4</w:t>
            </w:r>
          </w:p>
        </w:tc>
        <w:tc>
          <w:tcPr>
            <w:tcW w:w="89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0.9</w:t>
            </w:r>
          </w:p>
        </w:tc>
        <w:tc>
          <w:tcPr>
            <w:tcW w:w="89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0.8</w:t>
            </w:r>
          </w:p>
        </w:tc>
        <w:tc>
          <w:tcPr>
            <w:tcW w:w="894"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0.8</w:t>
            </w:r>
          </w:p>
        </w:tc>
      </w:tr>
      <w:tr w:rsidR="001D2089" w:rsidRPr="00B85963" w:rsidTr="002F345E">
        <w:trPr>
          <w:trHeight w:val="600"/>
        </w:trPr>
        <w:tc>
          <w:tcPr>
            <w:tcW w:w="581"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841" w:type="pct"/>
            <w:vAlign w:val="center"/>
            <w:hideMark/>
          </w:tcPr>
          <w:p w:rsidR="001D2089" w:rsidRPr="00B85963" w:rsidRDefault="001D208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Turbidity (NTU)</w:t>
            </w:r>
          </w:p>
        </w:tc>
        <w:tc>
          <w:tcPr>
            <w:tcW w:w="894"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0.5</w:t>
            </w:r>
          </w:p>
        </w:tc>
        <w:tc>
          <w:tcPr>
            <w:tcW w:w="89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0.7</w:t>
            </w:r>
          </w:p>
        </w:tc>
        <w:tc>
          <w:tcPr>
            <w:tcW w:w="895"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0.7</w:t>
            </w:r>
          </w:p>
        </w:tc>
        <w:tc>
          <w:tcPr>
            <w:tcW w:w="894" w:type="pct"/>
            <w:noWrap/>
            <w:vAlign w:val="center"/>
            <w:hideMark/>
          </w:tcPr>
          <w:p w:rsidR="001D2089" w:rsidRPr="00B85963" w:rsidRDefault="001D208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0.8</w:t>
            </w:r>
          </w:p>
        </w:tc>
      </w:tr>
    </w:tbl>
    <w:p w:rsidR="001D2089" w:rsidRPr="00B85963" w:rsidRDefault="001D2089" w:rsidP="001D2089">
      <w:pPr>
        <w:jc w:val="both"/>
        <w:rPr>
          <w:rFonts w:ascii="Arial" w:hAnsi="Arial" w:cs="Arial"/>
          <w:sz w:val="20"/>
          <w:szCs w:val="20"/>
          <w:lang w:val="en-US"/>
        </w:rPr>
      </w:pPr>
    </w:p>
    <w:p w:rsidR="001D2089" w:rsidRPr="00B85963" w:rsidRDefault="001D2089" w:rsidP="001D2089">
      <w:pPr>
        <w:jc w:val="both"/>
        <w:rPr>
          <w:rFonts w:ascii="Arial" w:hAnsi="Arial" w:cs="Arial"/>
          <w:sz w:val="20"/>
          <w:szCs w:val="20"/>
          <w:lang w:val="en-US"/>
        </w:rPr>
      </w:pPr>
      <w:r w:rsidRPr="00B85963">
        <w:rPr>
          <w:rFonts w:ascii="Arial" w:hAnsi="Arial" w:cs="Arial"/>
          <w:noProof/>
          <w:sz w:val="20"/>
          <w:szCs w:val="20"/>
          <w:lang w:val="en-US" w:bidi="hi-IN"/>
          <w14:ligatures w14:val="none"/>
        </w:rPr>
        <w:drawing>
          <wp:inline distT="0" distB="0" distL="0" distR="0" wp14:anchorId="2DF8AFC9" wp14:editId="387C7694">
            <wp:extent cx="5981700" cy="21240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D2089" w:rsidRPr="00B85963" w:rsidRDefault="001D2089" w:rsidP="001D2089">
      <w:pPr>
        <w:spacing w:line="360" w:lineRule="auto"/>
        <w:rPr>
          <w:rFonts w:ascii="Arial" w:hAnsi="Arial" w:cs="Arial"/>
          <w:sz w:val="20"/>
          <w:szCs w:val="20"/>
          <w:lang w:val="en-US"/>
        </w:rPr>
      </w:pPr>
      <w:r w:rsidRPr="00B85963">
        <w:rPr>
          <w:rFonts w:ascii="Arial" w:hAnsi="Arial" w:cs="Arial"/>
          <w:b/>
          <w:bCs/>
          <w:sz w:val="20"/>
          <w:szCs w:val="20"/>
          <w:lang w:val="en-US"/>
        </w:rPr>
        <w:t xml:space="preserve">Figure 7: Seasonal variations in </w:t>
      </w:r>
      <w:r w:rsidRPr="00B85963">
        <w:rPr>
          <w:rFonts w:ascii="Arial" w:eastAsia="Times New Roman" w:hAnsi="Arial" w:cs="Arial"/>
          <w:b/>
          <w:bCs/>
          <w:kern w:val="0"/>
          <w:sz w:val="20"/>
          <w:szCs w:val="20"/>
          <w:lang w:eastAsia="en-IN"/>
          <w14:ligatures w14:val="none"/>
        </w:rPr>
        <w:t>Turbidity (NTU)</w:t>
      </w:r>
      <w:r w:rsidRPr="00B85963">
        <w:rPr>
          <w:rFonts w:ascii="Arial" w:hAnsi="Arial" w:cs="Arial"/>
          <w:b/>
          <w:bCs/>
          <w:sz w:val="20"/>
          <w:szCs w:val="20"/>
          <w:lang w:val="en-US"/>
        </w:rPr>
        <w:t xml:space="preserve"> of water samples </w:t>
      </w:r>
    </w:p>
    <w:p w:rsidR="00463D4F" w:rsidRPr="00F51583" w:rsidRDefault="001D2089" w:rsidP="001D2089">
      <w:pPr>
        <w:jc w:val="both"/>
        <w:rPr>
          <w:rFonts w:ascii="Arial" w:hAnsi="Arial" w:cs="Arial"/>
          <w:sz w:val="20"/>
          <w:szCs w:val="20"/>
        </w:rPr>
      </w:pPr>
      <w:r w:rsidRPr="00B85963">
        <w:rPr>
          <w:rFonts w:ascii="Arial" w:hAnsi="Arial" w:cs="Arial"/>
          <w:sz w:val="20"/>
          <w:szCs w:val="20"/>
        </w:rPr>
        <w:t xml:space="preserve"> Turbidity trends (Table 7, Figure 7) were generally low across seasons (0.4–1.0 NTU), except for a sharp winter spike in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river water (0.8 NTU), indicating heavy contamination from industrial effluents or surface discharges. This anomalous increase underscores the urgency of localized pollution control</w:t>
      </w:r>
      <w:r w:rsidR="00463D4F" w:rsidRPr="00F51583">
        <w:rPr>
          <w:rFonts w:ascii="Arial" w:hAnsi="Arial" w:cs="Arial"/>
          <w:sz w:val="20"/>
          <w:szCs w:val="20"/>
        </w:rPr>
        <w:t xml:space="preserve">. </w:t>
      </w:r>
    </w:p>
    <w:p w:rsidR="008A0959" w:rsidRPr="00B85963" w:rsidRDefault="008A0959" w:rsidP="008A0959">
      <w:pPr>
        <w:jc w:val="both"/>
        <w:rPr>
          <w:rFonts w:ascii="Arial" w:hAnsi="Arial" w:cs="Arial"/>
          <w:b/>
          <w:bCs/>
          <w:sz w:val="22"/>
          <w:szCs w:val="22"/>
        </w:rPr>
      </w:pPr>
      <w:r w:rsidRPr="00B85963">
        <w:rPr>
          <w:rFonts w:ascii="Arial" w:hAnsi="Arial" w:cs="Arial"/>
          <w:b/>
          <w:bCs/>
          <w:sz w:val="22"/>
          <w:szCs w:val="22"/>
        </w:rPr>
        <w:t xml:space="preserve">3.8 Total Hardness (as </w:t>
      </w:r>
      <w:proofErr w:type="spellStart"/>
      <w:r w:rsidRPr="00B85963">
        <w:rPr>
          <w:rFonts w:ascii="Arial" w:hAnsi="Arial" w:cs="Arial"/>
          <w:b/>
          <w:bCs/>
          <w:sz w:val="22"/>
          <w:szCs w:val="22"/>
        </w:rPr>
        <w:t>CaCO</w:t>
      </w:r>
      <w:proofErr w:type="spellEnd"/>
      <w:r w:rsidRPr="00B85963">
        <w:rPr>
          <w:rFonts w:ascii="Cambria Math" w:hAnsi="Cambria Math" w:cs="Cambria Math"/>
          <w:b/>
          <w:bCs/>
          <w:sz w:val="22"/>
          <w:szCs w:val="22"/>
        </w:rPr>
        <w:t>₃</w:t>
      </w:r>
      <w:r w:rsidRPr="00B85963">
        <w:rPr>
          <w:rFonts w:ascii="Arial" w:hAnsi="Arial" w:cs="Arial"/>
          <w:b/>
          <w:bCs/>
          <w:sz w:val="22"/>
          <w:szCs w:val="22"/>
        </w:rPr>
        <w:t>):-</w:t>
      </w:r>
    </w:p>
    <w:p w:rsidR="008A0959" w:rsidRPr="00B85963" w:rsidRDefault="008A0959" w:rsidP="008A0959">
      <w:pPr>
        <w:spacing w:after="0" w:line="360" w:lineRule="auto"/>
        <w:jc w:val="both"/>
        <w:rPr>
          <w:rFonts w:ascii="Arial" w:hAnsi="Arial" w:cs="Arial"/>
          <w:b/>
          <w:bCs/>
          <w:strike/>
          <w:sz w:val="20"/>
          <w:szCs w:val="20"/>
          <w:lang w:val="en-US"/>
        </w:rPr>
      </w:pPr>
      <w:r w:rsidRPr="00B85963">
        <w:rPr>
          <w:rFonts w:ascii="Arial" w:hAnsi="Arial" w:cs="Arial"/>
          <w:b/>
          <w:bCs/>
          <w:sz w:val="20"/>
          <w:szCs w:val="20"/>
          <w:lang w:val="en-US"/>
        </w:rPr>
        <w:t xml:space="preserve">Table 8: Seasonal variations in </w:t>
      </w:r>
      <w:r w:rsidRPr="00B85963">
        <w:rPr>
          <w:rFonts w:ascii="Arial" w:eastAsia="Times New Roman" w:hAnsi="Arial" w:cs="Arial"/>
          <w:b/>
          <w:bCs/>
          <w:kern w:val="0"/>
          <w:sz w:val="20"/>
          <w:szCs w:val="20"/>
          <w:lang w:eastAsia="en-IN"/>
          <w14:ligatures w14:val="none"/>
        </w:rPr>
        <w:t>Total Hardness as CaCO</w:t>
      </w:r>
      <w:r w:rsidRPr="00B85963">
        <w:rPr>
          <w:rFonts w:ascii="Arial" w:eastAsia="Times New Roman" w:hAnsi="Arial" w:cs="Arial"/>
          <w:b/>
          <w:bCs/>
          <w:kern w:val="0"/>
          <w:sz w:val="20"/>
          <w:szCs w:val="20"/>
          <w:vertAlign w:val="subscript"/>
          <w:lang w:eastAsia="en-IN"/>
          <w14:ligatures w14:val="none"/>
        </w:rPr>
        <w:t>3</w:t>
      </w:r>
      <w:r w:rsidRPr="00B85963">
        <w:rPr>
          <w:rFonts w:ascii="Arial" w:eastAsia="Times New Roman" w:hAnsi="Arial" w:cs="Arial"/>
          <w:b/>
          <w:bCs/>
          <w:kern w:val="0"/>
          <w:sz w:val="20"/>
          <w:szCs w:val="20"/>
          <w:lang w:eastAsia="en-IN"/>
          <w14:ligatures w14:val="none"/>
        </w:rPr>
        <w:t xml:space="preserve"> (mg/mL) </w:t>
      </w:r>
      <w:r w:rsidRPr="00B85963">
        <w:rPr>
          <w:rFonts w:ascii="Arial" w:hAnsi="Arial" w:cs="Arial"/>
          <w:b/>
          <w:bCs/>
          <w:sz w:val="20"/>
          <w:szCs w:val="20"/>
          <w:lang w:val="en-US"/>
        </w:rPr>
        <w:t xml:space="preserve">of water samples </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939"/>
        <w:gridCol w:w="1625"/>
        <w:gridCol w:w="1694"/>
        <w:gridCol w:w="1653"/>
        <w:gridCol w:w="1719"/>
      </w:tblGrid>
      <w:tr w:rsidR="008A0959" w:rsidRPr="00B85963" w:rsidTr="002F345E">
        <w:trPr>
          <w:trHeight w:val="999"/>
        </w:trPr>
        <w:tc>
          <w:tcPr>
            <w:tcW w:w="572"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995" w:type="pct"/>
            <w:vAlign w:val="center"/>
            <w:hideMark/>
          </w:tcPr>
          <w:p w:rsidR="008A0959" w:rsidRPr="00B85963" w:rsidRDefault="008A0959"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34" w:type="pct"/>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69"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48"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83"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8A0959" w:rsidRPr="00B85963" w:rsidTr="002F345E">
        <w:trPr>
          <w:trHeight w:val="600"/>
        </w:trPr>
        <w:tc>
          <w:tcPr>
            <w:tcW w:w="572"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Monsoon</w:t>
            </w:r>
          </w:p>
        </w:tc>
        <w:tc>
          <w:tcPr>
            <w:tcW w:w="995" w:type="pct"/>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lang w:eastAsia="en-IN"/>
                <w14:ligatures w14:val="none"/>
              </w:rPr>
              <w:t>CaCO</w:t>
            </w:r>
            <w:r w:rsidRPr="00B85963">
              <w:rPr>
                <w:rFonts w:ascii="Arial" w:eastAsia="Times New Roman" w:hAnsi="Arial" w:cs="Arial"/>
                <w:kern w:val="0"/>
                <w:sz w:val="20"/>
                <w:szCs w:val="20"/>
                <w:vertAlign w:val="subscript"/>
                <w:lang w:eastAsia="en-IN"/>
                <w14:ligatures w14:val="none"/>
              </w:rPr>
              <w:t>3</w:t>
            </w:r>
            <w:r w:rsidRPr="00B85963">
              <w:rPr>
                <w:rFonts w:ascii="Arial" w:eastAsia="Times New Roman" w:hAnsi="Arial" w:cs="Arial"/>
                <w:kern w:val="0"/>
                <w:sz w:val="20"/>
                <w:szCs w:val="20"/>
                <w:lang w:eastAsia="en-IN"/>
                <w14:ligatures w14:val="none"/>
              </w:rPr>
              <w:t xml:space="preserve"> (mg/mL)</w:t>
            </w:r>
          </w:p>
        </w:tc>
        <w:tc>
          <w:tcPr>
            <w:tcW w:w="83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287.12</w:t>
            </w:r>
          </w:p>
        </w:tc>
        <w:tc>
          <w:tcPr>
            <w:tcW w:w="869"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290.02</w:t>
            </w:r>
          </w:p>
        </w:tc>
        <w:tc>
          <w:tcPr>
            <w:tcW w:w="848"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293.03</w:t>
            </w:r>
          </w:p>
        </w:tc>
        <w:tc>
          <w:tcPr>
            <w:tcW w:w="883"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298.05</w:t>
            </w:r>
          </w:p>
        </w:tc>
      </w:tr>
      <w:tr w:rsidR="008A0959" w:rsidRPr="00B85963" w:rsidTr="002F345E">
        <w:trPr>
          <w:trHeight w:val="600"/>
        </w:trPr>
        <w:tc>
          <w:tcPr>
            <w:tcW w:w="572"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Winter</w:t>
            </w:r>
          </w:p>
        </w:tc>
        <w:tc>
          <w:tcPr>
            <w:tcW w:w="995" w:type="pct"/>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lang w:eastAsia="en-IN"/>
                <w14:ligatures w14:val="none"/>
              </w:rPr>
              <w:t>CaCO</w:t>
            </w:r>
            <w:r w:rsidRPr="00B85963">
              <w:rPr>
                <w:rFonts w:ascii="Arial" w:eastAsia="Times New Roman" w:hAnsi="Arial" w:cs="Arial"/>
                <w:kern w:val="0"/>
                <w:sz w:val="20"/>
                <w:szCs w:val="20"/>
                <w:vertAlign w:val="subscript"/>
                <w:lang w:eastAsia="en-IN"/>
                <w14:ligatures w14:val="none"/>
              </w:rPr>
              <w:t>3</w:t>
            </w:r>
            <w:r w:rsidRPr="00B85963">
              <w:rPr>
                <w:rFonts w:ascii="Arial" w:eastAsia="Times New Roman" w:hAnsi="Arial" w:cs="Arial"/>
                <w:kern w:val="0"/>
                <w:sz w:val="20"/>
                <w:szCs w:val="20"/>
                <w:lang w:eastAsia="en-IN"/>
                <w14:ligatures w14:val="none"/>
              </w:rPr>
              <w:t xml:space="preserve"> (mg/mL)</w:t>
            </w:r>
          </w:p>
        </w:tc>
        <w:tc>
          <w:tcPr>
            <w:tcW w:w="83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72.01</w:t>
            </w:r>
          </w:p>
        </w:tc>
        <w:tc>
          <w:tcPr>
            <w:tcW w:w="869"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280.28</w:t>
            </w:r>
          </w:p>
        </w:tc>
        <w:tc>
          <w:tcPr>
            <w:tcW w:w="848"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61.42</w:t>
            </w:r>
          </w:p>
        </w:tc>
        <w:tc>
          <w:tcPr>
            <w:tcW w:w="883"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287.83</w:t>
            </w:r>
          </w:p>
        </w:tc>
      </w:tr>
      <w:tr w:rsidR="008A0959" w:rsidRPr="00B85963" w:rsidTr="002F345E">
        <w:trPr>
          <w:trHeight w:val="600"/>
        </w:trPr>
        <w:tc>
          <w:tcPr>
            <w:tcW w:w="572"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995" w:type="pct"/>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kern w:val="0"/>
                <w:sz w:val="20"/>
                <w:szCs w:val="20"/>
                <w:lang w:eastAsia="en-IN"/>
                <w14:ligatures w14:val="none"/>
              </w:rPr>
              <w:t>CaCO</w:t>
            </w:r>
            <w:r w:rsidRPr="00B85963">
              <w:rPr>
                <w:rFonts w:ascii="Arial" w:eastAsia="Times New Roman" w:hAnsi="Arial" w:cs="Arial"/>
                <w:kern w:val="0"/>
                <w:sz w:val="20"/>
                <w:szCs w:val="20"/>
                <w:vertAlign w:val="subscript"/>
                <w:lang w:eastAsia="en-IN"/>
                <w14:ligatures w14:val="none"/>
              </w:rPr>
              <w:t>3</w:t>
            </w:r>
            <w:r w:rsidRPr="00B85963">
              <w:rPr>
                <w:rFonts w:ascii="Arial" w:eastAsia="Times New Roman" w:hAnsi="Arial" w:cs="Arial"/>
                <w:kern w:val="0"/>
                <w:sz w:val="20"/>
                <w:szCs w:val="20"/>
                <w:lang w:eastAsia="en-IN"/>
                <w14:ligatures w14:val="none"/>
              </w:rPr>
              <w:t xml:space="preserve"> (mg/mL)</w:t>
            </w:r>
          </w:p>
        </w:tc>
        <w:tc>
          <w:tcPr>
            <w:tcW w:w="83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237.11</w:t>
            </w:r>
          </w:p>
        </w:tc>
        <w:tc>
          <w:tcPr>
            <w:tcW w:w="869"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262.01</w:t>
            </w:r>
          </w:p>
        </w:tc>
        <w:tc>
          <w:tcPr>
            <w:tcW w:w="848"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250.24</w:t>
            </w:r>
          </w:p>
        </w:tc>
        <w:tc>
          <w:tcPr>
            <w:tcW w:w="883"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300.25</w:t>
            </w:r>
          </w:p>
        </w:tc>
      </w:tr>
    </w:tbl>
    <w:p w:rsidR="008A0959" w:rsidRPr="00B85963" w:rsidRDefault="008A0959" w:rsidP="008A0959">
      <w:pPr>
        <w:jc w:val="both"/>
        <w:rPr>
          <w:rFonts w:ascii="Arial" w:hAnsi="Arial" w:cs="Arial"/>
          <w:sz w:val="20"/>
          <w:szCs w:val="20"/>
          <w:lang w:val="en-US"/>
        </w:rPr>
      </w:pPr>
    </w:p>
    <w:p w:rsidR="008A0959" w:rsidRPr="00B85963" w:rsidRDefault="008A0959" w:rsidP="008A0959">
      <w:pPr>
        <w:jc w:val="center"/>
        <w:rPr>
          <w:rFonts w:ascii="Arial" w:hAnsi="Arial" w:cs="Arial"/>
          <w:sz w:val="20"/>
          <w:szCs w:val="20"/>
          <w:lang w:val="en-US"/>
        </w:rPr>
      </w:pPr>
      <w:r w:rsidRPr="00B85963">
        <w:rPr>
          <w:rFonts w:ascii="Arial" w:hAnsi="Arial" w:cs="Arial"/>
          <w:noProof/>
          <w:sz w:val="20"/>
          <w:szCs w:val="20"/>
          <w:highlight w:val="yellow"/>
          <w:lang w:val="en-US" w:bidi="hi-IN"/>
        </w:rPr>
        <w:lastRenderedPageBreak/>
        <w:drawing>
          <wp:inline distT="0" distB="0" distL="0" distR="0" wp14:anchorId="3A67EAC2" wp14:editId="3FA5DFEE">
            <wp:extent cx="5876925" cy="2743200"/>
            <wp:effectExtent l="0" t="0" r="9525" b="0"/>
            <wp:docPr id="883421375" name="Chart 1">
              <a:extLst xmlns:a="http://schemas.openxmlformats.org/drawingml/2006/main">
                <a:ext uri="{FF2B5EF4-FFF2-40B4-BE49-F238E27FC236}">
                  <a16:creationId xmlns:a16="http://schemas.microsoft.com/office/drawing/2014/main" id="{49B94BC8-B54A-4981-B454-B4AD2EFF68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A0959" w:rsidRPr="00B85963" w:rsidRDefault="008A0959" w:rsidP="008A0959">
      <w:pPr>
        <w:spacing w:after="0" w:line="360" w:lineRule="auto"/>
        <w:jc w:val="center"/>
        <w:rPr>
          <w:rFonts w:ascii="Arial" w:hAnsi="Arial" w:cs="Arial"/>
          <w:b/>
          <w:bCs/>
          <w:strike/>
          <w:sz w:val="20"/>
          <w:szCs w:val="20"/>
          <w:lang w:val="en-US"/>
        </w:rPr>
      </w:pPr>
      <w:r w:rsidRPr="00B85963">
        <w:rPr>
          <w:rFonts w:ascii="Arial" w:hAnsi="Arial" w:cs="Arial"/>
          <w:b/>
          <w:bCs/>
          <w:sz w:val="20"/>
          <w:szCs w:val="20"/>
          <w:lang w:val="en-US"/>
        </w:rPr>
        <w:t xml:space="preserve">Figure 8: Seasonal variations in </w:t>
      </w:r>
      <w:r w:rsidRPr="00B85963">
        <w:rPr>
          <w:rFonts w:ascii="Arial" w:eastAsia="Times New Roman" w:hAnsi="Arial" w:cs="Arial"/>
          <w:b/>
          <w:bCs/>
          <w:kern w:val="0"/>
          <w:sz w:val="20"/>
          <w:szCs w:val="20"/>
          <w:lang w:eastAsia="en-IN"/>
          <w14:ligatures w14:val="none"/>
        </w:rPr>
        <w:t>Total Hardness as CaCO</w:t>
      </w:r>
      <w:r w:rsidRPr="00B85963">
        <w:rPr>
          <w:rFonts w:ascii="Arial" w:eastAsia="Times New Roman" w:hAnsi="Arial" w:cs="Arial"/>
          <w:b/>
          <w:bCs/>
          <w:kern w:val="0"/>
          <w:sz w:val="20"/>
          <w:szCs w:val="20"/>
          <w:vertAlign w:val="subscript"/>
          <w:lang w:eastAsia="en-IN"/>
          <w14:ligatures w14:val="none"/>
        </w:rPr>
        <w:t>3</w:t>
      </w:r>
      <w:r w:rsidRPr="00B85963">
        <w:rPr>
          <w:rFonts w:ascii="Arial" w:eastAsia="Times New Roman" w:hAnsi="Arial" w:cs="Arial"/>
          <w:b/>
          <w:bCs/>
          <w:kern w:val="0"/>
          <w:sz w:val="20"/>
          <w:szCs w:val="20"/>
          <w:lang w:eastAsia="en-IN"/>
          <w14:ligatures w14:val="none"/>
        </w:rPr>
        <w:t xml:space="preserve"> (mg/mL) </w:t>
      </w:r>
      <w:r w:rsidRPr="00B85963">
        <w:rPr>
          <w:rFonts w:ascii="Arial" w:hAnsi="Arial" w:cs="Arial"/>
          <w:b/>
          <w:bCs/>
          <w:sz w:val="20"/>
          <w:szCs w:val="20"/>
          <w:lang w:val="en-US"/>
        </w:rPr>
        <w:t xml:space="preserve">of water samples </w:t>
      </w:r>
    </w:p>
    <w:p w:rsidR="008A0959" w:rsidRPr="00B85963" w:rsidRDefault="008A0959" w:rsidP="008A0959">
      <w:pPr>
        <w:jc w:val="both"/>
        <w:rPr>
          <w:rFonts w:ascii="Arial" w:hAnsi="Arial" w:cs="Arial"/>
          <w:sz w:val="20"/>
          <w:szCs w:val="20"/>
        </w:rPr>
      </w:pPr>
      <w:r w:rsidRPr="00B85963">
        <w:rPr>
          <w:rFonts w:ascii="Arial" w:hAnsi="Arial" w:cs="Arial"/>
          <w:sz w:val="20"/>
          <w:szCs w:val="20"/>
        </w:rPr>
        <w:t xml:space="preserve"> As summarized in Table 8 and Figure 8, hardness varied seasonally. Monsoon values were high (287.12–298.05 mg/mL), winter values dropped sharply in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(61.42–72.01 mg/mL) but remained high in </w:t>
      </w:r>
      <w:proofErr w:type="spellStart"/>
      <w:r w:rsidRPr="00B85963">
        <w:rPr>
          <w:rFonts w:ascii="Arial" w:hAnsi="Arial" w:cs="Arial"/>
          <w:sz w:val="20"/>
          <w:szCs w:val="20"/>
        </w:rPr>
        <w:t>Belsonda</w:t>
      </w:r>
      <w:proofErr w:type="spellEnd"/>
      <w:r w:rsidRPr="00B85963">
        <w:rPr>
          <w:rFonts w:ascii="Arial" w:hAnsi="Arial" w:cs="Arial"/>
          <w:sz w:val="20"/>
          <w:szCs w:val="20"/>
        </w:rPr>
        <w:t xml:space="preserve"> (280.28–287.83 mg/mL), and summer showed moderate to high levels (237.11–300.25 mg/mL). These fluctuations reflect both seasonal leaching and industrial impacts. </w:t>
      </w:r>
    </w:p>
    <w:p w:rsidR="008A0959" w:rsidRPr="00B85963" w:rsidRDefault="008A0959" w:rsidP="008A0959">
      <w:pPr>
        <w:jc w:val="both"/>
        <w:rPr>
          <w:rFonts w:ascii="Arial" w:hAnsi="Arial" w:cs="Arial"/>
          <w:b/>
          <w:bCs/>
          <w:sz w:val="22"/>
          <w:szCs w:val="22"/>
        </w:rPr>
      </w:pPr>
      <w:r w:rsidRPr="00B85963">
        <w:rPr>
          <w:rFonts w:ascii="Arial" w:hAnsi="Arial" w:cs="Arial"/>
          <w:b/>
          <w:bCs/>
          <w:sz w:val="22"/>
          <w:szCs w:val="22"/>
        </w:rPr>
        <w:t>3.9 Taste and Odour:-</w:t>
      </w:r>
    </w:p>
    <w:p w:rsidR="008A0959" w:rsidRPr="00B85963" w:rsidRDefault="008A0959" w:rsidP="008A0959">
      <w:pPr>
        <w:spacing w:after="0" w:line="360" w:lineRule="auto"/>
        <w:jc w:val="both"/>
        <w:rPr>
          <w:rFonts w:ascii="Arial" w:hAnsi="Arial" w:cs="Arial"/>
          <w:b/>
          <w:bCs/>
          <w:sz w:val="20"/>
          <w:szCs w:val="20"/>
          <w:lang w:val="en-US"/>
        </w:rPr>
      </w:pPr>
      <w:r w:rsidRPr="00B85963">
        <w:rPr>
          <w:rFonts w:ascii="Arial" w:hAnsi="Arial" w:cs="Arial"/>
          <w:b/>
          <w:bCs/>
          <w:sz w:val="20"/>
          <w:szCs w:val="20"/>
          <w:lang w:val="en-US"/>
        </w:rPr>
        <w:t xml:space="preserve">Table 9: Seasonal variations in </w:t>
      </w:r>
      <w:r w:rsidRPr="00B85963">
        <w:rPr>
          <w:rFonts w:ascii="Arial" w:eastAsia="Times New Roman" w:hAnsi="Arial" w:cs="Arial"/>
          <w:b/>
          <w:bCs/>
          <w:kern w:val="0"/>
          <w:sz w:val="20"/>
          <w:szCs w:val="20"/>
          <w:lang w:eastAsia="en-IN"/>
          <w14:ligatures w14:val="none"/>
        </w:rPr>
        <w:t>Taste</w:t>
      </w:r>
      <w:r w:rsidRPr="00B85963">
        <w:rPr>
          <w:rFonts w:ascii="Arial" w:hAnsi="Arial" w:cs="Arial"/>
          <w:b/>
          <w:bCs/>
          <w:sz w:val="20"/>
          <w:szCs w:val="20"/>
          <w:lang w:val="en-US"/>
        </w:rPr>
        <w:t xml:space="preserve"> of water samples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662"/>
        <w:gridCol w:w="1697"/>
        <w:gridCol w:w="1697"/>
        <w:gridCol w:w="1697"/>
        <w:gridCol w:w="1701"/>
      </w:tblGrid>
      <w:tr w:rsidR="008A0959" w:rsidRPr="00B85963" w:rsidTr="002F345E">
        <w:trPr>
          <w:trHeight w:val="999"/>
        </w:trPr>
        <w:tc>
          <w:tcPr>
            <w:tcW w:w="586"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868" w:type="pct"/>
            <w:vAlign w:val="center"/>
            <w:hideMark/>
          </w:tcPr>
          <w:p w:rsidR="008A0959" w:rsidRPr="00B85963" w:rsidRDefault="008A0959"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86" w:type="pct"/>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86"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86"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88"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8A0959" w:rsidRPr="00B85963" w:rsidTr="002F345E">
        <w:trPr>
          <w:trHeight w:val="600"/>
        </w:trPr>
        <w:tc>
          <w:tcPr>
            <w:tcW w:w="586"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Monsoon</w:t>
            </w:r>
          </w:p>
        </w:tc>
        <w:tc>
          <w:tcPr>
            <w:tcW w:w="868"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Taste</w:t>
            </w:r>
          </w:p>
        </w:tc>
        <w:tc>
          <w:tcPr>
            <w:tcW w:w="886" w:type="pct"/>
            <w:vAlign w:val="center"/>
            <w:hideMark/>
          </w:tcPr>
          <w:p w:rsidR="008A0959" w:rsidRPr="00C03088" w:rsidRDefault="008A0959" w:rsidP="002F345E">
            <w:pPr>
              <w:spacing w:after="0" w:line="240" w:lineRule="auto"/>
              <w:jc w:val="center"/>
              <w:rPr>
                <w:rFonts w:ascii="Arial" w:eastAsia="Times New Roman" w:hAnsi="Arial" w:cs="Arial Unicode MS"/>
                <w:kern w:val="0"/>
                <w:sz w:val="20"/>
                <w:szCs w:val="21"/>
                <w:lang w:eastAsia="en-IN" w:bidi="hi-IN"/>
                <w14:ligatures w14:val="none"/>
              </w:rPr>
            </w:pPr>
            <w:r>
              <w:t>Nil</w:t>
            </w:r>
          </w:p>
        </w:tc>
        <w:tc>
          <w:tcPr>
            <w:tcW w:w="886" w:type="pct"/>
            <w:vAlign w:val="center"/>
            <w:hideMark/>
          </w:tcPr>
          <w:p w:rsidR="008A0959" w:rsidRPr="00C03088" w:rsidRDefault="008A0959" w:rsidP="002F345E">
            <w:pPr>
              <w:spacing w:after="0" w:line="240" w:lineRule="auto"/>
              <w:jc w:val="center"/>
              <w:rPr>
                <w:rFonts w:ascii="Arial" w:eastAsia="Times New Roman" w:hAnsi="Arial" w:cs="Arial Unicode MS"/>
                <w:kern w:val="0"/>
                <w:sz w:val="20"/>
                <w:szCs w:val="18"/>
                <w:lang w:eastAsia="en-IN" w:bidi="hi-IN"/>
                <w14:ligatures w14:val="none"/>
              </w:rPr>
            </w:pPr>
            <w:r>
              <w:t>Nil</w:t>
            </w:r>
            <w:r w:rsidRPr="00B85963">
              <w:rPr>
                <w:rFonts w:ascii="Arial" w:eastAsia="Times New Roman" w:hAnsi="Arial" w:cs="Arial"/>
                <w:kern w:val="0"/>
                <w:sz w:val="20"/>
                <w:szCs w:val="20"/>
                <w:lang w:eastAsia="en-IN"/>
                <w14:ligatures w14:val="none"/>
              </w:rPr>
              <w:t xml:space="preserve"> </w:t>
            </w:r>
          </w:p>
        </w:tc>
        <w:tc>
          <w:tcPr>
            <w:tcW w:w="886" w:type="pct"/>
            <w:vAlign w:val="center"/>
            <w:hideMark/>
          </w:tcPr>
          <w:p w:rsidR="008A0959" w:rsidRPr="00C03088" w:rsidRDefault="008A0959" w:rsidP="002F345E">
            <w:pPr>
              <w:spacing w:after="0" w:line="240" w:lineRule="auto"/>
              <w:jc w:val="center"/>
              <w:rPr>
                <w:rFonts w:ascii="Arial" w:eastAsia="Times New Roman" w:hAnsi="Arial" w:cs="Arial Unicode MS"/>
                <w:kern w:val="0"/>
                <w:sz w:val="20"/>
                <w:szCs w:val="18"/>
                <w:lang w:eastAsia="en-IN" w:bidi="hi-IN"/>
                <w14:ligatures w14:val="none"/>
              </w:rPr>
            </w:pPr>
            <w:r>
              <w:t>Nil</w:t>
            </w:r>
            <w:r w:rsidRPr="00B85963">
              <w:rPr>
                <w:rFonts w:ascii="Arial" w:eastAsia="Times New Roman" w:hAnsi="Arial" w:cs="Arial"/>
                <w:kern w:val="0"/>
                <w:sz w:val="20"/>
                <w:szCs w:val="20"/>
                <w:lang w:eastAsia="en-IN"/>
                <w14:ligatures w14:val="none"/>
              </w:rPr>
              <w:t xml:space="preserve"> </w:t>
            </w:r>
          </w:p>
        </w:tc>
        <w:tc>
          <w:tcPr>
            <w:tcW w:w="888" w:type="pct"/>
            <w:vAlign w:val="center"/>
            <w:hideMark/>
          </w:tcPr>
          <w:p w:rsidR="008A0959" w:rsidRPr="00C03088" w:rsidRDefault="008A0959" w:rsidP="002F345E">
            <w:pPr>
              <w:spacing w:after="0" w:line="240" w:lineRule="auto"/>
              <w:jc w:val="center"/>
              <w:rPr>
                <w:rFonts w:ascii="Arial" w:eastAsia="Times New Roman" w:hAnsi="Arial" w:cs="Arial Unicode MS"/>
                <w:kern w:val="0"/>
                <w:sz w:val="20"/>
                <w:szCs w:val="18"/>
                <w:lang w:eastAsia="en-IN" w:bidi="hi-IN"/>
                <w14:ligatures w14:val="none"/>
              </w:rPr>
            </w:pPr>
            <w:r>
              <w:rPr>
                <w:rFonts w:cs="Arial Unicode MS" w:hint="cs"/>
                <w:szCs w:val="21"/>
                <w:cs/>
                <w:lang w:bidi="hi-IN"/>
              </w:rPr>
              <w:t xml:space="preserve"> </w:t>
            </w:r>
            <w:r>
              <w:t>Nil</w:t>
            </w:r>
            <w:r w:rsidRPr="00B85963">
              <w:rPr>
                <w:rFonts w:ascii="Arial" w:eastAsia="Times New Roman" w:hAnsi="Arial" w:cs="Arial"/>
                <w:kern w:val="0"/>
                <w:sz w:val="20"/>
                <w:szCs w:val="20"/>
                <w:lang w:eastAsia="en-IN"/>
                <w14:ligatures w14:val="none"/>
              </w:rPr>
              <w:t xml:space="preserve"> </w:t>
            </w:r>
          </w:p>
        </w:tc>
      </w:tr>
      <w:tr w:rsidR="008A0959" w:rsidRPr="00B85963" w:rsidTr="002F345E">
        <w:trPr>
          <w:trHeight w:val="600"/>
        </w:trPr>
        <w:tc>
          <w:tcPr>
            <w:tcW w:w="586"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Winter</w:t>
            </w:r>
          </w:p>
        </w:tc>
        <w:tc>
          <w:tcPr>
            <w:tcW w:w="868"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Taste</w:t>
            </w:r>
          </w:p>
        </w:tc>
        <w:tc>
          <w:tcPr>
            <w:tcW w:w="886"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t>Nil</w:t>
            </w:r>
          </w:p>
        </w:tc>
        <w:tc>
          <w:tcPr>
            <w:tcW w:w="886" w:type="pct"/>
            <w:vAlign w:val="center"/>
            <w:hideMark/>
          </w:tcPr>
          <w:p w:rsidR="008A0959" w:rsidRPr="00C03088" w:rsidRDefault="008A0959" w:rsidP="002F345E">
            <w:pPr>
              <w:spacing w:after="0" w:line="240" w:lineRule="auto"/>
              <w:jc w:val="center"/>
              <w:rPr>
                <w:rFonts w:ascii="Arial" w:eastAsia="Times New Roman" w:hAnsi="Arial" w:cs="Arial Unicode MS"/>
                <w:kern w:val="0"/>
                <w:sz w:val="20"/>
                <w:szCs w:val="18"/>
                <w:lang w:eastAsia="en-IN" w:bidi="hi-IN"/>
                <w14:ligatures w14:val="none"/>
              </w:rPr>
            </w:pPr>
            <w:r>
              <w:t>Nil</w:t>
            </w:r>
            <w:r w:rsidRPr="00B85963">
              <w:rPr>
                <w:rFonts w:ascii="Arial" w:eastAsia="Times New Roman" w:hAnsi="Arial" w:cs="Arial"/>
                <w:kern w:val="0"/>
                <w:sz w:val="20"/>
                <w:szCs w:val="20"/>
                <w:lang w:eastAsia="en-IN"/>
                <w14:ligatures w14:val="none"/>
              </w:rPr>
              <w:t xml:space="preserve"> </w:t>
            </w:r>
          </w:p>
        </w:tc>
        <w:tc>
          <w:tcPr>
            <w:tcW w:w="886" w:type="pct"/>
            <w:vAlign w:val="center"/>
            <w:hideMark/>
          </w:tcPr>
          <w:p w:rsidR="008A0959" w:rsidRPr="00C03088" w:rsidRDefault="008A0959" w:rsidP="002F345E">
            <w:pPr>
              <w:spacing w:after="0" w:line="240" w:lineRule="auto"/>
              <w:jc w:val="center"/>
              <w:rPr>
                <w:rFonts w:ascii="Arial" w:eastAsia="Times New Roman" w:hAnsi="Arial" w:cs="Arial Unicode MS"/>
                <w:kern w:val="0"/>
                <w:sz w:val="20"/>
                <w:szCs w:val="18"/>
                <w:lang w:eastAsia="en-IN" w:bidi="hi-IN"/>
                <w14:ligatures w14:val="none"/>
              </w:rPr>
            </w:pPr>
            <w:r>
              <w:t>Nil</w:t>
            </w:r>
            <w:r w:rsidRPr="00B85963">
              <w:rPr>
                <w:rFonts w:ascii="Arial" w:eastAsia="Times New Roman" w:hAnsi="Arial" w:cs="Arial"/>
                <w:kern w:val="0"/>
                <w:sz w:val="20"/>
                <w:szCs w:val="20"/>
                <w:lang w:eastAsia="en-IN"/>
                <w14:ligatures w14:val="none"/>
              </w:rPr>
              <w:t xml:space="preserve"> </w:t>
            </w:r>
          </w:p>
        </w:tc>
        <w:tc>
          <w:tcPr>
            <w:tcW w:w="888" w:type="pct"/>
            <w:vAlign w:val="center"/>
            <w:hideMark/>
          </w:tcPr>
          <w:p w:rsidR="008A0959" w:rsidRPr="00C03088" w:rsidRDefault="008A0959" w:rsidP="002F345E">
            <w:pPr>
              <w:spacing w:after="0" w:line="240" w:lineRule="auto"/>
              <w:jc w:val="center"/>
              <w:rPr>
                <w:rFonts w:ascii="Arial" w:eastAsia="Times New Roman" w:hAnsi="Arial" w:cs="Arial Unicode MS"/>
                <w:kern w:val="0"/>
                <w:sz w:val="20"/>
                <w:szCs w:val="18"/>
                <w:lang w:eastAsia="en-IN" w:bidi="hi-IN"/>
                <w14:ligatures w14:val="none"/>
              </w:rPr>
            </w:pPr>
            <w:r>
              <w:t>Nil</w:t>
            </w:r>
            <w:r w:rsidRPr="00B85963">
              <w:rPr>
                <w:rFonts w:ascii="Arial" w:eastAsia="Times New Roman" w:hAnsi="Arial" w:cs="Arial"/>
                <w:kern w:val="0"/>
                <w:sz w:val="20"/>
                <w:szCs w:val="20"/>
                <w:lang w:eastAsia="en-IN"/>
                <w14:ligatures w14:val="none"/>
              </w:rPr>
              <w:t xml:space="preserve"> </w:t>
            </w:r>
          </w:p>
        </w:tc>
      </w:tr>
      <w:tr w:rsidR="008A0959" w:rsidRPr="00B85963" w:rsidTr="002F345E">
        <w:trPr>
          <w:trHeight w:val="600"/>
        </w:trPr>
        <w:tc>
          <w:tcPr>
            <w:tcW w:w="586"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868"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Taste</w:t>
            </w:r>
          </w:p>
        </w:tc>
        <w:tc>
          <w:tcPr>
            <w:tcW w:w="886"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t>Nil</w:t>
            </w:r>
          </w:p>
        </w:tc>
        <w:tc>
          <w:tcPr>
            <w:tcW w:w="886" w:type="pct"/>
            <w:vAlign w:val="center"/>
            <w:hideMark/>
          </w:tcPr>
          <w:p w:rsidR="008A0959" w:rsidRPr="00C03088" w:rsidRDefault="008A0959" w:rsidP="002F345E">
            <w:pPr>
              <w:spacing w:after="0" w:line="240" w:lineRule="auto"/>
              <w:jc w:val="center"/>
              <w:rPr>
                <w:rFonts w:ascii="Arial" w:eastAsia="Times New Roman" w:hAnsi="Arial" w:cs="Arial Unicode MS"/>
                <w:kern w:val="0"/>
                <w:sz w:val="20"/>
                <w:szCs w:val="18"/>
                <w:lang w:eastAsia="en-IN" w:bidi="hi-IN"/>
                <w14:ligatures w14:val="none"/>
              </w:rPr>
            </w:pPr>
            <w:r>
              <w:t>Nil</w:t>
            </w:r>
            <w:r w:rsidRPr="00B85963">
              <w:rPr>
                <w:rFonts w:ascii="Arial" w:eastAsia="Times New Roman" w:hAnsi="Arial" w:cs="Arial"/>
                <w:kern w:val="0"/>
                <w:sz w:val="20"/>
                <w:szCs w:val="20"/>
                <w:lang w:eastAsia="en-IN"/>
                <w14:ligatures w14:val="none"/>
              </w:rPr>
              <w:t xml:space="preserve"> </w:t>
            </w:r>
          </w:p>
        </w:tc>
        <w:tc>
          <w:tcPr>
            <w:tcW w:w="886" w:type="pct"/>
            <w:vAlign w:val="center"/>
            <w:hideMark/>
          </w:tcPr>
          <w:p w:rsidR="008A0959" w:rsidRPr="00C03088" w:rsidRDefault="008A0959" w:rsidP="002F345E">
            <w:pPr>
              <w:spacing w:after="0" w:line="240" w:lineRule="auto"/>
              <w:jc w:val="center"/>
              <w:rPr>
                <w:rFonts w:ascii="Arial" w:eastAsia="Times New Roman" w:hAnsi="Arial" w:cs="Arial Unicode MS"/>
                <w:kern w:val="0"/>
                <w:sz w:val="20"/>
                <w:szCs w:val="18"/>
                <w:lang w:eastAsia="en-IN" w:bidi="hi-IN"/>
                <w14:ligatures w14:val="none"/>
              </w:rPr>
            </w:pPr>
            <w:r>
              <w:t>Nil</w:t>
            </w:r>
            <w:r w:rsidRPr="00B85963">
              <w:rPr>
                <w:rFonts w:ascii="Arial" w:eastAsia="Times New Roman" w:hAnsi="Arial" w:cs="Arial"/>
                <w:kern w:val="0"/>
                <w:sz w:val="20"/>
                <w:szCs w:val="20"/>
                <w:lang w:eastAsia="en-IN"/>
                <w14:ligatures w14:val="none"/>
              </w:rPr>
              <w:t xml:space="preserve"> </w:t>
            </w:r>
          </w:p>
        </w:tc>
        <w:tc>
          <w:tcPr>
            <w:tcW w:w="888" w:type="pct"/>
            <w:vAlign w:val="center"/>
            <w:hideMark/>
          </w:tcPr>
          <w:p w:rsidR="008A0959" w:rsidRPr="00C03088" w:rsidRDefault="008A0959" w:rsidP="002F345E">
            <w:pPr>
              <w:spacing w:after="0" w:line="240" w:lineRule="auto"/>
              <w:jc w:val="center"/>
              <w:rPr>
                <w:rFonts w:ascii="Arial" w:eastAsia="Times New Roman" w:hAnsi="Arial" w:cs="Arial Unicode MS"/>
                <w:kern w:val="0"/>
                <w:sz w:val="20"/>
                <w:szCs w:val="18"/>
                <w:lang w:eastAsia="en-IN" w:bidi="hi-IN"/>
                <w14:ligatures w14:val="none"/>
              </w:rPr>
            </w:pPr>
            <w:r>
              <w:t>Nil</w:t>
            </w:r>
            <w:r w:rsidRPr="00B85963">
              <w:rPr>
                <w:rFonts w:ascii="Arial" w:eastAsia="Times New Roman" w:hAnsi="Arial" w:cs="Arial"/>
                <w:kern w:val="0"/>
                <w:sz w:val="20"/>
                <w:szCs w:val="20"/>
                <w:lang w:eastAsia="en-IN"/>
                <w14:ligatures w14:val="none"/>
              </w:rPr>
              <w:t xml:space="preserve"> </w:t>
            </w:r>
          </w:p>
        </w:tc>
      </w:tr>
    </w:tbl>
    <w:p w:rsidR="008A0959" w:rsidRPr="00B85963" w:rsidRDefault="008A0959" w:rsidP="008A0959">
      <w:pPr>
        <w:jc w:val="both"/>
        <w:rPr>
          <w:rFonts w:ascii="Arial" w:hAnsi="Arial" w:cs="Arial"/>
          <w:sz w:val="20"/>
          <w:szCs w:val="20"/>
        </w:rPr>
      </w:pPr>
    </w:p>
    <w:p w:rsidR="008A0959" w:rsidRDefault="008A0959" w:rsidP="008A0959">
      <w:pPr>
        <w:spacing w:after="0" w:line="360" w:lineRule="auto"/>
        <w:jc w:val="both"/>
        <w:rPr>
          <w:rFonts w:ascii="Arial" w:hAnsi="Arial" w:cs="Arial Unicode MS"/>
          <w:b/>
          <w:bCs/>
          <w:sz w:val="20"/>
          <w:szCs w:val="18"/>
          <w:lang w:val="en-US" w:bidi="hi-IN"/>
        </w:rPr>
      </w:pPr>
    </w:p>
    <w:p w:rsidR="008A0959" w:rsidRPr="00B85963" w:rsidRDefault="008A0959" w:rsidP="008A0959">
      <w:pPr>
        <w:spacing w:after="0" w:line="360" w:lineRule="auto"/>
        <w:jc w:val="both"/>
        <w:rPr>
          <w:rFonts w:ascii="Arial" w:hAnsi="Arial" w:cs="Arial"/>
          <w:b/>
          <w:bCs/>
          <w:strike/>
          <w:sz w:val="20"/>
          <w:szCs w:val="20"/>
          <w:highlight w:val="yellow"/>
          <w:lang w:val="en-US"/>
        </w:rPr>
      </w:pPr>
      <w:r w:rsidRPr="00B85963">
        <w:rPr>
          <w:rFonts w:ascii="Arial" w:hAnsi="Arial" w:cs="Arial"/>
          <w:b/>
          <w:bCs/>
          <w:sz w:val="20"/>
          <w:szCs w:val="20"/>
          <w:lang w:val="en-US"/>
        </w:rPr>
        <w:t xml:space="preserve">Table 10: Seasonal variations in </w:t>
      </w:r>
      <w:r w:rsidRPr="00B85963">
        <w:rPr>
          <w:rFonts w:ascii="Arial" w:eastAsia="Times New Roman" w:hAnsi="Arial" w:cs="Arial"/>
          <w:b/>
          <w:bCs/>
          <w:kern w:val="0"/>
          <w:sz w:val="20"/>
          <w:szCs w:val="20"/>
          <w:lang w:eastAsia="en-IN"/>
          <w14:ligatures w14:val="none"/>
        </w:rPr>
        <w:t>Odour</w:t>
      </w:r>
      <w:r w:rsidRPr="00B85963">
        <w:rPr>
          <w:rFonts w:ascii="Arial" w:hAnsi="Arial" w:cs="Arial"/>
          <w:b/>
          <w:bCs/>
          <w:sz w:val="20"/>
          <w:szCs w:val="20"/>
          <w:lang w:val="en-US"/>
        </w:rPr>
        <w:t xml:space="preserve"> of water samples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45"/>
        <w:gridCol w:w="1712"/>
        <w:gridCol w:w="1714"/>
        <w:gridCol w:w="1714"/>
        <w:gridCol w:w="1678"/>
      </w:tblGrid>
      <w:tr w:rsidR="008A0959" w:rsidRPr="00B85963" w:rsidTr="002F345E">
        <w:trPr>
          <w:trHeight w:val="999"/>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859" w:type="pct"/>
            <w:vAlign w:val="center"/>
            <w:hideMark/>
          </w:tcPr>
          <w:p w:rsidR="008A0959" w:rsidRPr="00B85963" w:rsidRDefault="008A0959"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94" w:type="pct"/>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95"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95"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77"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8A0959" w:rsidRPr="00B85963" w:rsidTr="002F345E">
        <w:trPr>
          <w:trHeight w:val="600"/>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Monsoon</w:t>
            </w:r>
          </w:p>
        </w:tc>
        <w:tc>
          <w:tcPr>
            <w:tcW w:w="859"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Odour</w:t>
            </w:r>
          </w:p>
        </w:tc>
        <w:tc>
          <w:tcPr>
            <w:tcW w:w="894"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Agree</w:t>
            </w:r>
          </w:p>
        </w:tc>
        <w:tc>
          <w:tcPr>
            <w:tcW w:w="895"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Agree</w:t>
            </w:r>
          </w:p>
        </w:tc>
        <w:tc>
          <w:tcPr>
            <w:tcW w:w="895"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Agree</w:t>
            </w:r>
          </w:p>
        </w:tc>
        <w:tc>
          <w:tcPr>
            <w:tcW w:w="877"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Agree</w:t>
            </w:r>
          </w:p>
        </w:tc>
      </w:tr>
      <w:tr w:rsidR="008A0959" w:rsidRPr="00B85963" w:rsidTr="002F345E">
        <w:trPr>
          <w:trHeight w:val="600"/>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lastRenderedPageBreak/>
              <w:t>Winter</w:t>
            </w:r>
          </w:p>
        </w:tc>
        <w:tc>
          <w:tcPr>
            <w:tcW w:w="859"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Odour</w:t>
            </w:r>
          </w:p>
        </w:tc>
        <w:tc>
          <w:tcPr>
            <w:tcW w:w="89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Agree</w:t>
            </w:r>
          </w:p>
        </w:tc>
        <w:tc>
          <w:tcPr>
            <w:tcW w:w="895"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Agree</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Agree</w:t>
            </w:r>
          </w:p>
        </w:tc>
        <w:tc>
          <w:tcPr>
            <w:tcW w:w="877"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Agree</w:t>
            </w:r>
          </w:p>
        </w:tc>
      </w:tr>
      <w:tr w:rsidR="008A0959" w:rsidRPr="00B85963" w:rsidTr="002F345E">
        <w:trPr>
          <w:trHeight w:val="600"/>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859"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Odour</w:t>
            </w:r>
          </w:p>
        </w:tc>
        <w:tc>
          <w:tcPr>
            <w:tcW w:w="89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Agree</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Agree</w:t>
            </w:r>
          </w:p>
        </w:tc>
        <w:tc>
          <w:tcPr>
            <w:tcW w:w="895"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Agree</w:t>
            </w:r>
          </w:p>
        </w:tc>
        <w:tc>
          <w:tcPr>
            <w:tcW w:w="877"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Agree</w:t>
            </w:r>
          </w:p>
        </w:tc>
      </w:tr>
    </w:tbl>
    <w:p w:rsidR="008A0959" w:rsidRPr="00B85963" w:rsidRDefault="008A0959" w:rsidP="008A0959">
      <w:pPr>
        <w:jc w:val="both"/>
        <w:rPr>
          <w:rFonts w:ascii="Arial" w:hAnsi="Arial" w:cs="Arial"/>
          <w:sz w:val="20"/>
          <w:szCs w:val="20"/>
        </w:rPr>
      </w:pPr>
    </w:p>
    <w:p w:rsidR="008A0959" w:rsidRPr="00B85963" w:rsidRDefault="008A0959" w:rsidP="008A0959">
      <w:pPr>
        <w:jc w:val="both"/>
        <w:rPr>
          <w:rFonts w:ascii="Arial" w:hAnsi="Arial" w:cs="Arial"/>
          <w:sz w:val="20"/>
          <w:szCs w:val="20"/>
        </w:rPr>
      </w:pPr>
      <w:r w:rsidRPr="00B85963">
        <w:rPr>
          <w:rFonts w:ascii="Arial" w:hAnsi="Arial" w:cs="Arial"/>
          <w:sz w:val="20"/>
          <w:szCs w:val="20"/>
        </w:rPr>
        <w:t xml:space="preserve">Both taste (Table 9) and odour (Table 10) showed no seasonal or spatial differences. All samples were reported as tasteless and acceptable in odour, suggesting industrial activities have not yet significantly affected these organoleptic properties. However, continued monitoring is necessary. </w:t>
      </w:r>
    </w:p>
    <w:p w:rsidR="008A0959" w:rsidRPr="00B85963" w:rsidRDefault="008A0959" w:rsidP="008A0959">
      <w:pPr>
        <w:jc w:val="both"/>
        <w:rPr>
          <w:rFonts w:ascii="Arial" w:hAnsi="Arial" w:cs="Arial"/>
          <w:b/>
          <w:bCs/>
          <w:sz w:val="22"/>
          <w:szCs w:val="22"/>
          <w:lang w:val="en-US"/>
        </w:rPr>
      </w:pPr>
      <w:r w:rsidRPr="00B85963">
        <w:rPr>
          <w:rFonts w:ascii="Arial" w:hAnsi="Arial" w:cs="Arial"/>
          <w:b/>
          <w:bCs/>
          <w:sz w:val="22"/>
          <w:szCs w:val="22"/>
        </w:rPr>
        <w:t>3.10 Colour</w:t>
      </w:r>
      <w:r w:rsidRPr="00B85963">
        <w:rPr>
          <w:rFonts w:ascii="Arial" w:hAnsi="Arial" w:cs="Arial"/>
          <w:b/>
          <w:bCs/>
          <w:sz w:val="22"/>
          <w:szCs w:val="22"/>
          <w:lang w:val="en-US"/>
        </w:rPr>
        <w:t xml:space="preserve">:- </w:t>
      </w:r>
    </w:p>
    <w:p w:rsidR="008A0959" w:rsidRPr="00B85963" w:rsidRDefault="008A0959" w:rsidP="008A0959">
      <w:pPr>
        <w:spacing w:after="0" w:line="360" w:lineRule="auto"/>
        <w:jc w:val="both"/>
        <w:rPr>
          <w:rFonts w:ascii="Arial" w:hAnsi="Arial" w:cs="Arial"/>
          <w:b/>
          <w:bCs/>
          <w:sz w:val="20"/>
          <w:szCs w:val="20"/>
          <w:lang w:val="en-US"/>
        </w:rPr>
      </w:pPr>
      <w:r w:rsidRPr="00B85963">
        <w:rPr>
          <w:rFonts w:ascii="Arial" w:hAnsi="Arial" w:cs="Arial"/>
          <w:b/>
          <w:bCs/>
          <w:sz w:val="20"/>
          <w:szCs w:val="20"/>
          <w:lang w:val="en-US"/>
        </w:rPr>
        <w:t xml:space="preserve">Table 11: Seasonal variations in </w:t>
      </w:r>
      <w:proofErr w:type="spellStart"/>
      <w:r w:rsidRPr="00B85963">
        <w:rPr>
          <w:rFonts w:ascii="Arial" w:eastAsia="Times New Roman" w:hAnsi="Arial" w:cs="Arial"/>
          <w:b/>
          <w:bCs/>
          <w:kern w:val="0"/>
          <w:sz w:val="20"/>
          <w:szCs w:val="20"/>
          <w:lang w:eastAsia="en-IN"/>
          <w14:ligatures w14:val="none"/>
        </w:rPr>
        <w:t>Color</w:t>
      </w:r>
      <w:proofErr w:type="spellEnd"/>
      <w:r w:rsidRPr="00B85963">
        <w:rPr>
          <w:rFonts w:ascii="Arial" w:hAnsi="Arial" w:cs="Arial"/>
          <w:b/>
          <w:bCs/>
          <w:sz w:val="20"/>
          <w:szCs w:val="20"/>
          <w:lang w:val="en-US"/>
        </w:rPr>
        <w:t xml:space="preserve"> of water samples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8A0959" w:rsidRPr="00B85963" w:rsidTr="002F345E">
        <w:trPr>
          <w:trHeight w:val="999"/>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841" w:type="pct"/>
            <w:vAlign w:val="center"/>
            <w:hideMark/>
          </w:tcPr>
          <w:p w:rsidR="008A0959" w:rsidRPr="00B85963" w:rsidRDefault="008A0959"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94" w:type="pct"/>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95"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95"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95"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8A0959" w:rsidRPr="00B85963" w:rsidTr="002F345E">
        <w:trPr>
          <w:trHeight w:val="600"/>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Monsoon</w:t>
            </w:r>
          </w:p>
        </w:tc>
        <w:tc>
          <w:tcPr>
            <w:tcW w:w="841"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proofErr w:type="spellStart"/>
            <w:r w:rsidRPr="00B85963">
              <w:rPr>
                <w:rFonts w:ascii="Arial" w:eastAsia="Times New Roman" w:hAnsi="Arial" w:cs="Arial"/>
                <w:kern w:val="0"/>
                <w:sz w:val="20"/>
                <w:szCs w:val="20"/>
                <w:lang w:eastAsia="en-IN"/>
                <w14:ligatures w14:val="none"/>
              </w:rPr>
              <w:t>Color</w:t>
            </w:r>
            <w:proofErr w:type="spellEnd"/>
          </w:p>
        </w:tc>
        <w:tc>
          <w:tcPr>
            <w:tcW w:w="89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w:t>
            </w:r>
          </w:p>
        </w:tc>
      </w:tr>
      <w:tr w:rsidR="008A0959" w:rsidRPr="00B85963" w:rsidTr="002F345E">
        <w:trPr>
          <w:trHeight w:val="600"/>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Winter</w:t>
            </w:r>
          </w:p>
        </w:tc>
        <w:tc>
          <w:tcPr>
            <w:tcW w:w="841"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proofErr w:type="spellStart"/>
            <w:r w:rsidRPr="00B85963">
              <w:rPr>
                <w:rFonts w:ascii="Arial" w:eastAsia="Times New Roman" w:hAnsi="Arial" w:cs="Arial"/>
                <w:kern w:val="0"/>
                <w:sz w:val="20"/>
                <w:szCs w:val="20"/>
                <w:lang w:eastAsia="en-IN"/>
                <w14:ligatures w14:val="none"/>
              </w:rPr>
              <w:t>Color</w:t>
            </w:r>
            <w:proofErr w:type="spellEnd"/>
          </w:p>
        </w:tc>
        <w:tc>
          <w:tcPr>
            <w:tcW w:w="89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11</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w:t>
            </w:r>
          </w:p>
        </w:tc>
      </w:tr>
      <w:tr w:rsidR="008A0959" w:rsidRPr="00B85963" w:rsidTr="002F345E">
        <w:trPr>
          <w:trHeight w:val="600"/>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841"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proofErr w:type="spellStart"/>
            <w:r w:rsidRPr="00B85963">
              <w:rPr>
                <w:rFonts w:ascii="Arial" w:eastAsia="Times New Roman" w:hAnsi="Arial" w:cs="Arial"/>
                <w:kern w:val="0"/>
                <w:sz w:val="20"/>
                <w:szCs w:val="20"/>
                <w:lang w:eastAsia="en-IN"/>
                <w14:ligatures w14:val="none"/>
              </w:rPr>
              <w:t>Color</w:t>
            </w:r>
            <w:proofErr w:type="spellEnd"/>
          </w:p>
        </w:tc>
        <w:tc>
          <w:tcPr>
            <w:tcW w:w="89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w:t>
            </w:r>
          </w:p>
        </w:tc>
      </w:tr>
    </w:tbl>
    <w:p w:rsidR="008A0959" w:rsidRPr="00B85963" w:rsidRDefault="008A0959" w:rsidP="008A0959">
      <w:pPr>
        <w:jc w:val="both"/>
        <w:rPr>
          <w:rFonts w:ascii="Arial" w:hAnsi="Arial" w:cs="Arial"/>
          <w:sz w:val="20"/>
          <w:szCs w:val="20"/>
          <w:lang w:val="en-US"/>
        </w:rPr>
      </w:pPr>
    </w:p>
    <w:p w:rsidR="008A0959" w:rsidRPr="00B85963" w:rsidRDefault="008A0959" w:rsidP="008A0959">
      <w:pPr>
        <w:jc w:val="center"/>
        <w:rPr>
          <w:rFonts w:ascii="Arial" w:hAnsi="Arial" w:cs="Arial"/>
          <w:sz w:val="20"/>
          <w:szCs w:val="20"/>
          <w:lang w:val="en-US"/>
        </w:rPr>
      </w:pPr>
      <w:r w:rsidRPr="00B85963">
        <w:rPr>
          <w:rFonts w:ascii="Arial" w:hAnsi="Arial" w:cs="Arial"/>
          <w:noProof/>
          <w:sz w:val="20"/>
          <w:szCs w:val="20"/>
          <w:lang w:val="en-US" w:bidi="hi-IN"/>
        </w:rPr>
        <w:drawing>
          <wp:inline distT="0" distB="0" distL="0" distR="0" wp14:anchorId="4F3FC1FD" wp14:editId="5C01E9F7">
            <wp:extent cx="5495925" cy="2705100"/>
            <wp:effectExtent l="0" t="0" r="9525" b="19050"/>
            <wp:docPr id="1254709348" name="Chart 1">
              <a:extLst xmlns:a="http://schemas.openxmlformats.org/drawingml/2006/main">
                <a:ext uri="{FF2B5EF4-FFF2-40B4-BE49-F238E27FC236}">
                  <a16:creationId xmlns:a16="http://schemas.microsoft.com/office/drawing/2014/main" id="{68930EEC-C25D-4BEB-A3F5-C329720A67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B5BD1" w:rsidRPr="00F51583" w:rsidRDefault="001B5BD1" w:rsidP="001B5BD1">
      <w:pPr>
        <w:spacing w:after="0" w:line="360" w:lineRule="auto"/>
        <w:jc w:val="center"/>
        <w:rPr>
          <w:rFonts w:ascii="Arial" w:hAnsi="Arial" w:cs="Arial"/>
          <w:b/>
          <w:bCs/>
          <w:sz w:val="20"/>
          <w:szCs w:val="20"/>
          <w:lang w:val="en-US"/>
        </w:rPr>
      </w:pPr>
      <w:r w:rsidRPr="00F51583">
        <w:rPr>
          <w:rFonts w:ascii="Arial" w:hAnsi="Arial" w:cs="Arial"/>
          <w:b/>
          <w:bCs/>
          <w:sz w:val="20"/>
          <w:szCs w:val="20"/>
          <w:lang w:val="en-US"/>
        </w:rPr>
        <w:t xml:space="preserve">Figure 9: Seasonal variations in </w:t>
      </w:r>
      <w:proofErr w:type="spellStart"/>
      <w:r w:rsidRPr="00F51583">
        <w:rPr>
          <w:rFonts w:ascii="Arial" w:eastAsia="Times New Roman" w:hAnsi="Arial" w:cs="Arial"/>
          <w:b/>
          <w:bCs/>
          <w:kern w:val="0"/>
          <w:sz w:val="20"/>
          <w:szCs w:val="20"/>
          <w:lang w:eastAsia="en-IN"/>
          <w14:ligatures w14:val="none"/>
        </w:rPr>
        <w:t>Color</w:t>
      </w:r>
      <w:proofErr w:type="spellEnd"/>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rsidR="008A0959" w:rsidRPr="00B85963" w:rsidRDefault="008A0959" w:rsidP="008A0959">
      <w:pPr>
        <w:jc w:val="both"/>
        <w:rPr>
          <w:rFonts w:ascii="Arial" w:hAnsi="Arial" w:cs="Arial"/>
          <w:sz w:val="20"/>
          <w:szCs w:val="20"/>
        </w:rPr>
      </w:pPr>
      <w:r w:rsidRPr="00B85963">
        <w:rPr>
          <w:rFonts w:ascii="Arial" w:hAnsi="Arial" w:cs="Arial"/>
          <w:sz w:val="20"/>
          <w:szCs w:val="20"/>
        </w:rPr>
        <w:t xml:space="preserve">Colour data (Table 11, Figure 9) revealed higher variability in river water compared to groundwater.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river water recorded values of 5 (monsoon), 11 (winter), and 3 (summer), suggesting episodic contamination events. </w:t>
      </w:r>
      <w:proofErr w:type="spellStart"/>
      <w:r w:rsidRPr="00B85963">
        <w:rPr>
          <w:rFonts w:ascii="Arial" w:hAnsi="Arial" w:cs="Arial"/>
          <w:sz w:val="20"/>
          <w:szCs w:val="20"/>
        </w:rPr>
        <w:t>Belsonda</w:t>
      </w:r>
      <w:proofErr w:type="spellEnd"/>
      <w:r w:rsidRPr="00B85963">
        <w:rPr>
          <w:rFonts w:ascii="Arial" w:hAnsi="Arial" w:cs="Arial"/>
          <w:sz w:val="20"/>
          <w:szCs w:val="20"/>
        </w:rPr>
        <w:t xml:space="preserve"> river water showed minor variation (4–5), while groundwater remained stable (3–4). This confirms that river water is more susceptible to effluent discharge impacts. </w:t>
      </w:r>
    </w:p>
    <w:p w:rsidR="008A0959" w:rsidRPr="00B85963" w:rsidRDefault="008A0959" w:rsidP="008A0959">
      <w:pPr>
        <w:jc w:val="both"/>
        <w:rPr>
          <w:rFonts w:ascii="Arial" w:hAnsi="Arial" w:cs="Arial"/>
          <w:b/>
          <w:bCs/>
          <w:sz w:val="22"/>
          <w:szCs w:val="22"/>
        </w:rPr>
      </w:pPr>
      <w:r w:rsidRPr="00B85963">
        <w:rPr>
          <w:rFonts w:ascii="Arial" w:hAnsi="Arial" w:cs="Arial"/>
          <w:b/>
          <w:bCs/>
          <w:sz w:val="22"/>
          <w:szCs w:val="22"/>
        </w:rPr>
        <w:lastRenderedPageBreak/>
        <w:t>3.11 Dissolved Oxygen (DO):-</w:t>
      </w:r>
    </w:p>
    <w:p w:rsidR="008A0959" w:rsidRPr="00B85963" w:rsidRDefault="008A0959" w:rsidP="008A0959">
      <w:pPr>
        <w:spacing w:after="0" w:line="360" w:lineRule="auto"/>
        <w:jc w:val="both"/>
        <w:rPr>
          <w:rFonts w:ascii="Arial" w:hAnsi="Arial" w:cs="Arial"/>
          <w:b/>
          <w:bCs/>
          <w:sz w:val="20"/>
          <w:szCs w:val="20"/>
          <w:lang w:val="en-US"/>
        </w:rPr>
      </w:pPr>
      <w:r w:rsidRPr="00B85963">
        <w:rPr>
          <w:rFonts w:ascii="Arial" w:hAnsi="Arial" w:cs="Arial"/>
          <w:b/>
          <w:bCs/>
          <w:sz w:val="20"/>
          <w:szCs w:val="20"/>
          <w:lang w:val="en-US"/>
        </w:rPr>
        <w:t>Table 12: Seasonal variations in Dissolve Oxygen (</w:t>
      </w:r>
      <w:r w:rsidRPr="00B85963">
        <w:rPr>
          <w:rFonts w:ascii="Arial" w:eastAsia="Times New Roman" w:hAnsi="Arial" w:cs="Arial"/>
          <w:b/>
          <w:bCs/>
          <w:kern w:val="0"/>
          <w:sz w:val="20"/>
          <w:szCs w:val="20"/>
          <w:lang w:eastAsia="en-IN"/>
          <w14:ligatures w14:val="none"/>
        </w:rPr>
        <w:t>DO)</w:t>
      </w:r>
      <w:r w:rsidRPr="00B85963">
        <w:rPr>
          <w:rFonts w:ascii="Arial" w:hAnsi="Arial" w:cs="Arial"/>
          <w:b/>
          <w:bCs/>
          <w:sz w:val="20"/>
          <w:szCs w:val="20"/>
          <w:lang w:val="en-US"/>
        </w:rPr>
        <w:t xml:space="preserve"> of water samples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611"/>
        <w:gridCol w:w="1712"/>
        <w:gridCol w:w="1714"/>
        <w:gridCol w:w="1714"/>
        <w:gridCol w:w="1712"/>
      </w:tblGrid>
      <w:tr w:rsidR="008A0959" w:rsidRPr="00B85963" w:rsidTr="002F345E">
        <w:trPr>
          <w:trHeight w:val="999"/>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841" w:type="pct"/>
            <w:vAlign w:val="center"/>
            <w:hideMark/>
          </w:tcPr>
          <w:p w:rsidR="008A0959" w:rsidRPr="00B85963" w:rsidRDefault="008A0959"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94" w:type="pct"/>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95"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95"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94"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8A0959" w:rsidRPr="00B85963" w:rsidTr="002F345E">
        <w:trPr>
          <w:trHeight w:val="600"/>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Monsoon</w:t>
            </w:r>
          </w:p>
        </w:tc>
        <w:tc>
          <w:tcPr>
            <w:tcW w:w="841"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hAnsi="Arial" w:cs="Arial"/>
                <w:sz w:val="20"/>
                <w:szCs w:val="20"/>
                <w:lang w:val="en-US"/>
              </w:rPr>
              <w:t xml:space="preserve">Dissolve Oxygen </w:t>
            </w:r>
          </w:p>
        </w:tc>
        <w:tc>
          <w:tcPr>
            <w:tcW w:w="89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7.19</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9.44</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8.23</w:t>
            </w:r>
          </w:p>
        </w:tc>
        <w:tc>
          <w:tcPr>
            <w:tcW w:w="89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9.23</w:t>
            </w:r>
          </w:p>
        </w:tc>
      </w:tr>
      <w:tr w:rsidR="008A0959" w:rsidRPr="00B85963" w:rsidTr="002F345E">
        <w:trPr>
          <w:trHeight w:val="600"/>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Winter</w:t>
            </w:r>
          </w:p>
        </w:tc>
        <w:tc>
          <w:tcPr>
            <w:tcW w:w="841"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hAnsi="Arial" w:cs="Arial"/>
                <w:sz w:val="20"/>
                <w:szCs w:val="20"/>
                <w:lang w:val="en-US"/>
              </w:rPr>
              <w:t xml:space="preserve">Dissolve Oxygen </w:t>
            </w:r>
          </w:p>
        </w:tc>
        <w:tc>
          <w:tcPr>
            <w:tcW w:w="89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7.33</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6.30</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7.68</w:t>
            </w:r>
          </w:p>
        </w:tc>
        <w:tc>
          <w:tcPr>
            <w:tcW w:w="89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7.01</w:t>
            </w:r>
          </w:p>
        </w:tc>
      </w:tr>
      <w:tr w:rsidR="008A0959" w:rsidRPr="00B85963" w:rsidTr="002F345E">
        <w:trPr>
          <w:trHeight w:val="600"/>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841" w:type="pct"/>
            <w:vAlign w:val="center"/>
            <w:hideMark/>
          </w:tcPr>
          <w:p w:rsidR="008A0959" w:rsidRPr="00C03088" w:rsidRDefault="008A0959" w:rsidP="002F345E">
            <w:pPr>
              <w:spacing w:after="0" w:line="240" w:lineRule="auto"/>
              <w:jc w:val="center"/>
              <w:rPr>
                <w:rFonts w:ascii="Arial" w:eastAsia="Times New Roman" w:hAnsi="Arial" w:cs="Arial Unicode MS"/>
                <w:kern w:val="0"/>
                <w:sz w:val="20"/>
                <w:szCs w:val="18"/>
                <w:lang w:eastAsia="en-IN" w:bidi="hi-IN"/>
                <w14:ligatures w14:val="none"/>
              </w:rPr>
            </w:pPr>
            <w:r w:rsidRPr="00B85963">
              <w:rPr>
                <w:rFonts w:ascii="Arial" w:hAnsi="Arial" w:cs="Arial"/>
                <w:sz w:val="20"/>
                <w:szCs w:val="20"/>
                <w:lang w:val="en-US"/>
              </w:rPr>
              <w:t>Dissolve Oxygen</w:t>
            </w:r>
          </w:p>
        </w:tc>
        <w:tc>
          <w:tcPr>
            <w:tcW w:w="89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5.89</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8.34</w:t>
            </w:r>
          </w:p>
        </w:tc>
        <w:tc>
          <w:tcPr>
            <w:tcW w:w="895"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5.38</w:t>
            </w:r>
          </w:p>
        </w:tc>
        <w:tc>
          <w:tcPr>
            <w:tcW w:w="894"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8.98</w:t>
            </w:r>
          </w:p>
        </w:tc>
      </w:tr>
    </w:tbl>
    <w:p w:rsidR="008A0959" w:rsidRPr="00B85963" w:rsidRDefault="008A0959" w:rsidP="008A0959">
      <w:pPr>
        <w:jc w:val="both"/>
        <w:rPr>
          <w:rFonts w:ascii="Arial" w:hAnsi="Arial" w:cs="Arial"/>
          <w:sz w:val="20"/>
          <w:szCs w:val="20"/>
          <w:lang w:val="en-US"/>
        </w:rPr>
      </w:pPr>
    </w:p>
    <w:p w:rsidR="008A0959" w:rsidRPr="00B85963" w:rsidRDefault="008A0959" w:rsidP="008A0959">
      <w:pPr>
        <w:jc w:val="center"/>
        <w:rPr>
          <w:rFonts w:ascii="Arial" w:hAnsi="Arial" w:cs="Arial"/>
          <w:sz w:val="20"/>
          <w:szCs w:val="20"/>
          <w:lang w:val="en-US"/>
        </w:rPr>
      </w:pPr>
      <w:r w:rsidRPr="00B85963">
        <w:rPr>
          <w:rFonts w:ascii="Arial" w:hAnsi="Arial" w:cs="Arial"/>
          <w:noProof/>
          <w:sz w:val="20"/>
          <w:szCs w:val="20"/>
          <w:lang w:val="en-US" w:bidi="hi-IN"/>
        </w:rPr>
        <w:drawing>
          <wp:inline distT="0" distB="0" distL="0" distR="0" wp14:anchorId="2B7F3AF8" wp14:editId="4B0602E7">
            <wp:extent cx="5486400" cy="3238500"/>
            <wp:effectExtent l="0" t="0" r="19050" b="19050"/>
            <wp:docPr id="1506567356" name="Chart 1">
              <a:extLst xmlns:a="http://schemas.openxmlformats.org/drawingml/2006/main">
                <a:ext uri="{FF2B5EF4-FFF2-40B4-BE49-F238E27FC236}">
                  <a16:creationId xmlns:a16="http://schemas.microsoft.com/office/drawing/2014/main" id="{FB9D682E-BF8C-4B42-8139-3C77B982E2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B5BD1" w:rsidRPr="00F51583" w:rsidRDefault="001B5BD1" w:rsidP="001B5BD1">
      <w:pPr>
        <w:spacing w:after="0" w:line="360" w:lineRule="auto"/>
        <w:jc w:val="center"/>
        <w:rPr>
          <w:rFonts w:ascii="Arial" w:hAnsi="Arial" w:cs="Arial"/>
          <w:b/>
          <w:bCs/>
          <w:sz w:val="20"/>
          <w:szCs w:val="20"/>
          <w:lang w:val="en-US"/>
        </w:rPr>
      </w:pPr>
      <w:r w:rsidRPr="00F51583">
        <w:rPr>
          <w:rFonts w:ascii="Arial" w:hAnsi="Arial" w:cs="Arial"/>
          <w:b/>
          <w:bCs/>
          <w:sz w:val="20"/>
          <w:szCs w:val="20"/>
          <w:lang w:val="en-US"/>
        </w:rPr>
        <w:t>Figure 10: Seasonal variations in Dissolve Oxygen (</w:t>
      </w:r>
      <w:r w:rsidRPr="00F51583">
        <w:rPr>
          <w:rFonts w:ascii="Arial" w:eastAsia="Times New Roman" w:hAnsi="Arial" w:cs="Arial"/>
          <w:b/>
          <w:bCs/>
          <w:kern w:val="0"/>
          <w:sz w:val="20"/>
          <w:szCs w:val="20"/>
          <w:lang w:eastAsia="en-IN"/>
          <w14:ligatures w14:val="none"/>
        </w:rPr>
        <w:t>DO)</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rsidR="008A0959" w:rsidRPr="00B85963" w:rsidRDefault="008A0959" w:rsidP="008A0959">
      <w:pPr>
        <w:jc w:val="both"/>
        <w:rPr>
          <w:rFonts w:ascii="Arial" w:hAnsi="Arial" w:cs="Arial"/>
          <w:sz w:val="20"/>
          <w:szCs w:val="20"/>
        </w:rPr>
      </w:pPr>
      <w:r w:rsidRPr="00B85963">
        <w:rPr>
          <w:rFonts w:ascii="Arial" w:hAnsi="Arial" w:cs="Arial"/>
          <w:sz w:val="20"/>
          <w:szCs w:val="20"/>
        </w:rPr>
        <w:t>As shown in Table 12 and Figure 10, DO values were highest during monsoon (7.19–9.44 mg/</w:t>
      </w:r>
      <w:r>
        <w:rPr>
          <w:rFonts w:ascii="Arial" w:hAnsi="Arial" w:cs="Arial Unicode MS" w:hint="cs"/>
          <w:sz w:val="20"/>
          <w:szCs w:val="18"/>
          <w:cs/>
          <w:lang w:bidi="hi-IN"/>
        </w:rPr>
        <w:t>m</w:t>
      </w:r>
      <w:r w:rsidRPr="00B85963">
        <w:rPr>
          <w:rFonts w:ascii="Arial" w:hAnsi="Arial" w:cs="Arial"/>
          <w:sz w:val="20"/>
          <w:szCs w:val="20"/>
        </w:rPr>
        <w:t>L), slightly declined in winter (6.30–7.68 mg/</w:t>
      </w:r>
      <w:r>
        <w:rPr>
          <w:rFonts w:ascii="Arial" w:hAnsi="Arial" w:cs="Arial Unicode MS" w:hint="cs"/>
          <w:sz w:val="20"/>
          <w:szCs w:val="18"/>
          <w:cs/>
          <w:lang w:bidi="hi-IN"/>
        </w:rPr>
        <w:t>m</w:t>
      </w:r>
      <w:r w:rsidRPr="00B85963">
        <w:rPr>
          <w:rFonts w:ascii="Arial" w:hAnsi="Arial" w:cs="Arial"/>
          <w:sz w:val="20"/>
          <w:szCs w:val="20"/>
        </w:rPr>
        <w:t>L), and reached the lowest in summer (5.38 mg/</w:t>
      </w:r>
      <w:r>
        <w:rPr>
          <w:rFonts w:ascii="Arial" w:hAnsi="Arial" w:cs="Arial Unicode MS" w:hint="cs"/>
          <w:sz w:val="20"/>
          <w:szCs w:val="18"/>
          <w:cs/>
          <w:lang w:bidi="hi-IN"/>
        </w:rPr>
        <w:t>m</w:t>
      </w:r>
      <w:r w:rsidRPr="00B85963">
        <w:rPr>
          <w:rFonts w:ascii="Arial" w:hAnsi="Arial" w:cs="Arial"/>
          <w:sz w:val="20"/>
          <w:szCs w:val="20"/>
        </w:rPr>
        <w:t xml:space="preserve">L in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river water). </w:t>
      </w:r>
      <w:proofErr w:type="spellStart"/>
      <w:r w:rsidRPr="00B85963">
        <w:rPr>
          <w:rFonts w:ascii="Arial" w:hAnsi="Arial" w:cs="Arial"/>
          <w:sz w:val="20"/>
          <w:szCs w:val="20"/>
        </w:rPr>
        <w:t>Belsonda</w:t>
      </w:r>
      <w:proofErr w:type="spellEnd"/>
      <w:r w:rsidRPr="00B85963">
        <w:rPr>
          <w:rFonts w:ascii="Arial" w:hAnsi="Arial" w:cs="Arial"/>
          <w:sz w:val="20"/>
          <w:szCs w:val="20"/>
        </w:rPr>
        <w:t xml:space="preserve"> river water consistently maintained higher DO (8.98 mg/</w:t>
      </w:r>
      <w:r>
        <w:rPr>
          <w:rFonts w:ascii="Arial" w:hAnsi="Arial" w:cs="Arial Unicode MS" w:hint="cs"/>
          <w:sz w:val="20"/>
          <w:szCs w:val="18"/>
          <w:cs/>
          <w:lang w:bidi="hi-IN"/>
        </w:rPr>
        <w:t>m</w:t>
      </w:r>
      <w:r w:rsidRPr="00B85963">
        <w:rPr>
          <w:rFonts w:ascii="Arial" w:hAnsi="Arial" w:cs="Arial"/>
          <w:sz w:val="20"/>
          <w:szCs w:val="20"/>
        </w:rPr>
        <w:t xml:space="preserve">L in summer). These trends reflect seasonal oxygen depletion due to temperature and organic loading. </w:t>
      </w:r>
    </w:p>
    <w:p w:rsidR="008A0959" w:rsidRDefault="008A0959" w:rsidP="008A0959">
      <w:pPr>
        <w:jc w:val="both"/>
        <w:rPr>
          <w:rFonts w:ascii="Arial" w:hAnsi="Arial" w:cs="Arial Unicode MS"/>
          <w:b/>
          <w:bCs/>
          <w:sz w:val="22"/>
          <w:szCs w:val="20"/>
          <w:lang w:bidi="hi-IN"/>
        </w:rPr>
      </w:pPr>
    </w:p>
    <w:p w:rsidR="008A0959" w:rsidRPr="00B85963" w:rsidRDefault="008A0959" w:rsidP="008A0959">
      <w:pPr>
        <w:jc w:val="both"/>
        <w:rPr>
          <w:rFonts w:ascii="Arial" w:hAnsi="Arial" w:cs="Arial"/>
          <w:b/>
          <w:bCs/>
          <w:sz w:val="22"/>
          <w:szCs w:val="22"/>
        </w:rPr>
      </w:pPr>
      <w:r w:rsidRPr="00B85963">
        <w:rPr>
          <w:rFonts w:ascii="Arial" w:hAnsi="Arial" w:cs="Arial"/>
          <w:b/>
          <w:bCs/>
          <w:sz w:val="22"/>
          <w:szCs w:val="22"/>
        </w:rPr>
        <w:t>3.12 Biological Oxygen Demand (BOD):-</w:t>
      </w:r>
    </w:p>
    <w:p w:rsidR="008A0959" w:rsidRPr="00B85963" w:rsidRDefault="008A0959" w:rsidP="008A0959">
      <w:pPr>
        <w:spacing w:after="0" w:line="360" w:lineRule="auto"/>
        <w:jc w:val="both"/>
        <w:rPr>
          <w:rFonts w:ascii="Arial" w:hAnsi="Arial" w:cs="Arial"/>
          <w:b/>
          <w:bCs/>
          <w:strike/>
          <w:sz w:val="20"/>
          <w:szCs w:val="20"/>
          <w:highlight w:val="yellow"/>
          <w:lang w:val="en-US"/>
        </w:rPr>
      </w:pPr>
      <w:r w:rsidRPr="00B85963">
        <w:rPr>
          <w:rFonts w:ascii="Arial" w:hAnsi="Arial" w:cs="Arial"/>
          <w:b/>
          <w:bCs/>
          <w:sz w:val="20"/>
          <w:szCs w:val="20"/>
          <w:lang w:val="en-US"/>
        </w:rPr>
        <w:t>Table 13: Seasonal variations in Biological Oxygen Demand (</w:t>
      </w:r>
      <w:r w:rsidRPr="00B85963">
        <w:rPr>
          <w:rFonts w:ascii="Arial" w:eastAsia="Times New Roman" w:hAnsi="Arial" w:cs="Arial"/>
          <w:b/>
          <w:bCs/>
          <w:kern w:val="0"/>
          <w:sz w:val="20"/>
          <w:szCs w:val="20"/>
          <w:lang w:eastAsia="en-IN"/>
          <w14:ligatures w14:val="none"/>
        </w:rPr>
        <w:t>BOD)</w:t>
      </w:r>
      <w:r w:rsidRPr="00B85963">
        <w:rPr>
          <w:rFonts w:ascii="Arial" w:hAnsi="Arial" w:cs="Arial"/>
          <w:b/>
          <w:bCs/>
          <w:sz w:val="20"/>
          <w:szCs w:val="20"/>
          <w:lang w:val="en-US"/>
        </w:rPr>
        <w:t xml:space="preserve"> of water samples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841"/>
        <w:gridCol w:w="1630"/>
        <w:gridCol w:w="1720"/>
        <w:gridCol w:w="1563"/>
        <w:gridCol w:w="1710"/>
      </w:tblGrid>
      <w:tr w:rsidR="008A0959" w:rsidRPr="00B85963" w:rsidTr="002F345E">
        <w:trPr>
          <w:trHeight w:val="999"/>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lastRenderedPageBreak/>
              <w:t>Season</w:t>
            </w:r>
          </w:p>
        </w:tc>
        <w:tc>
          <w:tcPr>
            <w:tcW w:w="961" w:type="pct"/>
            <w:vAlign w:val="center"/>
            <w:hideMark/>
          </w:tcPr>
          <w:p w:rsidR="008A0959" w:rsidRPr="00B85963" w:rsidRDefault="008A0959"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51" w:type="pct"/>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98"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16"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93"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8A0959" w:rsidRPr="00B85963" w:rsidTr="002F345E">
        <w:trPr>
          <w:trHeight w:val="600"/>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Monsoon</w:t>
            </w:r>
          </w:p>
        </w:tc>
        <w:tc>
          <w:tcPr>
            <w:tcW w:w="961"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hAnsi="Arial" w:cs="Arial"/>
                <w:sz w:val="20"/>
                <w:szCs w:val="20"/>
                <w:lang w:val="en-US"/>
              </w:rPr>
              <w:t xml:space="preserve">Biological Oxygen Demand </w:t>
            </w:r>
          </w:p>
        </w:tc>
        <w:tc>
          <w:tcPr>
            <w:tcW w:w="85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2.12</w:t>
            </w:r>
          </w:p>
        </w:tc>
        <w:tc>
          <w:tcPr>
            <w:tcW w:w="898"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4.48</w:t>
            </w:r>
          </w:p>
        </w:tc>
        <w:tc>
          <w:tcPr>
            <w:tcW w:w="816"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2.34</w:t>
            </w:r>
          </w:p>
        </w:tc>
        <w:tc>
          <w:tcPr>
            <w:tcW w:w="893"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3.05</w:t>
            </w:r>
          </w:p>
        </w:tc>
      </w:tr>
      <w:tr w:rsidR="008A0959" w:rsidRPr="00B85963" w:rsidTr="002F345E">
        <w:trPr>
          <w:trHeight w:val="600"/>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Winter</w:t>
            </w:r>
          </w:p>
        </w:tc>
        <w:tc>
          <w:tcPr>
            <w:tcW w:w="961" w:type="pct"/>
            <w:vAlign w:val="center"/>
            <w:hideMark/>
          </w:tcPr>
          <w:p w:rsidR="008A0959" w:rsidRPr="00C03088" w:rsidRDefault="008A0959" w:rsidP="002F345E">
            <w:pPr>
              <w:spacing w:after="0" w:line="240" w:lineRule="auto"/>
              <w:jc w:val="center"/>
              <w:rPr>
                <w:rFonts w:ascii="Arial" w:eastAsia="Times New Roman" w:hAnsi="Arial" w:cs="Arial Unicode MS"/>
                <w:kern w:val="0"/>
                <w:sz w:val="20"/>
                <w:szCs w:val="18"/>
                <w:lang w:eastAsia="en-IN" w:bidi="hi-IN"/>
                <w14:ligatures w14:val="none"/>
              </w:rPr>
            </w:pPr>
            <w:r w:rsidRPr="00B85963">
              <w:rPr>
                <w:rFonts w:ascii="Arial" w:hAnsi="Arial" w:cs="Arial"/>
                <w:sz w:val="20"/>
                <w:szCs w:val="20"/>
                <w:lang w:val="en-US"/>
              </w:rPr>
              <w:t>Biological Oxygen Demand</w:t>
            </w:r>
          </w:p>
        </w:tc>
        <w:tc>
          <w:tcPr>
            <w:tcW w:w="85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1.02</w:t>
            </w:r>
          </w:p>
        </w:tc>
        <w:tc>
          <w:tcPr>
            <w:tcW w:w="898"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3.02</w:t>
            </w:r>
          </w:p>
        </w:tc>
        <w:tc>
          <w:tcPr>
            <w:tcW w:w="816"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1.36</w:t>
            </w:r>
          </w:p>
        </w:tc>
        <w:tc>
          <w:tcPr>
            <w:tcW w:w="893"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2.56</w:t>
            </w:r>
          </w:p>
        </w:tc>
      </w:tr>
      <w:tr w:rsidR="008A0959" w:rsidRPr="00B85963" w:rsidTr="002F345E">
        <w:trPr>
          <w:trHeight w:val="600"/>
        </w:trPr>
        <w:tc>
          <w:tcPr>
            <w:tcW w:w="58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961"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hAnsi="Arial" w:cs="Arial"/>
                <w:sz w:val="20"/>
                <w:szCs w:val="20"/>
                <w:lang w:val="en-US"/>
              </w:rPr>
              <w:t xml:space="preserve">Biological Oxygen Demand </w:t>
            </w:r>
          </w:p>
        </w:tc>
        <w:tc>
          <w:tcPr>
            <w:tcW w:w="851"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1.78</w:t>
            </w:r>
          </w:p>
        </w:tc>
        <w:tc>
          <w:tcPr>
            <w:tcW w:w="898"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3.78</w:t>
            </w:r>
          </w:p>
        </w:tc>
        <w:tc>
          <w:tcPr>
            <w:tcW w:w="816"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2.78</w:t>
            </w:r>
          </w:p>
        </w:tc>
        <w:tc>
          <w:tcPr>
            <w:tcW w:w="893"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3.08</w:t>
            </w:r>
          </w:p>
        </w:tc>
      </w:tr>
    </w:tbl>
    <w:p w:rsidR="008A0959" w:rsidRPr="00B85963" w:rsidRDefault="008A0959" w:rsidP="008A0959">
      <w:pPr>
        <w:jc w:val="both"/>
        <w:rPr>
          <w:rFonts w:ascii="Arial" w:hAnsi="Arial" w:cs="Arial"/>
          <w:sz w:val="20"/>
          <w:szCs w:val="20"/>
          <w:lang w:val="en-US"/>
        </w:rPr>
      </w:pPr>
    </w:p>
    <w:p w:rsidR="008A0959" w:rsidRPr="00B85963" w:rsidRDefault="008A0959" w:rsidP="008A0959">
      <w:pPr>
        <w:jc w:val="center"/>
        <w:rPr>
          <w:rFonts w:ascii="Arial" w:hAnsi="Arial" w:cs="Arial"/>
          <w:sz w:val="20"/>
          <w:szCs w:val="20"/>
          <w:lang w:val="en-US"/>
        </w:rPr>
      </w:pPr>
      <w:r w:rsidRPr="00B85963">
        <w:rPr>
          <w:rFonts w:ascii="Arial" w:hAnsi="Arial" w:cs="Arial"/>
          <w:noProof/>
          <w:sz w:val="20"/>
          <w:szCs w:val="20"/>
          <w:lang w:val="en-US" w:bidi="hi-IN"/>
        </w:rPr>
        <w:drawing>
          <wp:inline distT="0" distB="0" distL="0" distR="0" wp14:anchorId="351E56E1" wp14:editId="67F7D844">
            <wp:extent cx="6181725" cy="2943225"/>
            <wp:effectExtent l="0" t="0" r="9525" b="9525"/>
            <wp:docPr id="1509341089" name="Chart 1">
              <a:extLst xmlns:a="http://schemas.openxmlformats.org/drawingml/2006/main">
                <a:ext uri="{FF2B5EF4-FFF2-40B4-BE49-F238E27FC236}">
                  <a16:creationId xmlns:a16="http://schemas.microsoft.com/office/drawing/2014/main" id="{218082E1-12B5-4117-BD3C-A72F4D7C9E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B5BD1" w:rsidRPr="00F51583" w:rsidRDefault="001B5BD1" w:rsidP="001B5BD1">
      <w:pPr>
        <w:spacing w:after="0" w:line="360" w:lineRule="auto"/>
        <w:jc w:val="center"/>
        <w:rPr>
          <w:rFonts w:ascii="Arial" w:hAnsi="Arial" w:cs="Arial"/>
          <w:b/>
          <w:bCs/>
          <w:sz w:val="20"/>
          <w:szCs w:val="20"/>
          <w:lang w:val="en-US"/>
        </w:rPr>
      </w:pPr>
      <w:r w:rsidRPr="00F51583">
        <w:rPr>
          <w:rFonts w:ascii="Arial" w:hAnsi="Arial" w:cs="Arial"/>
          <w:b/>
          <w:bCs/>
          <w:sz w:val="20"/>
          <w:szCs w:val="20"/>
          <w:lang w:val="en-US"/>
        </w:rPr>
        <w:t>Figure 11: Seasonal variations in Biological Oxygen Demand (</w:t>
      </w:r>
      <w:r w:rsidRPr="00F51583">
        <w:rPr>
          <w:rFonts w:ascii="Arial" w:eastAsia="Times New Roman" w:hAnsi="Arial" w:cs="Arial"/>
          <w:b/>
          <w:bCs/>
          <w:kern w:val="0"/>
          <w:sz w:val="20"/>
          <w:szCs w:val="20"/>
          <w:lang w:eastAsia="en-IN"/>
          <w14:ligatures w14:val="none"/>
        </w:rPr>
        <w:t>BOD)</w:t>
      </w:r>
      <w:r w:rsidRPr="00F51583">
        <w:rPr>
          <w:rFonts w:ascii="Arial" w:hAnsi="Arial" w:cs="Arial"/>
          <w:b/>
          <w:bCs/>
          <w:sz w:val="20"/>
          <w:szCs w:val="20"/>
          <w:lang w:val="en-US"/>
        </w:rPr>
        <w:t xml:space="preserve"> of water samples of </w:t>
      </w:r>
      <w:proofErr w:type="spellStart"/>
      <w:r w:rsidRPr="00F51583">
        <w:rPr>
          <w:rFonts w:ascii="Arial" w:hAnsi="Arial" w:cs="Arial"/>
          <w:b/>
          <w:bCs/>
          <w:sz w:val="20"/>
          <w:szCs w:val="20"/>
          <w:lang w:val="en-US"/>
        </w:rPr>
        <w:t>Mahasamund</w:t>
      </w:r>
      <w:proofErr w:type="spellEnd"/>
    </w:p>
    <w:p w:rsidR="008A0959" w:rsidRPr="00B85963" w:rsidRDefault="008A0959" w:rsidP="008A0959">
      <w:pPr>
        <w:jc w:val="both"/>
        <w:rPr>
          <w:rFonts w:ascii="Arial" w:hAnsi="Arial" w:cs="Arial"/>
          <w:sz w:val="20"/>
          <w:szCs w:val="20"/>
        </w:rPr>
      </w:pPr>
      <w:r w:rsidRPr="00B85963">
        <w:rPr>
          <w:rFonts w:ascii="Arial" w:hAnsi="Arial" w:cs="Arial"/>
          <w:sz w:val="20"/>
          <w:szCs w:val="20"/>
        </w:rPr>
        <w:t>BOD levels (Table 13, Figure 11) indicated moderate organic pollution. Monsoon values were 2.12–4.48 mg/</w:t>
      </w:r>
      <w:r>
        <w:rPr>
          <w:rFonts w:ascii="Arial" w:hAnsi="Arial" w:cs="Arial Unicode MS" w:hint="cs"/>
          <w:sz w:val="20"/>
          <w:szCs w:val="18"/>
          <w:cs/>
          <w:lang w:bidi="hi-IN"/>
        </w:rPr>
        <w:t>m</w:t>
      </w:r>
      <w:r w:rsidRPr="00B85963">
        <w:rPr>
          <w:rFonts w:ascii="Arial" w:hAnsi="Arial" w:cs="Arial"/>
          <w:sz w:val="20"/>
          <w:szCs w:val="20"/>
        </w:rPr>
        <w:t>L, winter showed the lowest (1.02–3.02 mg/</w:t>
      </w:r>
      <w:r>
        <w:rPr>
          <w:rFonts w:ascii="Arial" w:hAnsi="Arial" w:cs="Arial Unicode MS" w:hint="cs"/>
          <w:sz w:val="20"/>
          <w:szCs w:val="18"/>
          <w:cs/>
          <w:lang w:bidi="hi-IN"/>
        </w:rPr>
        <w:t>m</w:t>
      </w:r>
      <w:r w:rsidRPr="00B85963">
        <w:rPr>
          <w:rFonts w:ascii="Arial" w:hAnsi="Arial" w:cs="Arial"/>
          <w:sz w:val="20"/>
          <w:szCs w:val="20"/>
        </w:rPr>
        <w:t>L), and summer values slightly increased (1.78–3.78 mg/</w:t>
      </w:r>
      <w:r>
        <w:rPr>
          <w:rFonts w:ascii="Arial" w:hAnsi="Arial" w:cs="Arial Unicode MS" w:hint="cs"/>
          <w:sz w:val="20"/>
          <w:szCs w:val="18"/>
          <w:cs/>
          <w:lang w:bidi="hi-IN"/>
        </w:rPr>
        <w:t>m</w:t>
      </w:r>
      <w:r w:rsidRPr="00B85963">
        <w:rPr>
          <w:rFonts w:ascii="Arial" w:hAnsi="Arial" w:cs="Arial"/>
          <w:sz w:val="20"/>
          <w:szCs w:val="20"/>
        </w:rPr>
        <w:t xml:space="preserve">L). The seasonal decline in winter reflects reduced microbial activity, while summer increases suggest organic matter accumulation under low flow. </w:t>
      </w:r>
    </w:p>
    <w:p w:rsidR="008A0959" w:rsidRPr="00B85963" w:rsidRDefault="008A0959" w:rsidP="008A0959">
      <w:pPr>
        <w:jc w:val="both"/>
        <w:rPr>
          <w:rFonts w:ascii="Arial" w:hAnsi="Arial" w:cs="Arial"/>
          <w:b/>
          <w:bCs/>
          <w:sz w:val="22"/>
          <w:szCs w:val="22"/>
        </w:rPr>
      </w:pPr>
      <w:r w:rsidRPr="00B85963">
        <w:rPr>
          <w:rFonts w:ascii="Arial" w:hAnsi="Arial" w:cs="Arial"/>
          <w:b/>
          <w:bCs/>
          <w:sz w:val="22"/>
          <w:szCs w:val="22"/>
        </w:rPr>
        <w:t>3.12 Chemical Oxygen Demand (COD):-</w:t>
      </w:r>
    </w:p>
    <w:p w:rsidR="008A0959" w:rsidRPr="00B85963" w:rsidRDefault="008A0959" w:rsidP="008A0959">
      <w:pPr>
        <w:spacing w:after="0" w:line="360" w:lineRule="auto"/>
        <w:jc w:val="both"/>
        <w:rPr>
          <w:rFonts w:ascii="Arial" w:hAnsi="Arial" w:cs="Arial"/>
          <w:strike/>
          <w:sz w:val="20"/>
          <w:szCs w:val="20"/>
          <w:highlight w:val="yellow"/>
          <w:lang w:val="en-US"/>
        </w:rPr>
      </w:pPr>
      <w:r w:rsidRPr="00B85963">
        <w:rPr>
          <w:rFonts w:ascii="Arial" w:hAnsi="Arial" w:cs="Arial"/>
          <w:b/>
          <w:bCs/>
          <w:sz w:val="20"/>
          <w:szCs w:val="20"/>
          <w:lang w:val="en-US"/>
        </w:rPr>
        <w:t>Table 14: Seasonal variations in Chemical Oxygen Demand (</w:t>
      </w:r>
      <w:r w:rsidRPr="00B85963">
        <w:rPr>
          <w:rFonts w:ascii="Arial" w:eastAsia="Times New Roman" w:hAnsi="Arial" w:cs="Arial"/>
          <w:b/>
          <w:bCs/>
          <w:kern w:val="0"/>
          <w:sz w:val="20"/>
          <w:szCs w:val="20"/>
          <w:lang w:eastAsia="en-IN"/>
          <w14:ligatures w14:val="none"/>
        </w:rPr>
        <w:t>COD)</w:t>
      </w:r>
      <w:r w:rsidRPr="00B85963">
        <w:rPr>
          <w:rFonts w:ascii="Arial" w:hAnsi="Arial" w:cs="Arial"/>
          <w:b/>
          <w:bCs/>
          <w:sz w:val="20"/>
          <w:szCs w:val="20"/>
          <w:lang w:val="en-US"/>
        </w:rPr>
        <w:t xml:space="preserve"> of water samples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843"/>
        <w:gridCol w:w="1624"/>
        <w:gridCol w:w="1722"/>
        <w:gridCol w:w="1624"/>
        <w:gridCol w:w="1647"/>
      </w:tblGrid>
      <w:tr w:rsidR="008A0959" w:rsidRPr="00B85963" w:rsidTr="002F345E">
        <w:trPr>
          <w:trHeight w:val="999"/>
        </w:trPr>
        <w:tc>
          <w:tcPr>
            <w:tcW w:w="582"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b/>
                <w:bCs/>
                <w:color w:val="000000"/>
                <w:kern w:val="0"/>
                <w:sz w:val="20"/>
                <w:szCs w:val="20"/>
                <w:lang w:eastAsia="en-IN"/>
                <w14:ligatures w14:val="none"/>
              </w:rPr>
              <w:t>Season</w:t>
            </w:r>
          </w:p>
        </w:tc>
        <w:tc>
          <w:tcPr>
            <w:tcW w:w="962" w:type="pct"/>
            <w:vAlign w:val="center"/>
            <w:hideMark/>
          </w:tcPr>
          <w:p w:rsidR="008A0959" w:rsidRPr="00B85963" w:rsidRDefault="008A0959" w:rsidP="002F345E">
            <w:pPr>
              <w:spacing w:after="0" w:line="240" w:lineRule="auto"/>
              <w:jc w:val="center"/>
              <w:rPr>
                <w:rFonts w:ascii="Arial" w:eastAsia="Times New Roman" w:hAnsi="Arial" w:cs="Arial"/>
                <w:b/>
                <w:bCs/>
                <w:kern w:val="0"/>
                <w:sz w:val="20"/>
                <w:szCs w:val="20"/>
                <w:lang w:eastAsia="en-IN"/>
                <w14:ligatures w14:val="none"/>
              </w:rPr>
            </w:pPr>
            <w:r w:rsidRPr="00B85963">
              <w:rPr>
                <w:rFonts w:ascii="Arial" w:eastAsia="Times New Roman" w:hAnsi="Arial" w:cs="Arial"/>
                <w:b/>
                <w:bCs/>
                <w:kern w:val="0"/>
                <w:sz w:val="20"/>
                <w:szCs w:val="20"/>
                <w:lang w:eastAsia="en-IN"/>
                <w14:ligatures w14:val="none"/>
              </w:rPr>
              <w:t>Parameters</w:t>
            </w:r>
          </w:p>
        </w:tc>
        <w:tc>
          <w:tcPr>
            <w:tcW w:w="848" w:type="pct"/>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color w:val="000000"/>
                <w:kern w:val="0"/>
                <w:sz w:val="20"/>
                <w:szCs w:val="20"/>
                <w:lang w:eastAsia="en-IN"/>
                <w14:ligatures w14:val="none"/>
              </w:rPr>
              <w:t>Birkoni</w:t>
            </w:r>
            <w:proofErr w:type="spellEnd"/>
          </w:p>
        </w:tc>
        <w:tc>
          <w:tcPr>
            <w:tcW w:w="899"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Ground water from tube well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c>
          <w:tcPr>
            <w:tcW w:w="848"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Birkoni</w:t>
            </w:r>
            <w:proofErr w:type="spellEnd"/>
          </w:p>
        </w:tc>
        <w:tc>
          <w:tcPr>
            <w:tcW w:w="860"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 xml:space="preserve">River water from industrial area, </w:t>
            </w:r>
            <w:proofErr w:type="spellStart"/>
            <w:r w:rsidRPr="00B85963">
              <w:rPr>
                <w:rFonts w:ascii="Arial" w:eastAsia="Times New Roman" w:hAnsi="Arial" w:cs="Arial"/>
                <w:b/>
                <w:bCs/>
                <w:kern w:val="0"/>
                <w:sz w:val="20"/>
                <w:szCs w:val="20"/>
                <w:lang w:eastAsia="en-IN"/>
                <w14:ligatures w14:val="none"/>
              </w:rPr>
              <w:t>Belsonda</w:t>
            </w:r>
            <w:proofErr w:type="spellEnd"/>
          </w:p>
        </w:tc>
      </w:tr>
      <w:tr w:rsidR="008A0959" w:rsidRPr="00B85963" w:rsidTr="002F345E">
        <w:trPr>
          <w:trHeight w:val="600"/>
        </w:trPr>
        <w:tc>
          <w:tcPr>
            <w:tcW w:w="582"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Monsoon</w:t>
            </w:r>
          </w:p>
        </w:tc>
        <w:tc>
          <w:tcPr>
            <w:tcW w:w="962"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hAnsi="Arial" w:cs="Arial"/>
                <w:sz w:val="20"/>
                <w:szCs w:val="20"/>
                <w:lang w:val="en-US"/>
              </w:rPr>
              <w:t xml:space="preserve">Chemical Oxygen Demand </w:t>
            </w:r>
          </w:p>
        </w:tc>
        <w:tc>
          <w:tcPr>
            <w:tcW w:w="848"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25.55</w:t>
            </w:r>
          </w:p>
        </w:tc>
        <w:tc>
          <w:tcPr>
            <w:tcW w:w="899"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13.54</w:t>
            </w:r>
          </w:p>
        </w:tc>
        <w:tc>
          <w:tcPr>
            <w:tcW w:w="848"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27. 46</w:t>
            </w:r>
          </w:p>
        </w:tc>
        <w:tc>
          <w:tcPr>
            <w:tcW w:w="860"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18.68</w:t>
            </w:r>
          </w:p>
        </w:tc>
      </w:tr>
      <w:tr w:rsidR="008A0959" w:rsidRPr="00B85963" w:rsidTr="002F345E">
        <w:trPr>
          <w:trHeight w:val="600"/>
        </w:trPr>
        <w:tc>
          <w:tcPr>
            <w:tcW w:w="582"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lastRenderedPageBreak/>
              <w:t>Winter</w:t>
            </w:r>
          </w:p>
        </w:tc>
        <w:tc>
          <w:tcPr>
            <w:tcW w:w="962" w:type="pct"/>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hAnsi="Arial" w:cs="Arial"/>
                <w:sz w:val="20"/>
                <w:szCs w:val="20"/>
                <w:lang w:val="en-US"/>
              </w:rPr>
              <w:t xml:space="preserve">Chemical Oxygen Demand </w:t>
            </w:r>
          </w:p>
        </w:tc>
        <w:tc>
          <w:tcPr>
            <w:tcW w:w="848"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10.24</w:t>
            </w:r>
          </w:p>
        </w:tc>
        <w:tc>
          <w:tcPr>
            <w:tcW w:w="899"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15.29</w:t>
            </w:r>
          </w:p>
        </w:tc>
        <w:tc>
          <w:tcPr>
            <w:tcW w:w="848"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19.34</w:t>
            </w:r>
          </w:p>
        </w:tc>
        <w:tc>
          <w:tcPr>
            <w:tcW w:w="860"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20.78</w:t>
            </w:r>
          </w:p>
        </w:tc>
      </w:tr>
      <w:tr w:rsidR="008A0959" w:rsidRPr="00B85963" w:rsidTr="002F345E">
        <w:trPr>
          <w:trHeight w:val="600"/>
        </w:trPr>
        <w:tc>
          <w:tcPr>
            <w:tcW w:w="582"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Summer</w:t>
            </w:r>
          </w:p>
        </w:tc>
        <w:tc>
          <w:tcPr>
            <w:tcW w:w="962" w:type="pct"/>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hAnsi="Arial" w:cs="Arial"/>
                <w:sz w:val="20"/>
                <w:szCs w:val="20"/>
                <w:lang w:val="en-US"/>
              </w:rPr>
              <w:t xml:space="preserve">Chemical </w:t>
            </w:r>
            <w:r w:rsidRPr="00C03088">
              <w:rPr>
                <w:rFonts w:ascii="Arial" w:hAnsi="Arial" w:cs="Arial"/>
                <w:sz w:val="20"/>
                <w:szCs w:val="20"/>
                <w:lang w:val="en-US"/>
              </w:rPr>
              <w:t>Oxygen Demand</w:t>
            </w:r>
            <w:r w:rsidRPr="00C03088">
              <w:rPr>
                <w:rFonts w:ascii="Arial" w:hAnsi="Arial" w:cs="Arial"/>
                <w:strike/>
                <w:sz w:val="20"/>
                <w:szCs w:val="20"/>
                <w:lang w:val="en-US"/>
              </w:rPr>
              <w:t xml:space="preserve"> </w:t>
            </w:r>
          </w:p>
        </w:tc>
        <w:tc>
          <w:tcPr>
            <w:tcW w:w="848"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22.45</w:t>
            </w:r>
          </w:p>
        </w:tc>
        <w:tc>
          <w:tcPr>
            <w:tcW w:w="899"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12.34</w:t>
            </w:r>
          </w:p>
        </w:tc>
        <w:tc>
          <w:tcPr>
            <w:tcW w:w="848" w:type="pct"/>
            <w:vAlign w:val="center"/>
            <w:hideMark/>
          </w:tcPr>
          <w:p w:rsidR="008A0959" w:rsidRPr="00B85963" w:rsidRDefault="008A0959" w:rsidP="002F345E">
            <w:pPr>
              <w:spacing w:after="0" w:line="240" w:lineRule="auto"/>
              <w:jc w:val="center"/>
              <w:rPr>
                <w:rFonts w:ascii="Arial" w:eastAsia="Times New Roman" w:hAnsi="Arial" w:cs="Arial"/>
                <w:kern w:val="0"/>
                <w:sz w:val="20"/>
                <w:szCs w:val="20"/>
                <w:lang w:eastAsia="en-IN"/>
                <w14:ligatures w14:val="none"/>
              </w:rPr>
            </w:pPr>
            <w:r w:rsidRPr="00B85963">
              <w:rPr>
                <w:rFonts w:ascii="Arial" w:eastAsia="Times New Roman" w:hAnsi="Arial" w:cs="Arial"/>
                <w:kern w:val="0"/>
                <w:sz w:val="20"/>
                <w:szCs w:val="20"/>
                <w:lang w:eastAsia="en-IN"/>
                <w14:ligatures w14:val="none"/>
              </w:rPr>
              <w:t>25. 56</w:t>
            </w:r>
          </w:p>
        </w:tc>
        <w:tc>
          <w:tcPr>
            <w:tcW w:w="860" w:type="pct"/>
            <w:noWrap/>
            <w:vAlign w:val="center"/>
            <w:hideMark/>
          </w:tcPr>
          <w:p w:rsidR="008A0959" w:rsidRPr="00B85963" w:rsidRDefault="008A0959" w:rsidP="002F345E">
            <w:pPr>
              <w:spacing w:after="0" w:line="240" w:lineRule="auto"/>
              <w:jc w:val="center"/>
              <w:rPr>
                <w:rFonts w:ascii="Arial" w:eastAsia="Times New Roman" w:hAnsi="Arial" w:cs="Arial"/>
                <w:color w:val="000000"/>
                <w:kern w:val="0"/>
                <w:sz w:val="20"/>
                <w:szCs w:val="20"/>
                <w:lang w:eastAsia="en-IN"/>
                <w14:ligatures w14:val="none"/>
              </w:rPr>
            </w:pPr>
            <w:r w:rsidRPr="00B85963">
              <w:rPr>
                <w:rFonts w:ascii="Arial" w:eastAsia="Times New Roman" w:hAnsi="Arial" w:cs="Arial"/>
                <w:color w:val="000000"/>
                <w:kern w:val="0"/>
                <w:sz w:val="20"/>
                <w:szCs w:val="20"/>
                <w:lang w:eastAsia="en-IN"/>
                <w14:ligatures w14:val="none"/>
              </w:rPr>
              <w:t>16.76</w:t>
            </w:r>
          </w:p>
        </w:tc>
      </w:tr>
    </w:tbl>
    <w:p w:rsidR="008A0959" w:rsidRPr="00B85963" w:rsidRDefault="008A0959" w:rsidP="008A0959">
      <w:pPr>
        <w:jc w:val="both"/>
        <w:rPr>
          <w:rFonts w:ascii="Arial" w:hAnsi="Arial" w:cs="Arial"/>
          <w:sz w:val="20"/>
          <w:szCs w:val="20"/>
          <w:lang w:val="en-US"/>
        </w:rPr>
      </w:pPr>
      <w:r w:rsidRPr="00B85963">
        <w:rPr>
          <w:rFonts w:ascii="Arial" w:hAnsi="Arial" w:cs="Arial"/>
          <w:noProof/>
          <w:sz w:val="20"/>
          <w:szCs w:val="20"/>
          <w:lang w:val="en-US" w:bidi="hi-IN"/>
        </w:rPr>
        <w:drawing>
          <wp:inline distT="0" distB="0" distL="0" distR="0" wp14:anchorId="72B3E0D4" wp14:editId="79C527D6">
            <wp:extent cx="5295900" cy="3375660"/>
            <wp:effectExtent l="0" t="0" r="0" b="15240"/>
            <wp:docPr id="1866037973" name="Chart 1">
              <a:extLst xmlns:a="http://schemas.openxmlformats.org/drawingml/2006/main">
                <a:ext uri="{FF2B5EF4-FFF2-40B4-BE49-F238E27FC236}">
                  <a16:creationId xmlns:a16="http://schemas.microsoft.com/office/drawing/2014/main" id="{E412034B-1A31-490A-BCBB-EC2C5CC08C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A0959" w:rsidRPr="00B85963" w:rsidRDefault="008A0959" w:rsidP="008A0959">
      <w:pPr>
        <w:spacing w:after="0" w:line="360" w:lineRule="auto"/>
        <w:rPr>
          <w:rFonts w:ascii="Arial" w:hAnsi="Arial" w:cs="Arial"/>
          <w:strike/>
          <w:sz w:val="20"/>
          <w:szCs w:val="20"/>
          <w:lang w:val="en-US"/>
        </w:rPr>
      </w:pPr>
      <w:r w:rsidRPr="00B85963">
        <w:rPr>
          <w:rFonts w:ascii="Arial" w:hAnsi="Arial" w:cs="Arial"/>
          <w:b/>
          <w:bCs/>
          <w:sz w:val="20"/>
          <w:szCs w:val="20"/>
          <w:lang w:val="en-US"/>
        </w:rPr>
        <w:t>Figure 12: Seasonal variations in Chemical Oxygen Demand (</w:t>
      </w:r>
      <w:r w:rsidRPr="00B85963">
        <w:rPr>
          <w:rFonts w:ascii="Arial" w:eastAsia="Times New Roman" w:hAnsi="Arial" w:cs="Arial"/>
          <w:b/>
          <w:bCs/>
          <w:kern w:val="0"/>
          <w:sz w:val="20"/>
          <w:szCs w:val="20"/>
          <w:lang w:eastAsia="en-IN"/>
          <w14:ligatures w14:val="none"/>
        </w:rPr>
        <w:t>COD)</w:t>
      </w:r>
      <w:r w:rsidRPr="00B85963">
        <w:rPr>
          <w:rFonts w:ascii="Arial" w:hAnsi="Arial" w:cs="Arial"/>
          <w:b/>
          <w:bCs/>
          <w:sz w:val="20"/>
          <w:szCs w:val="20"/>
          <w:lang w:val="en-US"/>
        </w:rPr>
        <w:t xml:space="preserve"> of water samples </w:t>
      </w:r>
    </w:p>
    <w:p w:rsidR="008A0959" w:rsidRDefault="008A0959" w:rsidP="008A0959">
      <w:pPr>
        <w:jc w:val="both"/>
        <w:rPr>
          <w:rFonts w:ascii="Arial" w:hAnsi="Arial" w:cs="Arial Unicode MS"/>
          <w:sz w:val="20"/>
          <w:szCs w:val="18"/>
          <w:lang w:bidi="hi-IN"/>
        </w:rPr>
      </w:pPr>
      <w:r w:rsidRPr="00B85963">
        <w:rPr>
          <w:rFonts w:ascii="Arial" w:hAnsi="Arial" w:cs="Arial"/>
          <w:sz w:val="20"/>
          <w:szCs w:val="20"/>
        </w:rPr>
        <w:t xml:space="preserve"> COD results (Table 14, Figure 12) demonstrated notable seasonal variation. Monsoon values peaked in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river water (27.46 mg/</w:t>
      </w:r>
      <w:r>
        <w:rPr>
          <w:rFonts w:ascii="Arial" w:hAnsi="Arial" w:cs="Arial Unicode MS" w:hint="cs"/>
          <w:sz w:val="20"/>
          <w:szCs w:val="18"/>
          <w:cs/>
          <w:lang w:bidi="hi-IN"/>
        </w:rPr>
        <w:t>m</w:t>
      </w:r>
      <w:r w:rsidRPr="00B85963">
        <w:rPr>
          <w:rFonts w:ascii="Arial" w:hAnsi="Arial" w:cs="Arial"/>
          <w:sz w:val="20"/>
          <w:szCs w:val="20"/>
        </w:rPr>
        <w:t>L), winter recorded lower values (10.24–20.78 mg/</w:t>
      </w:r>
      <w:r>
        <w:rPr>
          <w:rFonts w:ascii="Arial" w:hAnsi="Arial" w:cs="Arial Unicode MS" w:hint="cs"/>
          <w:sz w:val="20"/>
          <w:szCs w:val="18"/>
          <w:cs/>
          <w:lang w:bidi="hi-IN"/>
        </w:rPr>
        <w:t>m</w:t>
      </w:r>
      <w:r w:rsidRPr="00B85963">
        <w:rPr>
          <w:rFonts w:ascii="Arial" w:hAnsi="Arial" w:cs="Arial"/>
          <w:sz w:val="20"/>
          <w:szCs w:val="20"/>
        </w:rPr>
        <w:t>L), and summer again showed elevated concentrations (25.56 mg/</w:t>
      </w:r>
      <w:r>
        <w:rPr>
          <w:rFonts w:ascii="Arial" w:hAnsi="Arial" w:cs="Arial Unicode MS" w:hint="cs"/>
          <w:sz w:val="20"/>
          <w:szCs w:val="18"/>
          <w:cs/>
          <w:lang w:bidi="hi-IN"/>
        </w:rPr>
        <w:t>m</w:t>
      </w:r>
      <w:r w:rsidRPr="00B85963">
        <w:rPr>
          <w:rFonts w:ascii="Arial" w:hAnsi="Arial" w:cs="Arial"/>
          <w:sz w:val="20"/>
          <w:szCs w:val="20"/>
        </w:rPr>
        <w:t xml:space="preserve">L in </w:t>
      </w:r>
      <w:proofErr w:type="spellStart"/>
      <w:r w:rsidRPr="00B85963">
        <w:rPr>
          <w:rFonts w:ascii="Arial" w:hAnsi="Arial" w:cs="Arial"/>
          <w:sz w:val="20"/>
          <w:szCs w:val="20"/>
        </w:rPr>
        <w:t>Birkoni</w:t>
      </w:r>
      <w:proofErr w:type="spellEnd"/>
      <w:r w:rsidRPr="00B85963">
        <w:rPr>
          <w:rFonts w:ascii="Arial" w:hAnsi="Arial" w:cs="Arial"/>
          <w:sz w:val="20"/>
          <w:szCs w:val="20"/>
        </w:rPr>
        <w:t xml:space="preserve"> River). These patterns point to seasonal effluent discharge and organic load fluctuations. </w:t>
      </w:r>
    </w:p>
    <w:p w:rsidR="008A0959" w:rsidRPr="00CB397D" w:rsidRDefault="008A0959" w:rsidP="008A0959">
      <w:pPr>
        <w:jc w:val="both"/>
        <w:rPr>
          <w:rFonts w:ascii="Arial" w:hAnsi="Arial" w:cs="Arial"/>
          <w:b/>
          <w:bCs/>
          <w:sz w:val="22"/>
          <w:szCs w:val="22"/>
          <w:lang w:bidi="hi-IN"/>
        </w:rPr>
      </w:pPr>
      <w:r w:rsidRPr="00CB397D">
        <w:rPr>
          <w:rFonts w:ascii="Arial" w:hAnsi="Arial" w:cs="Arial"/>
          <w:b/>
          <w:bCs/>
          <w:sz w:val="22"/>
          <w:szCs w:val="22"/>
          <w:cs/>
          <w:lang w:bidi="hi-IN"/>
        </w:rPr>
        <w:t>4</w:t>
      </w:r>
      <w:r>
        <w:rPr>
          <w:rFonts w:ascii="Arial" w:hAnsi="Arial" w:cs="Arial Unicode MS" w:hint="cs"/>
          <w:b/>
          <w:bCs/>
          <w:sz w:val="22"/>
          <w:szCs w:val="22"/>
          <w:cs/>
          <w:lang w:bidi="hi-IN"/>
        </w:rPr>
        <w:t>.</w:t>
      </w:r>
      <w:r w:rsidRPr="00CB397D">
        <w:rPr>
          <w:rFonts w:ascii="Arial" w:hAnsi="Arial" w:cs="Arial"/>
          <w:b/>
          <w:bCs/>
          <w:sz w:val="22"/>
          <w:szCs w:val="22"/>
          <w:cs/>
          <w:lang w:bidi="hi-IN"/>
        </w:rPr>
        <w:t xml:space="preserve"> </w:t>
      </w:r>
      <w:r w:rsidRPr="00CB397D">
        <w:rPr>
          <w:rFonts w:ascii="Arial" w:hAnsi="Arial" w:cs="Arial"/>
          <w:b/>
          <w:bCs/>
          <w:sz w:val="22"/>
          <w:szCs w:val="22"/>
        </w:rPr>
        <w:t>DISCUSSION</w:t>
      </w:r>
    </w:p>
    <w:p w:rsidR="008A0959" w:rsidRDefault="008A0959" w:rsidP="008A0959">
      <w:pPr>
        <w:spacing w:line="360" w:lineRule="auto"/>
        <w:jc w:val="both"/>
        <w:rPr>
          <w:rFonts w:ascii="Arial" w:hAnsi="Arial" w:cs="Arial Unicode MS"/>
          <w:sz w:val="20"/>
          <w:szCs w:val="18"/>
          <w:lang w:bidi="hi-IN"/>
        </w:rPr>
      </w:pPr>
      <w:r w:rsidRPr="00CB397D">
        <w:rPr>
          <w:rFonts w:ascii="Arial" w:hAnsi="Arial" w:cs="Arial"/>
          <w:sz w:val="20"/>
          <w:szCs w:val="20"/>
        </w:rPr>
        <w:t xml:space="preserve">Physicochemical parameters of industrial wastewater, such as pH, total dissolved solids (TDS), total hardness (TH), chlorides, chemical oxygen demand (COD), and biological oxygen demand (BOD), showed extensive seasonal variations. The measured pH ranged from slightly acidic during the monsoon to slightly alkaline in summer, agreeing with the work of </w:t>
      </w:r>
      <w:proofErr w:type="spellStart"/>
      <w:r w:rsidRPr="00CB397D">
        <w:rPr>
          <w:rFonts w:ascii="Arial" w:hAnsi="Arial" w:cs="Arial"/>
          <w:sz w:val="20"/>
          <w:szCs w:val="20"/>
        </w:rPr>
        <w:t>Adbarzi</w:t>
      </w:r>
      <w:proofErr w:type="spellEnd"/>
      <w:r w:rsidRPr="00CB397D">
        <w:rPr>
          <w:rFonts w:ascii="Arial" w:hAnsi="Arial" w:cs="Arial"/>
          <w:sz w:val="20"/>
          <w:szCs w:val="20"/>
        </w:rPr>
        <w:t xml:space="preserve"> et al. (2020), which highlighted the role of runoff, effluent discharge, and dilution effects on wastewater chemistry. The increased pH level in the dry season could be due to greater industrial output and lower dilution, and the monsoon season causes neutralization due to surface runoff and dilution from rainfall.</w:t>
      </w:r>
      <w:r>
        <w:rPr>
          <w:rFonts w:ascii="Arial" w:hAnsi="Arial" w:cs="Arial Unicode MS" w:hint="cs"/>
          <w:sz w:val="20"/>
          <w:szCs w:val="18"/>
          <w:cs/>
          <w:lang w:bidi="hi-IN"/>
        </w:rPr>
        <w:t xml:space="preserve"> </w:t>
      </w:r>
      <w:r w:rsidRPr="00CB397D">
        <w:rPr>
          <w:rFonts w:ascii="Arial" w:hAnsi="Arial" w:cs="Arial"/>
          <w:sz w:val="20"/>
          <w:szCs w:val="20"/>
        </w:rPr>
        <w:t xml:space="preserve">TDS and total hardness were significantly high during pre-monsoon and post-monsoon seasons, reflecting dissolved solid enrichment due to restricted water flux and greater evaporation intensities. Tripathi et al. (2021) similarly observed that there was enrichment of dissolved ions in the industrial areas as a result of less hydrological flushing. The predominance of calcium and magnesium ions indicates contributions from geogenic sources (mineral weathering) as well as industrial effluents, especially food processing and textile units (Singh &amp; Mishra, </w:t>
      </w:r>
      <w:r w:rsidRPr="00CB397D">
        <w:rPr>
          <w:rFonts w:ascii="Arial" w:hAnsi="Arial" w:cs="Arial"/>
          <w:sz w:val="20"/>
          <w:szCs w:val="20"/>
        </w:rPr>
        <w:lastRenderedPageBreak/>
        <w:t>2022).</w:t>
      </w:r>
      <w:r>
        <w:rPr>
          <w:rFonts w:ascii="Arial" w:hAnsi="Arial" w:cs="Arial Unicode MS" w:hint="cs"/>
          <w:sz w:val="20"/>
          <w:szCs w:val="18"/>
          <w:cs/>
          <w:lang w:bidi="hi-IN"/>
        </w:rPr>
        <w:t xml:space="preserve"> </w:t>
      </w:r>
      <w:r w:rsidRPr="00CB397D">
        <w:rPr>
          <w:rFonts w:ascii="Arial" w:hAnsi="Arial" w:cs="Arial"/>
          <w:sz w:val="20"/>
          <w:szCs w:val="20"/>
        </w:rPr>
        <w:t>Chloride levels were beyond the acceptable limits set by BIS (2012) and WHO (2011) in many of the sampling areas, showing contamination due to chemical manufacturing, tanneries, and domestic sewage inflow. Enrichment of chloride in groundwater and surface water systems has been known as one of the significant pointers towards anthropogenic impact (Kumar et al., 2020). High chloride concentrations during the dry season also add strength to evaporative concentration and perennial industrial effluent disposal as dominant factors.</w:t>
      </w:r>
      <w:r>
        <w:rPr>
          <w:rFonts w:ascii="Arial" w:hAnsi="Arial" w:cs="Arial Unicode MS" w:hint="cs"/>
          <w:sz w:val="20"/>
          <w:szCs w:val="18"/>
          <w:cs/>
          <w:lang w:bidi="hi-IN"/>
        </w:rPr>
        <w:t xml:space="preserve"> </w:t>
      </w:r>
      <w:r w:rsidRPr="00CB397D">
        <w:rPr>
          <w:rFonts w:ascii="Arial" w:hAnsi="Arial" w:cs="Arial"/>
          <w:sz w:val="20"/>
          <w:szCs w:val="20"/>
        </w:rPr>
        <w:t>BOD and COD values were significantly above normal thresholds, particularly around food processing and dairy industry discharge points. BOD:</w:t>
      </w:r>
      <w:r>
        <w:rPr>
          <w:rFonts w:ascii="Arial" w:hAnsi="Arial" w:cs="Arial Unicode MS" w:hint="cs"/>
          <w:sz w:val="20"/>
          <w:szCs w:val="18"/>
          <w:cs/>
          <w:lang w:bidi="hi-IN"/>
        </w:rPr>
        <w:t xml:space="preserve"> </w:t>
      </w:r>
      <w:r w:rsidRPr="00CB397D">
        <w:rPr>
          <w:rFonts w:ascii="Arial" w:hAnsi="Arial" w:cs="Arial"/>
          <w:sz w:val="20"/>
          <w:szCs w:val="20"/>
        </w:rPr>
        <w:t xml:space="preserve">COD ratios, a measure of biodegradability of organic load, varied between 0.3 and 0.6, indicating the existence of partially biodegradable organic matter (APHA, 2017). Comparable patterns of BOD: COD were observed by </w:t>
      </w:r>
      <w:proofErr w:type="spellStart"/>
      <w:r w:rsidRPr="00CB397D">
        <w:rPr>
          <w:rFonts w:ascii="Arial" w:hAnsi="Arial" w:cs="Arial"/>
          <w:sz w:val="20"/>
          <w:szCs w:val="20"/>
        </w:rPr>
        <w:t>Adbarzi</w:t>
      </w:r>
      <w:proofErr w:type="spellEnd"/>
      <w:r w:rsidRPr="00CB397D">
        <w:rPr>
          <w:rFonts w:ascii="Arial" w:hAnsi="Arial" w:cs="Arial"/>
          <w:sz w:val="20"/>
          <w:szCs w:val="20"/>
        </w:rPr>
        <w:t xml:space="preserve"> et al. (2020) and Ahmed et al. (2021) in industrial effluent mixes. High organic load suggests partial biological breakdown in treatment processes and emphasizes the necessity for maximized aerobic or anaerobic bioprocesses.</w:t>
      </w:r>
    </w:p>
    <w:p w:rsidR="008A0959" w:rsidRPr="00CB397D" w:rsidRDefault="008A0959" w:rsidP="008A0959">
      <w:pPr>
        <w:spacing w:line="360" w:lineRule="auto"/>
        <w:jc w:val="both"/>
        <w:rPr>
          <w:rFonts w:ascii="Arial" w:hAnsi="Arial" w:cs="Arial"/>
          <w:b/>
          <w:bCs/>
          <w:sz w:val="22"/>
          <w:szCs w:val="22"/>
          <w:lang w:bidi="hi-IN"/>
        </w:rPr>
      </w:pPr>
      <w:r w:rsidRPr="00CB397D">
        <w:rPr>
          <w:rFonts w:ascii="Arial" w:hAnsi="Arial" w:cs="Arial"/>
          <w:b/>
          <w:bCs/>
          <w:sz w:val="22"/>
          <w:szCs w:val="22"/>
          <w:cs/>
          <w:lang w:bidi="hi-IN"/>
        </w:rPr>
        <w:t>5.</w:t>
      </w:r>
      <w:r w:rsidRPr="00CB397D">
        <w:rPr>
          <w:rFonts w:ascii="Arial" w:hAnsi="Arial" w:cs="Arial"/>
          <w:b/>
          <w:bCs/>
          <w:sz w:val="22"/>
          <w:szCs w:val="22"/>
        </w:rPr>
        <w:t>CONCLUSION</w:t>
      </w:r>
    </w:p>
    <w:p w:rsidR="008A0959" w:rsidRPr="00CB397D" w:rsidRDefault="008A0959" w:rsidP="008A0959">
      <w:pPr>
        <w:spacing w:line="360" w:lineRule="auto"/>
        <w:jc w:val="both"/>
        <w:rPr>
          <w:rFonts w:ascii="Arial" w:hAnsi="Arial" w:cs="Arial"/>
          <w:sz w:val="20"/>
          <w:szCs w:val="20"/>
        </w:rPr>
      </w:pPr>
      <w:r w:rsidRPr="00CB397D">
        <w:rPr>
          <w:rFonts w:ascii="Arial" w:hAnsi="Arial" w:cs="Arial"/>
          <w:sz w:val="20"/>
          <w:szCs w:val="20"/>
        </w:rPr>
        <w:t xml:space="preserve">The present study investigated water quality in the industrial regions of </w:t>
      </w:r>
      <w:proofErr w:type="spellStart"/>
      <w:r w:rsidRPr="00CB397D">
        <w:rPr>
          <w:rFonts w:ascii="Arial" w:hAnsi="Arial" w:cs="Arial"/>
          <w:sz w:val="20"/>
          <w:szCs w:val="20"/>
        </w:rPr>
        <w:t>Birkoni</w:t>
      </w:r>
      <w:proofErr w:type="spellEnd"/>
      <w:r w:rsidRPr="00CB397D">
        <w:rPr>
          <w:rFonts w:ascii="Arial" w:hAnsi="Arial" w:cs="Arial"/>
          <w:sz w:val="20"/>
          <w:szCs w:val="20"/>
        </w:rPr>
        <w:t xml:space="preserve"> and </w:t>
      </w:r>
      <w:proofErr w:type="spellStart"/>
      <w:r w:rsidRPr="00CB397D">
        <w:rPr>
          <w:rFonts w:ascii="Arial" w:hAnsi="Arial" w:cs="Arial"/>
          <w:sz w:val="20"/>
          <w:szCs w:val="20"/>
        </w:rPr>
        <w:t>Belsonda</w:t>
      </w:r>
      <w:proofErr w:type="spellEnd"/>
      <w:r w:rsidRPr="00CB397D">
        <w:rPr>
          <w:rFonts w:ascii="Arial" w:hAnsi="Arial" w:cs="Arial"/>
          <w:sz w:val="20"/>
          <w:szCs w:val="20"/>
        </w:rPr>
        <w:t xml:space="preserve">, </w:t>
      </w:r>
      <w:proofErr w:type="spellStart"/>
      <w:r w:rsidRPr="00CB397D">
        <w:rPr>
          <w:rFonts w:ascii="Arial" w:hAnsi="Arial" w:cs="Arial"/>
          <w:sz w:val="20"/>
          <w:szCs w:val="20"/>
        </w:rPr>
        <w:t>Mahasamund</w:t>
      </w:r>
      <w:proofErr w:type="spellEnd"/>
      <w:r w:rsidRPr="00CB397D">
        <w:rPr>
          <w:rFonts w:ascii="Arial" w:hAnsi="Arial" w:cs="Arial"/>
          <w:sz w:val="20"/>
          <w:szCs w:val="20"/>
        </w:rPr>
        <w:t xml:space="preserve"> district, Chhattisgarh, with a focus on seasonal variations in </w:t>
      </w:r>
      <w:proofErr w:type="spellStart"/>
      <w:r w:rsidRPr="00CB397D">
        <w:rPr>
          <w:rFonts w:ascii="Arial" w:hAnsi="Arial" w:cs="Arial"/>
          <w:sz w:val="20"/>
          <w:szCs w:val="20"/>
        </w:rPr>
        <w:t>physico</w:t>
      </w:r>
      <w:proofErr w:type="spellEnd"/>
      <w:r w:rsidRPr="00CB397D">
        <w:rPr>
          <w:rFonts w:ascii="Arial" w:hAnsi="Arial" w:cs="Arial"/>
          <w:sz w:val="20"/>
          <w:szCs w:val="20"/>
        </w:rPr>
        <w:t>-chemical parameters and the efficacy of fruit-peel-derived natural coagulants for industrial wastewater treatment. The research offers a comprehensive evaluation of groundwater and river water quality influenced by industrial activity, while exploring sustainable alternatives to conventional chemical coagulants.</w:t>
      </w:r>
      <w:r>
        <w:rPr>
          <w:rFonts w:ascii="Arial" w:hAnsi="Arial" w:cs="Arial Unicode MS" w:hint="cs"/>
          <w:sz w:val="20"/>
          <w:szCs w:val="18"/>
          <w:cs/>
          <w:lang w:bidi="hi-IN"/>
        </w:rPr>
        <w:t xml:space="preserve"> </w:t>
      </w:r>
      <w:proofErr w:type="spellStart"/>
      <w:r w:rsidRPr="00CB397D">
        <w:rPr>
          <w:rFonts w:ascii="Arial" w:hAnsi="Arial" w:cs="Arial"/>
          <w:sz w:val="20"/>
          <w:szCs w:val="20"/>
        </w:rPr>
        <w:t>Physico</w:t>
      </w:r>
      <w:proofErr w:type="spellEnd"/>
      <w:r w:rsidRPr="00CB397D">
        <w:rPr>
          <w:rFonts w:ascii="Arial" w:hAnsi="Arial" w:cs="Arial"/>
          <w:sz w:val="20"/>
          <w:szCs w:val="20"/>
        </w:rPr>
        <w:t xml:space="preserve">-chemical analysis revealed significant seasonal fluctuations in water parameters. Chloride concentrations were highest during monsoon and winter in </w:t>
      </w:r>
      <w:proofErr w:type="spellStart"/>
      <w:r w:rsidRPr="00CB397D">
        <w:rPr>
          <w:rFonts w:ascii="Arial" w:hAnsi="Arial" w:cs="Arial"/>
          <w:sz w:val="20"/>
          <w:szCs w:val="20"/>
        </w:rPr>
        <w:t>Belsonda</w:t>
      </w:r>
      <w:proofErr w:type="spellEnd"/>
      <w:r w:rsidRPr="00CB397D">
        <w:rPr>
          <w:rFonts w:ascii="Arial" w:hAnsi="Arial" w:cs="Arial"/>
          <w:sz w:val="20"/>
          <w:szCs w:val="20"/>
        </w:rPr>
        <w:t xml:space="preserve"> river water (53–55 mg/mL), reflecting the combined effects of industrial effluent, domestic sewage, and surface runoff. Total dissolved solids (TDS) also varied seasonally, with monsoon values between 420–495 mg/mL, highlighting solute mobilization from industrial discharges. Winter values in </w:t>
      </w:r>
      <w:proofErr w:type="spellStart"/>
      <w:r w:rsidRPr="00CB397D">
        <w:rPr>
          <w:rFonts w:ascii="Arial" w:hAnsi="Arial" w:cs="Arial"/>
          <w:sz w:val="20"/>
          <w:szCs w:val="20"/>
        </w:rPr>
        <w:t>Birkoni</w:t>
      </w:r>
      <w:proofErr w:type="spellEnd"/>
      <w:r w:rsidRPr="00CB397D">
        <w:rPr>
          <w:rFonts w:ascii="Arial" w:hAnsi="Arial" w:cs="Arial"/>
          <w:sz w:val="20"/>
          <w:szCs w:val="20"/>
        </w:rPr>
        <w:t xml:space="preserve"> groundwater (120 mg/mL) were comparatively lower, indicating site-specific pollution patterns.</w:t>
      </w:r>
      <w:r>
        <w:rPr>
          <w:rFonts w:ascii="Arial" w:hAnsi="Arial" w:cs="Arial Unicode MS" w:hint="cs"/>
          <w:sz w:val="20"/>
          <w:szCs w:val="18"/>
          <w:cs/>
          <w:lang w:bidi="hi-IN"/>
        </w:rPr>
        <w:t xml:space="preserve"> </w:t>
      </w:r>
      <w:r w:rsidRPr="00CB397D">
        <w:rPr>
          <w:rFonts w:ascii="Arial" w:hAnsi="Arial" w:cs="Arial"/>
          <w:sz w:val="20"/>
          <w:szCs w:val="20"/>
        </w:rPr>
        <w:t xml:space="preserve">Alkalinity, total hardness, calcium, and magnesium concentrations showed similar trends, with peaks during monsoon and summer. These variations suggest both lithogenic contributions from mineral weathering and anthropogenic influences from industrial effluents. High hardness and alkalinity may affect aquatic ecosystems and infrastructure, emphasizing the need for targeted water management strategies. Biochemical oxygen demand (BOD) and chemical oxygen demand (COD) ranged from 1–4.5 mg/L and 10–27 mg/L, respectively, indicating moderate organic pollution primarily from industrial sources. Dissolved oxygen (DO) was lowest in </w:t>
      </w:r>
      <w:proofErr w:type="spellStart"/>
      <w:r w:rsidRPr="00CB397D">
        <w:rPr>
          <w:rFonts w:ascii="Arial" w:hAnsi="Arial" w:cs="Arial"/>
          <w:sz w:val="20"/>
          <w:szCs w:val="20"/>
        </w:rPr>
        <w:t>Birkoni</w:t>
      </w:r>
      <w:proofErr w:type="spellEnd"/>
      <w:r w:rsidRPr="00CB397D">
        <w:rPr>
          <w:rFonts w:ascii="Arial" w:hAnsi="Arial" w:cs="Arial"/>
          <w:sz w:val="20"/>
          <w:szCs w:val="20"/>
        </w:rPr>
        <w:t xml:space="preserve"> river water during summer (5.38 mg/L), reflecting oxygen consumption by microbial oxidation of organic matter. Turbidity and </w:t>
      </w:r>
      <w:proofErr w:type="spellStart"/>
      <w:r w:rsidRPr="00CB397D">
        <w:rPr>
          <w:rFonts w:ascii="Arial" w:hAnsi="Arial" w:cs="Arial"/>
          <w:sz w:val="20"/>
          <w:szCs w:val="20"/>
        </w:rPr>
        <w:t>color</w:t>
      </w:r>
      <w:proofErr w:type="spellEnd"/>
      <w:r w:rsidRPr="00CB397D">
        <w:rPr>
          <w:rFonts w:ascii="Arial" w:hAnsi="Arial" w:cs="Arial"/>
          <w:sz w:val="20"/>
          <w:szCs w:val="20"/>
        </w:rPr>
        <w:t xml:space="preserve"> were generally within acceptable limits but showed seasonal spikes, indicating episodic effluent discharges.</w:t>
      </w:r>
      <w:r>
        <w:rPr>
          <w:rFonts w:ascii="Arial" w:hAnsi="Arial" w:cs="Arial Unicode MS" w:hint="cs"/>
          <w:sz w:val="20"/>
          <w:szCs w:val="18"/>
          <w:cs/>
          <w:lang w:bidi="hi-IN"/>
        </w:rPr>
        <w:t xml:space="preserve"> </w:t>
      </w:r>
      <w:r w:rsidRPr="00CB397D">
        <w:rPr>
          <w:rFonts w:ascii="Arial" w:hAnsi="Arial" w:cs="Arial"/>
          <w:sz w:val="20"/>
          <w:szCs w:val="20"/>
        </w:rPr>
        <w:t>Statistical correlations highlighted strong relationships between TDS and total hardness, and between BOD and COD, confirming that organic and ionic pollutants are closely linked in industrial wastewater systems. The inverse relationship between DO and BOD/COD underscores the risk of oxygen depletion, affecting aquatic life and water usability.</w:t>
      </w:r>
    </w:p>
    <w:p w:rsidR="008A0959" w:rsidRPr="00B85963" w:rsidRDefault="008A0959" w:rsidP="008A0959">
      <w:pPr>
        <w:spacing w:line="360" w:lineRule="auto"/>
        <w:jc w:val="both"/>
        <w:rPr>
          <w:rFonts w:ascii="Arial" w:hAnsi="Arial" w:cs="Arial"/>
          <w:b/>
          <w:bCs/>
          <w:sz w:val="22"/>
          <w:szCs w:val="22"/>
        </w:rPr>
      </w:pPr>
      <w:r w:rsidRPr="00B85963">
        <w:rPr>
          <w:rFonts w:ascii="Arial" w:hAnsi="Arial" w:cs="Arial"/>
          <w:b/>
          <w:bCs/>
          <w:sz w:val="22"/>
          <w:szCs w:val="22"/>
        </w:rPr>
        <w:lastRenderedPageBreak/>
        <w:t>REFERENCE</w:t>
      </w:r>
    </w:p>
    <w:p w:rsidR="008A0959" w:rsidRPr="0037712D" w:rsidRDefault="008A0959" w:rsidP="008A0959">
      <w:pPr>
        <w:pStyle w:val="NormalWeb"/>
        <w:numPr>
          <w:ilvl w:val="0"/>
          <w:numId w:val="1"/>
        </w:numPr>
        <w:spacing w:line="276" w:lineRule="auto"/>
        <w:jc w:val="both"/>
        <w:rPr>
          <w:rFonts w:ascii="Arial" w:hAnsi="Arial" w:cs="Arial"/>
          <w:sz w:val="20"/>
          <w:szCs w:val="20"/>
        </w:rPr>
      </w:pPr>
      <w:proofErr w:type="spellStart"/>
      <w:r w:rsidRPr="0037712D">
        <w:rPr>
          <w:rFonts w:ascii="Arial" w:hAnsi="Arial" w:cs="Arial"/>
          <w:sz w:val="20"/>
          <w:szCs w:val="20"/>
        </w:rPr>
        <w:t>Adbarzi</w:t>
      </w:r>
      <w:proofErr w:type="spellEnd"/>
      <w:r w:rsidRPr="0037712D">
        <w:rPr>
          <w:rFonts w:ascii="Arial" w:hAnsi="Arial" w:cs="Arial"/>
          <w:sz w:val="20"/>
          <w:szCs w:val="20"/>
        </w:rPr>
        <w:t xml:space="preserve">, S., Tripathi, P., Choudhary, K., Kant, R., &amp; Tripathi, V. (2020). Assessment of </w:t>
      </w:r>
      <w:proofErr w:type="spellStart"/>
      <w:r w:rsidRPr="0037712D">
        <w:rPr>
          <w:rFonts w:ascii="Arial" w:hAnsi="Arial" w:cs="Arial"/>
          <w:sz w:val="20"/>
          <w:szCs w:val="20"/>
        </w:rPr>
        <w:t>physico</w:t>
      </w:r>
      <w:proofErr w:type="spellEnd"/>
      <w:r w:rsidRPr="0037712D">
        <w:rPr>
          <w:rFonts w:ascii="Arial" w:hAnsi="Arial" w:cs="Arial"/>
          <w:sz w:val="20"/>
          <w:szCs w:val="20"/>
        </w:rPr>
        <w:t xml:space="preserve">-chemical properties of pre and post-treated wastewater of </w:t>
      </w:r>
      <w:proofErr w:type="spellStart"/>
      <w:r w:rsidRPr="0037712D">
        <w:rPr>
          <w:rFonts w:ascii="Arial" w:hAnsi="Arial" w:cs="Arial"/>
          <w:sz w:val="20"/>
          <w:szCs w:val="20"/>
        </w:rPr>
        <w:t>Prayagraj</w:t>
      </w:r>
      <w:proofErr w:type="spellEnd"/>
      <w:r w:rsidRPr="0037712D">
        <w:rPr>
          <w:rFonts w:ascii="Arial" w:hAnsi="Arial" w:cs="Arial"/>
          <w:sz w:val="20"/>
          <w:szCs w:val="20"/>
        </w:rPr>
        <w:t xml:space="preserve"> region and its effect on nearby Ganges River. </w:t>
      </w:r>
      <w:proofErr w:type="spellStart"/>
      <w:r w:rsidRPr="0037712D">
        <w:rPr>
          <w:rStyle w:val="Emphasis"/>
          <w:rFonts w:ascii="Arial" w:hAnsi="Arial" w:cs="Arial"/>
          <w:sz w:val="20"/>
          <w:szCs w:val="20"/>
        </w:rPr>
        <w:t>Vegetos</w:t>
      </w:r>
      <w:proofErr w:type="spellEnd"/>
      <w:r w:rsidRPr="0037712D">
        <w:rPr>
          <w:rStyle w:val="Emphasis"/>
          <w:rFonts w:ascii="Arial" w:hAnsi="Arial" w:cs="Arial"/>
          <w:sz w:val="20"/>
          <w:szCs w:val="20"/>
        </w:rPr>
        <w:t>, 33</w:t>
      </w:r>
      <w:r w:rsidRPr="0037712D">
        <w:rPr>
          <w:rFonts w:ascii="Arial" w:hAnsi="Arial" w:cs="Arial"/>
          <w:sz w:val="20"/>
          <w:szCs w:val="20"/>
        </w:rPr>
        <w:t xml:space="preserve">, 258–264. </w:t>
      </w:r>
      <w:hyperlink r:id="rId20" w:tgtFrame="_new" w:history="1">
        <w:r w:rsidRPr="0037712D">
          <w:rPr>
            <w:rStyle w:val="Hyperlink"/>
            <w:rFonts w:ascii="Arial" w:hAnsi="Arial" w:cs="Arial"/>
            <w:sz w:val="20"/>
            <w:szCs w:val="20"/>
          </w:rPr>
          <w:t>https://doi.org/10.1007/s42535-020-00103-y</w:t>
        </w:r>
      </w:hyperlink>
    </w:p>
    <w:p w:rsidR="008A0959" w:rsidRPr="0037712D" w:rsidRDefault="008A0959" w:rsidP="008A0959">
      <w:pPr>
        <w:pStyle w:val="NormalWeb"/>
        <w:numPr>
          <w:ilvl w:val="0"/>
          <w:numId w:val="1"/>
        </w:numPr>
        <w:spacing w:line="276" w:lineRule="auto"/>
        <w:jc w:val="both"/>
        <w:rPr>
          <w:rFonts w:ascii="Arial" w:hAnsi="Arial" w:cs="Arial"/>
          <w:sz w:val="20"/>
          <w:szCs w:val="20"/>
        </w:rPr>
      </w:pPr>
      <w:proofErr w:type="spellStart"/>
      <w:r w:rsidRPr="0037712D">
        <w:rPr>
          <w:rFonts w:ascii="Arial" w:hAnsi="Arial" w:cs="Arial"/>
          <w:sz w:val="20"/>
          <w:szCs w:val="20"/>
        </w:rPr>
        <w:t>Aripen</w:t>
      </w:r>
      <w:proofErr w:type="spellEnd"/>
      <w:r w:rsidRPr="0037712D">
        <w:rPr>
          <w:rFonts w:ascii="Arial" w:hAnsi="Arial" w:cs="Arial"/>
          <w:sz w:val="20"/>
          <w:szCs w:val="20"/>
        </w:rPr>
        <w:t xml:space="preserve">, N. S. M., Halim, N. A., </w:t>
      </w:r>
      <w:proofErr w:type="spellStart"/>
      <w:r w:rsidRPr="0037712D">
        <w:rPr>
          <w:rFonts w:ascii="Arial" w:hAnsi="Arial" w:cs="Arial"/>
          <w:sz w:val="20"/>
          <w:szCs w:val="20"/>
        </w:rPr>
        <w:t>Saadon</w:t>
      </w:r>
      <w:proofErr w:type="spellEnd"/>
      <w:r w:rsidRPr="0037712D">
        <w:rPr>
          <w:rFonts w:ascii="Arial" w:hAnsi="Arial" w:cs="Arial"/>
          <w:sz w:val="20"/>
          <w:szCs w:val="20"/>
        </w:rPr>
        <w:t xml:space="preserve">, S., &amp; Jamil, N. D. A. (2023). The usage of banana peels and soybean hull for the treatment of lake water: Turbidity and total suspended solids. </w:t>
      </w:r>
      <w:r w:rsidRPr="0037712D">
        <w:rPr>
          <w:rStyle w:val="Emphasis"/>
          <w:rFonts w:ascii="Arial" w:hAnsi="Arial" w:cs="Arial"/>
          <w:sz w:val="20"/>
          <w:szCs w:val="20"/>
        </w:rPr>
        <w:t>Journal of Science and Technology, 15</w:t>
      </w:r>
      <w:r w:rsidRPr="0037712D">
        <w:rPr>
          <w:rFonts w:ascii="Arial" w:hAnsi="Arial" w:cs="Arial"/>
          <w:sz w:val="20"/>
          <w:szCs w:val="20"/>
        </w:rPr>
        <w:t>(1), 1–6.</w:t>
      </w:r>
    </w:p>
    <w:p w:rsidR="008A0959" w:rsidRPr="0037712D" w:rsidRDefault="008A0959" w:rsidP="008A0959">
      <w:pPr>
        <w:pStyle w:val="NormalWeb"/>
        <w:numPr>
          <w:ilvl w:val="0"/>
          <w:numId w:val="1"/>
        </w:numPr>
        <w:spacing w:line="276" w:lineRule="auto"/>
        <w:jc w:val="both"/>
        <w:rPr>
          <w:rFonts w:ascii="Arial" w:hAnsi="Arial" w:cs="Arial"/>
          <w:sz w:val="20"/>
          <w:szCs w:val="20"/>
        </w:rPr>
      </w:pPr>
      <w:r w:rsidRPr="0037712D">
        <w:rPr>
          <w:rFonts w:ascii="Arial" w:hAnsi="Arial" w:cs="Arial"/>
          <w:sz w:val="20"/>
          <w:szCs w:val="20"/>
        </w:rPr>
        <w:t xml:space="preserve">Bharti, M., Kamboj, N., &amp; Kamboj, V. (2020). Effect of untreated wastewater on soil quality: A case study in </w:t>
      </w:r>
      <w:proofErr w:type="spellStart"/>
      <w:r w:rsidRPr="0037712D">
        <w:rPr>
          <w:rFonts w:ascii="Arial" w:hAnsi="Arial" w:cs="Arial"/>
          <w:sz w:val="20"/>
          <w:szCs w:val="20"/>
        </w:rPr>
        <w:t>Ranipur</w:t>
      </w:r>
      <w:proofErr w:type="spellEnd"/>
      <w:r w:rsidRPr="0037712D">
        <w:rPr>
          <w:rFonts w:ascii="Arial" w:hAnsi="Arial" w:cs="Arial"/>
          <w:sz w:val="20"/>
          <w:szCs w:val="20"/>
        </w:rPr>
        <w:t xml:space="preserve"> Rao watershed in Haridwar region (Uttarakhand), India. </w:t>
      </w:r>
      <w:r w:rsidRPr="0037712D">
        <w:rPr>
          <w:rStyle w:val="Emphasis"/>
          <w:rFonts w:ascii="Arial" w:hAnsi="Arial" w:cs="Arial"/>
          <w:sz w:val="20"/>
          <w:szCs w:val="20"/>
        </w:rPr>
        <w:t>Annals of the Entomological Society of America</w:t>
      </w:r>
      <w:r w:rsidRPr="0037712D">
        <w:rPr>
          <w:rFonts w:ascii="Arial" w:hAnsi="Arial" w:cs="Arial"/>
          <w:sz w:val="20"/>
          <w:szCs w:val="20"/>
        </w:rPr>
        <w:t xml:space="preserve">, 145–157. </w:t>
      </w:r>
      <w:hyperlink r:id="rId21" w:tgtFrame="_new" w:history="1">
        <w:r w:rsidRPr="0037712D">
          <w:rPr>
            <w:rStyle w:val="Hyperlink"/>
            <w:rFonts w:ascii="Arial" w:hAnsi="Arial" w:cs="Arial"/>
            <w:sz w:val="20"/>
            <w:szCs w:val="20"/>
          </w:rPr>
          <w:t>https://doi.org/10.26832/aesa-2020-aepm-010</w:t>
        </w:r>
      </w:hyperlink>
    </w:p>
    <w:p w:rsidR="008A0959" w:rsidRPr="0037712D" w:rsidRDefault="008A0959" w:rsidP="008A0959">
      <w:pPr>
        <w:pStyle w:val="NormalWeb"/>
        <w:numPr>
          <w:ilvl w:val="0"/>
          <w:numId w:val="1"/>
        </w:numPr>
        <w:spacing w:line="276" w:lineRule="auto"/>
        <w:jc w:val="both"/>
        <w:rPr>
          <w:rFonts w:ascii="Arial" w:hAnsi="Arial" w:cs="Arial"/>
          <w:sz w:val="20"/>
          <w:szCs w:val="20"/>
        </w:rPr>
      </w:pPr>
      <w:proofErr w:type="spellStart"/>
      <w:r w:rsidRPr="0037712D">
        <w:rPr>
          <w:rFonts w:ascii="Arial" w:hAnsi="Arial" w:cs="Arial"/>
          <w:sz w:val="20"/>
          <w:szCs w:val="20"/>
        </w:rPr>
        <w:t>Chandrakar</w:t>
      </w:r>
      <w:proofErr w:type="spellEnd"/>
      <w:r w:rsidRPr="0037712D">
        <w:rPr>
          <w:rFonts w:ascii="Arial" w:hAnsi="Arial" w:cs="Arial"/>
          <w:sz w:val="20"/>
          <w:szCs w:val="20"/>
        </w:rPr>
        <w:t xml:space="preserve">, S., Das, S., &amp; Biswas, B. (2018). Aquaculture potentials of the reservoirs of </w:t>
      </w:r>
      <w:proofErr w:type="spellStart"/>
      <w:r w:rsidRPr="0037712D">
        <w:rPr>
          <w:rFonts w:ascii="Arial" w:hAnsi="Arial" w:cs="Arial"/>
          <w:sz w:val="20"/>
          <w:szCs w:val="20"/>
        </w:rPr>
        <w:t>Mahasamund</w:t>
      </w:r>
      <w:proofErr w:type="spellEnd"/>
      <w:r w:rsidRPr="0037712D">
        <w:rPr>
          <w:rFonts w:ascii="Arial" w:hAnsi="Arial" w:cs="Arial"/>
          <w:sz w:val="20"/>
          <w:szCs w:val="20"/>
        </w:rPr>
        <w:t xml:space="preserve"> district, Chhattisgarh: Morphometric and </w:t>
      </w:r>
      <w:proofErr w:type="spellStart"/>
      <w:r w:rsidRPr="0037712D">
        <w:rPr>
          <w:rFonts w:ascii="Arial" w:hAnsi="Arial" w:cs="Arial"/>
          <w:sz w:val="20"/>
          <w:szCs w:val="20"/>
        </w:rPr>
        <w:t>physico</w:t>
      </w:r>
      <w:proofErr w:type="spellEnd"/>
      <w:r w:rsidRPr="0037712D">
        <w:rPr>
          <w:rFonts w:ascii="Arial" w:hAnsi="Arial" w:cs="Arial"/>
          <w:sz w:val="20"/>
          <w:szCs w:val="20"/>
        </w:rPr>
        <w:t xml:space="preserve">-chemical characteristics. </w:t>
      </w:r>
      <w:r w:rsidRPr="0037712D">
        <w:rPr>
          <w:rStyle w:val="Emphasis"/>
          <w:rFonts w:ascii="Arial" w:hAnsi="Arial" w:cs="Arial"/>
          <w:sz w:val="20"/>
          <w:szCs w:val="20"/>
        </w:rPr>
        <w:t>Journal of Entomology and Zoology Studies, 6</w:t>
      </w:r>
      <w:r w:rsidRPr="0037712D">
        <w:rPr>
          <w:rFonts w:ascii="Arial" w:hAnsi="Arial" w:cs="Arial"/>
          <w:sz w:val="20"/>
          <w:szCs w:val="20"/>
        </w:rPr>
        <w:t xml:space="preserve">(5), 559–566. </w:t>
      </w:r>
      <w:hyperlink r:id="rId22" w:tgtFrame="_new" w:history="1">
        <w:r w:rsidRPr="0037712D">
          <w:rPr>
            <w:rStyle w:val="Hyperlink"/>
            <w:rFonts w:ascii="Arial" w:hAnsi="Arial" w:cs="Arial"/>
            <w:sz w:val="20"/>
            <w:szCs w:val="20"/>
          </w:rPr>
          <w:t>https://www.entomoljournal.com/archives/2018/vol6issue5/PartI/6-4-287-711.pdf</w:t>
        </w:r>
      </w:hyperlink>
    </w:p>
    <w:p w:rsidR="008A0959" w:rsidRPr="0037712D" w:rsidRDefault="008A0959" w:rsidP="008A0959">
      <w:pPr>
        <w:pStyle w:val="NormalWeb"/>
        <w:numPr>
          <w:ilvl w:val="0"/>
          <w:numId w:val="1"/>
        </w:numPr>
        <w:spacing w:line="276" w:lineRule="auto"/>
        <w:jc w:val="both"/>
        <w:rPr>
          <w:rFonts w:ascii="Arial" w:hAnsi="Arial" w:cs="Arial"/>
          <w:sz w:val="20"/>
          <w:szCs w:val="20"/>
        </w:rPr>
      </w:pPr>
      <w:r w:rsidRPr="0037712D">
        <w:rPr>
          <w:rFonts w:ascii="Arial" w:hAnsi="Arial" w:cs="Arial"/>
          <w:sz w:val="20"/>
          <w:szCs w:val="20"/>
        </w:rPr>
        <w:t xml:space="preserve">Chatterjee, P., </w:t>
      </w:r>
      <w:proofErr w:type="spellStart"/>
      <w:r w:rsidRPr="0037712D">
        <w:rPr>
          <w:rFonts w:ascii="Arial" w:hAnsi="Arial" w:cs="Arial"/>
          <w:sz w:val="20"/>
          <w:szCs w:val="20"/>
        </w:rPr>
        <w:t>Ghangrekar</w:t>
      </w:r>
      <w:proofErr w:type="spellEnd"/>
      <w:r w:rsidRPr="0037712D">
        <w:rPr>
          <w:rFonts w:ascii="Arial" w:hAnsi="Arial" w:cs="Arial"/>
          <w:sz w:val="20"/>
          <w:szCs w:val="20"/>
        </w:rPr>
        <w:t xml:space="preserve">, M., &amp; Rao, S. (2016). Low efficiency of sewage treatment plants due to unskilled operations in India. </w:t>
      </w:r>
      <w:r w:rsidRPr="0037712D">
        <w:rPr>
          <w:rStyle w:val="Emphasis"/>
          <w:rFonts w:ascii="Arial" w:hAnsi="Arial" w:cs="Arial"/>
          <w:sz w:val="20"/>
          <w:szCs w:val="20"/>
        </w:rPr>
        <w:t>Environmental Chemistry Letters, 14</w:t>
      </w:r>
      <w:r w:rsidRPr="0037712D">
        <w:rPr>
          <w:rFonts w:ascii="Arial" w:hAnsi="Arial" w:cs="Arial"/>
          <w:sz w:val="20"/>
          <w:szCs w:val="20"/>
        </w:rPr>
        <w:t xml:space="preserve">, 407–416. </w:t>
      </w:r>
      <w:hyperlink r:id="rId23" w:tgtFrame="_new" w:history="1">
        <w:r w:rsidRPr="0037712D">
          <w:rPr>
            <w:rStyle w:val="Hyperlink"/>
            <w:rFonts w:ascii="Arial" w:hAnsi="Arial" w:cs="Arial"/>
            <w:sz w:val="20"/>
            <w:szCs w:val="20"/>
          </w:rPr>
          <w:t>https://doi.org/10.1007/s10311-016-0551-9</w:t>
        </w:r>
      </w:hyperlink>
    </w:p>
    <w:p w:rsidR="008A0959" w:rsidRPr="0037712D" w:rsidRDefault="008A0959" w:rsidP="008A0959">
      <w:pPr>
        <w:pStyle w:val="NormalWeb"/>
        <w:numPr>
          <w:ilvl w:val="0"/>
          <w:numId w:val="1"/>
        </w:numPr>
        <w:spacing w:line="276" w:lineRule="auto"/>
        <w:jc w:val="both"/>
        <w:rPr>
          <w:rFonts w:ascii="Arial" w:hAnsi="Arial" w:cs="Arial"/>
          <w:sz w:val="20"/>
          <w:szCs w:val="20"/>
        </w:rPr>
      </w:pPr>
      <w:r w:rsidRPr="0037712D">
        <w:rPr>
          <w:rFonts w:ascii="Arial" w:hAnsi="Arial" w:cs="Arial"/>
          <w:sz w:val="20"/>
          <w:szCs w:val="20"/>
        </w:rPr>
        <w:t xml:space="preserve">Chaudhary, J., </w:t>
      </w:r>
      <w:proofErr w:type="spellStart"/>
      <w:r w:rsidRPr="0037712D">
        <w:rPr>
          <w:rFonts w:ascii="Arial" w:hAnsi="Arial" w:cs="Arial"/>
          <w:sz w:val="20"/>
          <w:szCs w:val="20"/>
        </w:rPr>
        <w:t>Chandrakar</w:t>
      </w:r>
      <w:proofErr w:type="spellEnd"/>
      <w:r w:rsidRPr="0037712D">
        <w:rPr>
          <w:rFonts w:ascii="Arial" w:hAnsi="Arial" w:cs="Arial"/>
          <w:sz w:val="20"/>
          <w:szCs w:val="20"/>
        </w:rPr>
        <w:t xml:space="preserve">, B., &amp; </w:t>
      </w:r>
      <w:proofErr w:type="spellStart"/>
      <w:r w:rsidRPr="0037712D">
        <w:rPr>
          <w:rFonts w:ascii="Arial" w:hAnsi="Arial" w:cs="Arial"/>
          <w:sz w:val="20"/>
          <w:szCs w:val="20"/>
        </w:rPr>
        <w:t>Lakpale</w:t>
      </w:r>
      <w:proofErr w:type="spellEnd"/>
      <w:r w:rsidRPr="0037712D">
        <w:rPr>
          <w:rFonts w:ascii="Arial" w:hAnsi="Arial" w:cs="Arial"/>
          <w:sz w:val="20"/>
          <w:szCs w:val="20"/>
        </w:rPr>
        <w:t xml:space="preserve">, R. (2024). Agroclimatic drought analysis in </w:t>
      </w:r>
      <w:proofErr w:type="spellStart"/>
      <w:r w:rsidRPr="0037712D">
        <w:rPr>
          <w:rFonts w:ascii="Arial" w:hAnsi="Arial" w:cs="Arial"/>
          <w:sz w:val="20"/>
          <w:szCs w:val="20"/>
        </w:rPr>
        <w:t>Mahasamund</w:t>
      </w:r>
      <w:proofErr w:type="spellEnd"/>
      <w:r w:rsidRPr="0037712D">
        <w:rPr>
          <w:rFonts w:ascii="Arial" w:hAnsi="Arial" w:cs="Arial"/>
          <w:sz w:val="20"/>
          <w:szCs w:val="20"/>
        </w:rPr>
        <w:t xml:space="preserve"> district of Chhattisgarh, India. </w:t>
      </w:r>
      <w:r w:rsidRPr="0037712D">
        <w:rPr>
          <w:rStyle w:val="Emphasis"/>
          <w:rFonts w:ascii="Arial" w:hAnsi="Arial" w:cs="Arial"/>
          <w:sz w:val="20"/>
          <w:szCs w:val="20"/>
        </w:rPr>
        <w:t>International Journal of Environment and Climate Change.</w:t>
      </w:r>
      <w:r w:rsidRPr="0037712D">
        <w:rPr>
          <w:rFonts w:ascii="Arial" w:hAnsi="Arial" w:cs="Arial"/>
          <w:sz w:val="20"/>
          <w:szCs w:val="20"/>
        </w:rPr>
        <w:t xml:space="preserve"> </w:t>
      </w:r>
      <w:hyperlink r:id="rId24" w:tgtFrame="_new" w:history="1">
        <w:r w:rsidRPr="0037712D">
          <w:rPr>
            <w:rStyle w:val="Hyperlink"/>
            <w:rFonts w:ascii="Arial" w:hAnsi="Arial" w:cs="Arial"/>
            <w:sz w:val="20"/>
            <w:szCs w:val="20"/>
          </w:rPr>
          <w:t>https://doi.org/10.9734/ijecc/2024/v14i74292</w:t>
        </w:r>
      </w:hyperlink>
    </w:p>
    <w:p w:rsidR="008A0959" w:rsidRPr="0037712D" w:rsidRDefault="008A0959" w:rsidP="008A0959">
      <w:pPr>
        <w:pStyle w:val="NormalWeb"/>
        <w:numPr>
          <w:ilvl w:val="0"/>
          <w:numId w:val="1"/>
        </w:numPr>
        <w:spacing w:line="276" w:lineRule="auto"/>
        <w:jc w:val="both"/>
        <w:rPr>
          <w:rFonts w:ascii="Arial" w:hAnsi="Arial" w:cs="Arial"/>
          <w:sz w:val="20"/>
          <w:szCs w:val="20"/>
        </w:rPr>
      </w:pPr>
      <w:r w:rsidRPr="0037712D">
        <w:rPr>
          <w:rFonts w:ascii="Arial" w:hAnsi="Arial" w:cs="Arial"/>
          <w:sz w:val="20"/>
          <w:szCs w:val="20"/>
        </w:rPr>
        <w:t xml:space="preserve">Chong, K. H., &amp; </w:t>
      </w:r>
      <w:proofErr w:type="spellStart"/>
      <w:r w:rsidRPr="0037712D">
        <w:rPr>
          <w:rFonts w:ascii="Arial" w:hAnsi="Arial" w:cs="Arial"/>
          <w:sz w:val="20"/>
          <w:szCs w:val="20"/>
        </w:rPr>
        <w:t>Kiew</w:t>
      </w:r>
      <w:proofErr w:type="spellEnd"/>
      <w:r w:rsidRPr="0037712D">
        <w:rPr>
          <w:rFonts w:ascii="Arial" w:hAnsi="Arial" w:cs="Arial"/>
          <w:sz w:val="20"/>
          <w:szCs w:val="20"/>
        </w:rPr>
        <w:t xml:space="preserve">, P. L. (2017). Potential of banana peels as bio-flocculant for water clarification. </w:t>
      </w:r>
      <w:r w:rsidRPr="0037712D">
        <w:rPr>
          <w:rStyle w:val="Emphasis"/>
          <w:rFonts w:ascii="Arial" w:hAnsi="Arial" w:cs="Arial"/>
          <w:sz w:val="20"/>
          <w:szCs w:val="20"/>
        </w:rPr>
        <w:t>Progress in Energy and Environment</w:t>
      </w:r>
      <w:r w:rsidRPr="0037712D">
        <w:rPr>
          <w:rFonts w:ascii="Arial" w:hAnsi="Arial" w:cs="Arial"/>
          <w:sz w:val="20"/>
          <w:szCs w:val="20"/>
        </w:rPr>
        <w:t>, 47–56.</w:t>
      </w:r>
    </w:p>
    <w:p w:rsidR="008A0959" w:rsidRPr="0037712D" w:rsidRDefault="008A0959" w:rsidP="008A0959">
      <w:pPr>
        <w:pStyle w:val="NormalWeb"/>
        <w:numPr>
          <w:ilvl w:val="0"/>
          <w:numId w:val="1"/>
        </w:numPr>
        <w:spacing w:line="276" w:lineRule="auto"/>
        <w:jc w:val="both"/>
        <w:rPr>
          <w:rFonts w:ascii="Arial" w:hAnsi="Arial" w:cs="Arial"/>
          <w:sz w:val="20"/>
          <w:szCs w:val="20"/>
        </w:rPr>
      </w:pPr>
      <w:proofErr w:type="spellStart"/>
      <w:r w:rsidRPr="0037712D">
        <w:rPr>
          <w:rFonts w:ascii="Arial" w:hAnsi="Arial" w:cs="Arial"/>
          <w:sz w:val="20"/>
          <w:szCs w:val="20"/>
        </w:rPr>
        <w:t>Choubey</w:t>
      </w:r>
      <w:proofErr w:type="spellEnd"/>
      <w:r w:rsidRPr="0037712D">
        <w:rPr>
          <w:rFonts w:ascii="Arial" w:hAnsi="Arial" w:cs="Arial"/>
          <w:sz w:val="20"/>
          <w:szCs w:val="20"/>
        </w:rPr>
        <w:t>, S. (2013). Coagulation-clarification of turbid colored water by natural coagulant (</w:t>
      </w:r>
      <w:proofErr w:type="spellStart"/>
      <w:r w:rsidRPr="0037712D">
        <w:rPr>
          <w:rStyle w:val="Emphasis"/>
          <w:rFonts w:ascii="Arial" w:hAnsi="Arial" w:cs="Arial"/>
          <w:sz w:val="20"/>
          <w:szCs w:val="20"/>
        </w:rPr>
        <w:t>Strychnos</w:t>
      </w:r>
      <w:proofErr w:type="spellEnd"/>
      <w:r w:rsidRPr="0037712D">
        <w:rPr>
          <w:rStyle w:val="Emphasis"/>
          <w:rFonts w:ascii="Arial" w:hAnsi="Arial" w:cs="Arial"/>
          <w:sz w:val="20"/>
          <w:szCs w:val="20"/>
        </w:rPr>
        <w:t xml:space="preserve"> </w:t>
      </w:r>
      <w:proofErr w:type="spellStart"/>
      <w:r w:rsidRPr="0037712D">
        <w:rPr>
          <w:rStyle w:val="Emphasis"/>
          <w:rFonts w:ascii="Arial" w:hAnsi="Arial" w:cs="Arial"/>
          <w:sz w:val="20"/>
          <w:szCs w:val="20"/>
        </w:rPr>
        <w:t>potatorum</w:t>
      </w:r>
      <w:proofErr w:type="spellEnd"/>
      <w:r w:rsidRPr="0037712D">
        <w:rPr>
          <w:rFonts w:ascii="Arial" w:hAnsi="Arial" w:cs="Arial"/>
          <w:sz w:val="20"/>
          <w:szCs w:val="20"/>
        </w:rPr>
        <w:t xml:space="preserve">) seed extract. </w:t>
      </w:r>
      <w:r w:rsidRPr="0037712D">
        <w:rPr>
          <w:rStyle w:val="Emphasis"/>
          <w:rFonts w:ascii="Arial" w:hAnsi="Arial" w:cs="Arial"/>
          <w:sz w:val="20"/>
          <w:szCs w:val="20"/>
        </w:rPr>
        <w:t>Journal of Applicable Chemistry, 2</w:t>
      </w:r>
      <w:r w:rsidRPr="0037712D">
        <w:rPr>
          <w:rFonts w:ascii="Arial" w:hAnsi="Arial" w:cs="Arial"/>
          <w:sz w:val="20"/>
          <w:szCs w:val="20"/>
        </w:rPr>
        <w:t>(1), 73–80. ISSN: 2278-1862.</w:t>
      </w:r>
    </w:p>
    <w:p w:rsidR="008A0959" w:rsidRPr="0037712D" w:rsidRDefault="008A0959" w:rsidP="008A0959">
      <w:pPr>
        <w:pStyle w:val="NormalWeb"/>
        <w:numPr>
          <w:ilvl w:val="0"/>
          <w:numId w:val="1"/>
        </w:numPr>
        <w:spacing w:line="276" w:lineRule="auto"/>
        <w:jc w:val="both"/>
        <w:rPr>
          <w:rFonts w:ascii="Arial" w:hAnsi="Arial" w:cs="Arial"/>
          <w:sz w:val="20"/>
          <w:szCs w:val="20"/>
        </w:rPr>
      </w:pPr>
      <w:proofErr w:type="spellStart"/>
      <w:r w:rsidRPr="0037712D">
        <w:rPr>
          <w:rFonts w:ascii="Arial" w:hAnsi="Arial" w:cs="Arial"/>
          <w:sz w:val="20"/>
          <w:szCs w:val="20"/>
        </w:rPr>
        <w:t>Choubey</w:t>
      </w:r>
      <w:proofErr w:type="spellEnd"/>
      <w:r w:rsidRPr="0037712D">
        <w:rPr>
          <w:rFonts w:ascii="Arial" w:hAnsi="Arial" w:cs="Arial"/>
          <w:sz w:val="20"/>
          <w:szCs w:val="20"/>
        </w:rPr>
        <w:t xml:space="preserve">, S. (2014). Comparison of coagulation efficiency of natural coagulants extracted from different rural species. </w:t>
      </w:r>
      <w:r w:rsidRPr="0037712D">
        <w:rPr>
          <w:rStyle w:val="Emphasis"/>
          <w:rFonts w:ascii="Arial" w:hAnsi="Arial" w:cs="Arial"/>
          <w:sz w:val="20"/>
          <w:szCs w:val="20"/>
        </w:rPr>
        <w:t>International Journal of Development Research, 4</w:t>
      </w:r>
      <w:r w:rsidRPr="0037712D">
        <w:rPr>
          <w:rFonts w:ascii="Arial" w:hAnsi="Arial" w:cs="Arial"/>
          <w:sz w:val="20"/>
          <w:szCs w:val="20"/>
        </w:rPr>
        <w:t>(9), 1810–1812. ISSN: 2230-9926.</w:t>
      </w:r>
    </w:p>
    <w:p w:rsidR="008A0959" w:rsidRPr="0037712D" w:rsidRDefault="008A0959" w:rsidP="008A0959">
      <w:pPr>
        <w:pStyle w:val="NormalWeb"/>
        <w:numPr>
          <w:ilvl w:val="0"/>
          <w:numId w:val="1"/>
        </w:numPr>
        <w:spacing w:line="276" w:lineRule="auto"/>
        <w:jc w:val="both"/>
        <w:rPr>
          <w:rFonts w:ascii="Arial" w:hAnsi="Arial" w:cs="Arial"/>
          <w:sz w:val="20"/>
          <w:szCs w:val="20"/>
        </w:rPr>
      </w:pPr>
      <w:proofErr w:type="spellStart"/>
      <w:r w:rsidRPr="0037712D">
        <w:rPr>
          <w:rFonts w:ascii="Arial" w:hAnsi="Arial" w:cs="Arial"/>
          <w:sz w:val="20"/>
          <w:szCs w:val="20"/>
        </w:rPr>
        <w:t>Daverey</w:t>
      </w:r>
      <w:proofErr w:type="spellEnd"/>
      <w:r w:rsidRPr="0037712D">
        <w:rPr>
          <w:rFonts w:ascii="Arial" w:hAnsi="Arial" w:cs="Arial"/>
          <w:sz w:val="20"/>
          <w:szCs w:val="20"/>
        </w:rPr>
        <w:t xml:space="preserve">, A., Tiwari, N., &amp; Dutta, K. (2019). Utilization of extracts of </w:t>
      </w:r>
      <w:r w:rsidRPr="0037712D">
        <w:rPr>
          <w:rStyle w:val="Emphasis"/>
          <w:rFonts w:ascii="Arial" w:hAnsi="Arial" w:cs="Arial"/>
          <w:sz w:val="20"/>
          <w:szCs w:val="20"/>
        </w:rPr>
        <w:t xml:space="preserve">Musa </w:t>
      </w:r>
      <w:proofErr w:type="spellStart"/>
      <w:r w:rsidRPr="0037712D">
        <w:rPr>
          <w:rStyle w:val="Emphasis"/>
          <w:rFonts w:ascii="Arial" w:hAnsi="Arial" w:cs="Arial"/>
          <w:sz w:val="20"/>
          <w:szCs w:val="20"/>
        </w:rPr>
        <w:t>paradisiaca</w:t>
      </w:r>
      <w:proofErr w:type="spellEnd"/>
      <w:r w:rsidRPr="0037712D">
        <w:rPr>
          <w:rFonts w:ascii="Arial" w:hAnsi="Arial" w:cs="Arial"/>
          <w:sz w:val="20"/>
          <w:szCs w:val="20"/>
        </w:rPr>
        <w:t xml:space="preserve"> (banana) peels and </w:t>
      </w:r>
      <w:proofErr w:type="spellStart"/>
      <w:r w:rsidRPr="0037712D">
        <w:rPr>
          <w:rStyle w:val="Emphasis"/>
          <w:rFonts w:ascii="Arial" w:hAnsi="Arial" w:cs="Arial"/>
          <w:sz w:val="20"/>
          <w:szCs w:val="20"/>
        </w:rPr>
        <w:t>Dolichos</w:t>
      </w:r>
      <w:proofErr w:type="spellEnd"/>
      <w:r w:rsidRPr="0037712D">
        <w:rPr>
          <w:rStyle w:val="Emphasis"/>
          <w:rFonts w:ascii="Arial" w:hAnsi="Arial" w:cs="Arial"/>
          <w:sz w:val="20"/>
          <w:szCs w:val="20"/>
        </w:rPr>
        <w:t xml:space="preserve"> lablab</w:t>
      </w:r>
      <w:r w:rsidRPr="0037712D">
        <w:rPr>
          <w:rFonts w:ascii="Arial" w:hAnsi="Arial" w:cs="Arial"/>
          <w:sz w:val="20"/>
          <w:szCs w:val="20"/>
        </w:rPr>
        <w:t xml:space="preserve"> (Indian bean) seeds as low-cost natural coagulants for turbidity removal from water. </w:t>
      </w:r>
      <w:r w:rsidRPr="0037712D">
        <w:rPr>
          <w:rStyle w:val="Emphasis"/>
          <w:rFonts w:ascii="Arial" w:hAnsi="Arial" w:cs="Arial"/>
          <w:sz w:val="20"/>
          <w:szCs w:val="20"/>
        </w:rPr>
        <w:t>Environmental Science and Pollution Research, 26</w:t>
      </w:r>
      <w:r w:rsidRPr="0037712D">
        <w:rPr>
          <w:rFonts w:ascii="Arial" w:hAnsi="Arial" w:cs="Arial"/>
          <w:sz w:val="20"/>
          <w:szCs w:val="20"/>
        </w:rPr>
        <w:t>(33), 34177–34183.</w:t>
      </w:r>
    </w:p>
    <w:p w:rsidR="008A0959" w:rsidRPr="0037712D" w:rsidRDefault="008A0959" w:rsidP="008A0959">
      <w:pPr>
        <w:pStyle w:val="NormalWeb"/>
        <w:numPr>
          <w:ilvl w:val="0"/>
          <w:numId w:val="1"/>
        </w:numPr>
        <w:spacing w:line="276" w:lineRule="auto"/>
        <w:jc w:val="both"/>
        <w:rPr>
          <w:rFonts w:ascii="Arial" w:hAnsi="Arial" w:cs="Arial"/>
          <w:sz w:val="20"/>
          <w:szCs w:val="20"/>
        </w:rPr>
      </w:pPr>
      <w:r w:rsidRPr="0037712D">
        <w:rPr>
          <w:rFonts w:ascii="Arial" w:hAnsi="Arial" w:cs="Arial"/>
          <w:sz w:val="20"/>
          <w:szCs w:val="20"/>
        </w:rPr>
        <w:t xml:space="preserve">Gautam, S., Sharma, D., Tripathi, J., </w:t>
      </w:r>
      <w:proofErr w:type="spellStart"/>
      <w:r w:rsidRPr="0037712D">
        <w:rPr>
          <w:rFonts w:ascii="Arial" w:hAnsi="Arial" w:cs="Arial"/>
          <w:sz w:val="20"/>
          <w:szCs w:val="20"/>
        </w:rPr>
        <w:t>Ahirwar</w:t>
      </w:r>
      <w:proofErr w:type="spellEnd"/>
      <w:r w:rsidRPr="0037712D">
        <w:rPr>
          <w:rFonts w:ascii="Arial" w:hAnsi="Arial" w:cs="Arial"/>
          <w:sz w:val="20"/>
          <w:szCs w:val="20"/>
        </w:rPr>
        <w:t xml:space="preserve">, S., &amp; Singh, S. (2013). A study of the effectiveness of sewage treatment plants in Delhi region. </w:t>
      </w:r>
      <w:r w:rsidRPr="0037712D">
        <w:rPr>
          <w:rStyle w:val="Emphasis"/>
          <w:rFonts w:ascii="Arial" w:hAnsi="Arial" w:cs="Arial"/>
          <w:sz w:val="20"/>
          <w:szCs w:val="20"/>
        </w:rPr>
        <w:t>Applied Water Science, 3</w:t>
      </w:r>
      <w:r w:rsidRPr="0037712D">
        <w:rPr>
          <w:rFonts w:ascii="Arial" w:hAnsi="Arial" w:cs="Arial"/>
          <w:sz w:val="20"/>
          <w:szCs w:val="20"/>
        </w:rPr>
        <w:t xml:space="preserve">, 57–65. </w:t>
      </w:r>
      <w:hyperlink r:id="rId25" w:tgtFrame="_new" w:history="1">
        <w:r w:rsidRPr="0037712D">
          <w:rPr>
            <w:rStyle w:val="Hyperlink"/>
            <w:rFonts w:ascii="Arial" w:hAnsi="Arial" w:cs="Arial"/>
            <w:sz w:val="20"/>
            <w:szCs w:val="20"/>
          </w:rPr>
          <w:t>https://doi.org/10.1007/s13201-012-0059-9</w:t>
        </w:r>
      </w:hyperlink>
    </w:p>
    <w:p w:rsidR="008A0959" w:rsidRPr="0037712D" w:rsidRDefault="008A0959" w:rsidP="008A0959">
      <w:pPr>
        <w:pStyle w:val="NormalWeb"/>
        <w:numPr>
          <w:ilvl w:val="0"/>
          <w:numId w:val="1"/>
        </w:numPr>
        <w:spacing w:line="276" w:lineRule="auto"/>
        <w:jc w:val="both"/>
        <w:rPr>
          <w:rFonts w:ascii="Arial" w:hAnsi="Arial" w:cs="Arial"/>
          <w:sz w:val="20"/>
          <w:szCs w:val="20"/>
        </w:rPr>
      </w:pPr>
      <w:r w:rsidRPr="0037712D">
        <w:rPr>
          <w:rFonts w:ascii="Arial" w:hAnsi="Arial" w:cs="Arial"/>
          <w:sz w:val="20"/>
          <w:szCs w:val="20"/>
        </w:rPr>
        <w:t xml:space="preserve">Gupta, S. (2020). An overview of developments in wastewater management and their applicability in urban India. </w:t>
      </w:r>
      <w:r w:rsidRPr="0037712D">
        <w:rPr>
          <w:rStyle w:val="Emphasis"/>
          <w:rFonts w:ascii="Arial" w:hAnsi="Arial" w:cs="Arial"/>
          <w:sz w:val="20"/>
          <w:szCs w:val="20"/>
        </w:rPr>
        <w:t>International Journal of Social Science and Economic Research, 5</w:t>
      </w:r>
      <w:r w:rsidRPr="0037712D">
        <w:rPr>
          <w:rFonts w:ascii="Arial" w:hAnsi="Arial" w:cs="Arial"/>
          <w:sz w:val="20"/>
          <w:szCs w:val="20"/>
        </w:rPr>
        <w:t xml:space="preserve">, 157–164. </w:t>
      </w:r>
      <w:hyperlink r:id="rId26" w:tgtFrame="_new" w:history="1">
        <w:r w:rsidRPr="0037712D">
          <w:rPr>
            <w:rStyle w:val="Hyperlink"/>
            <w:rFonts w:ascii="Arial" w:hAnsi="Arial" w:cs="Arial"/>
            <w:sz w:val="20"/>
            <w:szCs w:val="20"/>
          </w:rPr>
          <w:t>https://doi.org/10.46609/ijsser.2020.v05i01.009</w:t>
        </w:r>
      </w:hyperlink>
    </w:p>
    <w:p w:rsidR="008A0959" w:rsidRPr="0037712D" w:rsidRDefault="008A0959" w:rsidP="008A0959">
      <w:pPr>
        <w:pStyle w:val="NormalWeb"/>
        <w:numPr>
          <w:ilvl w:val="0"/>
          <w:numId w:val="1"/>
        </w:numPr>
        <w:spacing w:line="276" w:lineRule="auto"/>
        <w:jc w:val="both"/>
        <w:rPr>
          <w:rFonts w:ascii="Arial" w:hAnsi="Arial" w:cs="Arial"/>
          <w:sz w:val="20"/>
          <w:szCs w:val="20"/>
        </w:rPr>
      </w:pPr>
      <w:proofErr w:type="spellStart"/>
      <w:r w:rsidRPr="0037712D">
        <w:rPr>
          <w:rFonts w:ascii="Arial" w:hAnsi="Arial" w:cs="Arial"/>
          <w:sz w:val="20"/>
          <w:szCs w:val="20"/>
        </w:rPr>
        <w:t>Parwin</w:t>
      </w:r>
      <w:proofErr w:type="spellEnd"/>
      <w:r w:rsidRPr="0037712D">
        <w:rPr>
          <w:rFonts w:ascii="Arial" w:hAnsi="Arial" w:cs="Arial"/>
          <w:sz w:val="20"/>
          <w:szCs w:val="20"/>
        </w:rPr>
        <w:t xml:space="preserve">, N., Dixit, S., Sahoo, S., Sahoo, R., &amp; </w:t>
      </w:r>
      <w:proofErr w:type="spellStart"/>
      <w:r w:rsidRPr="0037712D">
        <w:rPr>
          <w:rFonts w:ascii="Arial" w:hAnsi="Arial" w:cs="Arial"/>
          <w:sz w:val="20"/>
          <w:szCs w:val="20"/>
        </w:rPr>
        <w:t>Subudhi</w:t>
      </w:r>
      <w:proofErr w:type="spellEnd"/>
      <w:r w:rsidRPr="0037712D">
        <w:rPr>
          <w:rFonts w:ascii="Arial" w:hAnsi="Arial" w:cs="Arial"/>
          <w:sz w:val="20"/>
          <w:szCs w:val="20"/>
        </w:rPr>
        <w:t xml:space="preserve">, E. (2024). Assessment of the surface water quality and primary health risk in urban wastewater and its receiving river </w:t>
      </w:r>
      <w:proofErr w:type="spellStart"/>
      <w:r w:rsidRPr="0037712D">
        <w:rPr>
          <w:rFonts w:ascii="Arial" w:hAnsi="Arial" w:cs="Arial"/>
          <w:sz w:val="20"/>
          <w:szCs w:val="20"/>
        </w:rPr>
        <w:t>Kathajodi</w:t>
      </w:r>
      <w:proofErr w:type="spellEnd"/>
      <w:r w:rsidRPr="0037712D">
        <w:rPr>
          <w:rFonts w:ascii="Arial" w:hAnsi="Arial" w:cs="Arial"/>
          <w:sz w:val="20"/>
          <w:szCs w:val="20"/>
        </w:rPr>
        <w:t xml:space="preserve">, Cuttack of eastern India. </w:t>
      </w:r>
      <w:r w:rsidRPr="0037712D">
        <w:rPr>
          <w:rStyle w:val="Emphasis"/>
          <w:rFonts w:ascii="Arial" w:hAnsi="Arial" w:cs="Arial"/>
          <w:sz w:val="20"/>
          <w:szCs w:val="20"/>
        </w:rPr>
        <w:t>Environmental Monitoring and Assessment, 196</w:t>
      </w:r>
      <w:r w:rsidRPr="0037712D">
        <w:rPr>
          <w:rFonts w:ascii="Arial" w:hAnsi="Arial" w:cs="Arial"/>
          <w:sz w:val="20"/>
          <w:szCs w:val="20"/>
        </w:rPr>
        <w:t xml:space="preserve">(6), 551. </w:t>
      </w:r>
      <w:hyperlink r:id="rId27" w:tgtFrame="_new" w:history="1">
        <w:r w:rsidRPr="0037712D">
          <w:rPr>
            <w:rStyle w:val="Hyperlink"/>
            <w:rFonts w:ascii="Arial" w:hAnsi="Arial" w:cs="Arial"/>
            <w:sz w:val="20"/>
            <w:szCs w:val="20"/>
          </w:rPr>
          <w:t>https://doi.org/10.1007/s10661-024-12683-2</w:t>
        </w:r>
      </w:hyperlink>
    </w:p>
    <w:p w:rsidR="008A0959" w:rsidRPr="0037712D" w:rsidRDefault="008A0959" w:rsidP="008A0959">
      <w:pPr>
        <w:pStyle w:val="NormalWeb"/>
        <w:numPr>
          <w:ilvl w:val="0"/>
          <w:numId w:val="1"/>
        </w:numPr>
        <w:spacing w:line="276" w:lineRule="auto"/>
        <w:jc w:val="both"/>
        <w:rPr>
          <w:rFonts w:ascii="Arial" w:hAnsi="Arial" w:cs="Arial"/>
          <w:sz w:val="20"/>
          <w:szCs w:val="20"/>
        </w:rPr>
      </w:pPr>
      <w:r w:rsidRPr="0037712D">
        <w:rPr>
          <w:rFonts w:ascii="Arial" w:hAnsi="Arial" w:cs="Arial"/>
          <w:sz w:val="20"/>
          <w:szCs w:val="20"/>
        </w:rPr>
        <w:t xml:space="preserve">Patel, A., </w:t>
      </w:r>
      <w:proofErr w:type="spellStart"/>
      <w:r w:rsidRPr="0037712D">
        <w:rPr>
          <w:rFonts w:ascii="Arial" w:hAnsi="Arial" w:cs="Arial"/>
          <w:sz w:val="20"/>
          <w:szCs w:val="20"/>
        </w:rPr>
        <w:t>Choubey</w:t>
      </w:r>
      <w:proofErr w:type="spellEnd"/>
      <w:r w:rsidRPr="0037712D">
        <w:rPr>
          <w:rFonts w:ascii="Arial" w:hAnsi="Arial" w:cs="Arial"/>
          <w:sz w:val="20"/>
          <w:szCs w:val="20"/>
        </w:rPr>
        <w:t xml:space="preserve">, S., &amp; </w:t>
      </w:r>
      <w:proofErr w:type="spellStart"/>
      <w:r w:rsidRPr="0037712D">
        <w:rPr>
          <w:rFonts w:ascii="Arial" w:hAnsi="Arial" w:cs="Arial"/>
          <w:sz w:val="20"/>
          <w:szCs w:val="20"/>
        </w:rPr>
        <w:t>Sahu</w:t>
      </w:r>
      <w:proofErr w:type="spellEnd"/>
      <w:r w:rsidRPr="0037712D">
        <w:rPr>
          <w:rFonts w:ascii="Arial" w:hAnsi="Arial" w:cs="Arial"/>
          <w:sz w:val="20"/>
          <w:szCs w:val="20"/>
        </w:rPr>
        <w:t xml:space="preserve">, K. (2025). Use of natural coagulants from fruit peels for wastewater treatment in the industrial area of </w:t>
      </w:r>
      <w:proofErr w:type="spellStart"/>
      <w:r w:rsidRPr="0037712D">
        <w:rPr>
          <w:rFonts w:ascii="Arial" w:hAnsi="Arial" w:cs="Arial"/>
          <w:sz w:val="20"/>
          <w:szCs w:val="20"/>
        </w:rPr>
        <w:t>Mahasamund</w:t>
      </w:r>
      <w:proofErr w:type="spellEnd"/>
      <w:r w:rsidRPr="0037712D">
        <w:rPr>
          <w:rFonts w:ascii="Arial" w:hAnsi="Arial" w:cs="Arial"/>
          <w:sz w:val="20"/>
          <w:szCs w:val="20"/>
        </w:rPr>
        <w:t xml:space="preserve"> district, Chhattisgarh (India). </w:t>
      </w:r>
      <w:r w:rsidRPr="0037712D">
        <w:rPr>
          <w:rStyle w:val="Emphasis"/>
          <w:rFonts w:ascii="Arial" w:hAnsi="Arial" w:cs="Arial"/>
          <w:sz w:val="20"/>
          <w:szCs w:val="20"/>
        </w:rPr>
        <w:t>International Journal on Science and Technology.</w:t>
      </w:r>
      <w:r w:rsidRPr="0037712D">
        <w:rPr>
          <w:rFonts w:ascii="Arial" w:hAnsi="Arial" w:cs="Arial"/>
          <w:sz w:val="20"/>
          <w:szCs w:val="20"/>
        </w:rPr>
        <w:t xml:space="preserve"> </w:t>
      </w:r>
      <w:hyperlink r:id="rId28" w:tgtFrame="_new" w:history="1">
        <w:r w:rsidRPr="0037712D">
          <w:rPr>
            <w:rStyle w:val="Hyperlink"/>
            <w:rFonts w:ascii="Arial" w:hAnsi="Arial" w:cs="Arial"/>
            <w:sz w:val="20"/>
            <w:szCs w:val="20"/>
          </w:rPr>
          <w:t>https://doi.org/10.71097/ijsat.v16.i2.3496</w:t>
        </w:r>
      </w:hyperlink>
    </w:p>
    <w:p w:rsidR="008A0959" w:rsidRPr="0037712D" w:rsidRDefault="008A0959" w:rsidP="008A0959">
      <w:pPr>
        <w:pStyle w:val="NormalWeb"/>
        <w:numPr>
          <w:ilvl w:val="0"/>
          <w:numId w:val="1"/>
        </w:numPr>
        <w:spacing w:line="276" w:lineRule="auto"/>
        <w:jc w:val="both"/>
        <w:rPr>
          <w:rFonts w:ascii="Arial" w:hAnsi="Arial" w:cs="Arial"/>
          <w:sz w:val="20"/>
          <w:szCs w:val="20"/>
        </w:rPr>
      </w:pPr>
      <w:r w:rsidRPr="0037712D">
        <w:rPr>
          <w:rFonts w:ascii="Arial" w:hAnsi="Arial" w:cs="Arial"/>
          <w:sz w:val="20"/>
          <w:szCs w:val="20"/>
        </w:rPr>
        <w:t xml:space="preserve">Patel, M., &amp; Pandey, S. (2020). Impact evaluation of the scheme on SRI implementation in </w:t>
      </w:r>
      <w:proofErr w:type="spellStart"/>
      <w:r w:rsidRPr="0037712D">
        <w:rPr>
          <w:rFonts w:ascii="Arial" w:hAnsi="Arial" w:cs="Arial"/>
          <w:sz w:val="20"/>
          <w:szCs w:val="20"/>
        </w:rPr>
        <w:t>Mahasamund</w:t>
      </w:r>
      <w:proofErr w:type="spellEnd"/>
      <w:r w:rsidRPr="0037712D">
        <w:rPr>
          <w:rFonts w:ascii="Arial" w:hAnsi="Arial" w:cs="Arial"/>
          <w:sz w:val="20"/>
          <w:szCs w:val="20"/>
        </w:rPr>
        <w:t xml:space="preserve"> district of Chhattisgarh. </w:t>
      </w:r>
      <w:r w:rsidRPr="0037712D">
        <w:rPr>
          <w:rStyle w:val="Emphasis"/>
          <w:rFonts w:ascii="Arial" w:hAnsi="Arial" w:cs="Arial"/>
          <w:sz w:val="20"/>
          <w:szCs w:val="20"/>
        </w:rPr>
        <w:t>Journal of Pharmacognosy and Phytochemistry, 9</w:t>
      </w:r>
      <w:r w:rsidRPr="0037712D">
        <w:rPr>
          <w:rFonts w:ascii="Arial" w:hAnsi="Arial" w:cs="Arial"/>
          <w:sz w:val="20"/>
          <w:szCs w:val="20"/>
        </w:rPr>
        <w:t>, 379–382.</w:t>
      </w:r>
    </w:p>
    <w:p w:rsidR="008A0959" w:rsidRPr="0037712D" w:rsidRDefault="008A0959" w:rsidP="008A0959">
      <w:pPr>
        <w:pStyle w:val="NormalWeb"/>
        <w:numPr>
          <w:ilvl w:val="0"/>
          <w:numId w:val="1"/>
        </w:numPr>
        <w:spacing w:line="276" w:lineRule="auto"/>
        <w:jc w:val="both"/>
        <w:rPr>
          <w:rFonts w:ascii="Arial" w:hAnsi="Arial" w:cs="Arial"/>
          <w:sz w:val="20"/>
          <w:szCs w:val="20"/>
        </w:rPr>
      </w:pPr>
      <w:r w:rsidRPr="0037712D">
        <w:rPr>
          <w:rFonts w:ascii="Arial" w:hAnsi="Arial" w:cs="Arial"/>
          <w:sz w:val="20"/>
          <w:szCs w:val="20"/>
        </w:rPr>
        <w:lastRenderedPageBreak/>
        <w:t xml:space="preserve">Patel, M., &amp; Pandey, S. (2024). Resource use efficiency of groundnut production in </w:t>
      </w:r>
      <w:proofErr w:type="spellStart"/>
      <w:r w:rsidRPr="0037712D">
        <w:rPr>
          <w:rFonts w:ascii="Arial" w:hAnsi="Arial" w:cs="Arial"/>
          <w:sz w:val="20"/>
          <w:szCs w:val="20"/>
        </w:rPr>
        <w:t>Mahasamund</w:t>
      </w:r>
      <w:proofErr w:type="spellEnd"/>
      <w:r w:rsidRPr="0037712D">
        <w:rPr>
          <w:rFonts w:ascii="Arial" w:hAnsi="Arial" w:cs="Arial"/>
          <w:sz w:val="20"/>
          <w:szCs w:val="20"/>
        </w:rPr>
        <w:t xml:space="preserve"> and </w:t>
      </w:r>
      <w:proofErr w:type="spellStart"/>
      <w:r w:rsidRPr="0037712D">
        <w:rPr>
          <w:rFonts w:ascii="Arial" w:hAnsi="Arial" w:cs="Arial"/>
          <w:sz w:val="20"/>
          <w:szCs w:val="20"/>
        </w:rPr>
        <w:t>Raigarh</w:t>
      </w:r>
      <w:proofErr w:type="spellEnd"/>
      <w:r w:rsidRPr="0037712D">
        <w:rPr>
          <w:rFonts w:ascii="Arial" w:hAnsi="Arial" w:cs="Arial"/>
          <w:sz w:val="20"/>
          <w:szCs w:val="20"/>
        </w:rPr>
        <w:t xml:space="preserve"> districts of Chhattisgarh in India. </w:t>
      </w:r>
      <w:r w:rsidRPr="0037712D">
        <w:rPr>
          <w:rStyle w:val="Emphasis"/>
          <w:rFonts w:ascii="Arial" w:hAnsi="Arial" w:cs="Arial"/>
          <w:sz w:val="20"/>
          <w:szCs w:val="20"/>
        </w:rPr>
        <w:t>Journal of Scientific Research and Reports.</w:t>
      </w:r>
      <w:r w:rsidRPr="0037712D">
        <w:rPr>
          <w:rFonts w:ascii="Arial" w:hAnsi="Arial" w:cs="Arial"/>
          <w:sz w:val="20"/>
          <w:szCs w:val="20"/>
        </w:rPr>
        <w:t xml:space="preserve"> </w:t>
      </w:r>
      <w:hyperlink r:id="rId29" w:tgtFrame="_new" w:history="1">
        <w:r w:rsidRPr="0037712D">
          <w:rPr>
            <w:rStyle w:val="Hyperlink"/>
            <w:rFonts w:ascii="Arial" w:hAnsi="Arial" w:cs="Arial"/>
            <w:sz w:val="20"/>
            <w:szCs w:val="20"/>
          </w:rPr>
          <w:t>https://doi.org/10.9734/jsrr/2024/v30i72119</w:t>
        </w:r>
      </w:hyperlink>
    </w:p>
    <w:p w:rsidR="008A0959" w:rsidRPr="0037712D" w:rsidRDefault="008A0959" w:rsidP="008A0959">
      <w:pPr>
        <w:pStyle w:val="NormalWeb"/>
        <w:numPr>
          <w:ilvl w:val="0"/>
          <w:numId w:val="1"/>
        </w:numPr>
        <w:spacing w:line="276" w:lineRule="auto"/>
        <w:jc w:val="both"/>
        <w:rPr>
          <w:rFonts w:ascii="Arial" w:hAnsi="Arial" w:cs="Arial"/>
          <w:sz w:val="20"/>
          <w:szCs w:val="20"/>
        </w:rPr>
      </w:pPr>
      <w:proofErr w:type="spellStart"/>
      <w:r w:rsidRPr="0037712D">
        <w:rPr>
          <w:rFonts w:ascii="Arial" w:hAnsi="Arial" w:cs="Arial"/>
          <w:sz w:val="20"/>
          <w:szCs w:val="20"/>
        </w:rPr>
        <w:t>Sahu</w:t>
      </w:r>
      <w:proofErr w:type="spellEnd"/>
      <w:r w:rsidRPr="0037712D">
        <w:rPr>
          <w:rFonts w:ascii="Arial" w:hAnsi="Arial" w:cs="Arial"/>
          <w:sz w:val="20"/>
          <w:szCs w:val="20"/>
        </w:rPr>
        <w:t xml:space="preserve">, K. (2025). Impact of rice mill wastewater on the water quality of river: A case study from </w:t>
      </w:r>
      <w:proofErr w:type="spellStart"/>
      <w:r w:rsidRPr="0037712D">
        <w:rPr>
          <w:rFonts w:ascii="Arial" w:hAnsi="Arial" w:cs="Arial"/>
          <w:sz w:val="20"/>
          <w:szCs w:val="20"/>
        </w:rPr>
        <w:t>Rajim</w:t>
      </w:r>
      <w:proofErr w:type="spellEnd"/>
      <w:r w:rsidRPr="0037712D">
        <w:rPr>
          <w:rFonts w:ascii="Arial" w:hAnsi="Arial" w:cs="Arial"/>
          <w:sz w:val="20"/>
          <w:szCs w:val="20"/>
        </w:rPr>
        <w:t xml:space="preserve">, Chhattisgarh. </w:t>
      </w:r>
      <w:r w:rsidRPr="0037712D">
        <w:rPr>
          <w:rStyle w:val="Emphasis"/>
          <w:rFonts w:ascii="Arial" w:hAnsi="Arial" w:cs="Arial"/>
          <w:sz w:val="20"/>
          <w:szCs w:val="20"/>
        </w:rPr>
        <w:t>International Journal for Multidisciplinary Research.</w:t>
      </w:r>
      <w:r w:rsidRPr="0037712D">
        <w:rPr>
          <w:rFonts w:ascii="Arial" w:hAnsi="Arial" w:cs="Arial"/>
          <w:sz w:val="20"/>
          <w:szCs w:val="20"/>
        </w:rPr>
        <w:t xml:space="preserve"> </w:t>
      </w:r>
      <w:hyperlink r:id="rId30" w:tgtFrame="_new" w:history="1">
        <w:r w:rsidRPr="0037712D">
          <w:rPr>
            <w:rStyle w:val="Hyperlink"/>
            <w:rFonts w:ascii="Arial" w:hAnsi="Arial" w:cs="Arial"/>
            <w:sz w:val="20"/>
            <w:szCs w:val="20"/>
          </w:rPr>
          <w:t>https://doi.org/10.36948/ijfmr.2025.v07i02.42176</w:t>
        </w:r>
      </w:hyperlink>
    </w:p>
    <w:p w:rsidR="008A0959" w:rsidRPr="0037712D" w:rsidRDefault="008A0959" w:rsidP="008A0959">
      <w:pPr>
        <w:pStyle w:val="NormalWeb"/>
        <w:numPr>
          <w:ilvl w:val="0"/>
          <w:numId w:val="1"/>
        </w:numPr>
        <w:spacing w:line="276" w:lineRule="auto"/>
        <w:jc w:val="both"/>
        <w:rPr>
          <w:rFonts w:ascii="Arial" w:hAnsi="Arial" w:cs="Arial"/>
          <w:sz w:val="20"/>
          <w:szCs w:val="20"/>
        </w:rPr>
      </w:pPr>
      <w:proofErr w:type="spellStart"/>
      <w:r w:rsidRPr="0037712D">
        <w:rPr>
          <w:rFonts w:ascii="Arial" w:hAnsi="Arial" w:cs="Arial"/>
          <w:sz w:val="20"/>
          <w:szCs w:val="20"/>
        </w:rPr>
        <w:t>Sahu</w:t>
      </w:r>
      <w:proofErr w:type="spellEnd"/>
      <w:r w:rsidRPr="0037712D">
        <w:rPr>
          <w:rFonts w:ascii="Arial" w:hAnsi="Arial" w:cs="Arial"/>
          <w:sz w:val="20"/>
          <w:szCs w:val="20"/>
        </w:rPr>
        <w:t xml:space="preserve">, S., Dani, A. P., </w:t>
      </w:r>
      <w:proofErr w:type="spellStart"/>
      <w:r w:rsidRPr="0037712D">
        <w:rPr>
          <w:rFonts w:ascii="Arial" w:hAnsi="Arial" w:cs="Arial"/>
          <w:sz w:val="20"/>
          <w:szCs w:val="20"/>
        </w:rPr>
        <w:t>Shrivas</w:t>
      </w:r>
      <w:proofErr w:type="spellEnd"/>
      <w:r w:rsidRPr="0037712D">
        <w:rPr>
          <w:rFonts w:ascii="Arial" w:hAnsi="Arial" w:cs="Arial"/>
          <w:sz w:val="20"/>
          <w:szCs w:val="20"/>
        </w:rPr>
        <w:t xml:space="preserve">, R., &amp; Kumar, Y. (2022). Physicochemical and microbial analysis of wastewater from food industry effluent near </w:t>
      </w:r>
      <w:proofErr w:type="spellStart"/>
      <w:r w:rsidRPr="0037712D">
        <w:rPr>
          <w:rFonts w:ascii="Arial" w:hAnsi="Arial" w:cs="Arial"/>
          <w:sz w:val="20"/>
          <w:szCs w:val="20"/>
        </w:rPr>
        <w:t>Kuthrel</w:t>
      </w:r>
      <w:proofErr w:type="spellEnd"/>
      <w:r w:rsidRPr="0037712D">
        <w:rPr>
          <w:rFonts w:ascii="Arial" w:hAnsi="Arial" w:cs="Arial"/>
          <w:sz w:val="20"/>
          <w:szCs w:val="20"/>
        </w:rPr>
        <w:t xml:space="preserve"> area, </w:t>
      </w:r>
      <w:proofErr w:type="spellStart"/>
      <w:r w:rsidRPr="0037712D">
        <w:rPr>
          <w:rFonts w:ascii="Arial" w:hAnsi="Arial" w:cs="Arial"/>
          <w:sz w:val="20"/>
          <w:szCs w:val="20"/>
        </w:rPr>
        <w:t>Durg</w:t>
      </w:r>
      <w:proofErr w:type="spellEnd"/>
      <w:r w:rsidRPr="0037712D">
        <w:rPr>
          <w:rFonts w:ascii="Arial" w:hAnsi="Arial" w:cs="Arial"/>
          <w:sz w:val="20"/>
          <w:szCs w:val="20"/>
        </w:rPr>
        <w:t xml:space="preserve"> district, Chhattisgarh. </w:t>
      </w:r>
      <w:r w:rsidRPr="0037712D">
        <w:rPr>
          <w:rStyle w:val="Emphasis"/>
          <w:rFonts w:ascii="Arial" w:hAnsi="Arial" w:cs="Arial"/>
          <w:sz w:val="20"/>
          <w:szCs w:val="20"/>
        </w:rPr>
        <w:t>International Journal for Research in Applied Science and Engineering Technology.</w:t>
      </w:r>
      <w:r w:rsidRPr="0037712D">
        <w:rPr>
          <w:rFonts w:ascii="Arial" w:hAnsi="Arial" w:cs="Arial"/>
          <w:sz w:val="20"/>
          <w:szCs w:val="20"/>
        </w:rPr>
        <w:t xml:space="preserve"> </w:t>
      </w:r>
      <w:hyperlink r:id="rId31" w:tgtFrame="_new" w:history="1">
        <w:r w:rsidRPr="0037712D">
          <w:rPr>
            <w:rStyle w:val="Hyperlink"/>
            <w:rFonts w:ascii="Arial" w:hAnsi="Arial" w:cs="Arial"/>
            <w:sz w:val="20"/>
            <w:szCs w:val="20"/>
          </w:rPr>
          <w:t>https://doi.org/10.22214/ijraset.2022.43140</w:t>
        </w:r>
      </w:hyperlink>
    </w:p>
    <w:p w:rsidR="008A0959" w:rsidRPr="00250C26" w:rsidRDefault="008A0959" w:rsidP="008A0959">
      <w:pPr>
        <w:pStyle w:val="NormalWeb"/>
        <w:numPr>
          <w:ilvl w:val="0"/>
          <w:numId w:val="1"/>
        </w:numPr>
        <w:spacing w:line="276" w:lineRule="auto"/>
        <w:jc w:val="both"/>
        <w:rPr>
          <w:rFonts w:ascii="Arial" w:hAnsi="Arial" w:cs="Arial"/>
          <w:sz w:val="20"/>
          <w:szCs w:val="20"/>
        </w:rPr>
      </w:pPr>
      <w:r w:rsidRPr="0037712D">
        <w:rPr>
          <w:rFonts w:ascii="Arial" w:hAnsi="Arial" w:cs="Arial"/>
          <w:sz w:val="20"/>
          <w:szCs w:val="20"/>
        </w:rPr>
        <w:t xml:space="preserve">Singh, B., Chakraborty, A., &amp; Sehgal, R. (2023). A systematic review of industrial wastewater management: Evaluating challenges and enablers. </w:t>
      </w:r>
      <w:r w:rsidRPr="0037712D">
        <w:rPr>
          <w:rStyle w:val="Emphasis"/>
          <w:rFonts w:ascii="Arial" w:hAnsi="Arial" w:cs="Arial"/>
          <w:sz w:val="20"/>
          <w:szCs w:val="20"/>
        </w:rPr>
        <w:t>Journal of Environmental Management, 348</w:t>
      </w:r>
      <w:r w:rsidRPr="0037712D">
        <w:rPr>
          <w:rFonts w:ascii="Arial" w:hAnsi="Arial" w:cs="Arial"/>
          <w:sz w:val="20"/>
          <w:szCs w:val="20"/>
        </w:rPr>
        <w:t xml:space="preserve">, 119230. </w:t>
      </w:r>
      <w:hyperlink r:id="rId32" w:tgtFrame="_new" w:history="1">
        <w:r w:rsidRPr="0037712D">
          <w:rPr>
            <w:rStyle w:val="Hyperlink"/>
            <w:rFonts w:ascii="Arial" w:hAnsi="Arial" w:cs="Arial"/>
            <w:sz w:val="20"/>
            <w:szCs w:val="20"/>
          </w:rPr>
          <w:t>https://doi.org/10.1016/j.jenvman.2023.119230</w:t>
        </w:r>
      </w:hyperlink>
    </w:p>
    <w:p w:rsidR="00250C26" w:rsidRPr="00250C26" w:rsidRDefault="00250C26" w:rsidP="00250C26">
      <w:pPr>
        <w:numPr>
          <w:ilvl w:val="0"/>
          <w:numId w:val="1"/>
        </w:numPr>
        <w:spacing w:before="240" w:after="240" w:line="276" w:lineRule="auto"/>
        <w:rPr>
          <w:rFonts w:ascii="Arial" w:hAnsi="Arial" w:cs="Arial"/>
          <w:sz w:val="20"/>
          <w:szCs w:val="20"/>
        </w:rPr>
      </w:pPr>
      <w:r w:rsidRPr="00250C26">
        <w:rPr>
          <w:rFonts w:ascii="Arial" w:hAnsi="Arial" w:cs="Arial"/>
          <w:sz w:val="20"/>
          <w:szCs w:val="20"/>
        </w:rPr>
        <w:t xml:space="preserve">Song, J., Wu, H., Yuan, H., Wu, J., Qi, W., Lu, J., &amp; Li, Y. Y. (2022). </w:t>
      </w:r>
      <w:r w:rsidRPr="00250C26">
        <w:rPr>
          <w:rFonts w:ascii="Arial" w:hAnsi="Arial" w:cs="Arial"/>
          <w:i/>
          <w:sz w:val="20"/>
          <w:szCs w:val="20"/>
        </w:rPr>
        <w:t xml:space="preserve">Reclamation of pharmaceutical wastewater by UAF, contact oxidation, and auto brush-cleaning aiding </w:t>
      </w:r>
      <w:proofErr w:type="spellStart"/>
      <w:r w:rsidRPr="00250C26">
        <w:rPr>
          <w:rFonts w:ascii="Arial" w:hAnsi="Arial" w:cs="Arial"/>
          <w:i/>
          <w:sz w:val="20"/>
          <w:szCs w:val="20"/>
        </w:rPr>
        <w:t>nano</w:t>
      </w:r>
      <w:proofErr w:type="spellEnd"/>
      <w:r w:rsidRPr="00250C26">
        <w:rPr>
          <w:rFonts w:ascii="Arial" w:hAnsi="Arial" w:cs="Arial"/>
          <w:i/>
          <w:sz w:val="20"/>
          <w:szCs w:val="20"/>
        </w:rPr>
        <w:t xml:space="preserve"> </w:t>
      </w:r>
      <w:proofErr w:type="spellStart"/>
      <w:r w:rsidRPr="00250C26">
        <w:rPr>
          <w:rFonts w:ascii="Arial" w:hAnsi="Arial" w:cs="Arial"/>
          <w:i/>
          <w:sz w:val="20"/>
          <w:szCs w:val="20"/>
        </w:rPr>
        <w:t>ZrO</w:t>
      </w:r>
      <w:proofErr w:type="spellEnd"/>
      <w:r w:rsidRPr="00250C26">
        <w:rPr>
          <w:rFonts w:ascii="Cambria Math" w:hAnsi="Cambria Math" w:cs="Cambria Math"/>
          <w:i/>
          <w:sz w:val="20"/>
          <w:szCs w:val="20"/>
        </w:rPr>
        <w:t>₂</w:t>
      </w:r>
      <w:r w:rsidRPr="00250C26">
        <w:rPr>
          <w:rFonts w:ascii="Arial" w:hAnsi="Arial" w:cs="Arial"/>
          <w:i/>
          <w:sz w:val="20"/>
          <w:szCs w:val="20"/>
        </w:rPr>
        <w:t xml:space="preserve"> coated ceramic membrane MBR—an industrial-scale practice and functional microbial diversity.</w:t>
      </w:r>
      <w:r w:rsidRPr="00250C26">
        <w:rPr>
          <w:rFonts w:ascii="Arial" w:hAnsi="Arial" w:cs="Arial"/>
          <w:sz w:val="20"/>
          <w:szCs w:val="20"/>
        </w:rPr>
        <w:t xml:space="preserve"> Journal of Water P</w:t>
      </w:r>
      <w:r>
        <w:rPr>
          <w:rFonts w:ascii="Arial" w:hAnsi="Arial" w:cs="Arial"/>
          <w:sz w:val="20"/>
          <w:szCs w:val="20"/>
        </w:rPr>
        <w:t>rocess Engineering, 46, 102563.</w:t>
      </w:r>
    </w:p>
    <w:p w:rsidR="00250C26" w:rsidRPr="0037712D" w:rsidRDefault="00250C26" w:rsidP="00250C26">
      <w:pPr>
        <w:pStyle w:val="NormalWeb"/>
        <w:numPr>
          <w:ilvl w:val="0"/>
          <w:numId w:val="1"/>
        </w:numPr>
        <w:spacing w:line="276" w:lineRule="auto"/>
        <w:jc w:val="both"/>
        <w:rPr>
          <w:rFonts w:ascii="Arial" w:hAnsi="Arial" w:cs="Arial"/>
          <w:sz w:val="20"/>
          <w:szCs w:val="20"/>
        </w:rPr>
      </w:pPr>
      <w:r w:rsidRPr="0037712D">
        <w:rPr>
          <w:rFonts w:ascii="Arial" w:hAnsi="Arial" w:cs="Arial"/>
          <w:sz w:val="20"/>
          <w:szCs w:val="20"/>
        </w:rPr>
        <w:t xml:space="preserve">Thakur, S. S., &amp; </w:t>
      </w:r>
      <w:proofErr w:type="spellStart"/>
      <w:r w:rsidRPr="0037712D">
        <w:rPr>
          <w:rFonts w:ascii="Arial" w:hAnsi="Arial" w:cs="Arial"/>
          <w:sz w:val="20"/>
          <w:szCs w:val="20"/>
        </w:rPr>
        <w:t>Choubey</w:t>
      </w:r>
      <w:proofErr w:type="spellEnd"/>
      <w:r w:rsidRPr="0037712D">
        <w:rPr>
          <w:rFonts w:ascii="Arial" w:hAnsi="Arial" w:cs="Arial"/>
          <w:sz w:val="20"/>
          <w:szCs w:val="20"/>
        </w:rPr>
        <w:t xml:space="preserve">, S. (2014). Use of tannin-based natural coagulants for water treatment: An alternative to inorganic chemicals. </w:t>
      </w:r>
      <w:r w:rsidRPr="0037712D">
        <w:rPr>
          <w:rStyle w:val="Emphasis"/>
          <w:rFonts w:ascii="Arial" w:hAnsi="Arial" w:cs="Arial"/>
          <w:sz w:val="20"/>
          <w:szCs w:val="20"/>
        </w:rPr>
        <w:t xml:space="preserve">International Journal of </w:t>
      </w:r>
      <w:proofErr w:type="spellStart"/>
      <w:r w:rsidRPr="0037712D">
        <w:rPr>
          <w:rStyle w:val="Emphasis"/>
          <w:rFonts w:ascii="Arial" w:hAnsi="Arial" w:cs="Arial"/>
          <w:sz w:val="20"/>
          <w:szCs w:val="20"/>
        </w:rPr>
        <w:t>ChemTech</w:t>
      </w:r>
      <w:proofErr w:type="spellEnd"/>
      <w:r w:rsidRPr="0037712D">
        <w:rPr>
          <w:rStyle w:val="Emphasis"/>
          <w:rFonts w:ascii="Arial" w:hAnsi="Arial" w:cs="Arial"/>
          <w:sz w:val="20"/>
          <w:szCs w:val="20"/>
        </w:rPr>
        <w:t xml:space="preserve"> Research, 6</w:t>
      </w:r>
      <w:r w:rsidRPr="0037712D">
        <w:rPr>
          <w:rFonts w:ascii="Arial" w:hAnsi="Arial" w:cs="Arial"/>
          <w:sz w:val="20"/>
          <w:szCs w:val="20"/>
        </w:rPr>
        <w:t>(7), 3628–3634. ISSN: 0974-4290.</w:t>
      </w:r>
    </w:p>
    <w:p w:rsidR="00250C26" w:rsidRPr="0037712D" w:rsidRDefault="00250C26" w:rsidP="00250C26">
      <w:pPr>
        <w:pStyle w:val="NormalWeb"/>
        <w:numPr>
          <w:ilvl w:val="0"/>
          <w:numId w:val="1"/>
        </w:numPr>
        <w:spacing w:line="276" w:lineRule="auto"/>
        <w:jc w:val="both"/>
        <w:rPr>
          <w:rFonts w:ascii="Arial" w:hAnsi="Arial" w:cs="Arial"/>
          <w:sz w:val="20"/>
          <w:szCs w:val="20"/>
        </w:rPr>
      </w:pPr>
      <w:r w:rsidRPr="0037712D">
        <w:rPr>
          <w:rFonts w:ascii="Arial" w:hAnsi="Arial" w:cs="Arial"/>
          <w:sz w:val="20"/>
          <w:szCs w:val="20"/>
        </w:rPr>
        <w:t xml:space="preserve">Vaidya, R., Verma, K., Kumar, M., </w:t>
      </w:r>
      <w:proofErr w:type="spellStart"/>
      <w:r w:rsidRPr="0037712D">
        <w:rPr>
          <w:rFonts w:ascii="Arial" w:hAnsi="Arial" w:cs="Arial"/>
          <w:sz w:val="20"/>
          <w:szCs w:val="20"/>
        </w:rPr>
        <w:t>Hoysall</w:t>
      </w:r>
      <w:proofErr w:type="spellEnd"/>
      <w:r w:rsidRPr="0037712D">
        <w:rPr>
          <w:rFonts w:ascii="Arial" w:hAnsi="Arial" w:cs="Arial"/>
          <w:sz w:val="20"/>
          <w:szCs w:val="20"/>
        </w:rPr>
        <w:t xml:space="preserve">, C., &amp; Rao, L. (2023). Assessing wastewater management challenges in developing countries: A case study of India, current status and future scope. </w:t>
      </w:r>
      <w:r w:rsidRPr="0037712D">
        <w:rPr>
          <w:rStyle w:val="Emphasis"/>
          <w:rFonts w:ascii="Arial" w:hAnsi="Arial" w:cs="Arial"/>
          <w:sz w:val="20"/>
          <w:szCs w:val="20"/>
        </w:rPr>
        <w:t>Environment, Development and Sustainability</w:t>
      </w:r>
      <w:r w:rsidRPr="0037712D">
        <w:rPr>
          <w:rFonts w:ascii="Arial" w:hAnsi="Arial" w:cs="Arial"/>
          <w:sz w:val="20"/>
          <w:szCs w:val="20"/>
        </w:rPr>
        <w:t xml:space="preserve">, 1–28. </w:t>
      </w:r>
      <w:hyperlink r:id="rId33" w:tgtFrame="_new" w:history="1">
        <w:r w:rsidRPr="0037712D">
          <w:rPr>
            <w:rStyle w:val="Hyperlink"/>
            <w:rFonts w:ascii="Arial" w:hAnsi="Arial" w:cs="Arial"/>
            <w:sz w:val="20"/>
            <w:szCs w:val="20"/>
          </w:rPr>
          <w:t>https://doi.org/10.1007/s10668-023-03540-2</w:t>
        </w:r>
      </w:hyperlink>
      <w:r>
        <w:rPr>
          <w:rFonts w:ascii="Arial" w:hAnsi="Arial" w:cs="Arial Unicode MS" w:hint="cs"/>
          <w:sz w:val="20"/>
          <w:szCs w:val="20"/>
          <w:cs/>
        </w:rPr>
        <w:t>.</w:t>
      </w:r>
    </w:p>
    <w:p w:rsidR="0048109B" w:rsidRPr="00683145" w:rsidRDefault="0048109B" w:rsidP="00250C26">
      <w:pPr>
        <w:pStyle w:val="ListParagraph"/>
        <w:spacing w:line="360" w:lineRule="auto"/>
        <w:jc w:val="both"/>
        <w:rPr>
          <w:rFonts w:ascii="Times New Roman" w:hAnsi="Times New Roman" w:cs="Times New Roman"/>
          <w:lang w:val="de-DE"/>
        </w:rPr>
      </w:pPr>
    </w:p>
    <w:sectPr w:rsidR="0048109B" w:rsidRPr="00683145" w:rsidSect="00214FDC">
      <w:footerReference w:type="default" r:id="rId34"/>
      <w:foot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402" w:rsidRDefault="00967402" w:rsidP="008B1285">
      <w:pPr>
        <w:spacing w:after="0" w:line="240" w:lineRule="auto"/>
      </w:pPr>
      <w:r>
        <w:separator/>
      </w:r>
    </w:p>
  </w:endnote>
  <w:endnote w:type="continuationSeparator" w:id="0">
    <w:p w:rsidR="00967402" w:rsidRDefault="00967402" w:rsidP="008B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759762"/>
      <w:docPartObj>
        <w:docPartGallery w:val="Page Numbers (Bottom of Page)"/>
        <w:docPartUnique/>
      </w:docPartObj>
    </w:sdtPr>
    <w:sdtEndPr>
      <w:rPr>
        <w:noProof/>
      </w:rPr>
    </w:sdtEndPr>
    <w:sdtContent>
      <w:p w:rsidR="00816C7F" w:rsidRDefault="00816C7F">
        <w:pPr>
          <w:pStyle w:val="Footer"/>
          <w:jc w:val="right"/>
        </w:pPr>
        <w:r>
          <w:fldChar w:fldCharType="begin"/>
        </w:r>
        <w:r>
          <w:instrText xml:space="preserve"> PAGE   \* MERGEFORMAT </w:instrText>
        </w:r>
        <w:r>
          <w:fldChar w:fldCharType="separate"/>
        </w:r>
        <w:r w:rsidR="00250C26">
          <w:rPr>
            <w:noProof/>
          </w:rPr>
          <w:t>14</w:t>
        </w:r>
        <w:r>
          <w:rPr>
            <w:noProof/>
          </w:rPr>
          <w:fldChar w:fldCharType="end"/>
        </w:r>
      </w:p>
    </w:sdtContent>
  </w:sdt>
  <w:p w:rsidR="00816C7F" w:rsidRDefault="00816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960655"/>
      <w:docPartObj>
        <w:docPartGallery w:val="Page Numbers (Bottom of Page)"/>
        <w:docPartUnique/>
      </w:docPartObj>
    </w:sdtPr>
    <w:sdtEndPr>
      <w:rPr>
        <w:noProof/>
      </w:rPr>
    </w:sdtEndPr>
    <w:sdtContent>
      <w:p w:rsidR="00816C7F" w:rsidRDefault="00816C7F" w:rsidP="00BC213A">
        <w:pPr>
          <w:pStyle w:val="Footer"/>
        </w:pPr>
        <w:r>
          <w:t xml:space="preserve">                                                                                                                                                                       1                                                                                                                                                              </w:t>
        </w:r>
      </w:p>
    </w:sdtContent>
  </w:sdt>
  <w:p w:rsidR="00816C7F" w:rsidRPr="00214FDC" w:rsidRDefault="00816C7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402" w:rsidRDefault="00967402" w:rsidP="008B1285">
      <w:pPr>
        <w:spacing w:after="0" w:line="240" w:lineRule="auto"/>
      </w:pPr>
      <w:r>
        <w:separator/>
      </w:r>
    </w:p>
  </w:footnote>
  <w:footnote w:type="continuationSeparator" w:id="0">
    <w:p w:rsidR="00967402" w:rsidRDefault="00967402" w:rsidP="008B1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448F"/>
    <w:multiLevelType w:val="multilevel"/>
    <w:tmpl w:val="A7CE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501CD"/>
    <w:multiLevelType w:val="hybridMultilevel"/>
    <w:tmpl w:val="91CA5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B0077"/>
    <w:multiLevelType w:val="multilevel"/>
    <w:tmpl w:val="25BE6ED2"/>
    <w:lvl w:ilvl="0">
      <w:start w:val="2"/>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 w15:restartNumberingAfterBreak="0">
    <w:nsid w:val="1C731B31"/>
    <w:multiLevelType w:val="multilevel"/>
    <w:tmpl w:val="A164F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E0549"/>
    <w:multiLevelType w:val="hybridMultilevel"/>
    <w:tmpl w:val="CB784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A71805"/>
    <w:multiLevelType w:val="multilevel"/>
    <w:tmpl w:val="7B80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079D9"/>
    <w:multiLevelType w:val="multilevel"/>
    <w:tmpl w:val="A25AF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742CEF"/>
    <w:multiLevelType w:val="multilevel"/>
    <w:tmpl w:val="1B783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DF6D14"/>
    <w:multiLevelType w:val="multilevel"/>
    <w:tmpl w:val="DEF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12E7E"/>
    <w:multiLevelType w:val="multilevel"/>
    <w:tmpl w:val="9DA6909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1"/>
  </w:num>
  <w:num w:numId="2">
    <w:abstractNumId w:val="4"/>
  </w:num>
  <w:num w:numId="3">
    <w:abstractNumId w:val="6"/>
  </w:num>
  <w:num w:numId="4">
    <w:abstractNumId w:val="5"/>
  </w:num>
  <w:num w:numId="5">
    <w:abstractNumId w:val="7"/>
  </w:num>
  <w:num w:numId="6">
    <w:abstractNumId w:val="3"/>
  </w:num>
  <w:num w:numId="7">
    <w:abstractNumId w:val="0"/>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787"/>
    <w:rsid w:val="000B3988"/>
    <w:rsid w:val="00130F8F"/>
    <w:rsid w:val="001B5BD1"/>
    <w:rsid w:val="001D2089"/>
    <w:rsid w:val="001F106E"/>
    <w:rsid w:val="001F508A"/>
    <w:rsid w:val="00214FDC"/>
    <w:rsid w:val="00225797"/>
    <w:rsid w:val="00250C26"/>
    <w:rsid w:val="0028499F"/>
    <w:rsid w:val="002E3011"/>
    <w:rsid w:val="00317A4E"/>
    <w:rsid w:val="00450F0D"/>
    <w:rsid w:val="00463D4F"/>
    <w:rsid w:val="0048109B"/>
    <w:rsid w:val="004A43EB"/>
    <w:rsid w:val="00526A90"/>
    <w:rsid w:val="00616ADB"/>
    <w:rsid w:val="00635BBC"/>
    <w:rsid w:val="00635D54"/>
    <w:rsid w:val="00646C1A"/>
    <w:rsid w:val="00665C34"/>
    <w:rsid w:val="00683145"/>
    <w:rsid w:val="006A5416"/>
    <w:rsid w:val="007A22BB"/>
    <w:rsid w:val="007A2FD9"/>
    <w:rsid w:val="007E3FE0"/>
    <w:rsid w:val="00816C7F"/>
    <w:rsid w:val="00854D42"/>
    <w:rsid w:val="008A0959"/>
    <w:rsid w:val="008B1285"/>
    <w:rsid w:val="00930B4D"/>
    <w:rsid w:val="00951AC6"/>
    <w:rsid w:val="0096244D"/>
    <w:rsid w:val="00966B23"/>
    <w:rsid w:val="00967402"/>
    <w:rsid w:val="009A0F46"/>
    <w:rsid w:val="009D3059"/>
    <w:rsid w:val="00A0238F"/>
    <w:rsid w:val="00A30B19"/>
    <w:rsid w:val="00A4766B"/>
    <w:rsid w:val="00AF1A21"/>
    <w:rsid w:val="00AF2356"/>
    <w:rsid w:val="00B14DA0"/>
    <w:rsid w:val="00B20428"/>
    <w:rsid w:val="00B9740A"/>
    <w:rsid w:val="00BB63BF"/>
    <w:rsid w:val="00BC213A"/>
    <w:rsid w:val="00C02596"/>
    <w:rsid w:val="00C71EB7"/>
    <w:rsid w:val="00CC6B31"/>
    <w:rsid w:val="00D41F86"/>
    <w:rsid w:val="00D66347"/>
    <w:rsid w:val="00D81A4B"/>
    <w:rsid w:val="00E02375"/>
    <w:rsid w:val="00E73787"/>
    <w:rsid w:val="00EA6555"/>
    <w:rsid w:val="00F36B60"/>
    <w:rsid w:val="00F51583"/>
    <w:rsid w:val="00F82774"/>
    <w:rsid w:val="00F878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5320455C-1FB5-454A-9A2E-B4066552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38F"/>
    <w:pPr>
      <w:spacing w:after="160" w:line="278" w:lineRule="auto"/>
    </w:pPr>
    <w:rPr>
      <w:kern w:val="2"/>
      <w:sz w:val="24"/>
      <w:szCs w:val="24"/>
      <w:lang w:val="en-IN" w:bidi="ar-SA"/>
      <w14:ligatures w14:val="standardContextual"/>
    </w:rPr>
  </w:style>
  <w:style w:type="paragraph" w:styleId="Heading3">
    <w:name w:val="heading 3"/>
    <w:basedOn w:val="Normal"/>
    <w:link w:val="Heading3Char"/>
    <w:uiPriority w:val="9"/>
    <w:qFormat/>
    <w:rsid w:val="00635D54"/>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F46"/>
    <w:rPr>
      <w:rFonts w:ascii="Tahoma" w:hAnsi="Tahoma" w:cs="Tahoma"/>
      <w:kern w:val="2"/>
      <w:sz w:val="16"/>
      <w:szCs w:val="16"/>
      <w:lang w:val="en-IN" w:bidi="ar-SA"/>
      <w14:ligatures w14:val="standardContextual"/>
    </w:rPr>
  </w:style>
  <w:style w:type="character" w:styleId="Hyperlink">
    <w:name w:val="Hyperlink"/>
    <w:basedOn w:val="DefaultParagraphFont"/>
    <w:uiPriority w:val="99"/>
    <w:unhideWhenUsed/>
    <w:rsid w:val="0048109B"/>
    <w:rPr>
      <w:color w:val="0000FF" w:themeColor="hyperlink"/>
      <w:u w:val="single"/>
    </w:rPr>
  </w:style>
  <w:style w:type="paragraph" w:styleId="ListParagraph">
    <w:name w:val="List Paragraph"/>
    <w:basedOn w:val="Normal"/>
    <w:uiPriority w:val="34"/>
    <w:qFormat/>
    <w:rsid w:val="00683145"/>
    <w:pPr>
      <w:ind w:left="720"/>
      <w:contextualSpacing/>
    </w:pPr>
  </w:style>
  <w:style w:type="paragraph" w:styleId="Header">
    <w:name w:val="header"/>
    <w:basedOn w:val="Normal"/>
    <w:link w:val="HeaderChar"/>
    <w:uiPriority w:val="99"/>
    <w:unhideWhenUsed/>
    <w:rsid w:val="008B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285"/>
    <w:rPr>
      <w:kern w:val="2"/>
      <w:sz w:val="24"/>
      <w:szCs w:val="24"/>
      <w:lang w:val="en-IN" w:bidi="ar-SA"/>
      <w14:ligatures w14:val="standardContextual"/>
    </w:rPr>
  </w:style>
  <w:style w:type="paragraph" w:styleId="Footer">
    <w:name w:val="footer"/>
    <w:basedOn w:val="Normal"/>
    <w:link w:val="FooterChar"/>
    <w:uiPriority w:val="99"/>
    <w:unhideWhenUsed/>
    <w:rsid w:val="008B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285"/>
    <w:rPr>
      <w:kern w:val="2"/>
      <w:sz w:val="24"/>
      <w:szCs w:val="24"/>
      <w:lang w:val="en-IN" w:bidi="ar-SA"/>
      <w14:ligatures w14:val="standardContextual"/>
    </w:rPr>
  </w:style>
  <w:style w:type="character" w:customStyle="1" w:styleId="Heading3Char">
    <w:name w:val="Heading 3 Char"/>
    <w:basedOn w:val="DefaultParagraphFont"/>
    <w:link w:val="Heading3"/>
    <w:uiPriority w:val="9"/>
    <w:rsid w:val="00635D54"/>
    <w:rPr>
      <w:rFonts w:ascii="Times New Roman" w:eastAsia="Times New Roman" w:hAnsi="Times New Roman" w:cs="Times New Roman"/>
      <w:b/>
      <w:bCs/>
      <w:sz w:val="27"/>
      <w:szCs w:val="27"/>
    </w:rPr>
  </w:style>
  <w:style w:type="character" w:styleId="Strong">
    <w:name w:val="Strong"/>
    <w:basedOn w:val="DefaultParagraphFont"/>
    <w:uiPriority w:val="22"/>
    <w:qFormat/>
    <w:rsid w:val="00635D54"/>
    <w:rPr>
      <w:b/>
      <w:bCs/>
    </w:rPr>
  </w:style>
  <w:style w:type="paragraph" w:styleId="NormalWeb">
    <w:name w:val="Normal (Web)"/>
    <w:basedOn w:val="Normal"/>
    <w:uiPriority w:val="99"/>
    <w:semiHidden/>
    <w:unhideWhenUsed/>
    <w:rsid w:val="00635D54"/>
    <w:pPr>
      <w:spacing w:before="100" w:beforeAutospacing="1" w:after="100" w:afterAutospacing="1" w:line="240" w:lineRule="auto"/>
    </w:pPr>
    <w:rPr>
      <w:rFonts w:ascii="Times New Roman" w:eastAsia="Times New Roman" w:hAnsi="Times New Roman" w:cs="Times New Roman"/>
      <w:kern w:val="0"/>
      <w:lang w:val="en-US" w:bidi="hi-IN"/>
      <w14:ligatures w14:val="none"/>
    </w:rPr>
  </w:style>
  <w:style w:type="paragraph" w:styleId="CommentText">
    <w:name w:val="annotation text"/>
    <w:basedOn w:val="Normal"/>
    <w:link w:val="CommentTextChar"/>
    <w:uiPriority w:val="99"/>
    <w:unhideWhenUsed/>
    <w:rsid w:val="00A30B19"/>
    <w:pPr>
      <w:spacing w:line="240" w:lineRule="auto"/>
    </w:pPr>
    <w:rPr>
      <w:sz w:val="20"/>
      <w:szCs w:val="20"/>
    </w:rPr>
  </w:style>
  <w:style w:type="character" w:customStyle="1" w:styleId="CommentTextChar">
    <w:name w:val="Comment Text Char"/>
    <w:basedOn w:val="DefaultParagraphFont"/>
    <w:link w:val="CommentText"/>
    <w:uiPriority w:val="99"/>
    <w:rsid w:val="00A30B19"/>
    <w:rPr>
      <w:kern w:val="2"/>
      <w:sz w:val="20"/>
      <w:lang w:val="en-IN" w:bidi="ar-SA"/>
      <w14:ligatures w14:val="standardContextual"/>
    </w:rPr>
  </w:style>
  <w:style w:type="character" w:styleId="CommentReference">
    <w:name w:val="annotation reference"/>
    <w:basedOn w:val="DefaultParagraphFont"/>
    <w:uiPriority w:val="99"/>
    <w:semiHidden/>
    <w:unhideWhenUsed/>
    <w:rsid w:val="00A30B19"/>
    <w:rPr>
      <w:sz w:val="16"/>
      <w:szCs w:val="16"/>
    </w:rPr>
  </w:style>
  <w:style w:type="character" w:styleId="Emphasis">
    <w:name w:val="Emphasis"/>
    <w:basedOn w:val="DefaultParagraphFont"/>
    <w:uiPriority w:val="20"/>
    <w:qFormat/>
    <w:rsid w:val="008A09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3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doi.org/10.46609/ijsser.2020.v05i01.009" TargetMode="External"/><Relationship Id="rId21" Type="http://schemas.openxmlformats.org/officeDocument/2006/relationships/hyperlink" Target="https://doi.org/10.26832/aesa-2020-aepm-01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doi.org/10.1007/s13201-012-0059-9" TargetMode="External"/><Relationship Id="rId33" Type="http://schemas.openxmlformats.org/officeDocument/2006/relationships/hyperlink" Target="https://doi.org/10.1007/s10668-023-03540-2"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doi.org/10.1007/s42535-020-00103-y" TargetMode="External"/><Relationship Id="rId29" Type="http://schemas.openxmlformats.org/officeDocument/2006/relationships/hyperlink" Target="https://doi.org/10.9734/jsrr/2024/v30i72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9734/ijecc/2024/v14i74292" TargetMode="External"/><Relationship Id="rId32" Type="http://schemas.openxmlformats.org/officeDocument/2006/relationships/hyperlink" Target="https://doi.org/10.1016/j.jenvman.2023.11923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doi.org/10.1007/s10311-016-0551-9" TargetMode="External"/><Relationship Id="rId28" Type="http://schemas.openxmlformats.org/officeDocument/2006/relationships/hyperlink" Target="https://doi.org/10.71097/ijsat.v16.i2.3496" TargetMode="Externa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doi.org/10.22214/ijraset.2022.4314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entomoljournal.com/archives/2018/vol6issue5/PartI/6-4-287-711.pdf" TargetMode="External"/><Relationship Id="rId27" Type="http://schemas.openxmlformats.org/officeDocument/2006/relationships/hyperlink" Target="https://doi.org/10.1007/s10661-024-12683-2" TargetMode="External"/><Relationship Id="rId30" Type="http://schemas.openxmlformats.org/officeDocument/2006/relationships/hyperlink" Target="https://doi.org/10.36948/ijfmr.2025.v07i02.42176" TargetMode="External"/><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RESULT%20ANJAL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8.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Recent%20work%20on%20Research\GB%20Writng%20Service%20work\PhD%20Work%20Order\Anjali%20patel%20pending\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a:t>Physico-chemical parameteres (Chloride as Cl)  of water samples of Mahasamund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Sheet3!$B$4</c:f>
              <c:strCache>
                <c:ptCount val="1"/>
                <c:pt idx="0">
                  <c:v>Monsoon</c:v>
                </c:pt>
              </c:strCache>
            </c:strRef>
          </c:tx>
          <c:spPr>
            <a:solidFill>
              <a:schemeClr val="accent1"/>
            </a:solidFill>
            <a:ln>
              <a:noFill/>
            </a:ln>
            <a:effectLst/>
            <a:sp3d/>
          </c:spPr>
          <c:invertIfNegative val="0"/>
          <c:cat>
            <c:strRef>
              <c:f>Sheet3!$C$2:$I$3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Sheet3!$C$4:$I$4</c:f>
              <c:numCache>
                <c:formatCode>0.00</c:formatCode>
                <c:ptCount val="4"/>
                <c:pt idx="0">
                  <c:v>49.38</c:v>
                </c:pt>
                <c:pt idx="1">
                  <c:v>42.4</c:v>
                </c:pt>
                <c:pt idx="2">
                  <c:v>50.43</c:v>
                </c:pt>
                <c:pt idx="3">
                  <c:v>53.36</c:v>
                </c:pt>
              </c:numCache>
            </c:numRef>
          </c:val>
          <c:extLst>
            <c:ext xmlns:c16="http://schemas.microsoft.com/office/drawing/2014/chart" uri="{C3380CC4-5D6E-409C-BE32-E72D297353CC}">
              <c16:uniqueId val="{00000000-7DAB-4B79-B514-F22E3AA769D2}"/>
            </c:ext>
          </c:extLst>
        </c:ser>
        <c:ser>
          <c:idx val="1"/>
          <c:order val="1"/>
          <c:tx>
            <c:strRef>
              <c:f>Sheet3!$B$5</c:f>
              <c:strCache>
                <c:ptCount val="1"/>
                <c:pt idx="0">
                  <c:v>Winter </c:v>
                </c:pt>
              </c:strCache>
            </c:strRef>
          </c:tx>
          <c:spPr>
            <a:solidFill>
              <a:schemeClr val="accent2"/>
            </a:solidFill>
            <a:ln>
              <a:noFill/>
            </a:ln>
            <a:effectLst/>
            <a:sp3d/>
          </c:spPr>
          <c:invertIfNegative val="0"/>
          <c:cat>
            <c:strRef>
              <c:f>Sheet3!$C$2:$I$3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Sheet3!$C$5:$I$5</c:f>
              <c:numCache>
                <c:formatCode>0.00</c:formatCode>
                <c:ptCount val="4"/>
                <c:pt idx="0" formatCode="General">
                  <c:v>35.659999999999997</c:v>
                </c:pt>
                <c:pt idx="1">
                  <c:v>55.73</c:v>
                </c:pt>
                <c:pt idx="2" formatCode="General">
                  <c:v>44.83</c:v>
                </c:pt>
                <c:pt idx="3">
                  <c:v>46.28</c:v>
                </c:pt>
              </c:numCache>
            </c:numRef>
          </c:val>
          <c:extLst>
            <c:ext xmlns:c16="http://schemas.microsoft.com/office/drawing/2014/chart" uri="{C3380CC4-5D6E-409C-BE32-E72D297353CC}">
              <c16:uniqueId val="{00000001-7DAB-4B79-B514-F22E3AA769D2}"/>
            </c:ext>
          </c:extLst>
        </c:ser>
        <c:ser>
          <c:idx val="2"/>
          <c:order val="2"/>
          <c:tx>
            <c:strRef>
              <c:f>Sheet3!$B$6</c:f>
              <c:strCache>
                <c:ptCount val="1"/>
                <c:pt idx="0">
                  <c:v>Summer</c:v>
                </c:pt>
              </c:strCache>
            </c:strRef>
          </c:tx>
          <c:spPr>
            <a:solidFill>
              <a:schemeClr val="accent3"/>
            </a:solidFill>
            <a:ln>
              <a:noFill/>
            </a:ln>
            <a:effectLst/>
            <a:sp3d/>
          </c:spPr>
          <c:invertIfNegative val="0"/>
          <c:cat>
            <c:strRef>
              <c:f>Sheet3!$C$2:$I$3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Sheet3!$C$6:$I$6</c:f>
              <c:numCache>
                <c:formatCode>General</c:formatCode>
                <c:ptCount val="4"/>
                <c:pt idx="0">
                  <c:v>47.47</c:v>
                </c:pt>
                <c:pt idx="1">
                  <c:v>38.380000000000003</c:v>
                </c:pt>
                <c:pt idx="2" formatCode="0.00">
                  <c:v>44.36</c:v>
                </c:pt>
                <c:pt idx="3" formatCode="0.00">
                  <c:v>47.23</c:v>
                </c:pt>
              </c:numCache>
            </c:numRef>
          </c:val>
          <c:extLst>
            <c:ext xmlns:c16="http://schemas.microsoft.com/office/drawing/2014/chart" uri="{C3380CC4-5D6E-409C-BE32-E72D297353CC}">
              <c16:uniqueId val="{00000002-7DAB-4B79-B514-F22E3AA769D2}"/>
            </c:ext>
          </c:extLst>
        </c:ser>
        <c:dLbls>
          <c:showLegendKey val="0"/>
          <c:showVal val="0"/>
          <c:showCatName val="0"/>
          <c:showSerName val="0"/>
          <c:showPercent val="0"/>
          <c:showBubbleSize val="0"/>
        </c:dLbls>
        <c:gapWidth val="150"/>
        <c:shape val="box"/>
        <c:axId val="394119424"/>
        <c:axId val="394121216"/>
        <c:axId val="0"/>
      </c:bar3DChart>
      <c:catAx>
        <c:axId val="394119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4121216"/>
        <c:crosses val="autoZero"/>
        <c:auto val="1"/>
        <c:lblAlgn val="ctr"/>
        <c:lblOffset val="100"/>
        <c:noMultiLvlLbl val="0"/>
      </c:catAx>
      <c:valAx>
        <c:axId val="394121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Chloride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41194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(DO)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442330125400991"/>
          <c:y val="0.10593886701662292"/>
          <c:w val="0.85011373578302707"/>
          <c:h val="0.57742290026246723"/>
        </c:manualLayout>
      </c:layout>
      <c:bar3DChart>
        <c:barDir val="col"/>
        <c:grouping val="clustered"/>
        <c:varyColors val="0"/>
        <c:ser>
          <c:idx val="0"/>
          <c:order val="0"/>
          <c:tx>
            <c:strRef>
              <c:f>Sheet3!$B$48</c:f>
              <c:strCache>
                <c:ptCount val="1"/>
                <c:pt idx="0">
                  <c:v>Monsoon</c:v>
                </c:pt>
              </c:strCache>
            </c:strRef>
          </c:tx>
          <c:spPr>
            <a:solidFill>
              <a:schemeClr val="accent1"/>
            </a:solidFill>
            <a:ln>
              <a:noFill/>
            </a:ln>
            <a:effectLst/>
            <a:sp3d/>
          </c:spPr>
          <c:invertIfNegative val="0"/>
          <c:cat>
            <c:strRef>
              <c:f>Sheet3!$C$47:$I$47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Sheet3!$C$48:$I$48</c:f>
              <c:numCache>
                <c:formatCode>0.00</c:formatCode>
                <c:ptCount val="4"/>
                <c:pt idx="0">
                  <c:v>7.19</c:v>
                </c:pt>
                <c:pt idx="1">
                  <c:v>9.44</c:v>
                </c:pt>
                <c:pt idx="2">
                  <c:v>8.23</c:v>
                </c:pt>
                <c:pt idx="3">
                  <c:v>9.23</c:v>
                </c:pt>
              </c:numCache>
            </c:numRef>
          </c:val>
          <c:extLst>
            <c:ext xmlns:c16="http://schemas.microsoft.com/office/drawing/2014/chart" uri="{C3380CC4-5D6E-409C-BE32-E72D297353CC}">
              <c16:uniqueId val="{00000000-AAEB-4321-856A-BCEB90279F91}"/>
            </c:ext>
          </c:extLst>
        </c:ser>
        <c:ser>
          <c:idx val="1"/>
          <c:order val="1"/>
          <c:tx>
            <c:strRef>
              <c:f>Sheet3!$B$49</c:f>
              <c:strCache>
                <c:ptCount val="1"/>
                <c:pt idx="0">
                  <c:v>Winter </c:v>
                </c:pt>
              </c:strCache>
            </c:strRef>
          </c:tx>
          <c:spPr>
            <a:solidFill>
              <a:schemeClr val="accent2"/>
            </a:solidFill>
            <a:ln>
              <a:noFill/>
            </a:ln>
            <a:effectLst/>
            <a:sp3d/>
          </c:spPr>
          <c:invertIfNegative val="0"/>
          <c:cat>
            <c:strRef>
              <c:f>Sheet3!$C$47:$I$47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Sheet3!$C$49:$I$49</c:f>
              <c:numCache>
                <c:formatCode>0.00</c:formatCode>
                <c:ptCount val="4"/>
                <c:pt idx="0">
                  <c:v>7.33</c:v>
                </c:pt>
                <c:pt idx="1">
                  <c:v>6.3</c:v>
                </c:pt>
                <c:pt idx="2">
                  <c:v>7.68</c:v>
                </c:pt>
                <c:pt idx="3">
                  <c:v>7.01</c:v>
                </c:pt>
              </c:numCache>
            </c:numRef>
          </c:val>
          <c:extLst>
            <c:ext xmlns:c16="http://schemas.microsoft.com/office/drawing/2014/chart" uri="{C3380CC4-5D6E-409C-BE32-E72D297353CC}">
              <c16:uniqueId val="{00000001-AAEB-4321-856A-BCEB90279F91}"/>
            </c:ext>
          </c:extLst>
        </c:ser>
        <c:ser>
          <c:idx val="2"/>
          <c:order val="2"/>
          <c:tx>
            <c:strRef>
              <c:f>Sheet3!$B$50</c:f>
              <c:strCache>
                <c:ptCount val="1"/>
                <c:pt idx="0">
                  <c:v>Summer</c:v>
                </c:pt>
              </c:strCache>
            </c:strRef>
          </c:tx>
          <c:spPr>
            <a:solidFill>
              <a:schemeClr val="accent3"/>
            </a:solidFill>
            <a:ln>
              <a:noFill/>
            </a:ln>
            <a:effectLst/>
            <a:sp3d/>
          </c:spPr>
          <c:invertIfNegative val="0"/>
          <c:cat>
            <c:strRef>
              <c:f>Sheet3!$C$47:$I$47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Sheet3!$C$50:$I$50</c:f>
              <c:numCache>
                <c:formatCode>0.00</c:formatCode>
                <c:ptCount val="4"/>
                <c:pt idx="0">
                  <c:v>5.89</c:v>
                </c:pt>
                <c:pt idx="1">
                  <c:v>8.34</c:v>
                </c:pt>
                <c:pt idx="2">
                  <c:v>5.38</c:v>
                </c:pt>
                <c:pt idx="3">
                  <c:v>8.98</c:v>
                </c:pt>
              </c:numCache>
            </c:numRef>
          </c:val>
          <c:extLst>
            <c:ext xmlns:c16="http://schemas.microsoft.com/office/drawing/2014/chart" uri="{C3380CC4-5D6E-409C-BE32-E72D297353CC}">
              <c16:uniqueId val="{00000002-AAEB-4321-856A-BCEB90279F91}"/>
            </c:ext>
          </c:extLst>
        </c:ser>
        <c:dLbls>
          <c:showLegendKey val="0"/>
          <c:showVal val="0"/>
          <c:showCatName val="0"/>
          <c:showSerName val="0"/>
          <c:showPercent val="0"/>
          <c:showBubbleSize val="0"/>
        </c:dLbls>
        <c:gapWidth val="150"/>
        <c:shape val="box"/>
        <c:axId val="403753984"/>
        <c:axId val="403755776"/>
        <c:axId val="0"/>
      </c:bar3DChart>
      <c:catAx>
        <c:axId val="403753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3755776"/>
        <c:crosses val="autoZero"/>
        <c:auto val="1"/>
        <c:lblAlgn val="ctr"/>
        <c:lblOffset val="100"/>
        <c:noMultiLvlLbl val="0"/>
      </c:catAx>
      <c:valAx>
        <c:axId val="403755776"/>
        <c:scaling>
          <c:orientation val="minMax"/>
          <c:max val="1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DO (mg/L)</a:t>
                </a:r>
              </a:p>
            </c:rich>
          </c:tx>
          <c:layout>
            <c:manualLayout>
              <c:xMode val="edge"/>
              <c:yMode val="edge"/>
              <c:x val="0.12530274861475649"/>
              <c:y val="0.24876702176933765"/>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375398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(BOD)  of water samples of Mahasamund</a:t>
            </a:r>
          </a:p>
        </c:rich>
      </c:tx>
      <c:layout>
        <c:manualLayout>
          <c:xMode val="edge"/>
          <c:yMode val="edge"/>
          <c:x val="0.11585365853658537"/>
          <c:y val="2.3809523809523808E-2"/>
        </c:manualLayout>
      </c:layout>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Sheet3!$B$52</c:f>
              <c:strCache>
                <c:ptCount val="1"/>
                <c:pt idx="0">
                  <c:v>Monsoon</c:v>
                </c:pt>
              </c:strCache>
            </c:strRef>
          </c:tx>
          <c:spPr>
            <a:solidFill>
              <a:schemeClr val="accent1"/>
            </a:solidFill>
            <a:ln>
              <a:noFill/>
            </a:ln>
            <a:effectLst/>
            <a:sp3d/>
          </c:spPr>
          <c:invertIfNegative val="0"/>
          <c:cat>
            <c:strRef>
              <c:f>Sheet3!$C$51:$I$51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Sheet3!$C$52:$I$52</c:f>
              <c:numCache>
                <c:formatCode>0.00</c:formatCode>
                <c:ptCount val="4"/>
                <c:pt idx="0">
                  <c:v>2.12</c:v>
                </c:pt>
                <c:pt idx="1">
                  <c:v>4.4800000000000004</c:v>
                </c:pt>
                <c:pt idx="2">
                  <c:v>2.34</c:v>
                </c:pt>
                <c:pt idx="3">
                  <c:v>3.05</c:v>
                </c:pt>
              </c:numCache>
            </c:numRef>
          </c:val>
          <c:extLst>
            <c:ext xmlns:c16="http://schemas.microsoft.com/office/drawing/2014/chart" uri="{C3380CC4-5D6E-409C-BE32-E72D297353CC}">
              <c16:uniqueId val="{00000000-5E0E-4995-8FA4-79626EE55509}"/>
            </c:ext>
          </c:extLst>
        </c:ser>
        <c:ser>
          <c:idx val="1"/>
          <c:order val="1"/>
          <c:tx>
            <c:strRef>
              <c:f>Sheet3!$B$53</c:f>
              <c:strCache>
                <c:ptCount val="1"/>
                <c:pt idx="0">
                  <c:v>Winter </c:v>
                </c:pt>
              </c:strCache>
            </c:strRef>
          </c:tx>
          <c:spPr>
            <a:solidFill>
              <a:schemeClr val="accent2"/>
            </a:solidFill>
            <a:ln>
              <a:noFill/>
            </a:ln>
            <a:effectLst/>
            <a:sp3d/>
          </c:spPr>
          <c:invertIfNegative val="0"/>
          <c:cat>
            <c:strRef>
              <c:f>Sheet3!$C$51:$I$51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Sheet3!$C$53:$I$53</c:f>
              <c:numCache>
                <c:formatCode>0.00</c:formatCode>
                <c:ptCount val="4"/>
                <c:pt idx="0">
                  <c:v>1.02</c:v>
                </c:pt>
                <c:pt idx="1">
                  <c:v>3.02</c:v>
                </c:pt>
                <c:pt idx="2">
                  <c:v>1.36</c:v>
                </c:pt>
                <c:pt idx="3">
                  <c:v>2.56</c:v>
                </c:pt>
              </c:numCache>
            </c:numRef>
          </c:val>
          <c:extLst>
            <c:ext xmlns:c16="http://schemas.microsoft.com/office/drawing/2014/chart" uri="{C3380CC4-5D6E-409C-BE32-E72D297353CC}">
              <c16:uniqueId val="{00000001-5E0E-4995-8FA4-79626EE55509}"/>
            </c:ext>
          </c:extLst>
        </c:ser>
        <c:ser>
          <c:idx val="2"/>
          <c:order val="2"/>
          <c:tx>
            <c:strRef>
              <c:f>Sheet3!$B$54</c:f>
              <c:strCache>
                <c:ptCount val="1"/>
                <c:pt idx="0">
                  <c:v>Summer</c:v>
                </c:pt>
              </c:strCache>
            </c:strRef>
          </c:tx>
          <c:spPr>
            <a:solidFill>
              <a:schemeClr val="accent3"/>
            </a:solidFill>
            <a:ln>
              <a:noFill/>
            </a:ln>
            <a:effectLst/>
            <a:sp3d/>
          </c:spPr>
          <c:invertIfNegative val="0"/>
          <c:cat>
            <c:strRef>
              <c:f>Sheet3!$C$51:$I$51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Sheet3!$C$54:$I$54</c:f>
              <c:numCache>
                <c:formatCode>0.00</c:formatCode>
                <c:ptCount val="4"/>
                <c:pt idx="0">
                  <c:v>1.78</c:v>
                </c:pt>
                <c:pt idx="1">
                  <c:v>3.78</c:v>
                </c:pt>
                <c:pt idx="2">
                  <c:v>2.78</c:v>
                </c:pt>
                <c:pt idx="3">
                  <c:v>3.08</c:v>
                </c:pt>
              </c:numCache>
            </c:numRef>
          </c:val>
          <c:extLst>
            <c:ext xmlns:c16="http://schemas.microsoft.com/office/drawing/2014/chart" uri="{C3380CC4-5D6E-409C-BE32-E72D297353CC}">
              <c16:uniqueId val="{00000002-5E0E-4995-8FA4-79626EE55509}"/>
            </c:ext>
          </c:extLst>
        </c:ser>
        <c:dLbls>
          <c:showLegendKey val="0"/>
          <c:showVal val="0"/>
          <c:showCatName val="0"/>
          <c:showSerName val="0"/>
          <c:showPercent val="0"/>
          <c:showBubbleSize val="0"/>
        </c:dLbls>
        <c:gapWidth val="150"/>
        <c:shape val="box"/>
        <c:axId val="403829120"/>
        <c:axId val="403830656"/>
        <c:axId val="0"/>
      </c:bar3DChart>
      <c:catAx>
        <c:axId val="403829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3830656"/>
        <c:crosses val="autoZero"/>
        <c:auto val="1"/>
        <c:lblAlgn val="ctr"/>
        <c:lblOffset val="100"/>
        <c:noMultiLvlLbl val="0"/>
      </c:catAx>
      <c:valAx>
        <c:axId val="403830656"/>
        <c:scaling>
          <c:orientation val="minMax"/>
          <c:max val="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BOD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3829120"/>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Physico-chemical parameteres (COD)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274854132442074E-2"/>
          <c:y val="0.22422874341610233"/>
          <c:w val="0.91413281972846916"/>
          <c:h val="0.55501353809329135"/>
        </c:manualLayout>
      </c:layout>
      <c:bar3DChart>
        <c:barDir val="col"/>
        <c:grouping val="clustered"/>
        <c:varyColors val="0"/>
        <c:ser>
          <c:idx val="0"/>
          <c:order val="0"/>
          <c:tx>
            <c:strRef>
              <c:f>Sheet3!$B$56</c:f>
              <c:strCache>
                <c:ptCount val="1"/>
                <c:pt idx="0">
                  <c:v>Monsoon</c:v>
                </c:pt>
              </c:strCache>
            </c:strRef>
          </c:tx>
          <c:spPr>
            <a:solidFill>
              <a:schemeClr val="accent1"/>
            </a:solidFill>
            <a:ln>
              <a:noFill/>
            </a:ln>
            <a:effectLst/>
            <a:sp3d/>
          </c:spPr>
          <c:invertIfNegative val="0"/>
          <c:cat>
            <c:strRef>
              <c:f>Sheet3!$C$55:$I$55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Sheet3!$C$56:$I$56</c:f>
              <c:numCache>
                <c:formatCode>0.00</c:formatCode>
                <c:ptCount val="4"/>
                <c:pt idx="0">
                  <c:v>25.55</c:v>
                </c:pt>
                <c:pt idx="1">
                  <c:v>13.54</c:v>
                </c:pt>
                <c:pt idx="2" formatCode="General">
                  <c:v>27.46</c:v>
                </c:pt>
                <c:pt idx="3">
                  <c:v>18.68</c:v>
                </c:pt>
              </c:numCache>
            </c:numRef>
          </c:val>
          <c:extLst>
            <c:ext xmlns:c16="http://schemas.microsoft.com/office/drawing/2014/chart" uri="{C3380CC4-5D6E-409C-BE32-E72D297353CC}">
              <c16:uniqueId val="{00000000-BADE-4E11-A3CC-6E3563B6B722}"/>
            </c:ext>
          </c:extLst>
        </c:ser>
        <c:ser>
          <c:idx val="1"/>
          <c:order val="1"/>
          <c:tx>
            <c:strRef>
              <c:f>Sheet3!$B$57</c:f>
              <c:strCache>
                <c:ptCount val="1"/>
                <c:pt idx="0">
                  <c:v>Winter </c:v>
                </c:pt>
              </c:strCache>
            </c:strRef>
          </c:tx>
          <c:spPr>
            <a:solidFill>
              <a:schemeClr val="accent2"/>
            </a:solidFill>
            <a:ln>
              <a:noFill/>
            </a:ln>
            <a:effectLst/>
            <a:sp3d/>
          </c:spPr>
          <c:invertIfNegative val="0"/>
          <c:cat>
            <c:strRef>
              <c:f>Sheet3!$C$55:$I$55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Sheet3!$C$57:$I$57</c:f>
              <c:numCache>
                <c:formatCode>0.00</c:formatCode>
                <c:ptCount val="4"/>
                <c:pt idx="0">
                  <c:v>10.24</c:v>
                </c:pt>
                <c:pt idx="1">
                  <c:v>15.29</c:v>
                </c:pt>
                <c:pt idx="2">
                  <c:v>19.34</c:v>
                </c:pt>
                <c:pt idx="3">
                  <c:v>20.78</c:v>
                </c:pt>
              </c:numCache>
            </c:numRef>
          </c:val>
          <c:extLst>
            <c:ext xmlns:c16="http://schemas.microsoft.com/office/drawing/2014/chart" uri="{C3380CC4-5D6E-409C-BE32-E72D297353CC}">
              <c16:uniqueId val="{00000001-BADE-4E11-A3CC-6E3563B6B722}"/>
            </c:ext>
          </c:extLst>
        </c:ser>
        <c:ser>
          <c:idx val="2"/>
          <c:order val="2"/>
          <c:tx>
            <c:strRef>
              <c:f>Sheet3!$B$58</c:f>
              <c:strCache>
                <c:ptCount val="1"/>
                <c:pt idx="0">
                  <c:v>Summer</c:v>
                </c:pt>
              </c:strCache>
            </c:strRef>
          </c:tx>
          <c:spPr>
            <a:solidFill>
              <a:schemeClr val="accent3"/>
            </a:solidFill>
            <a:ln>
              <a:noFill/>
            </a:ln>
            <a:effectLst/>
            <a:sp3d/>
          </c:spPr>
          <c:invertIfNegative val="0"/>
          <c:cat>
            <c:strRef>
              <c:f>Sheet3!$C$55:$I$55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Sheet3!$C$58:$I$58</c:f>
              <c:numCache>
                <c:formatCode>0.00</c:formatCode>
                <c:ptCount val="4"/>
                <c:pt idx="0">
                  <c:v>22.45</c:v>
                </c:pt>
                <c:pt idx="1">
                  <c:v>12.34</c:v>
                </c:pt>
                <c:pt idx="2" formatCode="General">
                  <c:v>25.56</c:v>
                </c:pt>
                <c:pt idx="3">
                  <c:v>16.760000000000002</c:v>
                </c:pt>
              </c:numCache>
            </c:numRef>
          </c:val>
          <c:extLst>
            <c:ext xmlns:c16="http://schemas.microsoft.com/office/drawing/2014/chart" uri="{C3380CC4-5D6E-409C-BE32-E72D297353CC}">
              <c16:uniqueId val="{00000002-BADE-4E11-A3CC-6E3563B6B722}"/>
            </c:ext>
          </c:extLst>
        </c:ser>
        <c:dLbls>
          <c:showLegendKey val="0"/>
          <c:showVal val="0"/>
          <c:showCatName val="0"/>
          <c:showSerName val="0"/>
          <c:showPercent val="0"/>
          <c:showBubbleSize val="0"/>
        </c:dLbls>
        <c:gapWidth val="150"/>
        <c:shape val="box"/>
        <c:axId val="403871616"/>
        <c:axId val="403873152"/>
        <c:axId val="0"/>
      </c:bar3DChart>
      <c:catAx>
        <c:axId val="403871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3873152"/>
        <c:crosses val="autoZero"/>
        <c:auto val="1"/>
        <c:lblAlgn val="ctr"/>
        <c:lblOffset val="100"/>
        <c:noMultiLvlLbl val="0"/>
      </c:catAx>
      <c:valAx>
        <c:axId val="403873152"/>
        <c:scaling>
          <c:orientation val="minMax"/>
          <c:max val="3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COD (mg/L)</a:t>
                </a:r>
              </a:p>
            </c:rich>
          </c:tx>
          <c:layout>
            <c:manualLayout>
              <c:xMode val="edge"/>
              <c:yMode val="edge"/>
              <c:x val="4.2678109480919206E-2"/>
              <c:y val="0.29023153990627021"/>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3871616"/>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(TDS) of water samples of Mahasamund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Sheet3!$B$8</c:f>
              <c:strCache>
                <c:ptCount val="1"/>
                <c:pt idx="0">
                  <c:v>Monsoon</c:v>
                </c:pt>
              </c:strCache>
            </c:strRef>
          </c:tx>
          <c:spPr>
            <a:solidFill>
              <a:schemeClr val="accent1"/>
            </a:solidFill>
            <a:ln>
              <a:noFill/>
            </a:ln>
            <a:effectLst/>
            <a:sp3d/>
          </c:spPr>
          <c:invertIfNegative val="0"/>
          <c:cat>
            <c:strRef>
              <c:f>Sheet3!$C$7:$I$7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Sheet3!$C$8:$I$8</c:f>
              <c:numCache>
                <c:formatCode>0</c:formatCode>
                <c:ptCount val="4"/>
                <c:pt idx="0">
                  <c:v>453</c:v>
                </c:pt>
                <c:pt idx="1">
                  <c:v>420</c:v>
                </c:pt>
                <c:pt idx="2">
                  <c:v>480</c:v>
                </c:pt>
                <c:pt idx="3">
                  <c:v>495</c:v>
                </c:pt>
              </c:numCache>
            </c:numRef>
          </c:val>
          <c:extLst>
            <c:ext xmlns:c16="http://schemas.microsoft.com/office/drawing/2014/chart" uri="{C3380CC4-5D6E-409C-BE32-E72D297353CC}">
              <c16:uniqueId val="{00000000-51FD-4CA7-93D1-2C0BF0982E2F}"/>
            </c:ext>
          </c:extLst>
        </c:ser>
        <c:ser>
          <c:idx val="1"/>
          <c:order val="1"/>
          <c:tx>
            <c:strRef>
              <c:f>Sheet3!$B$9</c:f>
              <c:strCache>
                <c:ptCount val="1"/>
                <c:pt idx="0">
                  <c:v>Winter </c:v>
                </c:pt>
              </c:strCache>
            </c:strRef>
          </c:tx>
          <c:spPr>
            <a:solidFill>
              <a:schemeClr val="accent2"/>
            </a:solidFill>
            <a:ln>
              <a:noFill/>
            </a:ln>
            <a:effectLst/>
            <a:sp3d/>
          </c:spPr>
          <c:invertIfNegative val="0"/>
          <c:cat>
            <c:strRef>
              <c:f>Sheet3!$C$7:$I$7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Sheet3!$C$9:$I$9</c:f>
              <c:numCache>
                <c:formatCode>0</c:formatCode>
                <c:ptCount val="4"/>
                <c:pt idx="0" formatCode="General">
                  <c:v>120</c:v>
                </c:pt>
                <c:pt idx="1">
                  <c:v>436</c:v>
                </c:pt>
                <c:pt idx="2" formatCode="General">
                  <c:v>158</c:v>
                </c:pt>
                <c:pt idx="3">
                  <c:v>438</c:v>
                </c:pt>
              </c:numCache>
            </c:numRef>
          </c:val>
          <c:extLst>
            <c:ext xmlns:c16="http://schemas.microsoft.com/office/drawing/2014/chart" uri="{C3380CC4-5D6E-409C-BE32-E72D297353CC}">
              <c16:uniqueId val="{00000001-51FD-4CA7-93D1-2C0BF0982E2F}"/>
            </c:ext>
          </c:extLst>
        </c:ser>
        <c:ser>
          <c:idx val="2"/>
          <c:order val="2"/>
          <c:tx>
            <c:strRef>
              <c:f>Sheet3!$B$10</c:f>
              <c:strCache>
                <c:ptCount val="1"/>
                <c:pt idx="0">
                  <c:v>Summer</c:v>
                </c:pt>
              </c:strCache>
            </c:strRef>
          </c:tx>
          <c:spPr>
            <a:solidFill>
              <a:schemeClr val="accent3"/>
            </a:solidFill>
            <a:ln>
              <a:noFill/>
            </a:ln>
            <a:effectLst/>
            <a:sp3d/>
          </c:spPr>
          <c:invertIfNegative val="0"/>
          <c:cat>
            <c:strRef>
              <c:f>Sheet3!$C$7:$I$7</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Sheet3!$C$10:$I$10</c:f>
              <c:numCache>
                <c:formatCode>General</c:formatCode>
                <c:ptCount val="4"/>
                <c:pt idx="0">
                  <c:v>387</c:v>
                </c:pt>
                <c:pt idx="1">
                  <c:v>410</c:v>
                </c:pt>
                <c:pt idx="2" formatCode="0">
                  <c:v>440</c:v>
                </c:pt>
                <c:pt idx="3" formatCode="0">
                  <c:v>425</c:v>
                </c:pt>
              </c:numCache>
            </c:numRef>
          </c:val>
          <c:extLst>
            <c:ext xmlns:c16="http://schemas.microsoft.com/office/drawing/2014/chart" uri="{C3380CC4-5D6E-409C-BE32-E72D297353CC}">
              <c16:uniqueId val="{00000002-51FD-4CA7-93D1-2C0BF0982E2F}"/>
            </c:ext>
          </c:extLst>
        </c:ser>
        <c:dLbls>
          <c:showLegendKey val="0"/>
          <c:showVal val="0"/>
          <c:showCatName val="0"/>
          <c:showSerName val="0"/>
          <c:showPercent val="0"/>
          <c:showBubbleSize val="0"/>
        </c:dLbls>
        <c:gapWidth val="150"/>
        <c:shape val="box"/>
        <c:axId val="394338304"/>
        <c:axId val="394339840"/>
        <c:axId val="0"/>
      </c:bar3DChart>
      <c:catAx>
        <c:axId val="394338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4339840"/>
        <c:crosses val="autoZero"/>
        <c:auto val="1"/>
        <c:lblAlgn val="ctr"/>
        <c:lblOffset val="100"/>
        <c:noMultiLvlLbl val="0"/>
      </c:catAx>
      <c:valAx>
        <c:axId val="394339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TDS (mg/L)</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43383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(Alaklinity as CaCO3) of water samples of Mahasamund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Sheet3!$B$12</c:f>
              <c:strCache>
                <c:ptCount val="1"/>
                <c:pt idx="0">
                  <c:v>Monsoon</c:v>
                </c:pt>
              </c:strCache>
            </c:strRef>
          </c:tx>
          <c:spPr>
            <a:solidFill>
              <a:schemeClr val="accent1"/>
            </a:solidFill>
            <a:ln>
              <a:noFill/>
            </a:ln>
            <a:effectLst/>
            <a:sp3d/>
          </c:spPr>
          <c:invertIfNegative val="0"/>
          <c:cat>
            <c:strRef>
              <c:f>Sheet3!$C$11:$I$11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Sheet3!$C$12:$I$12</c:f>
              <c:numCache>
                <c:formatCode>0.00</c:formatCode>
                <c:ptCount val="4"/>
                <c:pt idx="0">
                  <c:v>180.06</c:v>
                </c:pt>
                <c:pt idx="1">
                  <c:v>190.13</c:v>
                </c:pt>
                <c:pt idx="2">
                  <c:v>195.18</c:v>
                </c:pt>
                <c:pt idx="3">
                  <c:v>196.17</c:v>
                </c:pt>
              </c:numCache>
            </c:numRef>
          </c:val>
          <c:extLst>
            <c:ext xmlns:c16="http://schemas.microsoft.com/office/drawing/2014/chart" uri="{C3380CC4-5D6E-409C-BE32-E72D297353CC}">
              <c16:uniqueId val="{00000000-145B-4BFF-8E18-66DF448A7797}"/>
            </c:ext>
          </c:extLst>
        </c:ser>
        <c:ser>
          <c:idx val="1"/>
          <c:order val="1"/>
          <c:tx>
            <c:strRef>
              <c:f>Sheet3!$B$13</c:f>
              <c:strCache>
                <c:ptCount val="1"/>
                <c:pt idx="0">
                  <c:v>Winter </c:v>
                </c:pt>
              </c:strCache>
            </c:strRef>
          </c:tx>
          <c:spPr>
            <a:solidFill>
              <a:schemeClr val="accent2"/>
            </a:solidFill>
            <a:ln>
              <a:noFill/>
            </a:ln>
            <a:effectLst/>
            <a:sp3d/>
          </c:spPr>
          <c:invertIfNegative val="0"/>
          <c:cat>
            <c:strRef>
              <c:f>Sheet3!$C$11:$I$11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Sheet3!$C$13:$I$13</c:f>
              <c:numCache>
                <c:formatCode>0</c:formatCode>
                <c:ptCount val="4"/>
                <c:pt idx="0" formatCode="General">
                  <c:v>43.38</c:v>
                </c:pt>
                <c:pt idx="1">
                  <c:v>169</c:v>
                </c:pt>
                <c:pt idx="2" formatCode="General">
                  <c:v>68.17</c:v>
                </c:pt>
                <c:pt idx="3" formatCode="0.00">
                  <c:v>196.32</c:v>
                </c:pt>
              </c:numCache>
            </c:numRef>
          </c:val>
          <c:extLst>
            <c:ext xmlns:c16="http://schemas.microsoft.com/office/drawing/2014/chart" uri="{C3380CC4-5D6E-409C-BE32-E72D297353CC}">
              <c16:uniqueId val="{00000001-145B-4BFF-8E18-66DF448A7797}"/>
            </c:ext>
          </c:extLst>
        </c:ser>
        <c:ser>
          <c:idx val="2"/>
          <c:order val="2"/>
          <c:tx>
            <c:strRef>
              <c:f>Sheet3!$B$14</c:f>
              <c:strCache>
                <c:ptCount val="1"/>
                <c:pt idx="0">
                  <c:v>Summer</c:v>
                </c:pt>
              </c:strCache>
            </c:strRef>
          </c:tx>
          <c:spPr>
            <a:solidFill>
              <a:schemeClr val="accent3"/>
            </a:solidFill>
            <a:ln>
              <a:noFill/>
            </a:ln>
            <a:effectLst/>
            <a:sp3d/>
          </c:spPr>
          <c:invertIfNegative val="0"/>
          <c:cat>
            <c:strRef>
              <c:f>Sheet3!$C$11:$I$11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Sheet3!$C$14:$I$14</c:f>
              <c:numCache>
                <c:formatCode>General</c:formatCode>
                <c:ptCount val="4"/>
                <c:pt idx="0">
                  <c:v>172.04</c:v>
                </c:pt>
                <c:pt idx="1">
                  <c:v>184.18</c:v>
                </c:pt>
                <c:pt idx="2" formatCode="0.00">
                  <c:v>175.05</c:v>
                </c:pt>
                <c:pt idx="3" formatCode="0.00">
                  <c:v>182.33</c:v>
                </c:pt>
              </c:numCache>
            </c:numRef>
          </c:val>
          <c:extLst>
            <c:ext xmlns:c16="http://schemas.microsoft.com/office/drawing/2014/chart" uri="{C3380CC4-5D6E-409C-BE32-E72D297353CC}">
              <c16:uniqueId val="{00000002-145B-4BFF-8E18-66DF448A7797}"/>
            </c:ext>
          </c:extLst>
        </c:ser>
        <c:dLbls>
          <c:showLegendKey val="0"/>
          <c:showVal val="0"/>
          <c:showCatName val="0"/>
          <c:showSerName val="0"/>
          <c:showPercent val="0"/>
          <c:showBubbleSize val="0"/>
        </c:dLbls>
        <c:gapWidth val="150"/>
        <c:shape val="box"/>
        <c:axId val="394356224"/>
        <c:axId val="394357760"/>
        <c:axId val="0"/>
      </c:bar3DChart>
      <c:catAx>
        <c:axId val="394356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4357760"/>
        <c:crosses val="autoZero"/>
        <c:auto val="1"/>
        <c:lblAlgn val="ctr"/>
        <c:lblOffset val="100"/>
        <c:noMultiLvlLbl val="0"/>
      </c:catAx>
      <c:valAx>
        <c:axId val="394357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Alaklinity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4356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(Calciuam As Ca2+) of water samples of Mahasamund</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Sheet3!$B$16</c:f>
              <c:strCache>
                <c:ptCount val="1"/>
                <c:pt idx="0">
                  <c:v>Monsoon</c:v>
                </c:pt>
              </c:strCache>
            </c:strRef>
          </c:tx>
          <c:spPr>
            <a:solidFill>
              <a:schemeClr val="accent1"/>
            </a:solidFill>
            <a:ln>
              <a:noFill/>
            </a:ln>
            <a:effectLst/>
            <a:sp3d/>
          </c:spPr>
          <c:invertIfNegative val="0"/>
          <c:cat>
            <c:strRef>
              <c:f>Sheet3!$C$15:$I$15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Sheet3!$C$16:$I$16</c:f>
              <c:numCache>
                <c:formatCode>0.00</c:formatCode>
                <c:ptCount val="4"/>
                <c:pt idx="0">
                  <c:v>60.33</c:v>
                </c:pt>
                <c:pt idx="1">
                  <c:v>48.06</c:v>
                </c:pt>
                <c:pt idx="2">
                  <c:v>60.07</c:v>
                </c:pt>
                <c:pt idx="3">
                  <c:v>53.03</c:v>
                </c:pt>
              </c:numCache>
            </c:numRef>
          </c:val>
          <c:extLst>
            <c:ext xmlns:c16="http://schemas.microsoft.com/office/drawing/2014/chart" uri="{C3380CC4-5D6E-409C-BE32-E72D297353CC}">
              <c16:uniqueId val="{00000000-5D7B-4A01-999E-8A202395AD04}"/>
            </c:ext>
          </c:extLst>
        </c:ser>
        <c:ser>
          <c:idx val="1"/>
          <c:order val="1"/>
          <c:tx>
            <c:strRef>
              <c:f>Sheet3!$B$17</c:f>
              <c:strCache>
                <c:ptCount val="1"/>
                <c:pt idx="0">
                  <c:v>Winter </c:v>
                </c:pt>
              </c:strCache>
            </c:strRef>
          </c:tx>
          <c:spPr>
            <a:solidFill>
              <a:schemeClr val="accent2"/>
            </a:solidFill>
            <a:ln>
              <a:noFill/>
            </a:ln>
            <a:effectLst/>
            <a:sp3d/>
          </c:spPr>
          <c:invertIfNegative val="0"/>
          <c:cat>
            <c:strRef>
              <c:f>Sheet3!$C$15:$I$15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Sheet3!$C$17:$I$17</c:f>
              <c:numCache>
                <c:formatCode>0.00</c:formatCode>
                <c:ptCount val="4"/>
                <c:pt idx="0" formatCode="General">
                  <c:v>19.52</c:v>
                </c:pt>
                <c:pt idx="1">
                  <c:v>55.23</c:v>
                </c:pt>
                <c:pt idx="2" formatCode="General">
                  <c:v>15.28</c:v>
                </c:pt>
                <c:pt idx="3">
                  <c:v>60.31</c:v>
                </c:pt>
              </c:numCache>
            </c:numRef>
          </c:val>
          <c:extLst>
            <c:ext xmlns:c16="http://schemas.microsoft.com/office/drawing/2014/chart" uri="{C3380CC4-5D6E-409C-BE32-E72D297353CC}">
              <c16:uniqueId val="{00000001-5D7B-4A01-999E-8A202395AD04}"/>
            </c:ext>
          </c:extLst>
        </c:ser>
        <c:ser>
          <c:idx val="2"/>
          <c:order val="2"/>
          <c:tx>
            <c:strRef>
              <c:f>Sheet3!$B$18</c:f>
              <c:strCache>
                <c:ptCount val="1"/>
                <c:pt idx="0">
                  <c:v>Summer</c:v>
                </c:pt>
              </c:strCache>
            </c:strRef>
          </c:tx>
          <c:spPr>
            <a:solidFill>
              <a:schemeClr val="accent3"/>
            </a:solidFill>
            <a:ln>
              <a:noFill/>
            </a:ln>
            <a:effectLst/>
            <a:sp3d/>
          </c:spPr>
          <c:invertIfNegative val="0"/>
          <c:cat>
            <c:strRef>
              <c:f>Sheet3!$C$15:$I$15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Sheet3!$C$18:$I$18</c:f>
              <c:numCache>
                <c:formatCode>General</c:formatCode>
                <c:ptCount val="4"/>
                <c:pt idx="0">
                  <c:v>50.1</c:v>
                </c:pt>
                <c:pt idx="1">
                  <c:v>40.06</c:v>
                </c:pt>
                <c:pt idx="2" formatCode="0.00">
                  <c:v>55.35</c:v>
                </c:pt>
                <c:pt idx="3" formatCode="0.00">
                  <c:v>50.31</c:v>
                </c:pt>
              </c:numCache>
            </c:numRef>
          </c:val>
          <c:extLst>
            <c:ext xmlns:c16="http://schemas.microsoft.com/office/drawing/2014/chart" uri="{C3380CC4-5D6E-409C-BE32-E72D297353CC}">
              <c16:uniqueId val="{00000002-5D7B-4A01-999E-8A202395AD04}"/>
            </c:ext>
          </c:extLst>
        </c:ser>
        <c:dLbls>
          <c:showLegendKey val="0"/>
          <c:showVal val="0"/>
          <c:showCatName val="0"/>
          <c:showSerName val="0"/>
          <c:showPercent val="0"/>
          <c:showBubbleSize val="0"/>
        </c:dLbls>
        <c:gapWidth val="150"/>
        <c:shape val="box"/>
        <c:axId val="394386432"/>
        <c:axId val="394388224"/>
        <c:axId val="0"/>
      </c:bar3DChart>
      <c:catAx>
        <c:axId val="394386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4388224"/>
        <c:crosses val="autoZero"/>
        <c:auto val="1"/>
        <c:lblAlgn val="ctr"/>
        <c:lblOffset val="100"/>
        <c:noMultiLvlLbl val="0"/>
      </c:catAx>
      <c:valAx>
        <c:axId val="394388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Calcium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43864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(Magnesium As Mg2+)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67821109178863"/>
          <c:y val="0.18092774861475652"/>
          <c:w val="0.85676618547681538"/>
          <c:h val="0.49845180810731993"/>
        </c:manualLayout>
      </c:layout>
      <c:bar3DChart>
        <c:barDir val="col"/>
        <c:grouping val="clustered"/>
        <c:varyColors val="0"/>
        <c:ser>
          <c:idx val="0"/>
          <c:order val="0"/>
          <c:tx>
            <c:strRef>
              <c:f>Sheet3!$B$20</c:f>
              <c:strCache>
                <c:ptCount val="1"/>
                <c:pt idx="0">
                  <c:v>Monsoon</c:v>
                </c:pt>
              </c:strCache>
            </c:strRef>
          </c:tx>
          <c:spPr>
            <a:solidFill>
              <a:schemeClr val="accent1"/>
            </a:solidFill>
            <a:ln>
              <a:noFill/>
            </a:ln>
            <a:effectLst/>
            <a:sp3d/>
          </c:spPr>
          <c:invertIfNegative val="0"/>
          <c:cat>
            <c:strRef>
              <c:f>Sheet3!$C$19:$I$19</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Sheet3!$C$20:$I$20</c:f>
              <c:numCache>
                <c:formatCode>0.00</c:formatCode>
                <c:ptCount val="4"/>
                <c:pt idx="0">
                  <c:v>25.45</c:v>
                </c:pt>
                <c:pt idx="1">
                  <c:v>32.78</c:v>
                </c:pt>
                <c:pt idx="2">
                  <c:v>40.75</c:v>
                </c:pt>
                <c:pt idx="3">
                  <c:v>35.75</c:v>
                </c:pt>
              </c:numCache>
            </c:numRef>
          </c:val>
          <c:extLst>
            <c:ext xmlns:c16="http://schemas.microsoft.com/office/drawing/2014/chart" uri="{C3380CC4-5D6E-409C-BE32-E72D297353CC}">
              <c16:uniqueId val="{00000000-3731-42A1-A4B8-B861C908E7C9}"/>
            </c:ext>
          </c:extLst>
        </c:ser>
        <c:ser>
          <c:idx val="1"/>
          <c:order val="1"/>
          <c:tx>
            <c:strRef>
              <c:f>Sheet3!$B$21</c:f>
              <c:strCache>
                <c:ptCount val="1"/>
                <c:pt idx="0">
                  <c:v>Winter </c:v>
                </c:pt>
              </c:strCache>
            </c:strRef>
          </c:tx>
          <c:spPr>
            <a:solidFill>
              <a:schemeClr val="accent2"/>
            </a:solidFill>
            <a:ln>
              <a:noFill/>
            </a:ln>
            <a:effectLst/>
            <a:sp3d/>
          </c:spPr>
          <c:invertIfNegative val="0"/>
          <c:cat>
            <c:strRef>
              <c:f>Sheet3!$C$19:$I$19</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Sheet3!$C$21:$I$21</c:f>
              <c:numCache>
                <c:formatCode>0.00</c:formatCode>
                <c:ptCount val="4"/>
                <c:pt idx="0" formatCode="General">
                  <c:v>5.66</c:v>
                </c:pt>
                <c:pt idx="1">
                  <c:v>32.21</c:v>
                </c:pt>
                <c:pt idx="2" formatCode="General">
                  <c:v>5.66</c:v>
                </c:pt>
                <c:pt idx="3">
                  <c:v>35.24</c:v>
                </c:pt>
              </c:numCache>
            </c:numRef>
          </c:val>
          <c:extLst>
            <c:ext xmlns:c16="http://schemas.microsoft.com/office/drawing/2014/chart" uri="{C3380CC4-5D6E-409C-BE32-E72D297353CC}">
              <c16:uniqueId val="{00000001-3731-42A1-A4B8-B861C908E7C9}"/>
            </c:ext>
          </c:extLst>
        </c:ser>
        <c:ser>
          <c:idx val="2"/>
          <c:order val="2"/>
          <c:tx>
            <c:strRef>
              <c:f>Sheet3!$B$22</c:f>
              <c:strCache>
                <c:ptCount val="1"/>
                <c:pt idx="0">
                  <c:v>Summer</c:v>
                </c:pt>
              </c:strCache>
            </c:strRef>
          </c:tx>
          <c:spPr>
            <a:solidFill>
              <a:schemeClr val="accent3"/>
            </a:solidFill>
            <a:ln>
              <a:noFill/>
            </a:ln>
            <a:effectLst/>
            <a:sp3d/>
          </c:spPr>
          <c:invertIfNegative val="0"/>
          <c:cat>
            <c:strRef>
              <c:f>Sheet3!$C$19:$I$19</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Sheet3!$C$22:$I$22</c:f>
              <c:numCache>
                <c:formatCode>General</c:formatCode>
                <c:ptCount val="4"/>
                <c:pt idx="0">
                  <c:v>27.43</c:v>
                </c:pt>
                <c:pt idx="1">
                  <c:v>35.76</c:v>
                </c:pt>
                <c:pt idx="2" formatCode="0.00">
                  <c:v>22.07</c:v>
                </c:pt>
                <c:pt idx="3" formatCode="0.00">
                  <c:v>30.25</c:v>
                </c:pt>
              </c:numCache>
            </c:numRef>
          </c:val>
          <c:extLst>
            <c:ext xmlns:c16="http://schemas.microsoft.com/office/drawing/2014/chart" uri="{C3380CC4-5D6E-409C-BE32-E72D297353CC}">
              <c16:uniqueId val="{00000002-3731-42A1-A4B8-B861C908E7C9}"/>
            </c:ext>
          </c:extLst>
        </c:ser>
        <c:dLbls>
          <c:showLegendKey val="0"/>
          <c:showVal val="0"/>
          <c:showCatName val="0"/>
          <c:showSerName val="0"/>
          <c:showPercent val="0"/>
          <c:showBubbleSize val="0"/>
        </c:dLbls>
        <c:gapWidth val="150"/>
        <c:shape val="box"/>
        <c:axId val="394777344"/>
        <c:axId val="394778880"/>
        <c:axId val="0"/>
      </c:bar3DChart>
      <c:catAx>
        <c:axId val="394777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4778880"/>
        <c:crossesAt val="0"/>
        <c:auto val="1"/>
        <c:lblAlgn val="ctr"/>
        <c:lblOffset val="100"/>
        <c:noMultiLvlLbl val="0"/>
      </c:catAx>
      <c:valAx>
        <c:axId val="394778880"/>
        <c:scaling>
          <c:orientation val="minMax"/>
          <c:max val="4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Magnesium (mg/L)</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47773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Physico-chemical parameteres (pH)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682852143482065E-2"/>
          <c:y val="0.30622010790317877"/>
          <c:w val="0.85987729658792655"/>
          <c:h val="0.48505062713661923"/>
        </c:manualLayout>
      </c:layout>
      <c:bar3DChart>
        <c:barDir val="col"/>
        <c:grouping val="clustered"/>
        <c:varyColors val="0"/>
        <c:ser>
          <c:idx val="0"/>
          <c:order val="0"/>
          <c:tx>
            <c:strRef>
              <c:f>Sheet3!$B$24</c:f>
              <c:strCache>
                <c:ptCount val="1"/>
                <c:pt idx="0">
                  <c:v>Monsoon</c:v>
                </c:pt>
              </c:strCache>
            </c:strRef>
          </c:tx>
          <c:spPr>
            <a:solidFill>
              <a:schemeClr val="accent1"/>
            </a:solidFill>
            <a:ln>
              <a:noFill/>
            </a:ln>
            <a:effectLst/>
            <a:sp3d/>
          </c:spPr>
          <c:invertIfNegative val="0"/>
          <c:cat>
            <c:strRef>
              <c:f>Sheet3!$C$23:$I$23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Sheet3!$C$24:$I$24</c:f>
              <c:numCache>
                <c:formatCode>0.0</c:formatCode>
                <c:ptCount val="4"/>
                <c:pt idx="0">
                  <c:v>7.5</c:v>
                </c:pt>
                <c:pt idx="1">
                  <c:v>7.6</c:v>
                </c:pt>
                <c:pt idx="2">
                  <c:v>8.1999999999999993</c:v>
                </c:pt>
                <c:pt idx="3">
                  <c:v>8</c:v>
                </c:pt>
              </c:numCache>
            </c:numRef>
          </c:val>
          <c:extLst>
            <c:ext xmlns:c16="http://schemas.microsoft.com/office/drawing/2014/chart" uri="{C3380CC4-5D6E-409C-BE32-E72D297353CC}">
              <c16:uniqueId val="{00000000-178C-400C-89E7-0C40F7886982}"/>
            </c:ext>
          </c:extLst>
        </c:ser>
        <c:ser>
          <c:idx val="1"/>
          <c:order val="1"/>
          <c:tx>
            <c:strRef>
              <c:f>Sheet3!$B$25</c:f>
              <c:strCache>
                <c:ptCount val="1"/>
                <c:pt idx="0">
                  <c:v>Winter </c:v>
                </c:pt>
              </c:strCache>
            </c:strRef>
          </c:tx>
          <c:spPr>
            <a:solidFill>
              <a:schemeClr val="accent2"/>
            </a:solidFill>
            <a:ln>
              <a:noFill/>
            </a:ln>
            <a:effectLst/>
            <a:sp3d/>
          </c:spPr>
          <c:invertIfNegative val="0"/>
          <c:cat>
            <c:strRef>
              <c:f>Sheet3!$C$23:$I$23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Sheet3!$C$25:$I$25</c:f>
              <c:numCache>
                <c:formatCode>0.0</c:formatCode>
                <c:ptCount val="4"/>
                <c:pt idx="0" formatCode="General">
                  <c:v>7.2</c:v>
                </c:pt>
                <c:pt idx="1">
                  <c:v>7.9</c:v>
                </c:pt>
                <c:pt idx="2" formatCode="General">
                  <c:v>7.3</c:v>
                </c:pt>
                <c:pt idx="3">
                  <c:v>8</c:v>
                </c:pt>
              </c:numCache>
            </c:numRef>
          </c:val>
          <c:extLst>
            <c:ext xmlns:c16="http://schemas.microsoft.com/office/drawing/2014/chart" uri="{C3380CC4-5D6E-409C-BE32-E72D297353CC}">
              <c16:uniqueId val="{00000001-178C-400C-89E7-0C40F7886982}"/>
            </c:ext>
          </c:extLst>
        </c:ser>
        <c:ser>
          <c:idx val="2"/>
          <c:order val="2"/>
          <c:tx>
            <c:strRef>
              <c:f>Sheet3!$B$26</c:f>
              <c:strCache>
                <c:ptCount val="1"/>
                <c:pt idx="0">
                  <c:v>Summer</c:v>
                </c:pt>
              </c:strCache>
            </c:strRef>
          </c:tx>
          <c:spPr>
            <a:solidFill>
              <a:schemeClr val="accent3"/>
            </a:solidFill>
            <a:ln>
              <a:noFill/>
            </a:ln>
            <a:effectLst/>
            <a:sp3d/>
          </c:spPr>
          <c:invertIfNegative val="0"/>
          <c:cat>
            <c:strRef>
              <c:f>Sheet3!$C$23:$I$23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Sheet3!$C$26:$I$26</c:f>
              <c:numCache>
                <c:formatCode>General</c:formatCode>
                <c:ptCount val="4"/>
                <c:pt idx="0">
                  <c:v>7.19</c:v>
                </c:pt>
                <c:pt idx="1">
                  <c:v>7.4</c:v>
                </c:pt>
                <c:pt idx="2" formatCode="0.0">
                  <c:v>7.3</c:v>
                </c:pt>
                <c:pt idx="3" formatCode="0.0">
                  <c:v>7.8</c:v>
                </c:pt>
              </c:numCache>
            </c:numRef>
          </c:val>
          <c:extLst>
            <c:ext xmlns:c16="http://schemas.microsoft.com/office/drawing/2014/chart" uri="{C3380CC4-5D6E-409C-BE32-E72D297353CC}">
              <c16:uniqueId val="{00000002-178C-400C-89E7-0C40F7886982}"/>
            </c:ext>
          </c:extLst>
        </c:ser>
        <c:dLbls>
          <c:showLegendKey val="0"/>
          <c:showVal val="0"/>
          <c:showCatName val="0"/>
          <c:showSerName val="0"/>
          <c:showPercent val="0"/>
          <c:showBubbleSize val="0"/>
        </c:dLbls>
        <c:gapWidth val="150"/>
        <c:shape val="box"/>
        <c:axId val="401570048"/>
        <c:axId val="403312640"/>
        <c:axId val="0"/>
      </c:bar3DChart>
      <c:catAx>
        <c:axId val="4015700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3312640"/>
        <c:crosses val="autoZero"/>
        <c:auto val="1"/>
        <c:lblAlgn val="ctr"/>
        <c:lblOffset val="100"/>
        <c:noMultiLvlLbl val="0"/>
      </c:catAx>
      <c:valAx>
        <c:axId val="403312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pH scale</a:t>
                </a:r>
              </a:p>
            </c:rich>
          </c:tx>
          <c:layout>
            <c:manualLayout>
              <c:xMode val="edge"/>
              <c:yMode val="edge"/>
              <c:x val="0.11209558180227473"/>
              <c:y val="0.3435327354913969"/>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1570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0"/>
    </c:view3D>
    <c:floor>
      <c:thickness val="0"/>
    </c:floor>
    <c:sideWall>
      <c:thickness val="0"/>
    </c:sideWall>
    <c:backWall>
      <c:thickness val="0"/>
    </c:backWall>
    <c:plotArea>
      <c:layout>
        <c:manualLayout>
          <c:layoutTarget val="inner"/>
          <c:xMode val="edge"/>
          <c:yMode val="edge"/>
          <c:x val="5.3096444154671747E-2"/>
          <c:y val="3.6487412167649447E-2"/>
          <c:w val="0.94690355584532826"/>
          <c:h val="0.45053211397902615"/>
        </c:manualLayout>
      </c:layout>
      <c:bar3DChart>
        <c:barDir val="col"/>
        <c:grouping val="clustered"/>
        <c:varyColors val="0"/>
        <c:ser>
          <c:idx val="0"/>
          <c:order val="0"/>
          <c:tx>
            <c:strRef>
              <c:f>Sheet1!$B$1</c:f>
              <c:strCache>
                <c:ptCount val="1"/>
                <c:pt idx="0">
                  <c:v>monsoon</c:v>
                </c:pt>
              </c:strCache>
            </c:strRef>
          </c:tx>
          <c:invertIfNegative val="0"/>
          <c:cat>
            <c:strRef>
              <c:f>Sheet1!$A$2:$A$5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Sheet1!$B$2:$B$5</c:f>
              <c:numCache>
                <c:formatCode>General</c:formatCode>
                <c:ptCount val="4"/>
                <c:pt idx="0">
                  <c:v>0.8</c:v>
                </c:pt>
                <c:pt idx="1">
                  <c:v>0.9</c:v>
                </c:pt>
                <c:pt idx="2">
                  <c:v>1</c:v>
                </c:pt>
                <c:pt idx="3">
                  <c:v>0.9</c:v>
                </c:pt>
              </c:numCache>
            </c:numRef>
          </c:val>
          <c:extLst>
            <c:ext xmlns:c16="http://schemas.microsoft.com/office/drawing/2014/chart" uri="{C3380CC4-5D6E-409C-BE32-E72D297353CC}">
              <c16:uniqueId val="{00000000-1E46-4897-B2F2-2B380AF016A2}"/>
            </c:ext>
          </c:extLst>
        </c:ser>
        <c:ser>
          <c:idx val="1"/>
          <c:order val="1"/>
          <c:tx>
            <c:strRef>
              <c:f>Sheet1!$C$1</c:f>
              <c:strCache>
                <c:ptCount val="1"/>
                <c:pt idx="0">
                  <c:v>winter</c:v>
                </c:pt>
              </c:strCache>
            </c:strRef>
          </c:tx>
          <c:invertIfNegative val="0"/>
          <c:cat>
            <c:strRef>
              <c:f>Sheet1!$A$2:$A$5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Sheet1!$C$2:$C$5</c:f>
              <c:numCache>
                <c:formatCode>General</c:formatCode>
                <c:ptCount val="4"/>
                <c:pt idx="0">
                  <c:v>0.4</c:v>
                </c:pt>
                <c:pt idx="1">
                  <c:v>0.9</c:v>
                </c:pt>
                <c:pt idx="2">
                  <c:v>0.8</c:v>
                </c:pt>
                <c:pt idx="3">
                  <c:v>0.8</c:v>
                </c:pt>
              </c:numCache>
            </c:numRef>
          </c:val>
          <c:extLst>
            <c:ext xmlns:c16="http://schemas.microsoft.com/office/drawing/2014/chart" uri="{C3380CC4-5D6E-409C-BE32-E72D297353CC}">
              <c16:uniqueId val="{00000001-1E46-4897-B2F2-2B380AF016A2}"/>
            </c:ext>
          </c:extLst>
        </c:ser>
        <c:ser>
          <c:idx val="2"/>
          <c:order val="2"/>
          <c:tx>
            <c:strRef>
              <c:f>Sheet1!$D$1</c:f>
              <c:strCache>
                <c:ptCount val="1"/>
                <c:pt idx="0">
                  <c:v>summer</c:v>
                </c:pt>
              </c:strCache>
            </c:strRef>
          </c:tx>
          <c:invertIfNegative val="0"/>
          <c:cat>
            <c:strRef>
              <c:f>Sheet1!$A$2:$A$5</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Sheet1!$D$2:$D$5</c:f>
              <c:numCache>
                <c:formatCode>General</c:formatCode>
                <c:ptCount val="4"/>
                <c:pt idx="0">
                  <c:v>0.5</c:v>
                </c:pt>
                <c:pt idx="1">
                  <c:v>0.7</c:v>
                </c:pt>
                <c:pt idx="2">
                  <c:v>0.7</c:v>
                </c:pt>
                <c:pt idx="3">
                  <c:v>0.8</c:v>
                </c:pt>
              </c:numCache>
            </c:numRef>
          </c:val>
          <c:extLst>
            <c:ext xmlns:c16="http://schemas.microsoft.com/office/drawing/2014/chart" uri="{C3380CC4-5D6E-409C-BE32-E72D297353CC}">
              <c16:uniqueId val="{00000002-1E46-4897-B2F2-2B380AF016A2}"/>
            </c:ext>
          </c:extLst>
        </c:ser>
        <c:dLbls>
          <c:showLegendKey val="0"/>
          <c:showVal val="0"/>
          <c:showCatName val="0"/>
          <c:showSerName val="0"/>
          <c:showPercent val="0"/>
          <c:showBubbleSize val="0"/>
        </c:dLbls>
        <c:gapWidth val="150"/>
        <c:shape val="box"/>
        <c:axId val="403651968"/>
        <c:axId val="403653760"/>
        <c:axId val="0"/>
      </c:bar3DChart>
      <c:catAx>
        <c:axId val="403651968"/>
        <c:scaling>
          <c:orientation val="minMax"/>
        </c:scaling>
        <c:delete val="0"/>
        <c:axPos val="b"/>
        <c:numFmt formatCode="General" sourceLinked="0"/>
        <c:majorTickMark val="out"/>
        <c:minorTickMark val="none"/>
        <c:tickLblPos val="nextTo"/>
        <c:crossAx val="403653760"/>
        <c:crosses val="autoZero"/>
        <c:auto val="1"/>
        <c:lblAlgn val="ctr"/>
        <c:lblOffset val="100"/>
        <c:noMultiLvlLbl val="0"/>
      </c:catAx>
      <c:valAx>
        <c:axId val="403653760"/>
        <c:scaling>
          <c:orientation val="minMax"/>
        </c:scaling>
        <c:delete val="0"/>
        <c:axPos val="l"/>
        <c:majorGridlines/>
        <c:numFmt formatCode="General" sourceLinked="1"/>
        <c:majorTickMark val="out"/>
        <c:minorTickMark val="none"/>
        <c:tickLblPos val="nextTo"/>
        <c:crossAx val="403651968"/>
        <c:crosses val="autoZero"/>
        <c:crossBetween val="between"/>
      </c:valAx>
    </c:plotArea>
    <c:legend>
      <c:legendPos val="r"/>
      <c:layout>
        <c:manualLayout>
          <c:xMode val="edge"/>
          <c:yMode val="edge"/>
          <c:x val="0.17575438420515904"/>
          <c:y val="0.85202170356508122"/>
          <c:w val="0.57796111473326983"/>
          <c:h val="0.10313148076221412"/>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733866600008328E-2"/>
          <c:y val="0.13335702828813065"/>
          <c:w val="0.90922384701912262"/>
          <c:h val="0.75158355205599303"/>
        </c:manualLayout>
      </c:layout>
      <c:bar3DChart>
        <c:barDir val="col"/>
        <c:grouping val="clustered"/>
        <c:varyColors val="0"/>
        <c:ser>
          <c:idx val="0"/>
          <c:order val="0"/>
          <c:tx>
            <c:strRef>
              <c:f>Sheet3!$B$32</c:f>
              <c:strCache>
                <c:ptCount val="1"/>
                <c:pt idx="0">
                  <c:v>Monsoon</c:v>
                </c:pt>
              </c:strCache>
            </c:strRef>
          </c:tx>
          <c:spPr>
            <a:solidFill>
              <a:schemeClr val="accent1"/>
            </a:solidFill>
            <a:ln>
              <a:noFill/>
            </a:ln>
            <a:effectLst/>
            <a:sp3d/>
          </c:spPr>
          <c:invertIfNegative val="0"/>
          <c:cat>
            <c:strRef>
              <c:f>Sheet3!$C$31:$I$31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Sheet3!$C$32:$I$32</c:f>
              <c:numCache>
                <c:formatCode>0.00</c:formatCode>
                <c:ptCount val="4"/>
                <c:pt idx="0">
                  <c:v>287.12</c:v>
                </c:pt>
                <c:pt idx="1">
                  <c:v>290.02</c:v>
                </c:pt>
                <c:pt idx="2">
                  <c:v>293.02999999999997</c:v>
                </c:pt>
                <c:pt idx="3">
                  <c:v>298.05</c:v>
                </c:pt>
              </c:numCache>
            </c:numRef>
          </c:val>
          <c:extLst>
            <c:ext xmlns:c16="http://schemas.microsoft.com/office/drawing/2014/chart" uri="{C3380CC4-5D6E-409C-BE32-E72D297353CC}">
              <c16:uniqueId val="{00000000-01B2-4114-86D4-886051DD5EAE}"/>
            </c:ext>
          </c:extLst>
        </c:ser>
        <c:ser>
          <c:idx val="1"/>
          <c:order val="1"/>
          <c:tx>
            <c:strRef>
              <c:f>Sheet3!$B$33</c:f>
              <c:strCache>
                <c:ptCount val="1"/>
                <c:pt idx="0">
                  <c:v>Winter </c:v>
                </c:pt>
              </c:strCache>
            </c:strRef>
          </c:tx>
          <c:spPr>
            <a:solidFill>
              <a:schemeClr val="accent2"/>
            </a:solidFill>
            <a:ln>
              <a:noFill/>
            </a:ln>
            <a:effectLst/>
            <a:sp3d/>
          </c:spPr>
          <c:invertIfNegative val="0"/>
          <c:cat>
            <c:strRef>
              <c:f>Sheet3!$C$31:$I$31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Sheet3!$C$33:$I$33</c:f>
              <c:numCache>
                <c:formatCode>0.00</c:formatCode>
                <c:ptCount val="4"/>
                <c:pt idx="0" formatCode="General">
                  <c:v>72.010000000000005</c:v>
                </c:pt>
                <c:pt idx="1">
                  <c:v>280.27999999999997</c:v>
                </c:pt>
                <c:pt idx="2" formatCode="General">
                  <c:v>61.42</c:v>
                </c:pt>
                <c:pt idx="3">
                  <c:v>287.83</c:v>
                </c:pt>
              </c:numCache>
            </c:numRef>
          </c:val>
          <c:extLst>
            <c:ext xmlns:c16="http://schemas.microsoft.com/office/drawing/2014/chart" uri="{C3380CC4-5D6E-409C-BE32-E72D297353CC}">
              <c16:uniqueId val="{00000001-01B2-4114-86D4-886051DD5EAE}"/>
            </c:ext>
          </c:extLst>
        </c:ser>
        <c:ser>
          <c:idx val="2"/>
          <c:order val="2"/>
          <c:tx>
            <c:strRef>
              <c:f>Sheet3!$B$34</c:f>
              <c:strCache>
                <c:ptCount val="1"/>
                <c:pt idx="0">
                  <c:v>Summer</c:v>
                </c:pt>
              </c:strCache>
            </c:strRef>
          </c:tx>
          <c:spPr>
            <a:solidFill>
              <a:schemeClr val="accent3"/>
            </a:solidFill>
            <a:ln>
              <a:noFill/>
            </a:ln>
            <a:effectLst/>
            <a:sp3d/>
          </c:spPr>
          <c:invertIfNegative val="0"/>
          <c:cat>
            <c:strRef>
              <c:f>Sheet3!$C$31:$I$31</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Sheet3!$C$34:$I$34</c:f>
              <c:numCache>
                <c:formatCode>General</c:formatCode>
                <c:ptCount val="4"/>
                <c:pt idx="0">
                  <c:v>237.11</c:v>
                </c:pt>
                <c:pt idx="1">
                  <c:v>262.01</c:v>
                </c:pt>
                <c:pt idx="2" formatCode="0.00">
                  <c:v>250.24</c:v>
                </c:pt>
                <c:pt idx="3" formatCode="0.00">
                  <c:v>300.25</c:v>
                </c:pt>
              </c:numCache>
            </c:numRef>
          </c:val>
          <c:extLst>
            <c:ext xmlns:c16="http://schemas.microsoft.com/office/drawing/2014/chart" uri="{C3380CC4-5D6E-409C-BE32-E72D297353CC}">
              <c16:uniqueId val="{00000002-01B2-4114-86D4-886051DD5EAE}"/>
            </c:ext>
          </c:extLst>
        </c:ser>
        <c:dLbls>
          <c:showLegendKey val="0"/>
          <c:showVal val="0"/>
          <c:showCatName val="0"/>
          <c:showSerName val="0"/>
          <c:showPercent val="0"/>
          <c:showBubbleSize val="0"/>
        </c:dLbls>
        <c:gapWidth val="150"/>
        <c:shape val="box"/>
        <c:axId val="403677568"/>
        <c:axId val="403679104"/>
        <c:axId val="0"/>
      </c:bar3DChart>
      <c:catAx>
        <c:axId val="403677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3679104"/>
        <c:crosses val="autoZero"/>
        <c:auto val="1"/>
        <c:lblAlgn val="ctr"/>
        <c:lblOffset val="100"/>
        <c:noMultiLvlLbl val="0"/>
      </c:catAx>
      <c:valAx>
        <c:axId val="403679104"/>
        <c:scaling>
          <c:orientation val="minMax"/>
          <c:max val="3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900"/>
                  <a:t>Total Hardness (mg/L)</a:t>
                </a:r>
              </a:p>
            </c:rich>
          </c:tx>
          <c:layout>
            <c:manualLayout>
              <c:xMode val="edge"/>
              <c:yMode val="edge"/>
              <c:x val="6.5677203639658479E-3"/>
              <c:y val="0.3088542578011082"/>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3677568"/>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Physico-chemical parameteres (Color)  of water samples of Mahasamund</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Sheet3!$B$44</c:f>
              <c:strCache>
                <c:ptCount val="1"/>
                <c:pt idx="0">
                  <c:v>Monsoon</c:v>
                </c:pt>
              </c:strCache>
            </c:strRef>
          </c:tx>
          <c:spPr>
            <a:solidFill>
              <a:schemeClr val="accent1"/>
            </a:solidFill>
            <a:ln>
              <a:noFill/>
            </a:ln>
            <a:effectLst/>
            <a:sp3d/>
          </c:spPr>
          <c:invertIfNegative val="0"/>
          <c:cat>
            <c:strRef>
              <c:f>Sheet3!$C$43:$I$43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Sheet3!$C$44:$I$44</c:f>
              <c:numCache>
                <c:formatCode>0</c:formatCode>
                <c:ptCount val="4"/>
                <c:pt idx="0">
                  <c:v>3</c:v>
                </c:pt>
                <c:pt idx="1">
                  <c:v>4</c:v>
                </c:pt>
                <c:pt idx="2">
                  <c:v>5</c:v>
                </c:pt>
                <c:pt idx="3">
                  <c:v>5</c:v>
                </c:pt>
              </c:numCache>
            </c:numRef>
          </c:val>
          <c:extLst>
            <c:ext xmlns:c16="http://schemas.microsoft.com/office/drawing/2014/chart" uri="{C3380CC4-5D6E-409C-BE32-E72D297353CC}">
              <c16:uniqueId val="{00000000-BAF4-4403-B796-253610F4978F}"/>
            </c:ext>
          </c:extLst>
        </c:ser>
        <c:ser>
          <c:idx val="1"/>
          <c:order val="1"/>
          <c:tx>
            <c:strRef>
              <c:f>Sheet3!$B$45</c:f>
              <c:strCache>
                <c:ptCount val="1"/>
                <c:pt idx="0">
                  <c:v>Winter </c:v>
                </c:pt>
              </c:strCache>
            </c:strRef>
          </c:tx>
          <c:spPr>
            <a:solidFill>
              <a:schemeClr val="accent2"/>
            </a:solidFill>
            <a:ln>
              <a:noFill/>
            </a:ln>
            <a:effectLst/>
            <a:sp3d/>
          </c:spPr>
          <c:invertIfNegative val="0"/>
          <c:cat>
            <c:strRef>
              <c:f>Sheet3!$C$43:$I$43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Sheet3!$C$45:$I$45</c:f>
              <c:numCache>
                <c:formatCode>0</c:formatCode>
                <c:ptCount val="4"/>
                <c:pt idx="0" formatCode="General">
                  <c:v>3</c:v>
                </c:pt>
                <c:pt idx="1">
                  <c:v>4</c:v>
                </c:pt>
                <c:pt idx="2" formatCode="General">
                  <c:v>11</c:v>
                </c:pt>
                <c:pt idx="3">
                  <c:v>5</c:v>
                </c:pt>
              </c:numCache>
            </c:numRef>
          </c:val>
          <c:extLst>
            <c:ext xmlns:c16="http://schemas.microsoft.com/office/drawing/2014/chart" uri="{C3380CC4-5D6E-409C-BE32-E72D297353CC}">
              <c16:uniqueId val="{00000001-BAF4-4403-B796-253610F4978F}"/>
            </c:ext>
          </c:extLst>
        </c:ser>
        <c:ser>
          <c:idx val="2"/>
          <c:order val="2"/>
          <c:tx>
            <c:strRef>
              <c:f>Sheet3!$B$46</c:f>
              <c:strCache>
                <c:ptCount val="1"/>
                <c:pt idx="0">
                  <c:v>Summer</c:v>
                </c:pt>
              </c:strCache>
            </c:strRef>
          </c:tx>
          <c:spPr>
            <a:solidFill>
              <a:schemeClr val="accent3"/>
            </a:solidFill>
            <a:ln>
              <a:noFill/>
            </a:ln>
            <a:effectLst/>
            <a:sp3d/>
          </c:spPr>
          <c:invertIfNegative val="0"/>
          <c:cat>
            <c:strRef>
              <c:f>Sheet3!$C$43:$I$43</c:f>
              <c:strCache>
                <c:ptCount val="4"/>
                <c:pt idx="0">
                  <c:v>Ground water from tube well industrial area, Birkoni, Mahasamund</c:v>
                </c:pt>
                <c:pt idx="1">
                  <c:v>Ground water from tube well industrial area, Belsonda, Mahasamund</c:v>
                </c:pt>
                <c:pt idx="2">
                  <c:v>River water from industrial area, Birkoni, Mahasamund</c:v>
                </c:pt>
                <c:pt idx="3">
                  <c:v>River water from industrial area, Belsonda, Mahasamund</c:v>
                </c:pt>
              </c:strCache>
            </c:strRef>
          </c:cat>
          <c:val>
            <c:numRef>
              <c:f>Sheet3!$C$46:$I$46</c:f>
              <c:numCache>
                <c:formatCode>General</c:formatCode>
                <c:ptCount val="4"/>
                <c:pt idx="0">
                  <c:v>3</c:v>
                </c:pt>
                <c:pt idx="1">
                  <c:v>4</c:v>
                </c:pt>
                <c:pt idx="2" formatCode="0">
                  <c:v>3</c:v>
                </c:pt>
                <c:pt idx="3" formatCode="0">
                  <c:v>4</c:v>
                </c:pt>
              </c:numCache>
            </c:numRef>
          </c:val>
          <c:extLst>
            <c:ext xmlns:c16="http://schemas.microsoft.com/office/drawing/2014/chart" uri="{C3380CC4-5D6E-409C-BE32-E72D297353CC}">
              <c16:uniqueId val="{00000002-BAF4-4403-B796-253610F4978F}"/>
            </c:ext>
          </c:extLst>
        </c:ser>
        <c:dLbls>
          <c:showLegendKey val="0"/>
          <c:showVal val="0"/>
          <c:showCatName val="0"/>
          <c:showSerName val="0"/>
          <c:showPercent val="0"/>
          <c:showBubbleSize val="0"/>
        </c:dLbls>
        <c:gapWidth val="150"/>
        <c:shape val="box"/>
        <c:axId val="403715584"/>
        <c:axId val="403717120"/>
        <c:axId val="0"/>
      </c:bar3DChart>
      <c:catAx>
        <c:axId val="403715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3717120"/>
        <c:crosses val="autoZero"/>
        <c:auto val="1"/>
        <c:lblAlgn val="ctr"/>
        <c:lblOffset val="100"/>
        <c:noMultiLvlLbl val="0"/>
      </c:catAx>
      <c:valAx>
        <c:axId val="403717120"/>
        <c:scaling>
          <c:orientation val="minMax"/>
          <c:max val="15"/>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3715584"/>
        <c:crosses val="autoZero"/>
        <c:crossBetween val="between"/>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EE43D-B43F-435A-9F9D-99960663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5299</TotalTime>
  <Pages>16</Pages>
  <Words>4644</Words>
  <Characters>26471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PATEL</dc:creator>
  <cp:lastModifiedBy>Editor-11</cp:lastModifiedBy>
  <cp:revision>54</cp:revision>
  <dcterms:created xsi:type="dcterms:W3CDTF">2025-09-09T06:36:00Z</dcterms:created>
  <dcterms:modified xsi:type="dcterms:W3CDTF">2025-11-10T10:35:00Z</dcterms:modified>
</cp:coreProperties>
</file>