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80EBF" w14:textId="77777777" w:rsidR="00525A8D" w:rsidRPr="00525A8D" w:rsidRDefault="00525A8D" w:rsidP="00525A8D">
      <w:pPr>
        <w:jc w:val="center"/>
        <w:rPr>
          <w:rFonts w:ascii="Arial" w:hAnsi="Arial" w:cs="Arial"/>
          <w:b/>
          <w:bCs/>
          <w:i/>
          <w:iCs/>
          <w:sz w:val="36"/>
          <w:u w:val="single"/>
          <w:lang w:val="en-US"/>
        </w:rPr>
      </w:pPr>
      <w:r w:rsidRPr="00525A8D">
        <w:rPr>
          <w:rFonts w:ascii="Arial" w:hAnsi="Arial" w:cs="Arial"/>
          <w:b/>
          <w:bCs/>
          <w:i/>
          <w:iCs/>
          <w:sz w:val="36"/>
          <w:u w:val="single"/>
          <w:lang w:val="en-US"/>
        </w:rPr>
        <w:t>Original Research Article</w:t>
      </w:r>
    </w:p>
    <w:p w14:paraId="194E2C23" w14:textId="6D6E2737" w:rsidR="00751A79" w:rsidRDefault="00DD73C4" w:rsidP="00777988">
      <w:pPr>
        <w:jc w:val="center"/>
        <w:rPr>
          <w:rFonts w:ascii="Arial" w:hAnsi="Arial" w:cs="Arial"/>
          <w:b/>
          <w:sz w:val="36"/>
          <w:lang w:val="en-US"/>
        </w:rPr>
      </w:pPr>
      <w:r w:rsidRPr="00710DD9">
        <w:rPr>
          <w:rFonts w:ascii="Arial" w:hAnsi="Arial" w:cs="Arial"/>
          <w:b/>
          <w:sz w:val="36"/>
          <w:highlight w:val="yellow"/>
          <w:lang w:val="en-US"/>
        </w:rPr>
        <w:t>Characterization and potenti</w:t>
      </w:r>
      <w:r w:rsidR="006A2921" w:rsidRPr="00710DD9">
        <w:rPr>
          <w:rFonts w:ascii="Arial" w:hAnsi="Arial" w:cs="Arial"/>
          <w:b/>
          <w:sz w:val="36"/>
          <w:highlight w:val="yellow"/>
          <w:lang w:val="en-US"/>
        </w:rPr>
        <w:t xml:space="preserve">al use of </w:t>
      </w:r>
      <w:r w:rsidR="00F35DAF" w:rsidRPr="00710DD9">
        <w:rPr>
          <w:rFonts w:ascii="Arial" w:hAnsi="Arial" w:cs="Arial"/>
          <w:b/>
          <w:sz w:val="36"/>
          <w:highlight w:val="yellow"/>
          <w:lang w:val="en-US"/>
        </w:rPr>
        <w:t xml:space="preserve">Kombé </w:t>
      </w:r>
      <w:r w:rsidR="006A2921" w:rsidRPr="00710DD9">
        <w:rPr>
          <w:rFonts w:ascii="Arial" w:hAnsi="Arial" w:cs="Arial"/>
          <w:b/>
          <w:sz w:val="36"/>
          <w:highlight w:val="yellow"/>
          <w:lang w:val="en-US"/>
        </w:rPr>
        <w:t xml:space="preserve">clay materials </w:t>
      </w:r>
      <w:r w:rsidR="006A2921" w:rsidRPr="00E51A4C">
        <w:rPr>
          <w:rFonts w:ascii="Arial" w:hAnsi="Arial" w:cs="Arial"/>
          <w:b/>
          <w:sz w:val="36"/>
          <w:highlight w:val="yellow"/>
          <w:lang w:val="en-US"/>
        </w:rPr>
        <w:t>in</w:t>
      </w:r>
      <w:r w:rsidR="006A2921">
        <w:rPr>
          <w:rFonts w:ascii="Arial" w:hAnsi="Arial" w:cs="Arial"/>
          <w:b/>
          <w:sz w:val="36"/>
          <w:highlight w:val="yellow"/>
          <w:lang w:val="en-US"/>
        </w:rPr>
        <w:t xml:space="preserve"> the adsorption of chromate</w:t>
      </w:r>
      <w:r w:rsidR="006A2921" w:rsidRPr="00E51A4C">
        <w:rPr>
          <w:rFonts w:ascii="Arial" w:hAnsi="Arial" w:cs="Arial"/>
          <w:b/>
          <w:sz w:val="36"/>
          <w:highlight w:val="yellow"/>
          <w:lang w:val="en-US"/>
        </w:rPr>
        <w:t xml:space="preserve"> and nitrate ions</w:t>
      </w:r>
    </w:p>
    <w:p w14:paraId="6F0D09B6" w14:textId="77777777" w:rsidR="00710DD9" w:rsidRDefault="00710DD9" w:rsidP="00DD73C4">
      <w:pPr>
        <w:jc w:val="both"/>
        <w:rPr>
          <w:rFonts w:ascii="Times New Roman" w:hAnsi="Times New Roman" w:cs="Times New Roman"/>
          <w:b/>
          <w:sz w:val="24"/>
          <w:lang w:val="en-US"/>
        </w:rPr>
      </w:pPr>
    </w:p>
    <w:p w14:paraId="605BB7A6" w14:textId="3FD15B88" w:rsidR="00DD73C4" w:rsidRPr="00DD73C4" w:rsidRDefault="005D0EA8" w:rsidP="00DD73C4">
      <w:pPr>
        <w:jc w:val="both"/>
        <w:rPr>
          <w:rFonts w:ascii="Times New Roman" w:hAnsi="Times New Roman" w:cs="Times New Roman"/>
          <w:b/>
          <w:sz w:val="24"/>
          <w:lang w:val="en-US"/>
        </w:rPr>
      </w:pPr>
      <w:r w:rsidRPr="00DD73C4">
        <w:rPr>
          <w:rFonts w:ascii="Times New Roman" w:hAnsi="Times New Roman" w:cs="Times New Roman"/>
          <w:b/>
          <w:sz w:val="24"/>
          <w:lang w:val="en-US"/>
        </w:rPr>
        <w:t>ABSTRACT:</w:t>
      </w:r>
    </w:p>
    <w:p w14:paraId="04546C14" w14:textId="77777777" w:rsidR="005D7664" w:rsidRPr="005D7664" w:rsidRDefault="005D7664" w:rsidP="005D7664">
      <w:pPr>
        <w:spacing w:after="0"/>
        <w:jc w:val="both"/>
        <w:rPr>
          <w:rFonts w:ascii="Arial" w:hAnsi="Arial" w:cs="Arial"/>
          <w:sz w:val="20"/>
          <w:szCs w:val="20"/>
          <w:highlight w:val="yellow"/>
          <w:lang w:val="en-US"/>
        </w:rPr>
      </w:pPr>
      <w:r w:rsidRPr="005D7664">
        <w:rPr>
          <w:rFonts w:ascii="Arial" w:hAnsi="Arial" w:cs="Arial"/>
          <w:sz w:val="20"/>
          <w:szCs w:val="20"/>
          <w:highlight w:val="yellow"/>
          <w:lang w:val="en-US"/>
        </w:rPr>
        <w:t>This work aims to evaluate the ability of Kombé clays, in the Republic of Congo, to adsorb chromate and nitrate ions in water. To do this, we first characterized the clay to obtain information on its physicochemical and mineralogical properties. We then performed chromate and nitrate ion adsorption tests on this material to assess its adsorption capacity.</w:t>
      </w:r>
    </w:p>
    <w:p w14:paraId="35C2E886" w14:textId="7E3588D5" w:rsidR="005D7664" w:rsidRPr="005D7664" w:rsidRDefault="005D7664" w:rsidP="005D7664">
      <w:pPr>
        <w:spacing w:after="0"/>
        <w:jc w:val="both"/>
        <w:rPr>
          <w:rFonts w:ascii="Arial" w:hAnsi="Arial" w:cs="Arial"/>
          <w:sz w:val="20"/>
          <w:szCs w:val="20"/>
          <w:highlight w:val="yellow"/>
          <w:lang w:val="en-US"/>
        </w:rPr>
      </w:pPr>
      <w:r w:rsidRPr="005D7664">
        <w:rPr>
          <w:rFonts w:ascii="Arial" w:hAnsi="Arial" w:cs="Arial"/>
          <w:sz w:val="20"/>
          <w:szCs w:val="20"/>
          <w:highlight w:val="yellow"/>
          <w:lang w:val="en-US"/>
        </w:rPr>
        <w:t>To characterize the Kombé clay, we used several analytical techniques, such as particle size distribution and Atterberg limits, X-ray diffraction (XRD), chemical analysis, cation exchange capacity (CEC), and specific surface area (SS). The results obtained show that the Kombé clay is plastic and composed of 52% clay, 18% silt, and 30% sand, with a predominance of kaolinite and a significant amount of quartz. Its CEC is 3 meq/100 g and its SS is 16 m²/g. Adsorption tests conducted on this clay indicate that it can be used for the adsorption of chromate and nitrate ions. The adsorption results show that Kombé clay removes</w:t>
      </w:r>
      <w:r w:rsidR="006E63FC">
        <w:rPr>
          <w:rFonts w:ascii="Arial" w:hAnsi="Arial" w:cs="Arial"/>
          <w:color w:val="FF0000"/>
          <w:sz w:val="20"/>
          <w:szCs w:val="20"/>
          <w:highlight w:val="yellow"/>
          <w:lang w:val="en-US"/>
        </w:rPr>
        <w:t xml:space="preserve"> </w:t>
      </w:r>
      <w:r w:rsidR="006E63FC" w:rsidRPr="006E63FC">
        <w:rPr>
          <w:rFonts w:ascii="Arial" w:hAnsi="Arial" w:cs="Arial"/>
          <w:sz w:val="20"/>
          <w:szCs w:val="20"/>
          <w:highlight w:val="yellow"/>
          <w:lang w:val="en-US"/>
        </w:rPr>
        <w:t>2.59</w:t>
      </w:r>
      <w:r w:rsidRPr="006E63FC">
        <w:rPr>
          <w:rFonts w:ascii="Arial" w:hAnsi="Arial" w:cs="Arial"/>
          <w:sz w:val="20"/>
          <w:szCs w:val="20"/>
          <w:highlight w:val="yellow"/>
          <w:lang w:val="en-US"/>
        </w:rPr>
        <w:t xml:space="preserve">% </w:t>
      </w:r>
      <w:r w:rsidRPr="005D7664">
        <w:rPr>
          <w:rFonts w:ascii="Arial" w:hAnsi="Arial" w:cs="Arial"/>
          <w:sz w:val="20"/>
          <w:szCs w:val="20"/>
          <w:highlight w:val="yellow"/>
          <w:lang w:val="en-US"/>
        </w:rPr>
        <w:t>of chromate ions and</w:t>
      </w:r>
      <w:r w:rsidR="006E63FC">
        <w:rPr>
          <w:rFonts w:ascii="Arial" w:hAnsi="Arial" w:cs="Arial"/>
          <w:color w:val="FF0000"/>
          <w:sz w:val="20"/>
          <w:szCs w:val="20"/>
          <w:highlight w:val="yellow"/>
          <w:lang w:val="en-US"/>
        </w:rPr>
        <w:t xml:space="preserve"> </w:t>
      </w:r>
      <w:r w:rsidR="006E63FC">
        <w:rPr>
          <w:rFonts w:ascii="Arial" w:hAnsi="Arial" w:cs="Arial"/>
          <w:sz w:val="20"/>
          <w:szCs w:val="20"/>
          <w:highlight w:val="yellow"/>
          <w:lang w:val="en-US"/>
        </w:rPr>
        <w:t>15.</w:t>
      </w:r>
      <w:r w:rsidR="006E63FC" w:rsidRPr="006E63FC">
        <w:rPr>
          <w:rFonts w:ascii="Arial" w:hAnsi="Arial" w:cs="Arial"/>
          <w:sz w:val="20"/>
          <w:szCs w:val="20"/>
          <w:highlight w:val="yellow"/>
          <w:lang w:val="en-US"/>
        </w:rPr>
        <w:t>94</w:t>
      </w:r>
      <w:r w:rsidRPr="006E63FC">
        <w:rPr>
          <w:rFonts w:ascii="Arial" w:hAnsi="Arial" w:cs="Arial"/>
          <w:sz w:val="20"/>
          <w:szCs w:val="20"/>
          <w:highlight w:val="yellow"/>
          <w:lang w:val="en-US"/>
        </w:rPr>
        <w:t xml:space="preserve">% of </w:t>
      </w:r>
      <w:r w:rsidRPr="005D7664">
        <w:rPr>
          <w:rFonts w:ascii="Arial" w:hAnsi="Arial" w:cs="Arial"/>
          <w:sz w:val="20"/>
          <w:szCs w:val="20"/>
          <w:highlight w:val="yellow"/>
          <w:lang w:val="en-US"/>
        </w:rPr>
        <w:t>nitrate ions.</w:t>
      </w:r>
    </w:p>
    <w:p w14:paraId="4976A6E7" w14:textId="115F2B6F" w:rsidR="00E51A4C" w:rsidRPr="00E51A4C" w:rsidRDefault="005D7664" w:rsidP="005D7664">
      <w:pPr>
        <w:jc w:val="both"/>
        <w:rPr>
          <w:rFonts w:ascii="Arial" w:hAnsi="Arial" w:cs="Arial"/>
          <w:sz w:val="20"/>
          <w:szCs w:val="20"/>
          <w:lang w:val="en-US"/>
        </w:rPr>
      </w:pPr>
      <w:r w:rsidRPr="005D7664">
        <w:rPr>
          <w:rFonts w:ascii="Arial" w:hAnsi="Arial" w:cs="Arial"/>
          <w:sz w:val="20"/>
          <w:szCs w:val="20"/>
          <w:highlight w:val="yellow"/>
          <w:lang w:val="en-US"/>
        </w:rPr>
        <w:t>In light of these results, this study reveals that Kombé clay can be used in the treatment of polluted water as an adsorbent, as well as in applications for traditional and structural ceramics (bricks, tiles, etc.). However, this adsorption capacity is low and needs to be improved.</w:t>
      </w:r>
    </w:p>
    <w:p w14:paraId="62BE3040" w14:textId="3413FD05" w:rsidR="00B229D7" w:rsidRDefault="00E51A4C" w:rsidP="00E51A4C">
      <w:pPr>
        <w:jc w:val="both"/>
        <w:rPr>
          <w:rFonts w:ascii="Arial" w:hAnsi="Arial" w:cs="Arial"/>
          <w:sz w:val="20"/>
          <w:szCs w:val="20"/>
          <w:lang w:val="en-US"/>
        </w:rPr>
      </w:pPr>
      <w:r w:rsidRPr="00F635F0">
        <w:rPr>
          <w:rFonts w:ascii="Arial" w:hAnsi="Arial" w:cs="Arial"/>
          <w:sz w:val="20"/>
          <w:szCs w:val="20"/>
          <w:highlight w:val="yellow"/>
          <w:lang w:val="en-US"/>
        </w:rPr>
        <w:t>Keywords: Clay material, Kombé</w:t>
      </w:r>
      <w:r w:rsidR="00F635F0" w:rsidRPr="00F635F0">
        <w:rPr>
          <w:rFonts w:ascii="Arial" w:hAnsi="Arial" w:cs="Arial"/>
          <w:sz w:val="20"/>
          <w:szCs w:val="20"/>
          <w:highlight w:val="yellow"/>
          <w:lang w:val="en-US"/>
        </w:rPr>
        <w:t>, characterization, adsorption, physicochemical and mineralogical properties</w:t>
      </w:r>
      <w:r w:rsidRPr="00F635F0">
        <w:rPr>
          <w:rFonts w:ascii="Arial" w:hAnsi="Arial" w:cs="Arial"/>
          <w:sz w:val="20"/>
          <w:szCs w:val="20"/>
          <w:highlight w:val="yellow"/>
          <w:lang w:val="en-US"/>
        </w:rPr>
        <w:t>.</w:t>
      </w:r>
    </w:p>
    <w:p w14:paraId="0936B038" w14:textId="77777777" w:rsidR="00B229D7" w:rsidRDefault="00B229D7" w:rsidP="00DD73C4">
      <w:pPr>
        <w:jc w:val="both"/>
        <w:rPr>
          <w:rFonts w:ascii="Arial" w:hAnsi="Arial" w:cs="Arial"/>
          <w:sz w:val="20"/>
          <w:szCs w:val="20"/>
          <w:lang w:val="en-US"/>
        </w:rPr>
      </w:pPr>
    </w:p>
    <w:p w14:paraId="7F425368" w14:textId="77777777" w:rsidR="00A10042" w:rsidRPr="00FD7BCC" w:rsidRDefault="00003E07" w:rsidP="00003E07">
      <w:pPr>
        <w:pStyle w:val="ListParagraph"/>
        <w:numPr>
          <w:ilvl w:val="0"/>
          <w:numId w:val="5"/>
        </w:numPr>
        <w:ind w:left="284" w:hanging="284"/>
        <w:rPr>
          <w:rFonts w:ascii="Arial" w:hAnsi="Arial" w:cs="Arial"/>
          <w:b/>
          <w:sz w:val="20"/>
          <w:szCs w:val="20"/>
          <w:lang w:val="en-US"/>
        </w:rPr>
      </w:pPr>
      <w:r>
        <w:rPr>
          <w:rFonts w:ascii="Arial" w:hAnsi="Arial" w:cs="Arial"/>
          <w:b/>
          <w:sz w:val="20"/>
          <w:szCs w:val="20"/>
          <w:lang w:val="en-US"/>
        </w:rPr>
        <w:t>INTRODUCTION</w:t>
      </w:r>
    </w:p>
    <w:p w14:paraId="30801387" w14:textId="28618900" w:rsidR="008D16DE" w:rsidRPr="008D16DE" w:rsidRDefault="00A10042" w:rsidP="008D16DE">
      <w:pPr>
        <w:spacing w:after="0"/>
        <w:jc w:val="both"/>
        <w:rPr>
          <w:rFonts w:ascii="Arial" w:hAnsi="Arial" w:cs="Arial"/>
          <w:sz w:val="20"/>
          <w:szCs w:val="20"/>
          <w:highlight w:val="yellow"/>
          <w:lang w:val="en-US"/>
        </w:rPr>
      </w:pPr>
      <w:r w:rsidRPr="00FD7BCC">
        <w:rPr>
          <w:rFonts w:ascii="Arial" w:hAnsi="Arial" w:cs="Arial"/>
          <w:sz w:val="20"/>
          <w:szCs w:val="20"/>
          <w:lang w:val="en-US"/>
        </w:rPr>
        <w:t xml:space="preserve">Clay materials, as a soil category, possess remarkable physicochemical properties, such as cation exchange capacity, high specific surface area, and notable plasticity [1]. These characteristics give clays significant adsorption and retention capacity for several chemical species, making them useful in </w:t>
      </w:r>
      <w:r w:rsidR="006618B6" w:rsidRPr="00FD7BCC">
        <w:rPr>
          <w:rFonts w:ascii="Arial" w:hAnsi="Arial" w:cs="Arial"/>
          <w:sz w:val="20"/>
          <w:szCs w:val="20"/>
          <w:lang w:val="en-US"/>
        </w:rPr>
        <w:t>many</w:t>
      </w:r>
      <w:r w:rsidRPr="00FD7BCC">
        <w:rPr>
          <w:rFonts w:ascii="Arial" w:hAnsi="Arial" w:cs="Arial"/>
          <w:sz w:val="20"/>
          <w:szCs w:val="20"/>
          <w:lang w:val="en-US"/>
        </w:rPr>
        <w:t xml:space="preserve"> applications, including water purification, decontamination of polluted soils [2], ceramics [3], etc. In the Republic of Congo, several studies have already demonstrated the interesting properties of clay materials from certain localities, showing their potential in fields such as ceramics, civil engineering [3-6], and the environment [7-9]. However, there is a lack of data on clay materials present in several other localities, which limits the comprehensive assessment of their properties and potential applications.</w:t>
      </w:r>
      <w:r w:rsidR="008D16DE" w:rsidRPr="008D16DE">
        <w:rPr>
          <w:lang w:val="en-US"/>
        </w:rPr>
        <w:t xml:space="preserve"> </w:t>
      </w:r>
      <w:r w:rsidR="00CA364F">
        <w:rPr>
          <w:rFonts w:ascii="Arial" w:hAnsi="Arial" w:cs="Arial"/>
          <w:sz w:val="20"/>
          <w:szCs w:val="20"/>
          <w:highlight w:val="yellow"/>
          <w:lang w:val="en-US"/>
        </w:rPr>
        <w:t>T</w:t>
      </w:r>
      <w:r w:rsidR="008D16DE" w:rsidRPr="008D16DE">
        <w:rPr>
          <w:rFonts w:ascii="Arial" w:hAnsi="Arial" w:cs="Arial"/>
          <w:sz w:val="20"/>
          <w:szCs w:val="20"/>
          <w:highlight w:val="yellow"/>
          <w:lang w:val="en-US"/>
        </w:rPr>
        <w:t xml:space="preserve">his research </w:t>
      </w:r>
      <w:r w:rsidR="00CA364F">
        <w:rPr>
          <w:rFonts w:ascii="Arial" w:hAnsi="Arial" w:cs="Arial"/>
          <w:sz w:val="20"/>
          <w:szCs w:val="20"/>
          <w:highlight w:val="yellow"/>
          <w:lang w:val="en-US"/>
        </w:rPr>
        <w:t>study aims</w:t>
      </w:r>
      <w:r w:rsidR="008D16DE" w:rsidRPr="008D16DE">
        <w:rPr>
          <w:rFonts w:ascii="Arial" w:hAnsi="Arial" w:cs="Arial"/>
          <w:sz w:val="20"/>
          <w:szCs w:val="20"/>
          <w:highlight w:val="yellow"/>
          <w:lang w:val="en-US"/>
        </w:rPr>
        <w:t xml:space="preserve"> to evaluate the performance of Kombé clay as an adsorbent for environmental pollution remediation.</w:t>
      </w:r>
    </w:p>
    <w:p w14:paraId="3C79F404" w14:textId="408F6C41" w:rsidR="008D16DE" w:rsidRPr="008D16DE" w:rsidRDefault="008D16DE" w:rsidP="008D16DE">
      <w:pPr>
        <w:spacing w:after="0"/>
        <w:jc w:val="both"/>
        <w:rPr>
          <w:rFonts w:ascii="Arial" w:hAnsi="Arial" w:cs="Arial"/>
          <w:sz w:val="20"/>
          <w:szCs w:val="20"/>
          <w:highlight w:val="yellow"/>
          <w:lang w:val="en-US"/>
        </w:rPr>
      </w:pPr>
      <w:r w:rsidRPr="008D16DE">
        <w:rPr>
          <w:rFonts w:ascii="Arial" w:hAnsi="Arial" w:cs="Arial"/>
          <w:sz w:val="20"/>
          <w:szCs w:val="20"/>
          <w:highlight w:val="yellow"/>
          <w:lang w:val="en-US"/>
        </w:rPr>
        <w:t>The approach adopted began with a physicochemical and mineralogical characterization using analytical techniques such as particle size analysis, Atterberg limit analysis, X-ray diffraction (XRD), chemical analysis, cation exchange capacity (CEC) measurement, and specific surface area analysis.</w:t>
      </w:r>
    </w:p>
    <w:p w14:paraId="2D6A3026" w14:textId="40D0F6DA" w:rsidR="008D16DE" w:rsidRDefault="008D16DE" w:rsidP="008D16DE">
      <w:pPr>
        <w:spacing w:after="0"/>
        <w:jc w:val="both"/>
        <w:rPr>
          <w:rFonts w:ascii="Arial" w:hAnsi="Arial" w:cs="Arial"/>
          <w:sz w:val="20"/>
          <w:szCs w:val="20"/>
          <w:lang w:val="en-US"/>
        </w:rPr>
      </w:pPr>
      <w:r w:rsidRPr="008D16DE">
        <w:rPr>
          <w:rFonts w:ascii="Arial" w:hAnsi="Arial" w:cs="Arial"/>
          <w:sz w:val="20"/>
          <w:szCs w:val="20"/>
          <w:highlight w:val="yellow"/>
          <w:lang w:val="en-US"/>
        </w:rPr>
        <w:t>Laboratory adsorption tests were then conducted using model pollutant ions, including chromate (</w:t>
      </w:r>
      <m:oMath>
        <m:sSubSup>
          <m:sSubSupPr>
            <m:ctrlPr>
              <w:rPr>
                <w:rFonts w:ascii="Cambria Math" w:hAnsi="Cambria Math" w:cs="Arial"/>
                <w:sz w:val="20"/>
                <w:szCs w:val="20"/>
                <w:highlight w:val="yellow"/>
                <w:lang w:val="en-US"/>
              </w:rPr>
            </m:ctrlPr>
          </m:sSubSupPr>
          <m:e>
            <m:r>
              <m:rPr>
                <m:sty m:val="p"/>
              </m:rPr>
              <w:rPr>
                <w:rFonts w:ascii="Cambria Math" w:hAnsi="Cambria Math" w:cs="Arial"/>
                <w:sz w:val="20"/>
                <w:szCs w:val="20"/>
                <w:highlight w:val="yellow"/>
                <w:lang w:val="en-US"/>
              </w:rPr>
              <m:t>CrO</m:t>
            </m:r>
          </m:e>
          <m:sub>
            <m:r>
              <m:rPr>
                <m:sty m:val="p"/>
              </m:rPr>
              <w:rPr>
                <w:rFonts w:ascii="Cambria Math" w:hAnsi="Cambria Math" w:cs="Arial"/>
                <w:sz w:val="20"/>
                <w:szCs w:val="20"/>
                <w:highlight w:val="yellow"/>
                <w:lang w:val="en-US"/>
              </w:rPr>
              <m:t>4</m:t>
            </m:r>
          </m:sub>
          <m:sup>
            <m:r>
              <m:rPr>
                <m:sty m:val="p"/>
              </m:rPr>
              <w:rPr>
                <w:rFonts w:ascii="Cambria Math" w:hAnsi="Cambria Math" w:cs="Arial"/>
                <w:sz w:val="20"/>
                <w:szCs w:val="20"/>
                <w:highlight w:val="yellow"/>
                <w:lang w:val="en-US"/>
              </w:rPr>
              <m:t>2-</m:t>
            </m:r>
          </m:sup>
        </m:sSubSup>
      </m:oMath>
      <w:r w:rsidRPr="008D16DE">
        <w:rPr>
          <w:rFonts w:ascii="Arial" w:hAnsi="Arial" w:cs="Arial"/>
          <w:sz w:val="20"/>
          <w:szCs w:val="20"/>
          <w:highlight w:val="yellow"/>
          <w:lang w:val="en-US"/>
        </w:rPr>
        <w:t xml:space="preserve">) </w:t>
      </w:r>
      <w:r>
        <w:rPr>
          <w:rFonts w:ascii="Arial" w:hAnsi="Arial" w:cs="Arial"/>
          <w:sz w:val="20"/>
          <w:szCs w:val="20"/>
          <w:highlight w:val="yellow"/>
          <w:lang w:val="en-US"/>
        </w:rPr>
        <w:t xml:space="preserve">and nitrate </w:t>
      </w:r>
      <w:r w:rsidRPr="008D16DE">
        <w:rPr>
          <w:rFonts w:ascii="Arial" w:hAnsi="Arial" w:cs="Arial"/>
          <w:sz w:val="20"/>
          <w:szCs w:val="20"/>
          <w:highlight w:val="yellow"/>
          <w:lang w:val="en-US"/>
        </w:rPr>
        <w:t>(</w:t>
      </w:r>
      <m:oMath>
        <m:sSubSup>
          <m:sSubSupPr>
            <m:ctrlPr>
              <w:rPr>
                <w:rFonts w:ascii="Cambria Math" w:hAnsi="Cambria Math" w:cs="Arial"/>
                <w:sz w:val="20"/>
                <w:szCs w:val="20"/>
                <w:highlight w:val="yellow"/>
                <w:lang w:val="en-US"/>
              </w:rPr>
            </m:ctrlPr>
          </m:sSubSupPr>
          <m:e>
            <m:r>
              <m:rPr>
                <m:sty m:val="p"/>
              </m:rPr>
              <w:rPr>
                <w:rFonts w:ascii="Cambria Math" w:hAnsi="Cambria Math" w:cs="Arial"/>
                <w:sz w:val="20"/>
                <w:szCs w:val="20"/>
                <w:highlight w:val="yellow"/>
                <w:lang w:val="en-US"/>
              </w:rPr>
              <m:t>NO</m:t>
            </m:r>
          </m:e>
          <m:sub>
            <m:r>
              <m:rPr>
                <m:sty m:val="p"/>
              </m:rPr>
              <w:rPr>
                <w:rFonts w:ascii="Cambria Math" w:hAnsi="Cambria Math" w:cs="Arial"/>
                <w:sz w:val="20"/>
                <w:szCs w:val="20"/>
                <w:highlight w:val="yellow"/>
                <w:lang w:val="en-US"/>
              </w:rPr>
              <m:t>3</m:t>
            </m:r>
          </m:sub>
          <m:sup>
            <m:r>
              <m:rPr>
                <m:sty m:val="p"/>
              </m:rPr>
              <w:rPr>
                <w:rFonts w:ascii="Cambria Math" w:hAnsi="Cambria Math" w:cs="Arial"/>
                <w:sz w:val="20"/>
                <w:szCs w:val="20"/>
                <w:highlight w:val="yellow"/>
                <w:lang w:val="en-US"/>
              </w:rPr>
              <m:t>-</m:t>
            </m:r>
          </m:sup>
        </m:sSubSup>
      </m:oMath>
      <w:r w:rsidRPr="008D16DE">
        <w:rPr>
          <w:rFonts w:ascii="Arial" w:hAnsi="Arial" w:cs="Arial"/>
          <w:sz w:val="20"/>
          <w:szCs w:val="20"/>
          <w:highlight w:val="yellow"/>
          <w:lang w:val="en-US"/>
        </w:rPr>
        <w:t xml:space="preserve">), to better understand the potential of this clay for the treatment of </w:t>
      </w:r>
      <w:r w:rsidR="007909C7" w:rsidRPr="00CA364F">
        <w:rPr>
          <w:rFonts w:ascii="Arial" w:hAnsi="Arial" w:cs="Arial"/>
          <w:sz w:val="20"/>
          <w:szCs w:val="20"/>
          <w:highlight w:val="yellow"/>
          <w:lang w:val="en-US"/>
        </w:rPr>
        <w:t>environmental</w:t>
      </w:r>
      <w:r w:rsidR="00CA364F" w:rsidRPr="00CA364F">
        <w:rPr>
          <w:rFonts w:ascii="Arial" w:hAnsi="Arial" w:cs="Arial"/>
          <w:sz w:val="20"/>
          <w:szCs w:val="20"/>
          <w:highlight w:val="yellow"/>
          <w:lang w:val="en-US"/>
        </w:rPr>
        <w:t xml:space="preserve"> pollution</w:t>
      </w:r>
      <w:r w:rsidRPr="008D16DE">
        <w:rPr>
          <w:rFonts w:ascii="Arial" w:hAnsi="Arial" w:cs="Arial"/>
          <w:sz w:val="20"/>
          <w:szCs w:val="20"/>
          <w:highlight w:val="yellow"/>
          <w:lang w:val="en-US"/>
        </w:rPr>
        <w:t>.</w:t>
      </w:r>
    </w:p>
    <w:p w14:paraId="0E1A68B7" w14:textId="77777777" w:rsidR="008D16DE" w:rsidRDefault="008D16DE" w:rsidP="00A10042">
      <w:pPr>
        <w:spacing w:after="0"/>
        <w:jc w:val="both"/>
        <w:rPr>
          <w:rFonts w:ascii="Arial" w:hAnsi="Arial" w:cs="Arial"/>
          <w:sz w:val="20"/>
          <w:szCs w:val="20"/>
          <w:lang w:val="en-US"/>
        </w:rPr>
      </w:pPr>
    </w:p>
    <w:p w14:paraId="7B52F6B5" w14:textId="77777777" w:rsidR="00710DD9" w:rsidRDefault="00710DD9" w:rsidP="00A10042">
      <w:pPr>
        <w:spacing w:after="0"/>
        <w:jc w:val="both"/>
        <w:rPr>
          <w:rFonts w:ascii="Arial" w:hAnsi="Arial" w:cs="Arial"/>
          <w:sz w:val="20"/>
          <w:szCs w:val="20"/>
          <w:lang w:val="en-US"/>
        </w:rPr>
      </w:pPr>
    </w:p>
    <w:p w14:paraId="38CF7916" w14:textId="77777777" w:rsidR="00710DD9" w:rsidRDefault="00710DD9" w:rsidP="00A10042">
      <w:pPr>
        <w:spacing w:after="0"/>
        <w:jc w:val="both"/>
        <w:rPr>
          <w:rFonts w:ascii="Arial" w:hAnsi="Arial" w:cs="Arial"/>
          <w:sz w:val="20"/>
          <w:szCs w:val="20"/>
          <w:lang w:val="en-US"/>
        </w:rPr>
      </w:pPr>
    </w:p>
    <w:p w14:paraId="6CD02770" w14:textId="2B9AF11F" w:rsidR="00A10042" w:rsidRPr="00FD7BCC" w:rsidRDefault="00A10042" w:rsidP="007909C7">
      <w:pPr>
        <w:spacing w:after="0"/>
        <w:jc w:val="both"/>
        <w:rPr>
          <w:rFonts w:ascii="Arial" w:hAnsi="Arial" w:cs="Arial"/>
          <w:b/>
          <w:szCs w:val="20"/>
          <w:lang w:val="en-US"/>
        </w:rPr>
      </w:pPr>
      <w:r w:rsidRPr="00FD7BCC">
        <w:rPr>
          <w:rFonts w:ascii="Arial" w:hAnsi="Arial" w:cs="Arial"/>
          <w:sz w:val="20"/>
          <w:szCs w:val="20"/>
          <w:lang w:val="en-US"/>
        </w:rPr>
        <w:lastRenderedPageBreak/>
        <w:t xml:space="preserve"> </w:t>
      </w:r>
      <w:r w:rsidR="00FD7BCC" w:rsidRPr="00FD7BCC">
        <w:rPr>
          <w:rFonts w:ascii="Arial" w:hAnsi="Arial" w:cs="Arial"/>
          <w:b/>
          <w:szCs w:val="20"/>
          <w:lang w:val="en-US"/>
        </w:rPr>
        <w:t>MATERIALS AND METHODS</w:t>
      </w:r>
    </w:p>
    <w:p w14:paraId="0885F731" w14:textId="77777777" w:rsidR="00A10042" w:rsidRPr="009E7DB7" w:rsidRDefault="00A10042" w:rsidP="009E7DB7">
      <w:pPr>
        <w:pStyle w:val="ListParagraph"/>
        <w:numPr>
          <w:ilvl w:val="1"/>
          <w:numId w:val="5"/>
        </w:numPr>
        <w:spacing w:after="0"/>
        <w:ind w:left="567"/>
        <w:rPr>
          <w:rFonts w:ascii="Arial" w:hAnsi="Arial" w:cs="Arial"/>
          <w:b/>
          <w:szCs w:val="20"/>
          <w:lang w:val="en-US"/>
        </w:rPr>
      </w:pPr>
      <w:r w:rsidRPr="009E7DB7">
        <w:rPr>
          <w:rFonts w:ascii="Arial" w:hAnsi="Arial" w:cs="Arial"/>
          <w:b/>
          <w:szCs w:val="20"/>
          <w:lang w:val="en-US"/>
        </w:rPr>
        <w:t>Location of the Sampling Site</w:t>
      </w:r>
    </w:p>
    <w:p w14:paraId="1668CC46" w14:textId="77777777" w:rsidR="00A10042" w:rsidRPr="00FD7BCC" w:rsidRDefault="00A10042" w:rsidP="00A10042">
      <w:pPr>
        <w:jc w:val="both"/>
        <w:rPr>
          <w:rFonts w:ascii="Arial" w:hAnsi="Arial" w:cs="Arial"/>
          <w:sz w:val="20"/>
          <w:szCs w:val="20"/>
          <w:lang w:val="en-US"/>
        </w:rPr>
      </w:pPr>
      <w:r w:rsidRPr="00FD7BCC">
        <w:rPr>
          <w:rFonts w:ascii="Arial" w:hAnsi="Arial" w:cs="Arial"/>
          <w:sz w:val="20"/>
          <w:szCs w:val="20"/>
          <w:lang w:val="en-US"/>
        </w:rPr>
        <w:t xml:space="preserve">The materials used in this study were collected in Kombé, a neighborhood in Madibou District 8, Brazzaville, Republic of Congo. The geographic coordinates taken using a Sportiva 2/Two Nav GPS are: </w:t>
      </w:r>
      <w:r w:rsidR="000E0277" w:rsidRPr="00FD7BCC">
        <w:rPr>
          <w:rFonts w:ascii="Arial" w:hAnsi="Arial" w:cs="Arial"/>
          <w:sz w:val="20"/>
          <w:szCs w:val="20"/>
          <w:lang w:val="en-US"/>
        </w:rPr>
        <w:t xml:space="preserve"> </w:t>
      </w:r>
      <w:r w:rsidR="000C68ED" w:rsidRPr="00FD7BCC">
        <w:rPr>
          <w:rFonts w:ascii="Arial" w:hAnsi="Arial" w:cs="Arial"/>
          <w:sz w:val="20"/>
          <w:szCs w:val="20"/>
          <w:lang w:val="en-US"/>
        </w:rPr>
        <w:t xml:space="preserve">Longitude: 15.1682°E </w:t>
      </w:r>
      <w:r w:rsidR="003D279B" w:rsidRPr="00FD7BCC">
        <w:rPr>
          <w:rFonts w:ascii="Arial" w:hAnsi="Arial" w:cs="Arial"/>
          <w:sz w:val="20"/>
          <w:szCs w:val="20"/>
          <w:lang w:val="en-US"/>
        </w:rPr>
        <w:t>and</w:t>
      </w:r>
      <w:r w:rsidR="000C68ED" w:rsidRPr="00FD7BCC">
        <w:rPr>
          <w:rFonts w:ascii="Arial" w:hAnsi="Arial" w:cs="Arial"/>
          <w:sz w:val="20"/>
          <w:szCs w:val="20"/>
          <w:lang w:val="en-US"/>
        </w:rPr>
        <w:t xml:space="preserve"> </w:t>
      </w:r>
      <w:r w:rsidR="000E0277" w:rsidRPr="00FD7BCC">
        <w:rPr>
          <w:rFonts w:ascii="Arial" w:hAnsi="Arial" w:cs="Arial"/>
          <w:sz w:val="20"/>
          <w:szCs w:val="20"/>
          <w:lang w:val="en-US"/>
        </w:rPr>
        <w:t>Latitude: 4</w:t>
      </w:r>
      <w:r w:rsidR="000C68ED" w:rsidRPr="00FD7BCC">
        <w:rPr>
          <w:rFonts w:ascii="Arial" w:hAnsi="Arial" w:cs="Arial"/>
          <w:sz w:val="20"/>
          <w:szCs w:val="20"/>
          <w:lang w:val="en-US"/>
        </w:rPr>
        <w:t>.3504°S</w:t>
      </w:r>
      <w:r w:rsidRPr="00FD7BCC">
        <w:rPr>
          <w:rFonts w:ascii="Arial" w:hAnsi="Arial" w:cs="Arial"/>
          <w:sz w:val="20"/>
          <w:szCs w:val="20"/>
          <w:lang w:val="en-US"/>
        </w:rPr>
        <w:t>.</w:t>
      </w:r>
      <w:r w:rsidR="003D279B" w:rsidRPr="00FD7BCC">
        <w:rPr>
          <w:rFonts w:ascii="Arial" w:hAnsi="Arial" w:cs="Arial"/>
          <w:sz w:val="20"/>
          <w:szCs w:val="20"/>
          <w:lang w:val="en-US"/>
        </w:rPr>
        <w:t xml:space="preserve"> The following </w:t>
      </w:r>
      <w:r w:rsidR="003D279B" w:rsidRPr="007909C7">
        <w:rPr>
          <w:rFonts w:ascii="Arial" w:hAnsi="Arial" w:cs="Arial"/>
          <w:b/>
          <w:sz w:val="20"/>
          <w:szCs w:val="20"/>
          <w:highlight w:val="yellow"/>
          <w:lang w:val="en-US"/>
        </w:rPr>
        <w:t>figure</w:t>
      </w:r>
      <w:r w:rsidR="003D279B" w:rsidRPr="007909C7">
        <w:rPr>
          <w:rFonts w:ascii="Arial" w:hAnsi="Arial" w:cs="Arial"/>
          <w:sz w:val="20"/>
          <w:szCs w:val="20"/>
          <w:highlight w:val="yellow"/>
          <w:lang w:val="en-US"/>
        </w:rPr>
        <w:t xml:space="preserve"> </w:t>
      </w:r>
      <w:r w:rsidR="003D279B" w:rsidRPr="007909C7">
        <w:rPr>
          <w:rFonts w:ascii="Arial" w:hAnsi="Arial" w:cs="Arial"/>
          <w:b/>
          <w:sz w:val="20"/>
          <w:szCs w:val="20"/>
          <w:highlight w:val="yellow"/>
          <w:lang w:val="en-US"/>
        </w:rPr>
        <w:t>1</w:t>
      </w:r>
      <w:r w:rsidR="003D279B" w:rsidRPr="00FD7BCC">
        <w:rPr>
          <w:rFonts w:ascii="Arial" w:hAnsi="Arial" w:cs="Arial"/>
          <w:sz w:val="20"/>
          <w:szCs w:val="20"/>
          <w:lang w:val="en-US"/>
        </w:rPr>
        <w:t xml:space="preserve"> illustrates the sampling area.</w:t>
      </w:r>
    </w:p>
    <w:p w14:paraId="4D71591E" w14:textId="77777777" w:rsidR="00A10042" w:rsidRPr="00A10042" w:rsidRDefault="00777988" w:rsidP="00A10042">
      <w:pPr>
        <w:jc w:val="both"/>
        <w:rPr>
          <w:rFonts w:ascii="Times New Roman" w:hAnsi="Times New Roman" w:cs="Times New Roman"/>
          <w:sz w:val="24"/>
          <w:lang w:val="en-US"/>
        </w:rPr>
      </w:pPr>
      <w:r>
        <w:rPr>
          <w:noProof/>
          <w:lang w:eastAsia="fr-FR"/>
        </w:rPr>
        <w:drawing>
          <wp:inline distT="0" distB="0" distL="0" distR="0" wp14:anchorId="515933FC" wp14:editId="0F2E7B79">
            <wp:extent cx="5524500" cy="3902835"/>
            <wp:effectExtent l="0" t="0" r="0" b="254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8604" cy="3905734"/>
                    </a:xfrm>
                    <a:prstGeom prst="rect">
                      <a:avLst/>
                    </a:prstGeom>
                    <a:noFill/>
                  </pic:spPr>
                </pic:pic>
              </a:graphicData>
            </a:graphic>
          </wp:inline>
        </w:drawing>
      </w:r>
    </w:p>
    <w:p w14:paraId="1074BCE0" w14:textId="77777777" w:rsidR="00A10042" w:rsidRDefault="00777988" w:rsidP="00A10042">
      <w:pPr>
        <w:jc w:val="both"/>
        <w:rPr>
          <w:rFonts w:ascii="Times New Roman" w:hAnsi="Times New Roman" w:cs="Times New Roman"/>
          <w:b/>
          <w:sz w:val="20"/>
          <w:lang w:val="en-US"/>
        </w:rPr>
      </w:pPr>
      <w:r w:rsidRPr="001C2C89">
        <w:rPr>
          <w:rFonts w:ascii="Times New Roman" w:hAnsi="Times New Roman" w:cs="Times New Roman"/>
          <w:b/>
          <w:sz w:val="20"/>
          <w:lang w:val="en-US"/>
        </w:rPr>
        <w:t>Figure 1</w:t>
      </w:r>
      <w:r w:rsidRPr="006E760F">
        <w:rPr>
          <w:rFonts w:ascii="Times New Roman" w:hAnsi="Times New Roman" w:cs="Times New Roman"/>
          <w:b/>
          <w:sz w:val="20"/>
          <w:lang w:val="en-US"/>
        </w:rPr>
        <w:t xml:space="preserve">: </w:t>
      </w:r>
      <w:r w:rsidR="00A10042" w:rsidRPr="00F22F05">
        <w:rPr>
          <w:rFonts w:ascii="Times New Roman" w:hAnsi="Times New Roman" w:cs="Times New Roman"/>
          <w:sz w:val="20"/>
          <w:highlight w:val="yellow"/>
          <w:lang w:val="en-US"/>
        </w:rPr>
        <w:t>Map of the Sampling Site</w:t>
      </w:r>
      <w:r w:rsidR="00A10042" w:rsidRPr="006E760F">
        <w:rPr>
          <w:rFonts w:ascii="Times New Roman" w:hAnsi="Times New Roman" w:cs="Times New Roman"/>
          <w:b/>
          <w:sz w:val="20"/>
          <w:lang w:val="en-US"/>
        </w:rPr>
        <w:t xml:space="preserve"> </w:t>
      </w:r>
    </w:p>
    <w:p w14:paraId="697EA335" w14:textId="77777777" w:rsidR="00B229D7" w:rsidRPr="006E760F" w:rsidRDefault="00B229D7" w:rsidP="00A10042">
      <w:pPr>
        <w:jc w:val="both"/>
        <w:rPr>
          <w:rFonts w:ascii="Times New Roman" w:hAnsi="Times New Roman" w:cs="Times New Roman"/>
          <w:b/>
          <w:sz w:val="20"/>
          <w:lang w:val="en-US"/>
        </w:rPr>
      </w:pPr>
    </w:p>
    <w:p w14:paraId="3A480D2F" w14:textId="77777777" w:rsidR="00A10042" w:rsidRPr="001C2C89" w:rsidRDefault="001C2C89" w:rsidP="00CE7ECB">
      <w:pPr>
        <w:rPr>
          <w:rFonts w:ascii="Arial" w:hAnsi="Arial" w:cs="Arial"/>
          <w:b/>
          <w:lang w:val="en-US"/>
        </w:rPr>
      </w:pPr>
      <w:r w:rsidRPr="001C2C89">
        <w:rPr>
          <w:rFonts w:ascii="Arial" w:hAnsi="Arial" w:cs="Arial"/>
          <w:b/>
          <w:lang w:val="en-US"/>
        </w:rPr>
        <w:t>2.2</w:t>
      </w:r>
      <w:r w:rsidR="00FD7BCC" w:rsidRPr="001C2C89">
        <w:rPr>
          <w:rFonts w:ascii="Arial" w:hAnsi="Arial" w:cs="Arial"/>
          <w:b/>
          <w:lang w:val="en-US"/>
        </w:rPr>
        <w:t xml:space="preserve">. </w:t>
      </w:r>
      <w:r w:rsidR="00A10042" w:rsidRPr="001C2C89">
        <w:rPr>
          <w:rFonts w:ascii="Arial" w:hAnsi="Arial" w:cs="Arial"/>
          <w:b/>
          <w:lang w:val="en-US"/>
        </w:rPr>
        <w:t>Sample Preparation:</w:t>
      </w:r>
    </w:p>
    <w:p w14:paraId="792E913F" w14:textId="77777777" w:rsidR="00A10042" w:rsidRPr="009E7DB7" w:rsidRDefault="009E7DB7" w:rsidP="00CE7ECB">
      <w:pPr>
        <w:rPr>
          <w:rFonts w:ascii="Arial" w:hAnsi="Arial" w:cs="Arial"/>
          <w:b/>
          <w:sz w:val="20"/>
          <w:u w:val="single"/>
          <w:lang w:val="en-US"/>
        </w:rPr>
      </w:pPr>
      <w:r w:rsidRPr="009E7DB7">
        <w:rPr>
          <w:rFonts w:ascii="Arial" w:hAnsi="Arial" w:cs="Arial"/>
          <w:b/>
          <w:sz w:val="20"/>
          <w:u w:val="single"/>
          <w:lang w:val="en-US"/>
        </w:rPr>
        <w:t xml:space="preserve">2.2.1. </w:t>
      </w:r>
      <w:r w:rsidR="00A10042" w:rsidRPr="009E7DB7">
        <w:rPr>
          <w:rFonts w:ascii="Arial" w:hAnsi="Arial" w:cs="Arial"/>
          <w:b/>
          <w:sz w:val="20"/>
          <w:u w:val="single"/>
          <w:lang w:val="en-US"/>
        </w:rPr>
        <w:t>Description</w:t>
      </w:r>
    </w:p>
    <w:p w14:paraId="0A87218A" w14:textId="0B55A5FE" w:rsidR="00A10042" w:rsidRPr="001C2C89" w:rsidRDefault="00A10042" w:rsidP="00A10042">
      <w:pPr>
        <w:jc w:val="both"/>
        <w:rPr>
          <w:rFonts w:ascii="Arial" w:hAnsi="Arial" w:cs="Arial"/>
          <w:sz w:val="20"/>
          <w:szCs w:val="20"/>
          <w:lang w:val="en-US"/>
        </w:rPr>
      </w:pPr>
      <w:r w:rsidRPr="001C2C89">
        <w:rPr>
          <w:rFonts w:ascii="Arial" w:hAnsi="Arial" w:cs="Arial"/>
          <w:sz w:val="20"/>
          <w:szCs w:val="20"/>
          <w:lang w:val="en-US"/>
        </w:rPr>
        <w:t xml:space="preserve">The collected materials were dried, ground, and sieved using a series of sieves from 2 mm to 0.08 mm and a 56 µm sieve, followed by </w:t>
      </w:r>
      <w:r w:rsidR="00F22F05" w:rsidRPr="00F22F05">
        <w:rPr>
          <w:rFonts w:ascii="Arial" w:hAnsi="Arial" w:cs="Arial"/>
          <w:sz w:val="20"/>
          <w:szCs w:val="20"/>
          <w:highlight w:val="yellow"/>
          <w:lang w:val="en-US"/>
        </w:rPr>
        <w:t>the</w:t>
      </w:r>
      <w:r w:rsidR="00F22F05">
        <w:rPr>
          <w:rFonts w:ascii="Arial" w:hAnsi="Arial" w:cs="Arial"/>
          <w:sz w:val="20"/>
          <w:szCs w:val="20"/>
          <w:lang w:val="en-US"/>
        </w:rPr>
        <w:t xml:space="preserve"> </w:t>
      </w:r>
      <w:r w:rsidRPr="001C2C89">
        <w:rPr>
          <w:rFonts w:ascii="Arial" w:hAnsi="Arial" w:cs="Arial"/>
          <w:sz w:val="20"/>
          <w:szCs w:val="20"/>
          <w:lang w:val="en-US"/>
        </w:rPr>
        <w:t>extraction of the fine fraction (fraction &lt; 2 µm) by sedimentometry. The different samples were named K-B, K-56, and K-F, respectively, for the raw, unsieved Kombé clay material, the 56 µm sieve, and the fine fraction.</w:t>
      </w:r>
    </w:p>
    <w:p w14:paraId="7D1E6426" w14:textId="77777777" w:rsidR="00A10042" w:rsidRPr="009E7DB7" w:rsidRDefault="009E7DB7" w:rsidP="00A10042">
      <w:pPr>
        <w:jc w:val="both"/>
        <w:rPr>
          <w:rFonts w:ascii="Arial" w:hAnsi="Arial" w:cs="Arial"/>
          <w:b/>
          <w:sz w:val="20"/>
          <w:u w:val="single"/>
          <w:lang w:val="en-US"/>
        </w:rPr>
      </w:pPr>
      <w:r w:rsidRPr="009E7DB7">
        <w:rPr>
          <w:rFonts w:ascii="Arial" w:hAnsi="Arial" w:cs="Arial"/>
          <w:b/>
          <w:sz w:val="20"/>
          <w:u w:val="single"/>
          <w:lang w:val="en-US"/>
        </w:rPr>
        <w:t xml:space="preserve">2.2.2. </w:t>
      </w:r>
      <w:r w:rsidR="00A10042" w:rsidRPr="009E7DB7">
        <w:rPr>
          <w:rFonts w:ascii="Arial" w:hAnsi="Arial" w:cs="Arial"/>
          <w:b/>
          <w:sz w:val="20"/>
          <w:u w:val="single"/>
          <w:lang w:val="en-US"/>
        </w:rPr>
        <w:t>Equipment Used</w:t>
      </w:r>
    </w:p>
    <w:p w14:paraId="11F50EC7" w14:textId="77777777" w:rsidR="00A10042" w:rsidRPr="001C2C89" w:rsidRDefault="00A10042" w:rsidP="00A10042">
      <w:pPr>
        <w:jc w:val="both"/>
        <w:rPr>
          <w:rFonts w:ascii="Arial" w:hAnsi="Arial" w:cs="Arial"/>
          <w:sz w:val="20"/>
          <w:szCs w:val="20"/>
          <w:lang w:val="en-US"/>
        </w:rPr>
      </w:pPr>
      <w:r w:rsidRPr="001C2C89">
        <w:rPr>
          <w:rFonts w:ascii="Arial" w:hAnsi="Arial" w:cs="Arial"/>
          <w:sz w:val="20"/>
          <w:szCs w:val="20"/>
          <w:lang w:val="en-US"/>
        </w:rPr>
        <w:t>The following equipment was used for grinding and sieving:</w:t>
      </w:r>
    </w:p>
    <w:p w14:paraId="01449D45" w14:textId="77777777" w:rsidR="00A10042" w:rsidRPr="001C2C89" w:rsidRDefault="00A10042" w:rsidP="00A10042">
      <w:pPr>
        <w:jc w:val="both"/>
        <w:rPr>
          <w:rFonts w:ascii="Arial" w:hAnsi="Arial" w:cs="Arial"/>
          <w:sz w:val="20"/>
          <w:szCs w:val="20"/>
          <w:lang w:val="en-US"/>
        </w:rPr>
      </w:pPr>
      <w:r w:rsidRPr="001C2C89">
        <w:rPr>
          <w:rFonts w:ascii="Arial" w:hAnsi="Arial" w:cs="Arial"/>
          <w:sz w:val="20"/>
          <w:szCs w:val="20"/>
          <w:lang w:val="en-US"/>
        </w:rPr>
        <w:t>• A porcelain mortar and pestle;</w:t>
      </w:r>
    </w:p>
    <w:p w14:paraId="405223A7" w14:textId="77777777" w:rsidR="00A10042" w:rsidRPr="001C2C89" w:rsidRDefault="00A10042" w:rsidP="00A10042">
      <w:pPr>
        <w:jc w:val="both"/>
        <w:rPr>
          <w:rFonts w:ascii="Arial" w:hAnsi="Arial" w:cs="Arial"/>
          <w:sz w:val="20"/>
          <w:szCs w:val="20"/>
          <w:lang w:val="en-US"/>
        </w:rPr>
      </w:pPr>
      <w:r w:rsidRPr="001C2C89">
        <w:rPr>
          <w:rFonts w:ascii="Arial" w:hAnsi="Arial" w:cs="Arial"/>
          <w:sz w:val="20"/>
          <w:szCs w:val="20"/>
          <w:lang w:val="en-US"/>
        </w:rPr>
        <w:t>• A series of six (6) sieves from 2 mm to 0.08 mm;</w:t>
      </w:r>
    </w:p>
    <w:p w14:paraId="2A2E915E" w14:textId="77777777" w:rsidR="00A10042" w:rsidRPr="001C2C89" w:rsidRDefault="00A10042" w:rsidP="00A10042">
      <w:pPr>
        <w:jc w:val="both"/>
        <w:rPr>
          <w:rFonts w:ascii="Arial" w:hAnsi="Arial" w:cs="Arial"/>
          <w:sz w:val="20"/>
          <w:szCs w:val="20"/>
          <w:lang w:val="en-US"/>
        </w:rPr>
      </w:pPr>
      <w:r w:rsidRPr="001C2C89">
        <w:rPr>
          <w:rFonts w:ascii="Arial" w:hAnsi="Arial" w:cs="Arial"/>
          <w:sz w:val="20"/>
          <w:szCs w:val="20"/>
          <w:lang w:val="en-US"/>
        </w:rPr>
        <w:t>• A 56 µm sieve.</w:t>
      </w:r>
    </w:p>
    <w:p w14:paraId="578B7DF7" w14:textId="77777777" w:rsidR="00A10042" w:rsidRPr="001C2C89" w:rsidRDefault="00A10042" w:rsidP="00A10042">
      <w:pPr>
        <w:jc w:val="both"/>
        <w:rPr>
          <w:rFonts w:ascii="Arial" w:hAnsi="Arial" w:cs="Arial"/>
          <w:sz w:val="20"/>
          <w:szCs w:val="20"/>
          <w:lang w:val="en-US"/>
        </w:rPr>
      </w:pPr>
      <w:r w:rsidRPr="001C2C89">
        <w:rPr>
          <w:rFonts w:ascii="Arial" w:hAnsi="Arial" w:cs="Arial"/>
          <w:sz w:val="20"/>
          <w:szCs w:val="20"/>
          <w:lang w:val="en-US"/>
        </w:rPr>
        <w:t>The following equipment was used for sedimentometry:</w:t>
      </w:r>
    </w:p>
    <w:p w14:paraId="1D6C5D20" w14:textId="77777777" w:rsidR="00A10042" w:rsidRPr="001C2C89" w:rsidRDefault="00A10042" w:rsidP="00A10042">
      <w:pPr>
        <w:jc w:val="both"/>
        <w:rPr>
          <w:rFonts w:ascii="Arial" w:hAnsi="Arial" w:cs="Arial"/>
          <w:sz w:val="20"/>
          <w:szCs w:val="20"/>
          <w:lang w:val="en-US"/>
        </w:rPr>
      </w:pPr>
      <w:r w:rsidRPr="001C2C89">
        <w:rPr>
          <w:rFonts w:ascii="Arial" w:hAnsi="Arial" w:cs="Arial"/>
          <w:sz w:val="20"/>
          <w:szCs w:val="20"/>
          <w:lang w:val="en-US"/>
        </w:rPr>
        <w:lastRenderedPageBreak/>
        <w:t>• A Bouyoucos-type torpedo-shaped hydrometer, graduated from 0.995 to 1.030 g/cm3;</w:t>
      </w:r>
    </w:p>
    <w:p w14:paraId="613D59C8" w14:textId="77777777" w:rsidR="00A10042" w:rsidRPr="001C2C89" w:rsidRDefault="00A10042" w:rsidP="00A10042">
      <w:pPr>
        <w:jc w:val="both"/>
        <w:rPr>
          <w:rFonts w:ascii="Arial" w:hAnsi="Arial" w:cs="Arial"/>
          <w:sz w:val="20"/>
          <w:szCs w:val="20"/>
          <w:lang w:val="en-US"/>
        </w:rPr>
      </w:pPr>
      <w:r w:rsidRPr="001C2C89">
        <w:rPr>
          <w:rFonts w:ascii="Arial" w:hAnsi="Arial" w:cs="Arial"/>
          <w:sz w:val="20"/>
          <w:szCs w:val="20"/>
          <w:lang w:val="en-US"/>
        </w:rPr>
        <w:t>• Two 2-liter test tubes;</w:t>
      </w:r>
    </w:p>
    <w:p w14:paraId="09AA409A" w14:textId="77777777" w:rsidR="00A10042" w:rsidRPr="001C2C89" w:rsidRDefault="00A10042" w:rsidP="00A10042">
      <w:pPr>
        <w:jc w:val="both"/>
        <w:rPr>
          <w:rFonts w:ascii="Arial" w:hAnsi="Arial" w:cs="Arial"/>
          <w:sz w:val="20"/>
          <w:szCs w:val="20"/>
          <w:lang w:val="en-US"/>
        </w:rPr>
      </w:pPr>
      <w:r w:rsidRPr="001C2C89">
        <w:rPr>
          <w:rFonts w:ascii="Arial" w:hAnsi="Arial" w:cs="Arial"/>
          <w:sz w:val="20"/>
          <w:szCs w:val="20"/>
          <w:lang w:val="en-US"/>
        </w:rPr>
        <w:t>• A mechanical immersion stirrer;</w:t>
      </w:r>
    </w:p>
    <w:p w14:paraId="637CF97C" w14:textId="77777777" w:rsidR="00A10042" w:rsidRPr="001C2C89" w:rsidRDefault="00A10042" w:rsidP="00A10042">
      <w:pPr>
        <w:jc w:val="both"/>
        <w:rPr>
          <w:rFonts w:ascii="Arial" w:hAnsi="Arial" w:cs="Arial"/>
          <w:sz w:val="20"/>
          <w:szCs w:val="20"/>
          <w:lang w:val="en-US"/>
        </w:rPr>
      </w:pPr>
      <w:r w:rsidRPr="001C2C89">
        <w:rPr>
          <w:rFonts w:ascii="Arial" w:hAnsi="Arial" w:cs="Arial"/>
          <w:sz w:val="20"/>
          <w:szCs w:val="20"/>
          <w:lang w:val="en-US"/>
        </w:rPr>
        <w:t>• A manual stirrer for homogenizing the suspension before testing;</w:t>
      </w:r>
    </w:p>
    <w:p w14:paraId="4C7BE3F6" w14:textId="77777777" w:rsidR="00A10042" w:rsidRPr="001C2C89" w:rsidRDefault="00A10042" w:rsidP="00A10042">
      <w:pPr>
        <w:jc w:val="both"/>
        <w:rPr>
          <w:rFonts w:ascii="Arial" w:hAnsi="Arial" w:cs="Arial"/>
          <w:sz w:val="20"/>
          <w:szCs w:val="20"/>
          <w:lang w:val="en-US"/>
        </w:rPr>
      </w:pPr>
      <w:r w:rsidRPr="001C2C89">
        <w:rPr>
          <w:rFonts w:ascii="Arial" w:hAnsi="Arial" w:cs="Arial"/>
          <w:sz w:val="20"/>
          <w:szCs w:val="20"/>
          <w:lang w:val="en-US"/>
        </w:rPr>
        <w:t>• A graduated thermometer;</w:t>
      </w:r>
    </w:p>
    <w:p w14:paraId="47E52D02" w14:textId="77777777" w:rsidR="00A10042" w:rsidRPr="001C2C89" w:rsidRDefault="00A10042" w:rsidP="00A10042">
      <w:pPr>
        <w:jc w:val="both"/>
        <w:rPr>
          <w:rFonts w:ascii="Arial" w:hAnsi="Arial" w:cs="Arial"/>
          <w:sz w:val="20"/>
          <w:szCs w:val="20"/>
          <w:lang w:val="en-US"/>
        </w:rPr>
      </w:pPr>
      <w:r w:rsidRPr="001C2C89">
        <w:rPr>
          <w:rFonts w:ascii="Arial" w:hAnsi="Arial" w:cs="Arial"/>
          <w:sz w:val="20"/>
          <w:szCs w:val="20"/>
          <w:lang w:val="en-US"/>
        </w:rPr>
        <w:t>• A stopwatch.</w:t>
      </w:r>
    </w:p>
    <w:p w14:paraId="3DFC7AFF" w14:textId="77777777" w:rsidR="00A10042" w:rsidRPr="009E7DB7" w:rsidRDefault="009E7DB7" w:rsidP="00A10042">
      <w:pPr>
        <w:jc w:val="both"/>
        <w:rPr>
          <w:rFonts w:ascii="Arial" w:hAnsi="Arial" w:cs="Arial"/>
          <w:b/>
          <w:sz w:val="20"/>
          <w:u w:val="single"/>
          <w:lang w:val="en-US"/>
        </w:rPr>
      </w:pPr>
      <w:r w:rsidRPr="009E7DB7">
        <w:rPr>
          <w:rFonts w:ascii="Arial" w:hAnsi="Arial" w:cs="Arial"/>
          <w:b/>
          <w:sz w:val="20"/>
          <w:u w:val="single"/>
          <w:lang w:val="en-US"/>
        </w:rPr>
        <w:t xml:space="preserve">2.2.3. </w:t>
      </w:r>
      <w:r w:rsidR="00A10042" w:rsidRPr="009E7DB7">
        <w:rPr>
          <w:rFonts w:ascii="Arial" w:hAnsi="Arial" w:cs="Arial"/>
          <w:b/>
          <w:sz w:val="20"/>
          <w:u w:val="single"/>
          <w:lang w:val="en-US"/>
        </w:rPr>
        <w:t>Reagents Used</w:t>
      </w:r>
    </w:p>
    <w:p w14:paraId="1A07573D" w14:textId="77777777" w:rsidR="00A10042" w:rsidRPr="001C2C89" w:rsidRDefault="00A10042" w:rsidP="00A10042">
      <w:pPr>
        <w:jc w:val="both"/>
        <w:rPr>
          <w:rFonts w:ascii="Arial" w:hAnsi="Arial" w:cs="Arial"/>
          <w:sz w:val="20"/>
          <w:lang w:val="en-US"/>
        </w:rPr>
      </w:pPr>
      <w:r w:rsidRPr="001C2C89">
        <w:rPr>
          <w:rFonts w:ascii="Arial" w:hAnsi="Arial" w:cs="Arial"/>
          <w:sz w:val="20"/>
          <w:lang w:val="en-US"/>
        </w:rPr>
        <w:t>• Sodium hexametaphosphate;</w:t>
      </w:r>
    </w:p>
    <w:p w14:paraId="26AA8765" w14:textId="77777777" w:rsidR="00A10042" w:rsidRPr="001C2C89" w:rsidRDefault="00A10042" w:rsidP="00A10042">
      <w:pPr>
        <w:jc w:val="both"/>
        <w:rPr>
          <w:rFonts w:ascii="Arial" w:hAnsi="Arial" w:cs="Arial"/>
          <w:sz w:val="20"/>
          <w:lang w:val="en-US"/>
        </w:rPr>
      </w:pPr>
      <w:r w:rsidRPr="001C2C89">
        <w:rPr>
          <w:rFonts w:ascii="Arial" w:hAnsi="Arial" w:cs="Arial"/>
          <w:sz w:val="20"/>
          <w:lang w:val="en-US"/>
        </w:rPr>
        <w:t>• Distilled water.</w:t>
      </w:r>
    </w:p>
    <w:p w14:paraId="7718E50F" w14:textId="77777777" w:rsidR="00A10042" w:rsidRPr="001C2C89" w:rsidRDefault="00A10042" w:rsidP="00A10042">
      <w:pPr>
        <w:jc w:val="both"/>
        <w:rPr>
          <w:rFonts w:ascii="Arial" w:hAnsi="Arial" w:cs="Arial"/>
          <w:sz w:val="20"/>
          <w:lang w:val="en-US"/>
        </w:rPr>
      </w:pPr>
      <w:r w:rsidRPr="001C2C89">
        <w:rPr>
          <w:rFonts w:ascii="Arial" w:hAnsi="Arial" w:cs="Arial"/>
          <w:sz w:val="20"/>
          <w:lang w:val="en-US"/>
        </w:rPr>
        <w:t>• Potassium chromate,</w:t>
      </w:r>
    </w:p>
    <w:p w14:paraId="11187992" w14:textId="77777777" w:rsidR="00A10042" w:rsidRPr="001C2C89" w:rsidRDefault="00A10042" w:rsidP="00A10042">
      <w:pPr>
        <w:jc w:val="both"/>
        <w:rPr>
          <w:rFonts w:ascii="Arial" w:hAnsi="Arial" w:cs="Arial"/>
          <w:sz w:val="20"/>
          <w:lang w:val="en-US"/>
        </w:rPr>
      </w:pPr>
      <w:r w:rsidRPr="001C2C89">
        <w:rPr>
          <w:rFonts w:ascii="Arial" w:hAnsi="Arial" w:cs="Arial"/>
          <w:sz w:val="20"/>
          <w:lang w:val="en-US"/>
        </w:rPr>
        <w:t>• Sodium nitrate,</w:t>
      </w:r>
    </w:p>
    <w:p w14:paraId="72FC9919" w14:textId="77777777" w:rsidR="00A10042" w:rsidRPr="001C2C89" w:rsidRDefault="00A10042" w:rsidP="00A10042">
      <w:pPr>
        <w:jc w:val="both"/>
        <w:rPr>
          <w:rFonts w:ascii="Arial" w:hAnsi="Arial" w:cs="Arial"/>
          <w:sz w:val="20"/>
          <w:lang w:val="en-US"/>
        </w:rPr>
      </w:pPr>
      <w:r w:rsidRPr="001C2C89">
        <w:rPr>
          <w:rFonts w:ascii="Arial" w:hAnsi="Arial" w:cs="Arial"/>
          <w:sz w:val="20"/>
          <w:lang w:val="en-US"/>
        </w:rPr>
        <w:t>• Hydrochloric acid solution,</w:t>
      </w:r>
    </w:p>
    <w:p w14:paraId="5F8A43B9" w14:textId="77777777" w:rsidR="00A10042" w:rsidRPr="001C2C89" w:rsidRDefault="00A10042" w:rsidP="00A10042">
      <w:pPr>
        <w:jc w:val="both"/>
        <w:rPr>
          <w:rFonts w:ascii="Arial" w:hAnsi="Arial" w:cs="Arial"/>
          <w:sz w:val="20"/>
          <w:lang w:val="en-US"/>
        </w:rPr>
      </w:pPr>
      <w:r w:rsidRPr="001C2C89">
        <w:rPr>
          <w:rFonts w:ascii="Arial" w:hAnsi="Arial" w:cs="Arial"/>
          <w:sz w:val="20"/>
          <w:lang w:val="en-US"/>
        </w:rPr>
        <w:t>• Sodium hydroxide solution.</w:t>
      </w:r>
    </w:p>
    <w:p w14:paraId="565502EC" w14:textId="77777777" w:rsidR="00A10042" w:rsidRPr="009E7DB7" w:rsidRDefault="001C2C89" w:rsidP="00A10042">
      <w:pPr>
        <w:jc w:val="both"/>
        <w:rPr>
          <w:rFonts w:ascii="Arial" w:hAnsi="Arial" w:cs="Arial"/>
          <w:b/>
          <w:lang w:val="en-US"/>
        </w:rPr>
      </w:pPr>
      <w:r w:rsidRPr="009E7DB7">
        <w:rPr>
          <w:rFonts w:ascii="Arial" w:hAnsi="Arial" w:cs="Arial"/>
          <w:b/>
          <w:lang w:val="en-US"/>
        </w:rPr>
        <w:t xml:space="preserve">2.3. </w:t>
      </w:r>
      <w:r w:rsidR="00A10042" w:rsidRPr="009E7DB7">
        <w:rPr>
          <w:rFonts w:ascii="Arial" w:hAnsi="Arial" w:cs="Arial"/>
          <w:b/>
          <w:lang w:val="en-US"/>
        </w:rPr>
        <w:t>Characterization Methods</w:t>
      </w:r>
    </w:p>
    <w:p w14:paraId="165DF519" w14:textId="77777777" w:rsidR="00A10042" w:rsidRPr="00795250" w:rsidRDefault="009E7DB7" w:rsidP="009E7DB7">
      <w:pPr>
        <w:spacing w:after="0"/>
        <w:rPr>
          <w:rFonts w:ascii="Arial" w:hAnsi="Arial" w:cs="Arial"/>
          <w:b/>
          <w:sz w:val="20"/>
          <w:u w:val="single"/>
          <w:lang w:val="en-US"/>
        </w:rPr>
      </w:pPr>
      <w:r w:rsidRPr="00795250">
        <w:rPr>
          <w:rFonts w:ascii="Arial" w:hAnsi="Arial" w:cs="Arial"/>
          <w:b/>
          <w:sz w:val="20"/>
          <w:u w:val="single"/>
          <w:lang w:val="en-US"/>
        </w:rPr>
        <w:t xml:space="preserve">2.3.1. </w:t>
      </w:r>
      <w:r w:rsidR="00A10042" w:rsidRPr="00795250">
        <w:rPr>
          <w:rFonts w:ascii="Arial" w:hAnsi="Arial" w:cs="Arial"/>
          <w:b/>
          <w:sz w:val="20"/>
          <w:u w:val="single"/>
          <w:lang w:val="en-US"/>
        </w:rPr>
        <w:t>Particle Size Analysis</w:t>
      </w:r>
    </w:p>
    <w:p w14:paraId="2D907FFF" w14:textId="77777777" w:rsidR="00A10042" w:rsidRPr="009E7DB7" w:rsidRDefault="00A10042" w:rsidP="00A10042">
      <w:pPr>
        <w:jc w:val="both"/>
        <w:rPr>
          <w:rFonts w:ascii="Arial" w:hAnsi="Arial" w:cs="Arial"/>
          <w:sz w:val="20"/>
          <w:lang w:val="en-US"/>
        </w:rPr>
      </w:pPr>
      <w:r w:rsidRPr="009E7DB7">
        <w:rPr>
          <w:rFonts w:ascii="Arial" w:hAnsi="Arial" w:cs="Arial"/>
          <w:sz w:val="20"/>
          <w:lang w:val="en-US"/>
        </w:rPr>
        <w:t>Particle size analysis of Kombé clay materials was carried out at the Building and Public Works Control Office (BCBTP) in Brazzaville using the method described in standards NF P94 056 and NF P94 057 [10].</w:t>
      </w:r>
    </w:p>
    <w:p w14:paraId="1B8B3128" w14:textId="77777777" w:rsidR="00A10042" w:rsidRPr="00795250" w:rsidRDefault="009E7DB7" w:rsidP="009E7DB7">
      <w:pPr>
        <w:spacing w:after="0"/>
        <w:rPr>
          <w:rFonts w:ascii="Arial" w:hAnsi="Arial" w:cs="Arial"/>
          <w:b/>
          <w:sz w:val="20"/>
          <w:u w:val="single"/>
          <w:lang w:val="en-US"/>
        </w:rPr>
      </w:pPr>
      <w:r w:rsidRPr="00795250">
        <w:rPr>
          <w:rFonts w:ascii="Arial" w:hAnsi="Arial" w:cs="Arial"/>
          <w:b/>
          <w:sz w:val="20"/>
          <w:u w:val="single"/>
          <w:lang w:val="en-US"/>
        </w:rPr>
        <w:t xml:space="preserve">2.3.2. </w:t>
      </w:r>
      <w:r w:rsidR="00A10042" w:rsidRPr="00795250">
        <w:rPr>
          <w:rFonts w:ascii="Arial" w:hAnsi="Arial" w:cs="Arial"/>
          <w:b/>
          <w:sz w:val="20"/>
          <w:u w:val="single"/>
          <w:lang w:val="en-US"/>
        </w:rPr>
        <w:t>Atterberg Limits</w:t>
      </w:r>
    </w:p>
    <w:p w14:paraId="45E98500" w14:textId="40D88437" w:rsidR="00A10042" w:rsidRDefault="000C68ED" w:rsidP="00A10042">
      <w:pPr>
        <w:jc w:val="both"/>
        <w:rPr>
          <w:rFonts w:ascii="Arial" w:hAnsi="Arial" w:cs="Arial"/>
          <w:sz w:val="20"/>
          <w:lang w:val="en-US"/>
        </w:rPr>
      </w:pPr>
      <w:r w:rsidRPr="009E7DB7">
        <w:rPr>
          <w:rFonts w:ascii="Arial" w:hAnsi="Arial" w:cs="Arial"/>
          <w:sz w:val="20"/>
          <w:lang w:val="en-US"/>
        </w:rPr>
        <w:t xml:space="preserve">Atterberg limits </w:t>
      </w:r>
      <w:r w:rsidR="00F22F05" w:rsidRPr="00F22F05">
        <w:rPr>
          <w:rFonts w:ascii="Arial" w:hAnsi="Arial" w:cs="Arial"/>
          <w:sz w:val="20"/>
          <w:highlight w:val="yellow"/>
          <w:lang w:val="en-US"/>
        </w:rPr>
        <w:t>were</w:t>
      </w:r>
      <w:r w:rsidRPr="009E7DB7">
        <w:rPr>
          <w:rFonts w:ascii="Arial" w:hAnsi="Arial" w:cs="Arial"/>
          <w:sz w:val="20"/>
          <w:lang w:val="en-US"/>
        </w:rPr>
        <w:t xml:space="preserve"> </w:t>
      </w:r>
      <w:r w:rsidR="00A10042" w:rsidRPr="009E7DB7">
        <w:rPr>
          <w:rFonts w:ascii="Arial" w:hAnsi="Arial" w:cs="Arial"/>
          <w:sz w:val="20"/>
          <w:lang w:val="en-US"/>
        </w:rPr>
        <w:t>Carried out at the Building and Public Works Inspection Office (BCBTP) in Brazzaville in accordance with standards NF P94 051 (1992) and NF P94 051 (1993) [11]</w:t>
      </w:r>
    </w:p>
    <w:p w14:paraId="2AA0370E" w14:textId="77777777" w:rsidR="00A10042" w:rsidRPr="00B229D7" w:rsidRDefault="00A10042" w:rsidP="009E7DB7">
      <w:pPr>
        <w:pStyle w:val="ListParagraph"/>
        <w:numPr>
          <w:ilvl w:val="0"/>
          <w:numId w:val="2"/>
        </w:numPr>
        <w:rPr>
          <w:rFonts w:ascii="Arial" w:hAnsi="Arial" w:cs="Arial"/>
          <w:b/>
          <w:i/>
          <w:sz w:val="20"/>
          <w:lang w:val="en-US"/>
        </w:rPr>
      </w:pPr>
      <w:r w:rsidRPr="00B229D7">
        <w:rPr>
          <w:rFonts w:ascii="Arial" w:hAnsi="Arial" w:cs="Arial"/>
          <w:b/>
          <w:i/>
          <w:sz w:val="20"/>
          <w:lang w:val="en-US"/>
        </w:rPr>
        <w:t>Determination of the liquid limit:</w:t>
      </w:r>
    </w:p>
    <w:p w14:paraId="5F6CD6B2" w14:textId="77777777" w:rsidR="00A10042" w:rsidRPr="00795250" w:rsidRDefault="00A10042" w:rsidP="00A10042">
      <w:pPr>
        <w:jc w:val="both"/>
        <w:rPr>
          <w:rFonts w:ascii="Arial" w:hAnsi="Arial" w:cs="Arial"/>
          <w:sz w:val="20"/>
          <w:szCs w:val="20"/>
          <w:lang w:val="en-US"/>
        </w:rPr>
      </w:pPr>
      <w:r w:rsidRPr="00795250">
        <w:rPr>
          <w:rFonts w:ascii="Arial" w:hAnsi="Arial" w:cs="Arial"/>
          <w:sz w:val="20"/>
          <w:szCs w:val="20"/>
          <w:lang w:val="en-US"/>
        </w:rPr>
        <w:t>T</w:t>
      </w:r>
      <w:r w:rsidR="00777988" w:rsidRPr="00795250">
        <w:rPr>
          <w:rFonts w:ascii="Arial" w:hAnsi="Arial" w:cs="Arial"/>
          <w:sz w:val="20"/>
          <w:szCs w:val="20"/>
          <w:lang w:val="en-US"/>
        </w:rPr>
        <w:t>he liquid limit (</w:t>
      </w:r>
      <m:oMath>
        <m:sSub>
          <m:sSubPr>
            <m:ctrlPr>
              <w:rPr>
                <w:rFonts w:ascii="Cambria Math" w:hAnsi="Cambria Math" w:cs="Arial"/>
                <w:b/>
                <w:sz w:val="20"/>
                <w:szCs w:val="20"/>
              </w:rPr>
            </m:ctrlPr>
          </m:sSubPr>
          <m:e>
            <m:r>
              <m:rPr>
                <m:sty m:val="b"/>
              </m:rPr>
              <w:rPr>
                <w:rFonts w:ascii="Cambria Math" w:hAnsi="Cambria Math" w:cs="Arial"/>
                <w:sz w:val="20"/>
                <w:szCs w:val="20"/>
              </w:rPr>
              <m:t>W</m:t>
            </m:r>
          </m:e>
          <m:sub>
            <m:r>
              <m:rPr>
                <m:sty m:val="b"/>
              </m:rPr>
              <w:rPr>
                <w:rFonts w:ascii="Cambria Math" w:hAnsi="Cambria Math" w:cs="Arial"/>
                <w:sz w:val="20"/>
                <w:szCs w:val="20"/>
              </w:rPr>
              <m:t>L</m:t>
            </m:r>
          </m:sub>
        </m:sSub>
        <m:r>
          <m:rPr>
            <m:sty m:val="bi"/>
          </m:rPr>
          <w:rPr>
            <w:rFonts w:ascii="Cambria Math" w:hAnsi="Cambria Math" w:cs="Arial"/>
            <w:sz w:val="20"/>
            <w:szCs w:val="20"/>
            <w:lang w:val="en-US"/>
          </w:rPr>
          <m:t>)</m:t>
        </m:r>
      </m:oMath>
      <w:r w:rsidRPr="00795250">
        <w:rPr>
          <w:rFonts w:ascii="Arial" w:hAnsi="Arial" w:cs="Arial"/>
          <w:sz w:val="20"/>
          <w:szCs w:val="20"/>
          <w:lang w:val="en-US"/>
        </w:rPr>
        <w:t xml:space="preserve"> was carried out using the CASAGRANDE apparatus and was calculated using the</w:t>
      </w:r>
      <w:r w:rsidR="000C68ED" w:rsidRPr="00795250">
        <w:rPr>
          <w:rFonts w:ascii="Arial" w:hAnsi="Arial" w:cs="Arial"/>
          <w:sz w:val="20"/>
          <w:szCs w:val="20"/>
          <w:lang w:val="en-US"/>
        </w:rPr>
        <w:t xml:space="preserve"> following</w:t>
      </w:r>
      <w:r w:rsidRPr="00795250">
        <w:rPr>
          <w:rFonts w:ascii="Arial" w:hAnsi="Arial" w:cs="Arial"/>
          <w:sz w:val="20"/>
          <w:szCs w:val="20"/>
          <w:lang w:val="en-US"/>
        </w:rPr>
        <w:t xml:space="preserve"> formula (I)</w:t>
      </w:r>
    </w:p>
    <w:p w14:paraId="6D7556DC" w14:textId="77777777" w:rsidR="00052887" w:rsidRPr="00EE024C" w:rsidRDefault="00B92E06" w:rsidP="00052887">
      <w:pPr>
        <w:jc w:val="both"/>
        <w:rPr>
          <w:rFonts w:ascii="Arial" w:hAnsi="Arial" w:cs="Arial"/>
          <w:sz w:val="20"/>
          <w:szCs w:val="20"/>
        </w:rPr>
      </w:pPr>
      <m:oMathPara>
        <m:oMath>
          <m:sSub>
            <m:sSubPr>
              <m:ctrlPr>
                <w:rPr>
                  <w:rFonts w:ascii="Cambria Math" w:hAnsi="Cambria Math" w:cs="Arial"/>
                  <w:b/>
                  <w:sz w:val="20"/>
                  <w:szCs w:val="20"/>
                </w:rPr>
              </m:ctrlPr>
            </m:sSubPr>
            <m:e>
              <m:r>
                <m:rPr>
                  <m:sty m:val="b"/>
                </m:rPr>
                <w:rPr>
                  <w:rFonts w:ascii="Cambria Math" w:hAnsi="Cambria Math" w:cs="Arial"/>
                  <w:sz w:val="20"/>
                  <w:szCs w:val="20"/>
                </w:rPr>
                <m:t>W</m:t>
              </m:r>
            </m:e>
            <m:sub>
              <m:r>
                <m:rPr>
                  <m:sty m:val="b"/>
                </m:rPr>
                <w:rPr>
                  <w:rFonts w:ascii="Cambria Math" w:hAnsi="Cambria Math" w:cs="Arial"/>
                  <w:sz w:val="20"/>
                  <w:szCs w:val="20"/>
                </w:rPr>
                <m:t>L</m:t>
              </m:r>
            </m:sub>
          </m:sSub>
          <m:r>
            <m:rPr>
              <m:sty m:val="b"/>
            </m:rPr>
            <w:rPr>
              <w:rFonts w:ascii="Cambria Math" w:hAnsi="Cambria Math" w:cs="Arial"/>
              <w:sz w:val="20"/>
              <w:szCs w:val="20"/>
            </w:rPr>
            <m:t xml:space="preserve">=W× </m:t>
          </m:r>
          <m:f>
            <m:fPr>
              <m:ctrlPr>
                <w:rPr>
                  <w:rFonts w:ascii="Cambria Math" w:hAnsi="Cambria Math" w:cs="Arial"/>
                  <w:b/>
                  <w:sz w:val="20"/>
                  <w:szCs w:val="20"/>
                </w:rPr>
              </m:ctrlPr>
            </m:fPr>
            <m:num>
              <m:sSup>
                <m:sSupPr>
                  <m:ctrlPr>
                    <w:rPr>
                      <w:rFonts w:ascii="Cambria Math" w:hAnsi="Cambria Math" w:cs="Arial"/>
                      <w:b/>
                      <w:sz w:val="20"/>
                      <w:szCs w:val="20"/>
                    </w:rPr>
                  </m:ctrlPr>
                </m:sSupPr>
                <m:e>
                  <m:r>
                    <m:rPr>
                      <m:sty m:val="b"/>
                    </m:rPr>
                    <w:rPr>
                      <w:rFonts w:ascii="Cambria Math" w:hAnsi="Cambria Math" w:cs="Arial"/>
                      <w:sz w:val="20"/>
                      <w:szCs w:val="20"/>
                    </w:rPr>
                    <m:t>N</m:t>
                  </m:r>
                </m:e>
                <m:sup>
                  <m:r>
                    <m:rPr>
                      <m:sty m:val="b"/>
                    </m:rPr>
                    <w:rPr>
                      <w:rFonts w:ascii="Cambria Math" w:hAnsi="Cambria Math" w:cs="Arial"/>
                      <w:sz w:val="20"/>
                      <w:szCs w:val="20"/>
                    </w:rPr>
                    <m:t>0,121</m:t>
                  </m:r>
                </m:sup>
              </m:sSup>
            </m:num>
            <m:den>
              <m:r>
                <m:rPr>
                  <m:sty m:val="b"/>
                </m:rPr>
                <w:rPr>
                  <w:rFonts w:ascii="Cambria Math" w:hAnsi="Cambria Math" w:cs="Arial"/>
                  <w:sz w:val="20"/>
                  <w:szCs w:val="20"/>
                </w:rPr>
                <m:t>25</m:t>
              </m:r>
            </m:den>
          </m:f>
          <m:r>
            <m:rPr>
              <m:sty m:val="b"/>
            </m:rPr>
            <w:rPr>
              <w:rFonts w:ascii="Cambria Math" w:hAnsi="Cambria Math" w:cs="Arial"/>
              <w:sz w:val="20"/>
              <w:szCs w:val="20"/>
            </w:rPr>
            <m:t xml:space="preserve">                 </m:t>
          </m:r>
          <m:r>
            <m:rPr>
              <m:sty m:val="p"/>
            </m:rPr>
            <w:rPr>
              <w:rFonts w:ascii="Cambria Math" w:hAnsi="Cambria Math" w:cs="Arial"/>
              <w:sz w:val="20"/>
              <w:szCs w:val="20"/>
            </w:rPr>
            <m:t xml:space="preserve"> (I)</m:t>
          </m:r>
        </m:oMath>
      </m:oMathPara>
    </w:p>
    <w:p w14:paraId="49921ADA" w14:textId="77777777" w:rsidR="00A10042" w:rsidRPr="00EE024C" w:rsidRDefault="00A10042" w:rsidP="00A10042">
      <w:pPr>
        <w:jc w:val="both"/>
        <w:rPr>
          <w:rFonts w:ascii="Arial" w:hAnsi="Arial" w:cs="Arial"/>
          <w:sz w:val="20"/>
          <w:szCs w:val="20"/>
          <w:lang w:val="en-US"/>
        </w:rPr>
      </w:pPr>
      <w:r w:rsidRPr="00EE024C">
        <w:rPr>
          <w:rFonts w:ascii="Arial" w:hAnsi="Arial" w:cs="Arial"/>
          <w:sz w:val="20"/>
          <w:szCs w:val="20"/>
          <w:lang w:val="en-US"/>
        </w:rPr>
        <w:t>Where: N = the number of blows and W = the water content</w:t>
      </w:r>
    </w:p>
    <w:p w14:paraId="051CEA73" w14:textId="77777777" w:rsidR="00A10042" w:rsidRPr="00B229D7" w:rsidRDefault="00A10042" w:rsidP="00052887">
      <w:pPr>
        <w:pStyle w:val="ListParagraph"/>
        <w:numPr>
          <w:ilvl w:val="0"/>
          <w:numId w:val="2"/>
        </w:numPr>
        <w:jc w:val="both"/>
        <w:rPr>
          <w:rFonts w:ascii="Arial" w:hAnsi="Arial" w:cs="Arial"/>
          <w:b/>
          <w:i/>
          <w:sz w:val="20"/>
          <w:szCs w:val="20"/>
          <w:lang w:val="en-US"/>
        </w:rPr>
      </w:pPr>
      <w:r w:rsidRPr="00B229D7">
        <w:rPr>
          <w:rFonts w:ascii="Arial" w:hAnsi="Arial" w:cs="Arial"/>
          <w:b/>
          <w:i/>
          <w:sz w:val="20"/>
          <w:szCs w:val="20"/>
          <w:lang w:val="en-US"/>
        </w:rPr>
        <w:t>Determination of the plastic limit:</w:t>
      </w:r>
    </w:p>
    <w:p w14:paraId="415AFBAB" w14:textId="77777777" w:rsidR="00A10042" w:rsidRPr="00EE024C" w:rsidRDefault="00A10042" w:rsidP="00A10042">
      <w:pPr>
        <w:jc w:val="both"/>
        <w:rPr>
          <w:rFonts w:ascii="Arial" w:hAnsi="Arial" w:cs="Arial"/>
          <w:sz w:val="20"/>
          <w:szCs w:val="20"/>
          <w:lang w:val="en-US"/>
        </w:rPr>
      </w:pPr>
      <w:r w:rsidRPr="00EE024C">
        <w:rPr>
          <w:rFonts w:ascii="Arial" w:hAnsi="Arial" w:cs="Arial"/>
          <w:sz w:val="20"/>
          <w:szCs w:val="20"/>
          <w:lang w:val="en-US"/>
        </w:rPr>
        <w:t>The plastic limit</w:t>
      </w:r>
      <w:r w:rsidR="00777988" w:rsidRPr="00EE024C">
        <w:rPr>
          <w:rFonts w:ascii="Arial" w:hAnsi="Arial" w:cs="Arial"/>
          <w:sz w:val="20"/>
          <w:szCs w:val="20"/>
          <w:lang w:val="en-US"/>
        </w:rPr>
        <w:t xml:space="preserve"> (Wp)</w:t>
      </w:r>
      <w:r w:rsidRPr="00EE024C">
        <w:rPr>
          <w:rFonts w:ascii="Arial" w:hAnsi="Arial" w:cs="Arial"/>
          <w:sz w:val="20"/>
          <w:szCs w:val="20"/>
          <w:lang w:val="en-US"/>
        </w:rPr>
        <w:t xml:space="preserve"> was determine</w:t>
      </w:r>
      <w:r w:rsidR="00052887" w:rsidRPr="00EE024C">
        <w:rPr>
          <w:rFonts w:ascii="Arial" w:hAnsi="Arial" w:cs="Arial"/>
          <w:sz w:val="20"/>
          <w:szCs w:val="20"/>
          <w:lang w:val="en-US"/>
        </w:rPr>
        <w:t>d using the following equation II</w:t>
      </w:r>
      <w:r w:rsidRPr="00EE024C">
        <w:rPr>
          <w:rFonts w:ascii="Arial" w:hAnsi="Arial" w:cs="Arial"/>
          <w:sz w:val="20"/>
          <w:szCs w:val="20"/>
          <w:lang w:val="en-US"/>
        </w:rPr>
        <w:t>:</w:t>
      </w:r>
    </w:p>
    <w:p w14:paraId="5A75AA4F" w14:textId="7B12A599" w:rsidR="00A10042" w:rsidRPr="00EE024C" w:rsidRDefault="007879D7" w:rsidP="00052887">
      <w:pPr>
        <w:jc w:val="center"/>
        <w:rPr>
          <w:rFonts w:ascii="Arial" w:hAnsi="Arial" w:cs="Arial"/>
          <w:sz w:val="20"/>
          <w:szCs w:val="20"/>
          <w:lang w:val="en-US"/>
        </w:rPr>
      </w:pPr>
      <m:oMath>
        <m:r>
          <m:rPr>
            <m:sty m:val="p"/>
          </m:rPr>
          <w:rPr>
            <w:rFonts w:ascii="Cambria Math" w:eastAsiaTheme="minorEastAsia" w:hAnsi="Cambria Math" w:cs="Arial"/>
            <w:szCs w:val="20"/>
            <w:highlight w:val="yellow"/>
            <w:lang w:val="en-US"/>
          </w:rPr>
          <m:t xml:space="preserve">Wp = </m:t>
        </m:r>
        <m:f>
          <m:fPr>
            <m:ctrlPr>
              <w:rPr>
                <w:rFonts w:ascii="Cambria Math" w:eastAsiaTheme="minorEastAsia" w:hAnsi="Cambria Math" w:cs="Arial"/>
                <w:szCs w:val="20"/>
                <w:highlight w:val="yellow"/>
                <w:lang w:val="en-US"/>
              </w:rPr>
            </m:ctrlPr>
          </m:fPr>
          <m:num>
            <m:r>
              <m:rPr>
                <m:sty m:val="p"/>
              </m:rPr>
              <w:rPr>
                <w:rFonts w:ascii="Cambria Math" w:eastAsiaTheme="minorEastAsia" w:hAnsi="Cambria Math" w:cs="Arial"/>
                <w:szCs w:val="20"/>
                <w:highlight w:val="yellow"/>
                <w:lang w:val="en-US"/>
              </w:rPr>
              <m:t>Wp1+Wp2+Wp3</m:t>
            </m:r>
          </m:num>
          <m:den>
            <m:r>
              <m:rPr>
                <m:sty m:val="p"/>
              </m:rPr>
              <w:rPr>
                <w:rFonts w:ascii="Cambria Math" w:eastAsiaTheme="minorEastAsia" w:hAnsi="Cambria Math" w:cs="Arial"/>
                <w:szCs w:val="20"/>
                <w:highlight w:val="yellow"/>
                <w:lang w:val="en-US"/>
              </w:rPr>
              <m:t>3</m:t>
            </m:r>
          </m:den>
        </m:f>
      </m:oMath>
      <w:r w:rsidR="00A10042" w:rsidRPr="00EE024C">
        <w:rPr>
          <w:rFonts w:ascii="Arial" w:hAnsi="Arial" w:cs="Arial"/>
          <w:sz w:val="20"/>
          <w:szCs w:val="20"/>
          <w:lang w:val="en-US"/>
        </w:rPr>
        <w:t xml:space="preserve"> </w:t>
      </w:r>
      <w:r w:rsidR="00777988" w:rsidRPr="00EE024C">
        <w:rPr>
          <w:rFonts w:ascii="Arial" w:hAnsi="Arial" w:cs="Arial"/>
          <w:sz w:val="20"/>
          <w:szCs w:val="20"/>
          <w:lang w:val="en-US"/>
        </w:rPr>
        <w:t xml:space="preserve">   </w:t>
      </w:r>
      <w:r w:rsidR="00A10042" w:rsidRPr="00EE024C">
        <w:rPr>
          <w:rFonts w:ascii="Arial" w:hAnsi="Arial" w:cs="Arial"/>
          <w:sz w:val="20"/>
          <w:szCs w:val="20"/>
          <w:lang w:val="en-US"/>
        </w:rPr>
        <w:t>(II)</w:t>
      </w:r>
    </w:p>
    <w:p w14:paraId="6F1374B5" w14:textId="1AB26CBE" w:rsidR="00A10042" w:rsidRPr="00EE024C" w:rsidRDefault="007879D7" w:rsidP="00A10042">
      <w:pPr>
        <w:jc w:val="both"/>
        <w:rPr>
          <w:rFonts w:ascii="Arial" w:hAnsi="Arial" w:cs="Arial"/>
          <w:sz w:val="20"/>
          <w:szCs w:val="20"/>
          <w:lang w:val="en-US"/>
        </w:rPr>
      </w:pPr>
      <w:r w:rsidRPr="007879D7">
        <w:rPr>
          <w:rFonts w:ascii="Arial" w:hAnsi="Arial" w:cs="Arial"/>
          <w:sz w:val="20"/>
          <w:szCs w:val="20"/>
          <w:lang w:val="en-US"/>
        </w:rPr>
        <w:t>Wp1+Wp2+Wp3</w:t>
      </w:r>
      <w:r>
        <w:rPr>
          <w:rFonts w:ascii="Arial" w:hAnsi="Arial" w:cs="Arial"/>
          <w:sz w:val="20"/>
          <w:szCs w:val="20"/>
          <w:lang w:val="en-US"/>
        </w:rPr>
        <w:t xml:space="preserve"> </w:t>
      </w:r>
      <w:r w:rsidR="00A10042" w:rsidRPr="00EE024C">
        <w:rPr>
          <w:rFonts w:ascii="Arial" w:hAnsi="Arial" w:cs="Arial"/>
          <w:sz w:val="20"/>
          <w:szCs w:val="20"/>
          <w:lang w:val="en-US"/>
        </w:rPr>
        <w:t>are the plastic limits over the course of three tests.</w:t>
      </w:r>
    </w:p>
    <w:p w14:paraId="5871460E" w14:textId="77777777" w:rsidR="00A10042" w:rsidRPr="00B229D7" w:rsidRDefault="00052887" w:rsidP="00052887">
      <w:pPr>
        <w:pStyle w:val="ListParagraph"/>
        <w:numPr>
          <w:ilvl w:val="0"/>
          <w:numId w:val="2"/>
        </w:numPr>
        <w:jc w:val="both"/>
        <w:rPr>
          <w:rFonts w:ascii="Arial" w:hAnsi="Arial" w:cs="Arial"/>
          <w:b/>
          <w:i/>
          <w:sz w:val="20"/>
          <w:szCs w:val="20"/>
          <w:lang w:val="en-US"/>
        </w:rPr>
      </w:pPr>
      <w:r w:rsidRPr="00B229D7">
        <w:rPr>
          <w:rFonts w:ascii="Arial" w:hAnsi="Arial" w:cs="Arial"/>
          <w:b/>
          <w:i/>
          <w:sz w:val="20"/>
          <w:szCs w:val="20"/>
          <w:lang w:val="en-US"/>
        </w:rPr>
        <w:t>Plasticity Index (</w:t>
      </w:r>
      <w:r w:rsidR="00777988" w:rsidRPr="00B229D7">
        <w:rPr>
          <w:rFonts w:ascii="Arial" w:hAnsi="Arial" w:cs="Arial"/>
          <w:b/>
          <w:i/>
          <w:sz w:val="20"/>
          <w:szCs w:val="20"/>
          <w:lang w:val="en-US"/>
        </w:rPr>
        <w:t>P</w:t>
      </w:r>
      <w:r w:rsidRPr="00B229D7">
        <w:rPr>
          <w:rFonts w:ascii="Arial" w:hAnsi="Arial" w:cs="Arial"/>
          <w:b/>
          <w:i/>
          <w:sz w:val="20"/>
          <w:szCs w:val="20"/>
          <w:lang w:val="en-US"/>
        </w:rPr>
        <w:t>I</w:t>
      </w:r>
      <w:r w:rsidR="00A10042" w:rsidRPr="00B229D7">
        <w:rPr>
          <w:rFonts w:ascii="Arial" w:hAnsi="Arial" w:cs="Arial"/>
          <w:b/>
          <w:i/>
          <w:sz w:val="20"/>
          <w:szCs w:val="20"/>
          <w:lang w:val="en-US"/>
        </w:rPr>
        <w:t>)</w:t>
      </w:r>
    </w:p>
    <w:p w14:paraId="0C995C22" w14:textId="77777777" w:rsidR="00A10042" w:rsidRPr="00EE024C" w:rsidRDefault="00A10042" w:rsidP="00A10042">
      <w:pPr>
        <w:jc w:val="both"/>
        <w:rPr>
          <w:rFonts w:ascii="Arial" w:hAnsi="Arial" w:cs="Arial"/>
          <w:sz w:val="20"/>
          <w:szCs w:val="20"/>
          <w:lang w:val="en-US"/>
        </w:rPr>
      </w:pPr>
      <w:r w:rsidRPr="00EE024C">
        <w:rPr>
          <w:rFonts w:ascii="Arial" w:hAnsi="Arial" w:cs="Arial"/>
          <w:sz w:val="20"/>
          <w:szCs w:val="20"/>
          <w:lang w:val="en-US"/>
        </w:rPr>
        <w:lastRenderedPageBreak/>
        <w:t>The plasticity index was calculated by the difference between the liquid limit and the plastic limit accord</w:t>
      </w:r>
      <w:r w:rsidR="00052887" w:rsidRPr="00EE024C">
        <w:rPr>
          <w:rFonts w:ascii="Arial" w:hAnsi="Arial" w:cs="Arial"/>
          <w:sz w:val="20"/>
          <w:szCs w:val="20"/>
          <w:lang w:val="en-US"/>
        </w:rPr>
        <w:t>ing to the following relation (III</w:t>
      </w:r>
      <w:r w:rsidRPr="00EE024C">
        <w:rPr>
          <w:rFonts w:ascii="Arial" w:hAnsi="Arial" w:cs="Arial"/>
          <w:sz w:val="20"/>
          <w:szCs w:val="20"/>
          <w:lang w:val="en-US"/>
        </w:rPr>
        <w:t>):</w:t>
      </w:r>
    </w:p>
    <w:p w14:paraId="72703E0B" w14:textId="17032CF5" w:rsidR="00A10042" w:rsidRPr="00EE024C" w:rsidRDefault="007879D7" w:rsidP="00052887">
      <w:pPr>
        <w:jc w:val="center"/>
        <w:rPr>
          <w:rFonts w:ascii="Arial" w:hAnsi="Arial" w:cs="Arial"/>
          <w:sz w:val="20"/>
          <w:szCs w:val="20"/>
          <w:lang w:val="en-US"/>
        </w:rPr>
      </w:pPr>
      <m:oMath>
        <m:r>
          <m:rPr>
            <m:sty m:val="p"/>
          </m:rPr>
          <w:rPr>
            <w:rFonts w:ascii="Cambria Math" w:hAnsi="Cambria Math" w:cs="Arial"/>
            <w:sz w:val="20"/>
            <w:szCs w:val="20"/>
            <w:lang w:val="en-US"/>
          </w:rPr>
          <m:t>PI = W</m:t>
        </m:r>
        <m:r>
          <m:rPr>
            <m:sty m:val="p"/>
          </m:rPr>
          <w:rPr>
            <w:rFonts w:ascii="Cambria Math" w:hAnsi="Cambria Math" w:cs="Arial"/>
            <w:sz w:val="20"/>
            <w:szCs w:val="20"/>
            <w:vertAlign w:val="subscript"/>
            <w:lang w:val="en-US"/>
          </w:rPr>
          <m:t>L</m:t>
        </m:r>
        <m:r>
          <m:rPr>
            <m:sty m:val="p"/>
          </m:rPr>
          <w:rPr>
            <w:rFonts w:ascii="Cambria Math" w:hAnsi="Cambria Math" w:cs="Arial"/>
            <w:sz w:val="20"/>
            <w:szCs w:val="20"/>
            <w:lang w:val="en-US"/>
          </w:rPr>
          <m:t>-W</m:t>
        </m:r>
        <m:r>
          <m:rPr>
            <m:sty m:val="p"/>
          </m:rPr>
          <w:rPr>
            <w:rFonts w:ascii="Cambria Math" w:hAnsi="Cambria Math" w:cs="Arial"/>
            <w:sz w:val="20"/>
            <w:szCs w:val="20"/>
            <w:vertAlign w:val="subscript"/>
            <w:lang w:val="en-US"/>
          </w:rPr>
          <m:t>p</m:t>
        </m:r>
      </m:oMath>
      <w:r w:rsidR="00A10042" w:rsidRPr="00EE024C">
        <w:rPr>
          <w:rFonts w:ascii="Arial" w:hAnsi="Arial" w:cs="Arial"/>
          <w:sz w:val="20"/>
          <w:szCs w:val="20"/>
          <w:lang w:val="en-US"/>
        </w:rPr>
        <w:t xml:space="preserve"> </w:t>
      </w:r>
      <w:r w:rsidR="00777988" w:rsidRPr="00EE024C">
        <w:rPr>
          <w:rFonts w:ascii="Arial" w:hAnsi="Arial" w:cs="Arial"/>
          <w:sz w:val="20"/>
          <w:szCs w:val="20"/>
          <w:lang w:val="en-US"/>
        </w:rPr>
        <w:t xml:space="preserve">     </w:t>
      </w:r>
      <w:r w:rsidR="00A10042" w:rsidRPr="00EE024C">
        <w:rPr>
          <w:rFonts w:ascii="Arial" w:hAnsi="Arial" w:cs="Arial"/>
          <w:sz w:val="20"/>
          <w:szCs w:val="20"/>
          <w:lang w:val="en-US"/>
        </w:rPr>
        <w:t>(III)</w:t>
      </w:r>
    </w:p>
    <w:p w14:paraId="570926F4" w14:textId="77777777" w:rsidR="00052887" w:rsidRPr="00003E07" w:rsidRDefault="00052887" w:rsidP="00003E07">
      <w:pPr>
        <w:pStyle w:val="ListParagraph"/>
        <w:numPr>
          <w:ilvl w:val="2"/>
          <w:numId w:val="7"/>
        </w:numPr>
        <w:rPr>
          <w:rFonts w:ascii="Arial" w:hAnsi="Arial" w:cs="Arial"/>
          <w:b/>
          <w:sz w:val="20"/>
          <w:szCs w:val="20"/>
          <w:u w:val="single"/>
          <w:lang w:val="en-US"/>
        </w:rPr>
      </w:pPr>
      <w:r w:rsidRPr="00003E07">
        <w:rPr>
          <w:rFonts w:ascii="Arial" w:hAnsi="Arial" w:cs="Arial"/>
          <w:b/>
          <w:sz w:val="20"/>
          <w:szCs w:val="20"/>
          <w:u w:val="single"/>
          <w:lang w:val="en-US"/>
        </w:rPr>
        <w:t>X-ray Diffraction</w:t>
      </w:r>
    </w:p>
    <w:p w14:paraId="15283B54" w14:textId="77777777" w:rsidR="00052887" w:rsidRPr="00003E07" w:rsidRDefault="00052887" w:rsidP="00052887">
      <w:pPr>
        <w:jc w:val="both"/>
        <w:rPr>
          <w:rFonts w:ascii="Arial" w:hAnsi="Arial" w:cs="Arial"/>
          <w:sz w:val="20"/>
          <w:szCs w:val="20"/>
          <w:lang w:val="en-US"/>
        </w:rPr>
      </w:pPr>
      <w:r w:rsidRPr="00003E07">
        <w:rPr>
          <w:rFonts w:ascii="Arial" w:hAnsi="Arial" w:cs="Arial"/>
          <w:sz w:val="20"/>
          <w:szCs w:val="20"/>
          <w:lang w:val="en-US"/>
        </w:rPr>
        <w:t>X-ray diffraction was performed at the Darmstadt University of Technology (TU Darmstadt - Joint Research Group Laboratory of Materials Design by Synthesis) in Germany, using a Bruker D8 diffractometer equipped with a copper (CuKa) anticathode. The angular analysis range was 5° to 90°.</w:t>
      </w:r>
    </w:p>
    <w:p w14:paraId="4378D371" w14:textId="77777777" w:rsidR="00052887" w:rsidRPr="00003E07" w:rsidRDefault="00052887" w:rsidP="00003E07">
      <w:pPr>
        <w:pStyle w:val="ListParagraph"/>
        <w:numPr>
          <w:ilvl w:val="2"/>
          <w:numId w:val="7"/>
        </w:numPr>
        <w:spacing w:after="0"/>
        <w:rPr>
          <w:rFonts w:ascii="Arial" w:hAnsi="Arial" w:cs="Arial"/>
          <w:b/>
          <w:sz w:val="20"/>
          <w:szCs w:val="20"/>
          <w:u w:val="single"/>
          <w:lang w:val="en-US"/>
        </w:rPr>
      </w:pPr>
      <w:r w:rsidRPr="00003E07">
        <w:rPr>
          <w:rFonts w:ascii="Arial" w:hAnsi="Arial" w:cs="Arial"/>
          <w:b/>
          <w:sz w:val="20"/>
          <w:szCs w:val="20"/>
          <w:u w:val="single"/>
          <w:lang w:val="en-US"/>
        </w:rPr>
        <w:t>Chemical Analysis</w:t>
      </w:r>
    </w:p>
    <w:p w14:paraId="0D546C4C" w14:textId="77777777" w:rsidR="00052887" w:rsidRPr="00250090" w:rsidRDefault="00052887" w:rsidP="00052887">
      <w:pPr>
        <w:jc w:val="both"/>
        <w:rPr>
          <w:rFonts w:ascii="Arial" w:hAnsi="Arial" w:cs="Arial"/>
          <w:sz w:val="20"/>
          <w:szCs w:val="20"/>
          <w:lang w:val="en-US"/>
        </w:rPr>
      </w:pPr>
      <w:r w:rsidRPr="00250090">
        <w:rPr>
          <w:rFonts w:ascii="Arial" w:hAnsi="Arial" w:cs="Arial"/>
          <w:sz w:val="20"/>
          <w:szCs w:val="20"/>
          <w:lang w:val="en-US"/>
        </w:rPr>
        <w:t>Chemical analysis was performed using an Inductively Coupled Plasma Atomic Emission Spectrometer (ICP-AES) at the Centre for Petrographic and Geochemical Research (C.R.P.G.) in Nancy, France.</w:t>
      </w:r>
    </w:p>
    <w:p w14:paraId="7ACB55B4" w14:textId="77777777" w:rsidR="00052887" w:rsidRPr="00003E07" w:rsidRDefault="00003E07" w:rsidP="00003E07">
      <w:pPr>
        <w:pStyle w:val="ListParagraph"/>
        <w:numPr>
          <w:ilvl w:val="2"/>
          <w:numId w:val="7"/>
        </w:numPr>
        <w:spacing w:after="0"/>
        <w:rPr>
          <w:rFonts w:ascii="Arial" w:hAnsi="Arial" w:cs="Arial"/>
          <w:b/>
          <w:sz w:val="20"/>
          <w:szCs w:val="20"/>
          <w:u w:val="single"/>
          <w:lang w:val="en-US"/>
        </w:rPr>
      </w:pPr>
      <w:r w:rsidRPr="00003E07">
        <w:rPr>
          <w:rFonts w:ascii="Arial" w:hAnsi="Arial" w:cs="Arial"/>
          <w:b/>
          <w:sz w:val="20"/>
          <w:szCs w:val="20"/>
          <w:u w:val="single"/>
          <w:lang w:val="en-US"/>
        </w:rPr>
        <w:t>Cation Exchange Capacity</w:t>
      </w:r>
    </w:p>
    <w:p w14:paraId="65A3E023" w14:textId="77777777" w:rsidR="00052887" w:rsidRPr="00250090" w:rsidRDefault="00052887" w:rsidP="00052887">
      <w:pPr>
        <w:jc w:val="both"/>
        <w:rPr>
          <w:rFonts w:ascii="Arial" w:hAnsi="Arial" w:cs="Arial"/>
          <w:sz w:val="20"/>
          <w:szCs w:val="20"/>
          <w:lang w:val="en-US"/>
        </w:rPr>
      </w:pPr>
      <w:r w:rsidRPr="00250090">
        <w:rPr>
          <w:rFonts w:ascii="Arial" w:hAnsi="Arial" w:cs="Arial"/>
          <w:sz w:val="20"/>
          <w:szCs w:val="20"/>
          <w:lang w:val="en-US"/>
        </w:rPr>
        <w:t xml:space="preserve">CEC was determined using the METSON method. The procedure used is that described in </w:t>
      </w:r>
      <w:r w:rsidR="004F6263" w:rsidRPr="00250090">
        <w:rPr>
          <w:rFonts w:ascii="Arial" w:hAnsi="Arial" w:cs="Arial"/>
          <w:sz w:val="20"/>
          <w:szCs w:val="20"/>
          <w:lang w:val="en-US"/>
        </w:rPr>
        <w:t>AFNOR standard NFX31-130 [12]; t</w:t>
      </w:r>
      <w:r w:rsidRPr="00250090">
        <w:rPr>
          <w:rFonts w:ascii="Arial" w:hAnsi="Arial" w:cs="Arial"/>
          <w:sz w:val="20"/>
          <w:szCs w:val="20"/>
          <w:lang w:val="en-US"/>
        </w:rPr>
        <w:t>he test sample was 2.5 g of clay material ground to 2 mm.</w:t>
      </w:r>
    </w:p>
    <w:p w14:paraId="5ADA8165" w14:textId="77777777" w:rsidR="00052887" w:rsidRPr="00003E07" w:rsidRDefault="00052887" w:rsidP="00370F7F">
      <w:pPr>
        <w:pStyle w:val="ListParagraph"/>
        <w:numPr>
          <w:ilvl w:val="2"/>
          <w:numId w:val="7"/>
        </w:numPr>
        <w:spacing w:after="0"/>
        <w:rPr>
          <w:rFonts w:ascii="Arial" w:hAnsi="Arial" w:cs="Arial"/>
          <w:b/>
          <w:sz w:val="20"/>
          <w:szCs w:val="20"/>
          <w:u w:val="single"/>
          <w:lang w:val="en-US"/>
        </w:rPr>
      </w:pPr>
      <w:r w:rsidRPr="00003E07">
        <w:rPr>
          <w:rFonts w:ascii="Arial" w:hAnsi="Arial" w:cs="Arial"/>
          <w:b/>
          <w:sz w:val="20"/>
          <w:szCs w:val="20"/>
          <w:u w:val="single"/>
          <w:lang w:val="en-US"/>
        </w:rPr>
        <w:t>Specific Surface Area</w:t>
      </w:r>
    </w:p>
    <w:p w14:paraId="0BA2E200" w14:textId="77777777" w:rsidR="00052887" w:rsidRPr="00250090" w:rsidRDefault="00052887" w:rsidP="00052887">
      <w:pPr>
        <w:jc w:val="both"/>
        <w:rPr>
          <w:rFonts w:ascii="Arial" w:hAnsi="Arial" w:cs="Arial"/>
          <w:sz w:val="20"/>
          <w:szCs w:val="20"/>
          <w:lang w:val="en-US"/>
        </w:rPr>
      </w:pPr>
      <w:r w:rsidRPr="00250090">
        <w:rPr>
          <w:rFonts w:ascii="Arial" w:hAnsi="Arial" w:cs="Arial"/>
          <w:sz w:val="20"/>
          <w:szCs w:val="20"/>
          <w:lang w:val="en-US"/>
        </w:rPr>
        <w:t>The specific surface area of ​​the Kombé material was determined using the B.E.T. method [13] in the laboratory of the Technical University of Darmstadt (TU Darmstadt - Joint Research Group Laboratory of Materials Design by Synthesis) in Germany.</w:t>
      </w:r>
    </w:p>
    <w:p w14:paraId="02C4D978" w14:textId="77777777" w:rsidR="004F6263" w:rsidRPr="00370F7F" w:rsidRDefault="004F6263" w:rsidP="00370F7F">
      <w:pPr>
        <w:pStyle w:val="ListParagraph"/>
        <w:numPr>
          <w:ilvl w:val="2"/>
          <w:numId w:val="7"/>
        </w:numPr>
        <w:rPr>
          <w:rFonts w:ascii="Arial" w:hAnsi="Arial" w:cs="Arial"/>
          <w:b/>
          <w:sz w:val="20"/>
          <w:szCs w:val="20"/>
          <w:u w:val="single"/>
          <w:lang w:val="en-US"/>
        </w:rPr>
      </w:pPr>
      <w:r w:rsidRPr="00370F7F">
        <w:rPr>
          <w:rFonts w:ascii="Arial" w:hAnsi="Arial" w:cs="Arial"/>
          <w:b/>
          <w:sz w:val="20"/>
          <w:szCs w:val="20"/>
          <w:u w:val="single"/>
          <w:lang w:val="en-US"/>
        </w:rPr>
        <w:t>Chromate and Nitrate Adsorption Tests</w:t>
      </w:r>
    </w:p>
    <w:p w14:paraId="54D77E4D" w14:textId="77777777" w:rsidR="004F6263" w:rsidRPr="00250090" w:rsidRDefault="004F6263" w:rsidP="004F6263">
      <w:pPr>
        <w:jc w:val="both"/>
        <w:rPr>
          <w:rFonts w:ascii="Arial" w:hAnsi="Arial" w:cs="Arial"/>
          <w:sz w:val="20"/>
          <w:szCs w:val="20"/>
          <w:lang w:val="en-US"/>
        </w:rPr>
      </w:pPr>
      <w:r w:rsidRPr="00250090">
        <w:rPr>
          <w:rFonts w:ascii="Arial" w:hAnsi="Arial" w:cs="Arial"/>
          <w:sz w:val="20"/>
          <w:szCs w:val="20"/>
          <w:lang w:val="en-US"/>
        </w:rPr>
        <w:t>The chromate and nitrate adsorption tests were performed using the batch method, and the data obtained allowed us to construct adsorption isotherms based on the following equation:</w:t>
      </w:r>
    </w:p>
    <w:p w14:paraId="6A15222B" w14:textId="48119F8E" w:rsidR="004F6263" w:rsidRPr="00072EBA" w:rsidRDefault="007879D7" w:rsidP="004F6263">
      <w:pPr>
        <w:jc w:val="both"/>
        <w:rPr>
          <w:rFonts w:ascii="Arial" w:hAnsi="Arial" w:cs="Arial"/>
          <w:sz w:val="20"/>
          <w:szCs w:val="20"/>
          <w:lang w:val="en-US"/>
        </w:rPr>
      </w:pPr>
      <m:oMath>
        <m:r>
          <m:rPr>
            <m:sty m:val="bi"/>
          </m:rPr>
          <w:rPr>
            <w:rFonts w:ascii="Cambria Math" w:eastAsiaTheme="minorEastAsia" w:hAnsi="Cambria Math" w:cs="Arial"/>
            <w:szCs w:val="20"/>
            <w:highlight w:val="yellow"/>
            <w:lang w:val="en-US"/>
          </w:rPr>
          <m:t xml:space="preserve">Qe = </m:t>
        </m:r>
        <m:f>
          <m:fPr>
            <m:ctrlPr>
              <w:rPr>
                <w:rFonts w:ascii="Cambria Math" w:eastAsiaTheme="minorEastAsia" w:hAnsi="Cambria Math" w:cs="Arial"/>
                <w:b/>
                <w:i/>
                <w:szCs w:val="20"/>
                <w:highlight w:val="yellow"/>
                <w:lang w:val="en-US"/>
              </w:rPr>
            </m:ctrlPr>
          </m:fPr>
          <m:num>
            <m:r>
              <m:rPr>
                <m:sty m:val="bi"/>
              </m:rPr>
              <w:rPr>
                <w:rFonts w:ascii="Cambria Math" w:eastAsiaTheme="minorEastAsia" w:hAnsi="Cambria Math" w:cs="Arial"/>
                <w:szCs w:val="20"/>
                <w:highlight w:val="yellow"/>
                <w:lang w:val="en-US"/>
              </w:rPr>
              <m:t>(C</m:t>
            </m:r>
            <m:r>
              <m:rPr>
                <m:sty m:val="bi"/>
              </m:rPr>
              <w:rPr>
                <w:rFonts w:ascii="Cambria Math" w:eastAsiaTheme="minorEastAsia" w:hAnsi="Cambria Math" w:cs="Arial"/>
                <w:szCs w:val="20"/>
                <w:highlight w:val="yellow"/>
                <w:lang w:val="en-US"/>
              </w:rPr>
              <m:t>0 - Ce). V</m:t>
            </m:r>
          </m:num>
          <m:den>
            <m:r>
              <m:rPr>
                <m:sty m:val="bi"/>
              </m:rPr>
              <w:rPr>
                <w:rFonts w:ascii="Cambria Math" w:eastAsiaTheme="minorEastAsia" w:hAnsi="Cambria Math" w:cs="Arial"/>
                <w:szCs w:val="20"/>
                <w:highlight w:val="yellow"/>
                <w:lang w:val="en-US"/>
              </w:rPr>
              <m:t>m</m:t>
            </m:r>
          </m:den>
        </m:f>
        <m:r>
          <m:rPr>
            <m:sty m:val="bi"/>
          </m:rPr>
          <w:rPr>
            <w:rFonts w:ascii="Cambria Math" w:eastAsiaTheme="minorEastAsia" w:hAnsi="Cambria Math" w:cs="Arial"/>
            <w:szCs w:val="20"/>
            <w:lang w:val="en-US"/>
          </w:rPr>
          <m:t xml:space="preserve"> </m:t>
        </m:r>
      </m:oMath>
      <w:r w:rsidR="004F6263" w:rsidRPr="00072EBA">
        <w:rPr>
          <w:rFonts w:ascii="Arial" w:hAnsi="Arial" w:cs="Arial"/>
          <w:b/>
          <w:sz w:val="20"/>
          <w:szCs w:val="20"/>
          <w:lang w:val="en-US"/>
        </w:rPr>
        <w:t xml:space="preserve"> </w:t>
      </w:r>
      <w:r>
        <w:rPr>
          <w:rFonts w:ascii="Arial" w:hAnsi="Arial" w:cs="Arial"/>
          <w:b/>
          <w:sz w:val="20"/>
          <w:szCs w:val="20"/>
          <w:lang w:val="en-US"/>
        </w:rPr>
        <w:t xml:space="preserve">  </w:t>
      </w:r>
      <w:r w:rsidR="004F6263" w:rsidRPr="00072EBA">
        <w:rPr>
          <w:rFonts w:ascii="Arial" w:hAnsi="Arial" w:cs="Arial"/>
          <w:b/>
          <w:sz w:val="20"/>
          <w:szCs w:val="20"/>
          <w:lang w:val="en-US"/>
        </w:rPr>
        <w:t>[14]</w:t>
      </w:r>
      <w:r w:rsidR="004F6263" w:rsidRPr="00072EBA">
        <w:rPr>
          <w:rFonts w:ascii="Arial" w:hAnsi="Arial" w:cs="Arial"/>
          <w:sz w:val="20"/>
          <w:szCs w:val="20"/>
          <w:lang w:val="en-US"/>
        </w:rPr>
        <w:t xml:space="preserve"> </w:t>
      </w:r>
      <w:r w:rsidR="0096370A">
        <w:rPr>
          <w:rFonts w:ascii="Arial" w:hAnsi="Arial" w:cs="Arial"/>
          <w:sz w:val="20"/>
          <w:szCs w:val="20"/>
          <w:lang w:val="en-US"/>
        </w:rPr>
        <w:t xml:space="preserve">  </w:t>
      </w:r>
      <w:r w:rsidR="004F6263" w:rsidRPr="00072EBA">
        <w:rPr>
          <w:rFonts w:ascii="Arial" w:hAnsi="Arial" w:cs="Arial"/>
          <w:sz w:val="20"/>
          <w:szCs w:val="20"/>
          <w:lang w:val="en-US"/>
        </w:rPr>
        <w:t>(IV)</w:t>
      </w:r>
    </w:p>
    <w:p w14:paraId="47CCC66E" w14:textId="77777777" w:rsidR="004F6263" w:rsidRPr="00250090" w:rsidRDefault="004F6263" w:rsidP="004F6263">
      <w:pPr>
        <w:jc w:val="both"/>
        <w:rPr>
          <w:rFonts w:ascii="Arial" w:hAnsi="Arial" w:cs="Arial"/>
          <w:sz w:val="20"/>
          <w:szCs w:val="20"/>
          <w:lang w:val="en-US"/>
        </w:rPr>
      </w:pPr>
      <w:r w:rsidRPr="00250090">
        <w:rPr>
          <w:rFonts w:ascii="Arial" w:hAnsi="Arial" w:cs="Arial"/>
          <w:sz w:val="20"/>
          <w:szCs w:val="20"/>
          <w:lang w:val="en-US"/>
        </w:rPr>
        <w:t>Where:</w:t>
      </w:r>
    </w:p>
    <w:p w14:paraId="15E538A3" w14:textId="00603B55" w:rsidR="004F6263" w:rsidRPr="00250090" w:rsidRDefault="004F6263" w:rsidP="004F6263">
      <w:pPr>
        <w:jc w:val="both"/>
        <w:rPr>
          <w:rFonts w:ascii="Arial" w:hAnsi="Arial" w:cs="Arial"/>
          <w:sz w:val="20"/>
          <w:szCs w:val="20"/>
          <w:lang w:val="en-US"/>
        </w:rPr>
      </w:pPr>
      <w:r w:rsidRPr="00250090">
        <w:rPr>
          <w:rFonts w:ascii="Arial" w:hAnsi="Arial" w:cs="Arial"/>
          <w:sz w:val="20"/>
          <w:szCs w:val="20"/>
          <w:lang w:val="en-US"/>
        </w:rPr>
        <w:t>C</w:t>
      </w:r>
      <w:r w:rsidRPr="00250090">
        <w:rPr>
          <w:rFonts w:ascii="Arial" w:hAnsi="Arial" w:cs="Arial"/>
          <w:sz w:val="20"/>
          <w:szCs w:val="20"/>
          <w:vertAlign w:val="subscript"/>
          <w:lang w:val="en-US"/>
        </w:rPr>
        <w:t>0</w:t>
      </w:r>
      <w:r w:rsidRPr="00250090">
        <w:rPr>
          <w:rFonts w:ascii="Arial" w:hAnsi="Arial" w:cs="Arial"/>
          <w:sz w:val="20"/>
          <w:szCs w:val="20"/>
          <w:lang w:val="en-US"/>
        </w:rPr>
        <w:t xml:space="preserve">: initial concentration of the solute or </w:t>
      </w:r>
      <w:r w:rsidR="00BC659E" w:rsidRPr="00250090">
        <w:rPr>
          <w:rFonts w:ascii="Arial" w:hAnsi="Arial" w:cs="Arial"/>
          <w:sz w:val="20"/>
          <w:szCs w:val="20"/>
          <w:lang w:val="en-US"/>
        </w:rPr>
        <w:t>adsorbate</w:t>
      </w:r>
      <w:r w:rsidRPr="00250090">
        <w:rPr>
          <w:rFonts w:ascii="Arial" w:hAnsi="Arial" w:cs="Arial"/>
          <w:sz w:val="20"/>
          <w:szCs w:val="20"/>
          <w:lang w:val="en-US"/>
        </w:rPr>
        <w:t xml:space="preserve"> </w:t>
      </w:r>
      <w:r w:rsidR="00BC659E" w:rsidRPr="00250090">
        <w:rPr>
          <w:rFonts w:ascii="Arial" w:hAnsi="Arial" w:cs="Arial"/>
          <w:sz w:val="20"/>
          <w:szCs w:val="20"/>
          <w:lang w:val="en-US"/>
        </w:rPr>
        <w:t>(</w:t>
      </w:r>
      <w:r w:rsidR="004F7444">
        <w:rPr>
          <w:rFonts w:ascii="Arial" w:hAnsi="Arial" w:cs="Arial"/>
          <w:sz w:val="20"/>
          <w:szCs w:val="20"/>
          <w:lang w:val="en-US"/>
        </w:rPr>
        <w:t>mol</w:t>
      </w:r>
      <w:r w:rsidRPr="00250090">
        <w:rPr>
          <w:rFonts w:ascii="Arial" w:hAnsi="Arial" w:cs="Arial"/>
          <w:sz w:val="20"/>
          <w:szCs w:val="20"/>
          <w:lang w:val="en-US"/>
        </w:rPr>
        <w:t>/L</w:t>
      </w:r>
      <w:r w:rsidR="00BC659E" w:rsidRPr="00250090">
        <w:rPr>
          <w:rFonts w:ascii="Arial" w:hAnsi="Arial" w:cs="Arial"/>
          <w:sz w:val="20"/>
          <w:szCs w:val="20"/>
          <w:lang w:val="en-US"/>
        </w:rPr>
        <w:t>)</w:t>
      </w:r>
      <w:r w:rsidRPr="00250090">
        <w:rPr>
          <w:rFonts w:ascii="Arial" w:hAnsi="Arial" w:cs="Arial"/>
          <w:sz w:val="20"/>
          <w:szCs w:val="20"/>
          <w:lang w:val="en-US"/>
        </w:rPr>
        <w:t>;</w:t>
      </w:r>
    </w:p>
    <w:p w14:paraId="15BA946B" w14:textId="1F211165" w:rsidR="004F6263" w:rsidRPr="00250090" w:rsidRDefault="004F6263" w:rsidP="004F6263">
      <w:pPr>
        <w:jc w:val="both"/>
        <w:rPr>
          <w:rFonts w:ascii="Arial" w:hAnsi="Arial" w:cs="Arial"/>
          <w:sz w:val="20"/>
          <w:szCs w:val="20"/>
          <w:lang w:val="en-US"/>
        </w:rPr>
      </w:pPr>
      <w:r w:rsidRPr="00250090">
        <w:rPr>
          <w:rFonts w:ascii="Arial" w:hAnsi="Arial" w:cs="Arial"/>
          <w:sz w:val="20"/>
          <w:szCs w:val="20"/>
          <w:lang w:val="en-US"/>
        </w:rPr>
        <w:t xml:space="preserve">Ce: equilibrium concentration </w:t>
      </w:r>
      <w:r w:rsidR="00BC659E" w:rsidRPr="00250090">
        <w:rPr>
          <w:rFonts w:ascii="Arial" w:hAnsi="Arial" w:cs="Arial"/>
          <w:sz w:val="20"/>
          <w:szCs w:val="20"/>
          <w:lang w:val="en-US"/>
        </w:rPr>
        <w:t>of the solute in the solution (</w:t>
      </w:r>
      <w:r w:rsidR="004F7444">
        <w:rPr>
          <w:rFonts w:ascii="Arial" w:hAnsi="Arial" w:cs="Arial"/>
          <w:sz w:val="20"/>
          <w:szCs w:val="20"/>
          <w:lang w:val="en-US"/>
        </w:rPr>
        <w:t>mol</w:t>
      </w:r>
      <w:r w:rsidRPr="00250090">
        <w:rPr>
          <w:rFonts w:ascii="Arial" w:hAnsi="Arial" w:cs="Arial"/>
          <w:sz w:val="20"/>
          <w:szCs w:val="20"/>
          <w:lang w:val="en-US"/>
        </w:rPr>
        <w:t>/L</w:t>
      </w:r>
      <w:r w:rsidR="00BC659E" w:rsidRPr="00250090">
        <w:rPr>
          <w:rFonts w:ascii="Arial" w:hAnsi="Arial" w:cs="Arial"/>
          <w:sz w:val="20"/>
          <w:szCs w:val="20"/>
          <w:lang w:val="en-US"/>
        </w:rPr>
        <w:t>)</w:t>
      </w:r>
      <w:r w:rsidRPr="00250090">
        <w:rPr>
          <w:rFonts w:ascii="Arial" w:hAnsi="Arial" w:cs="Arial"/>
          <w:sz w:val="20"/>
          <w:szCs w:val="20"/>
          <w:lang w:val="en-US"/>
        </w:rPr>
        <w:t>;</w:t>
      </w:r>
    </w:p>
    <w:p w14:paraId="31DC8020" w14:textId="77777777" w:rsidR="004F6263" w:rsidRPr="00250090" w:rsidRDefault="00BC659E" w:rsidP="004F6263">
      <w:pPr>
        <w:jc w:val="both"/>
        <w:rPr>
          <w:rFonts w:ascii="Arial" w:hAnsi="Arial" w:cs="Arial"/>
          <w:sz w:val="20"/>
          <w:szCs w:val="20"/>
          <w:lang w:val="en-US"/>
        </w:rPr>
      </w:pPr>
      <w:r w:rsidRPr="00250090">
        <w:rPr>
          <w:rFonts w:ascii="Arial" w:hAnsi="Arial" w:cs="Arial"/>
          <w:sz w:val="20"/>
          <w:szCs w:val="20"/>
          <w:lang w:val="en-US"/>
        </w:rPr>
        <w:t>m: mass of the adsorbent (</w:t>
      </w:r>
      <w:r w:rsidR="004F6263" w:rsidRPr="00250090">
        <w:rPr>
          <w:rFonts w:ascii="Arial" w:hAnsi="Arial" w:cs="Arial"/>
          <w:sz w:val="20"/>
          <w:szCs w:val="20"/>
          <w:lang w:val="en-US"/>
        </w:rPr>
        <w:t>g</w:t>
      </w:r>
      <w:r w:rsidRPr="00250090">
        <w:rPr>
          <w:rFonts w:ascii="Arial" w:hAnsi="Arial" w:cs="Arial"/>
          <w:sz w:val="20"/>
          <w:szCs w:val="20"/>
          <w:lang w:val="en-US"/>
        </w:rPr>
        <w:t>)</w:t>
      </w:r>
      <w:r w:rsidR="004F6263" w:rsidRPr="00250090">
        <w:rPr>
          <w:rFonts w:ascii="Arial" w:hAnsi="Arial" w:cs="Arial"/>
          <w:sz w:val="20"/>
          <w:szCs w:val="20"/>
          <w:lang w:val="en-US"/>
        </w:rPr>
        <w:t>;</w:t>
      </w:r>
    </w:p>
    <w:p w14:paraId="732C0864" w14:textId="272E5315" w:rsidR="004F6263" w:rsidRPr="00250090" w:rsidRDefault="004F7444" w:rsidP="004F6263">
      <w:pPr>
        <w:jc w:val="both"/>
        <w:rPr>
          <w:rFonts w:ascii="Arial" w:hAnsi="Arial" w:cs="Arial"/>
          <w:sz w:val="20"/>
          <w:szCs w:val="20"/>
          <w:lang w:val="en-US"/>
        </w:rPr>
      </w:pPr>
      <w:r>
        <w:rPr>
          <w:rFonts w:ascii="Arial" w:hAnsi="Arial" w:cs="Arial"/>
          <w:sz w:val="20"/>
          <w:szCs w:val="20"/>
          <w:lang w:val="en-US"/>
        </w:rPr>
        <w:t>Q</w:t>
      </w:r>
      <w:r w:rsidRPr="0096370A">
        <w:rPr>
          <w:rFonts w:ascii="Arial" w:hAnsi="Arial" w:cs="Arial"/>
          <w:sz w:val="20"/>
          <w:szCs w:val="20"/>
          <w:highlight w:val="yellow"/>
          <w:lang w:val="en-US"/>
        </w:rPr>
        <w:t>e</w:t>
      </w:r>
      <w:r w:rsidR="004F6263" w:rsidRPr="00250090">
        <w:rPr>
          <w:rFonts w:ascii="Arial" w:hAnsi="Arial" w:cs="Arial"/>
          <w:sz w:val="20"/>
          <w:szCs w:val="20"/>
          <w:lang w:val="en-US"/>
        </w:rPr>
        <w:t>: amount of solute adsorbed pe</w:t>
      </w:r>
      <w:r w:rsidR="00BC659E" w:rsidRPr="00250090">
        <w:rPr>
          <w:rFonts w:ascii="Arial" w:hAnsi="Arial" w:cs="Arial"/>
          <w:sz w:val="20"/>
          <w:szCs w:val="20"/>
          <w:lang w:val="en-US"/>
        </w:rPr>
        <w:t>r unit mass of the adsorbent (</w:t>
      </w:r>
      <w:r>
        <w:rPr>
          <w:rFonts w:ascii="Arial" w:hAnsi="Arial" w:cs="Arial"/>
          <w:sz w:val="20"/>
          <w:szCs w:val="20"/>
          <w:lang w:val="en-US"/>
        </w:rPr>
        <w:t>mol</w:t>
      </w:r>
      <w:r w:rsidR="004F6263" w:rsidRPr="00250090">
        <w:rPr>
          <w:rFonts w:ascii="Arial" w:hAnsi="Arial" w:cs="Arial"/>
          <w:sz w:val="20"/>
          <w:szCs w:val="20"/>
          <w:lang w:val="en-US"/>
        </w:rPr>
        <w:t>/g</w:t>
      </w:r>
      <w:r w:rsidR="00BC659E" w:rsidRPr="00250090">
        <w:rPr>
          <w:rFonts w:ascii="Arial" w:hAnsi="Arial" w:cs="Arial"/>
          <w:sz w:val="20"/>
          <w:szCs w:val="20"/>
          <w:lang w:val="en-US"/>
        </w:rPr>
        <w:t>)</w:t>
      </w:r>
      <w:r w:rsidR="004F6263" w:rsidRPr="00250090">
        <w:rPr>
          <w:rFonts w:ascii="Arial" w:hAnsi="Arial" w:cs="Arial"/>
          <w:sz w:val="20"/>
          <w:szCs w:val="20"/>
          <w:lang w:val="en-US"/>
        </w:rPr>
        <w:t>;</w:t>
      </w:r>
    </w:p>
    <w:p w14:paraId="7B4ACA14" w14:textId="77777777" w:rsidR="004F6263" w:rsidRDefault="004F6263" w:rsidP="004F6263">
      <w:pPr>
        <w:jc w:val="both"/>
        <w:rPr>
          <w:rFonts w:ascii="Arial" w:hAnsi="Arial" w:cs="Arial"/>
          <w:sz w:val="20"/>
          <w:szCs w:val="20"/>
          <w:lang w:val="en-US"/>
        </w:rPr>
      </w:pPr>
      <w:r w:rsidRPr="00250090">
        <w:rPr>
          <w:rFonts w:ascii="Arial" w:hAnsi="Arial" w:cs="Arial"/>
          <w:sz w:val="20"/>
          <w:szCs w:val="20"/>
          <w:lang w:val="en-US"/>
        </w:rPr>
        <w:t>V: volume of the solution (L).</w:t>
      </w:r>
    </w:p>
    <w:p w14:paraId="08C02012" w14:textId="77777777" w:rsidR="004F6263" w:rsidRPr="00303830" w:rsidRDefault="00250090" w:rsidP="00303830">
      <w:pPr>
        <w:pStyle w:val="ListParagraph"/>
        <w:numPr>
          <w:ilvl w:val="0"/>
          <w:numId w:val="7"/>
        </w:numPr>
        <w:jc w:val="both"/>
        <w:rPr>
          <w:rFonts w:ascii="Arial" w:hAnsi="Arial" w:cs="Arial"/>
          <w:b/>
          <w:sz w:val="20"/>
          <w:szCs w:val="20"/>
          <w:lang w:val="en-US"/>
        </w:rPr>
      </w:pPr>
      <w:r w:rsidRPr="00303830">
        <w:rPr>
          <w:rFonts w:ascii="Arial" w:hAnsi="Arial" w:cs="Arial"/>
          <w:b/>
          <w:sz w:val="20"/>
          <w:szCs w:val="20"/>
          <w:lang w:val="en-US"/>
        </w:rPr>
        <w:t>RESULTS AND DISCUSSION</w:t>
      </w:r>
    </w:p>
    <w:p w14:paraId="4D9B0E68" w14:textId="77777777" w:rsidR="004F6263" w:rsidRPr="00466EC4" w:rsidRDefault="004F6263" w:rsidP="004F6263">
      <w:pPr>
        <w:jc w:val="both"/>
        <w:rPr>
          <w:rFonts w:ascii="Arial" w:hAnsi="Arial" w:cs="Arial"/>
          <w:b/>
          <w:sz w:val="20"/>
          <w:szCs w:val="20"/>
          <w:lang w:val="en-US"/>
        </w:rPr>
      </w:pPr>
      <w:r w:rsidRPr="00466EC4">
        <w:rPr>
          <w:rFonts w:ascii="Arial" w:hAnsi="Arial" w:cs="Arial"/>
          <w:b/>
          <w:sz w:val="20"/>
          <w:szCs w:val="20"/>
          <w:lang w:val="en-US"/>
        </w:rPr>
        <w:t>Table 1: Sieving results of the Kombé sample</w:t>
      </w:r>
    </w:p>
    <w:tbl>
      <w:tblPr>
        <w:tblStyle w:val="Grilledutableau1"/>
        <w:tblW w:w="0" w:type="auto"/>
        <w:tblLook w:val="04A0" w:firstRow="1" w:lastRow="0" w:firstColumn="1" w:lastColumn="0" w:noHBand="0" w:noVBand="1"/>
      </w:tblPr>
      <w:tblGrid>
        <w:gridCol w:w="1535"/>
        <w:gridCol w:w="1535"/>
        <w:gridCol w:w="1535"/>
        <w:gridCol w:w="1535"/>
        <w:gridCol w:w="1536"/>
        <w:gridCol w:w="1536"/>
      </w:tblGrid>
      <w:tr w:rsidR="004F6263" w:rsidRPr="00466EC4" w14:paraId="0B5E8F20" w14:textId="77777777" w:rsidTr="00D0518B">
        <w:tc>
          <w:tcPr>
            <w:tcW w:w="1535" w:type="dxa"/>
          </w:tcPr>
          <w:p w14:paraId="50848AA4" w14:textId="77777777" w:rsidR="004F6263" w:rsidRPr="00466EC4" w:rsidRDefault="00777988" w:rsidP="00D0518B">
            <w:pPr>
              <w:suppressAutoHyphens/>
              <w:autoSpaceDN w:val="0"/>
              <w:spacing w:after="160" w:line="247" w:lineRule="auto"/>
              <w:jc w:val="both"/>
              <w:textAlignment w:val="baseline"/>
              <w:rPr>
                <w:rFonts w:ascii="Arial" w:eastAsia="Calibri" w:hAnsi="Arial" w:cs="Arial"/>
                <w:b/>
                <w:kern w:val="3"/>
                <w:sz w:val="20"/>
                <w:szCs w:val="20"/>
              </w:rPr>
            </w:pPr>
            <w:r w:rsidRPr="00466EC4">
              <w:rPr>
                <w:rFonts w:ascii="Arial" w:eastAsia="Calibri" w:hAnsi="Arial" w:cs="Arial"/>
                <w:b/>
                <w:kern w:val="3"/>
                <w:sz w:val="20"/>
                <w:szCs w:val="20"/>
              </w:rPr>
              <w:t>Sieve diameter</w:t>
            </w:r>
          </w:p>
        </w:tc>
        <w:tc>
          <w:tcPr>
            <w:tcW w:w="1535" w:type="dxa"/>
          </w:tcPr>
          <w:p w14:paraId="07C78DC6" w14:textId="77777777" w:rsidR="004F6263" w:rsidRPr="00466EC4" w:rsidRDefault="004F6263" w:rsidP="00D0518B">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1mm</w:t>
            </w:r>
          </w:p>
        </w:tc>
        <w:tc>
          <w:tcPr>
            <w:tcW w:w="1535" w:type="dxa"/>
          </w:tcPr>
          <w:p w14:paraId="0D969064" w14:textId="77777777" w:rsidR="004F6263" w:rsidRPr="00466EC4" w:rsidRDefault="004F6263" w:rsidP="00D0518B">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0,4mm</w:t>
            </w:r>
          </w:p>
        </w:tc>
        <w:tc>
          <w:tcPr>
            <w:tcW w:w="1535" w:type="dxa"/>
          </w:tcPr>
          <w:p w14:paraId="642E0D4A" w14:textId="77777777" w:rsidR="004F6263" w:rsidRPr="00466EC4" w:rsidRDefault="004F6263" w:rsidP="00D0518B">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0,2mm</w:t>
            </w:r>
          </w:p>
        </w:tc>
        <w:tc>
          <w:tcPr>
            <w:tcW w:w="1536" w:type="dxa"/>
          </w:tcPr>
          <w:p w14:paraId="55C0BC3A" w14:textId="77777777" w:rsidR="004F6263" w:rsidRPr="00466EC4" w:rsidRDefault="004F6263" w:rsidP="00D0518B">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0,1mm</w:t>
            </w:r>
          </w:p>
        </w:tc>
        <w:tc>
          <w:tcPr>
            <w:tcW w:w="1536" w:type="dxa"/>
          </w:tcPr>
          <w:p w14:paraId="5E01EFEF" w14:textId="77777777" w:rsidR="004F6263" w:rsidRPr="00466EC4" w:rsidRDefault="004F6263" w:rsidP="00D0518B">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0,08mm</w:t>
            </w:r>
          </w:p>
        </w:tc>
      </w:tr>
      <w:tr w:rsidR="004F6263" w:rsidRPr="00466EC4" w14:paraId="4351EF66" w14:textId="77777777" w:rsidTr="00D0518B">
        <w:tc>
          <w:tcPr>
            <w:tcW w:w="1535" w:type="dxa"/>
          </w:tcPr>
          <w:p w14:paraId="45A5764C" w14:textId="77777777" w:rsidR="004F6263" w:rsidRPr="00466EC4" w:rsidRDefault="004F6263" w:rsidP="00D0518B">
            <w:pPr>
              <w:suppressAutoHyphens/>
              <w:autoSpaceDN w:val="0"/>
              <w:spacing w:after="160" w:line="247" w:lineRule="auto"/>
              <w:jc w:val="both"/>
              <w:textAlignment w:val="baseline"/>
              <w:rPr>
                <w:rFonts w:ascii="Arial" w:eastAsia="Calibri" w:hAnsi="Arial" w:cs="Arial"/>
                <w:b/>
                <w:kern w:val="3"/>
                <w:sz w:val="20"/>
                <w:szCs w:val="20"/>
              </w:rPr>
            </w:pPr>
            <w:r w:rsidRPr="00466EC4">
              <w:rPr>
                <w:rFonts w:ascii="Arial" w:eastAsia="Calibri" w:hAnsi="Arial" w:cs="Arial"/>
                <w:b/>
                <w:kern w:val="3"/>
                <w:sz w:val="20"/>
                <w:szCs w:val="20"/>
              </w:rPr>
              <w:t xml:space="preserve">mR (en g) </w:t>
            </w:r>
          </w:p>
        </w:tc>
        <w:tc>
          <w:tcPr>
            <w:tcW w:w="1535" w:type="dxa"/>
          </w:tcPr>
          <w:p w14:paraId="77B819DF" w14:textId="77777777" w:rsidR="004F6263" w:rsidRPr="00466EC4" w:rsidRDefault="004F6263" w:rsidP="00D0518B">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0</w:t>
            </w:r>
          </w:p>
        </w:tc>
        <w:tc>
          <w:tcPr>
            <w:tcW w:w="1535" w:type="dxa"/>
          </w:tcPr>
          <w:p w14:paraId="6CC57F2A" w14:textId="77777777" w:rsidR="004F6263" w:rsidRPr="00466EC4" w:rsidRDefault="004F6263" w:rsidP="00D0518B">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4.1</w:t>
            </w:r>
          </w:p>
        </w:tc>
        <w:tc>
          <w:tcPr>
            <w:tcW w:w="1535" w:type="dxa"/>
          </w:tcPr>
          <w:p w14:paraId="6FAC5189" w14:textId="77777777" w:rsidR="004F6263" w:rsidRPr="00466EC4" w:rsidRDefault="004F6263" w:rsidP="00D0518B">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22.8</w:t>
            </w:r>
          </w:p>
        </w:tc>
        <w:tc>
          <w:tcPr>
            <w:tcW w:w="1536" w:type="dxa"/>
          </w:tcPr>
          <w:p w14:paraId="40C0E889" w14:textId="77777777" w:rsidR="004F6263" w:rsidRPr="00466EC4" w:rsidRDefault="004F6263" w:rsidP="00D0518B">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58.2</w:t>
            </w:r>
          </w:p>
        </w:tc>
        <w:tc>
          <w:tcPr>
            <w:tcW w:w="1536" w:type="dxa"/>
          </w:tcPr>
          <w:p w14:paraId="43A59BAC" w14:textId="77777777" w:rsidR="004F6263" w:rsidRPr="00466EC4" w:rsidRDefault="004F6263" w:rsidP="00D0518B">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69.9</w:t>
            </w:r>
          </w:p>
        </w:tc>
      </w:tr>
      <w:tr w:rsidR="004F6263" w:rsidRPr="00466EC4" w14:paraId="6815F902" w14:textId="77777777" w:rsidTr="00D0518B">
        <w:tc>
          <w:tcPr>
            <w:tcW w:w="1535" w:type="dxa"/>
          </w:tcPr>
          <w:p w14:paraId="3959F4B2" w14:textId="77777777" w:rsidR="004F6263" w:rsidRPr="00466EC4" w:rsidRDefault="004F6263" w:rsidP="00D0518B">
            <w:pPr>
              <w:suppressAutoHyphens/>
              <w:autoSpaceDN w:val="0"/>
              <w:spacing w:after="160" w:line="247" w:lineRule="auto"/>
              <w:jc w:val="both"/>
              <w:textAlignment w:val="baseline"/>
              <w:rPr>
                <w:rFonts w:ascii="Arial" w:eastAsia="Calibri" w:hAnsi="Arial" w:cs="Arial"/>
                <w:b/>
                <w:kern w:val="3"/>
                <w:sz w:val="20"/>
                <w:szCs w:val="20"/>
              </w:rPr>
            </w:pPr>
            <w:r w:rsidRPr="00466EC4">
              <w:rPr>
                <w:rFonts w:ascii="Arial" w:eastAsia="Calibri" w:hAnsi="Arial" w:cs="Arial"/>
                <w:b/>
                <w:kern w:val="3"/>
                <w:sz w:val="20"/>
                <w:szCs w:val="20"/>
              </w:rPr>
              <w:t>%R</w:t>
            </w:r>
          </w:p>
        </w:tc>
        <w:tc>
          <w:tcPr>
            <w:tcW w:w="1535" w:type="dxa"/>
          </w:tcPr>
          <w:p w14:paraId="4B0D25EF" w14:textId="77777777" w:rsidR="004F6263" w:rsidRPr="00466EC4" w:rsidRDefault="004F6263" w:rsidP="00D0518B">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0</w:t>
            </w:r>
          </w:p>
        </w:tc>
        <w:tc>
          <w:tcPr>
            <w:tcW w:w="1535" w:type="dxa"/>
          </w:tcPr>
          <w:p w14:paraId="5275106C" w14:textId="77777777" w:rsidR="004F6263" w:rsidRPr="00466EC4" w:rsidRDefault="004F6263" w:rsidP="00D0518B">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1.36</w:t>
            </w:r>
          </w:p>
        </w:tc>
        <w:tc>
          <w:tcPr>
            <w:tcW w:w="1535" w:type="dxa"/>
          </w:tcPr>
          <w:p w14:paraId="7003EDD3" w14:textId="77777777" w:rsidR="004F6263" w:rsidRPr="00466EC4" w:rsidRDefault="004F6263" w:rsidP="00D0518B">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7.6</w:t>
            </w:r>
          </w:p>
        </w:tc>
        <w:tc>
          <w:tcPr>
            <w:tcW w:w="1536" w:type="dxa"/>
          </w:tcPr>
          <w:p w14:paraId="61C7BBC0" w14:textId="77777777" w:rsidR="004F6263" w:rsidRPr="00466EC4" w:rsidRDefault="004F6263" w:rsidP="00D0518B">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19.4</w:t>
            </w:r>
          </w:p>
        </w:tc>
        <w:tc>
          <w:tcPr>
            <w:tcW w:w="1536" w:type="dxa"/>
          </w:tcPr>
          <w:p w14:paraId="467A9795" w14:textId="77777777" w:rsidR="004F6263" w:rsidRPr="00466EC4" w:rsidRDefault="004F6263" w:rsidP="00D0518B">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23.3</w:t>
            </w:r>
          </w:p>
        </w:tc>
      </w:tr>
      <w:tr w:rsidR="004F6263" w:rsidRPr="00466EC4" w14:paraId="70789120" w14:textId="77777777" w:rsidTr="00D0518B">
        <w:tc>
          <w:tcPr>
            <w:tcW w:w="1535" w:type="dxa"/>
          </w:tcPr>
          <w:p w14:paraId="2DFE9F50" w14:textId="77777777" w:rsidR="004F6263" w:rsidRPr="00466EC4" w:rsidRDefault="004F6263" w:rsidP="00D0518B">
            <w:pPr>
              <w:suppressAutoHyphens/>
              <w:autoSpaceDN w:val="0"/>
              <w:spacing w:after="160" w:line="247" w:lineRule="auto"/>
              <w:jc w:val="both"/>
              <w:textAlignment w:val="baseline"/>
              <w:rPr>
                <w:rFonts w:ascii="Arial" w:eastAsia="Calibri" w:hAnsi="Arial" w:cs="Arial"/>
                <w:b/>
                <w:kern w:val="3"/>
                <w:sz w:val="20"/>
                <w:szCs w:val="20"/>
              </w:rPr>
            </w:pPr>
            <w:r w:rsidRPr="00466EC4">
              <w:rPr>
                <w:rFonts w:ascii="Arial" w:eastAsia="Calibri" w:hAnsi="Arial" w:cs="Arial"/>
                <w:b/>
                <w:kern w:val="3"/>
                <w:sz w:val="20"/>
                <w:szCs w:val="20"/>
              </w:rPr>
              <w:t>100-%R</w:t>
            </w:r>
          </w:p>
        </w:tc>
        <w:tc>
          <w:tcPr>
            <w:tcW w:w="1535" w:type="dxa"/>
          </w:tcPr>
          <w:p w14:paraId="1C3294E2" w14:textId="77777777" w:rsidR="004F6263" w:rsidRPr="00466EC4" w:rsidRDefault="004F6263" w:rsidP="00D0518B">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100</w:t>
            </w:r>
          </w:p>
        </w:tc>
        <w:tc>
          <w:tcPr>
            <w:tcW w:w="1535" w:type="dxa"/>
          </w:tcPr>
          <w:p w14:paraId="5B866D41" w14:textId="77777777" w:rsidR="004F6263" w:rsidRPr="00466EC4" w:rsidRDefault="004F6263" w:rsidP="00D0518B">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99</w:t>
            </w:r>
          </w:p>
        </w:tc>
        <w:tc>
          <w:tcPr>
            <w:tcW w:w="1535" w:type="dxa"/>
          </w:tcPr>
          <w:p w14:paraId="4F1A3792" w14:textId="77777777" w:rsidR="004F6263" w:rsidRPr="00466EC4" w:rsidRDefault="004F6263" w:rsidP="00D0518B">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92</w:t>
            </w:r>
          </w:p>
        </w:tc>
        <w:tc>
          <w:tcPr>
            <w:tcW w:w="1536" w:type="dxa"/>
          </w:tcPr>
          <w:p w14:paraId="3BD2B787" w14:textId="77777777" w:rsidR="004F6263" w:rsidRPr="00466EC4" w:rsidRDefault="004F6263" w:rsidP="00D0518B">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81</w:t>
            </w:r>
          </w:p>
        </w:tc>
        <w:tc>
          <w:tcPr>
            <w:tcW w:w="1536" w:type="dxa"/>
          </w:tcPr>
          <w:p w14:paraId="1DD78791" w14:textId="77777777" w:rsidR="004F6263" w:rsidRPr="00466EC4" w:rsidRDefault="004F6263" w:rsidP="00D0518B">
            <w:pPr>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77</w:t>
            </w:r>
          </w:p>
        </w:tc>
      </w:tr>
    </w:tbl>
    <w:p w14:paraId="5C647574" w14:textId="77777777" w:rsidR="004F6263" w:rsidRDefault="004F6263" w:rsidP="0096370A">
      <w:pPr>
        <w:spacing w:after="0"/>
        <w:jc w:val="both"/>
        <w:rPr>
          <w:rFonts w:ascii="Times New Roman" w:hAnsi="Times New Roman" w:cs="Times New Roman"/>
          <w:b/>
          <w:sz w:val="24"/>
          <w:lang w:val="en-US"/>
        </w:rPr>
      </w:pPr>
    </w:p>
    <w:p w14:paraId="14FAD4A9" w14:textId="77777777" w:rsidR="007A5C3B" w:rsidRPr="00466EC4" w:rsidRDefault="007A5C3B" w:rsidP="004F6263">
      <w:pPr>
        <w:jc w:val="both"/>
        <w:rPr>
          <w:rFonts w:ascii="Arial" w:hAnsi="Arial" w:cs="Arial"/>
          <w:b/>
          <w:sz w:val="20"/>
          <w:szCs w:val="20"/>
          <w:lang w:val="en-US"/>
        </w:rPr>
      </w:pPr>
      <w:r w:rsidRPr="00466EC4">
        <w:rPr>
          <w:rFonts w:ascii="Arial" w:hAnsi="Arial" w:cs="Arial"/>
          <w:b/>
          <w:sz w:val="20"/>
          <w:szCs w:val="20"/>
          <w:lang w:val="en-US"/>
        </w:rPr>
        <w:lastRenderedPageBreak/>
        <w:t xml:space="preserve">Table 2: Results of sedimentometry of the </w:t>
      </w:r>
      <w:r w:rsidR="00A93BBE" w:rsidRPr="00466EC4">
        <w:rPr>
          <w:rFonts w:ascii="Arial" w:hAnsi="Arial" w:cs="Arial"/>
          <w:b/>
          <w:sz w:val="20"/>
          <w:szCs w:val="20"/>
          <w:lang w:val="en-US"/>
        </w:rPr>
        <w:t xml:space="preserve">Kombé </w:t>
      </w:r>
      <w:r w:rsidRPr="00466EC4">
        <w:rPr>
          <w:rFonts w:ascii="Arial" w:hAnsi="Arial" w:cs="Arial"/>
          <w:b/>
          <w:sz w:val="20"/>
          <w:szCs w:val="20"/>
          <w:lang w:val="en-US"/>
        </w:rPr>
        <w:t>sample</w:t>
      </w:r>
      <w:r w:rsidR="00A93BBE" w:rsidRPr="00466EC4">
        <w:rPr>
          <w:rFonts w:ascii="Arial" w:hAnsi="Arial" w:cs="Arial"/>
          <w:b/>
          <w:sz w:val="20"/>
          <w:szCs w:val="20"/>
          <w:lang w:val="en-US"/>
        </w:rPr>
        <w:t xml:space="preserve"> </w:t>
      </w:r>
    </w:p>
    <w:tbl>
      <w:tblPr>
        <w:tblW w:w="9117" w:type="dxa"/>
        <w:tblInd w:w="3" w:type="dxa"/>
        <w:tblCellMar>
          <w:top w:w="58" w:type="dxa"/>
          <w:left w:w="0" w:type="dxa"/>
          <w:right w:w="0" w:type="dxa"/>
        </w:tblCellMar>
        <w:tblLook w:val="04A0" w:firstRow="1" w:lastRow="0" w:firstColumn="1" w:lastColumn="0" w:noHBand="0" w:noVBand="1"/>
      </w:tblPr>
      <w:tblGrid>
        <w:gridCol w:w="1494"/>
        <w:gridCol w:w="599"/>
        <w:gridCol w:w="598"/>
        <w:gridCol w:w="598"/>
        <w:gridCol w:w="598"/>
        <w:gridCol w:w="598"/>
        <w:gridCol w:w="598"/>
        <w:gridCol w:w="598"/>
        <w:gridCol w:w="746"/>
        <w:gridCol w:w="598"/>
        <w:gridCol w:w="598"/>
        <w:gridCol w:w="747"/>
        <w:gridCol w:w="747"/>
      </w:tblGrid>
      <w:tr w:rsidR="00A93BBE" w:rsidRPr="00466EC4" w14:paraId="7A33478D" w14:textId="77777777" w:rsidTr="00F22F05">
        <w:trPr>
          <w:trHeight w:val="611"/>
        </w:trPr>
        <w:tc>
          <w:tcPr>
            <w:tcW w:w="1494" w:type="dxa"/>
            <w:tcBorders>
              <w:top w:val="single" w:sz="2" w:space="0" w:color="000000"/>
              <w:left w:val="single" w:sz="2" w:space="0" w:color="000000"/>
              <w:bottom w:val="single" w:sz="2" w:space="0" w:color="000000"/>
              <w:right w:val="single" w:sz="2" w:space="0" w:color="000000"/>
            </w:tcBorders>
          </w:tcPr>
          <w:p w14:paraId="75BD11FC" w14:textId="77777777" w:rsidR="00A93BBE" w:rsidRPr="00466EC4" w:rsidRDefault="00DF029A" w:rsidP="001543EA">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b/>
                <w:kern w:val="3"/>
                <w:sz w:val="20"/>
                <w:szCs w:val="20"/>
              </w:rPr>
              <w:t>Grain diameter (mm)</w:t>
            </w:r>
          </w:p>
        </w:tc>
        <w:tc>
          <w:tcPr>
            <w:tcW w:w="599" w:type="dxa"/>
            <w:tcBorders>
              <w:top w:val="single" w:sz="2" w:space="0" w:color="000000"/>
              <w:left w:val="single" w:sz="2" w:space="0" w:color="000000"/>
              <w:bottom w:val="single" w:sz="2" w:space="0" w:color="000000"/>
              <w:right w:val="single" w:sz="2" w:space="0" w:color="000000"/>
            </w:tcBorders>
          </w:tcPr>
          <w:p w14:paraId="7167F265" w14:textId="77777777" w:rsidR="00A93BBE" w:rsidRPr="00466EC4" w:rsidRDefault="00A93BBE" w:rsidP="001543EA">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0,105</w:t>
            </w:r>
          </w:p>
        </w:tc>
        <w:tc>
          <w:tcPr>
            <w:tcW w:w="598" w:type="dxa"/>
            <w:tcBorders>
              <w:top w:val="single" w:sz="2" w:space="0" w:color="000000"/>
              <w:left w:val="single" w:sz="2" w:space="0" w:color="000000"/>
              <w:bottom w:val="single" w:sz="2" w:space="0" w:color="000000"/>
              <w:right w:val="single" w:sz="2" w:space="0" w:color="000000"/>
            </w:tcBorders>
          </w:tcPr>
          <w:p w14:paraId="3BCB04A7" w14:textId="77777777" w:rsidR="00A93BBE" w:rsidRPr="00466EC4" w:rsidRDefault="00A93BBE" w:rsidP="001543EA">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0,075</w:t>
            </w:r>
          </w:p>
        </w:tc>
        <w:tc>
          <w:tcPr>
            <w:tcW w:w="598" w:type="dxa"/>
            <w:tcBorders>
              <w:top w:val="single" w:sz="2" w:space="0" w:color="000000"/>
              <w:left w:val="single" w:sz="2" w:space="0" w:color="000000"/>
              <w:bottom w:val="single" w:sz="2" w:space="0" w:color="000000"/>
              <w:right w:val="single" w:sz="2" w:space="0" w:color="000000"/>
            </w:tcBorders>
          </w:tcPr>
          <w:p w14:paraId="767E4D29" w14:textId="77777777" w:rsidR="00A93BBE" w:rsidRPr="00466EC4" w:rsidRDefault="00A93BBE" w:rsidP="001543EA">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0,055</w:t>
            </w:r>
          </w:p>
        </w:tc>
        <w:tc>
          <w:tcPr>
            <w:tcW w:w="598" w:type="dxa"/>
            <w:tcBorders>
              <w:top w:val="single" w:sz="2" w:space="0" w:color="000000"/>
              <w:left w:val="single" w:sz="2" w:space="0" w:color="000000"/>
              <w:bottom w:val="single" w:sz="2" w:space="0" w:color="000000"/>
              <w:right w:val="single" w:sz="2" w:space="0" w:color="000000"/>
            </w:tcBorders>
          </w:tcPr>
          <w:p w14:paraId="66631D92" w14:textId="77777777" w:rsidR="00A93BBE" w:rsidRPr="00466EC4" w:rsidRDefault="00A93BBE" w:rsidP="001543EA">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0,038</w:t>
            </w:r>
          </w:p>
        </w:tc>
        <w:tc>
          <w:tcPr>
            <w:tcW w:w="598" w:type="dxa"/>
            <w:tcBorders>
              <w:top w:val="single" w:sz="2" w:space="0" w:color="000000"/>
              <w:left w:val="single" w:sz="2" w:space="0" w:color="000000"/>
              <w:bottom w:val="single" w:sz="2" w:space="0" w:color="000000"/>
              <w:right w:val="single" w:sz="2" w:space="0" w:color="000000"/>
            </w:tcBorders>
          </w:tcPr>
          <w:p w14:paraId="037257AA" w14:textId="77777777" w:rsidR="00A93BBE" w:rsidRPr="00466EC4" w:rsidRDefault="00A93BBE" w:rsidP="001543EA">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0,025</w:t>
            </w:r>
          </w:p>
        </w:tc>
        <w:tc>
          <w:tcPr>
            <w:tcW w:w="598" w:type="dxa"/>
            <w:tcBorders>
              <w:top w:val="single" w:sz="2" w:space="0" w:color="000000"/>
              <w:left w:val="single" w:sz="2" w:space="0" w:color="000000"/>
              <w:bottom w:val="single" w:sz="2" w:space="0" w:color="000000"/>
              <w:right w:val="single" w:sz="2" w:space="0" w:color="000000"/>
            </w:tcBorders>
          </w:tcPr>
          <w:p w14:paraId="5499BE44" w14:textId="77777777" w:rsidR="00A93BBE" w:rsidRPr="00466EC4" w:rsidRDefault="00A93BBE" w:rsidP="001543EA">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0,017</w:t>
            </w:r>
          </w:p>
        </w:tc>
        <w:tc>
          <w:tcPr>
            <w:tcW w:w="598" w:type="dxa"/>
            <w:tcBorders>
              <w:top w:val="single" w:sz="2" w:space="0" w:color="000000"/>
              <w:left w:val="single" w:sz="2" w:space="0" w:color="000000"/>
              <w:bottom w:val="single" w:sz="2" w:space="0" w:color="000000"/>
              <w:right w:val="single" w:sz="2" w:space="0" w:color="000000"/>
            </w:tcBorders>
          </w:tcPr>
          <w:p w14:paraId="292528AC" w14:textId="77777777" w:rsidR="00A93BBE" w:rsidRPr="00466EC4" w:rsidRDefault="00A93BBE" w:rsidP="001543EA">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0,012</w:t>
            </w:r>
          </w:p>
        </w:tc>
        <w:tc>
          <w:tcPr>
            <w:tcW w:w="746" w:type="dxa"/>
            <w:tcBorders>
              <w:top w:val="single" w:sz="2" w:space="0" w:color="000000"/>
              <w:left w:val="single" w:sz="2" w:space="0" w:color="000000"/>
              <w:bottom w:val="single" w:sz="2" w:space="0" w:color="000000"/>
              <w:right w:val="single" w:sz="2" w:space="0" w:color="000000"/>
            </w:tcBorders>
          </w:tcPr>
          <w:p w14:paraId="11960C87" w14:textId="77777777" w:rsidR="00A93BBE" w:rsidRPr="00466EC4" w:rsidRDefault="00A93BBE" w:rsidP="001543EA">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0,0085</w:t>
            </w:r>
          </w:p>
        </w:tc>
        <w:tc>
          <w:tcPr>
            <w:tcW w:w="598" w:type="dxa"/>
            <w:tcBorders>
              <w:top w:val="single" w:sz="2" w:space="0" w:color="000000"/>
              <w:left w:val="single" w:sz="2" w:space="0" w:color="000000"/>
              <w:bottom w:val="single" w:sz="2" w:space="0" w:color="000000"/>
              <w:right w:val="single" w:sz="2" w:space="0" w:color="000000"/>
            </w:tcBorders>
          </w:tcPr>
          <w:p w14:paraId="446B59CE" w14:textId="77777777" w:rsidR="00A93BBE" w:rsidRPr="00466EC4" w:rsidRDefault="00A93BBE" w:rsidP="001543EA">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0,006</w:t>
            </w:r>
          </w:p>
        </w:tc>
        <w:tc>
          <w:tcPr>
            <w:tcW w:w="598" w:type="dxa"/>
            <w:tcBorders>
              <w:top w:val="single" w:sz="2" w:space="0" w:color="000000"/>
              <w:left w:val="single" w:sz="2" w:space="0" w:color="000000"/>
              <w:bottom w:val="single" w:sz="2" w:space="0" w:color="000000"/>
              <w:right w:val="single" w:sz="2" w:space="0" w:color="000000"/>
            </w:tcBorders>
          </w:tcPr>
          <w:p w14:paraId="6561079B" w14:textId="77777777" w:rsidR="00A93BBE" w:rsidRPr="00466EC4" w:rsidRDefault="00A93BBE" w:rsidP="001543EA">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0,005</w:t>
            </w:r>
          </w:p>
        </w:tc>
        <w:tc>
          <w:tcPr>
            <w:tcW w:w="747" w:type="dxa"/>
            <w:tcBorders>
              <w:top w:val="single" w:sz="2" w:space="0" w:color="000000"/>
              <w:left w:val="single" w:sz="2" w:space="0" w:color="000000"/>
              <w:bottom w:val="single" w:sz="2" w:space="0" w:color="000000"/>
              <w:right w:val="single" w:sz="2" w:space="0" w:color="000000"/>
            </w:tcBorders>
          </w:tcPr>
          <w:p w14:paraId="566DA1FE" w14:textId="77777777" w:rsidR="00A93BBE" w:rsidRPr="00466EC4" w:rsidRDefault="00A93BBE" w:rsidP="001543EA">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0,0016</w:t>
            </w:r>
          </w:p>
        </w:tc>
        <w:tc>
          <w:tcPr>
            <w:tcW w:w="747" w:type="dxa"/>
            <w:tcBorders>
              <w:top w:val="single" w:sz="2" w:space="0" w:color="000000"/>
              <w:left w:val="single" w:sz="2" w:space="0" w:color="000000"/>
              <w:bottom w:val="single" w:sz="2" w:space="0" w:color="000000"/>
              <w:right w:val="single" w:sz="2" w:space="0" w:color="000000"/>
            </w:tcBorders>
          </w:tcPr>
          <w:p w14:paraId="46EC8190" w14:textId="77777777" w:rsidR="00A93BBE" w:rsidRPr="00466EC4" w:rsidRDefault="00A93BBE" w:rsidP="001543EA">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0,0014</w:t>
            </w:r>
          </w:p>
        </w:tc>
      </w:tr>
      <w:tr w:rsidR="00A93BBE" w:rsidRPr="00466EC4" w14:paraId="06F910E5" w14:textId="77777777" w:rsidTr="00F22F05">
        <w:trPr>
          <w:trHeight w:val="411"/>
        </w:trPr>
        <w:tc>
          <w:tcPr>
            <w:tcW w:w="1494" w:type="dxa"/>
            <w:tcBorders>
              <w:top w:val="single" w:sz="2" w:space="0" w:color="000000"/>
              <w:left w:val="single" w:sz="2" w:space="0" w:color="000000"/>
              <w:bottom w:val="single" w:sz="2" w:space="0" w:color="000000"/>
              <w:right w:val="single" w:sz="2" w:space="0" w:color="000000"/>
            </w:tcBorders>
          </w:tcPr>
          <w:p w14:paraId="1C4CEF0D" w14:textId="77777777" w:rsidR="00A93BBE" w:rsidRPr="00466EC4" w:rsidRDefault="00DF029A" w:rsidP="001543EA">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b/>
                <w:kern w:val="3"/>
                <w:sz w:val="20"/>
                <w:szCs w:val="20"/>
              </w:rPr>
              <w:t>% of grains (</w:t>
            </w:r>
            <w:r w:rsidR="00A93BBE" w:rsidRPr="00466EC4">
              <w:rPr>
                <w:rFonts w:ascii="Arial" w:eastAsia="Calibri" w:hAnsi="Arial" w:cs="Arial"/>
                <w:b/>
                <w:kern w:val="3"/>
                <w:sz w:val="20"/>
                <w:szCs w:val="20"/>
              </w:rPr>
              <w:t>d</w:t>
            </w:r>
            <w:r w:rsidRPr="00466EC4">
              <w:rPr>
                <w:rFonts w:ascii="Arial" w:eastAsia="Calibri" w:hAnsi="Arial" w:cs="Arial"/>
                <w:b/>
                <w:kern w:val="3"/>
                <w:sz w:val="20"/>
                <w:szCs w:val="20"/>
              </w:rPr>
              <w:t>)</w:t>
            </w:r>
            <w:r w:rsidR="00A93BBE" w:rsidRPr="00466EC4">
              <w:rPr>
                <w:rFonts w:ascii="Arial" w:eastAsia="Calibri" w:hAnsi="Arial" w:cs="Arial"/>
                <w:b/>
                <w:kern w:val="3"/>
                <w:sz w:val="20"/>
                <w:szCs w:val="20"/>
              </w:rPr>
              <w:t xml:space="preserve"> </w:t>
            </w:r>
          </w:p>
        </w:tc>
        <w:tc>
          <w:tcPr>
            <w:tcW w:w="599" w:type="dxa"/>
            <w:tcBorders>
              <w:top w:val="single" w:sz="2" w:space="0" w:color="000000"/>
              <w:left w:val="single" w:sz="2" w:space="0" w:color="000000"/>
              <w:bottom w:val="single" w:sz="2" w:space="0" w:color="000000"/>
              <w:right w:val="single" w:sz="2" w:space="0" w:color="000000"/>
            </w:tcBorders>
          </w:tcPr>
          <w:p w14:paraId="4E7B7EE4" w14:textId="77777777" w:rsidR="00A93BBE" w:rsidRPr="00466EC4" w:rsidRDefault="00A93BBE" w:rsidP="001543EA">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77</w:t>
            </w:r>
          </w:p>
        </w:tc>
        <w:tc>
          <w:tcPr>
            <w:tcW w:w="598" w:type="dxa"/>
            <w:tcBorders>
              <w:top w:val="single" w:sz="2" w:space="0" w:color="000000"/>
              <w:left w:val="single" w:sz="2" w:space="0" w:color="000000"/>
              <w:bottom w:val="single" w:sz="2" w:space="0" w:color="000000"/>
              <w:right w:val="single" w:sz="2" w:space="0" w:color="000000"/>
            </w:tcBorders>
          </w:tcPr>
          <w:p w14:paraId="72BFE15E" w14:textId="77777777" w:rsidR="00A93BBE" w:rsidRPr="00466EC4" w:rsidRDefault="00A93BBE" w:rsidP="001543EA">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75</w:t>
            </w:r>
          </w:p>
        </w:tc>
        <w:tc>
          <w:tcPr>
            <w:tcW w:w="598" w:type="dxa"/>
            <w:tcBorders>
              <w:top w:val="single" w:sz="2" w:space="0" w:color="000000"/>
              <w:left w:val="single" w:sz="2" w:space="0" w:color="000000"/>
              <w:bottom w:val="single" w:sz="2" w:space="0" w:color="000000"/>
              <w:right w:val="single" w:sz="2" w:space="0" w:color="000000"/>
            </w:tcBorders>
          </w:tcPr>
          <w:p w14:paraId="4635CC9B" w14:textId="77777777" w:rsidR="00A93BBE" w:rsidRPr="00466EC4" w:rsidRDefault="00A93BBE" w:rsidP="001543EA">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71</w:t>
            </w:r>
          </w:p>
        </w:tc>
        <w:tc>
          <w:tcPr>
            <w:tcW w:w="598" w:type="dxa"/>
            <w:tcBorders>
              <w:top w:val="single" w:sz="2" w:space="0" w:color="000000"/>
              <w:left w:val="single" w:sz="2" w:space="0" w:color="000000"/>
              <w:bottom w:val="single" w:sz="2" w:space="0" w:color="000000"/>
              <w:right w:val="single" w:sz="2" w:space="0" w:color="000000"/>
            </w:tcBorders>
          </w:tcPr>
          <w:p w14:paraId="18F74116" w14:textId="77777777" w:rsidR="00A93BBE" w:rsidRPr="00466EC4" w:rsidRDefault="00A93BBE" w:rsidP="001543EA">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68</w:t>
            </w:r>
          </w:p>
        </w:tc>
        <w:tc>
          <w:tcPr>
            <w:tcW w:w="598" w:type="dxa"/>
            <w:tcBorders>
              <w:top w:val="single" w:sz="2" w:space="0" w:color="000000"/>
              <w:left w:val="single" w:sz="2" w:space="0" w:color="000000"/>
              <w:bottom w:val="single" w:sz="2" w:space="0" w:color="000000"/>
              <w:right w:val="single" w:sz="2" w:space="0" w:color="000000"/>
            </w:tcBorders>
          </w:tcPr>
          <w:p w14:paraId="6088963F" w14:textId="77777777" w:rsidR="00A93BBE" w:rsidRPr="00466EC4" w:rsidRDefault="00A93BBE" w:rsidP="001543EA">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64</w:t>
            </w:r>
          </w:p>
        </w:tc>
        <w:tc>
          <w:tcPr>
            <w:tcW w:w="598" w:type="dxa"/>
            <w:tcBorders>
              <w:top w:val="single" w:sz="2" w:space="0" w:color="000000"/>
              <w:left w:val="single" w:sz="2" w:space="0" w:color="000000"/>
              <w:bottom w:val="single" w:sz="2" w:space="0" w:color="000000"/>
              <w:right w:val="single" w:sz="2" w:space="0" w:color="000000"/>
            </w:tcBorders>
          </w:tcPr>
          <w:p w14:paraId="72F8E3FF" w14:textId="77777777" w:rsidR="00A93BBE" w:rsidRPr="00466EC4" w:rsidRDefault="00A93BBE" w:rsidP="001543EA">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64</w:t>
            </w:r>
          </w:p>
        </w:tc>
        <w:tc>
          <w:tcPr>
            <w:tcW w:w="598" w:type="dxa"/>
            <w:tcBorders>
              <w:top w:val="single" w:sz="2" w:space="0" w:color="000000"/>
              <w:left w:val="single" w:sz="2" w:space="0" w:color="000000"/>
              <w:bottom w:val="single" w:sz="2" w:space="0" w:color="000000"/>
              <w:right w:val="single" w:sz="2" w:space="0" w:color="000000"/>
            </w:tcBorders>
          </w:tcPr>
          <w:p w14:paraId="514FAA2B" w14:textId="77777777" w:rsidR="00A93BBE" w:rsidRPr="00466EC4" w:rsidRDefault="00A93BBE" w:rsidP="001543EA">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60</w:t>
            </w:r>
          </w:p>
        </w:tc>
        <w:tc>
          <w:tcPr>
            <w:tcW w:w="746" w:type="dxa"/>
            <w:tcBorders>
              <w:top w:val="single" w:sz="2" w:space="0" w:color="000000"/>
              <w:left w:val="single" w:sz="2" w:space="0" w:color="000000"/>
              <w:bottom w:val="single" w:sz="2" w:space="0" w:color="000000"/>
              <w:right w:val="single" w:sz="2" w:space="0" w:color="000000"/>
            </w:tcBorders>
          </w:tcPr>
          <w:p w14:paraId="78400943" w14:textId="77777777" w:rsidR="00A93BBE" w:rsidRPr="00466EC4" w:rsidRDefault="00A93BBE" w:rsidP="001543EA">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60</w:t>
            </w:r>
          </w:p>
        </w:tc>
        <w:tc>
          <w:tcPr>
            <w:tcW w:w="598" w:type="dxa"/>
            <w:tcBorders>
              <w:top w:val="single" w:sz="2" w:space="0" w:color="000000"/>
              <w:left w:val="single" w:sz="2" w:space="0" w:color="000000"/>
              <w:bottom w:val="single" w:sz="2" w:space="0" w:color="000000"/>
              <w:right w:val="single" w:sz="2" w:space="0" w:color="000000"/>
            </w:tcBorders>
          </w:tcPr>
          <w:p w14:paraId="4BB040C8" w14:textId="77777777" w:rsidR="00A93BBE" w:rsidRPr="00466EC4" w:rsidRDefault="00A93BBE" w:rsidP="001543EA">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57</w:t>
            </w:r>
          </w:p>
        </w:tc>
        <w:tc>
          <w:tcPr>
            <w:tcW w:w="598" w:type="dxa"/>
            <w:tcBorders>
              <w:top w:val="single" w:sz="2" w:space="0" w:color="000000"/>
              <w:left w:val="single" w:sz="2" w:space="0" w:color="000000"/>
              <w:bottom w:val="single" w:sz="2" w:space="0" w:color="000000"/>
              <w:right w:val="single" w:sz="2" w:space="0" w:color="000000"/>
            </w:tcBorders>
          </w:tcPr>
          <w:p w14:paraId="43B212CC" w14:textId="77777777" w:rsidR="00A93BBE" w:rsidRPr="00466EC4" w:rsidRDefault="00A93BBE" w:rsidP="001543EA">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57</w:t>
            </w:r>
          </w:p>
        </w:tc>
        <w:tc>
          <w:tcPr>
            <w:tcW w:w="747" w:type="dxa"/>
            <w:tcBorders>
              <w:top w:val="single" w:sz="2" w:space="0" w:color="000000"/>
              <w:left w:val="single" w:sz="2" w:space="0" w:color="000000"/>
              <w:bottom w:val="single" w:sz="2" w:space="0" w:color="000000"/>
              <w:right w:val="single" w:sz="2" w:space="0" w:color="000000"/>
            </w:tcBorders>
          </w:tcPr>
          <w:p w14:paraId="2187E34B" w14:textId="77777777" w:rsidR="00A93BBE" w:rsidRPr="00466EC4" w:rsidRDefault="00A93BBE" w:rsidP="001543EA">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52</w:t>
            </w:r>
          </w:p>
        </w:tc>
        <w:tc>
          <w:tcPr>
            <w:tcW w:w="747" w:type="dxa"/>
            <w:tcBorders>
              <w:top w:val="single" w:sz="2" w:space="0" w:color="000000"/>
              <w:left w:val="single" w:sz="2" w:space="0" w:color="000000"/>
              <w:bottom w:val="single" w:sz="2" w:space="0" w:color="000000"/>
              <w:right w:val="single" w:sz="2" w:space="0" w:color="000000"/>
            </w:tcBorders>
          </w:tcPr>
          <w:p w14:paraId="75277D26" w14:textId="77777777" w:rsidR="00A93BBE" w:rsidRPr="00466EC4" w:rsidRDefault="00A93BBE" w:rsidP="001543EA">
            <w:pPr>
              <w:shd w:val="clear" w:color="auto" w:fill="FFFFFF"/>
              <w:suppressAutoHyphens/>
              <w:autoSpaceDN w:val="0"/>
              <w:spacing w:after="160" w:line="247" w:lineRule="auto"/>
              <w:jc w:val="both"/>
              <w:textAlignment w:val="baseline"/>
              <w:rPr>
                <w:rFonts w:ascii="Arial" w:eastAsia="Calibri" w:hAnsi="Arial" w:cs="Arial"/>
                <w:kern w:val="3"/>
                <w:sz w:val="20"/>
                <w:szCs w:val="20"/>
              </w:rPr>
            </w:pPr>
            <w:r w:rsidRPr="00466EC4">
              <w:rPr>
                <w:rFonts w:ascii="Arial" w:eastAsia="Calibri" w:hAnsi="Arial" w:cs="Arial"/>
                <w:kern w:val="3"/>
                <w:sz w:val="20"/>
                <w:szCs w:val="20"/>
              </w:rPr>
              <w:t>52</w:t>
            </w:r>
          </w:p>
        </w:tc>
      </w:tr>
    </w:tbl>
    <w:p w14:paraId="338C0744" w14:textId="77777777" w:rsidR="00A93BBE" w:rsidRPr="00466EC4" w:rsidRDefault="00A93BBE" w:rsidP="00710DD9">
      <w:pPr>
        <w:spacing w:before="240" w:after="0"/>
        <w:jc w:val="both"/>
        <w:rPr>
          <w:rFonts w:ascii="Arial" w:hAnsi="Arial" w:cs="Arial"/>
          <w:sz w:val="20"/>
          <w:szCs w:val="20"/>
          <w:lang w:val="en-US"/>
        </w:rPr>
      </w:pPr>
      <w:r w:rsidRPr="00466EC4">
        <w:rPr>
          <w:rFonts w:ascii="Arial" w:hAnsi="Arial" w:cs="Arial"/>
          <w:sz w:val="20"/>
          <w:szCs w:val="20"/>
          <w:lang w:val="en-US"/>
        </w:rPr>
        <w:t>mR: cumulative mass of rejects;</w:t>
      </w:r>
    </w:p>
    <w:p w14:paraId="1DFF9685" w14:textId="77777777" w:rsidR="00A93BBE" w:rsidRPr="00466EC4" w:rsidRDefault="00A93BBE" w:rsidP="006A2921">
      <w:pPr>
        <w:spacing w:after="0"/>
        <w:jc w:val="both"/>
        <w:rPr>
          <w:rFonts w:ascii="Arial" w:hAnsi="Arial" w:cs="Arial"/>
          <w:sz w:val="20"/>
          <w:szCs w:val="20"/>
          <w:lang w:val="en-US"/>
        </w:rPr>
      </w:pPr>
      <w:r w:rsidRPr="00466EC4">
        <w:rPr>
          <w:rFonts w:ascii="Arial" w:hAnsi="Arial" w:cs="Arial"/>
          <w:sz w:val="20"/>
          <w:szCs w:val="20"/>
          <w:lang w:val="en-US"/>
        </w:rPr>
        <w:t>%R: percentage of cumulative rejects;</w:t>
      </w:r>
    </w:p>
    <w:p w14:paraId="713E257C" w14:textId="77777777" w:rsidR="00A93BBE" w:rsidRPr="00466EC4" w:rsidRDefault="00A93BBE" w:rsidP="006A2921">
      <w:pPr>
        <w:spacing w:after="0"/>
        <w:jc w:val="both"/>
        <w:rPr>
          <w:rFonts w:ascii="Arial" w:hAnsi="Arial" w:cs="Arial"/>
          <w:sz w:val="20"/>
          <w:szCs w:val="20"/>
          <w:lang w:val="en-US"/>
        </w:rPr>
      </w:pPr>
      <w:r w:rsidRPr="00466EC4">
        <w:rPr>
          <w:rFonts w:ascii="Arial" w:hAnsi="Arial" w:cs="Arial"/>
          <w:sz w:val="20"/>
          <w:szCs w:val="20"/>
          <w:lang w:val="en-US"/>
        </w:rPr>
        <w:t>100-%R: percentage of passing particles;</w:t>
      </w:r>
    </w:p>
    <w:p w14:paraId="7830F696" w14:textId="77777777" w:rsidR="00A93BBE" w:rsidRPr="00466EC4" w:rsidRDefault="00A93BBE" w:rsidP="006A2921">
      <w:pPr>
        <w:jc w:val="both"/>
        <w:rPr>
          <w:rFonts w:ascii="Arial" w:hAnsi="Arial" w:cs="Arial"/>
          <w:sz w:val="20"/>
          <w:szCs w:val="20"/>
          <w:lang w:val="en-US"/>
        </w:rPr>
      </w:pPr>
      <w:r w:rsidRPr="00466EC4">
        <w:rPr>
          <w:rFonts w:ascii="Arial" w:hAnsi="Arial" w:cs="Arial"/>
          <w:sz w:val="20"/>
          <w:szCs w:val="20"/>
          <w:lang w:val="en-US"/>
        </w:rPr>
        <w:t>% of grains d: percentage of grains with a diameter d.</w:t>
      </w:r>
    </w:p>
    <w:p w14:paraId="0970D21B" w14:textId="40A7F7FC" w:rsidR="006970AC" w:rsidRDefault="00A93BBE" w:rsidP="00A93BBE">
      <w:pPr>
        <w:jc w:val="both"/>
        <w:rPr>
          <w:rFonts w:ascii="Arial" w:hAnsi="Arial" w:cs="Arial"/>
          <w:sz w:val="20"/>
          <w:szCs w:val="20"/>
          <w:lang w:val="en-US"/>
        </w:rPr>
      </w:pPr>
      <w:r w:rsidRPr="00466EC4">
        <w:rPr>
          <w:rFonts w:ascii="Arial" w:hAnsi="Arial" w:cs="Arial"/>
          <w:sz w:val="20"/>
          <w:szCs w:val="20"/>
          <w:lang w:val="en-US"/>
        </w:rPr>
        <w:t xml:space="preserve">Using </w:t>
      </w:r>
      <w:r w:rsidR="006C21C3" w:rsidRPr="006C21C3">
        <w:rPr>
          <w:rFonts w:ascii="Arial" w:hAnsi="Arial" w:cs="Arial"/>
          <w:b/>
          <w:sz w:val="20"/>
          <w:szCs w:val="20"/>
          <w:lang w:val="en-US"/>
        </w:rPr>
        <w:t xml:space="preserve">table </w:t>
      </w:r>
      <w:r w:rsidR="006C21C3" w:rsidRPr="006C21C3">
        <w:rPr>
          <w:rFonts w:ascii="Arial" w:hAnsi="Arial" w:cs="Arial"/>
          <w:b/>
          <w:sz w:val="20"/>
          <w:szCs w:val="20"/>
          <w:highlight w:val="yellow"/>
          <w:lang w:val="en-US"/>
        </w:rPr>
        <w:t>1</w:t>
      </w:r>
      <w:r w:rsidR="006C21C3" w:rsidRPr="006C21C3">
        <w:rPr>
          <w:rFonts w:ascii="Arial" w:hAnsi="Arial" w:cs="Arial"/>
          <w:sz w:val="20"/>
          <w:szCs w:val="20"/>
          <w:highlight w:val="yellow"/>
          <w:lang w:val="en-US"/>
        </w:rPr>
        <w:t xml:space="preserve"> and </w:t>
      </w:r>
      <w:r w:rsidR="006C21C3" w:rsidRPr="006C21C3">
        <w:rPr>
          <w:rFonts w:ascii="Arial" w:hAnsi="Arial" w:cs="Arial"/>
          <w:b/>
          <w:sz w:val="20"/>
          <w:szCs w:val="20"/>
          <w:highlight w:val="yellow"/>
          <w:lang w:val="en-US"/>
        </w:rPr>
        <w:t>2</w:t>
      </w:r>
      <w:r w:rsidRPr="00466EC4">
        <w:rPr>
          <w:rFonts w:ascii="Arial" w:hAnsi="Arial" w:cs="Arial"/>
          <w:sz w:val="20"/>
          <w:szCs w:val="20"/>
          <w:lang w:val="en-US"/>
        </w:rPr>
        <w:t xml:space="preserve"> allowed us to plot the particle size curv</w:t>
      </w:r>
      <w:r w:rsidR="00777988" w:rsidRPr="00466EC4">
        <w:rPr>
          <w:rFonts w:ascii="Arial" w:hAnsi="Arial" w:cs="Arial"/>
          <w:sz w:val="20"/>
          <w:szCs w:val="20"/>
          <w:lang w:val="en-US"/>
        </w:rPr>
        <w:t>e for the Kombé sample (</w:t>
      </w:r>
      <w:r w:rsidR="00777988" w:rsidRPr="00FE2D62">
        <w:rPr>
          <w:rFonts w:ascii="Arial" w:hAnsi="Arial" w:cs="Arial"/>
          <w:b/>
          <w:sz w:val="20"/>
          <w:szCs w:val="20"/>
          <w:highlight w:val="yellow"/>
          <w:lang w:val="en-US"/>
        </w:rPr>
        <w:t>Figure 2</w:t>
      </w:r>
      <w:r w:rsidRPr="00466EC4">
        <w:rPr>
          <w:rFonts w:ascii="Arial" w:hAnsi="Arial" w:cs="Arial"/>
          <w:sz w:val="20"/>
          <w:szCs w:val="20"/>
          <w:lang w:val="en-US"/>
        </w:rPr>
        <w:t>), with the particle size (in millimeters) on the x-axis and the weight percentage on the y-axis.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985"/>
        <w:gridCol w:w="2126"/>
        <w:gridCol w:w="3118"/>
      </w:tblGrid>
      <w:tr w:rsidR="00A93BBE" w:rsidRPr="007D0A68" w14:paraId="5F0A423F" w14:textId="77777777" w:rsidTr="001543EA">
        <w:trPr>
          <w:trHeight w:val="360"/>
        </w:trPr>
        <w:tc>
          <w:tcPr>
            <w:tcW w:w="1843" w:type="dxa"/>
            <w:tcBorders>
              <w:right w:val="single" w:sz="4" w:space="0" w:color="auto"/>
            </w:tcBorders>
          </w:tcPr>
          <w:p w14:paraId="63DBEB15" w14:textId="77777777" w:rsidR="00A93BBE" w:rsidRPr="007D0A68" w:rsidRDefault="00A93BBE" w:rsidP="001543EA">
            <w:pPr>
              <w:shd w:val="clear" w:color="auto" w:fill="FFFFFF"/>
              <w:suppressAutoHyphens/>
              <w:autoSpaceDN w:val="0"/>
              <w:spacing w:after="160" w:line="247" w:lineRule="auto"/>
              <w:jc w:val="both"/>
              <w:textAlignment w:val="baseline"/>
              <w:rPr>
                <w:rFonts w:ascii="Times New Roman" w:eastAsia="Calibri" w:hAnsi="Times New Roman" w:cs="Times New Roman"/>
                <w:b/>
                <w:kern w:val="3"/>
                <w:sz w:val="24"/>
                <w:szCs w:val="24"/>
              </w:rPr>
            </w:pPr>
            <w:r>
              <w:rPr>
                <w:rFonts w:ascii="Times New Roman" w:eastAsia="Calibri" w:hAnsi="Times New Roman" w:cs="Times New Roman"/>
                <w:b/>
                <w:kern w:val="3"/>
                <w:sz w:val="24"/>
                <w:szCs w:val="24"/>
              </w:rPr>
              <w:t>C</w:t>
            </w:r>
            <w:r w:rsidRPr="00A93BBE">
              <w:rPr>
                <w:rFonts w:ascii="Times New Roman" w:eastAsia="Calibri" w:hAnsi="Times New Roman" w:cs="Times New Roman"/>
                <w:b/>
                <w:kern w:val="3"/>
                <w:sz w:val="24"/>
                <w:szCs w:val="24"/>
              </w:rPr>
              <w:t>oarse sand</w:t>
            </w:r>
          </w:p>
        </w:tc>
        <w:tc>
          <w:tcPr>
            <w:tcW w:w="1985" w:type="dxa"/>
            <w:tcBorders>
              <w:left w:val="single" w:sz="4" w:space="0" w:color="auto"/>
              <w:right w:val="single" w:sz="4" w:space="0" w:color="auto"/>
            </w:tcBorders>
          </w:tcPr>
          <w:p w14:paraId="06D66F8E" w14:textId="77777777" w:rsidR="00A93BBE" w:rsidRPr="007D0A68" w:rsidRDefault="00A93BBE" w:rsidP="001543EA">
            <w:pPr>
              <w:shd w:val="clear" w:color="auto" w:fill="FFFFFF"/>
              <w:suppressAutoHyphens/>
              <w:autoSpaceDN w:val="0"/>
              <w:spacing w:after="160" w:line="247" w:lineRule="auto"/>
              <w:jc w:val="both"/>
              <w:textAlignment w:val="baseline"/>
              <w:rPr>
                <w:rFonts w:ascii="Times New Roman" w:eastAsia="Calibri" w:hAnsi="Times New Roman" w:cs="Times New Roman"/>
                <w:b/>
                <w:kern w:val="3"/>
                <w:sz w:val="24"/>
                <w:szCs w:val="24"/>
              </w:rPr>
            </w:pPr>
            <w:r w:rsidRPr="00A93BBE">
              <w:rPr>
                <w:rFonts w:ascii="Times New Roman" w:eastAsia="Calibri" w:hAnsi="Times New Roman" w:cs="Times New Roman"/>
                <w:b/>
                <w:kern w:val="3"/>
                <w:sz w:val="24"/>
                <w:szCs w:val="24"/>
              </w:rPr>
              <w:t>Fine sand</w:t>
            </w:r>
          </w:p>
        </w:tc>
        <w:tc>
          <w:tcPr>
            <w:tcW w:w="2126" w:type="dxa"/>
            <w:tcBorders>
              <w:left w:val="single" w:sz="4" w:space="0" w:color="auto"/>
              <w:right w:val="single" w:sz="4" w:space="0" w:color="auto"/>
            </w:tcBorders>
          </w:tcPr>
          <w:p w14:paraId="6B8255C7" w14:textId="77777777" w:rsidR="00A93BBE" w:rsidRPr="007D0A68" w:rsidRDefault="00A93BBE" w:rsidP="001543EA">
            <w:pPr>
              <w:shd w:val="clear" w:color="auto" w:fill="FFFFFF"/>
              <w:suppressAutoHyphens/>
              <w:autoSpaceDN w:val="0"/>
              <w:spacing w:after="160" w:line="247" w:lineRule="auto"/>
              <w:jc w:val="both"/>
              <w:textAlignment w:val="baseline"/>
              <w:rPr>
                <w:rFonts w:ascii="Times New Roman" w:eastAsia="Calibri" w:hAnsi="Times New Roman" w:cs="Times New Roman"/>
                <w:b/>
                <w:kern w:val="3"/>
                <w:sz w:val="24"/>
                <w:szCs w:val="24"/>
              </w:rPr>
            </w:pPr>
            <w:r>
              <w:rPr>
                <w:rFonts w:ascii="Times New Roman" w:eastAsia="Calibri" w:hAnsi="Times New Roman" w:cs="Times New Roman"/>
                <w:b/>
                <w:kern w:val="3"/>
                <w:sz w:val="24"/>
                <w:szCs w:val="24"/>
              </w:rPr>
              <w:t>Silt</w:t>
            </w:r>
          </w:p>
        </w:tc>
        <w:tc>
          <w:tcPr>
            <w:tcW w:w="3118" w:type="dxa"/>
            <w:tcBorders>
              <w:left w:val="single" w:sz="4" w:space="0" w:color="auto"/>
            </w:tcBorders>
          </w:tcPr>
          <w:p w14:paraId="0221A02B" w14:textId="77777777" w:rsidR="00A93BBE" w:rsidRPr="007D0A68" w:rsidRDefault="00A93BBE" w:rsidP="001543EA">
            <w:pPr>
              <w:shd w:val="clear" w:color="auto" w:fill="FFFFFF"/>
              <w:suppressAutoHyphens/>
              <w:autoSpaceDN w:val="0"/>
              <w:spacing w:after="160" w:line="247" w:lineRule="auto"/>
              <w:jc w:val="both"/>
              <w:textAlignment w:val="baseline"/>
              <w:rPr>
                <w:rFonts w:ascii="Times New Roman" w:eastAsia="Calibri" w:hAnsi="Times New Roman" w:cs="Times New Roman"/>
                <w:b/>
                <w:kern w:val="3"/>
                <w:sz w:val="24"/>
                <w:szCs w:val="24"/>
              </w:rPr>
            </w:pPr>
            <w:r>
              <w:rPr>
                <w:rFonts w:ascii="Times New Roman" w:eastAsia="Calibri" w:hAnsi="Times New Roman" w:cs="Times New Roman"/>
                <w:b/>
                <w:kern w:val="3"/>
                <w:sz w:val="24"/>
                <w:szCs w:val="24"/>
              </w:rPr>
              <w:t>Clay</w:t>
            </w:r>
          </w:p>
        </w:tc>
      </w:tr>
    </w:tbl>
    <w:p w14:paraId="279C66AC" w14:textId="77777777" w:rsidR="00D4080E" w:rsidRPr="007D0A68" w:rsidRDefault="00D4080E" w:rsidP="00D4080E">
      <w:pPr>
        <w:shd w:val="clear" w:color="auto" w:fill="FFFFFF"/>
        <w:suppressAutoHyphens/>
        <w:autoSpaceDN w:val="0"/>
        <w:spacing w:after="160" w:line="247" w:lineRule="auto"/>
        <w:jc w:val="both"/>
        <w:textAlignment w:val="baseline"/>
        <w:rPr>
          <w:rFonts w:ascii="Times New Roman" w:eastAsia="Calibri" w:hAnsi="Times New Roman" w:cs="Times New Roman"/>
          <w:kern w:val="3"/>
          <w:sz w:val="24"/>
          <w:szCs w:val="24"/>
        </w:rPr>
      </w:pPr>
      <w:r w:rsidRPr="007D0A68">
        <w:rPr>
          <w:rFonts w:ascii="Times New Roman" w:eastAsia="Calibri" w:hAnsi="Times New Roman" w:cs="Times New Roman"/>
          <w:noProof/>
          <w:kern w:val="2"/>
          <w:sz w:val="24"/>
          <w:szCs w:val="24"/>
          <w:lang w:eastAsia="fr-FR"/>
          <w14:ligatures w14:val="standardContextual"/>
        </w:rPr>
        <w:drawing>
          <wp:inline distT="0" distB="0" distL="0" distR="0" wp14:anchorId="44B69012" wp14:editId="2AC1DAE2">
            <wp:extent cx="5760720" cy="2488089"/>
            <wp:effectExtent l="0" t="0" r="11430" b="26670"/>
            <wp:docPr id="1" name="Graphiqu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61BA1A9" w14:textId="77777777" w:rsidR="00D4080E" w:rsidRPr="00466EC4" w:rsidRDefault="00777988" w:rsidP="00A93BBE">
      <w:pPr>
        <w:jc w:val="both"/>
        <w:rPr>
          <w:rFonts w:ascii="Arial" w:hAnsi="Arial" w:cs="Arial"/>
          <w:sz w:val="20"/>
          <w:szCs w:val="20"/>
          <w:lang w:val="en-US"/>
        </w:rPr>
      </w:pPr>
      <w:r w:rsidRPr="00466EC4">
        <w:rPr>
          <w:rFonts w:ascii="Arial" w:eastAsia="Calibri" w:hAnsi="Arial" w:cs="Arial"/>
          <w:b/>
          <w:kern w:val="3"/>
          <w:sz w:val="20"/>
          <w:szCs w:val="20"/>
          <w:lang w:val="en-US"/>
        </w:rPr>
        <w:t>Figure 2</w:t>
      </w:r>
      <w:r w:rsidR="00D4080E" w:rsidRPr="00466EC4">
        <w:rPr>
          <w:rFonts w:ascii="Arial" w:eastAsia="Calibri" w:hAnsi="Arial" w:cs="Arial"/>
          <w:b/>
          <w:kern w:val="3"/>
          <w:sz w:val="20"/>
          <w:szCs w:val="20"/>
          <w:lang w:val="en-US"/>
        </w:rPr>
        <w:t xml:space="preserve">: </w:t>
      </w:r>
      <w:r w:rsidR="00D4080E" w:rsidRPr="00FE2D62">
        <w:rPr>
          <w:rFonts w:ascii="Arial" w:eastAsia="Calibri" w:hAnsi="Arial" w:cs="Arial"/>
          <w:kern w:val="3"/>
          <w:sz w:val="20"/>
          <w:szCs w:val="20"/>
          <w:highlight w:val="yellow"/>
          <w:lang w:val="en-US"/>
        </w:rPr>
        <w:t>Granulometric analysis curve of the Kombé sample</w:t>
      </w:r>
    </w:p>
    <w:p w14:paraId="6A530144" w14:textId="3060918D" w:rsidR="007C3FE9" w:rsidRDefault="00D4080E" w:rsidP="00466EC4">
      <w:pPr>
        <w:jc w:val="both"/>
        <w:rPr>
          <w:rFonts w:ascii="Arial" w:hAnsi="Arial" w:cs="Arial"/>
          <w:sz w:val="20"/>
          <w:szCs w:val="20"/>
          <w:lang w:val="en-US"/>
        </w:rPr>
      </w:pPr>
      <w:r w:rsidRPr="00466EC4">
        <w:rPr>
          <w:rFonts w:ascii="Arial" w:hAnsi="Arial" w:cs="Arial"/>
          <w:sz w:val="20"/>
          <w:szCs w:val="20"/>
          <w:lang w:val="en-US"/>
        </w:rPr>
        <w:t xml:space="preserve">Analysis of this granulometric curve reveals the following granulometric composition: 52% clay, 18% silt and 30% sand. This result made it possible to position this Kombé sample in </w:t>
      </w:r>
      <w:r w:rsidR="00777988" w:rsidRPr="00466EC4">
        <w:rPr>
          <w:rFonts w:ascii="Arial" w:hAnsi="Arial" w:cs="Arial"/>
          <w:sz w:val="20"/>
          <w:szCs w:val="20"/>
          <w:lang w:val="en-US"/>
        </w:rPr>
        <w:t xml:space="preserve">the texture triangle of </w:t>
      </w:r>
      <w:r w:rsidR="00777988" w:rsidRPr="006C21C3">
        <w:rPr>
          <w:rFonts w:ascii="Arial" w:hAnsi="Arial" w:cs="Arial"/>
          <w:b/>
          <w:sz w:val="20"/>
          <w:szCs w:val="20"/>
          <w:lang w:val="en-US"/>
        </w:rPr>
        <w:t>Figure</w:t>
      </w:r>
      <w:r w:rsidR="00777988" w:rsidRPr="00466EC4">
        <w:rPr>
          <w:rFonts w:ascii="Arial" w:hAnsi="Arial" w:cs="Arial"/>
          <w:sz w:val="20"/>
          <w:szCs w:val="20"/>
          <w:lang w:val="en-US"/>
        </w:rPr>
        <w:t xml:space="preserve"> </w:t>
      </w:r>
      <w:r w:rsidR="00777988" w:rsidRPr="006A2921">
        <w:rPr>
          <w:rFonts w:ascii="Arial" w:hAnsi="Arial" w:cs="Arial"/>
          <w:b/>
          <w:sz w:val="20"/>
          <w:szCs w:val="20"/>
          <w:lang w:val="en-US"/>
        </w:rPr>
        <w:t>3</w:t>
      </w:r>
      <w:r w:rsidRPr="00466EC4">
        <w:rPr>
          <w:rFonts w:ascii="Arial" w:hAnsi="Arial" w:cs="Arial"/>
          <w:sz w:val="20"/>
          <w:szCs w:val="20"/>
          <w:lang w:val="en-US"/>
        </w:rPr>
        <w:t xml:space="preserve"> below.</w:t>
      </w:r>
    </w:p>
    <w:p w14:paraId="3EE81CE2" w14:textId="25EDD412" w:rsidR="006D3269" w:rsidRDefault="007C3FE9" w:rsidP="0015398B">
      <w:pPr>
        <w:jc w:val="both"/>
        <w:rPr>
          <w:rFonts w:ascii="Arial" w:hAnsi="Arial" w:cs="Arial"/>
          <w:sz w:val="20"/>
          <w:szCs w:val="20"/>
          <w:lang w:val="en-US"/>
        </w:rPr>
      </w:pPr>
      <w:r>
        <w:rPr>
          <w:noProof/>
          <w:lang w:eastAsia="fr-FR"/>
        </w:rPr>
        <w:lastRenderedPageBreak/>
        <mc:AlternateContent>
          <mc:Choice Requires="wps">
            <w:drawing>
              <wp:anchor distT="0" distB="0" distL="114300" distR="114300" simplePos="0" relativeHeight="251660288" behindDoc="0" locked="0" layoutInCell="1" allowOverlap="1" wp14:anchorId="2FED8A3C" wp14:editId="6D5F956C">
                <wp:simplePos x="0" y="0"/>
                <wp:positionH relativeFrom="column">
                  <wp:posOffset>2747645</wp:posOffset>
                </wp:positionH>
                <wp:positionV relativeFrom="paragraph">
                  <wp:posOffset>668655</wp:posOffset>
                </wp:positionV>
                <wp:extent cx="657225" cy="276225"/>
                <wp:effectExtent l="0" t="0" r="9525" b="9525"/>
                <wp:wrapNone/>
                <wp:docPr id="15" name="Zone de texte 15"/>
                <wp:cNvGraphicFramePr/>
                <a:graphic xmlns:a="http://schemas.openxmlformats.org/drawingml/2006/main">
                  <a:graphicData uri="http://schemas.microsoft.com/office/word/2010/wordprocessingShape">
                    <wps:wsp>
                      <wps:cNvSpPr txBox="1"/>
                      <wps:spPr>
                        <a:xfrm>
                          <a:off x="0" y="0"/>
                          <a:ext cx="65722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1E24DE" w14:textId="66139875" w:rsidR="007C3FE9" w:rsidRPr="007C3FE9" w:rsidRDefault="007C3FE9">
                            <w:pPr>
                              <w:rPr>
                                <w:rFonts w:ascii="Arial" w:hAnsi="Arial" w:cs="Arial"/>
                                <w:sz w:val="20"/>
                                <w:szCs w:val="20"/>
                              </w:rPr>
                            </w:pPr>
                            <w:r w:rsidRPr="007C3FE9">
                              <w:rPr>
                                <w:rFonts w:ascii="Arial" w:hAnsi="Arial" w:cs="Arial"/>
                                <w:sz w:val="20"/>
                                <w:szCs w:val="20"/>
                              </w:rPr>
                              <w:t>KOMBE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ED8A3C" id="_x0000_t202" coordsize="21600,21600" o:spt="202" path="m,l,21600r21600,l21600,xe">
                <v:stroke joinstyle="miter"/>
                <v:path gradientshapeok="t" o:connecttype="rect"/>
              </v:shapetype>
              <v:shape id="Zone de texte 15" o:spid="_x0000_s1026" type="#_x0000_t202" style="position:absolute;left:0;text-align:left;margin-left:216.35pt;margin-top:52.65pt;width:51.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eYxjAIAAJAFAAAOAAAAZHJzL2Uyb0RvYy54bWysVNtuEzEQfUfiHyy/001CLxB1U4VWRUhV&#10;W5GiSrw5XrtZ4fUY20k2fD3H3s2F0pciXnbHnjMznjOX84u2MWylfKjJlnx4NOBMWUlVbZ9K/u3h&#10;+t0HzkIUthKGrCr5RgV+MXn75nztxmpECzKV8gxObBivXckXMbpxUQS5UI0IR+SUhVKTb0TE0T8V&#10;lRdreG9MMRoMTos1+cp5kioE3F51Sj7J/rVWMt5pHVRkpuR4W8xfn7/z9C0m52L85IVb1LJ/hviH&#10;VzSitgi6c3UlomBLX//lqqmlp0A6HklqCtK6lirngGyGg2fZzBbCqZwLyAluR1P4f27l7eres7pC&#10;7U44s6JBjb6jUqxSLKo2KoZ7kLR2YQzszAEd20/UwmB7H3CZcm+1b9IfWTHoQfdmRzFcMYnL05Oz&#10;0QiRJFSjs9Mkw3uxN3Y+xM+KGpaEkntUMBMrVjchdtAtJMUKZOrqujYmH1LXqEvj2Uqg3ibmJ8L5&#10;Hyhj2RoPeX8yyI4tJfPOs7HJjcp904dLiXcJZilujEoYY78qDd5yni/EFlIqu4uf0QmlEeo1hj1+&#10;/6rXGHd5wCJHJht3xk1tyefs86DtKat+bCnTHR61Ocg7ibGdt31DzKnaoB88dWMVnLyuUbUbEeK9&#10;8JgjtAB2Q7zDRxsC69RLnC3I/3rpPuHR3tBytsZcljz8XAqvODNfLBr/4/D4OA1yPhyjm3Dwh5r5&#10;ocYum0tCKwyxhZzMYsJHsxW1p+YRK2SaokIlrETskseteBm7bYEVJNV0mkEYXSfijZ05mVwnelNP&#10;PrSPwru+cdPw3NJ2gsX4Wf922GRpabqMpOvc3IngjtWeeIx9Ho9+RaW9cnjOqP0infwGAAD//wMA&#10;UEsDBBQABgAIAAAAIQBqFC2R4QAAAAsBAAAPAAAAZHJzL2Rvd25yZXYueG1sTI9NT4QwEIbvJv6H&#10;Zky8GLcIyy5BysYYPxJvLn7EW5eOQKRTQruA/97xpMeZ98k7zxS7xfZiwtF3jhRcrSIQSLUzHTUK&#10;Xqr7ywyED5qM7h2hgm/0sCtPTwqdGzfTM0770AguIZ9rBW0IQy6lr1u02q/cgMTZpxutDjyOjTSj&#10;nrnc9jKOoo20uiO+0OoBb1usv/ZHq+Djonl/8svD65ykyXD3OFXbN1MpdX623FyDCLiEPxh+9Vkd&#10;SnY6uCMZL3oF6yTeMspBlCYgmEiTTQziwJt1loEsC/n/h/IHAAD//wMAUEsBAi0AFAAGAAgAAAAh&#10;ALaDOJL+AAAA4QEAABMAAAAAAAAAAAAAAAAAAAAAAFtDb250ZW50X1R5cGVzXS54bWxQSwECLQAU&#10;AAYACAAAACEAOP0h/9YAAACUAQAACwAAAAAAAAAAAAAAAAAvAQAAX3JlbHMvLnJlbHNQSwECLQAU&#10;AAYACAAAACEAOX3mMYwCAACQBQAADgAAAAAAAAAAAAAAAAAuAgAAZHJzL2Uyb0RvYy54bWxQSwEC&#10;LQAUAAYACAAAACEAahQtkeEAAAALAQAADwAAAAAAAAAAAAAAAADmBAAAZHJzL2Rvd25yZXYueG1s&#10;UEsFBgAAAAAEAAQA8wAAAPQFAAAAAA==&#10;" fillcolor="white [3201]" stroked="f" strokeweight=".5pt">
                <v:textbox>
                  <w:txbxContent>
                    <w:p w14:paraId="5C1E24DE" w14:textId="66139875" w:rsidR="007C3FE9" w:rsidRPr="007C3FE9" w:rsidRDefault="007C3FE9">
                      <w:pPr>
                        <w:rPr>
                          <w:rFonts w:ascii="Arial" w:hAnsi="Arial" w:cs="Arial"/>
                          <w:sz w:val="20"/>
                          <w:szCs w:val="20"/>
                        </w:rPr>
                      </w:pPr>
                      <w:r w:rsidRPr="007C3FE9">
                        <w:rPr>
                          <w:rFonts w:ascii="Arial" w:hAnsi="Arial" w:cs="Arial"/>
                          <w:sz w:val="20"/>
                          <w:szCs w:val="20"/>
                        </w:rPr>
                        <w:t>KOMBE</w:t>
                      </w:r>
                    </w:p>
                  </w:txbxContent>
                </v:textbox>
              </v:shape>
            </w:pict>
          </mc:Fallback>
        </mc:AlternateContent>
      </w:r>
      <w:r w:rsidR="00CD1F08">
        <w:rPr>
          <w:noProof/>
          <w:lang w:eastAsia="fr-FR"/>
        </w:rPr>
        <w:drawing>
          <wp:inline distT="0" distB="0" distL="0" distR="0" wp14:anchorId="64E6EA24" wp14:editId="7E05DCD5">
            <wp:extent cx="3552825" cy="3130461"/>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554642" cy="3132062"/>
                    </a:xfrm>
                    <a:prstGeom prst="rect">
                      <a:avLst/>
                    </a:prstGeom>
                  </pic:spPr>
                </pic:pic>
              </a:graphicData>
            </a:graphic>
          </wp:inline>
        </w:drawing>
      </w:r>
    </w:p>
    <w:p w14:paraId="4BDB7ABD" w14:textId="7B305828" w:rsidR="006D3269" w:rsidRPr="00466EC4" w:rsidRDefault="006D3269" w:rsidP="0015398B">
      <w:pPr>
        <w:jc w:val="both"/>
        <w:rPr>
          <w:rFonts w:ascii="Arial" w:hAnsi="Arial" w:cs="Arial"/>
          <w:b/>
          <w:sz w:val="20"/>
          <w:szCs w:val="20"/>
          <w:lang w:val="en-US"/>
        </w:rPr>
      </w:pPr>
      <w:r w:rsidRPr="00466EC4">
        <w:rPr>
          <w:rFonts w:ascii="Arial" w:hAnsi="Arial" w:cs="Arial"/>
          <w:b/>
          <w:sz w:val="20"/>
          <w:szCs w:val="20"/>
          <w:lang w:val="en-US"/>
        </w:rPr>
        <w:t xml:space="preserve">Figure 3: </w:t>
      </w:r>
      <w:r w:rsidRPr="006C21C3">
        <w:rPr>
          <w:rFonts w:ascii="Arial" w:hAnsi="Arial" w:cs="Arial"/>
          <w:sz w:val="20"/>
          <w:szCs w:val="20"/>
          <w:lang w:val="en-US"/>
        </w:rPr>
        <w:t xml:space="preserve">Sample </w:t>
      </w:r>
      <w:r w:rsidR="007C3FE9">
        <w:rPr>
          <w:rFonts w:ascii="Arial" w:hAnsi="Arial" w:cs="Arial"/>
          <w:sz w:val="20"/>
          <w:szCs w:val="20"/>
          <w:lang w:val="en-US"/>
        </w:rPr>
        <w:t xml:space="preserve">positioning in the </w:t>
      </w:r>
      <w:r w:rsidRPr="006C21C3">
        <w:rPr>
          <w:rFonts w:ascii="Arial" w:hAnsi="Arial" w:cs="Arial"/>
          <w:sz w:val="20"/>
          <w:szCs w:val="20"/>
          <w:lang w:val="en-US"/>
        </w:rPr>
        <w:t>texture triangle "Soil Survey Manual"</w:t>
      </w:r>
    </w:p>
    <w:p w14:paraId="4BC2D819" w14:textId="77777777" w:rsidR="00D4080E" w:rsidRPr="00466EC4" w:rsidRDefault="00D4080E" w:rsidP="00D4080E">
      <w:pPr>
        <w:rPr>
          <w:rFonts w:ascii="Arial" w:hAnsi="Arial" w:cs="Arial"/>
          <w:sz w:val="20"/>
          <w:szCs w:val="20"/>
          <w:lang w:val="en-US"/>
        </w:rPr>
      </w:pPr>
      <w:r w:rsidRPr="00466EC4">
        <w:rPr>
          <w:rFonts w:ascii="Arial" w:hAnsi="Arial" w:cs="Arial"/>
          <w:sz w:val="20"/>
          <w:szCs w:val="20"/>
          <w:lang w:val="en-US"/>
        </w:rPr>
        <w:t>Given the location of this sample within this texture triangle, the Kombé material has a clayey texture. This same observation was made by Banzouzi Samba et al. in a study of the material extracted at Ntokou. [5]</w:t>
      </w:r>
    </w:p>
    <w:p w14:paraId="6696A43F" w14:textId="77777777" w:rsidR="00D4080E" w:rsidRPr="00BE3B51" w:rsidRDefault="00D4080E" w:rsidP="00D4080E">
      <w:pPr>
        <w:rPr>
          <w:rFonts w:ascii="Arial" w:hAnsi="Arial" w:cs="Arial"/>
          <w:b/>
          <w:sz w:val="20"/>
          <w:szCs w:val="20"/>
          <w:lang w:val="en-US"/>
        </w:rPr>
      </w:pPr>
      <w:r w:rsidRPr="00BE3B51">
        <w:rPr>
          <w:rFonts w:ascii="Arial" w:hAnsi="Arial" w:cs="Arial"/>
          <w:b/>
          <w:sz w:val="20"/>
          <w:szCs w:val="20"/>
          <w:lang w:val="en-US"/>
        </w:rPr>
        <w:t>Atterberg limits of the Kombé sample</w:t>
      </w:r>
    </w:p>
    <w:p w14:paraId="3C27EF36" w14:textId="77777777" w:rsidR="00D4080E" w:rsidRPr="00BE3B51" w:rsidRDefault="00D4080E" w:rsidP="00D4080E">
      <w:pPr>
        <w:spacing w:after="0"/>
        <w:rPr>
          <w:rFonts w:ascii="Arial" w:hAnsi="Arial" w:cs="Arial"/>
          <w:b/>
          <w:sz w:val="20"/>
          <w:szCs w:val="20"/>
          <w:lang w:val="en-US"/>
        </w:rPr>
      </w:pPr>
      <w:r w:rsidRPr="00BE3B51">
        <w:rPr>
          <w:rFonts w:ascii="Arial" w:hAnsi="Arial" w:cs="Arial"/>
          <w:b/>
          <w:sz w:val="20"/>
          <w:szCs w:val="20"/>
          <w:lang w:val="en-US"/>
        </w:rPr>
        <w:t>Table 3: Results of the Atterberg limits of the Kombé sample</w:t>
      </w:r>
    </w:p>
    <w:tbl>
      <w:tblPr>
        <w:tblW w:w="8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709"/>
        <w:gridCol w:w="708"/>
        <w:gridCol w:w="709"/>
        <w:gridCol w:w="709"/>
        <w:gridCol w:w="709"/>
        <w:gridCol w:w="708"/>
        <w:gridCol w:w="709"/>
        <w:gridCol w:w="992"/>
      </w:tblGrid>
      <w:tr w:rsidR="00D4080E" w:rsidRPr="00BE3B51" w14:paraId="25260A64" w14:textId="77777777" w:rsidTr="00BE3B51">
        <w:trPr>
          <w:trHeight w:val="462"/>
        </w:trPr>
        <w:tc>
          <w:tcPr>
            <w:tcW w:w="2055" w:type="dxa"/>
            <w:vMerge w:val="restart"/>
          </w:tcPr>
          <w:p w14:paraId="6310BACA" w14:textId="77777777" w:rsidR="00D4080E" w:rsidRPr="00BE3B51" w:rsidRDefault="00D4080E" w:rsidP="001543EA">
            <w:pPr>
              <w:jc w:val="both"/>
              <w:rPr>
                <w:rFonts w:ascii="Arial" w:eastAsia="Calibri" w:hAnsi="Arial" w:cs="Arial"/>
                <w:b/>
                <w:sz w:val="20"/>
                <w:szCs w:val="20"/>
                <w:lang w:val="en-US"/>
              </w:rPr>
            </w:pPr>
          </w:p>
          <w:p w14:paraId="13DABEDD" w14:textId="430EFAFF" w:rsidR="00D4080E" w:rsidRPr="00BE3B51" w:rsidRDefault="00641AB5" w:rsidP="001543EA">
            <w:pPr>
              <w:jc w:val="both"/>
              <w:rPr>
                <w:rFonts w:ascii="Arial" w:eastAsia="Calibri" w:hAnsi="Arial" w:cs="Arial"/>
                <w:b/>
                <w:sz w:val="20"/>
                <w:szCs w:val="20"/>
                <w:lang w:val="en-US"/>
              </w:rPr>
            </w:pPr>
            <w:r w:rsidRPr="00641AB5">
              <w:rPr>
                <w:rFonts w:ascii="Arial" w:eastAsia="Calibri" w:hAnsi="Arial" w:cs="Arial"/>
                <w:b/>
                <w:sz w:val="20"/>
                <w:szCs w:val="20"/>
                <w:lang w:val="en-US"/>
              </w:rPr>
              <w:t>Number of strokes</w:t>
            </w:r>
          </w:p>
        </w:tc>
        <w:tc>
          <w:tcPr>
            <w:tcW w:w="3544" w:type="dxa"/>
            <w:gridSpan w:val="5"/>
          </w:tcPr>
          <w:p w14:paraId="49D8D1D7" w14:textId="77777777" w:rsidR="00D4080E" w:rsidRPr="00BE3B51" w:rsidRDefault="00DF029A" w:rsidP="00DF029A">
            <w:pPr>
              <w:ind w:right="-145"/>
              <w:jc w:val="center"/>
              <w:rPr>
                <w:rFonts w:ascii="Arial" w:eastAsia="Calibri" w:hAnsi="Arial" w:cs="Arial"/>
                <w:b/>
                <w:sz w:val="20"/>
                <w:szCs w:val="20"/>
                <w:lang w:val="en-US"/>
              </w:rPr>
            </w:pPr>
            <w:r w:rsidRPr="00BE3B51">
              <w:rPr>
                <w:rFonts w:ascii="Arial" w:eastAsia="Calibri" w:hAnsi="Arial" w:cs="Arial"/>
                <w:b/>
                <w:sz w:val="20"/>
                <w:szCs w:val="20"/>
                <w:lang w:val="en-US"/>
              </w:rPr>
              <w:t xml:space="preserve">Liquid limit </w:t>
            </w:r>
          </w:p>
        </w:tc>
        <w:tc>
          <w:tcPr>
            <w:tcW w:w="2409" w:type="dxa"/>
            <w:gridSpan w:val="3"/>
            <w:vMerge w:val="restart"/>
          </w:tcPr>
          <w:p w14:paraId="1DF70FBB" w14:textId="77777777" w:rsidR="00D4080E" w:rsidRPr="00BE3B51" w:rsidRDefault="00D4080E" w:rsidP="001543EA">
            <w:pPr>
              <w:jc w:val="both"/>
              <w:rPr>
                <w:rFonts w:ascii="Arial" w:eastAsia="Calibri" w:hAnsi="Arial" w:cs="Arial"/>
                <w:sz w:val="20"/>
                <w:szCs w:val="20"/>
                <w:lang w:val="en-US"/>
              </w:rPr>
            </w:pPr>
          </w:p>
          <w:p w14:paraId="2A233E9E" w14:textId="77777777" w:rsidR="00D4080E" w:rsidRPr="00BE3B51" w:rsidRDefault="00DF029A" w:rsidP="00DF029A">
            <w:pPr>
              <w:jc w:val="both"/>
              <w:rPr>
                <w:rFonts w:ascii="Arial" w:eastAsia="Calibri" w:hAnsi="Arial" w:cs="Arial"/>
                <w:b/>
                <w:sz w:val="20"/>
                <w:szCs w:val="20"/>
                <w:lang w:val="en-US"/>
              </w:rPr>
            </w:pPr>
            <w:r w:rsidRPr="00BE3B51">
              <w:rPr>
                <w:rFonts w:ascii="Arial" w:eastAsia="Calibri" w:hAnsi="Arial" w:cs="Arial"/>
                <w:b/>
                <w:sz w:val="20"/>
                <w:szCs w:val="20"/>
                <w:lang w:val="en-US"/>
              </w:rPr>
              <w:t>Plastic limit</w:t>
            </w:r>
            <w:r w:rsidR="00D4080E" w:rsidRPr="00BE3B51">
              <w:rPr>
                <w:rFonts w:ascii="Arial" w:eastAsia="Calibri" w:hAnsi="Arial" w:cs="Arial"/>
                <w:b/>
                <w:sz w:val="20"/>
                <w:szCs w:val="20"/>
                <w:highlight w:val="yellow"/>
                <w:lang w:val="en-US"/>
              </w:rPr>
              <w:t xml:space="preserve"> </w:t>
            </w:r>
          </w:p>
        </w:tc>
      </w:tr>
      <w:tr w:rsidR="00D4080E" w:rsidRPr="00BE3B51" w14:paraId="4592536A" w14:textId="77777777" w:rsidTr="00BE3B51">
        <w:trPr>
          <w:trHeight w:val="298"/>
        </w:trPr>
        <w:tc>
          <w:tcPr>
            <w:tcW w:w="2055" w:type="dxa"/>
            <w:vMerge/>
          </w:tcPr>
          <w:p w14:paraId="3F6973BF" w14:textId="77777777" w:rsidR="00D4080E" w:rsidRPr="00BE3B51" w:rsidRDefault="00D4080E" w:rsidP="001543EA">
            <w:pPr>
              <w:jc w:val="both"/>
              <w:rPr>
                <w:rFonts w:ascii="Arial" w:eastAsia="Calibri" w:hAnsi="Arial" w:cs="Arial"/>
                <w:sz w:val="20"/>
                <w:szCs w:val="20"/>
                <w:lang w:val="en-US"/>
              </w:rPr>
            </w:pPr>
          </w:p>
        </w:tc>
        <w:tc>
          <w:tcPr>
            <w:tcW w:w="709" w:type="dxa"/>
          </w:tcPr>
          <w:p w14:paraId="4B8A42EC" w14:textId="77777777" w:rsidR="00D4080E" w:rsidRPr="00BE3B51" w:rsidRDefault="00D4080E" w:rsidP="001543EA">
            <w:pPr>
              <w:jc w:val="both"/>
              <w:rPr>
                <w:rFonts w:ascii="Arial" w:eastAsia="Calibri" w:hAnsi="Arial" w:cs="Arial"/>
                <w:sz w:val="20"/>
                <w:szCs w:val="20"/>
                <w:lang w:val="en-US"/>
              </w:rPr>
            </w:pPr>
            <w:r w:rsidRPr="00BE3B51">
              <w:rPr>
                <w:rFonts w:ascii="Arial" w:eastAsia="Calibri" w:hAnsi="Arial" w:cs="Arial"/>
                <w:sz w:val="20"/>
                <w:szCs w:val="20"/>
                <w:lang w:val="en-US"/>
              </w:rPr>
              <w:t>15</w:t>
            </w:r>
          </w:p>
        </w:tc>
        <w:tc>
          <w:tcPr>
            <w:tcW w:w="708" w:type="dxa"/>
          </w:tcPr>
          <w:p w14:paraId="12363E17" w14:textId="77777777" w:rsidR="00D4080E" w:rsidRPr="00BE3B51" w:rsidRDefault="00D4080E" w:rsidP="001543EA">
            <w:pPr>
              <w:jc w:val="both"/>
              <w:rPr>
                <w:rFonts w:ascii="Arial" w:eastAsia="Calibri" w:hAnsi="Arial" w:cs="Arial"/>
                <w:sz w:val="20"/>
                <w:szCs w:val="20"/>
                <w:lang w:val="en-US"/>
              </w:rPr>
            </w:pPr>
            <w:r w:rsidRPr="00BE3B51">
              <w:rPr>
                <w:rFonts w:ascii="Arial" w:eastAsia="Calibri" w:hAnsi="Arial" w:cs="Arial"/>
                <w:sz w:val="20"/>
                <w:szCs w:val="20"/>
                <w:lang w:val="en-US"/>
              </w:rPr>
              <w:t>19</w:t>
            </w:r>
          </w:p>
        </w:tc>
        <w:tc>
          <w:tcPr>
            <w:tcW w:w="709" w:type="dxa"/>
          </w:tcPr>
          <w:p w14:paraId="45F8B07A" w14:textId="77777777" w:rsidR="00D4080E" w:rsidRPr="00BE3B51" w:rsidRDefault="00D4080E" w:rsidP="001543EA">
            <w:pPr>
              <w:jc w:val="both"/>
              <w:rPr>
                <w:rFonts w:ascii="Arial" w:eastAsia="Calibri" w:hAnsi="Arial" w:cs="Arial"/>
                <w:sz w:val="20"/>
                <w:szCs w:val="20"/>
                <w:lang w:val="en-US"/>
              </w:rPr>
            </w:pPr>
            <w:r w:rsidRPr="00BE3B51">
              <w:rPr>
                <w:rFonts w:ascii="Arial" w:eastAsia="Calibri" w:hAnsi="Arial" w:cs="Arial"/>
                <w:sz w:val="20"/>
                <w:szCs w:val="20"/>
                <w:lang w:val="en-US"/>
              </w:rPr>
              <w:t>23</w:t>
            </w:r>
          </w:p>
        </w:tc>
        <w:tc>
          <w:tcPr>
            <w:tcW w:w="709" w:type="dxa"/>
          </w:tcPr>
          <w:p w14:paraId="70971408" w14:textId="77777777" w:rsidR="00D4080E" w:rsidRPr="00BE3B51" w:rsidRDefault="00D4080E" w:rsidP="001543EA">
            <w:pPr>
              <w:jc w:val="both"/>
              <w:rPr>
                <w:rFonts w:ascii="Arial" w:eastAsia="Calibri" w:hAnsi="Arial" w:cs="Arial"/>
                <w:sz w:val="20"/>
                <w:szCs w:val="20"/>
                <w:lang w:val="en-US"/>
              </w:rPr>
            </w:pPr>
            <w:r w:rsidRPr="00BE3B51">
              <w:rPr>
                <w:rFonts w:ascii="Arial" w:eastAsia="Calibri" w:hAnsi="Arial" w:cs="Arial"/>
                <w:sz w:val="20"/>
                <w:szCs w:val="20"/>
                <w:lang w:val="en-US"/>
              </w:rPr>
              <w:t>27</w:t>
            </w:r>
          </w:p>
        </w:tc>
        <w:tc>
          <w:tcPr>
            <w:tcW w:w="709" w:type="dxa"/>
          </w:tcPr>
          <w:p w14:paraId="6EE85D55" w14:textId="77777777" w:rsidR="00D4080E" w:rsidRPr="00BE3B51" w:rsidRDefault="00D4080E" w:rsidP="001543EA">
            <w:pPr>
              <w:jc w:val="both"/>
              <w:rPr>
                <w:rFonts w:ascii="Arial" w:eastAsia="Calibri" w:hAnsi="Arial" w:cs="Arial"/>
                <w:sz w:val="20"/>
                <w:szCs w:val="20"/>
                <w:lang w:val="en-US"/>
              </w:rPr>
            </w:pPr>
            <w:r w:rsidRPr="00BE3B51">
              <w:rPr>
                <w:rFonts w:ascii="Arial" w:eastAsia="Calibri" w:hAnsi="Arial" w:cs="Arial"/>
                <w:sz w:val="20"/>
                <w:szCs w:val="20"/>
                <w:lang w:val="en-US"/>
              </w:rPr>
              <w:t>31</w:t>
            </w:r>
          </w:p>
        </w:tc>
        <w:tc>
          <w:tcPr>
            <w:tcW w:w="2409" w:type="dxa"/>
            <w:gridSpan w:val="3"/>
            <w:vMerge/>
          </w:tcPr>
          <w:p w14:paraId="63516B68" w14:textId="77777777" w:rsidR="00D4080E" w:rsidRPr="00BE3B51" w:rsidRDefault="00D4080E" w:rsidP="001543EA">
            <w:pPr>
              <w:jc w:val="both"/>
              <w:rPr>
                <w:rFonts w:ascii="Arial" w:eastAsia="Calibri" w:hAnsi="Arial" w:cs="Arial"/>
                <w:sz w:val="20"/>
                <w:szCs w:val="20"/>
                <w:lang w:val="en-US"/>
              </w:rPr>
            </w:pPr>
          </w:p>
        </w:tc>
      </w:tr>
      <w:tr w:rsidR="00D4080E" w:rsidRPr="00BE3B51" w14:paraId="77C6662E" w14:textId="77777777" w:rsidTr="00BE3B51">
        <w:trPr>
          <w:trHeight w:val="258"/>
        </w:trPr>
        <w:tc>
          <w:tcPr>
            <w:tcW w:w="2055" w:type="dxa"/>
          </w:tcPr>
          <w:p w14:paraId="1996F329" w14:textId="7ACB4A0E" w:rsidR="00D4080E" w:rsidRPr="00BE3B51" w:rsidRDefault="00641AB5" w:rsidP="001543EA">
            <w:pPr>
              <w:jc w:val="both"/>
              <w:rPr>
                <w:rFonts w:ascii="Arial" w:eastAsia="Calibri" w:hAnsi="Arial" w:cs="Arial"/>
                <w:b/>
                <w:sz w:val="20"/>
                <w:szCs w:val="20"/>
                <w:lang w:val="en-US"/>
              </w:rPr>
            </w:pPr>
            <w:r w:rsidRPr="00641AB5">
              <w:rPr>
                <w:rFonts w:ascii="Arial" w:eastAsia="Calibri" w:hAnsi="Arial" w:cs="Arial"/>
                <w:b/>
                <w:sz w:val="20"/>
                <w:szCs w:val="20"/>
                <w:lang w:val="en-US"/>
              </w:rPr>
              <w:t>Tare number</w:t>
            </w:r>
          </w:p>
        </w:tc>
        <w:tc>
          <w:tcPr>
            <w:tcW w:w="709" w:type="dxa"/>
          </w:tcPr>
          <w:p w14:paraId="4EFB23B7" w14:textId="77777777" w:rsidR="00D4080E" w:rsidRPr="00BE3B51" w:rsidRDefault="00D4080E" w:rsidP="001543EA">
            <w:pPr>
              <w:jc w:val="both"/>
              <w:rPr>
                <w:rFonts w:ascii="Arial" w:eastAsia="Calibri" w:hAnsi="Arial" w:cs="Arial"/>
                <w:sz w:val="20"/>
                <w:szCs w:val="20"/>
                <w:lang w:val="en-US"/>
              </w:rPr>
            </w:pPr>
            <w:r w:rsidRPr="00BE3B51">
              <w:rPr>
                <w:rFonts w:ascii="Arial" w:eastAsia="Calibri" w:hAnsi="Arial" w:cs="Arial"/>
                <w:sz w:val="20"/>
                <w:szCs w:val="20"/>
                <w:lang w:val="en-US"/>
              </w:rPr>
              <w:t>23</w:t>
            </w:r>
          </w:p>
        </w:tc>
        <w:tc>
          <w:tcPr>
            <w:tcW w:w="708" w:type="dxa"/>
          </w:tcPr>
          <w:p w14:paraId="139609B0" w14:textId="77777777" w:rsidR="00D4080E" w:rsidRPr="00BE3B51" w:rsidRDefault="00D4080E" w:rsidP="001543EA">
            <w:pPr>
              <w:jc w:val="both"/>
              <w:rPr>
                <w:rFonts w:ascii="Arial" w:eastAsia="Calibri" w:hAnsi="Arial" w:cs="Arial"/>
                <w:sz w:val="20"/>
                <w:szCs w:val="20"/>
                <w:lang w:val="en-US"/>
              </w:rPr>
            </w:pPr>
            <w:r w:rsidRPr="00BE3B51">
              <w:rPr>
                <w:rFonts w:ascii="Arial" w:eastAsia="Calibri" w:hAnsi="Arial" w:cs="Arial"/>
                <w:sz w:val="20"/>
                <w:szCs w:val="20"/>
                <w:lang w:val="en-US"/>
              </w:rPr>
              <w:t>48</w:t>
            </w:r>
          </w:p>
        </w:tc>
        <w:tc>
          <w:tcPr>
            <w:tcW w:w="709" w:type="dxa"/>
          </w:tcPr>
          <w:p w14:paraId="7DFE4F1E" w14:textId="77777777" w:rsidR="00D4080E" w:rsidRPr="00BE3B51" w:rsidRDefault="00D4080E" w:rsidP="001543EA">
            <w:pPr>
              <w:jc w:val="both"/>
              <w:rPr>
                <w:rFonts w:ascii="Arial" w:eastAsia="Calibri" w:hAnsi="Arial" w:cs="Arial"/>
                <w:sz w:val="20"/>
                <w:szCs w:val="20"/>
                <w:lang w:val="en-US"/>
              </w:rPr>
            </w:pPr>
            <w:r w:rsidRPr="00BE3B51">
              <w:rPr>
                <w:rFonts w:ascii="Arial" w:eastAsia="Calibri" w:hAnsi="Arial" w:cs="Arial"/>
                <w:sz w:val="20"/>
                <w:szCs w:val="20"/>
                <w:lang w:val="en-US"/>
              </w:rPr>
              <w:t>370</w:t>
            </w:r>
          </w:p>
        </w:tc>
        <w:tc>
          <w:tcPr>
            <w:tcW w:w="709" w:type="dxa"/>
          </w:tcPr>
          <w:p w14:paraId="202E3C38" w14:textId="77777777" w:rsidR="00D4080E" w:rsidRPr="00BE3B51" w:rsidRDefault="00D4080E" w:rsidP="001543EA">
            <w:pPr>
              <w:jc w:val="both"/>
              <w:rPr>
                <w:rFonts w:ascii="Arial" w:eastAsia="Calibri" w:hAnsi="Arial" w:cs="Arial"/>
                <w:sz w:val="20"/>
                <w:szCs w:val="20"/>
                <w:lang w:val="en-US"/>
              </w:rPr>
            </w:pPr>
            <w:r w:rsidRPr="00BE3B51">
              <w:rPr>
                <w:rFonts w:ascii="Arial" w:eastAsia="Calibri" w:hAnsi="Arial" w:cs="Arial"/>
                <w:sz w:val="20"/>
                <w:szCs w:val="20"/>
                <w:lang w:val="en-US"/>
              </w:rPr>
              <w:t>730</w:t>
            </w:r>
          </w:p>
        </w:tc>
        <w:tc>
          <w:tcPr>
            <w:tcW w:w="709" w:type="dxa"/>
          </w:tcPr>
          <w:p w14:paraId="28C8EFCF" w14:textId="77777777" w:rsidR="00D4080E" w:rsidRPr="00BE3B51" w:rsidRDefault="00D4080E" w:rsidP="001543EA">
            <w:pPr>
              <w:jc w:val="both"/>
              <w:rPr>
                <w:rFonts w:ascii="Arial" w:eastAsia="Calibri" w:hAnsi="Arial" w:cs="Arial"/>
                <w:sz w:val="20"/>
                <w:szCs w:val="20"/>
                <w:lang w:val="en-US"/>
              </w:rPr>
            </w:pPr>
            <w:r w:rsidRPr="00BE3B51">
              <w:rPr>
                <w:rFonts w:ascii="Arial" w:eastAsia="Calibri" w:hAnsi="Arial" w:cs="Arial"/>
                <w:sz w:val="20"/>
                <w:szCs w:val="20"/>
                <w:lang w:val="en-US"/>
              </w:rPr>
              <w:t>D</w:t>
            </w:r>
          </w:p>
        </w:tc>
        <w:tc>
          <w:tcPr>
            <w:tcW w:w="708" w:type="dxa"/>
          </w:tcPr>
          <w:p w14:paraId="3FA4AC45" w14:textId="77777777" w:rsidR="00D4080E" w:rsidRPr="00BE3B51" w:rsidRDefault="00D4080E" w:rsidP="001543EA">
            <w:pPr>
              <w:jc w:val="both"/>
              <w:rPr>
                <w:rFonts w:ascii="Arial" w:eastAsia="Calibri" w:hAnsi="Arial" w:cs="Arial"/>
                <w:sz w:val="20"/>
                <w:szCs w:val="20"/>
                <w:lang w:val="en-US"/>
              </w:rPr>
            </w:pPr>
            <w:r w:rsidRPr="00BE3B51">
              <w:rPr>
                <w:rFonts w:ascii="Arial" w:eastAsia="Calibri" w:hAnsi="Arial" w:cs="Arial"/>
                <w:sz w:val="20"/>
                <w:szCs w:val="20"/>
                <w:lang w:val="en-US"/>
              </w:rPr>
              <w:t>A</w:t>
            </w:r>
          </w:p>
        </w:tc>
        <w:tc>
          <w:tcPr>
            <w:tcW w:w="709" w:type="dxa"/>
          </w:tcPr>
          <w:p w14:paraId="2B71A544" w14:textId="77777777" w:rsidR="00D4080E" w:rsidRPr="00BE3B51" w:rsidRDefault="00D4080E" w:rsidP="001543EA">
            <w:pPr>
              <w:jc w:val="both"/>
              <w:rPr>
                <w:rFonts w:ascii="Arial" w:eastAsia="Calibri" w:hAnsi="Arial" w:cs="Arial"/>
                <w:sz w:val="20"/>
                <w:szCs w:val="20"/>
                <w:lang w:val="en-US"/>
              </w:rPr>
            </w:pPr>
            <w:r w:rsidRPr="00BE3B51">
              <w:rPr>
                <w:rFonts w:ascii="Arial" w:eastAsia="Calibri" w:hAnsi="Arial" w:cs="Arial"/>
                <w:sz w:val="20"/>
                <w:szCs w:val="20"/>
                <w:lang w:val="en-US"/>
              </w:rPr>
              <w:t>51</w:t>
            </w:r>
          </w:p>
        </w:tc>
        <w:tc>
          <w:tcPr>
            <w:tcW w:w="992" w:type="dxa"/>
          </w:tcPr>
          <w:p w14:paraId="41DDDF25" w14:textId="77777777" w:rsidR="00D4080E" w:rsidRPr="00BE3B51" w:rsidRDefault="00D4080E" w:rsidP="001543EA">
            <w:pPr>
              <w:jc w:val="both"/>
              <w:rPr>
                <w:rFonts w:ascii="Arial" w:eastAsia="Calibri" w:hAnsi="Arial" w:cs="Arial"/>
                <w:sz w:val="20"/>
                <w:szCs w:val="20"/>
                <w:lang w:val="en-US"/>
              </w:rPr>
            </w:pPr>
            <w:r w:rsidRPr="00BE3B51">
              <w:rPr>
                <w:rFonts w:ascii="Arial" w:eastAsia="Calibri" w:hAnsi="Arial" w:cs="Arial"/>
                <w:sz w:val="20"/>
                <w:szCs w:val="20"/>
                <w:lang w:val="en-US"/>
              </w:rPr>
              <w:t>128</w:t>
            </w:r>
          </w:p>
        </w:tc>
      </w:tr>
      <w:tr w:rsidR="00D4080E" w:rsidRPr="00BE3B51" w14:paraId="01DD2A53" w14:textId="77777777" w:rsidTr="00BE3B51">
        <w:trPr>
          <w:trHeight w:val="339"/>
        </w:trPr>
        <w:tc>
          <w:tcPr>
            <w:tcW w:w="2055" w:type="dxa"/>
          </w:tcPr>
          <w:p w14:paraId="114AE774" w14:textId="77777777" w:rsidR="00D4080E" w:rsidRPr="00BE3B51" w:rsidRDefault="00DF029A" w:rsidP="001543EA">
            <w:pPr>
              <w:jc w:val="both"/>
              <w:rPr>
                <w:rFonts w:ascii="Arial" w:eastAsia="Calibri" w:hAnsi="Arial" w:cs="Arial"/>
                <w:b/>
                <w:sz w:val="20"/>
                <w:szCs w:val="20"/>
                <w:lang w:val="en-US"/>
              </w:rPr>
            </w:pPr>
            <w:r w:rsidRPr="00BE3B51">
              <w:rPr>
                <w:rFonts w:ascii="Arial" w:eastAsia="Calibri" w:hAnsi="Arial" w:cs="Arial"/>
                <w:b/>
                <w:sz w:val="20"/>
                <w:szCs w:val="20"/>
                <w:lang w:val="en-US"/>
              </w:rPr>
              <w:t>Water content</w:t>
            </w:r>
          </w:p>
        </w:tc>
        <w:tc>
          <w:tcPr>
            <w:tcW w:w="709" w:type="dxa"/>
          </w:tcPr>
          <w:p w14:paraId="019E009F" w14:textId="77777777" w:rsidR="00D4080E" w:rsidRPr="00BE3B51" w:rsidRDefault="00D4080E" w:rsidP="001543EA">
            <w:pPr>
              <w:jc w:val="both"/>
              <w:rPr>
                <w:rFonts w:ascii="Arial" w:eastAsia="Calibri" w:hAnsi="Arial" w:cs="Arial"/>
                <w:sz w:val="20"/>
                <w:szCs w:val="20"/>
                <w:lang w:val="en-US"/>
              </w:rPr>
            </w:pPr>
            <w:r w:rsidRPr="00BE3B51">
              <w:rPr>
                <w:rFonts w:ascii="Arial" w:eastAsia="Calibri" w:hAnsi="Arial" w:cs="Arial"/>
                <w:sz w:val="20"/>
                <w:szCs w:val="20"/>
                <w:lang w:val="en-US"/>
              </w:rPr>
              <w:t>50,6</w:t>
            </w:r>
          </w:p>
        </w:tc>
        <w:tc>
          <w:tcPr>
            <w:tcW w:w="708" w:type="dxa"/>
          </w:tcPr>
          <w:p w14:paraId="258A7F12" w14:textId="77777777" w:rsidR="00D4080E" w:rsidRPr="00BE3B51" w:rsidRDefault="00D4080E" w:rsidP="001543EA">
            <w:pPr>
              <w:jc w:val="both"/>
              <w:rPr>
                <w:rFonts w:ascii="Arial" w:eastAsia="Calibri" w:hAnsi="Arial" w:cs="Arial"/>
                <w:sz w:val="20"/>
                <w:szCs w:val="20"/>
                <w:lang w:val="en-US"/>
              </w:rPr>
            </w:pPr>
            <w:r w:rsidRPr="00BE3B51">
              <w:rPr>
                <w:rFonts w:ascii="Arial" w:eastAsia="Calibri" w:hAnsi="Arial" w:cs="Arial"/>
                <w:sz w:val="20"/>
                <w:szCs w:val="20"/>
                <w:lang w:val="en-US"/>
              </w:rPr>
              <w:t>49,3</w:t>
            </w:r>
          </w:p>
        </w:tc>
        <w:tc>
          <w:tcPr>
            <w:tcW w:w="709" w:type="dxa"/>
          </w:tcPr>
          <w:p w14:paraId="4D39AEEE" w14:textId="77777777" w:rsidR="00D4080E" w:rsidRPr="00BE3B51" w:rsidRDefault="00D4080E" w:rsidP="001543EA">
            <w:pPr>
              <w:jc w:val="both"/>
              <w:rPr>
                <w:rFonts w:ascii="Arial" w:eastAsia="Calibri" w:hAnsi="Arial" w:cs="Arial"/>
                <w:sz w:val="20"/>
                <w:szCs w:val="20"/>
                <w:lang w:val="en-US"/>
              </w:rPr>
            </w:pPr>
            <w:r w:rsidRPr="00BE3B51">
              <w:rPr>
                <w:rFonts w:ascii="Arial" w:eastAsia="Calibri" w:hAnsi="Arial" w:cs="Arial"/>
                <w:sz w:val="20"/>
                <w:szCs w:val="20"/>
                <w:lang w:val="en-US"/>
              </w:rPr>
              <w:t>48,1</w:t>
            </w:r>
          </w:p>
        </w:tc>
        <w:tc>
          <w:tcPr>
            <w:tcW w:w="709" w:type="dxa"/>
          </w:tcPr>
          <w:p w14:paraId="38F8BA30" w14:textId="77777777" w:rsidR="00D4080E" w:rsidRPr="00BE3B51" w:rsidRDefault="00D4080E" w:rsidP="001543EA">
            <w:pPr>
              <w:jc w:val="both"/>
              <w:rPr>
                <w:rFonts w:ascii="Arial" w:eastAsia="Calibri" w:hAnsi="Arial" w:cs="Arial"/>
                <w:sz w:val="20"/>
                <w:szCs w:val="20"/>
                <w:lang w:val="en-US"/>
              </w:rPr>
            </w:pPr>
            <w:r w:rsidRPr="00BE3B51">
              <w:rPr>
                <w:rFonts w:ascii="Arial" w:eastAsia="Calibri" w:hAnsi="Arial" w:cs="Arial"/>
                <w:sz w:val="20"/>
                <w:szCs w:val="20"/>
                <w:lang w:val="en-US"/>
              </w:rPr>
              <w:t>47,6</w:t>
            </w:r>
          </w:p>
        </w:tc>
        <w:tc>
          <w:tcPr>
            <w:tcW w:w="709" w:type="dxa"/>
          </w:tcPr>
          <w:p w14:paraId="390B9DCD" w14:textId="77777777" w:rsidR="00D4080E" w:rsidRPr="00BE3B51" w:rsidRDefault="00D4080E" w:rsidP="001543EA">
            <w:pPr>
              <w:jc w:val="both"/>
              <w:rPr>
                <w:rFonts w:ascii="Arial" w:eastAsia="Calibri" w:hAnsi="Arial" w:cs="Arial"/>
                <w:sz w:val="20"/>
                <w:szCs w:val="20"/>
                <w:lang w:val="en-US"/>
              </w:rPr>
            </w:pPr>
            <w:r w:rsidRPr="00BE3B51">
              <w:rPr>
                <w:rFonts w:ascii="Arial" w:eastAsia="Calibri" w:hAnsi="Arial" w:cs="Arial"/>
                <w:sz w:val="20"/>
                <w:szCs w:val="20"/>
                <w:lang w:val="en-US"/>
              </w:rPr>
              <w:t>46,6</w:t>
            </w:r>
          </w:p>
        </w:tc>
        <w:tc>
          <w:tcPr>
            <w:tcW w:w="708" w:type="dxa"/>
          </w:tcPr>
          <w:p w14:paraId="0DB19D90" w14:textId="77777777" w:rsidR="00D4080E" w:rsidRPr="00BE3B51" w:rsidRDefault="00D4080E" w:rsidP="001543EA">
            <w:pPr>
              <w:jc w:val="both"/>
              <w:rPr>
                <w:rFonts w:ascii="Arial" w:eastAsia="Calibri" w:hAnsi="Arial" w:cs="Arial"/>
                <w:sz w:val="20"/>
                <w:szCs w:val="20"/>
                <w:lang w:val="en-US"/>
              </w:rPr>
            </w:pPr>
            <w:r w:rsidRPr="00BE3B51">
              <w:rPr>
                <w:rFonts w:ascii="Arial" w:eastAsia="Calibri" w:hAnsi="Arial" w:cs="Arial"/>
                <w:sz w:val="20"/>
                <w:szCs w:val="20"/>
                <w:lang w:val="en-US"/>
              </w:rPr>
              <w:t>22,5</w:t>
            </w:r>
          </w:p>
        </w:tc>
        <w:tc>
          <w:tcPr>
            <w:tcW w:w="709" w:type="dxa"/>
          </w:tcPr>
          <w:p w14:paraId="71F659DA" w14:textId="77777777" w:rsidR="00D4080E" w:rsidRPr="00BE3B51" w:rsidRDefault="00D4080E" w:rsidP="001543EA">
            <w:pPr>
              <w:jc w:val="both"/>
              <w:rPr>
                <w:rFonts w:ascii="Arial" w:eastAsia="Calibri" w:hAnsi="Arial" w:cs="Arial"/>
                <w:sz w:val="20"/>
                <w:szCs w:val="20"/>
                <w:lang w:val="en-US"/>
              </w:rPr>
            </w:pPr>
            <w:r w:rsidRPr="00BE3B51">
              <w:rPr>
                <w:rFonts w:ascii="Arial" w:eastAsia="Calibri" w:hAnsi="Arial" w:cs="Arial"/>
                <w:sz w:val="20"/>
                <w:szCs w:val="20"/>
                <w:lang w:val="en-US"/>
              </w:rPr>
              <w:t>23,1</w:t>
            </w:r>
          </w:p>
        </w:tc>
        <w:tc>
          <w:tcPr>
            <w:tcW w:w="992" w:type="dxa"/>
          </w:tcPr>
          <w:p w14:paraId="12E1F769" w14:textId="77777777" w:rsidR="00D4080E" w:rsidRPr="00BE3B51" w:rsidRDefault="00D4080E" w:rsidP="001543EA">
            <w:pPr>
              <w:jc w:val="both"/>
              <w:rPr>
                <w:rFonts w:ascii="Arial" w:eastAsia="Calibri" w:hAnsi="Arial" w:cs="Arial"/>
                <w:sz w:val="20"/>
                <w:szCs w:val="20"/>
                <w:lang w:val="en-US"/>
              </w:rPr>
            </w:pPr>
            <w:r w:rsidRPr="00BE3B51">
              <w:rPr>
                <w:rFonts w:ascii="Arial" w:eastAsia="Calibri" w:hAnsi="Arial" w:cs="Arial"/>
                <w:sz w:val="20"/>
                <w:szCs w:val="20"/>
                <w:lang w:val="en-US"/>
              </w:rPr>
              <w:t>19,0</w:t>
            </w:r>
          </w:p>
        </w:tc>
      </w:tr>
      <w:tr w:rsidR="00D4080E" w:rsidRPr="00BE3B51" w14:paraId="16592E55" w14:textId="77777777" w:rsidTr="00BE3B51">
        <w:tblPrEx>
          <w:tblBorders>
            <w:left w:val="none" w:sz="0" w:space="0" w:color="auto"/>
            <w:bottom w:val="none" w:sz="0" w:space="0" w:color="auto"/>
            <w:right w:val="none" w:sz="0" w:space="0" w:color="auto"/>
            <w:insideH w:val="none" w:sz="0" w:space="0" w:color="auto"/>
            <w:insideV w:val="none" w:sz="0" w:space="0" w:color="auto"/>
          </w:tblBorders>
        </w:tblPrEx>
        <w:trPr>
          <w:trHeight w:val="353"/>
        </w:trPr>
        <w:tc>
          <w:tcPr>
            <w:tcW w:w="2055" w:type="dxa"/>
            <w:tcBorders>
              <w:top w:val="single" w:sz="4" w:space="0" w:color="auto"/>
              <w:left w:val="single" w:sz="4" w:space="0" w:color="auto"/>
              <w:bottom w:val="single" w:sz="4" w:space="0" w:color="auto"/>
            </w:tcBorders>
          </w:tcPr>
          <w:p w14:paraId="1CAD67F4" w14:textId="77777777" w:rsidR="00D4080E" w:rsidRPr="00BE3B51" w:rsidRDefault="00BE3B51" w:rsidP="001543EA">
            <w:pPr>
              <w:spacing w:line="359" w:lineRule="auto"/>
              <w:ind w:right="1129"/>
              <w:jc w:val="both"/>
              <w:rPr>
                <w:rFonts w:ascii="Arial" w:eastAsia="Calibri" w:hAnsi="Arial" w:cs="Arial"/>
                <w:b/>
                <w:sz w:val="20"/>
                <w:szCs w:val="20"/>
                <w:lang w:val="en-US"/>
              </w:rPr>
            </w:pPr>
            <w:r>
              <w:rPr>
                <w:rFonts w:ascii="Arial" w:eastAsia="Calibri" w:hAnsi="Arial" w:cs="Arial"/>
                <w:b/>
                <w:sz w:val="20"/>
                <w:szCs w:val="20"/>
                <w:lang w:val="en-US"/>
              </w:rPr>
              <w:t xml:space="preserve"> </w:t>
            </w:r>
            <w:r w:rsidR="00D4080E" w:rsidRPr="00BE3B51">
              <w:rPr>
                <w:rFonts w:ascii="Arial" w:eastAsia="Calibri" w:hAnsi="Arial" w:cs="Arial"/>
                <w:b/>
                <w:sz w:val="20"/>
                <w:szCs w:val="20"/>
                <w:lang w:val="en-US"/>
              </w:rPr>
              <w:t>P</w:t>
            </w:r>
            <w:r w:rsidR="00777988" w:rsidRPr="00BE3B51">
              <w:rPr>
                <w:rFonts w:ascii="Arial" w:eastAsia="Calibri" w:hAnsi="Arial" w:cs="Arial"/>
                <w:b/>
                <w:sz w:val="20"/>
                <w:szCs w:val="20"/>
                <w:lang w:val="en-US"/>
              </w:rPr>
              <w:t>I</w:t>
            </w:r>
            <w:r w:rsidR="00D4080E" w:rsidRPr="00BE3B51">
              <w:rPr>
                <w:rFonts w:ascii="Arial" w:eastAsia="Calibri" w:hAnsi="Arial" w:cs="Arial"/>
                <w:b/>
                <w:sz w:val="20"/>
                <w:szCs w:val="20"/>
                <w:lang w:val="en-US"/>
              </w:rPr>
              <w:t xml:space="preserve">=27%  </w:t>
            </w:r>
          </w:p>
        </w:tc>
        <w:tc>
          <w:tcPr>
            <w:tcW w:w="3544" w:type="dxa"/>
            <w:gridSpan w:val="5"/>
            <w:tcBorders>
              <w:left w:val="single" w:sz="4" w:space="0" w:color="auto"/>
              <w:bottom w:val="single" w:sz="4" w:space="0" w:color="auto"/>
              <w:right w:val="single" w:sz="4" w:space="0" w:color="auto"/>
            </w:tcBorders>
          </w:tcPr>
          <w:p w14:paraId="4379BF27" w14:textId="77777777" w:rsidR="00D4080E" w:rsidRPr="00BE3B51" w:rsidRDefault="00BE3B51" w:rsidP="00BE3B51">
            <w:pPr>
              <w:spacing w:line="359" w:lineRule="auto"/>
              <w:ind w:right="1129"/>
              <w:rPr>
                <w:rFonts w:ascii="Arial" w:eastAsia="Calibri" w:hAnsi="Arial" w:cs="Arial"/>
                <w:b/>
                <w:sz w:val="20"/>
                <w:szCs w:val="20"/>
                <w:lang w:val="en-US"/>
              </w:rPr>
            </w:pPr>
            <w:r>
              <w:rPr>
                <w:rFonts w:ascii="Arial" w:eastAsia="Calibri" w:hAnsi="Arial" w:cs="Arial"/>
                <w:b/>
                <w:sz w:val="20"/>
                <w:szCs w:val="20"/>
                <w:lang w:val="en-US"/>
              </w:rPr>
              <w:t xml:space="preserve">                  </w:t>
            </w:r>
            <w:r w:rsidR="00D4080E" w:rsidRPr="00BE3B51">
              <w:rPr>
                <w:rFonts w:ascii="Arial" w:eastAsia="Calibri" w:hAnsi="Arial" w:cs="Arial"/>
                <w:b/>
                <w:sz w:val="20"/>
                <w:szCs w:val="20"/>
                <w:lang w:val="en-US"/>
              </w:rPr>
              <w:t>W</w:t>
            </w:r>
            <w:r w:rsidR="00D4080E" w:rsidRPr="00BE3B51">
              <w:rPr>
                <w:rFonts w:ascii="Arial" w:eastAsia="Calibri" w:hAnsi="Arial" w:cs="Arial"/>
                <w:b/>
                <w:sz w:val="20"/>
                <w:szCs w:val="20"/>
                <w:vertAlign w:val="subscript"/>
                <w:lang w:val="en-US"/>
              </w:rPr>
              <w:t>L</w:t>
            </w:r>
            <w:r w:rsidR="00D4080E" w:rsidRPr="00BE3B51">
              <w:rPr>
                <w:rFonts w:ascii="Arial" w:eastAsia="Calibri" w:hAnsi="Arial" w:cs="Arial"/>
                <w:b/>
                <w:sz w:val="20"/>
                <w:szCs w:val="20"/>
                <w:lang w:val="en-US"/>
              </w:rPr>
              <w:t>= 48,1%</w:t>
            </w:r>
          </w:p>
        </w:tc>
        <w:tc>
          <w:tcPr>
            <w:tcW w:w="2409" w:type="dxa"/>
            <w:gridSpan w:val="3"/>
            <w:tcBorders>
              <w:left w:val="single" w:sz="4" w:space="0" w:color="auto"/>
              <w:bottom w:val="single" w:sz="4" w:space="0" w:color="auto"/>
              <w:right w:val="single" w:sz="4" w:space="0" w:color="auto"/>
            </w:tcBorders>
          </w:tcPr>
          <w:p w14:paraId="30A71EE6" w14:textId="77777777" w:rsidR="00D4080E" w:rsidRPr="00BE3B51" w:rsidRDefault="00D4080E" w:rsidP="001543EA">
            <w:pPr>
              <w:spacing w:line="359" w:lineRule="auto"/>
              <w:ind w:right="1129"/>
              <w:jc w:val="center"/>
              <w:rPr>
                <w:rFonts w:ascii="Arial" w:eastAsia="Calibri" w:hAnsi="Arial" w:cs="Arial"/>
                <w:b/>
                <w:sz w:val="20"/>
                <w:szCs w:val="20"/>
                <w:lang w:val="en-US"/>
              </w:rPr>
            </w:pPr>
            <w:r w:rsidRPr="00BE3B51">
              <w:rPr>
                <w:rFonts w:ascii="Arial" w:eastAsia="Calibri" w:hAnsi="Arial" w:cs="Arial"/>
                <w:b/>
                <w:sz w:val="20"/>
                <w:szCs w:val="20"/>
                <w:lang w:val="en-US"/>
              </w:rPr>
              <w:t>W</w:t>
            </w:r>
            <w:r w:rsidRPr="00BE3B51">
              <w:rPr>
                <w:rFonts w:ascii="Arial" w:eastAsia="Calibri" w:hAnsi="Arial" w:cs="Arial"/>
                <w:b/>
                <w:sz w:val="20"/>
                <w:szCs w:val="20"/>
                <w:vertAlign w:val="subscript"/>
                <w:lang w:val="en-US"/>
              </w:rPr>
              <w:t>P</w:t>
            </w:r>
            <w:r w:rsidRPr="00BE3B51">
              <w:rPr>
                <w:rFonts w:ascii="Arial" w:eastAsia="Calibri" w:hAnsi="Arial" w:cs="Arial"/>
                <w:b/>
                <w:sz w:val="20"/>
                <w:szCs w:val="20"/>
                <w:lang w:val="en-US"/>
              </w:rPr>
              <w:t>= 21,5%</w:t>
            </w:r>
          </w:p>
        </w:tc>
      </w:tr>
    </w:tbl>
    <w:p w14:paraId="76531F02" w14:textId="77777777" w:rsidR="00D4080E" w:rsidRDefault="00D4080E" w:rsidP="00DF1B95">
      <w:pPr>
        <w:spacing w:after="0"/>
        <w:rPr>
          <w:rFonts w:ascii="Times New Roman" w:hAnsi="Times New Roman" w:cs="Times New Roman"/>
          <w:b/>
          <w:sz w:val="24"/>
          <w:lang w:val="en-US"/>
        </w:rPr>
      </w:pPr>
    </w:p>
    <w:p w14:paraId="56776E28" w14:textId="3EC9C647" w:rsidR="00CD1F08" w:rsidRDefault="00D4080E" w:rsidP="00670828">
      <w:pPr>
        <w:spacing w:after="0"/>
        <w:rPr>
          <w:rFonts w:ascii="Arial" w:hAnsi="Arial" w:cs="Arial"/>
          <w:sz w:val="20"/>
          <w:szCs w:val="20"/>
          <w:lang w:val="en-US"/>
        </w:rPr>
      </w:pPr>
      <w:r w:rsidRPr="00BE3B51">
        <w:rPr>
          <w:rFonts w:ascii="Arial" w:hAnsi="Arial" w:cs="Arial"/>
          <w:sz w:val="20"/>
          <w:szCs w:val="20"/>
          <w:lang w:val="en-US"/>
        </w:rPr>
        <w:t>The results of the Atterberg limits of this sample were positioned in the Casagrande abacus below:</w:t>
      </w:r>
    </w:p>
    <w:p w14:paraId="4E5F500A" w14:textId="36B7F088" w:rsidR="00D4080E" w:rsidRDefault="00CD1F08" w:rsidP="00D4080E">
      <w:pPr>
        <w:rPr>
          <w:rFonts w:ascii="Times New Roman" w:hAnsi="Times New Roman" w:cs="Times New Roman"/>
          <w:sz w:val="24"/>
          <w:lang w:val="en-US"/>
        </w:rPr>
      </w:pPr>
      <w:r>
        <w:rPr>
          <w:noProof/>
          <w:lang w:eastAsia="fr-FR"/>
        </w:rPr>
        <w:lastRenderedPageBreak/>
        <mc:AlternateContent>
          <mc:Choice Requires="wps">
            <w:drawing>
              <wp:anchor distT="0" distB="0" distL="114300" distR="114300" simplePos="0" relativeHeight="251659264" behindDoc="0" locked="0" layoutInCell="1" allowOverlap="1" wp14:anchorId="49936088" wp14:editId="65BD7E2C">
                <wp:simplePos x="0" y="0"/>
                <wp:positionH relativeFrom="column">
                  <wp:posOffset>4519930</wp:posOffset>
                </wp:positionH>
                <wp:positionV relativeFrom="paragraph">
                  <wp:posOffset>1290955</wp:posOffset>
                </wp:positionV>
                <wp:extent cx="714375" cy="285750"/>
                <wp:effectExtent l="0" t="0" r="9525" b="0"/>
                <wp:wrapNone/>
                <wp:docPr id="13" name="Zone de texte 13"/>
                <wp:cNvGraphicFramePr/>
                <a:graphic xmlns:a="http://schemas.openxmlformats.org/drawingml/2006/main">
                  <a:graphicData uri="http://schemas.microsoft.com/office/word/2010/wordprocessingShape">
                    <wps:wsp>
                      <wps:cNvSpPr txBox="1"/>
                      <wps:spPr>
                        <a:xfrm>
                          <a:off x="0" y="0"/>
                          <a:ext cx="71437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6D1DFA" w14:textId="49A05CCC" w:rsidR="00CD1F08" w:rsidRDefault="00CD1F08">
                            <w:r>
                              <w:t>KOMBE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36088" id="Zone de texte 13" o:spid="_x0000_s1027" type="#_x0000_t202" style="position:absolute;margin-left:355.9pt;margin-top:101.65pt;width:56.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w6lkwIAAJcFAAAOAAAAZHJzL2Uyb0RvYy54bWysVE1v2zAMvQ/YfxB0X52kSdMFdYqsRYcB&#10;RVssHQrspshSI0wSNUmJnf36UbKdZF0vHXaxJfKRFB8/Li4bo8lW+KDAlnR4MqBEWA6Vss8l/fZ4&#10;8+GckhCZrZgGK0q6E4Fezt+/u6jdTIxgDboSnqATG2a1K+k6RjcrisDXwrBwAk5YVErwhkW8+uei&#10;8qxG70YXo8HgrKjBV84DFyGg9LpV0nn2L6Xg8V7KICLRJcW3xfz1+btK32J+wWbPnrm14t0z2D+8&#10;wjBlMeje1TWLjGy8+suVUdxDABlPOJgCpFRc5Bwwm+HgRTbLNXMi54LkBLenKfw/t/xu++CJqrB2&#10;p5RYZrBG37FSpBIkiiYKgnIkqXZhhtilQ3RsPkGDBr08oDDl3khv0h+zIqhHund7itEV4SicDsen&#10;0wklHFWj88l0kktQHIydD/GzAEPSoaQeK5iJZdvbEPEhCO0hKVYAraobpXW+pK4RV9qTLcN665if&#10;iBZ/oLQldUnPTjF0MrKQzFvP2iaJyH3ThUuJtwnmU9xpkTDafhUSect5vhKbcS7sPn5GJ5TEUG8x&#10;7PCHV73FuM0DLXJksHFvbJQFn7PPg3agrPrRUyZbPBJ+lHc6xmbVtA3T138F1Q7bwkM7XcHxG4XF&#10;u2UhPjCP44SdgCsi3uNHakDyoTtRsgb/6zV5wmOXo5aSGsezpOHnhnlBif5isf8/DsfjNM/5Mp5M&#10;R3jxx5rVscZuzBVgRwxxGTmejwkfdX+UHswTbpJFiooqZjnGLmnsj1exXRq4ibhYLDIIJ9ixeGuX&#10;jifXieXUmo/NE/Ou6980Q3fQDzKbvWjjFpssLSw2EaTKPZ54blnt+Mfpz63fbaq0Xo7vGXXYp/Pf&#10;AAAA//8DAFBLAwQUAAYACAAAACEAwZSBbOIAAAALAQAADwAAAGRycy9kb3ducmV2LnhtbEyPS0/E&#10;MAyE70j8h8hIXBCbPha2Kk1XCPGQ9saWh7hlG9NWNE7VZNvy7zEnuNnj0cznYrvYXkw4+s6RgngV&#10;gUCqnemoUfBSPVxmIHzQZHTvCBV8o4dteXpS6Ny4mZ5x2odGcAj5XCtoQxhyKX3dotV+5QYkvn26&#10;0erA69hIM+qZw20vkyi6llZ3xA2tHvCuxfprf7QKPi6a951fHl/n9Cod7p+mavNmKqXOz5bbGxAB&#10;l/Bnhl98RoeSmQ7uSMaLXsEmjhk9KEiiNAXBjixZ83BgZZ2lIMtC/v+h/AEAAP//AwBQSwECLQAU&#10;AAYACAAAACEAtoM4kv4AAADhAQAAEwAAAAAAAAAAAAAAAAAAAAAAW0NvbnRlbnRfVHlwZXNdLnht&#10;bFBLAQItABQABgAIAAAAIQA4/SH/1gAAAJQBAAALAAAAAAAAAAAAAAAAAC8BAABfcmVscy8ucmVs&#10;c1BLAQItABQABgAIAAAAIQCt8w6lkwIAAJcFAAAOAAAAAAAAAAAAAAAAAC4CAABkcnMvZTJvRG9j&#10;LnhtbFBLAQItABQABgAIAAAAIQDBlIFs4gAAAAsBAAAPAAAAAAAAAAAAAAAAAO0EAABkcnMvZG93&#10;bnJldi54bWxQSwUGAAAAAAQABADzAAAA/AUAAAAA&#10;" fillcolor="white [3201]" stroked="f" strokeweight=".5pt">
                <v:textbox>
                  <w:txbxContent>
                    <w:p w14:paraId="166D1DFA" w14:textId="49A05CCC" w:rsidR="00CD1F08" w:rsidRDefault="00CD1F08">
                      <w:r>
                        <w:t>KOMBE</w:t>
                      </w:r>
                    </w:p>
                  </w:txbxContent>
                </v:textbox>
              </v:shape>
            </w:pict>
          </mc:Fallback>
        </mc:AlternateContent>
      </w:r>
      <w:r>
        <w:rPr>
          <w:noProof/>
          <w:lang w:eastAsia="fr-FR"/>
        </w:rPr>
        <w:drawing>
          <wp:inline distT="0" distB="0" distL="0" distR="0" wp14:anchorId="4336B9B1" wp14:editId="10DCC0AA">
            <wp:extent cx="4543425" cy="2524125"/>
            <wp:effectExtent l="0" t="0" r="9525" b="952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552729" cy="2529294"/>
                    </a:xfrm>
                    <a:prstGeom prst="rect">
                      <a:avLst/>
                    </a:prstGeom>
                  </pic:spPr>
                </pic:pic>
              </a:graphicData>
            </a:graphic>
          </wp:inline>
        </w:drawing>
      </w:r>
    </w:p>
    <w:p w14:paraId="398E5F95" w14:textId="77777777" w:rsidR="002A3B8C" w:rsidRPr="00BE3B51" w:rsidRDefault="00777988" w:rsidP="009C0ECC">
      <w:pPr>
        <w:jc w:val="both"/>
        <w:rPr>
          <w:rFonts w:ascii="Arial" w:hAnsi="Arial" w:cs="Arial"/>
          <w:b/>
          <w:sz w:val="20"/>
          <w:szCs w:val="20"/>
          <w:lang w:val="en-US"/>
        </w:rPr>
      </w:pPr>
      <w:r w:rsidRPr="00BE3B51">
        <w:rPr>
          <w:rFonts w:ascii="Arial" w:hAnsi="Arial" w:cs="Arial"/>
          <w:b/>
          <w:sz w:val="20"/>
          <w:szCs w:val="20"/>
          <w:lang w:val="en-US"/>
        </w:rPr>
        <w:t>Figure 4</w:t>
      </w:r>
      <w:r w:rsidR="002A3B8C" w:rsidRPr="00BE3B51">
        <w:rPr>
          <w:rFonts w:ascii="Arial" w:hAnsi="Arial" w:cs="Arial"/>
          <w:b/>
          <w:sz w:val="20"/>
          <w:szCs w:val="20"/>
          <w:lang w:val="en-US"/>
        </w:rPr>
        <w:t xml:space="preserve">: </w:t>
      </w:r>
      <w:r w:rsidR="002A3B8C" w:rsidRPr="00FE2D62">
        <w:rPr>
          <w:rFonts w:ascii="Arial" w:hAnsi="Arial" w:cs="Arial"/>
          <w:sz w:val="20"/>
          <w:szCs w:val="20"/>
          <w:highlight w:val="yellow"/>
          <w:lang w:val="en-US"/>
        </w:rPr>
        <w:t>Positioning of the Kombé sample in the Casagrande abacus</w:t>
      </w:r>
    </w:p>
    <w:p w14:paraId="25F5A9B4" w14:textId="77777777" w:rsidR="002A3B8C" w:rsidRPr="00BE3B51" w:rsidRDefault="002A3B8C" w:rsidP="009C0ECC">
      <w:pPr>
        <w:spacing w:after="0"/>
        <w:jc w:val="both"/>
        <w:rPr>
          <w:rFonts w:ascii="Arial" w:hAnsi="Arial" w:cs="Arial"/>
          <w:sz w:val="20"/>
          <w:szCs w:val="20"/>
          <w:lang w:val="en-US"/>
        </w:rPr>
      </w:pPr>
      <w:r w:rsidRPr="00BE3B51">
        <w:rPr>
          <w:rFonts w:ascii="Arial" w:hAnsi="Arial" w:cs="Arial"/>
          <w:sz w:val="20"/>
          <w:szCs w:val="20"/>
          <w:lang w:val="en-US"/>
        </w:rPr>
        <w:t>The liquid limit and plasticity index of the Kombé material were plotted on the Casagrande diagram. Given its position in this diagram, the Kombé material is a plastic clay material. The plasticity of the Kombé sample can be explained by its clay content, which is at the acceptable limit according to the results of the particle size analysis.</w:t>
      </w:r>
    </w:p>
    <w:p w14:paraId="5C7C184F" w14:textId="77777777" w:rsidR="002A3B8C" w:rsidRPr="00BE3B51" w:rsidRDefault="002A3B8C" w:rsidP="009C0ECC">
      <w:pPr>
        <w:jc w:val="both"/>
        <w:rPr>
          <w:rFonts w:ascii="Arial" w:hAnsi="Arial" w:cs="Arial"/>
          <w:sz w:val="20"/>
          <w:szCs w:val="20"/>
          <w:lang w:val="en-US"/>
        </w:rPr>
      </w:pPr>
      <w:r w:rsidRPr="00BE3B51">
        <w:rPr>
          <w:rFonts w:ascii="Arial" w:hAnsi="Arial" w:cs="Arial"/>
          <w:sz w:val="20"/>
          <w:szCs w:val="20"/>
          <w:lang w:val="en-US"/>
        </w:rPr>
        <w:t xml:space="preserve">With this plasticity index (PI) value of 27%, this material can be used in the field of traditional ceramics, as demonstrated by </w:t>
      </w:r>
      <w:r w:rsidRPr="00FE2D62">
        <w:rPr>
          <w:rFonts w:ascii="Arial" w:hAnsi="Arial" w:cs="Arial"/>
          <w:i/>
          <w:sz w:val="20"/>
          <w:szCs w:val="20"/>
          <w:highlight w:val="yellow"/>
          <w:lang w:val="en-US"/>
        </w:rPr>
        <w:t>Chedlia Ounissi</w:t>
      </w:r>
      <w:r w:rsidRPr="00FE2D62">
        <w:rPr>
          <w:rFonts w:ascii="Arial" w:hAnsi="Arial" w:cs="Arial"/>
          <w:sz w:val="20"/>
          <w:szCs w:val="20"/>
          <w:highlight w:val="yellow"/>
          <w:lang w:val="en-US"/>
        </w:rPr>
        <w:t xml:space="preserve"> </w:t>
      </w:r>
      <w:r w:rsidRPr="00FE2D62">
        <w:rPr>
          <w:rFonts w:ascii="Arial" w:hAnsi="Arial" w:cs="Arial"/>
          <w:i/>
          <w:sz w:val="20"/>
          <w:szCs w:val="20"/>
          <w:highlight w:val="yellow"/>
          <w:lang w:val="en-US"/>
        </w:rPr>
        <w:t>et al</w:t>
      </w:r>
      <w:r w:rsidRPr="00FE2D62">
        <w:rPr>
          <w:rFonts w:ascii="Arial" w:hAnsi="Arial" w:cs="Arial"/>
          <w:sz w:val="20"/>
          <w:szCs w:val="20"/>
          <w:highlight w:val="yellow"/>
          <w:lang w:val="en-US"/>
        </w:rPr>
        <w:t>.</w:t>
      </w:r>
      <w:r w:rsidRPr="00BE3B51">
        <w:rPr>
          <w:rFonts w:ascii="Arial" w:hAnsi="Arial" w:cs="Arial"/>
          <w:sz w:val="20"/>
          <w:szCs w:val="20"/>
          <w:lang w:val="en-US"/>
        </w:rPr>
        <w:t xml:space="preserve"> in the study and ceramic application of clays from southeastern Tunisia [15].</w:t>
      </w:r>
    </w:p>
    <w:p w14:paraId="1FBD7833" w14:textId="77777777" w:rsidR="002A3B8C" w:rsidRPr="00BE3B51" w:rsidRDefault="002A3B8C" w:rsidP="002A3B8C">
      <w:pPr>
        <w:rPr>
          <w:rFonts w:ascii="Arial" w:hAnsi="Arial" w:cs="Arial"/>
          <w:b/>
          <w:sz w:val="20"/>
          <w:szCs w:val="20"/>
          <w:lang w:val="en-US"/>
        </w:rPr>
      </w:pPr>
      <w:r w:rsidRPr="00BE3B51">
        <w:rPr>
          <w:rFonts w:ascii="Arial" w:hAnsi="Arial" w:cs="Arial"/>
          <w:b/>
          <w:sz w:val="20"/>
          <w:szCs w:val="20"/>
          <w:lang w:val="en-US"/>
        </w:rPr>
        <w:t>X-ray diffractogram of the Kombé sample</w:t>
      </w:r>
    </w:p>
    <w:p w14:paraId="42B90CC7" w14:textId="19A4F309" w:rsidR="002A3B8C" w:rsidRPr="00BE3B51" w:rsidRDefault="002A3B8C" w:rsidP="00B52230">
      <w:pPr>
        <w:jc w:val="both"/>
        <w:rPr>
          <w:rFonts w:ascii="Arial" w:hAnsi="Arial" w:cs="Arial"/>
          <w:sz w:val="20"/>
          <w:szCs w:val="20"/>
          <w:lang w:val="en-US"/>
        </w:rPr>
      </w:pPr>
      <w:r w:rsidRPr="00BE3B51">
        <w:rPr>
          <w:rFonts w:ascii="Arial" w:hAnsi="Arial" w:cs="Arial"/>
          <w:sz w:val="20"/>
          <w:szCs w:val="20"/>
          <w:lang w:val="en-US"/>
        </w:rPr>
        <w:t xml:space="preserve">The diffractogram in </w:t>
      </w:r>
      <w:r w:rsidRPr="00FE2D62">
        <w:rPr>
          <w:rFonts w:ascii="Arial" w:hAnsi="Arial" w:cs="Arial"/>
          <w:b/>
          <w:sz w:val="20"/>
          <w:szCs w:val="20"/>
          <w:highlight w:val="yellow"/>
          <w:lang w:val="en-US"/>
        </w:rPr>
        <w:t xml:space="preserve">Figure </w:t>
      </w:r>
      <w:r w:rsidR="00245653" w:rsidRPr="00FE2D62">
        <w:rPr>
          <w:rFonts w:ascii="Arial" w:hAnsi="Arial" w:cs="Arial"/>
          <w:b/>
          <w:sz w:val="20"/>
          <w:szCs w:val="20"/>
          <w:highlight w:val="yellow"/>
          <w:lang w:val="en-US"/>
        </w:rPr>
        <w:t>5</w:t>
      </w:r>
      <w:r w:rsidR="00245653">
        <w:rPr>
          <w:rFonts w:ascii="Arial" w:hAnsi="Arial" w:cs="Arial"/>
          <w:sz w:val="20"/>
          <w:szCs w:val="20"/>
          <w:lang w:val="en-US"/>
        </w:rPr>
        <w:t xml:space="preserve"> </w:t>
      </w:r>
      <w:r w:rsidRPr="00BE3B51">
        <w:rPr>
          <w:rFonts w:ascii="Arial" w:hAnsi="Arial" w:cs="Arial"/>
          <w:sz w:val="20"/>
          <w:szCs w:val="20"/>
          <w:lang w:val="en-US"/>
        </w:rPr>
        <w:t>below presents the results of X-ray diffraction on the Kombé material sample.</w:t>
      </w:r>
    </w:p>
    <w:p w14:paraId="502BF660" w14:textId="00DF327B" w:rsidR="002A3B8C" w:rsidRDefault="00715AEF" w:rsidP="002A3B8C">
      <w:pPr>
        <w:rPr>
          <w:rFonts w:ascii="Times New Roman" w:hAnsi="Times New Roman" w:cs="Times New Roman"/>
          <w:sz w:val="24"/>
          <w:lang w:val="en-US"/>
        </w:rPr>
      </w:pPr>
      <w:r>
        <w:rPr>
          <w:noProof/>
          <w:lang w:eastAsia="fr-FR"/>
        </w:rPr>
        <w:drawing>
          <wp:inline distT="0" distB="0" distL="0" distR="0" wp14:anchorId="0DA04B90" wp14:editId="0DC1C7DC">
            <wp:extent cx="5760720" cy="3388116"/>
            <wp:effectExtent l="0" t="0" r="0" b="317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60720" cy="3388116"/>
                    </a:xfrm>
                    <a:prstGeom prst="rect">
                      <a:avLst/>
                    </a:prstGeom>
                  </pic:spPr>
                </pic:pic>
              </a:graphicData>
            </a:graphic>
          </wp:inline>
        </w:drawing>
      </w:r>
    </w:p>
    <w:p w14:paraId="419790AD" w14:textId="43131CB0" w:rsidR="002A3B8C" w:rsidRPr="000718AE" w:rsidRDefault="002A3B8C" w:rsidP="009C0ECC">
      <w:pPr>
        <w:jc w:val="both"/>
        <w:rPr>
          <w:rFonts w:ascii="Arial" w:hAnsi="Arial" w:cs="Arial"/>
          <w:sz w:val="20"/>
          <w:szCs w:val="20"/>
          <w:lang w:val="en-US"/>
        </w:rPr>
      </w:pPr>
      <w:r w:rsidRPr="00BE3B51">
        <w:rPr>
          <w:rFonts w:ascii="Arial" w:hAnsi="Arial" w:cs="Arial"/>
          <w:b/>
          <w:sz w:val="20"/>
          <w:szCs w:val="20"/>
          <w:lang w:val="en-US"/>
        </w:rPr>
        <w:t xml:space="preserve">Figure </w:t>
      </w:r>
      <w:r w:rsidR="00245653">
        <w:rPr>
          <w:rFonts w:ascii="Arial" w:hAnsi="Arial" w:cs="Arial"/>
          <w:b/>
          <w:sz w:val="20"/>
          <w:szCs w:val="20"/>
          <w:lang w:val="en-US"/>
        </w:rPr>
        <w:t>5</w:t>
      </w:r>
      <w:r w:rsidRPr="00BE3B51">
        <w:rPr>
          <w:rFonts w:ascii="Arial" w:hAnsi="Arial" w:cs="Arial"/>
          <w:b/>
          <w:sz w:val="20"/>
          <w:szCs w:val="20"/>
          <w:lang w:val="en-US"/>
        </w:rPr>
        <w:t xml:space="preserve">: </w:t>
      </w:r>
      <w:r w:rsidRPr="000718AE">
        <w:rPr>
          <w:rFonts w:ascii="Arial" w:hAnsi="Arial" w:cs="Arial"/>
          <w:sz w:val="20"/>
          <w:szCs w:val="20"/>
          <w:lang w:val="en-US"/>
        </w:rPr>
        <w:t>Diffractogram of the Kombé sample (K-B)</w:t>
      </w:r>
    </w:p>
    <w:p w14:paraId="6E96017B" w14:textId="77777777" w:rsidR="00BF61F5" w:rsidRPr="00BE3B51" w:rsidRDefault="00BF61F5" w:rsidP="009C0ECC">
      <w:pPr>
        <w:spacing w:after="0"/>
        <w:jc w:val="both"/>
        <w:rPr>
          <w:rFonts w:ascii="Arial" w:hAnsi="Arial" w:cs="Arial"/>
          <w:sz w:val="20"/>
          <w:szCs w:val="20"/>
          <w:lang w:val="en-US"/>
        </w:rPr>
      </w:pPr>
      <w:r w:rsidRPr="00BE3B51">
        <w:rPr>
          <w:rFonts w:ascii="Arial" w:hAnsi="Arial" w:cs="Arial"/>
          <w:sz w:val="20"/>
          <w:szCs w:val="20"/>
          <w:lang w:val="en-US"/>
        </w:rPr>
        <w:lastRenderedPageBreak/>
        <w:t xml:space="preserve">Analysis of the diffractogram of the Kombé material reveals the presence of clay minerals and crystalline phases, primarily in the form of tectosilicates. </w:t>
      </w:r>
    </w:p>
    <w:p w14:paraId="0BC3B436" w14:textId="77777777" w:rsidR="00BF61F5" w:rsidRPr="00BE3B51" w:rsidRDefault="00BF61F5" w:rsidP="009C0ECC">
      <w:pPr>
        <w:spacing w:after="0"/>
        <w:jc w:val="both"/>
        <w:rPr>
          <w:rFonts w:ascii="Arial" w:hAnsi="Arial" w:cs="Arial"/>
          <w:sz w:val="20"/>
          <w:szCs w:val="20"/>
          <w:lang w:val="en-US"/>
        </w:rPr>
      </w:pPr>
      <w:r w:rsidRPr="00BE3B51">
        <w:rPr>
          <w:rFonts w:ascii="Arial" w:hAnsi="Arial" w:cs="Arial"/>
          <w:sz w:val="20"/>
          <w:szCs w:val="20"/>
          <w:lang w:val="en-US"/>
        </w:rPr>
        <w:t>Two main mineralogical phases were identified in this sample: quartz and kaolinite.</w:t>
      </w:r>
    </w:p>
    <w:p w14:paraId="6DE53E13" w14:textId="77777777" w:rsidR="00BF61F5" w:rsidRPr="00BE3B51" w:rsidRDefault="00BF61F5" w:rsidP="009C0ECC">
      <w:pPr>
        <w:spacing w:after="0"/>
        <w:jc w:val="both"/>
        <w:rPr>
          <w:rFonts w:ascii="Arial" w:hAnsi="Arial" w:cs="Arial"/>
          <w:sz w:val="20"/>
          <w:szCs w:val="20"/>
          <w:lang w:val="en-US"/>
        </w:rPr>
      </w:pPr>
      <w:r w:rsidRPr="00BE3B51">
        <w:rPr>
          <w:rFonts w:ascii="Arial" w:hAnsi="Arial" w:cs="Arial"/>
          <w:sz w:val="20"/>
          <w:szCs w:val="20"/>
          <w:lang w:val="en-US"/>
        </w:rPr>
        <w:t>The set of diffraction peaks at 4.434; 4.225; 3.347; 2.229; 2.2332; 1.670; 1.540; 1.371; and 1.2554 Å confirms the presence of quartz as a very common tectosilicate. This suggests that quartz is a major component of this sample. Furthermore, the characteristic peaks of kaolinite (7.072; 3.557; 2.558; 2.495; 2.373; 2.335; 2.279; 2.2332; 2.124; 1.667; 1.488; 1.4333; 1.4165 and 1.381 Å) demonstrate that kaolinite is the predominant clay mineral in this Kombé sample.</w:t>
      </w:r>
    </w:p>
    <w:p w14:paraId="0E8B6387" w14:textId="5487B1D9" w:rsidR="00BF61F5" w:rsidRPr="00BE3B51" w:rsidRDefault="00BF61F5" w:rsidP="009C0ECC">
      <w:pPr>
        <w:jc w:val="both"/>
        <w:rPr>
          <w:rFonts w:ascii="Arial" w:hAnsi="Arial" w:cs="Arial"/>
          <w:sz w:val="20"/>
          <w:szCs w:val="20"/>
          <w:lang w:val="en-US"/>
        </w:rPr>
      </w:pPr>
      <w:r w:rsidRPr="00BE3B51">
        <w:rPr>
          <w:rFonts w:ascii="Arial" w:hAnsi="Arial" w:cs="Arial"/>
          <w:sz w:val="20"/>
          <w:szCs w:val="20"/>
          <w:lang w:val="en-US"/>
        </w:rPr>
        <w:t>It is noteworthy that the quartz peaks are significantly more intense than those of kaolinite. This not only means that the proportion of quartz is higher in the sample, but also indicates a higher degree of crystallinity for quartz compared to kaolinite. In other words, the quartz crystal lattice is more ordered and better formed than t</w:t>
      </w:r>
      <w:r w:rsidR="00D172EE">
        <w:rPr>
          <w:rFonts w:ascii="Arial" w:hAnsi="Arial" w:cs="Arial"/>
          <w:sz w:val="20"/>
          <w:szCs w:val="20"/>
          <w:lang w:val="en-US"/>
        </w:rPr>
        <w:t>hat of kaolinite in this sample</w:t>
      </w:r>
      <w:r w:rsidRPr="00BE3B51">
        <w:rPr>
          <w:rFonts w:ascii="Arial" w:hAnsi="Arial" w:cs="Arial"/>
          <w:sz w:val="20"/>
          <w:szCs w:val="20"/>
          <w:lang w:val="en-US"/>
        </w:rPr>
        <w:t xml:space="preserve"> [16]</w:t>
      </w:r>
    </w:p>
    <w:p w14:paraId="1475F901" w14:textId="77777777" w:rsidR="00BF61F5" w:rsidRPr="00BE3B51" w:rsidRDefault="00BF61F5" w:rsidP="00BF61F5">
      <w:pPr>
        <w:rPr>
          <w:rFonts w:ascii="Arial" w:hAnsi="Arial" w:cs="Arial"/>
          <w:b/>
          <w:sz w:val="20"/>
          <w:szCs w:val="20"/>
          <w:lang w:val="en-US"/>
        </w:rPr>
      </w:pPr>
      <w:r w:rsidRPr="00BE3B51">
        <w:rPr>
          <w:rFonts w:ascii="Arial" w:hAnsi="Arial" w:cs="Arial"/>
          <w:b/>
          <w:sz w:val="20"/>
          <w:szCs w:val="20"/>
          <w:lang w:val="en-US"/>
        </w:rPr>
        <w:t>Chemical Composition of the Kombé Sample</w:t>
      </w:r>
    </w:p>
    <w:p w14:paraId="0CDE4F5E" w14:textId="77777777" w:rsidR="00BF61F5" w:rsidRPr="00BE3B51" w:rsidRDefault="00BF61F5" w:rsidP="00BF61F5">
      <w:pPr>
        <w:rPr>
          <w:rFonts w:ascii="Arial" w:hAnsi="Arial" w:cs="Arial"/>
          <w:sz w:val="20"/>
          <w:szCs w:val="20"/>
          <w:lang w:val="en-US"/>
        </w:rPr>
      </w:pPr>
      <w:r w:rsidRPr="000718AE">
        <w:rPr>
          <w:rFonts w:ascii="Arial" w:hAnsi="Arial" w:cs="Arial"/>
          <w:b/>
          <w:sz w:val="20"/>
          <w:szCs w:val="20"/>
          <w:lang w:val="en-US"/>
        </w:rPr>
        <w:t>Table 4</w:t>
      </w:r>
      <w:r w:rsidRPr="00BE3B51">
        <w:rPr>
          <w:rFonts w:ascii="Arial" w:hAnsi="Arial" w:cs="Arial"/>
          <w:sz w:val="20"/>
          <w:szCs w:val="20"/>
          <w:lang w:val="en-US"/>
        </w:rPr>
        <w:t xml:space="preserve"> below gives the results of chemical analysis of major elements (Si, Al, Fe, Mn, Mg, Ca, Na, K, Ti, and P) as a percentage of the most stable oxide.</w:t>
      </w:r>
    </w:p>
    <w:p w14:paraId="47977EDF" w14:textId="77777777" w:rsidR="00BF61F5" w:rsidRPr="00BE3B51" w:rsidRDefault="00BF61F5" w:rsidP="00BF61F5">
      <w:pPr>
        <w:rPr>
          <w:rFonts w:ascii="Arial" w:hAnsi="Arial" w:cs="Arial"/>
          <w:b/>
          <w:sz w:val="20"/>
          <w:szCs w:val="20"/>
          <w:lang w:val="en-US"/>
        </w:rPr>
      </w:pPr>
      <w:r w:rsidRPr="00BE3B51">
        <w:rPr>
          <w:rFonts w:ascii="Arial" w:hAnsi="Arial" w:cs="Arial"/>
          <w:b/>
          <w:sz w:val="20"/>
          <w:szCs w:val="20"/>
          <w:lang w:val="en-US"/>
        </w:rPr>
        <w:t>Table 4: Results of the Chemical Analysis of Kombé</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50"/>
        <w:gridCol w:w="681"/>
        <w:gridCol w:w="722"/>
        <w:gridCol w:w="724"/>
        <w:gridCol w:w="716"/>
        <w:gridCol w:w="651"/>
        <w:gridCol w:w="716"/>
        <w:gridCol w:w="716"/>
        <w:gridCol w:w="577"/>
        <w:gridCol w:w="622"/>
        <w:gridCol w:w="716"/>
        <w:gridCol w:w="577"/>
        <w:gridCol w:w="688"/>
      </w:tblGrid>
      <w:tr w:rsidR="00BF61F5" w:rsidRPr="00BE3B51" w14:paraId="67CA7040" w14:textId="77777777" w:rsidTr="00BF61F5">
        <w:trPr>
          <w:trHeight w:val="317"/>
        </w:trPr>
        <w:tc>
          <w:tcPr>
            <w:tcW w:w="1250" w:type="dxa"/>
          </w:tcPr>
          <w:p w14:paraId="19EB13EB" w14:textId="77777777" w:rsidR="00BF61F5" w:rsidRPr="00BE3B51" w:rsidRDefault="00886C5D"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Sample</w:t>
            </w:r>
          </w:p>
        </w:tc>
        <w:tc>
          <w:tcPr>
            <w:tcW w:w="681" w:type="dxa"/>
          </w:tcPr>
          <w:p w14:paraId="6A67EF37" w14:textId="77777777" w:rsidR="00BF61F5" w:rsidRPr="00BE3B51" w:rsidRDefault="00BF61F5" w:rsidP="001543EA">
            <w:pPr>
              <w:autoSpaceDE w:val="0"/>
              <w:autoSpaceDN w:val="0"/>
              <w:adjustRightInd w:val="0"/>
              <w:spacing w:after="0" w:line="360" w:lineRule="auto"/>
              <w:jc w:val="both"/>
              <w:rPr>
                <w:rFonts w:ascii="Arial" w:eastAsia="Calibri" w:hAnsi="Arial" w:cs="Arial"/>
                <w:color w:val="000000"/>
                <w:sz w:val="20"/>
                <w:szCs w:val="20"/>
                <w:vertAlign w:val="subscript"/>
                <w:lang w:val="en-US"/>
              </w:rPr>
            </w:pPr>
            <w:r w:rsidRPr="00BE3B51">
              <w:rPr>
                <w:rFonts w:ascii="Arial" w:eastAsia="Calibri" w:hAnsi="Arial" w:cs="Arial"/>
                <w:color w:val="000000"/>
                <w:sz w:val="20"/>
                <w:szCs w:val="20"/>
                <w:lang w:val="en-US"/>
              </w:rPr>
              <w:t>SiO</w:t>
            </w:r>
            <w:r w:rsidRPr="00BE3B51">
              <w:rPr>
                <w:rFonts w:ascii="Arial" w:eastAsia="Calibri" w:hAnsi="Arial" w:cs="Arial"/>
                <w:color w:val="000000"/>
                <w:sz w:val="20"/>
                <w:szCs w:val="20"/>
                <w:vertAlign w:val="subscript"/>
                <w:lang w:val="en-US"/>
              </w:rPr>
              <w:t>2</w:t>
            </w:r>
          </w:p>
          <w:p w14:paraId="305110CF"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 xml:space="preserve">  % </w:t>
            </w:r>
          </w:p>
        </w:tc>
        <w:tc>
          <w:tcPr>
            <w:tcW w:w="722" w:type="dxa"/>
          </w:tcPr>
          <w:p w14:paraId="30FEAA65"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Al</w:t>
            </w:r>
            <w:r w:rsidRPr="00BE3B51">
              <w:rPr>
                <w:rFonts w:ascii="Arial" w:eastAsia="Calibri" w:hAnsi="Arial" w:cs="Arial"/>
                <w:sz w:val="20"/>
                <w:szCs w:val="20"/>
                <w:vertAlign w:val="subscript"/>
                <w:lang w:val="en-US"/>
              </w:rPr>
              <w:t>2</w:t>
            </w:r>
            <w:r w:rsidRPr="00BE3B51">
              <w:rPr>
                <w:rFonts w:ascii="Arial" w:eastAsia="Calibri" w:hAnsi="Arial" w:cs="Arial"/>
                <w:sz w:val="20"/>
                <w:szCs w:val="20"/>
                <w:lang w:val="en-US"/>
              </w:rPr>
              <w:t>O</w:t>
            </w:r>
            <w:r w:rsidRPr="00BE3B51">
              <w:rPr>
                <w:rFonts w:ascii="Arial" w:eastAsia="Calibri" w:hAnsi="Arial" w:cs="Arial"/>
                <w:sz w:val="20"/>
                <w:szCs w:val="20"/>
                <w:vertAlign w:val="subscript"/>
                <w:lang w:val="en-US"/>
              </w:rPr>
              <w:t>3</w:t>
            </w:r>
            <w:r w:rsidRPr="00BE3B51">
              <w:rPr>
                <w:rFonts w:ascii="Arial" w:eastAsia="Calibri" w:hAnsi="Arial" w:cs="Arial"/>
                <w:sz w:val="20"/>
                <w:szCs w:val="20"/>
                <w:lang w:val="en-US"/>
              </w:rPr>
              <w:t xml:space="preserve">   </w:t>
            </w:r>
          </w:p>
          <w:p w14:paraId="34DBAC53"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 xml:space="preserve">  %</w:t>
            </w:r>
          </w:p>
        </w:tc>
        <w:tc>
          <w:tcPr>
            <w:tcW w:w="724" w:type="dxa"/>
          </w:tcPr>
          <w:p w14:paraId="6A6EB881"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Fe</w:t>
            </w:r>
            <w:r w:rsidRPr="00BE3B51">
              <w:rPr>
                <w:rFonts w:ascii="Arial" w:eastAsia="Calibri" w:hAnsi="Arial" w:cs="Arial"/>
                <w:sz w:val="20"/>
                <w:szCs w:val="20"/>
                <w:vertAlign w:val="subscript"/>
                <w:lang w:val="en-US"/>
              </w:rPr>
              <w:t>2</w:t>
            </w:r>
            <w:r w:rsidRPr="00BE3B51">
              <w:rPr>
                <w:rFonts w:ascii="Arial" w:eastAsia="Calibri" w:hAnsi="Arial" w:cs="Arial"/>
                <w:sz w:val="20"/>
                <w:szCs w:val="20"/>
                <w:lang w:val="en-US"/>
              </w:rPr>
              <w:t>O</w:t>
            </w:r>
            <w:r w:rsidRPr="00BE3B51">
              <w:rPr>
                <w:rFonts w:ascii="Arial" w:eastAsia="Calibri" w:hAnsi="Arial" w:cs="Arial"/>
                <w:sz w:val="20"/>
                <w:szCs w:val="20"/>
                <w:vertAlign w:val="subscript"/>
                <w:lang w:val="en-US"/>
              </w:rPr>
              <w:t>3</w:t>
            </w:r>
            <w:r w:rsidRPr="00BE3B51">
              <w:rPr>
                <w:rFonts w:ascii="Arial" w:eastAsia="Calibri" w:hAnsi="Arial" w:cs="Arial"/>
                <w:sz w:val="20"/>
                <w:szCs w:val="20"/>
                <w:lang w:val="en-US"/>
              </w:rPr>
              <w:t xml:space="preserve"> </w:t>
            </w:r>
          </w:p>
          <w:p w14:paraId="34A90A3A"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 xml:space="preserve">  %</w:t>
            </w:r>
          </w:p>
        </w:tc>
        <w:tc>
          <w:tcPr>
            <w:tcW w:w="716" w:type="dxa"/>
          </w:tcPr>
          <w:p w14:paraId="53FA12FC"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 xml:space="preserve">MnO  </w:t>
            </w:r>
          </w:p>
          <w:p w14:paraId="3BB72510"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 xml:space="preserve">  %</w:t>
            </w:r>
          </w:p>
        </w:tc>
        <w:tc>
          <w:tcPr>
            <w:tcW w:w="651" w:type="dxa"/>
          </w:tcPr>
          <w:p w14:paraId="7C15B6A4"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 xml:space="preserve">MgO </w:t>
            </w:r>
          </w:p>
          <w:p w14:paraId="680CBDFE"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 xml:space="preserve">  %</w:t>
            </w:r>
          </w:p>
        </w:tc>
        <w:tc>
          <w:tcPr>
            <w:tcW w:w="716" w:type="dxa"/>
          </w:tcPr>
          <w:p w14:paraId="4BE1A266"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 xml:space="preserve">CaO </w:t>
            </w:r>
          </w:p>
          <w:p w14:paraId="2A1FF6D4"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 xml:space="preserve">  %</w:t>
            </w:r>
          </w:p>
        </w:tc>
        <w:tc>
          <w:tcPr>
            <w:tcW w:w="716" w:type="dxa"/>
          </w:tcPr>
          <w:p w14:paraId="274CD957"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Na</w:t>
            </w:r>
            <w:r w:rsidRPr="00BE3B51">
              <w:rPr>
                <w:rFonts w:ascii="Arial" w:eastAsia="Calibri" w:hAnsi="Arial" w:cs="Arial"/>
                <w:sz w:val="20"/>
                <w:szCs w:val="20"/>
                <w:vertAlign w:val="subscript"/>
                <w:lang w:val="en-US"/>
              </w:rPr>
              <w:t>2</w:t>
            </w:r>
            <w:r w:rsidRPr="00BE3B51">
              <w:rPr>
                <w:rFonts w:ascii="Arial" w:eastAsia="Calibri" w:hAnsi="Arial" w:cs="Arial"/>
                <w:sz w:val="20"/>
                <w:szCs w:val="20"/>
                <w:lang w:val="en-US"/>
              </w:rPr>
              <w:t xml:space="preserve">O </w:t>
            </w:r>
          </w:p>
          <w:p w14:paraId="4A3AAC88"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 xml:space="preserve">  %</w:t>
            </w:r>
          </w:p>
        </w:tc>
        <w:tc>
          <w:tcPr>
            <w:tcW w:w="577" w:type="dxa"/>
          </w:tcPr>
          <w:p w14:paraId="47F9B3A6"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K</w:t>
            </w:r>
            <w:r w:rsidRPr="00BE3B51">
              <w:rPr>
                <w:rFonts w:ascii="Arial" w:eastAsia="Calibri" w:hAnsi="Arial" w:cs="Arial"/>
                <w:sz w:val="20"/>
                <w:szCs w:val="20"/>
                <w:vertAlign w:val="subscript"/>
                <w:lang w:val="en-US"/>
              </w:rPr>
              <w:t>2</w:t>
            </w:r>
            <w:r w:rsidRPr="00BE3B51">
              <w:rPr>
                <w:rFonts w:ascii="Arial" w:eastAsia="Calibri" w:hAnsi="Arial" w:cs="Arial"/>
                <w:sz w:val="20"/>
                <w:szCs w:val="20"/>
                <w:lang w:val="en-US"/>
              </w:rPr>
              <w:t xml:space="preserve">O </w:t>
            </w:r>
          </w:p>
          <w:p w14:paraId="516DC3C4"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 xml:space="preserve">  %</w:t>
            </w:r>
          </w:p>
        </w:tc>
        <w:tc>
          <w:tcPr>
            <w:tcW w:w="622" w:type="dxa"/>
          </w:tcPr>
          <w:p w14:paraId="7AFC1595"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TiO</w:t>
            </w:r>
            <w:r w:rsidRPr="00BE3B51">
              <w:rPr>
                <w:rFonts w:ascii="Arial" w:eastAsia="Calibri" w:hAnsi="Arial" w:cs="Arial"/>
                <w:sz w:val="20"/>
                <w:szCs w:val="20"/>
                <w:vertAlign w:val="subscript"/>
                <w:lang w:val="en-US"/>
              </w:rPr>
              <w:t>2</w:t>
            </w:r>
            <w:r w:rsidRPr="00BE3B51">
              <w:rPr>
                <w:rFonts w:ascii="Arial" w:eastAsia="Calibri" w:hAnsi="Arial" w:cs="Arial"/>
                <w:sz w:val="20"/>
                <w:szCs w:val="20"/>
                <w:lang w:val="en-US"/>
              </w:rPr>
              <w:t xml:space="preserve"> </w:t>
            </w:r>
          </w:p>
          <w:p w14:paraId="33D4FE19"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 xml:space="preserve">  %</w:t>
            </w:r>
          </w:p>
        </w:tc>
        <w:tc>
          <w:tcPr>
            <w:tcW w:w="716" w:type="dxa"/>
          </w:tcPr>
          <w:p w14:paraId="0D24E06C"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P</w:t>
            </w:r>
            <w:r w:rsidRPr="00BE3B51">
              <w:rPr>
                <w:rFonts w:ascii="Arial" w:eastAsia="Calibri" w:hAnsi="Arial" w:cs="Arial"/>
                <w:sz w:val="20"/>
                <w:szCs w:val="20"/>
                <w:vertAlign w:val="subscript"/>
                <w:lang w:val="en-US"/>
              </w:rPr>
              <w:t>2</w:t>
            </w:r>
            <w:r w:rsidRPr="00BE3B51">
              <w:rPr>
                <w:rFonts w:ascii="Arial" w:eastAsia="Calibri" w:hAnsi="Arial" w:cs="Arial"/>
                <w:sz w:val="20"/>
                <w:szCs w:val="20"/>
                <w:lang w:val="en-US"/>
              </w:rPr>
              <w:t>O</w:t>
            </w:r>
            <w:r w:rsidRPr="00BE3B51">
              <w:rPr>
                <w:rFonts w:ascii="Arial" w:eastAsia="Calibri" w:hAnsi="Arial" w:cs="Arial"/>
                <w:sz w:val="20"/>
                <w:szCs w:val="20"/>
                <w:vertAlign w:val="subscript"/>
                <w:lang w:val="en-US"/>
              </w:rPr>
              <w:t>5</w:t>
            </w:r>
            <w:r w:rsidRPr="00BE3B51">
              <w:rPr>
                <w:rFonts w:ascii="Arial" w:eastAsia="Calibri" w:hAnsi="Arial" w:cs="Arial"/>
                <w:sz w:val="20"/>
                <w:szCs w:val="20"/>
                <w:lang w:val="en-US"/>
              </w:rPr>
              <w:t xml:space="preserve">  </w:t>
            </w:r>
          </w:p>
          <w:p w14:paraId="5AC252D2"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 xml:space="preserve">  % </w:t>
            </w:r>
          </w:p>
        </w:tc>
        <w:tc>
          <w:tcPr>
            <w:tcW w:w="577" w:type="dxa"/>
          </w:tcPr>
          <w:p w14:paraId="6BF015FB"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 xml:space="preserve">PF   </w:t>
            </w:r>
          </w:p>
          <w:p w14:paraId="74883A43"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 xml:space="preserve">  %</w:t>
            </w:r>
          </w:p>
        </w:tc>
        <w:tc>
          <w:tcPr>
            <w:tcW w:w="688" w:type="dxa"/>
          </w:tcPr>
          <w:p w14:paraId="293014C0"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 xml:space="preserve">Total          </w:t>
            </w:r>
          </w:p>
          <w:p w14:paraId="3498DFB2"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 xml:space="preserve">  %</w:t>
            </w:r>
          </w:p>
        </w:tc>
      </w:tr>
      <w:tr w:rsidR="00BF61F5" w:rsidRPr="00BE3B51" w14:paraId="0616952E" w14:textId="77777777" w:rsidTr="00BF61F5">
        <w:trPr>
          <w:trHeight w:val="909"/>
        </w:trPr>
        <w:tc>
          <w:tcPr>
            <w:tcW w:w="1250" w:type="dxa"/>
          </w:tcPr>
          <w:p w14:paraId="5C41371E" w14:textId="77777777" w:rsidR="00BF61F5" w:rsidRPr="00BE3B51" w:rsidRDefault="00BF61F5" w:rsidP="001543EA">
            <w:pPr>
              <w:spacing w:after="0" w:line="360" w:lineRule="auto"/>
              <w:jc w:val="both"/>
              <w:rPr>
                <w:rFonts w:ascii="Arial" w:eastAsia="Calibri" w:hAnsi="Arial" w:cs="Arial"/>
                <w:sz w:val="20"/>
                <w:szCs w:val="20"/>
                <w:lang w:val="en-US"/>
              </w:rPr>
            </w:pPr>
          </w:p>
          <w:p w14:paraId="4CEC5B01"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Kombé</w:t>
            </w:r>
          </w:p>
        </w:tc>
        <w:tc>
          <w:tcPr>
            <w:tcW w:w="681" w:type="dxa"/>
          </w:tcPr>
          <w:p w14:paraId="226C1ECA" w14:textId="77777777" w:rsidR="00BF61F5" w:rsidRPr="00BE3B51" w:rsidRDefault="00BF61F5" w:rsidP="001543EA">
            <w:pPr>
              <w:spacing w:after="0" w:line="360" w:lineRule="auto"/>
              <w:jc w:val="both"/>
              <w:rPr>
                <w:rFonts w:ascii="Arial" w:eastAsia="Calibri" w:hAnsi="Arial" w:cs="Arial"/>
                <w:sz w:val="20"/>
                <w:szCs w:val="20"/>
                <w:lang w:val="en-US"/>
              </w:rPr>
            </w:pPr>
          </w:p>
          <w:p w14:paraId="28E5F4AA"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73,04</w:t>
            </w:r>
          </w:p>
        </w:tc>
        <w:tc>
          <w:tcPr>
            <w:tcW w:w="722" w:type="dxa"/>
          </w:tcPr>
          <w:p w14:paraId="18E7E9F6" w14:textId="77777777" w:rsidR="00BF61F5" w:rsidRPr="00BE3B51" w:rsidRDefault="00BF61F5" w:rsidP="001543EA">
            <w:pPr>
              <w:spacing w:after="0" w:line="360" w:lineRule="auto"/>
              <w:jc w:val="both"/>
              <w:rPr>
                <w:rFonts w:ascii="Arial" w:eastAsia="Calibri" w:hAnsi="Arial" w:cs="Arial"/>
                <w:sz w:val="20"/>
                <w:szCs w:val="20"/>
                <w:lang w:val="en-US"/>
              </w:rPr>
            </w:pPr>
          </w:p>
          <w:p w14:paraId="140751CB"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15,29</w:t>
            </w:r>
          </w:p>
        </w:tc>
        <w:tc>
          <w:tcPr>
            <w:tcW w:w="724" w:type="dxa"/>
          </w:tcPr>
          <w:p w14:paraId="77D9A0E6" w14:textId="77777777" w:rsidR="00BF61F5" w:rsidRPr="00BE3B51" w:rsidRDefault="00BF61F5" w:rsidP="001543EA">
            <w:pPr>
              <w:spacing w:after="0" w:line="360" w:lineRule="auto"/>
              <w:jc w:val="both"/>
              <w:rPr>
                <w:rFonts w:ascii="Arial" w:eastAsia="Calibri" w:hAnsi="Arial" w:cs="Arial"/>
                <w:sz w:val="20"/>
                <w:szCs w:val="20"/>
                <w:lang w:val="en-US"/>
              </w:rPr>
            </w:pPr>
          </w:p>
          <w:p w14:paraId="72FE94AF"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1,92</w:t>
            </w:r>
          </w:p>
        </w:tc>
        <w:tc>
          <w:tcPr>
            <w:tcW w:w="716" w:type="dxa"/>
          </w:tcPr>
          <w:p w14:paraId="2B9AE49A" w14:textId="77777777" w:rsidR="00BF61F5" w:rsidRPr="00BE3B51" w:rsidRDefault="00BF61F5" w:rsidP="001543EA">
            <w:pPr>
              <w:spacing w:after="0" w:line="360" w:lineRule="auto"/>
              <w:jc w:val="both"/>
              <w:rPr>
                <w:rFonts w:ascii="Arial" w:eastAsia="Calibri" w:hAnsi="Arial" w:cs="Arial"/>
                <w:sz w:val="20"/>
                <w:szCs w:val="20"/>
                <w:lang w:val="en-US"/>
              </w:rPr>
            </w:pPr>
          </w:p>
          <w:p w14:paraId="7040B87E"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&lt;L.D.</w:t>
            </w:r>
          </w:p>
        </w:tc>
        <w:tc>
          <w:tcPr>
            <w:tcW w:w="651" w:type="dxa"/>
          </w:tcPr>
          <w:p w14:paraId="7DF29DB9" w14:textId="77777777" w:rsidR="00BF61F5" w:rsidRPr="00BE3B51" w:rsidRDefault="00BF61F5" w:rsidP="001543EA">
            <w:pPr>
              <w:spacing w:after="0" w:line="360" w:lineRule="auto"/>
              <w:jc w:val="both"/>
              <w:rPr>
                <w:rFonts w:ascii="Arial" w:eastAsia="Calibri" w:hAnsi="Arial" w:cs="Arial"/>
                <w:sz w:val="20"/>
                <w:szCs w:val="20"/>
                <w:lang w:val="en-US"/>
              </w:rPr>
            </w:pPr>
          </w:p>
          <w:p w14:paraId="5F99CE65"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0,24</w:t>
            </w:r>
          </w:p>
        </w:tc>
        <w:tc>
          <w:tcPr>
            <w:tcW w:w="716" w:type="dxa"/>
          </w:tcPr>
          <w:p w14:paraId="2A8FF333" w14:textId="77777777" w:rsidR="00BF61F5" w:rsidRPr="00BE3B51" w:rsidRDefault="00BF61F5" w:rsidP="001543EA">
            <w:pPr>
              <w:spacing w:after="0" w:line="360" w:lineRule="auto"/>
              <w:jc w:val="both"/>
              <w:rPr>
                <w:rFonts w:ascii="Arial" w:eastAsia="Calibri" w:hAnsi="Arial" w:cs="Arial"/>
                <w:sz w:val="20"/>
                <w:szCs w:val="20"/>
                <w:lang w:val="en-US"/>
              </w:rPr>
            </w:pPr>
          </w:p>
          <w:p w14:paraId="6F71C4B0"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&lt;L.D.</w:t>
            </w:r>
          </w:p>
        </w:tc>
        <w:tc>
          <w:tcPr>
            <w:tcW w:w="716" w:type="dxa"/>
          </w:tcPr>
          <w:p w14:paraId="7A9399FB" w14:textId="77777777" w:rsidR="00BF61F5" w:rsidRPr="00BE3B51" w:rsidRDefault="00BF61F5" w:rsidP="001543EA">
            <w:pPr>
              <w:spacing w:after="0" w:line="360" w:lineRule="auto"/>
              <w:jc w:val="both"/>
              <w:rPr>
                <w:rFonts w:ascii="Arial" w:eastAsia="Calibri" w:hAnsi="Arial" w:cs="Arial"/>
                <w:sz w:val="20"/>
                <w:szCs w:val="20"/>
                <w:lang w:val="en-US"/>
              </w:rPr>
            </w:pPr>
          </w:p>
          <w:p w14:paraId="0B8730BE"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&lt;L.D.</w:t>
            </w:r>
          </w:p>
        </w:tc>
        <w:tc>
          <w:tcPr>
            <w:tcW w:w="577" w:type="dxa"/>
          </w:tcPr>
          <w:p w14:paraId="5C65948E" w14:textId="77777777" w:rsidR="00BF61F5" w:rsidRPr="00BE3B51" w:rsidRDefault="00BF61F5" w:rsidP="001543EA">
            <w:pPr>
              <w:spacing w:after="0" w:line="360" w:lineRule="auto"/>
              <w:jc w:val="both"/>
              <w:rPr>
                <w:rFonts w:ascii="Arial" w:eastAsia="Calibri" w:hAnsi="Arial" w:cs="Arial"/>
                <w:sz w:val="20"/>
                <w:szCs w:val="20"/>
                <w:lang w:val="en-US"/>
              </w:rPr>
            </w:pPr>
          </w:p>
          <w:p w14:paraId="4000F9E1"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0,42</w:t>
            </w:r>
          </w:p>
        </w:tc>
        <w:tc>
          <w:tcPr>
            <w:tcW w:w="622" w:type="dxa"/>
          </w:tcPr>
          <w:p w14:paraId="007F14F8" w14:textId="77777777" w:rsidR="00BF61F5" w:rsidRPr="00BE3B51" w:rsidRDefault="00BF61F5" w:rsidP="001543EA">
            <w:pPr>
              <w:spacing w:after="0" w:line="360" w:lineRule="auto"/>
              <w:jc w:val="both"/>
              <w:rPr>
                <w:rFonts w:ascii="Arial" w:eastAsia="Calibri" w:hAnsi="Arial" w:cs="Arial"/>
                <w:sz w:val="20"/>
                <w:szCs w:val="20"/>
                <w:lang w:val="en-US"/>
              </w:rPr>
            </w:pPr>
          </w:p>
          <w:p w14:paraId="2654149C"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0,88</w:t>
            </w:r>
          </w:p>
        </w:tc>
        <w:tc>
          <w:tcPr>
            <w:tcW w:w="716" w:type="dxa"/>
          </w:tcPr>
          <w:p w14:paraId="02A76617" w14:textId="77777777" w:rsidR="00BF61F5" w:rsidRPr="00BE3B51" w:rsidRDefault="00BF61F5" w:rsidP="001543EA">
            <w:pPr>
              <w:spacing w:after="0" w:line="360" w:lineRule="auto"/>
              <w:jc w:val="both"/>
              <w:rPr>
                <w:rFonts w:ascii="Arial" w:eastAsia="Calibri" w:hAnsi="Arial" w:cs="Arial"/>
                <w:sz w:val="20"/>
                <w:szCs w:val="20"/>
                <w:lang w:val="en-US"/>
              </w:rPr>
            </w:pPr>
          </w:p>
          <w:p w14:paraId="6B042EEC"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&lt;L.D.</w:t>
            </w:r>
          </w:p>
        </w:tc>
        <w:tc>
          <w:tcPr>
            <w:tcW w:w="577" w:type="dxa"/>
          </w:tcPr>
          <w:p w14:paraId="1A88FC87" w14:textId="77777777" w:rsidR="00BF61F5" w:rsidRPr="00BE3B51" w:rsidRDefault="00BF61F5" w:rsidP="001543EA">
            <w:pPr>
              <w:spacing w:after="0" w:line="360" w:lineRule="auto"/>
              <w:jc w:val="both"/>
              <w:rPr>
                <w:rFonts w:ascii="Arial" w:eastAsia="Calibri" w:hAnsi="Arial" w:cs="Arial"/>
                <w:sz w:val="20"/>
                <w:szCs w:val="20"/>
                <w:lang w:val="en-US"/>
              </w:rPr>
            </w:pPr>
          </w:p>
          <w:p w14:paraId="144C7F51"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8,06</w:t>
            </w:r>
          </w:p>
        </w:tc>
        <w:tc>
          <w:tcPr>
            <w:tcW w:w="688" w:type="dxa"/>
          </w:tcPr>
          <w:p w14:paraId="55BD09B6" w14:textId="77777777" w:rsidR="00BF61F5" w:rsidRPr="00BE3B51" w:rsidRDefault="00BF61F5" w:rsidP="001543EA">
            <w:pPr>
              <w:spacing w:after="0" w:line="360" w:lineRule="auto"/>
              <w:jc w:val="both"/>
              <w:rPr>
                <w:rFonts w:ascii="Arial" w:eastAsia="Calibri" w:hAnsi="Arial" w:cs="Arial"/>
                <w:sz w:val="20"/>
                <w:szCs w:val="20"/>
                <w:lang w:val="en-US"/>
              </w:rPr>
            </w:pPr>
          </w:p>
          <w:p w14:paraId="502A694D" w14:textId="77777777" w:rsidR="00BF61F5" w:rsidRPr="00BE3B51" w:rsidRDefault="00BF61F5" w:rsidP="001543EA">
            <w:pPr>
              <w:spacing w:after="0" w:line="360" w:lineRule="auto"/>
              <w:jc w:val="both"/>
              <w:rPr>
                <w:rFonts w:ascii="Arial" w:eastAsia="Calibri" w:hAnsi="Arial" w:cs="Arial"/>
                <w:sz w:val="20"/>
                <w:szCs w:val="20"/>
                <w:lang w:val="en-US"/>
              </w:rPr>
            </w:pPr>
            <w:r w:rsidRPr="00BE3B51">
              <w:rPr>
                <w:rFonts w:ascii="Arial" w:eastAsia="Calibri" w:hAnsi="Arial" w:cs="Arial"/>
                <w:sz w:val="20"/>
                <w:szCs w:val="20"/>
                <w:lang w:val="en-US"/>
              </w:rPr>
              <w:t>99,84</w:t>
            </w:r>
          </w:p>
        </w:tc>
      </w:tr>
    </w:tbl>
    <w:p w14:paraId="2B65AFE6" w14:textId="77777777" w:rsidR="00BF61F5" w:rsidRPr="00BE3B51" w:rsidRDefault="00886C5D" w:rsidP="00BF61F5">
      <w:pPr>
        <w:rPr>
          <w:rFonts w:ascii="Arial" w:hAnsi="Arial" w:cs="Arial"/>
          <w:sz w:val="20"/>
          <w:szCs w:val="20"/>
          <w:lang w:val="en-US"/>
        </w:rPr>
      </w:pPr>
      <w:r w:rsidRPr="00BE3B51">
        <w:rPr>
          <w:rFonts w:ascii="Arial" w:hAnsi="Arial" w:cs="Arial"/>
          <w:sz w:val="20"/>
          <w:szCs w:val="20"/>
          <w:lang w:val="en-US"/>
        </w:rPr>
        <w:t>With: LD: detection limit and P</w:t>
      </w:r>
      <w:r w:rsidR="00BF61F5" w:rsidRPr="00BE3B51">
        <w:rPr>
          <w:rFonts w:ascii="Arial" w:hAnsi="Arial" w:cs="Arial"/>
          <w:sz w:val="20"/>
          <w:szCs w:val="20"/>
          <w:lang w:val="en-US"/>
        </w:rPr>
        <w:t>F: loss on ignition at 1000°C</w:t>
      </w:r>
    </w:p>
    <w:p w14:paraId="7719C825" w14:textId="77777777" w:rsidR="00BF61F5" w:rsidRPr="00BE3B51" w:rsidRDefault="00BF61F5" w:rsidP="009C0ECC">
      <w:pPr>
        <w:spacing w:after="0"/>
        <w:jc w:val="both"/>
        <w:rPr>
          <w:rFonts w:ascii="Arial" w:hAnsi="Arial" w:cs="Arial"/>
          <w:sz w:val="20"/>
          <w:szCs w:val="20"/>
          <w:lang w:val="en-US"/>
        </w:rPr>
      </w:pPr>
      <w:r w:rsidRPr="00BE3B51">
        <w:rPr>
          <w:rFonts w:ascii="Arial" w:hAnsi="Arial" w:cs="Arial"/>
          <w:sz w:val="20"/>
          <w:szCs w:val="20"/>
          <w:lang w:val="en-US"/>
        </w:rPr>
        <w:t>Chemical analysis revealed that the Kombé clay is remarkably rich in silica (SiO</w:t>
      </w:r>
      <w:r w:rsidRPr="00BE3B51">
        <w:rPr>
          <w:rFonts w:ascii="Arial" w:hAnsi="Arial" w:cs="Arial"/>
          <w:sz w:val="20"/>
          <w:szCs w:val="20"/>
          <w:vertAlign w:val="subscript"/>
          <w:lang w:val="en-US"/>
        </w:rPr>
        <w:t>2</w:t>
      </w:r>
      <w:r w:rsidRPr="00BE3B51">
        <w:rPr>
          <w:rFonts w:ascii="Arial" w:hAnsi="Arial" w:cs="Arial"/>
          <w:sz w:val="20"/>
          <w:szCs w:val="20"/>
          <w:lang w:val="en-US"/>
        </w:rPr>
        <w:t>), with a content of 73.04%. This high silica content is consistent with the results of the grain size analysis, which indicate a significant proportion of quartz (SiO</w:t>
      </w:r>
      <w:r w:rsidRPr="00BE3B51">
        <w:rPr>
          <w:rFonts w:ascii="Arial" w:hAnsi="Arial" w:cs="Arial"/>
          <w:sz w:val="20"/>
          <w:szCs w:val="20"/>
          <w:vertAlign w:val="subscript"/>
          <w:lang w:val="en-US"/>
        </w:rPr>
        <w:t>2</w:t>
      </w:r>
      <w:r w:rsidRPr="00BE3B51">
        <w:rPr>
          <w:rFonts w:ascii="Arial" w:hAnsi="Arial" w:cs="Arial"/>
          <w:sz w:val="20"/>
          <w:szCs w:val="20"/>
          <w:lang w:val="en-US"/>
        </w:rPr>
        <w:t>). Silica is also a major component of kaolinite with the formula Al</w:t>
      </w:r>
      <w:r w:rsidRPr="00BE3B51">
        <w:rPr>
          <w:rFonts w:ascii="Arial" w:hAnsi="Arial" w:cs="Arial"/>
          <w:sz w:val="20"/>
          <w:szCs w:val="20"/>
          <w:vertAlign w:val="subscript"/>
          <w:lang w:val="en-US"/>
        </w:rPr>
        <w:t>2</w:t>
      </w:r>
      <w:r w:rsidRPr="00BE3B51">
        <w:rPr>
          <w:rFonts w:ascii="Arial" w:hAnsi="Arial" w:cs="Arial"/>
          <w:sz w:val="20"/>
          <w:szCs w:val="20"/>
          <w:lang w:val="en-US"/>
        </w:rPr>
        <w:t>Si</w:t>
      </w:r>
      <w:r w:rsidRPr="00BE3B51">
        <w:rPr>
          <w:rFonts w:ascii="Arial" w:hAnsi="Arial" w:cs="Arial"/>
          <w:sz w:val="20"/>
          <w:szCs w:val="20"/>
          <w:vertAlign w:val="subscript"/>
          <w:lang w:val="en-US"/>
        </w:rPr>
        <w:t>2</w:t>
      </w:r>
      <w:r w:rsidRPr="00BE3B51">
        <w:rPr>
          <w:rFonts w:ascii="Arial" w:hAnsi="Arial" w:cs="Arial"/>
          <w:sz w:val="20"/>
          <w:szCs w:val="20"/>
          <w:lang w:val="en-US"/>
        </w:rPr>
        <w:t>O</w:t>
      </w:r>
      <w:r w:rsidRPr="00BE3B51">
        <w:rPr>
          <w:rFonts w:ascii="Arial" w:hAnsi="Arial" w:cs="Arial"/>
          <w:sz w:val="20"/>
          <w:szCs w:val="20"/>
          <w:vertAlign w:val="subscript"/>
          <w:lang w:val="en-US"/>
        </w:rPr>
        <w:t>5</w:t>
      </w:r>
      <w:r w:rsidRPr="00BE3B51">
        <w:rPr>
          <w:rFonts w:ascii="Arial" w:hAnsi="Arial" w:cs="Arial"/>
          <w:sz w:val="20"/>
          <w:szCs w:val="20"/>
          <w:lang w:val="en-US"/>
        </w:rPr>
        <w:t>(OH)</w:t>
      </w:r>
      <w:r w:rsidRPr="00BE3B51">
        <w:rPr>
          <w:rFonts w:ascii="Arial" w:hAnsi="Arial" w:cs="Arial"/>
          <w:sz w:val="20"/>
          <w:szCs w:val="20"/>
          <w:vertAlign w:val="subscript"/>
          <w:lang w:val="en-US"/>
        </w:rPr>
        <w:t>4</w:t>
      </w:r>
      <w:r w:rsidRPr="00BE3B51">
        <w:rPr>
          <w:rFonts w:ascii="Arial" w:hAnsi="Arial" w:cs="Arial"/>
          <w:sz w:val="20"/>
          <w:szCs w:val="20"/>
          <w:lang w:val="en-US"/>
        </w:rPr>
        <w:t>, a predominant clay mineral species often associated with this type of deposit.</w:t>
      </w:r>
    </w:p>
    <w:p w14:paraId="3320191F" w14:textId="77777777" w:rsidR="00BF61F5" w:rsidRPr="00BE3B51" w:rsidRDefault="00BF61F5" w:rsidP="009C0ECC">
      <w:pPr>
        <w:spacing w:after="0"/>
        <w:jc w:val="both"/>
        <w:rPr>
          <w:rFonts w:ascii="Arial" w:hAnsi="Arial" w:cs="Arial"/>
          <w:sz w:val="20"/>
          <w:szCs w:val="20"/>
          <w:lang w:val="en-US"/>
        </w:rPr>
      </w:pPr>
      <w:r w:rsidRPr="00BE3B51">
        <w:rPr>
          <w:rFonts w:ascii="Arial" w:hAnsi="Arial" w:cs="Arial"/>
          <w:sz w:val="20"/>
          <w:szCs w:val="20"/>
          <w:lang w:val="en-US"/>
        </w:rPr>
        <w:t>The calcium oxide (CaO) and sodium oxide (Na</w:t>
      </w:r>
      <w:r w:rsidRPr="00BE3B51">
        <w:rPr>
          <w:rFonts w:ascii="Arial" w:hAnsi="Arial" w:cs="Arial"/>
          <w:sz w:val="20"/>
          <w:szCs w:val="20"/>
          <w:vertAlign w:val="subscript"/>
          <w:lang w:val="en-US"/>
        </w:rPr>
        <w:t>2</w:t>
      </w:r>
      <w:r w:rsidRPr="00BE3B51">
        <w:rPr>
          <w:rFonts w:ascii="Arial" w:hAnsi="Arial" w:cs="Arial"/>
          <w:sz w:val="20"/>
          <w:szCs w:val="20"/>
          <w:lang w:val="en-US"/>
        </w:rPr>
        <w:t>O) contents are very low, suggesting significant chemical alteration of the parent material. This low concentration of alkali and alkaline-earth elements indicates a near absence of minerals such as plagioclase (calcium-sodium feldspars), granite, and gneiss, which are often the main sources of these oxides. This phenomenon is consistent with the kaolinization process, where feldspars are decomposed into kaolinite, releasing alkali and alkaline-earth elements.</w:t>
      </w:r>
    </w:p>
    <w:p w14:paraId="71708078" w14:textId="77777777" w:rsidR="00BF61F5" w:rsidRPr="00BE3B51" w:rsidRDefault="00BF61F5" w:rsidP="009C0ECC">
      <w:pPr>
        <w:spacing w:after="0"/>
        <w:jc w:val="both"/>
        <w:rPr>
          <w:rFonts w:ascii="Arial" w:hAnsi="Arial" w:cs="Arial"/>
          <w:sz w:val="20"/>
          <w:szCs w:val="20"/>
          <w:lang w:val="en-US"/>
        </w:rPr>
      </w:pPr>
      <w:r w:rsidRPr="00BE3B51">
        <w:rPr>
          <w:rFonts w:ascii="Arial" w:hAnsi="Arial" w:cs="Arial"/>
          <w:sz w:val="20"/>
          <w:szCs w:val="20"/>
          <w:lang w:val="en-US"/>
        </w:rPr>
        <w:t xml:space="preserve">The loss on ignition </w:t>
      </w:r>
      <w:r w:rsidR="00886C5D" w:rsidRPr="00BE3B51">
        <w:rPr>
          <w:rFonts w:ascii="Arial" w:hAnsi="Arial" w:cs="Arial"/>
          <w:sz w:val="20"/>
          <w:szCs w:val="20"/>
          <w:lang w:val="en-US"/>
        </w:rPr>
        <w:t>(PF</w:t>
      </w:r>
      <w:r w:rsidRPr="00BE3B51">
        <w:rPr>
          <w:rFonts w:ascii="Arial" w:hAnsi="Arial" w:cs="Arial"/>
          <w:sz w:val="20"/>
          <w:szCs w:val="20"/>
          <w:lang w:val="en-US"/>
        </w:rPr>
        <w:t>), measured at 8.06%, corresponds to the thermal decomposition of clay minerals, mainly kaolinite, which releases water of constitution at high temperatures. This value is typical of kaolinitic clays.</w:t>
      </w:r>
    </w:p>
    <w:p w14:paraId="03FD5D01" w14:textId="77777777" w:rsidR="00BF61F5" w:rsidRPr="00BE3B51" w:rsidRDefault="00BF61F5" w:rsidP="009C0ECC">
      <w:pPr>
        <w:spacing w:after="0"/>
        <w:jc w:val="both"/>
        <w:rPr>
          <w:rFonts w:ascii="Arial" w:hAnsi="Arial" w:cs="Arial"/>
          <w:sz w:val="20"/>
          <w:szCs w:val="20"/>
          <w:lang w:val="en-US"/>
        </w:rPr>
      </w:pPr>
      <w:r w:rsidRPr="00BE3B51">
        <w:rPr>
          <w:rFonts w:ascii="Arial" w:hAnsi="Arial" w:cs="Arial"/>
          <w:sz w:val="20"/>
          <w:szCs w:val="20"/>
          <w:lang w:val="en-US"/>
        </w:rPr>
        <w:t>The SiO</w:t>
      </w:r>
      <w:r w:rsidRPr="00BE3B51">
        <w:rPr>
          <w:rFonts w:ascii="Arial" w:hAnsi="Arial" w:cs="Arial"/>
          <w:sz w:val="20"/>
          <w:szCs w:val="20"/>
          <w:vertAlign w:val="subscript"/>
          <w:lang w:val="en-US"/>
        </w:rPr>
        <w:t>2</w:t>
      </w:r>
      <w:r w:rsidRPr="00BE3B51">
        <w:rPr>
          <w:rFonts w:ascii="Arial" w:hAnsi="Arial" w:cs="Arial"/>
          <w:sz w:val="20"/>
          <w:szCs w:val="20"/>
          <w:lang w:val="en-US"/>
        </w:rPr>
        <w:t>/Al</w:t>
      </w:r>
      <w:r w:rsidRPr="00BE3B51">
        <w:rPr>
          <w:rFonts w:ascii="Arial" w:hAnsi="Arial" w:cs="Arial"/>
          <w:sz w:val="20"/>
          <w:szCs w:val="20"/>
          <w:vertAlign w:val="subscript"/>
          <w:lang w:val="en-US"/>
        </w:rPr>
        <w:t>2</w:t>
      </w:r>
      <w:r w:rsidRPr="00BE3B51">
        <w:rPr>
          <w:rFonts w:ascii="Arial" w:hAnsi="Arial" w:cs="Arial"/>
          <w:sz w:val="20"/>
          <w:szCs w:val="20"/>
          <w:lang w:val="en-US"/>
        </w:rPr>
        <w:t>O</w:t>
      </w:r>
      <w:r w:rsidRPr="00BE3B51">
        <w:rPr>
          <w:rFonts w:ascii="Arial" w:hAnsi="Arial" w:cs="Arial"/>
          <w:sz w:val="20"/>
          <w:szCs w:val="20"/>
          <w:vertAlign w:val="subscript"/>
          <w:lang w:val="en-US"/>
        </w:rPr>
        <w:t>3</w:t>
      </w:r>
      <w:r w:rsidRPr="00BE3B51">
        <w:rPr>
          <w:rFonts w:ascii="Arial" w:hAnsi="Arial" w:cs="Arial"/>
          <w:sz w:val="20"/>
          <w:szCs w:val="20"/>
          <w:lang w:val="en-US"/>
        </w:rPr>
        <w:t xml:space="preserve"> molar ratio is an essential indicator for classifying and evaluating the refractory potential of clays. This ratio, being 4.77 for the Kombé sample, places this clay in the category of siliceous refractory clays, whose ratio is typically between 3.5 and 6.7 in the classification of refractory clays according to ISO10081-1, 2003 [17].</w:t>
      </w:r>
    </w:p>
    <w:p w14:paraId="29E5A7F0" w14:textId="77777777" w:rsidR="00BF61F5" w:rsidRPr="00BE3B51" w:rsidRDefault="00BF61F5" w:rsidP="009C0ECC">
      <w:pPr>
        <w:spacing w:after="0"/>
        <w:jc w:val="both"/>
        <w:rPr>
          <w:rFonts w:ascii="Arial" w:hAnsi="Arial" w:cs="Arial"/>
          <w:sz w:val="20"/>
          <w:szCs w:val="20"/>
          <w:lang w:val="en-US"/>
        </w:rPr>
      </w:pPr>
      <w:r w:rsidRPr="00BE3B51">
        <w:rPr>
          <w:rFonts w:ascii="Arial" w:hAnsi="Arial" w:cs="Arial"/>
          <w:sz w:val="20"/>
          <w:szCs w:val="20"/>
          <w:lang w:val="en-US"/>
        </w:rPr>
        <w:t>This value confirms the potential of Kombé clay for applications requiring high thermal resistance, such as refractory bricks or specialty cements. This result is consistent with the work of POUNTOUENCHI Amadou (2020) [18] on clays of similar compositions, which demonstrated their successful use in the manufacture of refractory ceramic materials.</w:t>
      </w:r>
    </w:p>
    <w:p w14:paraId="6A685AFB" w14:textId="39ADF397" w:rsidR="00BF61F5" w:rsidRPr="00BE3B51" w:rsidRDefault="00BF61F5" w:rsidP="009C0ECC">
      <w:pPr>
        <w:jc w:val="both"/>
        <w:rPr>
          <w:rFonts w:ascii="Arial" w:hAnsi="Arial" w:cs="Arial"/>
          <w:sz w:val="20"/>
          <w:szCs w:val="20"/>
          <w:lang w:val="en-US"/>
        </w:rPr>
      </w:pPr>
      <w:r w:rsidRPr="00BE3B51">
        <w:rPr>
          <w:rFonts w:ascii="Arial" w:hAnsi="Arial" w:cs="Arial"/>
          <w:sz w:val="20"/>
          <w:szCs w:val="20"/>
          <w:lang w:val="en-US"/>
        </w:rPr>
        <w:t>The kaolinite and quartz content</w:t>
      </w:r>
      <w:r w:rsidR="00CE646B">
        <w:rPr>
          <w:rFonts w:ascii="Arial" w:hAnsi="Arial" w:cs="Arial"/>
          <w:sz w:val="20"/>
          <w:szCs w:val="20"/>
          <w:lang w:val="en-US"/>
        </w:rPr>
        <w:t>s</w:t>
      </w:r>
      <w:r w:rsidRPr="00BE3B51">
        <w:rPr>
          <w:rFonts w:ascii="Arial" w:hAnsi="Arial" w:cs="Arial"/>
          <w:sz w:val="20"/>
          <w:szCs w:val="20"/>
          <w:lang w:val="en-US"/>
        </w:rPr>
        <w:t xml:space="preserve"> in the Kombé sample were determined using the following formulas:</w:t>
      </w:r>
    </w:p>
    <w:p w14:paraId="4077433F" w14:textId="77777777" w:rsidR="00720D42" w:rsidRPr="00BE3B51" w:rsidRDefault="00720D42" w:rsidP="00720D42">
      <w:pPr>
        <w:shd w:val="clear" w:color="auto" w:fill="FFFFFF"/>
        <w:suppressAutoHyphens/>
        <w:autoSpaceDN w:val="0"/>
        <w:spacing w:after="160" w:line="247" w:lineRule="auto"/>
        <w:jc w:val="center"/>
        <w:textAlignment w:val="baseline"/>
        <w:rPr>
          <w:rFonts w:ascii="Arial" w:eastAsia="Calibri" w:hAnsi="Arial" w:cs="Arial"/>
          <w:kern w:val="2"/>
          <w:sz w:val="20"/>
          <w:szCs w:val="20"/>
          <w:lang w:val="en-US"/>
          <w14:ligatures w14:val="standardContextual"/>
        </w:rPr>
      </w:pPr>
      <m:oMath>
        <m:r>
          <m:rPr>
            <m:sty m:val="p"/>
          </m:rPr>
          <w:rPr>
            <w:rFonts w:ascii="Cambria Math" w:eastAsia="Calibri" w:hAnsi="Cambria Math" w:cs="Arial"/>
            <w:kern w:val="2"/>
            <w:sz w:val="20"/>
            <w:szCs w:val="20"/>
            <w:lang w:val="en-US"/>
            <w14:ligatures w14:val="standardContextual"/>
          </w:rPr>
          <m:t xml:space="preserve">%Kaolinite= </m:t>
        </m:r>
        <m:f>
          <m:fPr>
            <m:ctrlPr>
              <w:rPr>
                <w:rFonts w:ascii="Cambria Math" w:eastAsia="Calibri" w:hAnsi="Cambria Math" w:cs="Arial"/>
                <w:kern w:val="2"/>
                <w:sz w:val="20"/>
                <w:szCs w:val="20"/>
                <w14:ligatures w14:val="standardContextual"/>
              </w:rPr>
            </m:ctrlPr>
          </m:fPr>
          <m:num>
            <m:sSub>
              <m:sSubPr>
                <m:ctrlPr>
                  <w:rPr>
                    <w:rFonts w:ascii="Cambria Math" w:eastAsia="Calibri" w:hAnsi="Cambria Math" w:cs="Arial"/>
                    <w:kern w:val="2"/>
                    <w:sz w:val="20"/>
                    <w:szCs w:val="20"/>
                    <w14:ligatures w14:val="standardContextual"/>
                  </w:rPr>
                </m:ctrlPr>
              </m:sSubPr>
              <m:e>
                <m:r>
                  <m:rPr>
                    <m:sty m:val="p"/>
                  </m:rPr>
                  <w:rPr>
                    <w:rFonts w:ascii="Cambria Math" w:eastAsia="Calibri" w:hAnsi="Cambria Math" w:cs="Arial"/>
                    <w:kern w:val="2"/>
                    <w:sz w:val="20"/>
                    <w:szCs w:val="20"/>
                    <w:lang w:val="en-US"/>
                    <w14:ligatures w14:val="standardContextual"/>
                  </w:rPr>
                  <m:t>%Al</m:t>
                </m:r>
              </m:e>
              <m:sub>
                <m:r>
                  <m:rPr>
                    <m:sty m:val="p"/>
                  </m:rPr>
                  <w:rPr>
                    <w:rFonts w:ascii="Cambria Math" w:eastAsia="Calibri" w:hAnsi="Cambria Math" w:cs="Arial"/>
                    <w:kern w:val="2"/>
                    <w:sz w:val="20"/>
                    <w:szCs w:val="20"/>
                    <w:lang w:val="en-US"/>
                    <w14:ligatures w14:val="standardContextual"/>
                  </w:rPr>
                  <m:t>2</m:t>
                </m:r>
              </m:sub>
            </m:sSub>
            <m:sSub>
              <m:sSubPr>
                <m:ctrlPr>
                  <w:rPr>
                    <w:rFonts w:ascii="Cambria Math" w:eastAsia="Calibri" w:hAnsi="Cambria Math" w:cs="Arial"/>
                    <w:kern w:val="2"/>
                    <w:sz w:val="20"/>
                    <w:szCs w:val="20"/>
                    <w14:ligatures w14:val="standardContextual"/>
                  </w:rPr>
                </m:ctrlPr>
              </m:sSubPr>
              <m:e>
                <m:r>
                  <m:rPr>
                    <m:sty m:val="p"/>
                  </m:rPr>
                  <w:rPr>
                    <w:rFonts w:ascii="Cambria Math" w:eastAsia="Calibri" w:hAnsi="Cambria Math" w:cs="Arial"/>
                    <w:kern w:val="2"/>
                    <w:sz w:val="20"/>
                    <w:szCs w:val="20"/>
                    <w:lang w:val="en-US"/>
                    <w14:ligatures w14:val="standardContextual"/>
                  </w:rPr>
                  <m:t>O</m:t>
                </m:r>
              </m:e>
              <m:sub>
                <m:r>
                  <m:rPr>
                    <m:sty m:val="p"/>
                  </m:rPr>
                  <w:rPr>
                    <w:rFonts w:ascii="Cambria Math" w:eastAsia="Calibri" w:hAnsi="Cambria Math" w:cs="Arial"/>
                    <w:kern w:val="2"/>
                    <w:sz w:val="20"/>
                    <w:szCs w:val="20"/>
                    <w:lang w:val="en-US"/>
                    <w14:ligatures w14:val="standardContextual"/>
                  </w:rPr>
                  <m:t>3</m:t>
                </m:r>
              </m:sub>
            </m:sSub>
          </m:num>
          <m:den>
            <m:r>
              <m:rPr>
                <m:sty m:val="p"/>
              </m:rPr>
              <w:rPr>
                <w:rFonts w:ascii="Cambria Math" w:eastAsia="Calibri" w:hAnsi="Cambria Math" w:cs="Arial"/>
                <w:kern w:val="2"/>
                <w:sz w:val="20"/>
                <w:szCs w:val="20"/>
                <w:lang w:val="en-US"/>
                <w14:ligatures w14:val="standardContextual"/>
              </w:rPr>
              <m:t>102</m:t>
            </m:r>
          </m:den>
        </m:f>
        <m:r>
          <m:rPr>
            <m:sty m:val="p"/>
          </m:rPr>
          <w:rPr>
            <w:rFonts w:ascii="Cambria Math" w:eastAsia="Calibri" w:hAnsi="Cambria Math" w:cs="Arial"/>
            <w:kern w:val="2"/>
            <w:sz w:val="20"/>
            <w:szCs w:val="20"/>
            <w:lang w:val="en-US"/>
            <w14:ligatures w14:val="standardContextual"/>
          </w:rPr>
          <m:t>x 258</m:t>
        </m:r>
      </m:oMath>
      <w:r w:rsidRPr="00BE3B51">
        <w:rPr>
          <w:rFonts w:ascii="Arial" w:eastAsia="Calibri" w:hAnsi="Arial" w:cs="Arial"/>
          <w:kern w:val="2"/>
          <w:sz w:val="20"/>
          <w:szCs w:val="20"/>
          <w:lang w:val="en-US"/>
          <w14:ligatures w14:val="standardContextual"/>
        </w:rPr>
        <w:t xml:space="preserve">     (V)</w:t>
      </w:r>
    </w:p>
    <w:p w14:paraId="3A5BAF97" w14:textId="77777777" w:rsidR="00720D42" w:rsidRPr="00BE3B51" w:rsidRDefault="00720D42" w:rsidP="00720D42">
      <w:pPr>
        <w:shd w:val="clear" w:color="auto" w:fill="FFFFFF"/>
        <w:suppressAutoHyphens/>
        <w:autoSpaceDN w:val="0"/>
        <w:spacing w:after="160" w:line="247" w:lineRule="auto"/>
        <w:jc w:val="center"/>
        <w:textAlignment w:val="baseline"/>
        <w:rPr>
          <w:rFonts w:ascii="Arial" w:eastAsia="Calibri" w:hAnsi="Arial" w:cs="Arial"/>
          <w:kern w:val="3"/>
          <w:sz w:val="20"/>
          <w:szCs w:val="20"/>
        </w:rPr>
      </w:pPr>
      <m:oMath>
        <m:r>
          <m:rPr>
            <m:sty m:val="p"/>
          </m:rPr>
          <w:rPr>
            <w:rFonts w:ascii="Cambria Math" w:eastAsia="Calibri" w:hAnsi="Cambria Math" w:cs="Arial"/>
            <w:kern w:val="2"/>
            <w:sz w:val="20"/>
            <w:szCs w:val="20"/>
            <w14:ligatures w14:val="standardContextual"/>
          </w:rPr>
          <m:t>%Quartz=%</m:t>
        </m:r>
        <m:sSub>
          <m:sSubPr>
            <m:ctrlPr>
              <w:rPr>
                <w:rFonts w:ascii="Cambria Math" w:eastAsia="Calibri" w:hAnsi="Cambria Math" w:cs="Arial"/>
                <w:kern w:val="2"/>
                <w:sz w:val="20"/>
                <w:szCs w:val="20"/>
                <w14:ligatures w14:val="standardContextual"/>
              </w:rPr>
            </m:ctrlPr>
          </m:sSubPr>
          <m:e>
            <m:r>
              <m:rPr>
                <m:sty m:val="p"/>
              </m:rPr>
              <w:rPr>
                <w:rFonts w:ascii="Cambria Math" w:eastAsia="Calibri" w:hAnsi="Cambria Math" w:cs="Arial"/>
                <w:kern w:val="2"/>
                <w:sz w:val="20"/>
                <w:szCs w:val="20"/>
                <w14:ligatures w14:val="standardContextual"/>
              </w:rPr>
              <m:t>SiO</m:t>
            </m:r>
          </m:e>
          <m:sub>
            <m:r>
              <m:rPr>
                <m:sty m:val="p"/>
              </m:rPr>
              <w:rPr>
                <w:rFonts w:ascii="Cambria Math" w:eastAsia="Calibri" w:hAnsi="Cambria Math" w:cs="Arial"/>
                <w:kern w:val="2"/>
                <w:sz w:val="20"/>
                <w:szCs w:val="20"/>
                <w14:ligatures w14:val="standardContextual"/>
              </w:rPr>
              <m:t>2</m:t>
            </m:r>
          </m:sub>
        </m:sSub>
        <m:r>
          <m:rPr>
            <m:sty m:val="p"/>
          </m:rPr>
          <w:rPr>
            <w:rFonts w:ascii="Cambria Math" w:eastAsia="Calibri" w:hAnsi="Cambria Math" w:cs="Arial"/>
            <w:kern w:val="2"/>
            <w:sz w:val="20"/>
            <w:szCs w:val="20"/>
            <w14:ligatures w14:val="standardContextual"/>
          </w:rPr>
          <m:t>-%Kaolinite x</m:t>
        </m:r>
        <m:f>
          <m:fPr>
            <m:ctrlPr>
              <w:rPr>
                <w:rFonts w:ascii="Cambria Math" w:eastAsia="Calibri" w:hAnsi="Cambria Math" w:cs="Arial"/>
                <w:kern w:val="2"/>
                <w:sz w:val="20"/>
                <w:szCs w:val="20"/>
                <w14:ligatures w14:val="standardContextual"/>
              </w:rPr>
            </m:ctrlPr>
          </m:fPr>
          <m:num>
            <m:r>
              <m:rPr>
                <m:sty m:val="p"/>
              </m:rPr>
              <w:rPr>
                <w:rFonts w:ascii="Cambria Math" w:eastAsia="Calibri" w:hAnsi="Cambria Math" w:cs="Arial"/>
                <w:kern w:val="2"/>
                <w:sz w:val="20"/>
                <w:szCs w:val="20"/>
                <w14:ligatures w14:val="standardContextual"/>
              </w:rPr>
              <m:t>60 x 2</m:t>
            </m:r>
          </m:num>
          <m:den>
            <m:r>
              <m:rPr>
                <m:sty m:val="p"/>
              </m:rPr>
              <w:rPr>
                <w:rFonts w:ascii="Cambria Math" w:eastAsia="Calibri" w:hAnsi="Cambria Math" w:cs="Arial"/>
                <w:kern w:val="2"/>
                <w:sz w:val="20"/>
                <w:szCs w:val="20"/>
                <w14:ligatures w14:val="standardContextual"/>
              </w:rPr>
              <m:t>258</m:t>
            </m:r>
          </m:den>
        </m:f>
      </m:oMath>
      <w:r w:rsidRPr="00BE3B51">
        <w:rPr>
          <w:rFonts w:ascii="Arial" w:eastAsia="Calibri" w:hAnsi="Arial" w:cs="Arial"/>
          <w:kern w:val="2"/>
          <w:sz w:val="20"/>
          <w:szCs w:val="20"/>
          <w14:ligatures w14:val="standardContextual"/>
        </w:rPr>
        <w:t xml:space="preserve">     (VI)</w:t>
      </w:r>
    </w:p>
    <w:p w14:paraId="1C11061F" w14:textId="534822D3" w:rsidR="00C22016" w:rsidRDefault="00C22016" w:rsidP="006B7117">
      <w:pPr>
        <w:jc w:val="both"/>
        <w:rPr>
          <w:rFonts w:ascii="Arial" w:hAnsi="Arial" w:cs="Arial"/>
          <w:sz w:val="20"/>
          <w:szCs w:val="20"/>
          <w:lang w:val="en-US"/>
        </w:rPr>
      </w:pPr>
      <w:r w:rsidRPr="00300B1F">
        <w:rPr>
          <w:rFonts w:ascii="Arial" w:hAnsi="Arial" w:cs="Arial"/>
          <w:sz w:val="20"/>
          <w:szCs w:val="20"/>
          <w:highlight w:val="yellow"/>
          <w:lang w:val="en-US"/>
        </w:rPr>
        <w:lastRenderedPageBreak/>
        <w:t xml:space="preserve">The mineralogical balance of this material is 38.67% kaolinite and </w:t>
      </w:r>
      <w:r w:rsidR="006B7117" w:rsidRPr="00300B1F">
        <w:rPr>
          <w:rFonts w:ascii="Arial" w:hAnsi="Arial" w:cs="Arial"/>
          <w:sz w:val="20"/>
          <w:szCs w:val="20"/>
          <w:highlight w:val="yellow"/>
          <w:lang w:val="en-US"/>
        </w:rPr>
        <w:t>55.05% quartz</w:t>
      </w:r>
      <w:r w:rsidR="006B7117">
        <w:rPr>
          <w:rFonts w:ascii="Arial" w:hAnsi="Arial" w:cs="Arial"/>
          <w:sz w:val="20"/>
          <w:szCs w:val="20"/>
          <w:lang w:val="en-US"/>
        </w:rPr>
        <w:t xml:space="preserve">. Analysis of this </w:t>
      </w:r>
      <w:r w:rsidRPr="00C22016">
        <w:rPr>
          <w:rFonts w:ascii="Arial" w:hAnsi="Arial" w:cs="Arial"/>
          <w:sz w:val="20"/>
          <w:szCs w:val="20"/>
          <w:lang w:val="en-US"/>
        </w:rPr>
        <w:t>balance confirms the significant amount of silica in the Kombé sa</w:t>
      </w:r>
      <w:r w:rsidR="006B7117">
        <w:rPr>
          <w:rFonts w:ascii="Arial" w:hAnsi="Arial" w:cs="Arial"/>
          <w:sz w:val="20"/>
          <w:szCs w:val="20"/>
          <w:lang w:val="en-US"/>
        </w:rPr>
        <w:t xml:space="preserve">mple, given the relatively high </w:t>
      </w:r>
      <w:r w:rsidRPr="00C22016">
        <w:rPr>
          <w:rFonts w:ascii="Arial" w:hAnsi="Arial" w:cs="Arial"/>
          <w:sz w:val="20"/>
          <w:szCs w:val="20"/>
          <w:lang w:val="en-US"/>
        </w:rPr>
        <w:t>percentage of quartz. This is consistent with the results of the grai</w:t>
      </w:r>
      <w:r w:rsidR="006B7117">
        <w:rPr>
          <w:rFonts w:ascii="Arial" w:hAnsi="Arial" w:cs="Arial"/>
          <w:sz w:val="20"/>
          <w:szCs w:val="20"/>
          <w:lang w:val="en-US"/>
        </w:rPr>
        <w:t xml:space="preserve">n size analysis, which showed a </w:t>
      </w:r>
      <w:r w:rsidRPr="00C22016">
        <w:rPr>
          <w:rFonts w:ascii="Arial" w:hAnsi="Arial" w:cs="Arial"/>
          <w:sz w:val="20"/>
          <w:szCs w:val="20"/>
          <w:lang w:val="en-US"/>
        </w:rPr>
        <w:t>relatively high percentage of sand.</w:t>
      </w:r>
      <w:r w:rsidR="006B7117">
        <w:rPr>
          <w:rFonts w:ascii="Arial" w:hAnsi="Arial" w:cs="Arial"/>
          <w:sz w:val="20"/>
          <w:szCs w:val="20"/>
          <w:lang w:val="en-US"/>
        </w:rPr>
        <w:t xml:space="preserve"> </w:t>
      </w:r>
    </w:p>
    <w:p w14:paraId="33E7A445" w14:textId="243E0A00" w:rsidR="00720D42" w:rsidRPr="00303830" w:rsidRDefault="00720D42" w:rsidP="00720D42">
      <w:pPr>
        <w:rPr>
          <w:rFonts w:ascii="Arial" w:hAnsi="Arial" w:cs="Arial"/>
          <w:b/>
          <w:sz w:val="20"/>
          <w:szCs w:val="20"/>
          <w:lang w:val="en-US"/>
        </w:rPr>
      </w:pPr>
      <w:r w:rsidRPr="00303830">
        <w:rPr>
          <w:rFonts w:ascii="Arial" w:hAnsi="Arial" w:cs="Arial"/>
          <w:b/>
          <w:sz w:val="20"/>
          <w:szCs w:val="20"/>
          <w:lang w:val="en-US"/>
        </w:rPr>
        <w:t>Cation exchange capacity of the Kombé sample</w:t>
      </w:r>
    </w:p>
    <w:p w14:paraId="4B412849" w14:textId="77777777" w:rsidR="00720D42" w:rsidRPr="00303830" w:rsidRDefault="00720D42" w:rsidP="00303830">
      <w:pPr>
        <w:spacing w:before="240" w:after="0"/>
        <w:jc w:val="both"/>
        <w:rPr>
          <w:rFonts w:ascii="Arial" w:hAnsi="Arial" w:cs="Arial"/>
          <w:sz w:val="20"/>
          <w:szCs w:val="20"/>
          <w:lang w:val="en-US"/>
        </w:rPr>
      </w:pPr>
      <w:r w:rsidRPr="00300B1F">
        <w:rPr>
          <w:rFonts w:ascii="Arial" w:hAnsi="Arial" w:cs="Arial"/>
          <w:sz w:val="20"/>
          <w:szCs w:val="20"/>
          <w:highlight w:val="yellow"/>
          <w:lang w:val="en-US"/>
        </w:rPr>
        <w:t>Analysis of the Kombé clay sample revealed a CEC of 3 meq/100g</w:t>
      </w:r>
      <w:r w:rsidRPr="00303830">
        <w:rPr>
          <w:rFonts w:ascii="Arial" w:hAnsi="Arial" w:cs="Arial"/>
          <w:sz w:val="20"/>
          <w:szCs w:val="20"/>
          <w:lang w:val="en-US"/>
        </w:rPr>
        <w:t>. This value is very low compared to other clays, but is entirely consistent with the mineralogical composition. The observed low CEC confirms the predominance of kaolinite in the sample.</w:t>
      </w:r>
    </w:p>
    <w:p w14:paraId="1DB35CB3" w14:textId="1405E145" w:rsidR="00720D42" w:rsidRDefault="00720D42" w:rsidP="00257123">
      <w:pPr>
        <w:jc w:val="both"/>
        <w:rPr>
          <w:rFonts w:ascii="Arial" w:hAnsi="Arial" w:cs="Arial"/>
          <w:sz w:val="20"/>
          <w:szCs w:val="20"/>
          <w:lang w:val="en-US"/>
        </w:rPr>
      </w:pPr>
      <w:r w:rsidRPr="00303830">
        <w:rPr>
          <w:rFonts w:ascii="Arial" w:hAnsi="Arial" w:cs="Arial"/>
          <w:sz w:val="20"/>
          <w:szCs w:val="20"/>
          <w:lang w:val="en-US"/>
        </w:rPr>
        <w:t xml:space="preserve">Kaolinite is a 1:1 clay mineral. This crystal structure has very few isomorphic substitutions in its lattice, which explains its low surface charge and, consequently, its low CEC. CEC values ​​for pure kaolinite typically range from 3 to 15 meq/100g [14]. </w:t>
      </w:r>
      <w:r w:rsidR="00392AB3" w:rsidRPr="00303830">
        <w:rPr>
          <w:rFonts w:ascii="Arial" w:hAnsi="Arial" w:cs="Arial"/>
          <w:sz w:val="20"/>
          <w:szCs w:val="20"/>
          <w:lang w:val="en-US"/>
        </w:rPr>
        <w:t>The Kombé clay sample, with a value of 3 meq/100g, is in the lower part of this range, which confirms that the Kombé clay is a kaolinite</w:t>
      </w:r>
      <w:r w:rsidRPr="00303830">
        <w:rPr>
          <w:rFonts w:ascii="Arial" w:hAnsi="Arial" w:cs="Arial"/>
          <w:sz w:val="20"/>
          <w:szCs w:val="20"/>
          <w:lang w:val="en-US"/>
        </w:rPr>
        <w:t xml:space="preserve">. These results are consistent with the conclusions of several studies on the characterization of kaolinite deposits. For example, N.O. Pascal [19] demonstrated the effect of heat treatment on the CEC of kaolinitic clays. </w:t>
      </w:r>
      <w:r w:rsidR="00257123">
        <w:rPr>
          <w:rFonts w:ascii="Arial" w:hAnsi="Arial" w:cs="Arial"/>
          <w:sz w:val="20"/>
          <w:szCs w:val="20"/>
          <w:lang w:val="en-US"/>
        </w:rPr>
        <w:t xml:space="preserve">He </w:t>
      </w:r>
      <w:r w:rsidR="000F63B1" w:rsidRPr="000F63B1">
        <w:rPr>
          <w:rFonts w:ascii="Arial" w:hAnsi="Arial" w:cs="Arial"/>
          <w:sz w:val="20"/>
          <w:szCs w:val="20"/>
          <w:lang w:val="en-US"/>
        </w:rPr>
        <w:t>observed that these clays reached CEC values of 13 and 15 meq/</w:t>
      </w:r>
      <w:r w:rsidR="00257123">
        <w:rPr>
          <w:rFonts w:ascii="Arial" w:hAnsi="Arial" w:cs="Arial"/>
          <w:sz w:val="20"/>
          <w:szCs w:val="20"/>
          <w:lang w:val="en-US"/>
        </w:rPr>
        <w:t xml:space="preserve">100g at 1000°C, which suggests </w:t>
      </w:r>
      <w:r w:rsidR="000F63B1" w:rsidRPr="000F63B1">
        <w:rPr>
          <w:rFonts w:ascii="Arial" w:hAnsi="Arial" w:cs="Arial"/>
          <w:sz w:val="20"/>
          <w:szCs w:val="20"/>
          <w:lang w:val="en-US"/>
        </w:rPr>
        <w:t>that at low CECs, kaolinitic clays have high resistance to high tempera</w:t>
      </w:r>
      <w:r w:rsidR="00257123">
        <w:rPr>
          <w:rFonts w:ascii="Arial" w:hAnsi="Arial" w:cs="Arial"/>
          <w:sz w:val="20"/>
          <w:szCs w:val="20"/>
          <w:lang w:val="en-US"/>
        </w:rPr>
        <w:t xml:space="preserve">tures, making them particularly </w:t>
      </w:r>
      <w:r w:rsidR="000F63B1" w:rsidRPr="000F63B1">
        <w:rPr>
          <w:rFonts w:ascii="Arial" w:hAnsi="Arial" w:cs="Arial"/>
          <w:sz w:val="20"/>
          <w:szCs w:val="20"/>
          <w:lang w:val="en-US"/>
        </w:rPr>
        <w:t>suitable for the production of refractory materials. This result corrobor</w:t>
      </w:r>
      <w:r w:rsidR="00257123">
        <w:rPr>
          <w:rFonts w:ascii="Arial" w:hAnsi="Arial" w:cs="Arial"/>
          <w:sz w:val="20"/>
          <w:szCs w:val="20"/>
          <w:lang w:val="en-US"/>
        </w:rPr>
        <w:t xml:space="preserve">ates the potential use of Kombé </w:t>
      </w:r>
      <w:r w:rsidR="000F63B1" w:rsidRPr="000F63B1">
        <w:rPr>
          <w:rFonts w:ascii="Arial" w:hAnsi="Arial" w:cs="Arial"/>
          <w:sz w:val="20"/>
          <w:szCs w:val="20"/>
          <w:lang w:val="en-US"/>
        </w:rPr>
        <w:t>clay in this field.</w:t>
      </w:r>
    </w:p>
    <w:p w14:paraId="04F81340" w14:textId="77777777" w:rsidR="00720D42" w:rsidRPr="00303830" w:rsidRDefault="00720D42" w:rsidP="00720D42">
      <w:pPr>
        <w:rPr>
          <w:rFonts w:ascii="Arial" w:hAnsi="Arial" w:cs="Arial"/>
          <w:b/>
          <w:sz w:val="20"/>
          <w:szCs w:val="20"/>
          <w:lang w:val="en-US"/>
        </w:rPr>
      </w:pPr>
      <w:r w:rsidRPr="00303830">
        <w:rPr>
          <w:rFonts w:ascii="Arial" w:hAnsi="Arial" w:cs="Arial"/>
          <w:b/>
          <w:sz w:val="20"/>
          <w:szCs w:val="20"/>
          <w:lang w:val="en-US"/>
        </w:rPr>
        <w:t>Specific Surface Area of ​​the Kombé Sample</w:t>
      </w:r>
    </w:p>
    <w:p w14:paraId="3F9386D1" w14:textId="6CF8F7B1" w:rsidR="006B7117" w:rsidRPr="006B7117" w:rsidRDefault="000F63B1" w:rsidP="00300B1F">
      <w:pPr>
        <w:spacing w:after="0"/>
        <w:rPr>
          <w:rFonts w:ascii="Arial" w:hAnsi="Arial" w:cs="Arial"/>
          <w:sz w:val="20"/>
          <w:szCs w:val="20"/>
          <w:lang w:val="en-US"/>
        </w:rPr>
      </w:pPr>
      <w:r w:rsidRPr="00300B1F">
        <w:rPr>
          <w:rFonts w:ascii="Arial" w:eastAsia="Calibri" w:hAnsi="Arial" w:cs="Arial"/>
          <w:sz w:val="20"/>
          <w:szCs w:val="20"/>
          <w:highlight w:val="yellow"/>
          <w:lang w:val="en-US"/>
        </w:rPr>
        <w:t xml:space="preserve">The specific surface area results for the Kombé sample is </w:t>
      </w:r>
      <w:r w:rsidR="00257123" w:rsidRPr="00300B1F">
        <w:rPr>
          <w:rFonts w:ascii="Arial" w:eastAsia="Calibri" w:hAnsi="Arial" w:cs="Arial"/>
          <w:sz w:val="20"/>
          <w:szCs w:val="20"/>
          <w:highlight w:val="yellow"/>
          <w:lang w:val="en-US"/>
        </w:rPr>
        <w:t>16.</w:t>
      </w:r>
      <w:r w:rsidR="006B7117" w:rsidRPr="00300B1F">
        <w:rPr>
          <w:rFonts w:ascii="Arial" w:eastAsia="Calibri" w:hAnsi="Arial" w:cs="Arial"/>
          <w:sz w:val="20"/>
          <w:szCs w:val="20"/>
          <w:highlight w:val="yellow"/>
          <w:lang w:val="en-US"/>
        </w:rPr>
        <w:t>2</w:t>
      </w:r>
      <w:r w:rsidR="006B7117" w:rsidRPr="00300B1F">
        <w:rPr>
          <w:rFonts w:ascii="Arial" w:eastAsia="Calibri" w:hAnsi="Arial" w:cs="Arial"/>
          <w:b/>
          <w:sz w:val="20"/>
          <w:szCs w:val="20"/>
          <w:highlight w:val="yellow"/>
          <w:lang w:val="en-US"/>
        </w:rPr>
        <w:t xml:space="preserve"> </w:t>
      </w:r>
      <w:r w:rsidR="006B7117" w:rsidRPr="00300B1F">
        <w:rPr>
          <w:rFonts w:ascii="Arial" w:eastAsia="Calibri" w:hAnsi="Arial" w:cs="Arial"/>
          <w:sz w:val="20"/>
          <w:szCs w:val="20"/>
          <w:highlight w:val="yellow"/>
          <w:lang w:val="en-US"/>
        </w:rPr>
        <w:t>m</w:t>
      </w:r>
      <w:r w:rsidR="006B7117" w:rsidRPr="00300B1F">
        <w:rPr>
          <w:rFonts w:ascii="Arial" w:eastAsia="Calibri" w:hAnsi="Arial" w:cs="Arial"/>
          <w:sz w:val="20"/>
          <w:szCs w:val="20"/>
          <w:highlight w:val="yellow"/>
          <w:vertAlign w:val="superscript"/>
          <w:lang w:val="en-US"/>
        </w:rPr>
        <w:t>2</w:t>
      </w:r>
      <w:r w:rsidR="006B7117" w:rsidRPr="00300B1F">
        <w:rPr>
          <w:rFonts w:ascii="Arial" w:eastAsia="Calibri" w:hAnsi="Arial" w:cs="Arial"/>
          <w:sz w:val="20"/>
          <w:szCs w:val="20"/>
          <w:highlight w:val="yellow"/>
          <w:lang w:val="en-US"/>
        </w:rPr>
        <w:t>/g</w:t>
      </w:r>
      <w:r w:rsidR="00257123" w:rsidRPr="00300B1F">
        <w:rPr>
          <w:rFonts w:ascii="Arial" w:eastAsia="Calibri" w:hAnsi="Arial" w:cs="Arial"/>
          <w:sz w:val="20"/>
          <w:szCs w:val="20"/>
          <w:highlight w:val="yellow"/>
          <w:lang w:val="en-US"/>
        </w:rPr>
        <w:t>.</w:t>
      </w:r>
    </w:p>
    <w:p w14:paraId="7ABBBFF8" w14:textId="77777777" w:rsidR="00392AB3" w:rsidRPr="00303830" w:rsidRDefault="00392AB3" w:rsidP="00257123">
      <w:pPr>
        <w:jc w:val="both"/>
        <w:rPr>
          <w:rFonts w:ascii="Arial" w:hAnsi="Arial" w:cs="Arial"/>
          <w:sz w:val="20"/>
          <w:szCs w:val="20"/>
          <w:lang w:val="en-US"/>
        </w:rPr>
      </w:pPr>
      <w:r w:rsidRPr="00303830">
        <w:rPr>
          <w:rFonts w:ascii="Arial" w:hAnsi="Arial" w:cs="Arial"/>
          <w:sz w:val="20"/>
          <w:szCs w:val="20"/>
          <w:lang w:val="en-US"/>
        </w:rPr>
        <w:t>Analysis of the surface properties of Kombé clay highlights two key parameters: specific surface area (SS) and cation exchange capacity (CEC). The specific surface area of ​​this sample is perfectly consistent with that of pure kaolinite, whose typical values ​​range from 10 to 30 m</w:t>
      </w:r>
      <w:r w:rsidRPr="00303830">
        <w:rPr>
          <w:rFonts w:ascii="Arial" w:hAnsi="Arial" w:cs="Arial"/>
          <w:sz w:val="20"/>
          <w:szCs w:val="20"/>
          <w:vertAlign w:val="superscript"/>
          <w:lang w:val="en-US"/>
        </w:rPr>
        <w:t>2</w:t>
      </w:r>
      <w:r w:rsidRPr="00303830">
        <w:rPr>
          <w:rFonts w:ascii="Arial" w:hAnsi="Arial" w:cs="Arial"/>
          <w:sz w:val="20"/>
          <w:szCs w:val="20"/>
          <w:lang w:val="en-US"/>
        </w:rPr>
        <w:t>/g [20]. This low surface area is explained by the nature of kaolinite, a 1:1 phyllosilicate, where the layers are lightly charged and the surface charges are mainly located at the ends of the layers.</w:t>
      </w:r>
    </w:p>
    <w:p w14:paraId="0FC0746C" w14:textId="77777777" w:rsidR="00392AB3" w:rsidRPr="00303830" w:rsidRDefault="00392AB3" w:rsidP="00257123">
      <w:pPr>
        <w:jc w:val="both"/>
        <w:rPr>
          <w:rFonts w:ascii="Arial" w:hAnsi="Arial" w:cs="Arial"/>
          <w:sz w:val="20"/>
          <w:szCs w:val="20"/>
          <w:lang w:val="en-US"/>
        </w:rPr>
      </w:pPr>
      <w:r w:rsidRPr="00303830">
        <w:rPr>
          <w:rFonts w:ascii="Arial" w:hAnsi="Arial" w:cs="Arial"/>
          <w:sz w:val="20"/>
          <w:szCs w:val="20"/>
          <w:lang w:val="en-US"/>
        </w:rPr>
        <w:t xml:space="preserve">The low CEC, reported at 3 meq/100g, reinforces this conclusion. Such a low CEC is characteristic of kaolinite, as its crystalline structure undergoes few atomic substitutions, which reduces the number of negatively charged sites for cation exchange. The convergence of these two results, low </w:t>
      </w:r>
      <w:r w:rsidR="00886C5D" w:rsidRPr="00303830">
        <w:rPr>
          <w:rFonts w:ascii="Arial" w:hAnsi="Arial" w:cs="Arial"/>
          <w:sz w:val="20"/>
          <w:szCs w:val="20"/>
          <w:lang w:val="en-US"/>
        </w:rPr>
        <w:t xml:space="preserve">specific surface area </w:t>
      </w:r>
      <w:r w:rsidRPr="00303830">
        <w:rPr>
          <w:rFonts w:ascii="Arial" w:hAnsi="Arial" w:cs="Arial"/>
          <w:sz w:val="20"/>
          <w:szCs w:val="20"/>
          <w:lang w:val="en-US"/>
        </w:rPr>
        <w:t>and low CEC, irrefutably confirms that kaolinite is the predominant mineral in the Kombé sample. Although the specific surface area and CEC values ​​of Kombé clay are low, they are not negligible in terms of adsorption.</w:t>
      </w:r>
    </w:p>
    <w:p w14:paraId="653F194A" w14:textId="77777777" w:rsidR="00392AB3" w:rsidRDefault="00392AB3" w:rsidP="006E760F">
      <w:pPr>
        <w:jc w:val="both"/>
        <w:rPr>
          <w:rFonts w:ascii="Arial" w:hAnsi="Arial" w:cs="Arial"/>
          <w:sz w:val="20"/>
          <w:szCs w:val="20"/>
          <w:lang w:val="en-US"/>
        </w:rPr>
      </w:pPr>
      <w:r w:rsidRPr="00303830">
        <w:rPr>
          <w:rFonts w:ascii="Arial" w:hAnsi="Arial" w:cs="Arial"/>
          <w:sz w:val="20"/>
          <w:szCs w:val="20"/>
          <w:lang w:val="en-US"/>
        </w:rPr>
        <w:t>A study by Chen, M. et al. [21] showed that adsorption on kaolinite does not depend solely on specific surface area. Pore geometry and the specific interaction between cations and organic molecules also play a crucial role. These results suggest that Kombé clay, despite its low SS and CEC values, may have exploitable adsorption potential. These findings may lead Kombé clay to applications in water treatment and pollution remediation.</w:t>
      </w:r>
    </w:p>
    <w:p w14:paraId="40BA25B7" w14:textId="77777777" w:rsidR="00392AB3" w:rsidRPr="00303830" w:rsidRDefault="00392AB3" w:rsidP="00392AB3">
      <w:pPr>
        <w:rPr>
          <w:rFonts w:ascii="Arial" w:hAnsi="Arial" w:cs="Arial"/>
          <w:b/>
          <w:sz w:val="20"/>
          <w:szCs w:val="20"/>
          <w:lang w:val="en-US"/>
        </w:rPr>
      </w:pPr>
      <w:r w:rsidRPr="00303830">
        <w:rPr>
          <w:rFonts w:ascii="Arial" w:hAnsi="Arial" w:cs="Arial"/>
          <w:b/>
          <w:sz w:val="20"/>
          <w:szCs w:val="20"/>
          <w:lang w:val="en-US"/>
        </w:rPr>
        <w:t>Adsorption tests of chromate and nitrate ions on Kombé clay</w:t>
      </w:r>
    </w:p>
    <w:p w14:paraId="4045C4A8" w14:textId="77777777" w:rsidR="00392AB3" w:rsidRPr="00303830" w:rsidRDefault="00392AB3" w:rsidP="007F58F3">
      <w:pPr>
        <w:pStyle w:val="ListParagraph"/>
        <w:numPr>
          <w:ilvl w:val="0"/>
          <w:numId w:val="3"/>
        </w:numPr>
        <w:rPr>
          <w:rFonts w:ascii="Arial" w:hAnsi="Arial" w:cs="Arial"/>
          <w:b/>
          <w:sz w:val="20"/>
          <w:szCs w:val="20"/>
          <w:lang w:val="en-US"/>
        </w:rPr>
      </w:pPr>
      <w:r w:rsidRPr="00303830">
        <w:rPr>
          <w:rFonts w:ascii="Arial" w:hAnsi="Arial" w:cs="Arial"/>
          <w:b/>
          <w:sz w:val="20"/>
          <w:szCs w:val="20"/>
          <w:lang w:val="en-US"/>
        </w:rPr>
        <w:t>Adsorption of chromate ions on different fractions of Kombé clay materials</w:t>
      </w:r>
    </w:p>
    <w:p w14:paraId="4F963F71" w14:textId="77777777" w:rsidR="007F58F3" w:rsidRDefault="007F58F3" w:rsidP="007F58F3">
      <w:pPr>
        <w:ind w:left="360"/>
        <w:jc w:val="both"/>
        <w:rPr>
          <w:rFonts w:ascii="Times New Roman" w:hAnsi="Times New Roman" w:cs="Times New Roman"/>
          <w:sz w:val="24"/>
          <w:lang w:val="en-US"/>
        </w:rPr>
      </w:pPr>
      <w:r>
        <w:rPr>
          <w:noProof/>
          <w:lang w:eastAsia="fr-FR"/>
        </w:rPr>
        <w:lastRenderedPageBreak/>
        <w:drawing>
          <wp:inline distT="0" distB="0" distL="0" distR="0" wp14:anchorId="0E46DFB2" wp14:editId="695129AB">
            <wp:extent cx="4048125" cy="2295525"/>
            <wp:effectExtent l="0" t="0" r="9525" b="9525"/>
            <wp:docPr id="6" name="Graphique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20CA6CB" w14:textId="77777777" w:rsidR="007F58F3" w:rsidRPr="00341D33" w:rsidRDefault="007F58F3" w:rsidP="007F58F3">
      <w:pPr>
        <w:ind w:left="360"/>
        <w:jc w:val="both"/>
        <w:rPr>
          <w:rFonts w:ascii="Arial" w:hAnsi="Arial" w:cs="Arial"/>
          <w:sz w:val="20"/>
          <w:szCs w:val="20"/>
          <w:lang w:val="en-US"/>
        </w:rPr>
      </w:pPr>
      <w:r w:rsidRPr="00303830">
        <w:rPr>
          <w:rFonts w:ascii="Arial" w:hAnsi="Arial" w:cs="Arial"/>
          <w:b/>
          <w:sz w:val="20"/>
          <w:szCs w:val="20"/>
          <w:lang w:val="en-US"/>
        </w:rPr>
        <w:t xml:space="preserve">Figure 6: </w:t>
      </w:r>
      <w:r w:rsidRPr="00341D33">
        <w:rPr>
          <w:rFonts w:ascii="Arial" w:hAnsi="Arial" w:cs="Arial"/>
          <w:sz w:val="20"/>
          <w:szCs w:val="20"/>
          <w:lang w:val="en-US"/>
        </w:rPr>
        <w:t>Adsorption isotherm for chromate ions on samples of K-B, K-56 and K-F</w:t>
      </w:r>
    </w:p>
    <w:p w14:paraId="4A67A44B" w14:textId="77777777" w:rsidR="007F58F3" w:rsidRPr="00303830" w:rsidRDefault="007F58F3" w:rsidP="007F58F3">
      <w:pPr>
        <w:pStyle w:val="ListParagraph"/>
        <w:numPr>
          <w:ilvl w:val="0"/>
          <w:numId w:val="3"/>
        </w:numPr>
        <w:jc w:val="both"/>
        <w:rPr>
          <w:rFonts w:ascii="Arial" w:hAnsi="Arial" w:cs="Arial"/>
          <w:b/>
          <w:sz w:val="20"/>
          <w:szCs w:val="20"/>
          <w:lang w:val="en-US"/>
        </w:rPr>
      </w:pPr>
      <w:r w:rsidRPr="00303830">
        <w:rPr>
          <w:rFonts w:ascii="Arial" w:hAnsi="Arial" w:cs="Arial"/>
          <w:b/>
          <w:sz w:val="20"/>
          <w:szCs w:val="20"/>
          <w:lang w:val="en-US"/>
        </w:rPr>
        <w:t>Adsorption of nitrate ions on different fractions of Kombé clay materials</w:t>
      </w:r>
    </w:p>
    <w:p w14:paraId="0516B654" w14:textId="77777777" w:rsidR="007F58F3" w:rsidRDefault="007F58F3" w:rsidP="007F58F3">
      <w:pPr>
        <w:ind w:left="360"/>
        <w:jc w:val="both"/>
        <w:rPr>
          <w:rFonts w:ascii="Times New Roman" w:hAnsi="Times New Roman" w:cs="Times New Roman"/>
          <w:sz w:val="24"/>
          <w:lang w:val="en-US"/>
        </w:rPr>
      </w:pPr>
      <w:r w:rsidRPr="007D0A68">
        <w:rPr>
          <w:rFonts w:ascii="Times New Roman" w:eastAsia="Calibri" w:hAnsi="Times New Roman" w:cs="Times New Roman"/>
          <w:noProof/>
          <w:kern w:val="2"/>
          <w:sz w:val="24"/>
          <w:szCs w:val="24"/>
          <w:lang w:eastAsia="fr-FR"/>
          <w14:ligatures w14:val="standardContextual"/>
        </w:rPr>
        <w:drawing>
          <wp:inline distT="0" distB="0" distL="0" distR="0" wp14:anchorId="3B2FDF02" wp14:editId="667AF759">
            <wp:extent cx="4000500" cy="2286000"/>
            <wp:effectExtent l="0" t="0" r="19050" b="19050"/>
            <wp:docPr id="7" name="Graphique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35D6944" w14:textId="77777777" w:rsidR="00FD7D8B" w:rsidRPr="00303830" w:rsidRDefault="00FD7D8B" w:rsidP="007F58F3">
      <w:pPr>
        <w:ind w:left="360"/>
        <w:jc w:val="both"/>
        <w:rPr>
          <w:rFonts w:ascii="Arial" w:hAnsi="Arial" w:cs="Arial"/>
          <w:b/>
          <w:sz w:val="20"/>
          <w:szCs w:val="20"/>
          <w:lang w:val="en-US"/>
        </w:rPr>
      </w:pPr>
      <w:r w:rsidRPr="00303830">
        <w:rPr>
          <w:rFonts w:ascii="Arial" w:hAnsi="Arial" w:cs="Arial"/>
          <w:b/>
          <w:sz w:val="20"/>
          <w:szCs w:val="20"/>
          <w:lang w:val="en-US"/>
        </w:rPr>
        <w:t>Figure 7: Adsorption isotherm for Nitrate ions on samples of K-B, K-56 and K-F</w:t>
      </w:r>
    </w:p>
    <w:p w14:paraId="403CD78E" w14:textId="6F9DDC0F" w:rsidR="004F7444" w:rsidRPr="00F139A8" w:rsidRDefault="004F7444" w:rsidP="00F139A8">
      <w:pPr>
        <w:spacing w:after="0"/>
        <w:jc w:val="both"/>
        <w:rPr>
          <w:rFonts w:ascii="Arial" w:hAnsi="Arial" w:cs="Arial"/>
          <w:sz w:val="20"/>
          <w:szCs w:val="20"/>
          <w:highlight w:val="yellow"/>
          <w:lang w:val="en-US"/>
        </w:rPr>
      </w:pPr>
      <w:r w:rsidRPr="00F139A8">
        <w:rPr>
          <w:rFonts w:ascii="Arial" w:hAnsi="Arial" w:cs="Arial"/>
          <w:sz w:val="20"/>
          <w:szCs w:val="20"/>
          <w:highlight w:val="yellow"/>
          <w:lang w:val="en-US"/>
        </w:rPr>
        <w:t>All adsorption experiments were conducted using the batch method at room temperature and a fixed pH of 3. The constant p</w:t>
      </w:r>
      <w:r w:rsidR="006E63FC">
        <w:rPr>
          <w:rFonts w:ascii="Arial" w:hAnsi="Arial" w:cs="Arial"/>
          <w:sz w:val="20"/>
          <w:szCs w:val="20"/>
          <w:highlight w:val="yellow"/>
          <w:lang w:val="en-US"/>
        </w:rPr>
        <w:t>arameters included a mass of 10</w:t>
      </w:r>
      <w:r w:rsidRPr="00F139A8">
        <w:rPr>
          <w:rFonts w:ascii="Arial" w:hAnsi="Arial" w:cs="Arial"/>
          <w:sz w:val="20"/>
          <w:szCs w:val="20"/>
          <w:highlight w:val="yellow"/>
          <w:lang w:val="en-US"/>
        </w:rPr>
        <w:t xml:space="preserve"> </w:t>
      </w:r>
      <w:r w:rsidR="006E63FC">
        <w:rPr>
          <w:rFonts w:ascii="Arial" w:hAnsi="Arial" w:cs="Arial"/>
          <w:sz w:val="20"/>
          <w:szCs w:val="20"/>
          <w:highlight w:val="yellow"/>
          <w:lang w:val="en-US"/>
        </w:rPr>
        <w:t>m</w:t>
      </w:r>
      <w:r w:rsidRPr="00F139A8">
        <w:rPr>
          <w:rFonts w:ascii="Arial" w:hAnsi="Arial" w:cs="Arial"/>
          <w:sz w:val="20"/>
          <w:szCs w:val="20"/>
          <w:highlight w:val="yellow"/>
          <w:lang w:val="en-US"/>
        </w:rPr>
        <w:t>g of clay placed in contact with a solution volume of 50 mL.</w:t>
      </w:r>
    </w:p>
    <w:p w14:paraId="17BA26CC" w14:textId="0A87311F" w:rsidR="00F139A8" w:rsidRPr="00F139A8" w:rsidRDefault="00F139A8" w:rsidP="00257123">
      <w:pPr>
        <w:jc w:val="both"/>
        <w:rPr>
          <w:rFonts w:ascii="Arial" w:hAnsi="Arial" w:cs="Arial"/>
          <w:sz w:val="20"/>
          <w:szCs w:val="20"/>
          <w:lang w:val="en-US"/>
        </w:rPr>
      </w:pPr>
      <w:r w:rsidRPr="00F139A8">
        <w:rPr>
          <w:rFonts w:ascii="Arial" w:hAnsi="Arial" w:cs="Arial"/>
          <w:sz w:val="20"/>
          <w:szCs w:val="20"/>
          <w:lang w:val="en-US"/>
        </w:rPr>
        <w:t xml:space="preserve">Analysis of the curves in </w:t>
      </w:r>
      <w:r w:rsidRPr="008F0500">
        <w:rPr>
          <w:rFonts w:ascii="Arial" w:hAnsi="Arial" w:cs="Arial"/>
          <w:b/>
          <w:sz w:val="20"/>
          <w:szCs w:val="20"/>
          <w:lang w:val="en-US"/>
        </w:rPr>
        <w:t>Figures 6</w:t>
      </w:r>
      <w:r w:rsidRPr="00F139A8">
        <w:rPr>
          <w:rFonts w:ascii="Arial" w:hAnsi="Arial" w:cs="Arial"/>
          <w:sz w:val="20"/>
          <w:szCs w:val="20"/>
          <w:lang w:val="en-US"/>
        </w:rPr>
        <w:t xml:space="preserve"> and </w:t>
      </w:r>
      <w:r w:rsidRPr="008F0500">
        <w:rPr>
          <w:rFonts w:ascii="Arial" w:hAnsi="Arial" w:cs="Arial"/>
          <w:b/>
          <w:sz w:val="20"/>
          <w:szCs w:val="20"/>
          <w:lang w:val="en-US"/>
        </w:rPr>
        <w:t>7</w:t>
      </w:r>
      <w:r w:rsidRPr="00F139A8">
        <w:rPr>
          <w:rFonts w:ascii="Arial" w:hAnsi="Arial" w:cs="Arial"/>
          <w:sz w:val="20"/>
          <w:szCs w:val="20"/>
          <w:lang w:val="en-US"/>
        </w:rPr>
        <w:t xml:space="preserve"> reveals that the quantities of chromate and nitrate adsorbed on the unsieved crude sample (K-B) are lower than those adsorbed on the 56 µm sieved sample (K-56). These quantities adsorbed on the unsieved crude sample and on the 56 µm sieved sample are themselves lower than those adsor</w:t>
      </w:r>
      <w:r w:rsidR="00257123">
        <w:rPr>
          <w:rFonts w:ascii="Arial" w:hAnsi="Arial" w:cs="Arial"/>
          <w:sz w:val="20"/>
          <w:szCs w:val="20"/>
          <w:lang w:val="en-US"/>
        </w:rPr>
        <w:t>bed on the fine fraction (K-F).</w:t>
      </w:r>
    </w:p>
    <w:p w14:paraId="79263873" w14:textId="77777777" w:rsidR="004F7444" w:rsidRPr="00F139A8" w:rsidRDefault="004F7444" w:rsidP="00F139A8">
      <w:pPr>
        <w:spacing w:after="0"/>
        <w:jc w:val="both"/>
        <w:rPr>
          <w:rFonts w:ascii="Arial" w:hAnsi="Arial" w:cs="Arial"/>
          <w:sz w:val="20"/>
          <w:szCs w:val="20"/>
          <w:highlight w:val="yellow"/>
          <w:lang w:val="en-US"/>
        </w:rPr>
      </w:pPr>
      <w:r w:rsidRPr="00F139A8">
        <w:rPr>
          <w:rFonts w:ascii="Arial" w:hAnsi="Arial" w:cs="Arial"/>
          <w:sz w:val="20"/>
          <w:szCs w:val="20"/>
          <w:highlight w:val="yellow"/>
          <w:lang w:val="en-US"/>
        </w:rPr>
        <w:t>For the initial concentration of 0.000064 mol/L of nitrate ions, the results highlight a negligible variation in adsorption capacity (Qe) between the raw sample (K-B, Qe = 0.000041 mol/g) and the 56 µm sieved fraction (K-56, Qe = 0.000040 mol/g). This slight discrepancy is attributed to a very similar particle size distribution between these two fractions.</w:t>
      </w:r>
    </w:p>
    <w:p w14:paraId="4A509A20" w14:textId="37F1A877" w:rsidR="004F7444" w:rsidRPr="00F139A8" w:rsidRDefault="004F7444" w:rsidP="00F139A8">
      <w:pPr>
        <w:spacing w:after="0"/>
        <w:jc w:val="both"/>
        <w:rPr>
          <w:rFonts w:ascii="Arial" w:hAnsi="Arial" w:cs="Arial"/>
          <w:sz w:val="20"/>
          <w:szCs w:val="20"/>
          <w:highlight w:val="yellow"/>
          <w:lang w:val="en-US"/>
        </w:rPr>
      </w:pPr>
      <w:r w:rsidRPr="00F139A8">
        <w:rPr>
          <w:rFonts w:ascii="Arial" w:hAnsi="Arial" w:cs="Arial"/>
          <w:sz w:val="20"/>
          <w:szCs w:val="20"/>
          <w:highlight w:val="yellow"/>
          <w:lang w:val="en-US"/>
        </w:rPr>
        <w:t>However, a slight increase in performance is observed with the fine sample (K-F), which achie</w:t>
      </w:r>
      <w:r w:rsidR="00CE3FD2">
        <w:rPr>
          <w:rFonts w:ascii="Arial" w:hAnsi="Arial" w:cs="Arial"/>
          <w:sz w:val="20"/>
          <w:szCs w:val="20"/>
          <w:highlight w:val="yellow"/>
          <w:lang w:val="en-US"/>
        </w:rPr>
        <w:t>ves an adsorption capacity of 0.</w:t>
      </w:r>
      <w:r w:rsidRPr="00F139A8">
        <w:rPr>
          <w:rFonts w:ascii="Arial" w:hAnsi="Arial" w:cs="Arial"/>
          <w:sz w:val="20"/>
          <w:szCs w:val="20"/>
          <w:highlight w:val="yellow"/>
          <w:lang w:val="en-US"/>
        </w:rPr>
        <w:t xml:space="preserve">000051 mol/g for nitrate ions. A similar observation was made for chromate ions, where the </w:t>
      </w:r>
      <w:r w:rsidR="00072EBA">
        <w:rPr>
          <w:rFonts w:ascii="Arial" w:hAnsi="Arial" w:cs="Arial"/>
          <w:sz w:val="20"/>
          <w:szCs w:val="20"/>
          <w:highlight w:val="yellow"/>
          <w:lang w:val="en-US"/>
        </w:rPr>
        <w:t>difference between samples K-B (0.0000031</w:t>
      </w:r>
      <w:r w:rsidRPr="00F139A8">
        <w:rPr>
          <w:rFonts w:ascii="Arial" w:hAnsi="Arial" w:cs="Arial"/>
          <w:sz w:val="20"/>
          <w:szCs w:val="20"/>
          <w:highlight w:val="yellow"/>
          <w:lang w:val="en-US"/>
        </w:rPr>
        <w:t xml:space="preserve"> mol/g) and K-56 (</w:t>
      </w:r>
      <w:r w:rsidR="00072EBA" w:rsidRPr="00072EBA">
        <w:rPr>
          <w:rFonts w:ascii="Arial" w:hAnsi="Arial" w:cs="Arial"/>
          <w:sz w:val="20"/>
          <w:szCs w:val="20"/>
          <w:highlight w:val="yellow"/>
          <w:lang w:val="en-US"/>
        </w:rPr>
        <w:t xml:space="preserve">0.0000053 </w:t>
      </w:r>
      <w:r w:rsidRPr="00F139A8">
        <w:rPr>
          <w:rFonts w:ascii="Arial" w:hAnsi="Arial" w:cs="Arial"/>
          <w:sz w:val="20"/>
          <w:szCs w:val="20"/>
          <w:highlight w:val="yellow"/>
          <w:lang w:val="en-US"/>
        </w:rPr>
        <w:t>mol/g) remains minimal. The same enhanced performance profile was observed with sample K-F for chromate ions</w:t>
      </w:r>
      <w:r w:rsidR="00072EBA">
        <w:rPr>
          <w:rFonts w:ascii="Arial" w:hAnsi="Arial" w:cs="Arial"/>
          <w:sz w:val="20"/>
          <w:szCs w:val="20"/>
          <w:highlight w:val="yellow"/>
          <w:lang w:val="en-US"/>
        </w:rPr>
        <w:t xml:space="preserve"> (0.0000083 </w:t>
      </w:r>
      <w:r w:rsidR="00072EBA" w:rsidRPr="00F139A8">
        <w:rPr>
          <w:rFonts w:ascii="Arial" w:hAnsi="Arial" w:cs="Arial"/>
          <w:sz w:val="20"/>
          <w:szCs w:val="20"/>
          <w:highlight w:val="yellow"/>
          <w:lang w:val="en-US"/>
        </w:rPr>
        <w:t>mol/g</w:t>
      </w:r>
      <w:r w:rsidR="00072EBA">
        <w:rPr>
          <w:rFonts w:ascii="Arial" w:hAnsi="Arial" w:cs="Arial"/>
          <w:sz w:val="20"/>
          <w:szCs w:val="20"/>
          <w:highlight w:val="yellow"/>
          <w:lang w:val="en-US"/>
        </w:rPr>
        <w:t>)</w:t>
      </w:r>
      <w:r w:rsidRPr="00F139A8">
        <w:rPr>
          <w:rFonts w:ascii="Arial" w:hAnsi="Arial" w:cs="Arial"/>
          <w:sz w:val="20"/>
          <w:szCs w:val="20"/>
          <w:highlight w:val="yellow"/>
          <w:lang w:val="en-US"/>
        </w:rPr>
        <w:t>, and these trends persisted across all other initial concentrations tested.</w:t>
      </w:r>
    </w:p>
    <w:p w14:paraId="11358B54" w14:textId="77777777" w:rsidR="004F7444" w:rsidRPr="00F139A8" w:rsidRDefault="004F7444" w:rsidP="00F139A8">
      <w:pPr>
        <w:spacing w:after="0"/>
        <w:jc w:val="both"/>
        <w:rPr>
          <w:rFonts w:ascii="Arial" w:hAnsi="Arial" w:cs="Arial"/>
          <w:sz w:val="20"/>
          <w:szCs w:val="20"/>
          <w:highlight w:val="yellow"/>
          <w:lang w:val="en-US"/>
        </w:rPr>
      </w:pPr>
      <w:r w:rsidRPr="00F139A8">
        <w:rPr>
          <w:rFonts w:ascii="Arial" w:hAnsi="Arial" w:cs="Arial"/>
          <w:sz w:val="20"/>
          <w:szCs w:val="20"/>
          <w:highlight w:val="yellow"/>
          <w:lang w:val="en-US"/>
        </w:rPr>
        <w:lastRenderedPageBreak/>
        <w:t>The improved adsorption performance of sample K-F is directly correlated with its enrichment in finer particles. The increased particle size translates into an increase in the material's specific surface area. This phenomenon multiplies the number of active adsorption sites available, acting as an ultra-efficient scavenger for pollutants. In other words, the adsorbent's performance is directly proportional to the abundance of the clay phase (the main constituent responsible for ion capture). This observation is consistent with previous work on clayey materials, including a study that showed that the permeability of a layer decreases as its clay content increases. [22]</w:t>
      </w:r>
    </w:p>
    <w:p w14:paraId="4E2ED6DA" w14:textId="77777777" w:rsidR="004F7444" w:rsidRPr="00F139A8" w:rsidRDefault="004F7444" w:rsidP="00257123">
      <w:pPr>
        <w:jc w:val="both"/>
        <w:rPr>
          <w:rFonts w:ascii="Arial" w:hAnsi="Arial" w:cs="Arial"/>
          <w:sz w:val="20"/>
          <w:szCs w:val="20"/>
          <w:highlight w:val="yellow"/>
          <w:lang w:val="en-US"/>
        </w:rPr>
      </w:pPr>
      <w:r w:rsidRPr="00F139A8">
        <w:rPr>
          <w:rFonts w:ascii="Arial" w:hAnsi="Arial" w:cs="Arial"/>
          <w:sz w:val="20"/>
          <w:szCs w:val="20"/>
          <w:highlight w:val="yellow"/>
          <w:lang w:val="en-US"/>
        </w:rPr>
        <w:t>Similarly, research on the migration of heavy metals in the subsoil [23] has established that pollutant retention is maximized in clay-rich soils (40 to 50% clay) at short depths (a few centimeters) compared to less clayey soils (20% clay) where migration is deeper (several decimeters).</w:t>
      </w:r>
    </w:p>
    <w:p w14:paraId="03DBB458" w14:textId="7C3A5DCF" w:rsidR="006E760F" w:rsidRDefault="004F7444" w:rsidP="00F139A8">
      <w:pPr>
        <w:spacing w:after="0"/>
        <w:jc w:val="both"/>
        <w:rPr>
          <w:rFonts w:ascii="Arial" w:hAnsi="Arial" w:cs="Arial"/>
          <w:sz w:val="20"/>
          <w:szCs w:val="20"/>
          <w:lang w:val="en-US"/>
        </w:rPr>
      </w:pPr>
      <w:r w:rsidRPr="00F139A8">
        <w:rPr>
          <w:rFonts w:ascii="Arial" w:hAnsi="Arial" w:cs="Arial"/>
          <w:sz w:val="20"/>
          <w:szCs w:val="20"/>
          <w:highlight w:val="yellow"/>
          <w:lang w:val="en-US"/>
        </w:rPr>
        <w:t>Finally, analysis of these isotherm curves (</w:t>
      </w:r>
      <w:r w:rsidRPr="00F139A8">
        <w:rPr>
          <w:rFonts w:ascii="Arial" w:hAnsi="Arial" w:cs="Arial"/>
          <w:b/>
          <w:sz w:val="20"/>
          <w:szCs w:val="20"/>
          <w:highlight w:val="yellow"/>
          <w:lang w:val="en-US"/>
        </w:rPr>
        <w:t>Figure 6</w:t>
      </w:r>
      <w:r w:rsidR="00F139A8" w:rsidRPr="00F139A8">
        <w:rPr>
          <w:rFonts w:ascii="Arial" w:hAnsi="Arial" w:cs="Arial"/>
          <w:sz w:val="20"/>
          <w:szCs w:val="20"/>
          <w:highlight w:val="yellow"/>
          <w:lang w:val="en-US"/>
        </w:rPr>
        <w:t xml:space="preserve"> and </w:t>
      </w:r>
      <w:r w:rsidR="00F139A8" w:rsidRPr="00F139A8">
        <w:rPr>
          <w:rFonts w:ascii="Arial" w:hAnsi="Arial" w:cs="Arial"/>
          <w:b/>
          <w:sz w:val="20"/>
          <w:szCs w:val="20"/>
          <w:highlight w:val="yellow"/>
          <w:lang w:val="en-US"/>
        </w:rPr>
        <w:t>7</w:t>
      </w:r>
      <w:r w:rsidRPr="00F139A8">
        <w:rPr>
          <w:rFonts w:ascii="Arial" w:hAnsi="Arial" w:cs="Arial"/>
          <w:sz w:val="20"/>
          <w:szCs w:val="20"/>
          <w:highlight w:val="yellow"/>
          <w:lang w:val="en-US"/>
        </w:rPr>
        <w:t>) reveals a Type S shape, in accordance with the Giles classification [24]. This profile is characteristic of a situation where there is competition for the occupation of active sites between the solvent and the solute [25]. In this specific system, the Type S isotherm indicates steric competition between water molecules (the solvent) and pollutant ions (chromate or nitrate, the solute) for access and attachment to the positively charged adsorption sites of the clay.</w:t>
      </w:r>
    </w:p>
    <w:p w14:paraId="6AEF5FC8" w14:textId="77777777" w:rsidR="00F139A8" w:rsidRDefault="00F139A8" w:rsidP="00F139A8">
      <w:pPr>
        <w:spacing w:after="0"/>
        <w:jc w:val="both"/>
        <w:rPr>
          <w:rFonts w:ascii="Arial" w:hAnsi="Arial" w:cs="Arial"/>
          <w:sz w:val="20"/>
          <w:szCs w:val="20"/>
          <w:lang w:val="en-US"/>
        </w:rPr>
      </w:pPr>
    </w:p>
    <w:p w14:paraId="0817D8B8" w14:textId="77777777" w:rsidR="00262603" w:rsidRDefault="00262603" w:rsidP="00F139A8">
      <w:pPr>
        <w:spacing w:after="0"/>
        <w:jc w:val="both"/>
        <w:rPr>
          <w:rFonts w:ascii="Arial" w:hAnsi="Arial" w:cs="Arial"/>
          <w:sz w:val="20"/>
          <w:szCs w:val="20"/>
          <w:lang w:val="en-US"/>
        </w:rPr>
      </w:pPr>
    </w:p>
    <w:p w14:paraId="1EA23491" w14:textId="77777777" w:rsidR="00960D5C" w:rsidRPr="00303830" w:rsidRDefault="00303830" w:rsidP="00D26713">
      <w:pPr>
        <w:pStyle w:val="ListParagraph"/>
        <w:numPr>
          <w:ilvl w:val="0"/>
          <w:numId w:val="7"/>
        </w:numPr>
        <w:ind w:left="284" w:hanging="284"/>
        <w:jc w:val="both"/>
        <w:rPr>
          <w:rFonts w:ascii="Arial" w:hAnsi="Arial" w:cs="Arial"/>
          <w:sz w:val="20"/>
          <w:szCs w:val="20"/>
          <w:lang w:val="en-US"/>
        </w:rPr>
      </w:pPr>
      <w:r w:rsidRPr="00303830">
        <w:rPr>
          <w:rFonts w:ascii="Arial" w:hAnsi="Arial" w:cs="Arial"/>
          <w:b/>
          <w:lang w:val="en-US"/>
        </w:rPr>
        <w:t>CONCLUSION</w:t>
      </w:r>
    </w:p>
    <w:p w14:paraId="00777DD2" w14:textId="77777777" w:rsidR="00715AEF" w:rsidRPr="00262603" w:rsidRDefault="00715AEF" w:rsidP="00715AEF">
      <w:pPr>
        <w:spacing w:after="0"/>
        <w:ind w:left="360"/>
        <w:jc w:val="both"/>
        <w:rPr>
          <w:rFonts w:ascii="Arial" w:hAnsi="Arial" w:cs="Arial"/>
          <w:sz w:val="20"/>
          <w:szCs w:val="20"/>
          <w:highlight w:val="yellow"/>
          <w:lang w:val="en-US"/>
        </w:rPr>
      </w:pPr>
      <w:r w:rsidRPr="00262603">
        <w:rPr>
          <w:rFonts w:ascii="Arial" w:hAnsi="Arial" w:cs="Arial"/>
          <w:sz w:val="20"/>
          <w:szCs w:val="20"/>
          <w:highlight w:val="yellow"/>
          <w:lang w:val="en-US"/>
        </w:rPr>
        <w:t>The objective of this work was to evaluate the performance of Kombé clay as an adsorbent in order to understand its properties and assess its potential practical applications in the environmental field for pollution remediation.</w:t>
      </w:r>
    </w:p>
    <w:p w14:paraId="03229AEA" w14:textId="77777777" w:rsidR="00715AEF" w:rsidRPr="00262603" w:rsidRDefault="00715AEF" w:rsidP="00715AEF">
      <w:pPr>
        <w:spacing w:after="0"/>
        <w:ind w:left="360"/>
        <w:jc w:val="both"/>
        <w:rPr>
          <w:rFonts w:ascii="Arial" w:hAnsi="Arial" w:cs="Arial"/>
          <w:sz w:val="20"/>
          <w:szCs w:val="20"/>
          <w:highlight w:val="yellow"/>
          <w:lang w:val="en-US"/>
        </w:rPr>
      </w:pPr>
      <w:r w:rsidRPr="00262603">
        <w:rPr>
          <w:rFonts w:ascii="Arial" w:hAnsi="Arial" w:cs="Arial"/>
          <w:sz w:val="20"/>
          <w:szCs w:val="20"/>
          <w:highlight w:val="yellow"/>
          <w:lang w:val="en-US"/>
        </w:rPr>
        <w:t>Previous characterization studies of this material revealed that it is plastic and primarily composed of kaolinite, with significant amounts of quartz.</w:t>
      </w:r>
    </w:p>
    <w:p w14:paraId="619DAA45" w14:textId="77777777" w:rsidR="00715AEF" w:rsidRPr="00262603" w:rsidRDefault="00715AEF" w:rsidP="00715AEF">
      <w:pPr>
        <w:spacing w:after="0"/>
        <w:ind w:left="360"/>
        <w:jc w:val="both"/>
        <w:rPr>
          <w:rFonts w:ascii="Arial" w:hAnsi="Arial" w:cs="Arial"/>
          <w:sz w:val="20"/>
          <w:szCs w:val="20"/>
          <w:highlight w:val="yellow"/>
          <w:lang w:val="en-US"/>
        </w:rPr>
      </w:pPr>
      <w:r w:rsidRPr="00262603">
        <w:rPr>
          <w:rFonts w:ascii="Arial" w:hAnsi="Arial" w:cs="Arial"/>
          <w:sz w:val="20"/>
          <w:szCs w:val="20"/>
          <w:highlight w:val="yellow"/>
          <w:lang w:val="en-US"/>
        </w:rPr>
        <w:t>The cation exchange capacity (CEC) and specific surface area values ​​were found to be low, but nevertheless suggested the possibility of interaction with various substances, including pollutants.</w:t>
      </w:r>
    </w:p>
    <w:p w14:paraId="789A054B" w14:textId="77777777" w:rsidR="00715AEF" w:rsidRPr="00262603" w:rsidRDefault="00715AEF" w:rsidP="00715AEF">
      <w:pPr>
        <w:spacing w:after="0"/>
        <w:ind w:left="360"/>
        <w:jc w:val="both"/>
        <w:rPr>
          <w:rFonts w:ascii="Arial" w:hAnsi="Arial" w:cs="Arial"/>
          <w:sz w:val="20"/>
          <w:szCs w:val="20"/>
          <w:highlight w:val="yellow"/>
          <w:lang w:val="en-US"/>
        </w:rPr>
      </w:pPr>
      <w:r w:rsidRPr="00262603">
        <w:rPr>
          <w:rFonts w:ascii="Arial" w:hAnsi="Arial" w:cs="Arial"/>
          <w:sz w:val="20"/>
          <w:szCs w:val="20"/>
          <w:highlight w:val="yellow"/>
          <w:lang w:val="en-US"/>
        </w:rPr>
        <w:t>Adsorption tests of chromate and nitrate ions demonstrated that Kombé clay can capture and remove these pollutants (up to a maximum of 15.94% of nitrate ions and 2.59% of chromate ions) from aqueous solutions. However, the adsorption efficiency is low and needs to be optimized to confirm the material's potential use in environmental remediation applications as a low-cost adsorbent.</w:t>
      </w:r>
    </w:p>
    <w:p w14:paraId="2F3710E7" w14:textId="77777777" w:rsidR="00715AEF" w:rsidRPr="00262603" w:rsidRDefault="00715AEF" w:rsidP="00715AEF">
      <w:pPr>
        <w:spacing w:after="0"/>
        <w:ind w:left="360"/>
        <w:jc w:val="both"/>
        <w:rPr>
          <w:rFonts w:ascii="Arial" w:hAnsi="Arial" w:cs="Arial"/>
          <w:sz w:val="20"/>
          <w:szCs w:val="20"/>
          <w:highlight w:val="yellow"/>
          <w:lang w:val="en-US"/>
        </w:rPr>
      </w:pPr>
      <w:r w:rsidRPr="00262603">
        <w:rPr>
          <w:rFonts w:ascii="Arial" w:hAnsi="Arial" w:cs="Arial"/>
          <w:sz w:val="20"/>
          <w:szCs w:val="20"/>
          <w:highlight w:val="yellow"/>
          <w:lang w:val="en-US"/>
        </w:rPr>
        <w:t>Additionally, the mineralogical and physicochemical properties obtained in this study suggest that Kombé clay is a local resource that can be used for the production of structural ceramics (such as bricks and tiles), due to its kaolinitic nature, plasticity, and refractory properties.</w:t>
      </w:r>
    </w:p>
    <w:p w14:paraId="6A6EF18D" w14:textId="6E903C4A" w:rsidR="009A75C0" w:rsidRDefault="00715AEF" w:rsidP="00715AEF">
      <w:pPr>
        <w:spacing w:after="0"/>
        <w:ind w:left="360"/>
        <w:jc w:val="both"/>
        <w:rPr>
          <w:rFonts w:ascii="Arial" w:hAnsi="Arial" w:cs="Arial"/>
          <w:sz w:val="20"/>
          <w:szCs w:val="20"/>
          <w:lang w:val="en-US"/>
        </w:rPr>
      </w:pPr>
      <w:r w:rsidRPr="00262603">
        <w:rPr>
          <w:rFonts w:ascii="Arial" w:hAnsi="Arial" w:cs="Arial"/>
          <w:sz w:val="20"/>
          <w:szCs w:val="20"/>
          <w:highlight w:val="yellow"/>
          <w:lang w:val="en-US"/>
        </w:rPr>
        <w:t>Future research should focus on optimizing the adsorption properties of this clay through various treatments (such as thermal and acid activation) to improve its adsorption capacity and better utilize it as a local resource for environmental pollution remediation.</w:t>
      </w:r>
    </w:p>
    <w:p w14:paraId="04ECB63C" w14:textId="128E775F" w:rsidR="00262603" w:rsidRDefault="00262603" w:rsidP="00715AEF">
      <w:pPr>
        <w:spacing w:after="0"/>
        <w:ind w:left="360"/>
        <w:jc w:val="both"/>
        <w:rPr>
          <w:rFonts w:ascii="Arial" w:hAnsi="Arial" w:cs="Arial"/>
          <w:sz w:val="20"/>
          <w:szCs w:val="20"/>
          <w:lang w:val="en-US"/>
        </w:rPr>
      </w:pPr>
    </w:p>
    <w:p w14:paraId="03A106C4" w14:textId="77777777" w:rsidR="00784F63" w:rsidRDefault="00784F63" w:rsidP="00784F63">
      <w:r>
        <w:t>Disclaimer (Artificial intelligence)</w:t>
      </w:r>
    </w:p>
    <w:p w14:paraId="538D3870" w14:textId="77777777" w:rsidR="00784F63" w:rsidRDefault="00784F63" w:rsidP="00784F63">
      <w:r>
        <w:t xml:space="preserve">Option 1: </w:t>
      </w:r>
    </w:p>
    <w:p w14:paraId="6BBAF31B" w14:textId="77777777" w:rsidR="00784F63" w:rsidRDefault="00784F63" w:rsidP="00784F63">
      <w:r>
        <w:t xml:space="preserve">Author(s) hereby declare that NO generative AI technologies such as Large Language Models (ChatGPT, COPILOT, etc.) and text-to-image generators have been used during the writing or editing of this manuscript. </w:t>
      </w:r>
    </w:p>
    <w:p w14:paraId="7E0D4B84" w14:textId="77777777" w:rsidR="00784F63" w:rsidRDefault="00784F63" w:rsidP="00784F63">
      <w:r>
        <w:t xml:space="preserve">Option 2: </w:t>
      </w:r>
    </w:p>
    <w:p w14:paraId="5F16F8C5" w14:textId="77777777" w:rsidR="00784F63" w:rsidRDefault="00784F63" w:rsidP="00784F63">
      <w:r>
        <w:t xml:space="preserve">Author(s) hereby declare that generative AI technologies such as Large Language Models, etc. have been used during the writing or editing of manuscripts. This explanation will include the name, </w:t>
      </w:r>
      <w:r>
        <w:lastRenderedPageBreak/>
        <w:t>version, model, and source of the generative AI technology and as well as all input prompts provided to the generative AI technology</w:t>
      </w:r>
    </w:p>
    <w:p w14:paraId="0F52741D" w14:textId="77777777" w:rsidR="00784F63" w:rsidRDefault="00784F63" w:rsidP="00784F63">
      <w:r>
        <w:t>Details of the AI usage are given below:</w:t>
      </w:r>
    </w:p>
    <w:p w14:paraId="693D2824" w14:textId="77777777" w:rsidR="00784F63" w:rsidRDefault="00784F63" w:rsidP="00784F63">
      <w:r>
        <w:t>1.</w:t>
      </w:r>
    </w:p>
    <w:p w14:paraId="6A39E257" w14:textId="77777777" w:rsidR="00784F63" w:rsidRDefault="00784F63" w:rsidP="00784F63">
      <w:r>
        <w:t>2.</w:t>
      </w:r>
    </w:p>
    <w:p w14:paraId="49AD07B6" w14:textId="77777777" w:rsidR="00784F63" w:rsidRDefault="00784F63" w:rsidP="00784F63">
      <w:r>
        <w:t>3.</w:t>
      </w:r>
    </w:p>
    <w:p w14:paraId="0E0D9E5F" w14:textId="77777777" w:rsidR="00784F63" w:rsidRDefault="00784F63" w:rsidP="00784F63"/>
    <w:p w14:paraId="3B816067" w14:textId="77777777" w:rsidR="00784F63" w:rsidRDefault="00784F63" w:rsidP="00784F63"/>
    <w:p w14:paraId="7E864595" w14:textId="77777777" w:rsidR="00784F63" w:rsidRPr="00837A0D" w:rsidRDefault="00784F63" w:rsidP="00715AEF">
      <w:pPr>
        <w:spacing w:after="0"/>
        <w:ind w:left="360"/>
        <w:jc w:val="both"/>
        <w:rPr>
          <w:rFonts w:ascii="Arial" w:hAnsi="Arial" w:cs="Arial"/>
          <w:sz w:val="20"/>
          <w:szCs w:val="20"/>
          <w:lang w:val="en-US"/>
        </w:rPr>
      </w:pPr>
      <w:bookmarkStart w:id="0" w:name="_GoBack"/>
      <w:bookmarkEnd w:id="0"/>
    </w:p>
    <w:p w14:paraId="3D35A1D6" w14:textId="77777777" w:rsidR="00DF1B95" w:rsidRDefault="009A75C0" w:rsidP="009A75C0">
      <w:pPr>
        <w:jc w:val="both"/>
        <w:rPr>
          <w:rFonts w:ascii="Arial" w:hAnsi="Arial" w:cs="Arial"/>
          <w:b/>
          <w:bCs/>
        </w:rPr>
      </w:pPr>
      <w:r w:rsidRPr="009A75C0">
        <w:rPr>
          <w:rFonts w:ascii="Arial" w:hAnsi="Arial" w:cs="Arial"/>
          <w:b/>
          <w:bCs/>
        </w:rPr>
        <w:t>REFERENCES</w:t>
      </w:r>
    </w:p>
    <w:p w14:paraId="4D8E72FF" w14:textId="77777777" w:rsidR="009A75C0" w:rsidRPr="009A75C0" w:rsidRDefault="009A75C0" w:rsidP="009A75C0">
      <w:pPr>
        <w:pStyle w:val="ListParagraph"/>
        <w:numPr>
          <w:ilvl w:val="0"/>
          <w:numId w:val="4"/>
        </w:numPr>
        <w:jc w:val="both"/>
        <w:rPr>
          <w:rFonts w:ascii="Arial" w:hAnsi="Arial" w:cs="Arial"/>
          <w:b/>
          <w:bCs/>
        </w:rPr>
      </w:pPr>
      <w:r w:rsidRPr="009A75C0">
        <w:rPr>
          <w:rFonts w:ascii="Arial" w:eastAsia="Calibri" w:hAnsi="Arial" w:cs="Arial"/>
          <w:sz w:val="20"/>
          <w:szCs w:val="20"/>
          <w:lang w:val="en-US"/>
        </w:rPr>
        <w:t xml:space="preserve">Konta, J., 1995. Clay and man: Clay raw materials in the service of man. </w:t>
      </w:r>
      <w:r w:rsidRPr="009A75C0">
        <w:rPr>
          <w:rFonts w:ascii="Arial" w:eastAsia="Calibri" w:hAnsi="Arial" w:cs="Arial"/>
          <w:i/>
          <w:sz w:val="20"/>
          <w:szCs w:val="20"/>
          <w:lang w:val="en-US"/>
        </w:rPr>
        <w:t>Appl. Clay Sci</w:t>
      </w:r>
      <w:r w:rsidRPr="009A75C0">
        <w:rPr>
          <w:rFonts w:ascii="Arial" w:eastAsia="Calibri" w:hAnsi="Arial" w:cs="Arial"/>
          <w:sz w:val="20"/>
          <w:szCs w:val="20"/>
          <w:lang w:val="en-US"/>
        </w:rPr>
        <w:t xml:space="preserve">., 10(4): 275-335. </w:t>
      </w:r>
    </w:p>
    <w:p w14:paraId="6CDE7BD2" w14:textId="77777777" w:rsidR="009A75C0" w:rsidRPr="009A75C0" w:rsidRDefault="009A75C0" w:rsidP="009A75C0">
      <w:pPr>
        <w:pStyle w:val="ListParagraph"/>
        <w:numPr>
          <w:ilvl w:val="0"/>
          <w:numId w:val="4"/>
        </w:numPr>
        <w:jc w:val="both"/>
        <w:rPr>
          <w:rFonts w:ascii="Arial" w:hAnsi="Arial" w:cs="Arial"/>
          <w:b/>
          <w:bCs/>
          <w:lang w:val="en-US"/>
        </w:rPr>
      </w:pPr>
      <w:r w:rsidRPr="00837A0D">
        <w:rPr>
          <w:rFonts w:ascii="Arial" w:eastAsia="Calibri" w:hAnsi="Arial" w:cs="Arial"/>
          <w:sz w:val="20"/>
          <w:szCs w:val="20"/>
          <w:lang w:val="en-US"/>
        </w:rPr>
        <w:t xml:space="preserve">Beatrice O. Otunola </w:t>
      </w:r>
      <w:r w:rsidRPr="00837A0D">
        <w:rPr>
          <w:rFonts w:ascii="Cambria Math" w:eastAsia="Calibri" w:hAnsi="Cambria Math" w:cs="Cambria Math"/>
          <w:sz w:val="20"/>
          <w:szCs w:val="20"/>
          <w:lang w:val="en-US"/>
        </w:rPr>
        <w:t>∗</w:t>
      </w:r>
      <w:r w:rsidRPr="00837A0D">
        <w:rPr>
          <w:rFonts w:ascii="Arial" w:eastAsia="Calibri" w:hAnsi="Arial" w:cs="Arial"/>
          <w:sz w:val="20"/>
          <w:szCs w:val="20"/>
          <w:lang w:val="en-US"/>
        </w:rPr>
        <w:t>, Olusola O. Ololade, A review on the application of clay minerals as heavy metal adsorbents for remediation purposes.</w:t>
      </w:r>
      <w:r w:rsidRPr="00837A0D">
        <w:rPr>
          <w:rFonts w:ascii="Arial" w:hAnsi="Arial" w:cs="Arial"/>
          <w:color w:val="0081AD"/>
          <w:sz w:val="20"/>
          <w:szCs w:val="20"/>
          <w:lang w:val="en-US"/>
        </w:rPr>
        <w:t xml:space="preserve"> </w:t>
      </w:r>
      <w:r w:rsidRPr="009A75C0">
        <w:rPr>
          <w:rFonts w:ascii="Arial" w:eastAsia="Calibri" w:hAnsi="Arial" w:cs="Arial"/>
          <w:i/>
          <w:sz w:val="20"/>
          <w:szCs w:val="20"/>
          <w:lang w:val="en-US"/>
        </w:rPr>
        <w:t xml:space="preserve">Environmental Technology &amp; Innovation </w:t>
      </w:r>
      <w:r w:rsidRPr="009A75C0">
        <w:rPr>
          <w:rFonts w:ascii="Arial" w:eastAsia="Calibri" w:hAnsi="Arial" w:cs="Arial"/>
          <w:sz w:val="20"/>
          <w:szCs w:val="20"/>
          <w:lang w:val="en-US"/>
        </w:rPr>
        <w:t>18 (2020) 100692.</w:t>
      </w:r>
      <w:r w:rsidRPr="009A75C0">
        <w:rPr>
          <w:rFonts w:ascii="Arial" w:eastAsia="Calibri" w:hAnsi="Arial" w:cs="Arial"/>
          <w:color w:val="000000"/>
          <w:sz w:val="20"/>
          <w:szCs w:val="20"/>
          <w:lang w:val="en-US"/>
        </w:rPr>
        <w:t xml:space="preserve"> </w:t>
      </w:r>
    </w:p>
    <w:p w14:paraId="2E4129AA" w14:textId="77777777" w:rsidR="009A75C0" w:rsidRPr="009A75C0" w:rsidRDefault="009A75C0" w:rsidP="009A75C0">
      <w:pPr>
        <w:pStyle w:val="ListParagraph"/>
        <w:numPr>
          <w:ilvl w:val="0"/>
          <w:numId w:val="4"/>
        </w:numPr>
        <w:jc w:val="both"/>
        <w:rPr>
          <w:rStyle w:val="Hyperlink"/>
          <w:rFonts w:ascii="Arial" w:hAnsi="Arial" w:cs="Arial"/>
          <w:b/>
          <w:bCs/>
          <w:color w:val="auto"/>
          <w:u w:val="none"/>
          <w:lang w:val="en-US"/>
        </w:rPr>
      </w:pPr>
      <w:r w:rsidRPr="00837A0D">
        <w:rPr>
          <w:rFonts w:ascii="Arial" w:eastAsia="Calibri" w:hAnsi="Arial" w:cs="Arial"/>
          <w:color w:val="000000"/>
          <w:sz w:val="20"/>
          <w:szCs w:val="20"/>
          <w:lang w:val="en-US"/>
        </w:rPr>
        <w:t xml:space="preserve">Voula, R.M., Diamouangana, F.Z.M., Moutou, J.-M., Samba,V.I.B., Foutou, M.P. and Ngoma, J.P.(2021) Characterization and Valuation of a Clay Soil Sampled in Londela-Kayes in the Republic of Congo. </w:t>
      </w:r>
      <w:r w:rsidRPr="00837A0D">
        <w:rPr>
          <w:rFonts w:ascii="Arial" w:eastAsia="Calibri" w:hAnsi="Arial" w:cs="Arial"/>
          <w:i/>
          <w:color w:val="000000"/>
          <w:sz w:val="20"/>
          <w:szCs w:val="20"/>
          <w:lang w:val="en-US"/>
        </w:rPr>
        <w:t>Journal of Minerals and Materials Characterization and Engineering</w:t>
      </w:r>
      <w:r w:rsidRPr="00837A0D">
        <w:rPr>
          <w:rFonts w:ascii="Arial" w:eastAsia="Calibri" w:hAnsi="Arial" w:cs="Arial"/>
          <w:color w:val="000000"/>
          <w:sz w:val="20"/>
          <w:szCs w:val="20"/>
          <w:lang w:val="en-US"/>
        </w:rPr>
        <w:t xml:space="preserve">, 9, 117-133. </w:t>
      </w:r>
      <w:hyperlink r:id="rId14" w:history="1">
        <w:r w:rsidRPr="00837A0D">
          <w:rPr>
            <w:rStyle w:val="Hyperlink"/>
            <w:rFonts w:ascii="Arial" w:eastAsia="Calibri" w:hAnsi="Arial" w:cs="Arial"/>
            <w:sz w:val="20"/>
            <w:szCs w:val="20"/>
            <w:lang w:val="en-US"/>
          </w:rPr>
          <w:t>https://doi.org/10.4236/jmmce.2021.92009</w:t>
        </w:r>
      </w:hyperlink>
      <w:r>
        <w:rPr>
          <w:rStyle w:val="Hyperlink"/>
          <w:rFonts w:ascii="Arial" w:eastAsia="Calibri" w:hAnsi="Arial" w:cs="Arial"/>
          <w:sz w:val="20"/>
          <w:szCs w:val="20"/>
          <w:lang w:val="en-US"/>
        </w:rPr>
        <w:t xml:space="preserve"> </w:t>
      </w:r>
    </w:p>
    <w:p w14:paraId="14E83AB3" w14:textId="77777777" w:rsidR="009A75C0" w:rsidRPr="009A75C0" w:rsidRDefault="009A75C0" w:rsidP="009A75C0">
      <w:pPr>
        <w:pStyle w:val="ListParagraph"/>
        <w:numPr>
          <w:ilvl w:val="0"/>
          <w:numId w:val="4"/>
        </w:numPr>
        <w:jc w:val="both"/>
        <w:rPr>
          <w:rFonts w:ascii="Arial" w:hAnsi="Arial" w:cs="Arial"/>
          <w:b/>
          <w:bCs/>
          <w:lang w:val="en-US"/>
        </w:rPr>
      </w:pPr>
      <w:r w:rsidRPr="00837A0D">
        <w:rPr>
          <w:rFonts w:ascii="Arial" w:hAnsi="Arial" w:cs="Arial"/>
          <w:bCs/>
          <w:sz w:val="20"/>
          <w:szCs w:val="20"/>
          <w:lang w:val="en-US"/>
        </w:rPr>
        <w:t>Moutou, J.M., Foutou, P.M., Matini, L., Samba, V.B., Mpissi, Z.F.D. and Loubaki R. (2018) Characterization and evaluation of the potential uses of Mouyondzi clay. Journal of minerals and materials Characterization and Engneeing, 6, 119-138.</w:t>
      </w:r>
    </w:p>
    <w:p w14:paraId="2C2093A2" w14:textId="77777777" w:rsidR="009A75C0" w:rsidRPr="009A75C0" w:rsidRDefault="009A75C0" w:rsidP="009A75C0">
      <w:pPr>
        <w:pStyle w:val="ListParagraph"/>
        <w:numPr>
          <w:ilvl w:val="0"/>
          <w:numId w:val="4"/>
        </w:numPr>
        <w:jc w:val="both"/>
        <w:rPr>
          <w:rStyle w:val="Hyperlink"/>
          <w:rFonts w:ascii="Arial" w:hAnsi="Arial" w:cs="Arial"/>
          <w:b/>
          <w:bCs/>
          <w:color w:val="auto"/>
          <w:u w:val="none"/>
          <w:lang w:val="en-US"/>
        </w:rPr>
      </w:pPr>
      <w:r w:rsidRPr="00837A0D">
        <w:rPr>
          <w:rFonts w:ascii="Arial" w:hAnsi="Arial" w:cs="Arial"/>
          <w:bCs/>
          <w:sz w:val="20"/>
          <w:szCs w:val="20"/>
          <w:lang w:val="en-US"/>
        </w:rPr>
        <w:t>Banzouzi S.V.I, Diamouangana M.Z.F, Moutou J.M.S.B., Makosso V.R., Vila N. T. A., Loubaki R. and Foutou P.M. The Characterization and Valorization of Clay Extracted from Ntokou Locality (Brazzaville, Republic of Congo).</w:t>
      </w:r>
      <w:r w:rsidRPr="00837A0D">
        <w:rPr>
          <w:rFonts w:ascii="Arial" w:hAnsi="Arial" w:cs="Arial"/>
          <w:color w:val="000000"/>
          <w:sz w:val="20"/>
          <w:szCs w:val="20"/>
          <w:lang w:val="en-US"/>
        </w:rPr>
        <w:t xml:space="preserve"> </w:t>
      </w:r>
      <w:r w:rsidRPr="00837A0D">
        <w:rPr>
          <w:rFonts w:ascii="Arial" w:hAnsi="Arial" w:cs="Arial"/>
          <w:bCs/>
          <w:i/>
          <w:sz w:val="20"/>
          <w:szCs w:val="20"/>
          <w:lang w:val="en-US"/>
        </w:rPr>
        <w:t xml:space="preserve">Res. J. Environ. Earth Sci., </w:t>
      </w:r>
      <w:r w:rsidRPr="00837A0D">
        <w:rPr>
          <w:rFonts w:ascii="Arial" w:hAnsi="Arial" w:cs="Arial"/>
          <w:bCs/>
          <w:sz w:val="20"/>
          <w:szCs w:val="20"/>
          <w:lang w:val="en-US"/>
        </w:rPr>
        <w:t xml:space="preserve">(2020) 12:3 64. </w:t>
      </w:r>
      <w:hyperlink r:id="rId15" w:history="1">
        <w:r w:rsidRPr="00837A0D">
          <w:rPr>
            <w:rStyle w:val="Hyperlink"/>
            <w:rFonts w:ascii="Arial" w:hAnsi="Arial" w:cs="Arial"/>
            <w:bCs/>
            <w:sz w:val="20"/>
            <w:szCs w:val="20"/>
            <w:lang w:val="en-US"/>
          </w:rPr>
          <w:t>http://doi.org/10.19026/rjees.12.6056</w:t>
        </w:r>
      </w:hyperlink>
    </w:p>
    <w:p w14:paraId="78CC86F0" w14:textId="77777777" w:rsidR="009A75C0" w:rsidRPr="009A75C0" w:rsidRDefault="009A75C0" w:rsidP="009A75C0">
      <w:pPr>
        <w:pStyle w:val="ListParagraph"/>
        <w:numPr>
          <w:ilvl w:val="0"/>
          <w:numId w:val="4"/>
        </w:numPr>
        <w:jc w:val="both"/>
        <w:rPr>
          <w:rFonts w:ascii="Arial" w:hAnsi="Arial" w:cs="Arial"/>
          <w:b/>
          <w:bCs/>
          <w:lang w:val="en-US"/>
        </w:rPr>
      </w:pPr>
      <w:r w:rsidRPr="00837A0D">
        <w:rPr>
          <w:rFonts w:ascii="Arial" w:hAnsi="Arial" w:cs="Arial"/>
          <w:bCs/>
          <w:sz w:val="20"/>
          <w:szCs w:val="20"/>
          <w:lang w:val="en-US"/>
        </w:rPr>
        <w:t>Moutou J.M., Loubaki R., Nsongo T. and Foutou P.M. (2019). Characterization and technological properties of two clay soils in Republic o Congo. Res. J. Material Sci. Vol. 7(1), 1-10. ISSN 2320-6055.</w:t>
      </w:r>
    </w:p>
    <w:p w14:paraId="5961A444" w14:textId="77777777" w:rsidR="009A75C0" w:rsidRPr="009A75C0" w:rsidRDefault="009A75C0" w:rsidP="009A75C0">
      <w:pPr>
        <w:pStyle w:val="ListParagraph"/>
        <w:numPr>
          <w:ilvl w:val="0"/>
          <w:numId w:val="4"/>
        </w:numPr>
        <w:jc w:val="both"/>
        <w:rPr>
          <w:rFonts w:ascii="Arial" w:hAnsi="Arial" w:cs="Arial"/>
          <w:b/>
          <w:bCs/>
          <w:lang w:val="en-US"/>
        </w:rPr>
      </w:pPr>
      <w:r w:rsidRPr="00837A0D">
        <w:rPr>
          <w:rFonts w:ascii="Arial" w:eastAsia="Calibri" w:hAnsi="Arial" w:cs="Arial"/>
          <w:sz w:val="20"/>
          <w:szCs w:val="20"/>
          <w:lang w:val="en-US"/>
        </w:rPr>
        <w:t xml:space="preserve">Moutou J.M., Bibila Mafoumba C., Matini L., Ngoro Elenga F. and Kouhounina L. Characterization and evaluation of the adsorption capacity of dichromate ions by a clay soil of Impfondo. </w:t>
      </w:r>
      <w:r w:rsidRPr="00837A0D">
        <w:rPr>
          <w:rFonts w:ascii="Arial" w:eastAsia="Calibri" w:hAnsi="Arial" w:cs="Arial"/>
          <w:i/>
          <w:sz w:val="20"/>
          <w:szCs w:val="20"/>
          <w:lang w:val="en-US"/>
        </w:rPr>
        <w:t xml:space="preserve">Res. J. Chem. Sci. </w:t>
      </w:r>
      <w:r w:rsidRPr="00837A0D">
        <w:rPr>
          <w:rFonts w:ascii="Arial" w:eastAsia="Calibri" w:hAnsi="Arial" w:cs="Arial"/>
          <w:sz w:val="20"/>
          <w:szCs w:val="20"/>
          <w:lang w:val="en-US"/>
        </w:rPr>
        <w:t xml:space="preserve">Vol. </w:t>
      </w:r>
      <w:r w:rsidRPr="00837A0D">
        <w:rPr>
          <w:rFonts w:ascii="Arial" w:eastAsia="Calibri" w:hAnsi="Arial" w:cs="Arial"/>
          <w:b/>
          <w:bCs/>
          <w:sz w:val="20"/>
          <w:szCs w:val="20"/>
          <w:lang w:val="en-US"/>
        </w:rPr>
        <w:t xml:space="preserve">8(4), </w:t>
      </w:r>
      <w:r w:rsidRPr="00837A0D">
        <w:rPr>
          <w:rFonts w:ascii="Arial" w:eastAsia="Calibri" w:hAnsi="Arial" w:cs="Arial"/>
          <w:sz w:val="20"/>
          <w:szCs w:val="20"/>
          <w:lang w:val="en-US"/>
        </w:rPr>
        <w:t xml:space="preserve">1-14, April </w:t>
      </w:r>
      <w:r w:rsidRPr="00837A0D">
        <w:rPr>
          <w:rFonts w:ascii="Arial" w:eastAsia="Calibri" w:hAnsi="Arial" w:cs="Arial"/>
          <w:b/>
          <w:bCs/>
          <w:sz w:val="20"/>
          <w:szCs w:val="20"/>
          <w:lang w:val="en-US"/>
        </w:rPr>
        <w:t>(2018)</w:t>
      </w:r>
    </w:p>
    <w:p w14:paraId="11E7A0F1" w14:textId="77777777" w:rsidR="009A75C0" w:rsidRPr="009A75C0" w:rsidRDefault="009A75C0" w:rsidP="009A75C0">
      <w:pPr>
        <w:pStyle w:val="ListParagraph"/>
        <w:numPr>
          <w:ilvl w:val="0"/>
          <w:numId w:val="4"/>
        </w:numPr>
        <w:jc w:val="both"/>
        <w:rPr>
          <w:rFonts w:ascii="Arial" w:hAnsi="Arial" w:cs="Arial"/>
          <w:b/>
          <w:bCs/>
          <w:lang w:val="en-US"/>
        </w:rPr>
      </w:pPr>
      <w:r w:rsidRPr="00837A0D">
        <w:rPr>
          <w:rFonts w:ascii="Arial" w:eastAsia="Calibri" w:hAnsi="Arial" w:cs="Arial"/>
          <w:sz w:val="20"/>
          <w:szCs w:val="20"/>
          <w:lang w:val="en-US"/>
        </w:rPr>
        <w:t xml:space="preserve">Diamouangana M.Z. F., Moutou J.M., Matini L., Mongo O. M. C. F. and Kouhounina B.L. M. Synthesis of an inorgano-clay complex from Loukolela clay and application in the adsorption of humic matter. </w:t>
      </w:r>
      <w:r w:rsidRPr="00837A0D">
        <w:rPr>
          <w:rFonts w:ascii="Arial" w:eastAsia="Calibri" w:hAnsi="Arial" w:cs="Arial"/>
          <w:i/>
          <w:iCs/>
          <w:color w:val="000000"/>
          <w:sz w:val="20"/>
          <w:szCs w:val="20"/>
          <w:lang w:val="en-US"/>
        </w:rPr>
        <w:t xml:space="preserve">Int. Res. J. Environmental Sci. </w:t>
      </w:r>
      <w:r w:rsidRPr="00837A0D">
        <w:rPr>
          <w:rFonts w:ascii="Arial" w:eastAsia="Calibri" w:hAnsi="Arial" w:cs="Arial"/>
          <w:sz w:val="20"/>
          <w:szCs w:val="20"/>
          <w:lang w:val="en-US"/>
        </w:rPr>
        <w:t xml:space="preserve"> Vol. 8(3), 12-20, July (2019)</w:t>
      </w:r>
    </w:p>
    <w:p w14:paraId="7E160807" w14:textId="77777777" w:rsidR="009A75C0" w:rsidRPr="009A75C0" w:rsidRDefault="009A75C0" w:rsidP="009A75C0">
      <w:pPr>
        <w:pStyle w:val="ListParagraph"/>
        <w:numPr>
          <w:ilvl w:val="0"/>
          <w:numId w:val="4"/>
        </w:numPr>
        <w:jc w:val="both"/>
        <w:rPr>
          <w:rFonts w:ascii="Arial" w:hAnsi="Arial" w:cs="Arial"/>
          <w:b/>
          <w:bCs/>
          <w:lang w:val="en-US"/>
        </w:rPr>
      </w:pPr>
      <w:r w:rsidRPr="00837A0D">
        <w:rPr>
          <w:rFonts w:ascii="Arial" w:eastAsia="Calibri" w:hAnsi="Arial" w:cs="Arial"/>
          <w:color w:val="000000"/>
          <w:sz w:val="20"/>
          <w:szCs w:val="20"/>
        </w:rPr>
        <w:t xml:space="preserve">Kouhounina B.M. et al. </w:t>
      </w:r>
      <w:r w:rsidRPr="00837A0D">
        <w:rPr>
          <w:rFonts w:ascii="Arial" w:eastAsia="Calibri" w:hAnsi="Arial" w:cs="Arial"/>
          <w:color w:val="000000"/>
          <w:sz w:val="20"/>
          <w:szCs w:val="20"/>
          <w:lang w:val="en-US"/>
        </w:rPr>
        <w:t>Study of the adsorption of glycine by two local clays of Congo Brazzaville.</w:t>
      </w:r>
      <w:r w:rsidRPr="00837A0D">
        <w:rPr>
          <w:rFonts w:ascii="Arial" w:eastAsia="Calibri" w:hAnsi="Arial" w:cs="Arial"/>
          <w:i/>
          <w:iCs/>
          <w:color w:val="000000"/>
          <w:sz w:val="20"/>
          <w:szCs w:val="20"/>
          <w:lang w:val="en-US"/>
        </w:rPr>
        <w:t xml:space="preserve"> Int. Res. J. Environmental Sci. </w:t>
      </w:r>
      <w:r w:rsidRPr="00837A0D">
        <w:rPr>
          <w:rFonts w:ascii="Arial" w:eastAsia="Calibri" w:hAnsi="Arial" w:cs="Arial"/>
          <w:color w:val="000000"/>
          <w:sz w:val="20"/>
          <w:szCs w:val="20"/>
          <w:lang w:val="en-US"/>
        </w:rPr>
        <w:t xml:space="preserve">Vol. </w:t>
      </w:r>
      <w:r w:rsidRPr="00837A0D">
        <w:rPr>
          <w:rFonts w:ascii="Arial" w:eastAsia="Calibri" w:hAnsi="Arial" w:cs="Arial"/>
          <w:b/>
          <w:bCs/>
          <w:color w:val="000000"/>
          <w:sz w:val="20"/>
          <w:szCs w:val="20"/>
          <w:lang w:val="en-US"/>
        </w:rPr>
        <w:t xml:space="preserve">10(2), </w:t>
      </w:r>
      <w:r w:rsidRPr="00837A0D">
        <w:rPr>
          <w:rFonts w:ascii="Arial" w:eastAsia="Calibri" w:hAnsi="Arial" w:cs="Arial"/>
          <w:color w:val="000000"/>
          <w:sz w:val="20"/>
          <w:szCs w:val="20"/>
          <w:lang w:val="en-US"/>
        </w:rPr>
        <w:t xml:space="preserve">52-63, April </w:t>
      </w:r>
      <w:r w:rsidRPr="00837A0D">
        <w:rPr>
          <w:rFonts w:ascii="Arial" w:eastAsia="Calibri" w:hAnsi="Arial" w:cs="Arial"/>
          <w:b/>
          <w:bCs/>
          <w:color w:val="000000"/>
          <w:sz w:val="20"/>
          <w:szCs w:val="20"/>
          <w:lang w:val="en-US"/>
        </w:rPr>
        <w:t>(2021)</w:t>
      </w:r>
    </w:p>
    <w:p w14:paraId="23080CE2" w14:textId="6EC63089" w:rsidR="00F012D4" w:rsidRPr="00E51A4C" w:rsidRDefault="00F012D4" w:rsidP="00F012D4">
      <w:pPr>
        <w:pStyle w:val="ListParagraph"/>
        <w:numPr>
          <w:ilvl w:val="0"/>
          <w:numId w:val="4"/>
        </w:numPr>
        <w:jc w:val="both"/>
        <w:rPr>
          <w:rFonts w:ascii="Arial" w:eastAsia="Calibri" w:hAnsi="Arial" w:cs="Arial"/>
          <w:sz w:val="20"/>
          <w:szCs w:val="20"/>
          <w:lang w:val="en-US"/>
        </w:rPr>
      </w:pPr>
      <w:r w:rsidRPr="00E51A4C">
        <w:rPr>
          <w:rFonts w:ascii="Arial" w:eastAsia="Calibri" w:hAnsi="Arial" w:cs="Arial"/>
          <w:sz w:val="20"/>
          <w:szCs w:val="20"/>
          <w:lang w:val="en-US"/>
        </w:rPr>
        <w:t>AFNOR (1992). NF P94 056. Particle Size Analysis of Soils: Sieving Method. AFNOR (1992). NF P94-057. Particle Size Analysis of Soils: Sedimentation Method.</w:t>
      </w:r>
    </w:p>
    <w:p w14:paraId="06E30063" w14:textId="0F74F2F6" w:rsidR="00F012D4" w:rsidRPr="00F012D4" w:rsidRDefault="00F012D4" w:rsidP="00F012D4">
      <w:pPr>
        <w:pStyle w:val="ListParagraph"/>
        <w:numPr>
          <w:ilvl w:val="0"/>
          <w:numId w:val="4"/>
        </w:numPr>
        <w:jc w:val="both"/>
        <w:rPr>
          <w:rFonts w:ascii="Arial" w:eastAsia="Calibri" w:hAnsi="Arial" w:cs="Arial"/>
          <w:sz w:val="20"/>
          <w:szCs w:val="20"/>
        </w:rPr>
      </w:pPr>
      <w:r w:rsidRPr="00E51A4C">
        <w:rPr>
          <w:rFonts w:ascii="Arial" w:eastAsia="Calibri" w:hAnsi="Arial" w:cs="Arial"/>
          <w:sz w:val="20"/>
          <w:szCs w:val="20"/>
          <w:lang w:val="en-US"/>
        </w:rPr>
        <w:t xml:space="preserve">AFNOR (1993). [NF P94-051] NF P 94-051. </w:t>
      </w:r>
      <w:r w:rsidRPr="00F012D4">
        <w:rPr>
          <w:rFonts w:ascii="Arial" w:eastAsia="Calibri" w:hAnsi="Arial" w:cs="Arial"/>
          <w:sz w:val="20"/>
          <w:szCs w:val="20"/>
        </w:rPr>
        <w:t>Determination of Atterberg Limits.</w:t>
      </w:r>
    </w:p>
    <w:p w14:paraId="4D9297FA" w14:textId="14997A79" w:rsidR="00F012D4" w:rsidRPr="00F012D4" w:rsidRDefault="00F012D4" w:rsidP="00F012D4">
      <w:pPr>
        <w:pStyle w:val="ListParagraph"/>
        <w:numPr>
          <w:ilvl w:val="0"/>
          <w:numId w:val="4"/>
        </w:numPr>
        <w:jc w:val="both"/>
        <w:rPr>
          <w:rFonts w:ascii="Arial" w:eastAsia="Calibri" w:hAnsi="Arial" w:cs="Arial"/>
          <w:sz w:val="20"/>
          <w:szCs w:val="20"/>
        </w:rPr>
      </w:pPr>
      <w:r w:rsidRPr="00E51A4C">
        <w:rPr>
          <w:rFonts w:ascii="Arial" w:eastAsia="Calibri" w:hAnsi="Arial" w:cs="Arial"/>
          <w:sz w:val="20"/>
          <w:szCs w:val="20"/>
          <w:lang w:val="en-US"/>
        </w:rPr>
        <w:t xml:space="preserve">AFNOR (2000). NF X31-130 — Soil Quality – Chemical Methods – Determination of Cation Exchange Capacity (CEC) and Extractable Cations. </w:t>
      </w:r>
      <w:r w:rsidRPr="00F012D4">
        <w:rPr>
          <w:rFonts w:ascii="Arial" w:eastAsia="Calibri" w:hAnsi="Arial" w:cs="Arial"/>
          <w:sz w:val="20"/>
          <w:szCs w:val="20"/>
        </w:rPr>
        <w:t>15p</w:t>
      </w:r>
    </w:p>
    <w:p w14:paraId="6961FA24" w14:textId="08EEEB3D" w:rsidR="00F012D4" w:rsidRPr="00F50F7E" w:rsidRDefault="00F012D4" w:rsidP="000B7CDB">
      <w:pPr>
        <w:pStyle w:val="ListParagraph"/>
        <w:numPr>
          <w:ilvl w:val="0"/>
          <w:numId w:val="4"/>
        </w:numPr>
        <w:jc w:val="both"/>
        <w:rPr>
          <w:rFonts w:ascii="Arial" w:eastAsia="Calibri" w:hAnsi="Arial" w:cs="Arial"/>
          <w:sz w:val="20"/>
          <w:szCs w:val="20"/>
        </w:rPr>
      </w:pPr>
      <w:r w:rsidRPr="00E51A4C">
        <w:rPr>
          <w:rFonts w:ascii="Arial" w:eastAsia="Calibri" w:hAnsi="Arial" w:cs="Arial"/>
          <w:sz w:val="20"/>
          <w:szCs w:val="20"/>
          <w:lang w:val="en-US"/>
        </w:rPr>
        <w:lastRenderedPageBreak/>
        <w:t xml:space="preserve">H. Chamayou and J.P. Legros, (1989). The Physical, Chemical, and Mineralogical Basis of Soil Science. </w:t>
      </w:r>
      <w:r w:rsidRPr="00F012D4">
        <w:rPr>
          <w:rFonts w:ascii="Arial" w:eastAsia="Calibri" w:hAnsi="Arial" w:cs="Arial"/>
          <w:sz w:val="20"/>
          <w:szCs w:val="20"/>
        </w:rPr>
        <w:t>Collection Technique Vivantes. Agence de la Francophonie publisher.</w:t>
      </w:r>
      <w:r w:rsidR="000B7CDB" w:rsidRPr="000B7CDB">
        <w:t xml:space="preserve"> </w:t>
      </w:r>
      <w:r w:rsidR="000B7CDB">
        <w:t>28 Vol</w:t>
      </w:r>
      <w:r w:rsidR="00F50F7E">
        <w:t>.</w:t>
      </w:r>
      <w:r w:rsidR="000B7CDB">
        <w:t xml:space="preserve"> </w:t>
      </w:r>
      <w:r w:rsidR="000B7CDB" w:rsidRPr="00F50F7E">
        <w:rPr>
          <w:rFonts w:ascii="Arial" w:eastAsia="Calibri" w:hAnsi="Arial" w:cs="Arial"/>
          <w:sz w:val="20"/>
          <w:szCs w:val="20"/>
        </w:rPr>
        <w:t>ISBN-10 : 9290281480, ISBN-13 : 978-9290281481.</w:t>
      </w:r>
    </w:p>
    <w:p w14:paraId="245DC8F8" w14:textId="3F062263" w:rsidR="00D26713" w:rsidRPr="00D26713" w:rsidRDefault="00D26713" w:rsidP="00F012D4">
      <w:pPr>
        <w:pStyle w:val="ListParagraph"/>
        <w:numPr>
          <w:ilvl w:val="0"/>
          <w:numId w:val="4"/>
        </w:numPr>
        <w:jc w:val="both"/>
        <w:rPr>
          <w:rFonts w:ascii="Arial" w:hAnsi="Arial" w:cs="Arial"/>
          <w:b/>
          <w:bCs/>
          <w:lang w:val="en-US"/>
        </w:rPr>
      </w:pPr>
      <w:r w:rsidRPr="00837A0D">
        <w:rPr>
          <w:rFonts w:ascii="Arial" w:eastAsia="Calibri" w:hAnsi="Arial" w:cs="Arial"/>
          <w:sz w:val="20"/>
          <w:szCs w:val="20"/>
          <w:lang w:val="en-US"/>
        </w:rPr>
        <w:t xml:space="preserve">Brunauer S., (1943). The Adsorption of the Gases and Vapors Physical Adsorption, </w:t>
      </w:r>
      <w:r w:rsidRPr="00837A0D">
        <w:rPr>
          <w:rFonts w:ascii="Arial" w:eastAsia="Calibri" w:hAnsi="Arial" w:cs="Arial"/>
          <w:i/>
          <w:sz w:val="20"/>
          <w:szCs w:val="20"/>
          <w:lang w:val="en-US"/>
        </w:rPr>
        <w:t>Princeton University Press</w:t>
      </w:r>
      <w:r w:rsidRPr="00837A0D">
        <w:rPr>
          <w:rFonts w:ascii="Arial" w:eastAsia="Calibri" w:hAnsi="Arial" w:cs="Arial"/>
          <w:sz w:val="20"/>
          <w:szCs w:val="20"/>
          <w:lang w:val="en-US"/>
        </w:rPr>
        <w:t>, 511p.</w:t>
      </w:r>
    </w:p>
    <w:p w14:paraId="3CF388B8" w14:textId="77777777" w:rsidR="00D26713" w:rsidRPr="00D26713" w:rsidRDefault="00D26713" w:rsidP="009A75C0">
      <w:pPr>
        <w:pStyle w:val="ListParagraph"/>
        <w:numPr>
          <w:ilvl w:val="0"/>
          <w:numId w:val="4"/>
        </w:numPr>
        <w:jc w:val="both"/>
        <w:rPr>
          <w:rStyle w:val="Hyperlink"/>
          <w:rFonts w:ascii="Arial" w:hAnsi="Arial" w:cs="Arial"/>
          <w:b/>
          <w:bCs/>
          <w:color w:val="auto"/>
          <w:u w:val="none"/>
          <w:lang w:val="en-US"/>
        </w:rPr>
      </w:pPr>
      <w:r w:rsidRPr="00837A0D">
        <w:rPr>
          <w:rFonts w:ascii="Arial" w:eastAsia="Calibri" w:hAnsi="Arial" w:cs="Arial"/>
          <w:sz w:val="20"/>
          <w:szCs w:val="20"/>
        </w:rPr>
        <w:t xml:space="preserve">Chedlia Ounissi, Salah Mahmoudi1*, Luca Valentini, Ali Bennour et Gilberto Artioli (2022). </w:t>
      </w:r>
      <w:r w:rsidRPr="00837A0D">
        <w:rPr>
          <w:rFonts w:ascii="Arial" w:eastAsia="Calibri" w:hAnsi="Arial" w:cs="Arial"/>
          <w:sz w:val="20"/>
          <w:szCs w:val="20"/>
          <w:lang w:val="en-US"/>
        </w:rPr>
        <w:t>Study and ceramic application of clays from the southeastern Tunisia.</w:t>
      </w:r>
      <w:r w:rsidRPr="00837A0D">
        <w:rPr>
          <w:rFonts w:ascii="Arial" w:hAnsi="Arial" w:cs="Arial"/>
          <w:sz w:val="20"/>
          <w:szCs w:val="20"/>
          <w:lang w:val="en-US"/>
        </w:rPr>
        <w:t xml:space="preserve"> </w:t>
      </w:r>
      <w:r w:rsidRPr="00837A0D">
        <w:rPr>
          <w:rFonts w:ascii="Arial" w:eastAsia="Calibri" w:hAnsi="Arial" w:cs="Arial"/>
          <w:i/>
          <w:sz w:val="20"/>
          <w:szCs w:val="20"/>
        </w:rPr>
        <w:t>Rev. Fr. Geotech.</w:t>
      </w:r>
      <w:r w:rsidRPr="00837A0D">
        <w:rPr>
          <w:rFonts w:ascii="Arial" w:eastAsia="Calibri" w:hAnsi="Arial" w:cs="Arial"/>
          <w:sz w:val="20"/>
          <w:szCs w:val="20"/>
        </w:rPr>
        <w:t xml:space="preserve"> 171, 2, 2022. </w:t>
      </w:r>
      <w:hyperlink r:id="rId16" w:history="1">
        <w:r w:rsidRPr="00837A0D">
          <w:rPr>
            <w:rStyle w:val="Hyperlink"/>
            <w:rFonts w:ascii="Arial" w:eastAsia="Calibri" w:hAnsi="Arial" w:cs="Arial"/>
            <w:sz w:val="20"/>
            <w:szCs w:val="20"/>
          </w:rPr>
          <w:t>https://doi.org/10.1051/geotech/2022004</w:t>
        </w:r>
      </w:hyperlink>
    </w:p>
    <w:p w14:paraId="5649C734" w14:textId="4B8E111D" w:rsidR="00F012D4" w:rsidRPr="00E51A4C" w:rsidRDefault="00F012D4" w:rsidP="000B7CDB">
      <w:pPr>
        <w:pStyle w:val="ListParagraph"/>
        <w:numPr>
          <w:ilvl w:val="0"/>
          <w:numId w:val="4"/>
        </w:numPr>
        <w:jc w:val="both"/>
        <w:rPr>
          <w:rFonts w:ascii="Arial" w:eastAsia="Calibri" w:hAnsi="Arial" w:cs="Arial"/>
          <w:sz w:val="20"/>
          <w:szCs w:val="20"/>
          <w:lang w:val="en-US"/>
        </w:rPr>
      </w:pPr>
      <w:r w:rsidRPr="00E51A4C">
        <w:rPr>
          <w:rFonts w:ascii="Arial" w:eastAsia="Calibri" w:hAnsi="Arial" w:cs="Arial"/>
          <w:sz w:val="20"/>
          <w:szCs w:val="20"/>
          <w:lang w:val="en-US"/>
        </w:rPr>
        <w:t>A. Guinier (1956). Theory and technique of radiocrystallography, DUNOD Publishing, Paris, France.</w:t>
      </w:r>
      <w:r w:rsidR="000B7CDB" w:rsidRPr="000B7CDB">
        <w:rPr>
          <w:lang w:val="en-US"/>
        </w:rPr>
        <w:t xml:space="preserve"> </w:t>
      </w:r>
      <w:r w:rsidR="000B7CDB">
        <w:rPr>
          <w:lang w:val="en-US"/>
        </w:rPr>
        <w:t>2</w:t>
      </w:r>
      <w:r w:rsidR="000B7CDB" w:rsidRPr="000B7CDB">
        <w:rPr>
          <w:vertAlign w:val="superscript"/>
          <w:lang w:val="en-US"/>
        </w:rPr>
        <w:t>e</w:t>
      </w:r>
      <w:r w:rsidR="000B7CDB">
        <w:rPr>
          <w:lang w:val="en-US"/>
        </w:rPr>
        <w:t xml:space="preserve"> ed. </w:t>
      </w:r>
      <w:r w:rsidR="000B7CDB" w:rsidRPr="000B7CDB">
        <w:rPr>
          <w:rFonts w:ascii="Arial" w:eastAsia="Calibri" w:hAnsi="Arial" w:cs="Arial"/>
          <w:sz w:val="20"/>
          <w:szCs w:val="20"/>
          <w:lang w:val="en-US"/>
        </w:rPr>
        <w:t>1 vol., 736 pages</w:t>
      </w:r>
      <w:r w:rsidR="000B7CDB">
        <w:rPr>
          <w:rFonts w:ascii="Arial" w:eastAsia="Calibri" w:hAnsi="Arial" w:cs="Arial"/>
          <w:sz w:val="20"/>
          <w:szCs w:val="20"/>
          <w:lang w:val="en-US"/>
        </w:rPr>
        <w:t>.</w:t>
      </w:r>
    </w:p>
    <w:p w14:paraId="676C0169" w14:textId="1E6D267E" w:rsidR="00F012D4" w:rsidRPr="000B7CDB" w:rsidRDefault="00F012D4" w:rsidP="00F012D4">
      <w:pPr>
        <w:pStyle w:val="ListParagraph"/>
        <w:numPr>
          <w:ilvl w:val="0"/>
          <w:numId w:val="4"/>
        </w:numPr>
        <w:jc w:val="both"/>
        <w:rPr>
          <w:rFonts w:ascii="Arial" w:eastAsia="Calibri" w:hAnsi="Arial" w:cs="Arial"/>
          <w:sz w:val="20"/>
          <w:szCs w:val="20"/>
          <w:lang w:val="en-US"/>
        </w:rPr>
      </w:pPr>
      <w:r w:rsidRPr="00E51A4C">
        <w:rPr>
          <w:rFonts w:ascii="Arial" w:eastAsia="Calibri" w:hAnsi="Arial" w:cs="Arial"/>
          <w:sz w:val="20"/>
          <w:szCs w:val="20"/>
          <w:lang w:val="en-US"/>
        </w:rPr>
        <w:t xml:space="preserve">ISO 10081-1: 2003. Classification of dense shaped refractory products. </w:t>
      </w:r>
      <w:r w:rsidRPr="000B7CDB">
        <w:rPr>
          <w:rFonts w:ascii="Arial" w:eastAsia="Calibri" w:hAnsi="Arial" w:cs="Arial"/>
          <w:sz w:val="20"/>
          <w:szCs w:val="20"/>
          <w:lang w:val="en-US"/>
        </w:rPr>
        <w:t>Part 1: Silica-alumina. Edition 2, 2003.</w:t>
      </w:r>
    </w:p>
    <w:p w14:paraId="357F0C16" w14:textId="7B2320C0" w:rsidR="00F012D4" w:rsidRPr="00F012D4" w:rsidRDefault="00F012D4" w:rsidP="00F012D4">
      <w:pPr>
        <w:pStyle w:val="ListParagraph"/>
        <w:numPr>
          <w:ilvl w:val="0"/>
          <w:numId w:val="4"/>
        </w:numPr>
        <w:jc w:val="both"/>
        <w:rPr>
          <w:rFonts w:ascii="Arial" w:eastAsia="Calibri" w:hAnsi="Arial" w:cs="Arial"/>
          <w:sz w:val="20"/>
          <w:szCs w:val="20"/>
        </w:rPr>
      </w:pPr>
      <w:r w:rsidRPr="00E51A4C">
        <w:rPr>
          <w:rFonts w:ascii="Arial" w:eastAsia="Calibri" w:hAnsi="Arial" w:cs="Arial"/>
          <w:sz w:val="20"/>
          <w:szCs w:val="20"/>
          <w:lang w:val="en-US"/>
        </w:rPr>
        <w:t xml:space="preserve">POUNTOUENCHI Amadou (2020). Development and characterization of aluminosilicate refractory bricks based on clayey materials from Koutaba and Mayouom (Western Region): effect of the addition of coffee production residues and rice husks. Ph/D thesis in Inorganic Chemistry, University of Yaoundé 1 Faculty of Sciences, Department of Inorganic Chemistry, Yaoundé, Cameroon. </w:t>
      </w:r>
      <w:r w:rsidRPr="00F012D4">
        <w:rPr>
          <w:rFonts w:ascii="Arial" w:eastAsia="Calibri" w:hAnsi="Arial" w:cs="Arial"/>
          <w:sz w:val="20"/>
          <w:szCs w:val="20"/>
        </w:rPr>
        <w:t>Pp77/220.</w:t>
      </w:r>
    </w:p>
    <w:p w14:paraId="65FF73E4" w14:textId="0DAC69C7" w:rsidR="00F012D4" w:rsidRPr="00F012D4" w:rsidRDefault="00F012D4" w:rsidP="00F012D4">
      <w:pPr>
        <w:pStyle w:val="ListParagraph"/>
        <w:numPr>
          <w:ilvl w:val="0"/>
          <w:numId w:val="4"/>
        </w:numPr>
        <w:jc w:val="both"/>
        <w:rPr>
          <w:rFonts w:ascii="Arial" w:eastAsia="Calibri" w:hAnsi="Arial" w:cs="Arial"/>
          <w:sz w:val="20"/>
          <w:szCs w:val="20"/>
        </w:rPr>
      </w:pPr>
      <w:r w:rsidRPr="00E51A4C">
        <w:rPr>
          <w:rFonts w:ascii="Arial" w:eastAsia="Calibri" w:hAnsi="Arial" w:cs="Arial"/>
          <w:sz w:val="20"/>
          <w:szCs w:val="20"/>
          <w:lang w:val="en-US"/>
        </w:rPr>
        <w:t xml:space="preserve">Nkoulou Oyono Pascal (2023). Effect of Heat Treatment on the Cation Exchange Capacity of Kaolinitic Clays. Dissertation of DI.P.E.S.II, University of Yaoundé 1, Ecole Normale Supérieure de Yaoundé, Department of Chemistry. </w:t>
      </w:r>
      <w:r w:rsidRPr="00F012D4">
        <w:rPr>
          <w:rFonts w:ascii="Arial" w:eastAsia="Calibri" w:hAnsi="Arial" w:cs="Arial"/>
          <w:sz w:val="20"/>
          <w:szCs w:val="20"/>
        </w:rPr>
        <w:t>Yaoundé-Cameroon, pp. 32/51</w:t>
      </w:r>
    </w:p>
    <w:p w14:paraId="140DF21C" w14:textId="2A62ACDE" w:rsidR="00F012D4" w:rsidRPr="00F012D4" w:rsidRDefault="00F012D4" w:rsidP="00F012D4">
      <w:pPr>
        <w:pStyle w:val="ListParagraph"/>
        <w:numPr>
          <w:ilvl w:val="0"/>
          <w:numId w:val="4"/>
        </w:numPr>
        <w:jc w:val="both"/>
        <w:rPr>
          <w:rFonts w:ascii="Arial" w:eastAsia="Calibri" w:hAnsi="Arial" w:cs="Arial"/>
          <w:sz w:val="20"/>
          <w:szCs w:val="20"/>
        </w:rPr>
      </w:pPr>
      <w:r w:rsidRPr="00E51A4C">
        <w:rPr>
          <w:rFonts w:ascii="Arial" w:eastAsia="Calibri" w:hAnsi="Arial" w:cs="Arial"/>
          <w:sz w:val="20"/>
          <w:szCs w:val="20"/>
          <w:lang w:val="en-US"/>
        </w:rPr>
        <w:t xml:space="preserve">Guyot J. (1969), Measurement of Specific Surface Areas of Clays by Adsorption. </w:t>
      </w:r>
      <w:r w:rsidRPr="00F012D4">
        <w:rPr>
          <w:rFonts w:ascii="Arial" w:eastAsia="Calibri" w:hAnsi="Arial" w:cs="Arial"/>
          <w:sz w:val="20"/>
          <w:szCs w:val="20"/>
        </w:rPr>
        <w:t>Ann. Argon, 20 (4), 33-359.</w:t>
      </w:r>
    </w:p>
    <w:p w14:paraId="760DCE72" w14:textId="268E959E" w:rsidR="00F012D4" w:rsidRPr="00F012D4" w:rsidRDefault="00F012D4" w:rsidP="00F012D4">
      <w:pPr>
        <w:pStyle w:val="ListParagraph"/>
        <w:numPr>
          <w:ilvl w:val="0"/>
          <w:numId w:val="4"/>
        </w:numPr>
        <w:jc w:val="both"/>
        <w:rPr>
          <w:rFonts w:ascii="Arial" w:eastAsia="Calibri" w:hAnsi="Arial" w:cs="Arial"/>
          <w:sz w:val="20"/>
          <w:szCs w:val="20"/>
        </w:rPr>
      </w:pPr>
      <w:r w:rsidRPr="00E51A4C">
        <w:rPr>
          <w:rFonts w:ascii="Arial" w:eastAsia="Calibri" w:hAnsi="Arial" w:cs="Arial"/>
          <w:sz w:val="20"/>
          <w:szCs w:val="20"/>
          <w:lang w:val="en-US"/>
        </w:rPr>
        <w:t xml:space="preserve">Chen, M.; Yang, T.; Han, J.; Zhang, Y.; Zhao, L.; Zhao, J.; Li, R.; Huang, Y.; Gu, Z.; Wu, J. (2023) The Application of Mineral Kaolinite for Environmental Decontamination: A Review. </w:t>
      </w:r>
      <w:r w:rsidRPr="00F012D4">
        <w:rPr>
          <w:rFonts w:ascii="Arial" w:eastAsia="Calibri" w:hAnsi="Arial" w:cs="Arial"/>
          <w:sz w:val="20"/>
          <w:szCs w:val="20"/>
        </w:rPr>
        <w:t>Catalysts, 13, 123. https://doi.org/10.3390/catal13010123</w:t>
      </w:r>
    </w:p>
    <w:p w14:paraId="0AB5E70D" w14:textId="470EA77D" w:rsidR="00F012D4" w:rsidRPr="00F012D4" w:rsidRDefault="00F012D4" w:rsidP="00F012D4">
      <w:pPr>
        <w:pStyle w:val="ListParagraph"/>
        <w:numPr>
          <w:ilvl w:val="0"/>
          <w:numId w:val="4"/>
        </w:numPr>
        <w:jc w:val="both"/>
        <w:rPr>
          <w:rFonts w:ascii="Arial" w:eastAsia="Calibri" w:hAnsi="Arial" w:cs="Arial"/>
          <w:sz w:val="20"/>
          <w:szCs w:val="20"/>
        </w:rPr>
      </w:pPr>
      <w:r w:rsidRPr="00E51A4C">
        <w:rPr>
          <w:rFonts w:ascii="Arial" w:eastAsia="Calibri" w:hAnsi="Arial" w:cs="Arial"/>
          <w:sz w:val="20"/>
          <w:szCs w:val="20"/>
          <w:lang w:val="en-US"/>
        </w:rPr>
        <w:t xml:space="preserve">Brighenti G. and Macini P., (1993). Permeability of clay layers to polluting effluents. </w:t>
      </w:r>
      <w:r w:rsidRPr="00F012D4">
        <w:rPr>
          <w:rFonts w:ascii="Arial" w:eastAsia="Calibri" w:hAnsi="Arial" w:cs="Arial"/>
          <w:sz w:val="20"/>
          <w:szCs w:val="20"/>
        </w:rPr>
        <w:t>Geoconfine 93, Arnould, Barrès and Côme (eds). Balkema, Rotterdam, ISBN.</w:t>
      </w:r>
    </w:p>
    <w:p w14:paraId="7F6D861B" w14:textId="183C3F21" w:rsidR="00F012D4" w:rsidRPr="00E51A4C" w:rsidRDefault="00F012D4" w:rsidP="00F012D4">
      <w:pPr>
        <w:pStyle w:val="ListParagraph"/>
        <w:numPr>
          <w:ilvl w:val="0"/>
          <w:numId w:val="4"/>
        </w:numPr>
        <w:jc w:val="both"/>
        <w:rPr>
          <w:rFonts w:ascii="Arial" w:eastAsia="Calibri" w:hAnsi="Arial" w:cs="Arial"/>
          <w:sz w:val="20"/>
          <w:szCs w:val="20"/>
          <w:lang w:val="en-US"/>
        </w:rPr>
      </w:pPr>
      <w:r w:rsidRPr="00E51A4C">
        <w:rPr>
          <w:rFonts w:ascii="Arial" w:eastAsia="Calibri" w:hAnsi="Arial" w:cs="Arial"/>
          <w:sz w:val="20"/>
          <w:szCs w:val="20"/>
          <w:lang w:val="en-US"/>
        </w:rPr>
        <w:t>A. M’leyeh, E. Srasra and A. Cheref, (2002). Fixation of heavy metals by clays from the Borj Chekir municipal landfill (SW of Tunis), Tunis (EPCOWM’2002), p.533-546.</w:t>
      </w:r>
    </w:p>
    <w:p w14:paraId="27BEB657" w14:textId="5A4E8ADC" w:rsidR="00F012D4" w:rsidRPr="00F012D4" w:rsidRDefault="00F012D4" w:rsidP="00F012D4">
      <w:pPr>
        <w:pStyle w:val="ListParagraph"/>
        <w:numPr>
          <w:ilvl w:val="0"/>
          <w:numId w:val="4"/>
        </w:numPr>
        <w:jc w:val="both"/>
        <w:rPr>
          <w:rFonts w:ascii="Arial" w:eastAsia="Calibri" w:hAnsi="Arial" w:cs="Arial"/>
          <w:sz w:val="20"/>
          <w:szCs w:val="20"/>
        </w:rPr>
      </w:pPr>
      <w:r w:rsidRPr="00E51A4C">
        <w:rPr>
          <w:rFonts w:ascii="Arial" w:eastAsia="Calibri" w:hAnsi="Arial" w:cs="Arial"/>
          <w:sz w:val="20"/>
          <w:szCs w:val="20"/>
          <w:lang w:val="en-US"/>
        </w:rPr>
        <w:t xml:space="preserve">Giles, C. H., Smith, D. and Huitson, A. (1974). A General Treatment and Classification of the Solute Adsorption Isotherm. </w:t>
      </w:r>
      <w:r w:rsidRPr="00F012D4">
        <w:rPr>
          <w:rFonts w:ascii="Arial" w:eastAsia="Calibri" w:hAnsi="Arial" w:cs="Arial"/>
          <w:sz w:val="20"/>
          <w:szCs w:val="20"/>
        </w:rPr>
        <w:t>I. Theoretical. Journal of Colloid and Interface Science, (47): 755-765.</w:t>
      </w:r>
    </w:p>
    <w:p w14:paraId="5F6218AB" w14:textId="12320AC4" w:rsidR="00DF1B95" w:rsidRPr="00DF1B95" w:rsidRDefault="00F012D4" w:rsidP="00F012D4">
      <w:pPr>
        <w:pStyle w:val="ListParagraph"/>
        <w:numPr>
          <w:ilvl w:val="0"/>
          <w:numId w:val="4"/>
        </w:numPr>
        <w:jc w:val="both"/>
        <w:rPr>
          <w:rFonts w:ascii="Times New Roman" w:hAnsi="Times New Roman" w:cs="Times New Roman"/>
          <w:sz w:val="24"/>
          <w:lang w:val="en-US"/>
        </w:rPr>
      </w:pPr>
      <w:r w:rsidRPr="00E51A4C">
        <w:rPr>
          <w:rFonts w:ascii="Arial" w:eastAsia="Calibri" w:hAnsi="Arial" w:cs="Arial"/>
          <w:sz w:val="20"/>
          <w:szCs w:val="20"/>
          <w:lang w:val="en-US"/>
        </w:rPr>
        <w:t xml:space="preserve">Larson, A. Widegren, J.A. Falconer, (1995). </w:t>
      </w:r>
      <w:r w:rsidRPr="00F012D4">
        <w:rPr>
          <w:rFonts w:ascii="Arial" w:eastAsia="Calibri" w:hAnsi="Arial" w:cs="Arial"/>
          <w:sz w:val="20"/>
          <w:szCs w:val="20"/>
        </w:rPr>
        <w:t>Transient studies of 2-propanol photocatalytic oxidation on titania. J.L. Catal., J.Chemical Science, 25, 157-611.</w:t>
      </w:r>
    </w:p>
    <w:sectPr w:rsidR="00DF1B95" w:rsidRPr="00DF1B95">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61F05" w14:textId="77777777" w:rsidR="00B92E06" w:rsidRDefault="00B92E06" w:rsidP="009C0ECC">
      <w:pPr>
        <w:spacing w:after="0" w:line="240" w:lineRule="auto"/>
      </w:pPr>
      <w:r>
        <w:separator/>
      </w:r>
    </w:p>
  </w:endnote>
  <w:endnote w:type="continuationSeparator" w:id="0">
    <w:p w14:paraId="2FB62F0C" w14:textId="77777777" w:rsidR="00B92E06" w:rsidRDefault="00B92E06" w:rsidP="009C0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2B8D5" w14:textId="77777777" w:rsidR="00F4498F" w:rsidRDefault="00F449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553B5" w14:textId="77777777" w:rsidR="00F4498F" w:rsidRDefault="00F449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DD0D1" w14:textId="77777777" w:rsidR="00F4498F" w:rsidRDefault="00F449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83278" w14:textId="77777777" w:rsidR="00B92E06" w:rsidRDefault="00B92E06" w:rsidP="009C0ECC">
      <w:pPr>
        <w:spacing w:after="0" w:line="240" w:lineRule="auto"/>
      </w:pPr>
      <w:r>
        <w:separator/>
      </w:r>
    </w:p>
  </w:footnote>
  <w:footnote w:type="continuationSeparator" w:id="0">
    <w:p w14:paraId="044A8F4C" w14:textId="77777777" w:rsidR="00B92E06" w:rsidRDefault="00B92E06" w:rsidP="009C0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9BBF9" w14:textId="64F921BC" w:rsidR="00F4498F" w:rsidRDefault="00B92E06">
    <w:pPr>
      <w:pStyle w:val="Header"/>
    </w:pPr>
    <w:r>
      <w:rPr>
        <w:noProof/>
      </w:rPr>
      <w:pict w14:anchorId="25345D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105344"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8DF7D" w14:textId="50BE6563" w:rsidR="00F4498F" w:rsidRDefault="00B92E06">
    <w:pPr>
      <w:pStyle w:val="Header"/>
    </w:pPr>
    <w:r>
      <w:rPr>
        <w:noProof/>
      </w:rPr>
      <w:pict w14:anchorId="75C63A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105345"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6ED41" w14:textId="419781E0" w:rsidR="00F4498F" w:rsidRDefault="00B92E06">
    <w:pPr>
      <w:pStyle w:val="Header"/>
    </w:pPr>
    <w:r>
      <w:rPr>
        <w:noProof/>
      </w:rPr>
      <w:pict w14:anchorId="104EFE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105343"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E2D53"/>
    <w:multiLevelType w:val="hybridMultilevel"/>
    <w:tmpl w:val="4510064A"/>
    <w:lvl w:ilvl="0" w:tplc="57C0FAD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543829"/>
    <w:multiLevelType w:val="multilevel"/>
    <w:tmpl w:val="A7D4FC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9076088"/>
    <w:multiLevelType w:val="hybridMultilevel"/>
    <w:tmpl w:val="1D9AE88E"/>
    <w:lvl w:ilvl="0" w:tplc="4468A41A">
      <w:start w:val="1"/>
      <w:numFmt w:val="decimal"/>
      <w:lvlText w:val="%1."/>
      <w:lvlJc w:val="left"/>
      <w:pPr>
        <w:ind w:left="360" w:hanging="360"/>
      </w:pPr>
      <w:rPr>
        <w:rFonts w:ascii="Book Antiqua" w:hAnsi="Book Antiqua" w:hint="default"/>
        <w:b w:val="0"/>
        <w:color w:val="2021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993481A"/>
    <w:multiLevelType w:val="hybridMultilevel"/>
    <w:tmpl w:val="FD207F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ED44232"/>
    <w:multiLevelType w:val="hybridMultilevel"/>
    <w:tmpl w:val="5568DAEE"/>
    <w:lvl w:ilvl="0" w:tplc="E53E242E">
      <w:start w:val="5"/>
      <w:numFmt w:val="bullet"/>
      <w:lvlText w:val=""/>
      <w:lvlJc w:val="left"/>
      <w:pPr>
        <w:ind w:left="720" w:hanging="360"/>
      </w:pPr>
      <w:rPr>
        <w:rFonts w:ascii="Symbol" w:eastAsiaTheme="majorEastAsia"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92C51CD"/>
    <w:multiLevelType w:val="multilevel"/>
    <w:tmpl w:val="C9F409B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6C652A9"/>
    <w:multiLevelType w:val="multilevel"/>
    <w:tmpl w:val="54D87BA4"/>
    <w:lvl w:ilvl="0">
      <w:start w:val="2"/>
      <w:numFmt w:val="decimal"/>
      <w:lvlText w:val="%1."/>
      <w:lvlJc w:val="left"/>
      <w:pPr>
        <w:ind w:left="495" w:hanging="495"/>
      </w:pPr>
      <w:rPr>
        <w:rFonts w:hint="default"/>
        <w:b/>
        <w:sz w:val="22"/>
        <w:szCs w:val="22"/>
      </w:rPr>
    </w:lvl>
    <w:lvl w:ilvl="1">
      <w:start w:val="3"/>
      <w:numFmt w:val="decimal"/>
      <w:lvlText w:val="%1.%2."/>
      <w:lvlJc w:val="left"/>
      <w:pPr>
        <w:ind w:left="495" w:hanging="49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B6E08F8"/>
    <w:multiLevelType w:val="hybridMultilevel"/>
    <w:tmpl w:val="6D3C058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2"/>
  </w:num>
  <w:num w:numId="5">
    <w:abstractNumId w:val="1"/>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73C4"/>
    <w:rsid w:val="00003E07"/>
    <w:rsid w:val="00052887"/>
    <w:rsid w:val="000718AE"/>
    <w:rsid w:val="00072EBA"/>
    <w:rsid w:val="000B3232"/>
    <w:rsid w:val="000B7CDB"/>
    <w:rsid w:val="000C68ED"/>
    <w:rsid w:val="000E0277"/>
    <w:rsid w:val="000F3E55"/>
    <w:rsid w:val="000F63B1"/>
    <w:rsid w:val="0015398B"/>
    <w:rsid w:val="001555B8"/>
    <w:rsid w:val="00182A97"/>
    <w:rsid w:val="001954E5"/>
    <w:rsid w:val="001C174A"/>
    <w:rsid w:val="001C2C89"/>
    <w:rsid w:val="00235B5E"/>
    <w:rsid w:val="00245653"/>
    <w:rsid w:val="00250090"/>
    <w:rsid w:val="00257123"/>
    <w:rsid w:val="00262603"/>
    <w:rsid w:val="00293A7C"/>
    <w:rsid w:val="002A3B8C"/>
    <w:rsid w:val="002C5FE4"/>
    <w:rsid w:val="002E14E6"/>
    <w:rsid w:val="002E4D19"/>
    <w:rsid w:val="00300B1F"/>
    <w:rsid w:val="00303830"/>
    <w:rsid w:val="00341D33"/>
    <w:rsid w:val="00370F7F"/>
    <w:rsid w:val="00373ECC"/>
    <w:rsid w:val="00377C51"/>
    <w:rsid w:val="00392AB3"/>
    <w:rsid w:val="003D279B"/>
    <w:rsid w:val="0040637D"/>
    <w:rsid w:val="00425ED9"/>
    <w:rsid w:val="00466EC4"/>
    <w:rsid w:val="004A1621"/>
    <w:rsid w:val="004F6263"/>
    <w:rsid w:val="004F7444"/>
    <w:rsid w:val="0050341E"/>
    <w:rsid w:val="00525A8D"/>
    <w:rsid w:val="005D0EA8"/>
    <w:rsid w:val="005D16D4"/>
    <w:rsid w:val="005D7664"/>
    <w:rsid w:val="00624EAC"/>
    <w:rsid w:val="00641AB5"/>
    <w:rsid w:val="006618B6"/>
    <w:rsid w:val="00670828"/>
    <w:rsid w:val="006970AC"/>
    <w:rsid w:val="006A2921"/>
    <w:rsid w:val="006B7117"/>
    <w:rsid w:val="006C21C3"/>
    <w:rsid w:val="006D3269"/>
    <w:rsid w:val="006E63FC"/>
    <w:rsid w:val="006E760F"/>
    <w:rsid w:val="00710DD9"/>
    <w:rsid w:val="00715AEF"/>
    <w:rsid w:val="00716C77"/>
    <w:rsid w:val="00720D42"/>
    <w:rsid w:val="00751A79"/>
    <w:rsid w:val="00777988"/>
    <w:rsid w:val="00784F63"/>
    <w:rsid w:val="007879D7"/>
    <w:rsid w:val="007909C7"/>
    <w:rsid w:val="00795250"/>
    <w:rsid w:val="0079698E"/>
    <w:rsid w:val="007A2EE1"/>
    <w:rsid w:val="007A5C3B"/>
    <w:rsid w:val="007C3FE9"/>
    <w:rsid w:val="007F58F3"/>
    <w:rsid w:val="00837A0D"/>
    <w:rsid w:val="0085795A"/>
    <w:rsid w:val="00886C5D"/>
    <w:rsid w:val="008B0831"/>
    <w:rsid w:val="008D16DE"/>
    <w:rsid w:val="008D743B"/>
    <w:rsid w:val="008D766A"/>
    <w:rsid w:val="008E1A5A"/>
    <w:rsid w:val="008F0500"/>
    <w:rsid w:val="0091344B"/>
    <w:rsid w:val="0091558C"/>
    <w:rsid w:val="00921491"/>
    <w:rsid w:val="00927B79"/>
    <w:rsid w:val="00960D5C"/>
    <w:rsid w:val="0096370A"/>
    <w:rsid w:val="009A75C0"/>
    <w:rsid w:val="009C0ECC"/>
    <w:rsid w:val="009E7DB7"/>
    <w:rsid w:val="00A10042"/>
    <w:rsid w:val="00A4634D"/>
    <w:rsid w:val="00A73D29"/>
    <w:rsid w:val="00A93BBE"/>
    <w:rsid w:val="00B229D7"/>
    <w:rsid w:val="00B43DAC"/>
    <w:rsid w:val="00B52230"/>
    <w:rsid w:val="00B748FC"/>
    <w:rsid w:val="00B82588"/>
    <w:rsid w:val="00B92E06"/>
    <w:rsid w:val="00BC659E"/>
    <w:rsid w:val="00BE3B51"/>
    <w:rsid w:val="00BE674E"/>
    <w:rsid w:val="00BF61F5"/>
    <w:rsid w:val="00C12219"/>
    <w:rsid w:val="00C22016"/>
    <w:rsid w:val="00CA364F"/>
    <w:rsid w:val="00CD1F08"/>
    <w:rsid w:val="00CE3FD2"/>
    <w:rsid w:val="00CE646B"/>
    <w:rsid w:val="00CE7ECB"/>
    <w:rsid w:val="00D172EE"/>
    <w:rsid w:val="00D26713"/>
    <w:rsid w:val="00D33C22"/>
    <w:rsid w:val="00D4080E"/>
    <w:rsid w:val="00D7695E"/>
    <w:rsid w:val="00D80773"/>
    <w:rsid w:val="00D9416B"/>
    <w:rsid w:val="00DB38CA"/>
    <w:rsid w:val="00DD2B85"/>
    <w:rsid w:val="00DD73C4"/>
    <w:rsid w:val="00DE4B72"/>
    <w:rsid w:val="00DF029A"/>
    <w:rsid w:val="00DF1B95"/>
    <w:rsid w:val="00E51A4C"/>
    <w:rsid w:val="00E65356"/>
    <w:rsid w:val="00E702F5"/>
    <w:rsid w:val="00E76283"/>
    <w:rsid w:val="00EE024C"/>
    <w:rsid w:val="00F012D4"/>
    <w:rsid w:val="00F139A8"/>
    <w:rsid w:val="00F13C85"/>
    <w:rsid w:val="00F17642"/>
    <w:rsid w:val="00F22F05"/>
    <w:rsid w:val="00F35DAF"/>
    <w:rsid w:val="00F423CF"/>
    <w:rsid w:val="00F4498F"/>
    <w:rsid w:val="00F50F7E"/>
    <w:rsid w:val="00F635F0"/>
    <w:rsid w:val="00F93293"/>
    <w:rsid w:val="00FD7BCC"/>
    <w:rsid w:val="00FD7D8B"/>
    <w:rsid w:val="00FE08C6"/>
    <w:rsid w:val="00FE2D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F7BED1"/>
  <w15:docId w15:val="{BEBE1AA6-0747-45AD-A525-84F895915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887"/>
    <w:pPr>
      <w:ind w:left="720"/>
      <w:contextualSpacing/>
    </w:pPr>
  </w:style>
  <w:style w:type="paragraph" w:styleId="BalloonText">
    <w:name w:val="Balloon Text"/>
    <w:basedOn w:val="Normal"/>
    <w:link w:val="BalloonTextChar"/>
    <w:uiPriority w:val="99"/>
    <w:semiHidden/>
    <w:unhideWhenUsed/>
    <w:rsid w:val="000528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887"/>
    <w:rPr>
      <w:rFonts w:ascii="Tahoma" w:hAnsi="Tahoma" w:cs="Tahoma"/>
      <w:sz w:val="16"/>
      <w:szCs w:val="16"/>
    </w:rPr>
  </w:style>
  <w:style w:type="table" w:customStyle="1" w:styleId="Grilledutableau1">
    <w:name w:val="Grille du tableau1"/>
    <w:basedOn w:val="TableNormal"/>
    <w:next w:val="TableGrid"/>
    <w:uiPriority w:val="39"/>
    <w:rsid w:val="004F626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F6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1B95"/>
    <w:rPr>
      <w:color w:val="0000FF" w:themeColor="hyperlink"/>
      <w:u w:val="single"/>
    </w:rPr>
  </w:style>
  <w:style w:type="paragraph" w:styleId="Header">
    <w:name w:val="header"/>
    <w:basedOn w:val="Normal"/>
    <w:link w:val="HeaderChar"/>
    <w:uiPriority w:val="99"/>
    <w:unhideWhenUsed/>
    <w:rsid w:val="009C0ECC"/>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0ECC"/>
  </w:style>
  <w:style w:type="paragraph" w:styleId="Footer">
    <w:name w:val="footer"/>
    <w:basedOn w:val="Normal"/>
    <w:link w:val="FooterChar"/>
    <w:uiPriority w:val="99"/>
    <w:unhideWhenUsed/>
    <w:rsid w:val="009C0ECC"/>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0ECC"/>
  </w:style>
  <w:style w:type="paragraph" w:customStyle="1" w:styleId="AcknHead">
    <w:name w:val="Ackn Head"/>
    <w:basedOn w:val="Normal"/>
    <w:rsid w:val="00624EAC"/>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F17642"/>
    <w:pPr>
      <w:keepNext/>
      <w:spacing w:after="240" w:line="240" w:lineRule="auto"/>
    </w:pPr>
    <w:rPr>
      <w:rFonts w:ascii="Helvetica" w:eastAsia="Times New Roman" w:hAnsi="Helvetica" w:cs="Times New Roman"/>
      <w:b/>
      <w:caps/>
      <w:szCs w:val="20"/>
      <w:lang w:val="en-US"/>
    </w:rPr>
  </w:style>
  <w:style w:type="character" w:customStyle="1" w:styleId="UnresolvedMention1">
    <w:name w:val="Unresolved Mention1"/>
    <w:basedOn w:val="DefaultParagraphFont"/>
    <w:uiPriority w:val="99"/>
    <w:semiHidden/>
    <w:unhideWhenUsed/>
    <w:rsid w:val="008D766A"/>
    <w:rPr>
      <w:color w:val="605E5C"/>
      <w:shd w:val="clear" w:color="auto" w:fill="E1DFDD"/>
    </w:rPr>
  </w:style>
  <w:style w:type="character" w:styleId="PlaceholderText">
    <w:name w:val="Placeholder Text"/>
    <w:basedOn w:val="DefaultParagraphFont"/>
    <w:uiPriority w:val="99"/>
    <w:semiHidden/>
    <w:rsid w:val="008D16D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400474">
      <w:bodyDiv w:val="1"/>
      <w:marLeft w:val="0"/>
      <w:marRight w:val="0"/>
      <w:marTop w:val="0"/>
      <w:marBottom w:val="0"/>
      <w:divBdr>
        <w:top w:val="none" w:sz="0" w:space="0" w:color="auto"/>
        <w:left w:val="none" w:sz="0" w:space="0" w:color="auto"/>
        <w:bottom w:val="none" w:sz="0" w:space="0" w:color="auto"/>
        <w:right w:val="none" w:sz="0" w:space="0" w:color="auto"/>
      </w:divBdr>
    </w:div>
    <w:div w:id="1613323280">
      <w:bodyDiv w:val="1"/>
      <w:marLeft w:val="0"/>
      <w:marRight w:val="0"/>
      <w:marTop w:val="0"/>
      <w:marBottom w:val="0"/>
      <w:divBdr>
        <w:top w:val="none" w:sz="0" w:space="0" w:color="auto"/>
        <w:left w:val="none" w:sz="0" w:space="0" w:color="auto"/>
        <w:bottom w:val="none" w:sz="0" w:space="0" w:color="auto"/>
        <w:right w:val="none" w:sz="0" w:space="0" w:color="auto"/>
      </w:divBdr>
    </w:div>
    <w:div w:id="210954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3.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chart" Target="charts/chart2.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51/geotech/2022004"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doi.org/10.19026/rjees.12.6056"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4236/jmmce.2021.92009"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BRICE\Desktop\sedi.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112999503682142E-2"/>
          <c:y val="2.4508111184897069E-2"/>
          <c:w val="0.91272834255136159"/>
          <c:h val="0.84794085332356717"/>
        </c:manualLayout>
      </c:layout>
      <c:scatterChart>
        <c:scatterStyle val="smoothMarker"/>
        <c:varyColors val="0"/>
        <c:ser>
          <c:idx val="0"/>
          <c:order val="0"/>
          <c:tx>
            <c:strRef>
              <c:f>Feuil1!$D$2</c:f>
              <c:strCache>
                <c:ptCount val="1"/>
                <c:pt idx="0">
                  <c:v>y</c:v>
                </c:pt>
              </c:strCache>
            </c:strRef>
          </c:tx>
          <c:spPr>
            <a:ln w="19050" cap="rnd" cmpd="sng" algn="ctr">
              <a:solidFill>
                <a:srgbClr val="FF0000"/>
              </a:solidFill>
              <a:prstDash val="solid"/>
              <a:round/>
            </a:ln>
            <a:effectLst/>
          </c:spPr>
          <c:marker>
            <c:spPr>
              <a:solidFill>
                <a:srgbClr val="FF0000"/>
              </a:solidFill>
              <a:ln w="19050" cap="flat" cmpd="sng" algn="ctr">
                <a:solidFill>
                  <a:srgbClr val="FF0000"/>
                </a:solidFill>
                <a:prstDash val="solid"/>
                <a:round/>
              </a:ln>
              <a:effectLst/>
            </c:spPr>
          </c:marker>
          <c:xVal>
            <c:numRef>
              <c:f>Feuil1!$C$3:$C$18</c:f>
              <c:numCache>
                <c:formatCode>General</c:formatCode>
                <c:ptCount val="16"/>
                <c:pt idx="0">
                  <c:v>1</c:v>
                </c:pt>
                <c:pt idx="1">
                  <c:v>0.4</c:v>
                </c:pt>
                <c:pt idx="2">
                  <c:v>0.2</c:v>
                </c:pt>
                <c:pt idx="3">
                  <c:v>0.1</c:v>
                </c:pt>
                <c:pt idx="4">
                  <c:v>0.08</c:v>
                </c:pt>
                <c:pt idx="5">
                  <c:v>7.4999999999999997E-2</c:v>
                </c:pt>
                <c:pt idx="6">
                  <c:v>5.5E-2</c:v>
                </c:pt>
                <c:pt idx="7">
                  <c:v>3.7999999999999999E-2</c:v>
                </c:pt>
                <c:pt idx="8">
                  <c:v>2.5000000000000001E-2</c:v>
                </c:pt>
                <c:pt idx="9">
                  <c:v>1.7000000000000001E-2</c:v>
                </c:pt>
                <c:pt idx="10">
                  <c:v>1.2E-2</c:v>
                </c:pt>
                <c:pt idx="11">
                  <c:v>8.5000000000000006E-3</c:v>
                </c:pt>
                <c:pt idx="12">
                  <c:v>6.0000000000000001E-3</c:v>
                </c:pt>
                <c:pt idx="13">
                  <c:v>5.0000000000000001E-3</c:v>
                </c:pt>
                <c:pt idx="14">
                  <c:v>1.6000000000000001E-3</c:v>
                </c:pt>
                <c:pt idx="15">
                  <c:v>1.4E-3</c:v>
                </c:pt>
              </c:numCache>
            </c:numRef>
          </c:xVal>
          <c:yVal>
            <c:numRef>
              <c:f>Feuil1!$D$3:$D$18</c:f>
              <c:numCache>
                <c:formatCode>General</c:formatCode>
                <c:ptCount val="16"/>
                <c:pt idx="0">
                  <c:v>100</c:v>
                </c:pt>
                <c:pt idx="1">
                  <c:v>99</c:v>
                </c:pt>
                <c:pt idx="2">
                  <c:v>92</c:v>
                </c:pt>
                <c:pt idx="3">
                  <c:v>81</c:v>
                </c:pt>
                <c:pt idx="4">
                  <c:v>77</c:v>
                </c:pt>
                <c:pt idx="5">
                  <c:v>75</c:v>
                </c:pt>
                <c:pt idx="6">
                  <c:v>71</c:v>
                </c:pt>
                <c:pt idx="7">
                  <c:v>68</c:v>
                </c:pt>
                <c:pt idx="8">
                  <c:v>64</c:v>
                </c:pt>
                <c:pt idx="9">
                  <c:v>64</c:v>
                </c:pt>
                <c:pt idx="10">
                  <c:v>60</c:v>
                </c:pt>
                <c:pt idx="11">
                  <c:v>60</c:v>
                </c:pt>
                <c:pt idx="12">
                  <c:v>57</c:v>
                </c:pt>
                <c:pt idx="13">
                  <c:v>57</c:v>
                </c:pt>
                <c:pt idx="14">
                  <c:v>52</c:v>
                </c:pt>
                <c:pt idx="15">
                  <c:v>52</c:v>
                </c:pt>
              </c:numCache>
            </c:numRef>
          </c:yVal>
          <c:smooth val="1"/>
          <c:extLst>
            <c:ext xmlns:c16="http://schemas.microsoft.com/office/drawing/2014/chart" uri="{C3380CC4-5D6E-409C-BE32-E72D297353CC}">
              <c16:uniqueId val="{00000000-4B7C-4E07-A7A4-6D868F237C2E}"/>
            </c:ext>
          </c:extLst>
        </c:ser>
        <c:dLbls>
          <c:showLegendKey val="0"/>
          <c:showVal val="0"/>
          <c:showCatName val="0"/>
          <c:showSerName val="0"/>
          <c:showPercent val="0"/>
          <c:showBubbleSize val="0"/>
        </c:dLbls>
        <c:axId val="103622144"/>
        <c:axId val="103624064"/>
      </c:scatterChart>
      <c:valAx>
        <c:axId val="103622144"/>
        <c:scaling>
          <c:logBase val="10"/>
          <c:orientation val="maxMin"/>
          <c:max val="1.2"/>
          <c:min val="1.0000000000000003E-4"/>
        </c:scaling>
        <c:delete val="0"/>
        <c:axPos val="b"/>
        <c:majorGridlines>
          <c:spPr>
            <a:ln w="9525" cap="flat" cmpd="sng" algn="ctr">
              <a:solidFill>
                <a:schemeClr val="tx1">
                  <a:tint val="75000"/>
                  <a:shade val="95000"/>
                  <a:satMod val="105000"/>
                </a:schemeClr>
              </a:solidFill>
              <a:prstDash val="solid"/>
              <a:round/>
            </a:ln>
            <a:effectLst/>
          </c:spPr>
        </c:majorGridlines>
        <c:minorGridlines>
          <c:spPr>
            <a:ln w="9525" cap="flat" cmpd="sng" algn="ctr">
              <a:solidFill>
                <a:schemeClr val="tx1"/>
              </a:solidFill>
              <a:prstDash val="solid"/>
              <a:round/>
            </a:ln>
            <a:effectLst/>
          </c:spPr>
        </c:minorGridlines>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03624064"/>
        <c:crossesAt val="0"/>
        <c:crossBetween val="midCat"/>
        <c:majorUnit val="10"/>
        <c:minorUnit val="10"/>
      </c:valAx>
      <c:valAx>
        <c:axId val="103624064"/>
        <c:scaling>
          <c:orientation val="minMax"/>
          <c:max val="110"/>
          <c:min val="0"/>
        </c:scaling>
        <c:delete val="0"/>
        <c:axPos val="r"/>
        <c:majorGridlines>
          <c:spPr>
            <a:ln w="9525" cap="flat" cmpd="sng" algn="ctr">
              <a:solidFill>
                <a:schemeClr val="dk1">
                  <a:shade val="95000"/>
                  <a:satMod val="105000"/>
                </a:schemeClr>
              </a:solidFill>
              <a:prstDash val="solid"/>
              <a:round/>
            </a:ln>
            <a:effectLst/>
          </c:spPr>
        </c:majorGridlines>
        <c:minorGridlines>
          <c:spPr>
            <a:ln w="9525" cap="flat" cmpd="sng" algn="ctr">
              <a:solidFill>
                <a:schemeClr val="tx1">
                  <a:tint val="50000"/>
                  <a:shade val="95000"/>
                  <a:satMod val="105000"/>
                </a:schemeClr>
              </a:solidFill>
              <a:prstDash val="solid"/>
              <a:round/>
            </a:ln>
            <a:effectLst/>
          </c:spPr>
        </c:minorGridlines>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03622144"/>
        <c:crossesAt val="0"/>
        <c:crossBetween val="midCat"/>
        <c:majorUnit val="10"/>
        <c:minorUnit val="1"/>
      </c:valAx>
      <c:spPr>
        <a:solidFill>
          <a:schemeClr val="bg1"/>
        </a:solid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Feuil2!$Z$1</c:f>
              <c:strCache>
                <c:ptCount val="1"/>
                <c:pt idx="0">
                  <c:v>K-B</c:v>
                </c:pt>
              </c:strCache>
            </c:strRef>
          </c:tx>
          <c:xVal>
            <c:numRef>
              <c:f>Feuil2!$Y$2:$Y$10</c:f>
              <c:numCache>
                <c:formatCode>General</c:formatCode>
                <c:ptCount val="9"/>
                <c:pt idx="0">
                  <c:v>0</c:v>
                </c:pt>
                <c:pt idx="1">
                  <c:v>6.3999999999999997E-5</c:v>
                </c:pt>
                <c:pt idx="2">
                  <c:v>3.2000000000000003E-4</c:v>
                </c:pt>
                <c:pt idx="3">
                  <c:v>1.6000000000000001E-3</c:v>
                </c:pt>
                <c:pt idx="4">
                  <c:v>5.0000000000000001E-3</c:v>
                </c:pt>
                <c:pt idx="5">
                  <c:v>8.0000000000000002E-3</c:v>
                </c:pt>
                <c:pt idx="6">
                  <c:v>1.2E-2</c:v>
                </c:pt>
                <c:pt idx="7">
                  <c:v>1.4999999999999999E-2</c:v>
                </c:pt>
                <c:pt idx="8">
                  <c:v>0.02</c:v>
                </c:pt>
              </c:numCache>
            </c:numRef>
          </c:xVal>
          <c:yVal>
            <c:numRef>
              <c:f>Feuil2!$Z$2:$Z$10</c:f>
              <c:numCache>
                <c:formatCode>General</c:formatCode>
                <c:ptCount val="9"/>
                <c:pt idx="0">
                  <c:v>0</c:v>
                </c:pt>
                <c:pt idx="1">
                  <c:v>3.1E-6</c:v>
                </c:pt>
                <c:pt idx="2">
                  <c:v>6.6000000000000003E-6</c:v>
                </c:pt>
                <c:pt idx="3">
                  <c:v>1E-4</c:v>
                </c:pt>
                <c:pt idx="4">
                  <c:v>1.1999999999999999E-3</c:v>
                </c:pt>
                <c:pt idx="5">
                  <c:v>1.8E-3</c:v>
                </c:pt>
                <c:pt idx="6">
                  <c:v>2.5000000000000001E-3</c:v>
                </c:pt>
                <c:pt idx="7">
                  <c:v>2.8E-3</c:v>
                </c:pt>
                <c:pt idx="8">
                  <c:v>2.8999999999999998E-3</c:v>
                </c:pt>
              </c:numCache>
            </c:numRef>
          </c:yVal>
          <c:smooth val="1"/>
          <c:extLst>
            <c:ext xmlns:c16="http://schemas.microsoft.com/office/drawing/2014/chart" uri="{C3380CC4-5D6E-409C-BE32-E72D297353CC}">
              <c16:uniqueId val="{00000000-B196-4773-B869-6DB58EA9AE6F}"/>
            </c:ext>
          </c:extLst>
        </c:ser>
        <c:ser>
          <c:idx val="1"/>
          <c:order val="1"/>
          <c:tx>
            <c:strRef>
              <c:f>Feuil2!$AA$1</c:f>
              <c:strCache>
                <c:ptCount val="1"/>
                <c:pt idx="0">
                  <c:v>K-56</c:v>
                </c:pt>
              </c:strCache>
            </c:strRef>
          </c:tx>
          <c:xVal>
            <c:numRef>
              <c:f>Feuil2!$Y$2:$Y$10</c:f>
              <c:numCache>
                <c:formatCode>General</c:formatCode>
                <c:ptCount val="9"/>
                <c:pt idx="0">
                  <c:v>0</c:v>
                </c:pt>
                <c:pt idx="1">
                  <c:v>6.3999999999999997E-5</c:v>
                </c:pt>
                <c:pt idx="2">
                  <c:v>3.2000000000000003E-4</c:v>
                </c:pt>
                <c:pt idx="3">
                  <c:v>1.6000000000000001E-3</c:v>
                </c:pt>
                <c:pt idx="4">
                  <c:v>5.0000000000000001E-3</c:v>
                </c:pt>
                <c:pt idx="5">
                  <c:v>8.0000000000000002E-3</c:v>
                </c:pt>
                <c:pt idx="6">
                  <c:v>1.2E-2</c:v>
                </c:pt>
                <c:pt idx="7">
                  <c:v>1.4999999999999999E-2</c:v>
                </c:pt>
                <c:pt idx="8">
                  <c:v>0.02</c:v>
                </c:pt>
              </c:numCache>
            </c:numRef>
          </c:xVal>
          <c:yVal>
            <c:numRef>
              <c:f>Feuil2!$AA$2:$AA$10</c:f>
              <c:numCache>
                <c:formatCode>General</c:formatCode>
                <c:ptCount val="9"/>
                <c:pt idx="0">
                  <c:v>0</c:v>
                </c:pt>
                <c:pt idx="1">
                  <c:v>5.3000000000000001E-6</c:v>
                </c:pt>
                <c:pt idx="2">
                  <c:v>8.3000000000000002E-6</c:v>
                </c:pt>
                <c:pt idx="3">
                  <c:v>3.4000000000000002E-4</c:v>
                </c:pt>
                <c:pt idx="4">
                  <c:v>1.8E-3</c:v>
                </c:pt>
                <c:pt idx="5">
                  <c:v>2.5999999999999999E-3</c:v>
                </c:pt>
                <c:pt idx="6">
                  <c:v>3.0999999999999999E-3</c:v>
                </c:pt>
                <c:pt idx="7">
                  <c:v>3.3E-3</c:v>
                </c:pt>
                <c:pt idx="8">
                  <c:v>3.3899999999999998E-3</c:v>
                </c:pt>
              </c:numCache>
            </c:numRef>
          </c:yVal>
          <c:smooth val="1"/>
          <c:extLst>
            <c:ext xmlns:c16="http://schemas.microsoft.com/office/drawing/2014/chart" uri="{C3380CC4-5D6E-409C-BE32-E72D297353CC}">
              <c16:uniqueId val="{00000001-B196-4773-B869-6DB58EA9AE6F}"/>
            </c:ext>
          </c:extLst>
        </c:ser>
        <c:ser>
          <c:idx val="2"/>
          <c:order val="2"/>
          <c:tx>
            <c:strRef>
              <c:f>Feuil2!$AB$1</c:f>
              <c:strCache>
                <c:ptCount val="1"/>
                <c:pt idx="0">
                  <c:v>K-F</c:v>
                </c:pt>
              </c:strCache>
            </c:strRef>
          </c:tx>
          <c:xVal>
            <c:numRef>
              <c:f>Feuil2!$Y$2:$Y$10</c:f>
              <c:numCache>
                <c:formatCode>General</c:formatCode>
                <c:ptCount val="9"/>
                <c:pt idx="0">
                  <c:v>0</c:v>
                </c:pt>
                <c:pt idx="1">
                  <c:v>6.3999999999999997E-5</c:v>
                </c:pt>
                <c:pt idx="2">
                  <c:v>3.2000000000000003E-4</c:v>
                </c:pt>
                <c:pt idx="3">
                  <c:v>1.6000000000000001E-3</c:v>
                </c:pt>
                <c:pt idx="4">
                  <c:v>5.0000000000000001E-3</c:v>
                </c:pt>
                <c:pt idx="5">
                  <c:v>8.0000000000000002E-3</c:v>
                </c:pt>
                <c:pt idx="6">
                  <c:v>1.2E-2</c:v>
                </c:pt>
                <c:pt idx="7">
                  <c:v>1.4999999999999999E-2</c:v>
                </c:pt>
                <c:pt idx="8">
                  <c:v>0.02</c:v>
                </c:pt>
              </c:numCache>
            </c:numRef>
          </c:xVal>
          <c:yVal>
            <c:numRef>
              <c:f>Feuil2!$AB$2:$AB$10</c:f>
              <c:numCache>
                <c:formatCode>General</c:formatCode>
                <c:ptCount val="9"/>
                <c:pt idx="0">
                  <c:v>0</c:v>
                </c:pt>
                <c:pt idx="1">
                  <c:v>8.3000000000000002E-6</c:v>
                </c:pt>
                <c:pt idx="2">
                  <c:v>1.2300000000000001E-5</c:v>
                </c:pt>
                <c:pt idx="3">
                  <c:v>6.4000000000000005E-4</c:v>
                </c:pt>
                <c:pt idx="4">
                  <c:v>2.8999999999999998E-3</c:v>
                </c:pt>
                <c:pt idx="5">
                  <c:v>4.3E-3</c:v>
                </c:pt>
                <c:pt idx="6">
                  <c:v>4.8999999999999998E-3</c:v>
                </c:pt>
                <c:pt idx="7">
                  <c:v>5.1000000000000004E-3</c:v>
                </c:pt>
                <c:pt idx="8">
                  <c:v>5.5999999999999999E-3</c:v>
                </c:pt>
              </c:numCache>
            </c:numRef>
          </c:yVal>
          <c:smooth val="1"/>
          <c:extLst>
            <c:ext xmlns:c16="http://schemas.microsoft.com/office/drawing/2014/chart" uri="{C3380CC4-5D6E-409C-BE32-E72D297353CC}">
              <c16:uniqueId val="{00000002-B196-4773-B869-6DB58EA9AE6F}"/>
            </c:ext>
          </c:extLst>
        </c:ser>
        <c:dLbls>
          <c:showLegendKey val="0"/>
          <c:showVal val="0"/>
          <c:showCatName val="0"/>
          <c:showSerName val="0"/>
          <c:showPercent val="0"/>
          <c:showBubbleSize val="0"/>
        </c:dLbls>
        <c:axId val="103661568"/>
        <c:axId val="103663488"/>
      </c:scatterChart>
      <c:valAx>
        <c:axId val="103661568"/>
        <c:scaling>
          <c:orientation val="minMax"/>
        </c:scaling>
        <c:delete val="0"/>
        <c:axPos val="b"/>
        <c:title>
          <c:tx>
            <c:rich>
              <a:bodyPr/>
              <a:lstStyle/>
              <a:p>
                <a:pPr>
                  <a:defRPr>
                    <a:latin typeface="Arial" panose="020B0604020202020204" pitchFamily="34" charset="0"/>
                    <a:cs typeface="Arial" panose="020B0604020202020204" pitchFamily="34" charset="0"/>
                  </a:defRPr>
                </a:pPr>
                <a:r>
                  <a:rPr lang="en-US" sz="1000" b="1" i="0" u="none" strike="noStrike" baseline="0">
                    <a:effectLst/>
                    <a:latin typeface="Arial" panose="020B0604020202020204" pitchFamily="34" charset="0"/>
                    <a:cs typeface="Arial" panose="020B0604020202020204" pitchFamily="34" charset="0"/>
                  </a:rPr>
                  <a:t>Initial concentration (mol/L)</a:t>
                </a:r>
                <a:endParaRPr lang="fr-FR">
                  <a:latin typeface="Arial" panose="020B0604020202020204" pitchFamily="34" charset="0"/>
                  <a:cs typeface="Arial" panose="020B0604020202020204" pitchFamily="34" charset="0"/>
                </a:endParaRPr>
              </a:p>
            </c:rich>
          </c:tx>
          <c:overlay val="0"/>
        </c:title>
        <c:numFmt formatCode="General" sourceLinked="1"/>
        <c:majorTickMark val="none"/>
        <c:minorTickMark val="none"/>
        <c:tickLblPos val="nextTo"/>
        <c:crossAx val="103663488"/>
        <c:crosses val="autoZero"/>
        <c:crossBetween val="midCat"/>
      </c:valAx>
      <c:valAx>
        <c:axId val="103663488"/>
        <c:scaling>
          <c:orientation val="minMax"/>
          <c:min val="0"/>
        </c:scaling>
        <c:delete val="0"/>
        <c:axPos val="l"/>
        <c:majorGridlines/>
        <c:title>
          <c:tx>
            <c:rich>
              <a:bodyPr/>
              <a:lstStyle/>
              <a:p>
                <a:pPr>
                  <a:defRPr>
                    <a:latin typeface="Arial" panose="020B0604020202020204" pitchFamily="34" charset="0"/>
                    <a:cs typeface="Arial" panose="020B0604020202020204" pitchFamily="34" charset="0"/>
                  </a:defRPr>
                </a:pPr>
                <a:r>
                  <a:rPr lang="en-US" sz="1000" b="1" i="0" baseline="0">
                    <a:effectLst/>
                    <a:latin typeface="Arial" panose="020B0604020202020204" pitchFamily="34" charset="0"/>
                    <a:cs typeface="Arial" panose="020B0604020202020204" pitchFamily="34" charset="0"/>
                  </a:rPr>
                  <a:t>Adsorbed amount (mol/g)</a:t>
                </a:r>
                <a:endParaRPr lang="fr-FR" sz="1000">
                  <a:effectLst/>
                  <a:latin typeface="Arial" panose="020B0604020202020204" pitchFamily="34" charset="0"/>
                  <a:cs typeface="Arial" panose="020B0604020202020204" pitchFamily="34" charset="0"/>
                </a:endParaRPr>
              </a:p>
            </c:rich>
          </c:tx>
          <c:overlay val="0"/>
        </c:title>
        <c:numFmt formatCode="General" sourceLinked="1"/>
        <c:majorTickMark val="none"/>
        <c:minorTickMark val="none"/>
        <c:tickLblPos val="nextTo"/>
        <c:crossAx val="103661568"/>
        <c:crosses val="autoZero"/>
        <c:crossBetween val="midCat"/>
      </c:valAx>
    </c:plotArea>
    <c:legend>
      <c:legendPos val="r"/>
      <c:overlay val="0"/>
      <c:txPr>
        <a:bodyPr/>
        <a:lstStyle/>
        <a:p>
          <a:pPr>
            <a:defRPr>
              <a:latin typeface="Arial" panose="020B0604020202020204" pitchFamily="34" charset="0"/>
              <a:cs typeface="Arial" panose="020B0604020202020204" pitchFamily="34" charset="0"/>
            </a:defRPr>
          </a:pPr>
          <a:endParaRPr lang="en-US"/>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Feuil4!$B$1</c:f>
              <c:strCache>
                <c:ptCount val="1"/>
                <c:pt idx="0">
                  <c:v>K-B</c:v>
                </c:pt>
              </c:strCache>
            </c:strRef>
          </c:tx>
          <c:xVal>
            <c:numRef>
              <c:f>Feuil4!$A$2:$A$10</c:f>
              <c:numCache>
                <c:formatCode>General</c:formatCode>
                <c:ptCount val="9"/>
                <c:pt idx="0">
                  <c:v>0</c:v>
                </c:pt>
                <c:pt idx="1">
                  <c:v>6.3999999999999997E-5</c:v>
                </c:pt>
                <c:pt idx="2">
                  <c:v>3.2000000000000003E-4</c:v>
                </c:pt>
                <c:pt idx="3">
                  <c:v>1.6000000000000001E-3</c:v>
                </c:pt>
                <c:pt idx="4">
                  <c:v>5.0000000000000001E-3</c:v>
                </c:pt>
                <c:pt idx="5">
                  <c:v>8.0000000000000002E-3</c:v>
                </c:pt>
                <c:pt idx="6">
                  <c:v>1.2E-2</c:v>
                </c:pt>
                <c:pt idx="7">
                  <c:v>1.4999999999999999E-2</c:v>
                </c:pt>
                <c:pt idx="8">
                  <c:v>0.02</c:v>
                </c:pt>
              </c:numCache>
            </c:numRef>
          </c:xVal>
          <c:yVal>
            <c:numRef>
              <c:f>Feuil4!$B$2:$B$10</c:f>
              <c:numCache>
                <c:formatCode>General</c:formatCode>
                <c:ptCount val="9"/>
                <c:pt idx="0">
                  <c:v>0</c:v>
                </c:pt>
                <c:pt idx="1">
                  <c:v>4.1E-5</c:v>
                </c:pt>
                <c:pt idx="2">
                  <c:v>5.5999999999999999E-5</c:v>
                </c:pt>
                <c:pt idx="3">
                  <c:v>6.3E-5</c:v>
                </c:pt>
                <c:pt idx="4">
                  <c:v>7.1000000000000002E-4</c:v>
                </c:pt>
                <c:pt idx="5">
                  <c:v>1.4E-3</c:v>
                </c:pt>
                <c:pt idx="6">
                  <c:v>2.2899999999999999E-3</c:v>
                </c:pt>
                <c:pt idx="7">
                  <c:v>2.5000000000000001E-3</c:v>
                </c:pt>
                <c:pt idx="8">
                  <c:v>2.5000000000000001E-3</c:v>
                </c:pt>
              </c:numCache>
            </c:numRef>
          </c:yVal>
          <c:smooth val="1"/>
          <c:extLst>
            <c:ext xmlns:c16="http://schemas.microsoft.com/office/drawing/2014/chart" uri="{C3380CC4-5D6E-409C-BE32-E72D297353CC}">
              <c16:uniqueId val="{00000000-5BD6-4906-806A-B1A5092A328C}"/>
            </c:ext>
          </c:extLst>
        </c:ser>
        <c:ser>
          <c:idx val="1"/>
          <c:order val="1"/>
          <c:tx>
            <c:strRef>
              <c:f>Feuil4!$C$1</c:f>
              <c:strCache>
                <c:ptCount val="1"/>
                <c:pt idx="0">
                  <c:v>K-56</c:v>
                </c:pt>
              </c:strCache>
            </c:strRef>
          </c:tx>
          <c:xVal>
            <c:numRef>
              <c:f>Feuil4!$A$2:$A$10</c:f>
              <c:numCache>
                <c:formatCode>General</c:formatCode>
                <c:ptCount val="9"/>
                <c:pt idx="0">
                  <c:v>0</c:v>
                </c:pt>
                <c:pt idx="1">
                  <c:v>6.3999999999999997E-5</c:v>
                </c:pt>
                <c:pt idx="2">
                  <c:v>3.2000000000000003E-4</c:v>
                </c:pt>
                <c:pt idx="3">
                  <c:v>1.6000000000000001E-3</c:v>
                </c:pt>
                <c:pt idx="4">
                  <c:v>5.0000000000000001E-3</c:v>
                </c:pt>
                <c:pt idx="5">
                  <c:v>8.0000000000000002E-3</c:v>
                </c:pt>
                <c:pt idx="6">
                  <c:v>1.2E-2</c:v>
                </c:pt>
                <c:pt idx="7">
                  <c:v>1.4999999999999999E-2</c:v>
                </c:pt>
                <c:pt idx="8">
                  <c:v>0.02</c:v>
                </c:pt>
              </c:numCache>
            </c:numRef>
          </c:xVal>
          <c:yVal>
            <c:numRef>
              <c:f>Feuil4!$C$2:$C$10</c:f>
              <c:numCache>
                <c:formatCode>General</c:formatCode>
                <c:ptCount val="9"/>
                <c:pt idx="0">
                  <c:v>0</c:v>
                </c:pt>
                <c:pt idx="1">
                  <c:v>4.0000000000000003E-5</c:v>
                </c:pt>
                <c:pt idx="2">
                  <c:v>5.5999999999999999E-5</c:v>
                </c:pt>
                <c:pt idx="3">
                  <c:v>6.3999999999999997E-5</c:v>
                </c:pt>
                <c:pt idx="4">
                  <c:v>6.9999999999999999E-4</c:v>
                </c:pt>
                <c:pt idx="5">
                  <c:v>1.5100000000000001E-3</c:v>
                </c:pt>
                <c:pt idx="6">
                  <c:v>2.3999999999999998E-3</c:v>
                </c:pt>
                <c:pt idx="7">
                  <c:v>2.5000000000000001E-3</c:v>
                </c:pt>
                <c:pt idx="8">
                  <c:v>2.5999999999999999E-3</c:v>
                </c:pt>
              </c:numCache>
            </c:numRef>
          </c:yVal>
          <c:smooth val="1"/>
          <c:extLst>
            <c:ext xmlns:c16="http://schemas.microsoft.com/office/drawing/2014/chart" uri="{C3380CC4-5D6E-409C-BE32-E72D297353CC}">
              <c16:uniqueId val="{00000001-5BD6-4906-806A-B1A5092A328C}"/>
            </c:ext>
          </c:extLst>
        </c:ser>
        <c:ser>
          <c:idx val="2"/>
          <c:order val="2"/>
          <c:tx>
            <c:strRef>
              <c:f>Feuil4!$D$1</c:f>
              <c:strCache>
                <c:ptCount val="1"/>
                <c:pt idx="0">
                  <c:v>K-F</c:v>
                </c:pt>
              </c:strCache>
            </c:strRef>
          </c:tx>
          <c:xVal>
            <c:numRef>
              <c:f>Feuil4!$A$2:$A$10</c:f>
              <c:numCache>
                <c:formatCode>General</c:formatCode>
                <c:ptCount val="9"/>
                <c:pt idx="0">
                  <c:v>0</c:v>
                </c:pt>
                <c:pt idx="1">
                  <c:v>6.3999999999999997E-5</c:v>
                </c:pt>
                <c:pt idx="2">
                  <c:v>3.2000000000000003E-4</c:v>
                </c:pt>
                <c:pt idx="3">
                  <c:v>1.6000000000000001E-3</c:v>
                </c:pt>
                <c:pt idx="4">
                  <c:v>5.0000000000000001E-3</c:v>
                </c:pt>
                <c:pt idx="5">
                  <c:v>8.0000000000000002E-3</c:v>
                </c:pt>
                <c:pt idx="6">
                  <c:v>1.2E-2</c:v>
                </c:pt>
                <c:pt idx="7">
                  <c:v>1.4999999999999999E-2</c:v>
                </c:pt>
                <c:pt idx="8">
                  <c:v>0.02</c:v>
                </c:pt>
              </c:numCache>
            </c:numRef>
          </c:xVal>
          <c:yVal>
            <c:numRef>
              <c:f>Feuil4!$D$2:$D$10</c:f>
              <c:numCache>
                <c:formatCode>General</c:formatCode>
                <c:ptCount val="9"/>
                <c:pt idx="0">
                  <c:v>0</c:v>
                </c:pt>
                <c:pt idx="1">
                  <c:v>5.1E-5</c:v>
                </c:pt>
                <c:pt idx="2">
                  <c:v>5.7899999999999998E-5</c:v>
                </c:pt>
                <c:pt idx="3">
                  <c:v>6.3999999999999997E-5</c:v>
                </c:pt>
                <c:pt idx="4">
                  <c:v>1E-3</c:v>
                </c:pt>
                <c:pt idx="5">
                  <c:v>1.8E-3</c:v>
                </c:pt>
                <c:pt idx="6">
                  <c:v>3.0999999999999999E-3</c:v>
                </c:pt>
                <c:pt idx="7">
                  <c:v>3.0999999999999999E-3</c:v>
                </c:pt>
                <c:pt idx="8">
                  <c:v>3.2000000000000002E-3</c:v>
                </c:pt>
              </c:numCache>
            </c:numRef>
          </c:yVal>
          <c:smooth val="1"/>
          <c:extLst>
            <c:ext xmlns:c16="http://schemas.microsoft.com/office/drawing/2014/chart" uri="{C3380CC4-5D6E-409C-BE32-E72D297353CC}">
              <c16:uniqueId val="{00000002-5BD6-4906-806A-B1A5092A328C}"/>
            </c:ext>
          </c:extLst>
        </c:ser>
        <c:dLbls>
          <c:showLegendKey val="0"/>
          <c:showVal val="0"/>
          <c:showCatName val="0"/>
          <c:showSerName val="0"/>
          <c:showPercent val="0"/>
          <c:showBubbleSize val="0"/>
        </c:dLbls>
        <c:axId val="103752448"/>
        <c:axId val="103754368"/>
      </c:scatterChart>
      <c:valAx>
        <c:axId val="103752448"/>
        <c:scaling>
          <c:orientation val="minMax"/>
        </c:scaling>
        <c:delete val="0"/>
        <c:axPos val="b"/>
        <c:title>
          <c:tx>
            <c:rich>
              <a:bodyPr/>
              <a:lstStyle/>
              <a:p>
                <a:pPr>
                  <a:defRPr>
                    <a:latin typeface="Arial" panose="020B0604020202020204" pitchFamily="34" charset="0"/>
                    <a:cs typeface="Arial" panose="020B0604020202020204" pitchFamily="34" charset="0"/>
                  </a:defRPr>
                </a:pPr>
                <a:r>
                  <a:rPr lang="fr-FR">
                    <a:latin typeface="Arial" panose="020B0604020202020204" pitchFamily="34" charset="0"/>
                    <a:cs typeface="Arial" panose="020B0604020202020204" pitchFamily="34" charset="0"/>
                  </a:rPr>
                  <a:t>initial</a:t>
                </a:r>
                <a:r>
                  <a:rPr lang="fr-FR" baseline="0">
                    <a:latin typeface="Arial" panose="020B0604020202020204" pitchFamily="34" charset="0"/>
                    <a:cs typeface="Arial" panose="020B0604020202020204" pitchFamily="34" charset="0"/>
                  </a:rPr>
                  <a:t> </a:t>
                </a:r>
                <a:r>
                  <a:rPr lang="fr-FR" sz="1000" b="1" i="0" u="none" strike="noStrike" baseline="0">
                    <a:effectLst/>
                    <a:latin typeface="Arial" panose="020B0604020202020204" pitchFamily="34" charset="0"/>
                    <a:cs typeface="Arial" panose="020B0604020202020204" pitchFamily="34" charset="0"/>
                  </a:rPr>
                  <a:t>Concentration</a:t>
                </a:r>
                <a:r>
                  <a:rPr lang="fr-FR" baseline="0">
                    <a:latin typeface="Arial" panose="020B0604020202020204" pitchFamily="34" charset="0"/>
                    <a:cs typeface="Arial" panose="020B0604020202020204" pitchFamily="34" charset="0"/>
                  </a:rPr>
                  <a:t> (mol/L)</a:t>
                </a:r>
                <a:endParaRPr lang="fr-FR">
                  <a:latin typeface="Arial" panose="020B0604020202020204" pitchFamily="34" charset="0"/>
                  <a:cs typeface="Arial" panose="020B0604020202020204" pitchFamily="34" charset="0"/>
                </a:endParaRPr>
              </a:p>
            </c:rich>
          </c:tx>
          <c:overlay val="0"/>
        </c:title>
        <c:numFmt formatCode="General" sourceLinked="1"/>
        <c:majorTickMark val="none"/>
        <c:minorTickMark val="none"/>
        <c:tickLblPos val="nextTo"/>
        <c:crossAx val="103754368"/>
        <c:crosses val="autoZero"/>
        <c:crossBetween val="midCat"/>
      </c:valAx>
      <c:valAx>
        <c:axId val="103754368"/>
        <c:scaling>
          <c:orientation val="minMax"/>
          <c:min val="0"/>
        </c:scaling>
        <c:delete val="0"/>
        <c:axPos val="l"/>
        <c:majorGridlines/>
        <c:title>
          <c:tx>
            <c:rich>
              <a:bodyPr/>
              <a:lstStyle/>
              <a:p>
                <a:pPr>
                  <a:defRPr>
                    <a:latin typeface="Arial" panose="020B0604020202020204" pitchFamily="34" charset="0"/>
                    <a:cs typeface="Arial" panose="020B0604020202020204" pitchFamily="34" charset="0"/>
                  </a:defRPr>
                </a:pPr>
                <a:r>
                  <a:rPr lang="fr-FR" baseline="0">
                    <a:latin typeface="Arial" panose="020B0604020202020204" pitchFamily="34" charset="0"/>
                    <a:cs typeface="Arial" panose="020B0604020202020204" pitchFamily="34" charset="0"/>
                  </a:rPr>
                  <a:t>Adsorbed amount (mol/g)</a:t>
                </a:r>
                <a:endParaRPr lang="fr-FR">
                  <a:latin typeface="Arial" panose="020B0604020202020204" pitchFamily="34" charset="0"/>
                  <a:cs typeface="Arial" panose="020B0604020202020204" pitchFamily="34" charset="0"/>
                </a:endParaRPr>
              </a:p>
            </c:rich>
          </c:tx>
          <c:overlay val="0"/>
        </c:title>
        <c:numFmt formatCode="General" sourceLinked="1"/>
        <c:majorTickMark val="none"/>
        <c:minorTickMark val="none"/>
        <c:tickLblPos val="nextTo"/>
        <c:crossAx val="103752448"/>
        <c:crosses val="autoZero"/>
        <c:crossBetween val="midCat"/>
      </c:valAx>
    </c:plotArea>
    <c:legend>
      <c:legendPos val="r"/>
      <c:overlay val="0"/>
      <c:txPr>
        <a:bodyPr/>
        <a:lstStyle/>
        <a:p>
          <a:pPr>
            <a:defRPr>
              <a:latin typeface="Arial" panose="020B0604020202020204" pitchFamily="34" charset="0"/>
              <a:cs typeface="Arial" panose="020B0604020202020204" pitchFamily="34" charset="0"/>
            </a:defRPr>
          </a:pPr>
          <a:endParaRPr lang="en-US"/>
        </a:p>
      </c:txPr>
    </c:legend>
    <c:plotVisOnly val="1"/>
    <c:dispBlanksAs val="gap"/>
    <c:showDLblsOverMax val="0"/>
  </c:chart>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0.93716</cdr:x>
      <cdr:y>0.88612</cdr:y>
    </cdr:from>
    <cdr:to>
      <cdr:x>1</cdr:x>
      <cdr:y>1</cdr:y>
    </cdr:to>
    <cdr:sp macro="" textlink="">
      <cdr:nvSpPr>
        <cdr:cNvPr id="2" name="Zone de texte 1"/>
        <cdr:cNvSpPr txBox="1"/>
      </cdr:nvSpPr>
      <cdr:spPr>
        <a:xfrm xmlns:a="http://schemas.openxmlformats.org/drawingml/2006/main">
          <a:off x="6177517" y="2456121"/>
          <a:ext cx="403431" cy="31565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fr-FR" sz="1100"/>
        </a:p>
      </cdr:txBody>
    </cdr:sp>
  </cdr:relSizeAnchor>
  <cdr:relSizeAnchor xmlns:cdr="http://schemas.openxmlformats.org/drawingml/2006/chartDrawing">
    <cdr:from>
      <cdr:x>0.94213</cdr:x>
      <cdr:y>0.84272</cdr:y>
    </cdr:from>
    <cdr:to>
      <cdr:x>1</cdr:x>
      <cdr:y>1</cdr:y>
    </cdr:to>
    <cdr:sp macro="" textlink="">
      <cdr:nvSpPr>
        <cdr:cNvPr id="3" name="Zone de texte 2"/>
        <cdr:cNvSpPr txBox="1"/>
      </cdr:nvSpPr>
      <cdr:spPr>
        <a:xfrm xmlns:a="http://schemas.openxmlformats.org/drawingml/2006/main">
          <a:off x="6048315" y="2335840"/>
          <a:ext cx="371535" cy="43593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fr-FR" sz="1100"/>
        </a:p>
      </cdr:txBody>
    </cdr:sp>
  </cdr:relSizeAnchor>
  <cdr:relSizeAnchor xmlns:cdr="http://schemas.openxmlformats.org/drawingml/2006/chartDrawing">
    <cdr:from>
      <cdr:x>0.07784</cdr:x>
      <cdr:y>0.89763</cdr:y>
    </cdr:from>
    <cdr:to>
      <cdr:x>0.18053</cdr:x>
      <cdr:y>1</cdr:y>
    </cdr:to>
    <cdr:sp macro="" textlink="">
      <cdr:nvSpPr>
        <cdr:cNvPr id="4" name="Zone de texte 3"/>
        <cdr:cNvSpPr txBox="1"/>
      </cdr:nvSpPr>
      <cdr:spPr>
        <a:xfrm xmlns:a="http://schemas.openxmlformats.org/drawingml/2006/main">
          <a:off x="499731" y="2488018"/>
          <a:ext cx="659218" cy="28375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FR" sz="1200">
              <a:latin typeface="Times New Roman" panose="02020603050405020304" pitchFamily="18" charset="0"/>
              <a:cs typeface="Times New Roman" panose="02020603050405020304" pitchFamily="18" charset="0"/>
            </a:rPr>
            <a:t>(mm)</a:t>
          </a: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465</TotalTime>
  <Pages>13</Pages>
  <Words>4040</Words>
  <Characters>23032</Characters>
  <Application>Microsoft Office Word</Application>
  <DocSecurity>0</DocSecurity>
  <Lines>191</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Flora</dc:creator>
  <cp:lastModifiedBy>SDI 1186</cp:lastModifiedBy>
  <cp:revision>15</cp:revision>
  <dcterms:created xsi:type="dcterms:W3CDTF">2025-10-25T12:52:00Z</dcterms:created>
  <dcterms:modified xsi:type="dcterms:W3CDTF">2025-10-30T10:35:00Z</dcterms:modified>
</cp:coreProperties>
</file>