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EEC7B" w14:textId="77777777" w:rsidR="0024200D" w:rsidRDefault="0024200D" w:rsidP="0024200D">
      <w:pPr>
        <w:jc w:val="both"/>
        <w:rPr>
          <w:rFonts w:ascii="Times New Roman" w:hAnsi="Times New Roman" w:cs="Times New Roman"/>
          <w:b/>
          <w:bCs/>
          <w:sz w:val="24"/>
          <w:szCs w:val="24"/>
        </w:rPr>
      </w:pPr>
      <w:r w:rsidRPr="004430F9">
        <w:rPr>
          <w:rFonts w:ascii="Times New Roman" w:hAnsi="Times New Roman" w:cs="Times New Roman"/>
          <w:b/>
          <w:bCs/>
          <w:sz w:val="24"/>
          <w:szCs w:val="24"/>
          <w:highlight w:val="yellow"/>
        </w:rPr>
        <w:t>Original Research Article</w:t>
      </w:r>
    </w:p>
    <w:p w14:paraId="6B48D276" w14:textId="77777777" w:rsidR="0024200D" w:rsidRDefault="0024200D" w:rsidP="003F6F5D">
      <w:pPr>
        <w:jc w:val="center"/>
        <w:rPr>
          <w:rFonts w:ascii="Times New Roman" w:hAnsi="Times New Roman" w:cs="Times New Roman"/>
          <w:b/>
          <w:bCs/>
          <w:sz w:val="24"/>
          <w:szCs w:val="24"/>
        </w:rPr>
      </w:pPr>
    </w:p>
    <w:p w14:paraId="3AE94C4F" w14:textId="0BB10257" w:rsidR="008F5FCC" w:rsidRPr="00B62A24" w:rsidRDefault="008F5FCC" w:rsidP="003F6F5D">
      <w:pPr>
        <w:jc w:val="center"/>
        <w:rPr>
          <w:rFonts w:ascii="Times New Roman" w:hAnsi="Times New Roman" w:cs="Times New Roman"/>
          <w:b/>
          <w:bCs/>
          <w:sz w:val="24"/>
          <w:szCs w:val="24"/>
          <w:vertAlign w:val="superscript"/>
        </w:rPr>
      </w:pPr>
      <w:r w:rsidRPr="000F4A86">
        <w:rPr>
          <w:rFonts w:ascii="Times New Roman" w:hAnsi="Times New Roman" w:cs="Times New Roman"/>
          <w:b/>
          <w:bCs/>
          <w:sz w:val="24"/>
          <w:szCs w:val="24"/>
          <w:highlight w:val="yellow"/>
        </w:rPr>
        <w:t xml:space="preserve">PATTERN OF DYSGLYCAEMIA IN PERSONS WITH </w:t>
      </w:r>
      <w:r w:rsidR="000F4A86" w:rsidRPr="000F4A86">
        <w:rPr>
          <w:rFonts w:ascii="Times New Roman" w:hAnsi="Times New Roman" w:cs="Times New Roman"/>
          <w:b/>
          <w:bCs/>
          <w:sz w:val="24"/>
          <w:szCs w:val="24"/>
          <w:highlight w:val="yellow"/>
        </w:rPr>
        <w:t xml:space="preserve">PULMONARY </w:t>
      </w:r>
      <w:r w:rsidRPr="000F4A86">
        <w:rPr>
          <w:rFonts w:ascii="Times New Roman" w:hAnsi="Times New Roman" w:cs="Times New Roman"/>
          <w:b/>
          <w:bCs/>
          <w:sz w:val="24"/>
          <w:szCs w:val="24"/>
          <w:highlight w:val="yellow"/>
        </w:rPr>
        <w:t>TUBERCULOSIS</w:t>
      </w:r>
    </w:p>
    <w:p w14:paraId="3C470928" w14:textId="77777777" w:rsidR="00187996" w:rsidRDefault="00187996" w:rsidP="005005B8">
      <w:pPr>
        <w:jc w:val="both"/>
        <w:rPr>
          <w:rFonts w:ascii="Times New Roman" w:hAnsi="Times New Roman" w:cs="Times New Roman"/>
          <w:b/>
          <w:bCs/>
          <w:sz w:val="24"/>
          <w:szCs w:val="24"/>
          <w:vertAlign w:val="superscript"/>
        </w:rPr>
      </w:pPr>
    </w:p>
    <w:p w14:paraId="23215049" w14:textId="62A6D688" w:rsidR="008F5FCC" w:rsidRDefault="008F5FCC" w:rsidP="003F6F5D">
      <w:pPr>
        <w:jc w:val="both"/>
        <w:rPr>
          <w:rFonts w:ascii="Times New Roman" w:hAnsi="Times New Roman" w:cs="Times New Roman"/>
          <w:b/>
          <w:bCs/>
          <w:sz w:val="24"/>
          <w:szCs w:val="24"/>
        </w:rPr>
      </w:pPr>
      <w:r w:rsidRPr="009B6107">
        <w:rPr>
          <w:rFonts w:ascii="Times New Roman" w:hAnsi="Times New Roman" w:cs="Times New Roman"/>
          <w:b/>
          <w:bCs/>
          <w:sz w:val="24"/>
          <w:szCs w:val="24"/>
        </w:rPr>
        <w:t>ABSTRACT</w:t>
      </w:r>
    </w:p>
    <w:p w14:paraId="1C8DD63B" w14:textId="77777777" w:rsidR="00764BE5" w:rsidRDefault="000C4D59" w:rsidP="000C4D59">
      <w:pPr>
        <w:jc w:val="both"/>
        <w:rPr>
          <w:rFonts w:ascii="Times New Roman" w:hAnsi="Times New Roman" w:cs="Times New Roman"/>
          <w:sz w:val="24"/>
          <w:szCs w:val="24"/>
          <w:lang w:val="en-US"/>
        </w:rPr>
      </w:pPr>
      <w:r w:rsidRPr="000C4D59">
        <w:rPr>
          <w:rFonts w:ascii="Times New Roman" w:hAnsi="Times New Roman" w:cs="Times New Roman"/>
          <w:b/>
          <w:bCs/>
          <w:sz w:val="24"/>
          <w:szCs w:val="24"/>
          <w:lang w:val="en-US"/>
        </w:rPr>
        <w:t xml:space="preserve">Background: </w:t>
      </w:r>
      <w:r w:rsidRPr="000C4D59">
        <w:rPr>
          <w:rFonts w:ascii="Times New Roman" w:hAnsi="Times New Roman" w:cs="Times New Roman"/>
          <w:sz w:val="24"/>
          <w:szCs w:val="24"/>
          <w:lang w:val="en-US"/>
        </w:rPr>
        <w:t xml:space="preserve">Tuberculosis (TB) and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are interrelated public health challenges, particularly in low- and middle-income countries. The bidirectional interaction between TB and disorders of glucose metabolism, including prediabetes and diabetes mellitus, is increasingly recognized. Despite this, there is limited evidence on the prevalence and patterns of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among TB patients in Nigeria. </w:t>
      </w:r>
    </w:p>
    <w:p w14:paraId="71037AFD" w14:textId="5E23B970" w:rsidR="000C4D59" w:rsidRPr="000C4D59" w:rsidRDefault="00764BE5" w:rsidP="000C4D59">
      <w:pPr>
        <w:jc w:val="both"/>
        <w:rPr>
          <w:rFonts w:ascii="Times New Roman" w:hAnsi="Times New Roman" w:cs="Times New Roman"/>
          <w:b/>
          <w:bCs/>
          <w:sz w:val="24"/>
          <w:szCs w:val="24"/>
          <w:lang w:val="en-US"/>
        </w:rPr>
      </w:pPr>
      <w:r w:rsidRPr="00764BE5">
        <w:rPr>
          <w:rFonts w:ascii="Times New Roman" w:hAnsi="Times New Roman" w:cs="Times New Roman"/>
          <w:b/>
          <w:sz w:val="24"/>
          <w:szCs w:val="24"/>
          <w:lang w:val="en-US"/>
        </w:rPr>
        <w:t>Aim:</w:t>
      </w:r>
      <w:r>
        <w:rPr>
          <w:rFonts w:ascii="Times New Roman" w:hAnsi="Times New Roman" w:cs="Times New Roman"/>
          <w:sz w:val="24"/>
          <w:szCs w:val="24"/>
          <w:lang w:val="en-US"/>
        </w:rPr>
        <w:t xml:space="preserve"> </w:t>
      </w:r>
      <w:r w:rsidR="000C4D59" w:rsidRPr="000C4D59">
        <w:rPr>
          <w:rFonts w:ascii="Times New Roman" w:hAnsi="Times New Roman" w:cs="Times New Roman"/>
          <w:sz w:val="24"/>
          <w:szCs w:val="24"/>
          <w:lang w:val="en-US"/>
        </w:rPr>
        <w:t xml:space="preserve">This study aimed to assess the magnitude and socio-clinical determinants of </w:t>
      </w:r>
      <w:proofErr w:type="spellStart"/>
      <w:r w:rsidR="000C4D59" w:rsidRPr="000C4D59">
        <w:rPr>
          <w:rFonts w:ascii="Times New Roman" w:hAnsi="Times New Roman" w:cs="Times New Roman"/>
          <w:sz w:val="24"/>
          <w:szCs w:val="24"/>
          <w:lang w:val="en-US"/>
        </w:rPr>
        <w:t>dysglycaemia</w:t>
      </w:r>
      <w:proofErr w:type="spellEnd"/>
      <w:r w:rsidR="000C4D59" w:rsidRPr="000C4D59">
        <w:rPr>
          <w:rFonts w:ascii="Times New Roman" w:hAnsi="Times New Roman" w:cs="Times New Roman"/>
          <w:sz w:val="24"/>
          <w:szCs w:val="24"/>
          <w:lang w:val="en-US"/>
        </w:rPr>
        <w:t xml:space="preserve"> in individuals with pulmonary TB at the University of Port Harcourt Teaching Hospital (UPTH).</w:t>
      </w:r>
    </w:p>
    <w:p w14:paraId="2D922E41" w14:textId="77777777" w:rsidR="000C4D59" w:rsidRPr="000C4D59" w:rsidRDefault="000C4D59" w:rsidP="000C4D59">
      <w:pPr>
        <w:jc w:val="both"/>
        <w:rPr>
          <w:rFonts w:ascii="Times New Roman" w:hAnsi="Times New Roman" w:cs="Times New Roman"/>
          <w:b/>
          <w:bCs/>
          <w:sz w:val="24"/>
          <w:szCs w:val="24"/>
          <w:lang w:val="en-US"/>
        </w:rPr>
      </w:pPr>
      <w:r w:rsidRPr="000C4D59">
        <w:rPr>
          <w:rFonts w:ascii="Times New Roman" w:hAnsi="Times New Roman" w:cs="Times New Roman"/>
          <w:b/>
          <w:bCs/>
          <w:sz w:val="24"/>
          <w:szCs w:val="24"/>
          <w:lang w:val="en-US"/>
        </w:rPr>
        <w:t xml:space="preserve">Methods: </w:t>
      </w:r>
      <w:r w:rsidRPr="000C4D59">
        <w:rPr>
          <w:rFonts w:ascii="Times New Roman" w:hAnsi="Times New Roman" w:cs="Times New Roman"/>
          <w:sz w:val="24"/>
          <w:szCs w:val="24"/>
          <w:lang w:val="en-US"/>
        </w:rPr>
        <w:t>A cross-sectional study was conducted among 171 newly diagnosed adult pulmonary TB patients receiv</w:t>
      </w:r>
      <w:bookmarkStart w:id="0" w:name="_GoBack"/>
      <w:bookmarkEnd w:id="0"/>
      <w:r w:rsidRPr="000C4D59">
        <w:rPr>
          <w:rFonts w:ascii="Times New Roman" w:hAnsi="Times New Roman" w:cs="Times New Roman"/>
          <w:sz w:val="24"/>
          <w:szCs w:val="24"/>
          <w:lang w:val="en-US"/>
        </w:rPr>
        <w:t xml:space="preserve">ing care at the DOTS clinic of UPTH. Sociodemographic and clinical data were obtained through structured interviewer-administered questionnaires. Anthropometric parameters were measured, and </w:t>
      </w:r>
      <w:proofErr w:type="spellStart"/>
      <w:r w:rsidRPr="000C4D59">
        <w:rPr>
          <w:rFonts w:ascii="Times New Roman" w:hAnsi="Times New Roman" w:cs="Times New Roman"/>
          <w:sz w:val="24"/>
          <w:szCs w:val="24"/>
          <w:lang w:val="en-US"/>
        </w:rPr>
        <w:t>glycaemic</w:t>
      </w:r>
      <w:proofErr w:type="spellEnd"/>
      <w:r w:rsidRPr="000C4D59">
        <w:rPr>
          <w:rFonts w:ascii="Times New Roman" w:hAnsi="Times New Roman" w:cs="Times New Roman"/>
          <w:sz w:val="24"/>
          <w:szCs w:val="24"/>
          <w:lang w:val="en-US"/>
        </w:rPr>
        <w:t xml:space="preserve"> status was determined using glycated haemoglobin (HbA1c), applying the American Diabetes Association (ADA) criteria. The relationship between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and patient characteristics was examined using chi-square tests, with statistical significance set at p &lt; 0.05.</w:t>
      </w:r>
    </w:p>
    <w:p w14:paraId="5C052E48" w14:textId="77777777" w:rsidR="000C4D59" w:rsidRPr="000C4D59" w:rsidRDefault="000C4D59" w:rsidP="000C4D59">
      <w:pPr>
        <w:jc w:val="both"/>
        <w:rPr>
          <w:rFonts w:ascii="Times New Roman" w:hAnsi="Times New Roman" w:cs="Times New Roman"/>
          <w:b/>
          <w:bCs/>
          <w:sz w:val="24"/>
          <w:szCs w:val="24"/>
          <w:lang w:val="en-US"/>
        </w:rPr>
      </w:pPr>
      <w:r w:rsidRPr="000C4D59">
        <w:rPr>
          <w:rFonts w:ascii="Times New Roman" w:hAnsi="Times New Roman" w:cs="Times New Roman"/>
          <w:b/>
          <w:bCs/>
          <w:sz w:val="24"/>
          <w:szCs w:val="24"/>
          <w:lang w:val="en-US"/>
        </w:rPr>
        <w:t xml:space="preserve">Results: </w:t>
      </w:r>
      <w:r w:rsidRPr="000C4D59">
        <w:rPr>
          <w:rFonts w:ascii="Times New Roman" w:hAnsi="Times New Roman" w:cs="Times New Roman"/>
          <w:sz w:val="24"/>
          <w:szCs w:val="24"/>
          <w:lang w:val="en-US"/>
        </w:rPr>
        <w:t xml:space="preserve">Of the 171 participants, 90 (52.6%) had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encompassing both prediabetes and diabetes mellitus. The mean age was 30.03 ± 8.89 years, and males constituted 53.8% of the study population. Higher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prevalence was observed among participants with a family history of diabetes (53.8%), those who were overweight or obese (66.7%), and individuals in unskilled occupations (50.0%). Significant associations were found between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and both occupational status (p = 0.0001) and BMI category (p = 0.0001). No statistically significant association was identified with age, sex, or educational level.</w:t>
      </w:r>
    </w:p>
    <w:p w14:paraId="4DCD629D" w14:textId="77777777" w:rsidR="000C4D59" w:rsidRPr="000C4D59" w:rsidRDefault="000C4D59" w:rsidP="000C4D59">
      <w:pPr>
        <w:jc w:val="both"/>
        <w:rPr>
          <w:rFonts w:ascii="Times New Roman" w:hAnsi="Times New Roman" w:cs="Times New Roman"/>
          <w:sz w:val="24"/>
          <w:szCs w:val="24"/>
          <w:lang w:val="en-US"/>
        </w:rPr>
      </w:pPr>
      <w:r w:rsidRPr="000C4D59">
        <w:rPr>
          <w:rFonts w:ascii="Times New Roman" w:hAnsi="Times New Roman" w:cs="Times New Roman"/>
          <w:b/>
          <w:bCs/>
          <w:sz w:val="24"/>
          <w:szCs w:val="24"/>
          <w:lang w:val="en-US"/>
        </w:rPr>
        <w:t xml:space="preserve">Conclusion: </w:t>
      </w:r>
      <w:proofErr w:type="spellStart"/>
      <w:r w:rsidRPr="000C4D59">
        <w:rPr>
          <w:rFonts w:ascii="Times New Roman" w:hAnsi="Times New Roman" w:cs="Times New Roman"/>
          <w:sz w:val="24"/>
          <w:szCs w:val="24"/>
          <w:lang w:val="en-US"/>
        </w:rPr>
        <w:t>Dysglycaemia</w:t>
      </w:r>
      <w:proofErr w:type="spellEnd"/>
      <w:r w:rsidRPr="000C4D59">
        <w:rPr>
          <w:rFonts w:ascii="Times New Roman" w:hAnsi="Times New Roman" w:cs="Times New Roman"/>
          <w:sz w:val="24"/>
          <w:szCs w:val="24"/>
          <w:lang w:val="en-US"/>
        </w:rPr>
        <w:t xml:space="preserve"> is common among TB patients at UPTH, affecting more than half of those studied. The significant links with occupational status and BMI highlight the need for routine </w:t>
      </w:r>
      <w:proofErr w:type="spellStart"/>
      <w:r w:rsidRPr="000C4D59">
        <w:rPr>
          <w:rFonts w:ascii="Times New Roman" w:hAnsi="Times New Roman" w:cs="Times New Roman"/>
          <w:sz w:val="24"/>
          <w:szCs w:val="24"/>
          <w:lang w:val="en-US"/>
        </w:rPr>
        <w:t>glycaemic</w:t>
      </w:r>
      <w:proofErr w:type="spellEnd"/>
      <w:r w:rsidRPr="000C4D59">
        <w:rPr>
          <w:rFonts w:ascii="Times New Roman" w:hAnsi="Times New Roman" w:cs="Times New Roman"/>
          <w:sz w:val="24"/>
          <w:szCs w:val="24"/>
          <w:lang w:val="en-US"/>
        </w:rPr>
        <w:t xml:space="preserve"> screening and targeted management strategies within TB treatment programs. Early detection and intervention are vital to improving clinical outcomes and reducing long-term metabolic risks in this population.</w:t>
      </w:r>
    </w:p>
    <w:p w14:paraId="5011D556" w14:textId="3808DD84" w:rsidR="008F5FCC" w:rsidRPr="00550D5C" w:rsidRDefault="008F5FCC" w:rsidP="003F6F5D">
      <w:pPr>
        <w:jc w:val="both"/>
        <w:rPr>
          <w:rFonts w:ascii="Times New Roman" w:hAnsi="Times New Roman" w:cs="Times New Roman"/>
          <w:b/>
          <w:bCs/>
          <w:i/>
          <w:iCs/>
          <w:sz w:val="24"/>
          <w:szCs w:val="24"/>
        </w:rPr>
      </w:pPr>
      <w:r w:rsidRPr="00550D5C">
        <w:rPr>
          <w:rFonts w:ascii="Times New Roman" w:hAnsi="Times New Roman" w:cs="Times New Roman"/>
          <w:b/>
          <w:bCs/>
          <w:i/>
          <w:iCs/>
          <w:sz w:val="24"/>
          <w:szCs w:val="24"/>
        </w:rPr>
        <w:t>Keywords</w:t>
      </w:r>
      <w:r w:rsidR="00851852" w:rsidRPr="00550D5C">
        <w:rPr>
          <w:rFonts w:ascii="Times New Roman" w:hAnsi="Times New Roman" w:cs="Times New Roman"/>
          <w:b/>
          <w:bCs/>
          <w:i/>
          <w:iCs/>
          <w:sz w:val="24"/>
          <w:szCs w:val="24"/>
        </w:rPr>
        <w:t>:</w:t>
      </w:r>
      <w:r w:rsidR="007C3C55" w:rsidRPr="00550D5C">
        <w:rPr>
          <w:rFonts w:ascii="Times New Roman" w:hAnsi="Times New Roman" w:cs="Times New Roman"/>
          <w:b/>
          <w:bCs/>
          <w:i/>
          <w:iCs/>
          <w:sz w:val="24"/>
          <w:szCs w:val="24"/>
        </w:rPr>
        <w:t xml:space="preserve"> </w:t>
      </w:r>
      <w:r w:rsidR="007C3C55" w:rsidRPr="00550D5C">
        <w:rPr>
          <w:rFonts w:ascii="Times New Roman" w:hAnsi="Times New Roman" w:cs="Times New Roman"/>
          <w:i/>
          <w:iCs/>
          <w:sz w:val="24"/>
          <w:szCs w:val="24"/>
        </w:rPr>
        <w:t xml:space="preserve">Tuberculosis, </w:t>
      </w:r>
      <w:proofErr w:type="spellStart"/>
      <w:r w:rsidR="007C3C55" w:rsidRPr="00550D5C">
        <w:rPr>
          <w:rFonts w:ascii="Times New Roman" w:hAnsi="Times New Roman" w:cs="Times New Roman"/>
          <w:i/>
          <w:iCs/>
          <w:sz w:val="24"/>
          <w:szCs w:val="24"/>
        </w:rPr>
        <w:t>Dysglycaemia</w:t>
      </w:r>
      <w:proofErr w:type="spellEnd"/>
      <w:r w:rsidR="007C3C55" w:rsidRPr="00550D5C">
        <w:rPr>
          <w:rFonts w:ascii="Times New Roman" w:hAnsi="Times New Roman" w:cs="Times New Roman"/>
          <w:i/>
          <w:iCs/>
          <w:sz w:val="24"/>
          <w:szCs w:val="24"/>
        </w:rPr>
        <w:t>, Diabetes Mellitus, Prediabetes, HbA1c</w:t>
      </w:r>
    </w:p>
    <w:p w14:paraId="573235C2" w14:textId="6F06DE38" w:rsidR="008F5FCC" w:rsidRDefault="0019294B" w:rsidP="003F6F5D">
      <w:pPr>
        <w:jc w:val="both"/>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8F5FCC" w:rsidRPr="009B6107">
        <w:rPr>
          <w:rFonts w:ascii="Times New Roman" w:hAnsi="Times New Roman" w:cs="Times New Roman"/>
          <w:b/>
          <w:bCs/>
          <w:sz w:val="24"/>
          <w:szCs w:val="24"/>
        </w:rPr>
        <w:t>INTRODUCTION</w:t>
      </w:r>
    </w:p>
    <w:p w14:paraId="40450C2B" w14:textId="77777777" w:rsidR="00931ABE" w:rsidRPr="00931ABE" w:rsidRDefault="00931ABE" w:rsidP="00931ABE">
      <w:pPr>
        <w:jc w:val="both"/>
        <w:rPr>
          <w:rFonts w:ascii="Times New Roman" w:hAnsi="Times New Roman" w:cs="Times New Roman"/>
          <w:sz w:val="24"/>
          <w:szCs w:val="24"/>
          <w:lang w:val="en-US"/>
        </w:rPr>
      </w:pPr>
      <w:r w:rsidRPr="00931ABE">
        <w:rPr>
          <w:rFonts w:ascii="Times New Roman" w:hAnsi="Times New Roman" w:cs="Times New Roman"/>
          <w:sz w:val="24"/>
          <w:szCs w:val="24"/>
          <w:lang w:val="en-US"/>
        </w:rPr>
        <w:t xml:space="preserve">Tuberculosis (TB) remains a significant global public health concern, particularly in low- and middle-income countries where the disease burden is highest. In 2022, approximately 10.6 million individuals were diagnosed with TB, resulting in about 1.47 million deaths—most of which occurred in resource-constrained regions (World Health Organization [WHO], 2023). </w:t>
      </w:r>
      <w:r w:rsidRPr="00931ABE">
        <w:rPr>
          <w:rFonts w:ascii="Times New Roman" w:hAnsi="Times New Roman" w:cs="Times New Roman"/>
          <w:sz w:val="24"/>
          <w:szCs w:val="24"/>
          <w:lang w:val="en-US"/>
        </w:rPr>
        <w:lastRenderedPageBreak/>
        <w:t xml:space="preserve">Parallel to this is the rising prevalence of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 encompassing impaired fasting glucose, impaired glucose tolerance, and diabetes mellitus. Globally, over 537 million adults currently live with diabetes, and projections suggest this number will increase to 783 million by 2045 (International Diabetes Federation [IDF], 2023).</w:t>
      </w:r>
    </w:p>
    <w:p w14:paraId="33F095C7" w14:textId="77777777" w:rsidR="00931ABE" w:rsidRPr="00931ABE" w:rsidRDefault="00931ABE" w:rsidP="00931ABE">
      <w:pPr>
        <w:jc w:val="both"/>
        <w:rPr>
          <w:rFonts w:ascii="Times New Roman" w:hAnsi="Times New Roman" w:cs="Times New Roman"/>
          <w:sz w:val="24"/>
          <w:szCs w:val="24"/>
          <w:lang w:val="en-US"/>
        </w:rPr>
      </w:pPr>
      <w:r w:rsidRPr="00931ABE">
        <w:rPr>
          <w:rFonts w:ascii="Times New Roman" w:hAnsi="Times New Roman" w:cs="Times New Roman"/>
          <w:sz w:val="24"/>
          <w:szCs w:val="24"/>
          <w:lang w:val="en-US"/>
        </w:rPr>
        <w:t xml:space="preserve">The coexistence of TB and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 xml:space="preserve"> has drawn increasing attention because of their reciprocal influence. Persistent </w:t>
      </w:r>
      <w:proofErr w:type="spellStart"/>
      <w:r w:rsidRPr="00931ABE">
        <w:rPr>
          <w:rFonts w:ascii="Times New Roman" w:hAnsi="Times New Roman" w:cs="Times New Roman"/>
          <w:sz w:val="24"/>
          <w:szCs w:val="24"/>
          <w:lang w:val="en-US"/>
        </w:rPr>
        <w:t>hyperglycaemia</w:t>
      </w:r>
      <w:proofErr w:type="spellEnd"/>
      <w:r w:rsidRPr="00931ABE">
        <w:rPr>
          <w:rFonts w:ascii="Times New Roman" w:hAnsi="Times New Roman" w:cs="Times New Roman"/>
          <w:sz w:val="24"/>
          <w:szCs w:val="24"/>
          <w:lang w:val="en-US"/>
        </w:rPr>
        <w:t xml:space="preserve"> weakens immune </w:t>
      </w:r>
      <w:proofErr w:type="spellStart"/>
      <w:r w:rsidRPr="00931ABE">
        <w:rPr>
          <w:rFonts w:ascii="Times New Roman" w:hAnsi="Times New Roman" w:cs="Times New Roman"/>
          <w:sz w:val="24"/>
          <w:szCs w:val="24"/>
          <w:lang w:val="en-US"/>
        </w:rPr>
        <w:t>defences</w:t>
      </w:r>
      <w:proofErr w:type="spellEnd"/>
      <w:r w:rsidRPr="00931ABE">
        <w:rPr>
          <w:rFonts w:ascii="Times New Roman" w:hAnsi="Times New Roman" w:cs="Times New Roman"/>
          <w:sz w:val="24"/>
          <w:szCs w:val="24"/>
          <w:lang w:val="en-US"/>
        </w:rPr>
        <w:t xml:space="preserve">, raising susceptibility to TB infection and reactivation. Conversely, TB infection can trigger stress-induced </w:t>
      </w:r>
      <w:proofErr w:type="spellStart"/>
      <w:r w:rsidRPr="00931ABE">
        <w:rPr>
          <w:rFonts w:ascii="Times New Roman" w:hAnsi="Times New Roman" w:cs="Times New Roman"/>
          <w:sz w:val="24"/>
          <w:szCs w:val="24"/>
          <w:lang w:val="en-US"/>
        </w:rPr>
        <w:t>hyperglycaemia</w:t>
      </w:r>
      <w:proofErr w:type="spellEnd"/>
      <w:r w:rsidRPr="00931ABE">
        <w:rPr>
          <w:rFonts w:ascii="Times New Roman" w:hAnsi="Times New Roman" w:cs="Times New Roman"/>
          <w:sz w:val="24"/>
          <w:szCs w:val="24"/>
          <w:lang w:val="en-US"/>
        </w:rPr>
        <w:t xml:space="preserve"> and alter glucose metabolism, further compounded by the metabolic effects of anti-TB therapy (</w:t>
      </w:r>
      <w:proofErr w:type="spellStart"/>
      <w:r w:rsidRPr="00931ABE">
        <w:rPr>
          <w:rFonts w:ascii="Times New Roman" w:hAnsi="Times New Roman" w:cs="Times New Roman"/>
          <w:sz w:val="24"/>
          <w:szCs w:val="24"/>
          <w:lang w:val="en-US"/>
        </w:rPr>
        <w:t>Magodoro</w:t>
      </w:r>
      <w:proofErr w:type="spellEnd"/>
      <w:r w:rsidRPr="00931ABE">
        <w:rPr>
          <w:rFonts w:ascii="Times New Roman" w:hAnsi="Times New Roman" w:cs="Times New Roman"/>
          <w:sz w:val="24"/>
          <w:szCs w:val="24"/>
          <w:lang w:val="en-US"/>
        </w:rPr>
        <w:t xml:space="preserve"> et al., 2025). Evidence suggests that between 15% and 30% of TB patients present with some form of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—either pre-existing or newly diagnosed—which may influence disease progression and treatment outcomes (Calderon et al., 2022; Lopez et al., 2021).</w:t>
      </w:r>
    </w:p>
    <w:p w14:paraId="2FAECA10" w14:textId="77777777" w:rsidR="00931ABE" w:rsidRPr="00931ABE" w:rsidRDefault="00931ABE" w:rsidP="00931ABE">
      <w:pPr>
        <w:jc w:val="both"/>
        <w:rPr>
          <w:rFonts w:ascii="Times New Roman" w:hAnsi="Times New Roman" w:cs="Times New Roman"/>
          <w:sz w:val="24"/>
          <w:szCs w:val="24"/>
          <w:lang w:val="en-US"/>
        </w:rPr>
      </w:pPr>
      <w:r w:rsidRPr="00931ABE">
        <w:rPr>
          <w:rFonts w:ascii="Times New Roman" w:hAnsi="Times New Roman" w:cs="Times New Roman"/>
          <w:sz w:val="24"/>
          <w:szCs w:val="24"/>
          <w:lang w:val="en-US"/>
        </w:rPr>
        <w:t xml:space="preserve">This dual burden is particularly critical in Africa. The continent recorded roughly 2.5 million new TB cases in 2022, corresponding to an incidence rate of 226 per 100,000 population (Patel et al., 2020). Simultaneously, diabetes prevalence continues to rise, with an estimated 24 million African adults affected, many of whom remain undiagnosed (IDF, 2023). Research across African contexts indicates that 12% to 20% of TB patients exhibit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 emphasizing the necessity of integrating glucose screening into TB management (Kassie et al., 2024; Castle et al., 2023; Calderon et al., 2019).</w:t>
      </w:r>
    </w:p>
    <w:p w14:paraId="5F8A8853" w14:textId="77777777" w:rsidR="00931ABE" w:rsidRPr="00931ABE" w:rsidRDefault="00931ABE" w:rsidP="00931ABE">
      <w:pPr>
        <w:jc w:val="both"/>
        <w:rPr>
          <w:rFonts w:ascii="Times New Roman" w:hAnsi="Times New Roman" w:cs="Times New Roman"/>
          <w:sz w:val="24"/>
          <w:szCs w:val="24"/>
          <w:lang w:val="en-US"/>
        </w:rPr>
      </w:pPr>
      <w:r w:rsidRPr="00931ABE">
        <w:rPr>
          <w:rFonts w:ascii="Times New Roman" w:hAnsi="Times New Roman" w:cs="Times New Roman"/>
          <w:sz w:val="24"/>
          <w:szCs w:val="24"/>
          <w:lang w:val="en-US"/>
        </w:rPr>
        <w:t xml:space="preserve">Nigeria exemplifies this dual challenge. In 2022, the nation reported 467,000 new TB cases and an incidence rate of 219 per 100,000 population (WHO, 2023). Diabetes prevalence is estimated at 5.8%, representing approximately 3.6 million adults—most of whom remain undiagnosed (Salako et al., 2019; Ayeni et al., 2016; Lawson et al., 2017). Nigerian studies reveal that between 8% and 21% of TB patients present with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 xml:space="preserve">, often manifesting as impaired glucose tolerance or overt diabetes (Kassie et al., 2024; Lawson et al., 2017). Despite growing recognition of this co-occurrence, important gaps persist in understanding the patterns, persistence, and determinants of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 xml:space="preserve"> among TB patients. Variations in prevalence likely reflect differences in diagnostic criteria, healthcare settings, and comorbid conditions such as HIV or malnutrition.</w:t>
      </w:r>
    </w:p>
    <w:p w14:paraId="609CC10D" w14:textId="77777777" w:rsidR="00931ABE" w:rsidRPr="00931ABE" w:rsidRDefault="00931ABE" w:rsidP="00931ABE">
      <w:pPr>
        <w:jc w:val="both"/>
        <w:rPr>
          <w:rFonts w:ascii="Times New Roman" w:hAnsi="Times New Roman" w:cs="Times New Roman"/>
          <w:sz w:val="24"/>
          <w:szCs w:val="24"/>
          <w:lang w:val="en-US"/>
        </w:rPr>
      </w:pPr>
      <w:r w:rsidRPr="00931ABE">
        <w:rPr>
          <w:rFonts w:ascii="Times New Roman" w:hAnsi="Times New Roman" w:cs="Times New Roman"/>
          <w:sz w:val="24"/>
          <w:szCs w:val="24"/>
          <w:lang w:val="en-US"/>
        </w:rPr>
        <w:t xml:space="preserve">This study therefore aimed to characterize the prevalence and socio-clinical patterns of </w:t>
      </w:r>
      <w:proofErr w:type="spellStart"/>
      <w:r w:rsidRPr="00931ABE">
        <w:rPr>
          <w:rFonts w:ascii="Times New Roman" w:hAnsi="Times New Roman" w:cs="Times New Roman"/>
          <w:sz w:val="24"/>
          <w:szCs w:val="24"/>
          <w:lang w:val="en-US"/>
        </w:rPr>
        <w:t>dysglycaemia</w:t>
      </w:r>
      <w:proofErr w:type="spellEnd"/>
      <w:r w:rsidRPr="00931ABE">
        <w:rPr>
          <w:rFonts w:ascii="Times New Roman" w:hAnsi="Times New Roman" w:cs="Times New Roman"/>
          <w:sz w:val="24"/>
          <w:szCs w:val="24"/>
          <w:lang w:val="en-US"/>
        </w:rPr>
        <w:t xml:space="preserve"> among individuals with pulmonary tuberculosis at the University of Port Harcourt Teaching Hospital, thereby contributing to evidence-based screening strategies and integrated TB–diabetes care models.</w:t>
      </w:r>
    </w:p>
    <w:p w14:paraId="35DFCBA7" w14:textId="73626739" w:rsidR="00486009" w:rsidRPr="00486009" w:rsidRDefault="00486009" w:rsidP="00786EAB">
      <w:pPr>
        <w:jc w:val="both"/>
        <w:rPr>
          <w:rFonts w:ascii="Times New Roman" w:hAnsi="Times New Roman" w:cs="Times New Roman"/>
          <w:sz w:val="24"/>
          <w:szCs w:val="24"/>
          <w:lang w:val="en-US"/>
        </w:rPr>
      </w:pPr>
    </w:p>
    <w:p w14:paraId="2AF95175" w14:textId="7F42EC04"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0</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METHODS</w:t>
      </w:r>
    </w:p>
    <w:p w14:paraId="39B6C083" w14:textId="5BB65E3A"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1</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Study Design and Setting</w:t>
      </w:r>
    </w:p>
    <w:p w14:paraId="33042540" w14:textId="77777777" w:rsidR="008F5FCC" w:rsidRDefault="008F5FCC" w:rsidP="00073F44">
      <w:pPr>
        <w:jc w:val="both"/>
        <w:rPr>
          <w:rFonts w:ascii="Times New Roman" w:hAnsi="Times New Roman" w:cs="Times New Roman"/>
          <w:sz w:val="24"/>
          <w:szCs w:val="24"/>
        </w:rPr>
      </w:pPr>
      <w:r w:rsidRPr="00B257D9">
        <w:rPr>
          <w:rFonts w:ascii="Times New Roman" w:hAnsi="Times New Roman" w:cs="Times New Roman"/>
          <w:sz w:val="24"/>
          <w:szCs w:val="24"/>
        </w:rPr>
        <w:t xml:space="preserve">This was a hospital-based, descriptive cross-sectional study conducted at the Directly Observed Treatment, Short-course (DOTS) Clinic of the University of Port Harcourt Teaching Hospital (UPTH), Rivers State, Nigeria. UPTH is a tertiary referral </w:t>
      </w:r>
      <w:proofErr w:type="spellStart"/>
      <w:r w:rsidRPr="00B257D9">
        <w:rPr>
          <w:rFonts w:ascii="Times New Roman" w:hAnsi="Times New Roman" w:cs="Times New Roman"/>
          <w:sz w:val="24"/>
          <w:szCs w:val="24"/>
        </w:rPr>
        <w:t>center</w:t>
      </w:r>
      <w:proofErr w:type="spellEnd"/>
      <w:r w:rsidRPr="00B257D9">
        <w:rPr>
          <w:rFonts w:ascii="Times New Roman" w:hAnsi="Times New Roman" w:cs="Times New Roman"/>
          <w:sz w:val="24"/>
          <w:szCs w:val="24"/>
        </w:rPr>
        <w:t xml:space="preserve"> serving a diverse patient population from both urban and rural communities in southern Nigeria. The study was carried </w:t>
      </w:r>
      <w:r>
        <w:rPr>
          <w:rFonts w:ascii="Times New Roman" w:hAnsi="Times New Roman" w:cs="Times New Roman"/>
          <w:sz w:val="24"/>
          <w:szCs w:val="24"/>
        </w:rPr>
        <w:t xml:space="preserve">between </w:t>
      </w:r>
      <w:r w:rsidRPr="000E5CBC">
        <w:rPr>
          <w:rFonts w:ascii="Times New Roman" w:hAnsi="Times New Roman" w:cs="Times New Roman"/>
          <w:sz w:val="24"/>
          <w:szCs w:val="24"/>
        </w:rPr>
        <w:t xml:space="preserve">November 2018 </w:t>
      </w:r>
      <w:r>
        <w:rPr>
          <w:rFonts w:ascii="Times New Roman" w:hAnsi="Times New Roman" w:cs="Times New Roman"/>
          <w:sz w:val="24"/>
          <w:szCs w:val="24"/>
        </w:rPr>
        <w:t xml:space="preserve">and </w:t>
      </w:r>
      <w:r w:rsidRPr="000E5CBC">
        <w:rPr>
          <w:rFonts w:ascii="Times New Roman" w:hAnsi="Times New Roman" w:cs="Times New Roman"/>
          <w:sz w:val="24"/>
          <w:szCs w:val="24"/>
        </w:rPr>
        <w:t>November 2019</w:t>
      </w:r>
      <w:r w:rsidRPr="00B257D9">
        <w:rPr>
          <w:rFonts w:ascii="Times New Roman" w:hAnsi="Times New Roman" w:cs="Times New Roman"/>
          <w:sz w:val="24"/>
          <w:szCs w:val="24"/>
        </w:rPr>
        <w:t>.</w:t>
      </w:r>
    </w:p>
    <w:p w14:paraId="3E9CE894" w14:textId="77777777" w:rsidR="00AB5F2E" w:rsidRPr="00B257D9" w:rsidRDefault="00AB5F2E" w:rsidP="00073F44">
      <w:pPr>
        <w:jc w:val="both"/>
        <w:rPr>
          <w:rFonts w:ascii="Times New Roman" w:hAnsi="Times New Roman" w:cs="Times New Roman"/>
          <w:sz w:val="24"/>
          <w:szCs w:val="24"/>
        </w:rPr>
      </w:pPr>
    </w:p>
    <w:p w14:paraId="4115E2EA" w14:textId="6B655434"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lastRenderedPageBreak/>
        <w:t>2.</w:t>
      </w:r>
      <w:r w:rsidR="00466192">
        <w:rPr>
          <w:rFonts w:ascii="Times New Roman" w:hAnsi="Times New Roman" w:cs="Times New Roman"/>
          <w:b/>
          <w:bCs/>
          <w:sz w:val="24"/>
          <w:szCs w:val="24"/>
        </w:rPr>
        <w:t>2</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Study Population</w:t>
      </w:r>
    </w:p>
    <w:p w14:paraId="7FAEFC9A" w14:textId="224ADCE1" w:rsidR="008F5FCC" w:rsidRPr="00B257D9" w:rsidRDefault="002013F5" w:rsidP="00073F44">
      <w:pPr>
        <w:jc w:val="both"/>
        <w:rPr>
          <w:rFonts w:ascii="Times New Roman" w:hAnsi="Times New Roman" w:cs="Times New Roman"/>
          <w:sz w:val="24"/>
          <w:szCs w:val="24"/>
        </w:rPr>
      </w:pPr>
      <w:r w:rsidRPr="002013F5">
        <w:rPr>
          <w:rFonts w:ascii="Times New Roman" w:hAnsi="Times New Roman" w:cs="Times New Roman"/>
          <w:sz w:val="24"/>
          <w:szCs w:val="24"/>
        </w:rPr>
        <w:t>The study population consisted of adult patients aged 18 years and above who had a new diagnosis of pulmonary tuberculosis (PTB). Eligibility was restricted to individuals with microbiologically confirmed PTB, as determined by the GeneXpert MTB/RIF assay. Participants were enrolled consecutively at the commencement of anti-tuberculosis treatment. Exclusion criteria encompassed any prior diagnosis of diabetes mellitus, current use of corticosteroids or other drugs known to alter glucose metabolism, pregnancy, severe illness, or inability to provide informed consent.</w:t>
      </w:r>
    </w:p>
    <w:p w14:paraId="771D98BA" w14:textId="52B27BBA"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3</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Sample Size Determination</w:t>
      </w:r>
    </w:p>
    <w:p w14:paraId="45791048" w14:textId="7E12A182" w:rsidR="008F5FCC" w:rsidRPr="006F0D65" w:rsidRDefault="008F5FCC" w:rsidP="006F0D65">
      <w:pPr>
        <w:rPr>
          <w:rFonts w:ascii="Times New Roman" w:hAnsi="Times New Roman" w:cs="Times New Roman"/>
          <w:sz w:val="24"/>
          <w:szCs w:val="24"/>
          <w:lang w:val="en-US"/>
        </w:rPr>
      </w:pPr>
      <w:r w:rsidRPr="006F0D65">
        <w:rPr>
          <w:rFonts w:ascii="Times New Roman" w:hAnsi="Times New Roman" w:cs="Times New Roman"/>
          <w:sz w:val="24"/>
          <w:szCs w:val="24"/>
          <w:lang w:val="en-US"/>
        </w:rPr>
        <w:t>The minimum sample size for this study was calculated using Kish’s formula for sample size estimation in populations greater than 10,000:</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t>n = (Z² × p × q) / d²</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t>Where:</w:t>
      </w:r>
      <w:r w:rsidRPr="006F0D65">
        <w:rPr>
          <w:rFonts w:ascii="Times New Roman" w:hAnsi="Times New Roman" w:cs="Times New Roman"/>
          <w:sz w:val="24"/>
          <w:szCs w:val="24"/>
          <w:lang w:val="en-US"/>
        </w:rPr>
        <w:br/>
        <w:t>- n = required sample size for large populations</w:t>
      </w:r>
      <w:r w:rsidRPr="006F0D65">
        <w:rPr>
          <w:rFonts w:ascii="Times New Roman" w:hAnsi="Times New Roman" w:cs="Times New Roman"/>
          <w:sz w:val="24"/>
          <w:szCs w:val="24"/>
          <w:lang w:val="en-US"/>
        </w:rPr>
        <w:br/>
        <w:t>- Z = standard normal deviate at 95% confidence level (1.96)</w:t>
      </w:r>
      <w:r w:rsidRPr="006F0D65">
        <w:rPr>
          <w:rFonts w:ascii="Times New Roman" w:hAnsi="Times New Roman" w:cs="Times New Roman"/>
          <w:sz w:val="24"/>
          <w:szCs w:val="24"/>
          <w:lang w:val="en-US"/>
        </w:rPr>
        <w:br/>
        <w:t>- p = estimated prevalence of diabetes mellitus among tuberculosis patients, set at 15.1% (0.151) based on findings from a similar study by Lawson et al. (</w:t>
      </w:r>
      <w:r w:rsidR="00AB5F2E">
        <w:rPr>
          <w:rFonts w:ascii="Times New Roman" w:hAnsi="Times New Roman" w:cs="Times New Roman"/>
          <w:sz w:val="24"/>
          <w:szCs w:val="24"/>
          <w:lang w:val="en-US"/>
        </w:rPr>
        <w:t>2017)</w:t>
      </w:r>
      <w:r w:rsidRPr="006F0D65">
        <w:rPr>
          <w:rFonts w:ascii="Times New Roman" w:hAnsi="Times New Roman" w:cs="Times New Roman"/>
          <w:sz w:val="24"/>
          <w:szCs w:val="24"/>
          <w:lang w:val="en-US"/>
        </w:rPr>
        <w:br/>
        <w:t>- q = 1 − p = 0.849</w:t>
      </w:r>
      <w:r w:rsidRPr="006F0D65">
        <w:rPr>
          <w:rFonts w:ascii="Times New Roman" w:hAnsi="Times New Roman" w:cs="Times New Roman"/>
          <w:sz w:val="24"/>
          <w:szCs w:val="24"/>
          <w:lang w:val="en-US"/>
        </w:rPr>
        <w:br/>
        <w:t>- d = desired precision or margin of error = 0.05</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t>Substituting the values:</w:t>
      </w:r>
      <w:r w:rsidRPr="006F0D65">
        <w:rPr>
          <w:rFonts w:ascii="Times New Roman" w:hAnsi="Times New Roman" w:cs="Times New Roman"/>
          <w:sz w:val="24"/>
          <w:szCs w:val="24"/>
          <w:lang w:val="en-US"/>
        </w:rPr>
        <w:br/>
        <w:t>n = (1.96² × 0.151 × 0.849) / (0.05)²</w:t>
      </w:r>
      <w:r w:rsidRPr="006F0D65">
        <w:rPr>
          <w:rFonts w:ascii="Times New Roman" w:hAnsi="Times New Roman" w:cs="Times New Roman"/>
          <w:sz w:val="24"/>
          <w:szCs w:val="24"/>
          <w:lang w:val="en-US"/>
        </w:rPr>
        <w:br/>
        <w:t>n = (</w:t>
      </w:r>
      <w:r w:rsidR="0019294B">
        <w:rPr>
          <w:rFonts w:ascii="Times New Roman" w:hAnsi="Times New Roman" w:cs="Times New Roman"/>
          <w:sz w:val="24"/>
          <w:szCs w:val="24"/>
          <w:lang w:val="en-US"/>
        </w:rPr>
        <w:t>2.</w:t>
      </w:r>
      <w:r w:rsidRPr="006F0D65">
        <w:rPr>
          <w:rFonts w:ascii="Times New Roman" w:hAnsi="Times New Roman" w:cs="Times New Roman"/>
          <w:sz w:val="24"/>
          <w:szCs w:val="24"/>
          <w:lang w:val="en-US"/>
        </w:rPr>
        <w:t>8416 × 0.128199) / 0.0025 = 0.4926 / 0.0025 = 197</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t>Since the total population of newly diagnosed TB patients at the University of Port Harcourt Teaching Hospital (UPTH) in the previous year was estimated at 707 (obtained from hospital records), a finite population correction was applied:</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r>
      <w:proofErr w:type="spellStart"/>
      <w:r w:rsidRPr="006F0D65">
        <w:rPr>
          <w:rFonts w:ascii="Times New Roman" w:hAnsi="Times New Roman" w:cs="Times New Roman"/>
          <w:sz w:val="24"/>
          <w:szCs w:val="24"/>
          <w:lang w:val="en-US"/>
        </w:rPr>
        <w:t>Nf</w:t>
      </w:r>
      <w:proofErr w:type="spellEnd"/>
      <w:r w:rsidRPr="006F0D65">
        <w:rPr>
          <w:rFonts w:ascii="Times New Roman" w:hAnsi="Times New Roman" w:cs="Times New Roman"/>
          <w:sz w:val="24"/>
          <w:szCs w:val="24"/>
          <w:lang w:val="en-US"/>
        </w:rPr>
        <w:t xml:space="preserve"> = n / [1 + (n/N)] = 197 / [1 + (197/707)] = 197 / 1.2786 ≈ 154</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t>To account for an anticipated 10% non-response rate, the adjusted final sample size was:</w:t>
      </w:r>
      <w:r w:rsidRPr="006F0D65">
        <w:rPr>
          <w:rFonts w:ascii="Times New Roman" w:hAnsi="Times New Roman" w:cs="Times New Roman"/>
          <w:sz w:val="24"/>
          <w:szCs w:val="24"/>
          <w:lang w:val="en-US"/>
        </w:rPr>
        <w:br/>
        <w:t>154 + (10% of 154) = 154 + 15.4 ≈ 169</w:t>
      </w:r>
      <w:r w:rsidRPr="006F0D65">
        <w:rPr>
          <w:rFonts w:ascii="Times New Roman" w:hAnsi="Times New Roman" w:cs="Times New Roman"/>
          <w:sz w:val="24"/>
          <w:szCs w:val="24"/>
          <w:lang w:val="en-US"/>
        </w:rPr>
        <w:br/>
      </w:r>
      <w:r w:rsidRPr="006F0D65">
        <w:rPr>
          <w:rFonts w:ascii="Times New Roman" w:hAnsi="Times New Roman" w:cs="Times New Roman"/>
          <w:sz w:val="24"/>
          <w:szCs w:val="24"/>
          <w:lang w:val="en-US"/>
        </w:rPr>
        <w:br/>
        <w:t>The study therefore adopted a final sample size of 171 participants, allowing for adequate power and potential exclusions.</w:t>
      </w:r>
    </w:p>
    <w:p w14:paraId="5072659C" w14:textId="255E7DA3"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4</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Data Collection</w:t>
      </w:r>
    </w:p>
    <w:p w14:paraId="4FB0E823" w14:textId="0FA6E1CB" w:rsidR="008F5FCC" w:rsidRPr="00B257D9" w:rsidRDefault="009027D9" w:rsidP="00073F44">
      <w:pPr>
        <w:jc w:val="both"/>
        <w:rPr>
          <w:rFonts w:ascii="Times New Roman" w:hAnsi="Times New Roman" w:cs="Times New Roman"/>
          <w:sz w:val="24"/>
          <w:szCs w:val="24"/>
        </w:rPr>
      </w:pPr>
      <w:r w:rsidRPr="009027D9">
        <w:rPr>
          <w:rFonts w:ascii="Times New Roman" w:hAnsi="Times New Roman" w:cs="Times New Roman"/>
          <w:sz w:val="24"/>
          <w:szCs w:val="24"/>
        </w:rPr>
        <w:t>Data were obtained using a structured, interviewer-administered questionnaire that captured sociodemographic variables (including age, sex, marital status, education, and occupation), clinical history, and tuberculosis-related details. Trained research assistants, proficient in both English and local languages, conducted the interviews in accordance with standardized protocols to ensure uniformity and reduce potential bias.</w:t>
      </w:r>
    </w:p>
    <w:p w14:paraId="50C67815" w14:textId="5A38964E"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lastRenderedPageBreak/>
        <w:t>2.</w:t>
      </w:r>
      <w:r w:rsidR="00466192">
        <w:rPr>
          <w:rFonts w:ascii="Times New Roman" w:hAnsi="Times New Roman" w:cs="Times New Roman"/>
          <w:b/>
          <w:bCs/>
          <w:sz w:val="24"/>
          <w:szCs w:val="24"/>
        </w:rPr>
        <w:t>5</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Anthropometric and Clinical Measurements</w:t>
      </w:r>
    </w:p>
    <w:p w14:paraId="68F990A6" w14:textId="77777777" w:rsidR="008F5FCC" w:rsidRDefault="008F5FCC" w:rsidP="00073F44">
      <w:pPr>
        <w:jc w:val="both"/>
        <w:rPr>
          <w:rFonts w:ascii="Times New Roman" w:hAnsi="Times New Roman" w:cs="Times New Roman"/>
          <w:sz w:val="24"/>
          <w:szCs w:val="24"/>
        </w:rPr>
      </w:pPr>
      <w:r w:rsidRPr="00B257D9">
        <w:rPr>
          <w:rFonts w:ascii="Times New Roman" w:hAnsi="Times New Roman" w:cs="Times New Roman"/>
          <w:sz w:val="24"/>
          <w:szCs w:val="24"/>
        </w:rPr>
        <w:t>Participants’ weight and height were measured using calibrated hospital-grade instruments. Body mass index (BMI) was calculated as weight in kilograms divided by the square of height in meters (kg/m²) and categorized using WHO criteria. Blood pressure was measured using a digital sphygmomanometer after at least five minutes of rest.</w:t>
      </w:r>
    </w:p>
    <w:p w14:paraId="492F1409" w14:textId="1DE4E0B0" w:rsidR="008F5FCC" w:rsidRPr="00B257D9" w:rsidRDefault="0019294B" w:rsidP="00B257D9">
      <w:pPr>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6</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 xml:space="preserve">Laboratory Assessment of </w:t>
      </w:r>
      <w:proofErr w:type="spellStart"/>
      <w:r w:rsidR="008F5FCC" w:rsidRPr="00B257D9">
        <w:rPr>
          <w:rFonts w:ascii="Times New Roman" w:hAnsi="Times New Roman" w:cs="Times New Roman"/>
          <w:b/>
          <w:bCs/>
          <w:sz w:val="24"/>
          <w:szCs w:val="24"/>
        </w:rPr>
        <w:t>Glycemic</w:t>
      </w:r>
      <w:proofErr w:type="spellEnd"/>
      <w:r w:rsidR="008F5FCC" w:rsidRPr="00B257D9">
        <w:rPr>
          <w:rFonts w:ascii="Times New Roman" w:hAnsi="Times New Roman" w:cs="Times New Roman"/>
          <w:b/>
          <w:bCs/>
          <w:sz w:val="24"/>
          <w:szCs w:val="24"/>
        </w:rPr>
        <w:t xml:space="preserve"> Status</w:t>
      </w:r>
    </w:p>
    <w:p w14:paraId="2E206E0B" w14:textId="321DD7CB" w:rsidR="008F5FCC" w:rsidRDefault="00374521" w:rsidP="00073F44">
      <w:pPr>
        <w:tabs>
          <w:tab w:val="num" w:pos="720"/>
        </w:tabs>
        <w:jc w:val="both"/>
        <w:rPr>
          <w:rFonts w:ascii="Times New Roman" w:hAnsi="Times New Roman" w:cs="Times New Roman"/>
          <w:sz w:val="24"/>
          <w:szCs w:val="24"/>
        </w:rPr>
      </w:pPr>
      <w:r w:rsidRPr="00374521">
        <w:rPr>
          <w:rFonts w:ascii="Times New Roman" w:hAnsi="Times New Roman" w:cs="Times New Roman"/>
          <w:sz w:val="24"/>
          <w:szCs w:val="24"/>
        </w:rPr>
        <w:t xml:space="preserve">Venous blood samples were obtained from all participants under aseptic conditions. Glycaemic status was determined using glycated haemoglobin (HbA1c) measurements, with all analyses conducted at the University of Port Harcourt Teaching Hospital (UPTH) central laboratory employing standardized immunoassay-based </w:t>
      </w:r>
      <w:proofErr w:type="spellStart"/>
      <w:r w:rsidRPr="00374521">
        <w:rPr>
          <w:rFonts w:ascii="Times New Roman" w:hAnsi="Times New Roman" w:cs="Times New Roman"/>
          <w:sz w:val="24"/>
          <w:szCs w:val="24"/>
        </w:rPr>
        <w:t>analyzers</w:t>
      </w:r>
      <w:proofErr w:type="spellEnd"/>
      <w:r w:rsidRPr="00374521">
        <w:rPr>
          <w:rFonts w:ascii="Times New Roman" w:hAnsi="Times New Roman" w:cs="Times New Roman"/>
          <w:sz w:val="24"/>
          <w:szCs w:val="24"/>
        </w:rPr>
        <w:t>. Interpretation of HbA1c values followed the 2023 American Diabetes Association (</w:t>
      </w:r>
      <w:r w:rsidR="0006785B">
        <w:rPr>
          <w:rFonts w:ascii="Times New Roman" w:hAnsi="Times New Roman" w:cs="Times New Roman"/>
          <w:sz w:val="24"/>
          <w:szCs w:val="24"/>
        </w:rPr>
        <w:t>ADA, 2023</w:t>
      </w:r>
      <w:r w:rsidRPr="00374521">
        <w:rPr>
          <w:rFonts w:ascii="Times New Roman" w:hAnsi="Times New Roman" w:cs="Times New Roman"/>
          <w:sz w:val="24"/>
          <w:szCs w:val="24"/>
        </w:rPr>
        <w:t>) guidelines: Normal (&lt;5.7%), Prediabetes (5.7%–6.4%), and Diabetes (≥6.5%). Participants with abnormal findings were identified for follow-up and referred to the endocrinology clinic for further assessment and management</w:t>
      </w:r>
      <w:r w:rsidR="008F5FCC" w:rsidRPr="00B257D9">
        <w:rPr>
          <w:rFonts w:ascii="Times New Roman" w:hAnsi="Times New Roman" w:cs="Times New Roman"/>
          <w:sz w:val="24"/>
          <w:szCs w:val="24"/>
        </w:rPr>
        <w:t>.</w:t>
      </w:r>
    </w:p>
    <w:p w14:paraId="2D2A6E7E" w14:textId="58458EE4" w:rsidR="008F5FCC" w:rsidRPr="00B257D9" w:rsidRDefault="0019294B" w:rsidP="00073F44">
      <w:pPr>
        <w:jc w:val="both"/>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7</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Data Management and Analysis</w:t>
      </w:r>
    </w:p>
    <w:p w14:paraId="4FDDB116" w14:textId="77777777" w:rsidR="008F5FCC" w:rsidRPr="00B257D9" w:rsidRDefault="008F5FCC" w:rsidP="00073F44">
      <w:pPr>
        <w:jc w:val="both"/>
        <w:rPr>
          <w:rFonts w:ascii="Times New Roman" w:hAnsi="Times New Roman" w:cs="Times New Roman"/>
          <w:sz w:val="24"/>
          <w:szCs w:val="24"/>
        </w:rPr>
      </w:pPr>
      <w:r w:rsidRPr="00B257D9">
        <w:rPr>
          <w:rFonts w:ascii="Times New Roman" w:hAnsi="Times New Roman" w:cs="Times New Roman"/>
          <w:sz w:val="24"/>
          <w:szCs w:val="24"/>
        </w:rPr>
        <w:t xml:space="preserve">Data were entered into Microsoft Excel and </w:t>
      </w:r>
      <w:proofErr w:type="spellStart"/>
      <w:r w:rsidRPr="00B257D9">
        <w:rPr>
          <w:rFonts w:ascii="Times New Roman" w:hAnsi="Times New Roman" w:cs="Times New Roman"/>
          <w:sz w:val="24"/>
          <w:szCs w:val="24"/>
        </w:rPr>
        <w:t>analyzed</w:t>
      </w:r>
      <w:proofErr w:type="spellEnd"/>
      <w:r w:rsidRPr="00B257D9">
        <w:rPr>
          <w:rFonts w:ascii="Times New Roman" w:hAnsi="Times New Roman" w:cs="Times New Roman"/>
          <w:sz w:val="24"/>
          <w:szCs w:val="24"/>
        </w:rPr>
        <w:t xml:space="preserve"> using IBM SPSS Statistics version </w:t>
      </w:r>
      <w:r>
        <w:rPr>
          <w:rFonts w:ascii="Times New Roman" w:hAnsi="Times New Roman" w:cs="Times New Roman"/>
          <w:sz w:val="24"/>
          <w:szCs w:val="24"/>
        </w:rPr>
        <w:t>25</w:t>
      </w:r>
      <w:r w:rsidRPr="00B257D9">
        <w:rPr>
          <w:rFonts w:ascii="Times New Roman" w:hAnsi="Times New Roman" w:cs="Times New Roman"/>
          <w:sz w:val="24"/>
          <w:szCs w:val="24"/>
        </w:rPr>
        <w:t xml:space="preserve">. Descriptive statistics were used to summarize participant characteristics. Continuous variables were expressed as means and standard deviations or medians and interquartile ranges, depending on distribution, while categorical variables were presented as frequencies and percentages. Associations between </w:t>
      </w:r>
      <w:proofErr w:type="spellStart"/>
      <w:r w:rsidRPr="00B257D9">
        <w:rPr>
          <w:rFonts w:ascii="Times New Roman" w:hAnsi="Times New Roman" w:cs="Times New Roman"/>
          <w:sz w:val="24"/>
          <w:szCs w:val="24"/>
        </w:rPr>
        <w:t>dysglycemia</w:t>
      </w:r>
      <w:proofErr w:type="spellEnd"/>
      <w:r w:rsidRPr="00B257D9">
        <w:rPr>
          <w:rFonts w:ascii="Times New Roman" w:hAnsi="Times New Roman" w:cs="Times New Roman"/>
          <w:sz w:val="24"/>
          <w:szCs w:val="24"/>
        </w:rPr>
        <w:t xml:space="preserve"> and selected independent variables were tested using chi-square tests and logistic regression, with significance set at </w:t>
      </w:r>
      <w:r w:rsidRPr="00B257D9">
        <w:rPr>
          <w:rFonts w:ascii="Times New Roman" w:hAnsi="Times New Roman" w:cs="Times New Roman"/>
          <w:i/>
          <w:iCs/>
          <w:sz w:val="24"/>
          <w:szCs w:val="24"/>
        </w:rPr>
        <w:t>p</w:t>
      </w:r>
      <w:r w:rsidRPr="00B257D9">
        <w:rPr>
          <w:rFonts w:ascii="Times New Roman" w:hAnsi="Times New Roman" w:cs="Times New Roman"/>
          <w:sz w:val="24"/>
          <w:szCs w:val="24"/>
        </w:rPr>
        <w:t xml:space="preserve"> &lt; 0.05.</w:t>
      </w:r>
    </w:p>
    <w:p w14:paraId="06DF869E" w14:textId="14C8EFCF" w:rsidR="008F5FCC" w:rsidRPr="00B257D9" w:rsidRDefault="0019294B" w:rsidP="00073F44">
      <w:pPr>
        <w:jc w:val="both"/>
        <w:rPr>
          <w:rFonts w:ascii="Times New Roman" w:hAnsi="Times New Roman" w:cs="Times New Roman"/>
          <w:b/>
          <w:bCs/>
          <w:sz w:val="24"/>
          <w:szCs w:val="24"/>
        </w:rPr>
      </w:pPr>
      <w:r>
        <w:rPr>
          <w:rFonts w:ascii="Times New Roman" w:hAnsi="Times New Roman" w:cs="Times New Roman"/>
          <w:b/>
          <w:bCs/>
          <w:sz w:val="24"/>
          <w:szCs w:val="24"/>
        </w:rPr>
        <w:t>2.</w:t>
      </w:r>
      <w:r w:rsidR="00466192">
        <w:rPr>
          <w:rFonts w:ascii="Times New Roman" w:hAnsi="Times New Roman" w:cs="Times New Roman"/>
          <w:b/>
          <w:bCs/>
          <w:sz w:val="24"/>
          <w:szCs w:val="24"/>
        </w:rPr>
        <w:t>8</w:t>
      </w:r>
      <w:r w:rsidR="00466192">
        <w:rPr>
          <w:rFonts w:ascii="Times New Roman" w:hAnsi="Times New Roman" w:cs="Times New Roman"/>
          <w:b/>
          <w:bCs/>
          <w:sz w:val="24"/>
          <w:szCs w:val="24"/>
        </w:rPr>
        <w:tab/>
      </w:r>
      <w:r w:rsidR="008F5FCC" w:rsidRPr="00B257D9">
        <w:rPr>
          <w:rFonts w:ascii="Times New Roman" w:hAnsi="Times New Roman" w:cs="Times New Roman"/>
          <w:b/>
          <w:bCs/>
          <w:sz w:val="24"/>
          <w:szCs w:val="24"/>
        </w:rPr>
        <w:t>Ethical Considerations</w:t>
      </w:r>
    </w:p>
    <w:p w14:paraId="483C04E9" w14:textId="77777777" w:rsidR="008F5FCC" w:rsidRPr="00B257D9" w:rsidRDefault="008F5FCC" w:rsidP="00073F44">
      <w:pPr>
        <w:jc w:val="both"/>
        <w:rPr>
          <w:rFonts w:ascii="Times New Roman" w:hAnsi="Times New Roman" w:cs="Times New Roman"/>
          <w:sz w:val="24"/>
          <w:szCs w:val="24"/>
        </w:rPr>
      </w:pPr>
      <w:r w:rsidRPr="00B257D9">
        <w:rPr>
          <w:rFonts w:ascii="Times New Roman" w:hAnsi="Times New Roman" w:cs="Times New Roman"/>
          <w:sz w:val="24"/>
          <w:szCs w:val="24"/>
        </w:rPr>
        <w:t>The study protocol was reviewed and approved by the Health Research Ethics Committee of the University of Port Harcourt Teaching Hospital. Written informed consent was obtained from each participant after thorough explanation of the study objectives, procedures, risks, and benefits. Participation was voluntary, and confidentiality was assured by assigning anonymized identification codes and securely storing data. Participants identified with prediabetes or diabetes were appropriately counselled and referred for further clinical management in line with standard hospital protocols.</w:t>
      </w:r>
    </w:p>
    <w:p w14:paraId="41952A3F" w14:textId="77777777" w:rsidR="008F5FCC" w:rsidRDefault="008F5FCC">
      <w:pPr>
        <w:rPr>
          <w:rFonts w:ascii="Times New Roman" w:hAnsi="Times New Roman" w:cs="Times New Roman"/>
          <w:b/>
          <w:bCs/>
          <w:sz w:val="24"/>
          <w:szCs w:val="24"/>
        </w:rPr>
      </w:pPr>
    </w:p>
    <w:p w14:paraId="1282974B" w14:textId="77777777" w:rsidR="008F5FCC" w:rsidRDefault="008F5FCC">
      <w:pPr>
        <w:rPr>
          <w:rFonts w:ascii="Times New Roman" w:hAnsi="Times New Roman" w:cs="Times New Roman"/>
          <w:b/>
          <w:bCs/>
          <w:sz w:val="24"/>
          <w:szCs w:val="24"/>
        </w:rPr>
      </w:pPr>
      <w:r>
        <w:rPr>
          <w:rFonts w:ascii="Times New Roman" w:hAnsi="Times New Roman" w:cs="Times New Roman"/>
          <w:b/>
          <w:bCs/>
          <w:sz w:val="24"/>
          <w:szCs w:val="24"/>
        </w:rPr>
        <w:br w:type="page"/>
      </w:r>
    </w:p>
    <w:p w14:paraId="36F2DB02" w14:textId="1F2F0185" w:rsidR="008F5FCC" w:rsidRPr="009B6107" w:rsidRDefault="0019294B" w:rsidP="001F5AC1">
      <w:pPr>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466192">
        <w:rPr>
          <w:rFonts w:ascii="Times New Roman" w:hAnsi="Times New Roman" w:cs="Times New Roman"/>
          <w:b/>
          <w:bCs/>
          <w:sz w:val="24"/>
          <w:szCs w:val="24"/>
        </w:rPr>
        <w:t>.0</w:t>
      </w:r>
      <w:r w:rsidR="00466192">
        <w:rPr>
          <w:rFonts w:ascii="Times New Roman" w:hAnsi="Times New Roman" w:cs="Times New Roman"/>
          <w:b/>
          <w:bCs/>
          <w:sz w:val="24"/>
          <w:szCs w:val="24"/>
        </w:rPr>
        <w:tab/>
      </w:r>
      <w:r w:rsidR="008F5FCC" w:rsidRPr="009B6107">
        <w:rPr>
          <w:rFonts w:ascii="Times New Roman" w:hAnsi="Times New Roman" w:cs="Times New Roman"/>
          <w:b/>
          <w:bCs/>
          <w:sz w:val="24"/>
          <w:szCs w:val="24"/>
        </w:rPr>
        <w:t>RESULTS</w:t>
      </w:r>
      <w:r w:rsidR="001F5AC1">
        <w:rPr>
          <w:rFonts w:ascii="Times New Roman" w:hAnsi="Times New Roman" w:cs="Times New Roman"/>
          <w:b/>
          <w:bCs/>
          <w:sz w:val="24"/>
          <w:szCs w:val="24"/>
        </w:rPr>
        <w:t xml:space="preserve"> &amp; </w:t>
      </w:r>
      <w:r w:rsidR="001F5AC1" w:rsidRPr="001F5AC1">
        <w:rPr>
          <w:rFonts w:ascii="Times New Roman" w:hAnsi="Times New Roman" w:cs="Times New Roman"/>
          <w:b/>
          <w:bCs/>
          <w:sz w:val="24"/>
          <w:szCs w:val="24"/>
        </w:rPr>
        <w:t>DISCUSSION</w:t>
      </w:r>
    </w:p>
    <w:p w14:paraId="370177D3" w14:textId="5AD4581F" w:rsidR="008F5FCC" w:rsidRPr="00466192" w:rsidRDefault="008F5FCC" w:rsidP="000F3883">
      <w:pPr>
        <w:jc w:val="both"/>
        <w:rPr>
          <w:rFonts w:ascii="Times New Roman" w:hAnsi="Times New Roman" w:cs="Times New Roman"/>
          <w:sz w:val="24"/>
          <w:szCs w:val="24"/>
        </w:rPr>
      </w:pPr>
      <w:r w:rsidRPr="00466192">
        <w:rPr>
          <w:rFonts w:ascii="Times New Roman" w:hAnsi="Times New Roman" w:cs="Times New Roman"/>
          <w:sz w:val="24"/>
          <w:szCs w:val="24"/>
        </w:rPr>
        <w:t>Socio-demographic Characteristics of Patients</w:t>
      </w:r>
      <w:r w:rsidR="00755D0B">
        <w:rPr>
          <w:rFonts w:ascii="Times New Roman" w:hAnsi="Times New Roman" w:cs="Times New Roman"/>
          <w:sz w:val="24"/>
          <w:szCs w:val="24"/>
        </w:rPr>
        <w:t xml:space="preserve">: </w:t>
      </w:r>
    </w:p>
    <w:p w14:paraId="4E5EA794" w14:textId="77777777" w:rsidR="008F5FCC" w:rsidRPr="00466192" w:rsidRDefault="008F5FCC" w:rsidP="000F3883">
      <w:pPr>
        <w:jc w:val="both"/>
        <w:rPr>
          <w:rFonts w:ascii="Times New Roman" w:hAnsi="Times New Roman" w:cs="Times New Roman"/>
          <w:sz w:val="24"/>
          <w:szCs w:val="24"/>
        </w:rPr>
      </w:pPr>
      <w:r w:rsidRPr="00466192">
        <w:rPr>
          <w:rFonts w:ascii="Times New Roman" w:hAnsi="Times New Roman" w:cs="Times New Roman"/>
          <w:sz w:val="24"/>
          <w:szCs w:val="24"/>
        </w:rPr>
        <w:t>This table presents the background characteristics of the 171 TB patients enrolled. The majority were male (53.8%), while females comprised 46.2%. The predominant age group was 30–39 years (39.8%), followed by 18–29 years (27.5%). The mean age was 30.03 ± 8.89 years. A substantial proportion had tertiary education (64.3%), while 27.5% had secondary and 8.2% had only primary education. Most participants were married (59.1%) and a significant number were engaged in unskilled occupations (50.3%), with 36.8% in skilled/professional roles.</w:t>
      </w:r>
    </w:p>
    <w:p w14:paraId="204FAF03" w14:textId="77777777" w:rsidR="008F5FCC" w:rsidRPr="009B6107" w:rsidRDefault="008F5FCC" w:rsidP="0020508A">
      <w:pPr>
        <w:spacing w:after="0"/>
        <w:jc w:val="both"/>
        <w:rPr>
          <w:rFonts w:ascii="Times New Roman" w:hAnsi="Times New Roman" w:cs="Times New Roman"/>
          <w:b/>
          <w:sz w:val="24"/>
          <w:szCs w:val="24"/>
        </w:rPr>
      </w:pPr>
    </w:p>
    <w:p w14:paraId="2BF9BC31" w14:textId="77777777" w:rsidR="008F5FCC" w:rsidRDefault="008F5FCC" w:rsidP="00073F44">
      <w:pPr>
        <w:pStyle w:val="Caption"/>
        <w:keepNext/>
      </w:pPr>
      <w:r>
        <w:t xml:space="preserve">Table </w:t>
      </w:r>
      <w:fldSimple w:instr=" SEQ Table \* ARABIC ">
        <w:r>
          <w:rPr>
            <w:noProof/>
          </w:rPr>
          <w:t>1</w:t>
        </w:r>
      </w:fldSimple>
      <w:r>
        <w:t xml:space="preserve">: </w:t>
      </w:r>
      <w:r w:rsidRPr="00FD11C0">
        <w:t>Socio-demographic Characteristics</w:t>
      </w:r>
      <w:r>
        <w:t xml:space="preserve"> of patients</w:t>
      </w:r>
    </w:p>
    <w:tbl>
      <w:tblPr>
        <w:tblStyle w:val="TableGrid"/>
        <w:tblW w:w="0" w:type="auto"/>
        <w:tblInd w:w="-3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1710"/>
        <w:gridCol w:w="1620"/>
      </w:tblGrid>
      <w:tr w:rsidR="008F5FCC" w:rsidRPr="009B6107" w14:paraId="4F5C621E" w14:textId="77777777" w:rsidTr="00AC3A14">
        <w:tc>
          <w:tcPr>
            <w:tcW w:w="4003" w:type="dxa"/>
            <w:tcBorders>
              <w:bottom w:val="single" w:sz="4" w:space="0" w:color="auto"/>
            </w:tcBorders>
          </w:tcPr>
          <w:p w14:paraId="26B55CD3"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Characteristics</w:t>
            </w:r>
          </w:p>
        </w:tc>
        <w:tc>
          <w:tcPr>
            <w:tcW w:w="1710" w:type="dxa"/>
            <w:tcBorders>
              <w:bottom w:val="single" w:sz="4" w:space="0" w:color="auto"/>
            </w:tcBorders>
          </w:tcPr>
          <w:p w14:paraId="16B6C6E6"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Frequency</w:t>
            </w:r>
          </w:p>
          <w:p w14:paraId="7CF91A87"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 xml:space="preserve"> (n = 171)</w:t>
            </w:r>
          </w:p>
        </w:tc>
        <w:tc>
          <w:tcPr>
            <w:tcW w:w="1620" w:type="dxa"/>
            <w:tcBorders>
              <w:bottom w:val="single" w:sz="4" w:space="0" w:color="auto"/>
            </w:tcBorders>
          </w:tcPr>
          <w:p w14:paraId="7B7B96FD"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Percent (%)</w:t>
            </w:r>
          </w:p>
        </w:tc>
      </w:tr>
      <w:tr w:rsidR="008F5FCC" w:rsidRPr="009B6107" w14:paraId="53D1FC0E" w14:textId="77777777" w:rsidTr="00AC3A14">
        <w:tc>
          <w:tcPr>
            <w:tcW w:w="4003" w:type="dxa"/>
            <w:tcBorders>
              <w:top w:val="single" w:sz="4" w:space="0" w:color="auto"/>
            </w:tcBorders>
          </w:tcPr>
          <w:p w14:paraId="262CFCA1"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Sex</w:t>
            </w:r>
          </w:p>
        </w:tc>
        <w:tc>
          <w:tcPr>
            <w:tcW w:w="1710" w:type="dxa"/>
            <w:tcBorders>
              <w:top w:val="single" w:sz="4" w:space="0" w:color="auto"/>
            </w:tcBorders>
          </w:tcPr>
          <w:p w14:paraId="26E47D43"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Borders>
              <w:top w:val="single" w:sz="4" w:space="0" w:color="auto"/>
            </w:tcBorders>
          </w:tcPr>
          <w:p w14:paraId="26A645D6"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321D93C3" w14:textId="77777777" w:rsidTr="00AC3A14">
        <w:tc>
          <w:tcPr>
            <w:tcW w:w="4003" w:type="dxa"/>
          </w:tcPr>
          <w:p w14:paraId="39BF92B5"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Male</w:t>
            </w:r>
          </w:p>
        </w:tc>
        <w:tc>
          <w:tcPr>
            <w:tcW w:w="1710" w:type="dxa"/>
          </w:tcPr>
          <w:p w14:paraId="056BF9A2"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92</w:t>
            </w:r>
          </w:p>
        </w:tc>
        <w:tc>
          <w:tcPr>
            <w:tcW w:w="1620" w:type="dxa"/>
          </w:tcPr>
          <w:p w14:paraId="1A546118"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53.8</w:t>
            </w:r>
          </w:p>
        </w:tc>
      </w:tr>
      <w:tr w:rsidR="008F5FCC" w:rsidRPr="009B6107" w14:paraId="027B0D8D" w14:textId="77777777" w:rsidTr="00AC3A14">
        <w:tc>
          <w:tcPr>
            <w:tcW w:w="4003" w:type="dxa"/>
          </w:tcPr>
          <w:p w14:paraId="33BA629A"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Female</w:t>
            </w:r>
          </w:p>
        </w:tc>
        <w:tc>
          <w:tcPr>
            <w:tcW w:w="1710" w:type="dxa"/>
          </w:tcPr>
          <w:p w14:paraId="106581B8"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79</w:t>
            </w:r>
          </w:p>
        </w:tc>
        <w:tc>
          <w:tcPr>
            <w:tcW w:w="1620" w:type="dxa"/>
          </w:tcPr>
          <w:p w14:paraId="212E262B"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46.2</w:t>
            </w:r>
          </w:p>
        </w:tc>
      </w:tr>
      <w:tr w:rsidR="008F5FCC" w:rsidRPr="009B6107" w14:paraId="0D5F46AA" w14:textId="77777777" w:rsidTr="00AC3A14">
        <w:tc>
          <w:tcPr>
            <w:tcW w:w="4003" w:type="dxa"/>
          </w:tcPr>
          <w:p w14:paraId="45C38A1A"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Age Bracket (in years)</w:t>
            </w:r>
          </w:p>
        </w:tc>
        <w:tc>
          <w:tcPr>
            <w:tcW w:w="1710" w:type="dxa"/>
          </w:tcPr>
          <w:p w14:paraId="7995E3E8"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Pr>
          <w:p w14:paraId="065531AC"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2FE6DA0F" w14:textId="77777777" w:rsidTr="00AC3A14">
        <w:tc>
          <w:tcPr>
            <w:tcW w:w="4003" w:type="dxa"/>
          </w:tcPr>
          <w:p w14:paraId="1B269D8F"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18 – 29</w:t>
            </w:r>
          </w:p>
        </w:tc>
        <w:tc>
          <w:tcPr>
            <w:tcW w:w="1710" w:type="dxa"/>
          </w:tcPr>
          <w:p w14:paraId="33773A76"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47</w:t>
            </w:r>
          </w:p>
        </w:tc>
        <w:tc>
          <w:tcPr>
            <w:tcW w:w="1620" w:type="dxa"/>
          </w:tcPr>
          <w:p w14:paraId="000A8D99"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27.5</w:t>
            </w:r>
          </w:p>
        </w:tc>
      </w:tr>
      <w:tr w:rsidR="008F5FCC" w:rsidRPr="009B6107" w14:paraId="34F7A60C" w14:textId="77777777" w:rsidTr="00AC3A14">
        <w:tc>
          <w:tcPr>
            <w:tcW w:w="4003" w:type="dxa"/>
          </w:tcPr>
          <w:p w14:paraId="4648431F"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30 – 39</w:t>
            </w:r>
          </w:p>
        </w:tc>
        <w:tc>
          <w:tcPr>
            <w:tcW w:w="1710" w:type="dxa"/>
          </w:tcPr>
          <w:p w14:paraId="5D43E349"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68</w:t>
            </w:r>
          </w:p>
        </w:tc>
        <w:tc>
          <w:tcPr>
            <w:tcW w:w="1620" w:type="dxa"/>
          </w:tcPr>
          <w:p w14:paraId="10735E5C"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39.8</w:t>
            </w:r>
          </w:p>
        </w:tc>
      </w:tr>
      <w:tr w:rsidR="008F5FCC" w:rsidRPr="009B6107" w14:paraId="772E2BF7" w14:textId="77777777" w:rsidTr="00AC3A14">
        <w:tc>
          <w:tcPr>
            <w:tcW w:w="4003" w:type="dxa"/>
          </w:tcPr>
          <w:p w14:paraId="1BA9DDCC"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40 – 49</w:t>
            </w:r>
          </w:p>
        </w:tc>
        <w:tc>
          <w:tcPr>
            <w:tcW w:w="1710" w:type="dxa"/>
          </w:tcPr>
          <w:p w14:paraId="5EAEA0DE"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42</w:t>
            </w:r>
          </w:p>
        </w:tc>
        <w:tc>
          <w:tcPr>
            <w:tcW w:w="1620" w:type="dxa"/>
          </w:tcPr>
          <w:p w14:paraId="6C5E429B"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24.6</w:t>
            </w:r>
          </w:p>
        </w:tc>
      </w:tr>
      <w:tr w:rsidR="008F5FCC" w:rsidRPr="009B6107" w14:paraId="1C00B4AD" w14:textId="77777777" w:rsidTr="00AC3A14">
        <w:tc>
          <w:tcPr>
            <w:tcW w:w="4003" w:type="dxa"/>
          </w:tcPr>
          <w:p w14:paraId="4159A614"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50 – 59</w:t>
            </w:r>
          </w:p>
        </w:tc>
        <w:tc>
          <w:tcPr>
            <w:tcW w:w="1710" w:type="dxa"/>
          </w:tcPr>
          <w:p w14:paraId="27453724"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14</w:t>
            </w:r>
          </w:p>
        </w:tc>
        <w:tc>
          <w:tcPr>
            <w:tcW w:w="1620" w:type="dxa"/>
          </w:tcPr>
          <w:p w14:paraId="25612CCF"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8.2</w:t>
            </w:r>
          </w:p>
        </w:tc>
      </w:tr>
      <w:tr w:rsidR="008F5FCC" w:rsidRPr="009B6107" w14:paraId="0948453E" w14:textId="77777777" w:rsidTr="00AC3A14">
        <w:tc>
          <w:tcPr>
            <w:tcW w:w="4003" w:type="dxa"/>
          </w:tcPr>
          <w:p w14:paraId="62202285"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Mean age ± SD</w:t>
            </w:r>
          </w:p>
          <w:p w14:paraId="05D921B6" w14:textId="77777777" w:rsidR="008F5FCC" w:rsidRPr="009B6107" w:rsidRDefault="008F5FCC" w:rsidP="00AC3A14">
            <w:pPr>
              <w:spacing w:line="276" w:lineRule="auto"/>
              <w:jc w:val="both"/>
              <w:rPr>
                <w:rFonts w:ascii="Times New Roman" w:hAnsi="Times New Roman" w:cs="Times New Roman"/>
                <w:sz w:val="24"/>
                <w:szCs w:val="24"/>
              </w:rPr>
            </w:pPr>
          </w:p>
        </w:tc>
        <w:tc>
          <w:tcPr>
            <w:tcW w:w="1710" w:type="dxa"/>
          </w:tcPr>
          <w:p w14:paraId="75EEEAFA"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30.03</w:t>
            </w:r>
            <w:r w:rsidRPr="009B6107">
              <w:rPr>
                <w:rFonts w:ascii="Times New Roman" w:hAnsi="Times New Roman" w:cs="Times New Roman"/>
                <w:b/>
                <w:sz w:val="24"/>
                <w:szCs w:val="24"/>
              </w:rPr>
              <w:t xml:space="preserve">± </w:t>
            </w:r>
            <w:r w:rsidRPr="009B6107">
              <w:rPr>
                <w:rFonts w:ascii="Times New Roman" w:hAnsi="Times New Roman" w:cs="Times New Roman"/>
                <w:bCs/>
                <w:sz w:val="24"/>
                <w:szCs w:val="24"/>
              </w:rPr>
              <w:t>8.89</w:t>
            </w:r>
          </w:p>
        </w:tc>
        <w:tc>
          <w:tcPr>
            <w:tcW w:w="1620" w:type="dxa"/>
          </w:tcPr>
          <w:p w14:paraId="69B96AEF"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168D1C85" w14:textId="77777777" w:rsidTr="00AC3A14">
        <w:tc>
          <w:tcPr>
            <w:tcW w:w="4003" w:type="dxa"/>
          </w:tcPr>
          <w:p w14:paraId="34951D03"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Education level</w:t>
            </w:r>
          </w:p>
        </w:tc>
        <w:tc>
          <w:tcPr>
            <w:tcW w:w="1710" w:type="dxa"/>
          </w:tcPr>
          <w:p w14:paraId="5786CC7D"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Pr>
          <w:p w14:paraId="695FAD6D"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7E3EB906" w14:textId="77777777" w:rsidTr="00AC3A14">
        <w:tc>
          <w:tcPr>
            <w:tcW w:w="4003" w:type="dxa"/>
          </w:tcPr>
          <w:p w14:paraId="3E8BDFB3"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Primary</w:t>
            </w:r>
          </w:p>
        </w:tc>
        <w:tc>
          <w:tcPr>
            <w:tcW w:w="1710" w:type="dxa"/>
          </w:tcPr>
          <w:p w14:paraId="1711B783"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14</w:t>
            </w:r>
          </w:p>
        </w:tc>
        <w:tc>
          <w:tcPr>
            <w:tcW w:w="1620" w:type="dxa"/>
          </w:tcPr>
          <w:p w14:paraId="1DB9DC22"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8.2</w:t>
            </w:r>
          </w:p>
        </w:tc>
      </w:tr>
      <w:tr w:rsidR="008F5FCC" w:rsidRPr="009B6107" w14:paraId="7898F89C" w14:textId="77777777" w:rsidTr="00AC3A14">
        <w:tc>
          <w:tcPr>
            <w:tcW w:w="4003" w:type="dxa"/>
          </w:tcPr>
          <w:p w14:paraId="474D0F9E"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Secondary</w:t>
            </w:r>
          </w:p>
        </w:tc>
        <w:tc>
          <w:tcPr>
            <w:tcW w:w="1710" w:type="dxa"/>
          </w:tcPr>
          <w:p w14:paraId="725D04BA"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47</w:t>
            </w:r>
          </w:p>
        </w:tc>
        <w:tc>
          <w:tcPr>
            <w:tcW w:w="1620" w:type="dxa"/>
          </w:tcPr>
          <w:p w14:paraId="758B35B9"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27.5</w:t>
            </w:r>
          </w:p>
        </w:tc>
      </w:tr>
      <w:tr w:rsidR="008F5FCC" w:rsidRPr="009B6107" w14:paraId="4E1786A9" w14:textId="77777777" w:rsidTr="00AC3A14">
        <w:tc>
          <w:tcPr>
            <w:tcW w:w="4003" w:type="dxa"/>
          </w:tcPr>
          <w:p w14:paraId="1F8662FF"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 xml:space="preserve">Tertiary </w:t>
            </w:r>
          </w:p>
        </w:tc>
        <w:tc>
          <w:tcPr>
            <w:tcW w:w="1710" w:type="dxa"/>
          </w:tcPr>
          <w:p w14:paraId="0190A0E4"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110</w:t>
            </w:r>
          </w:p>
        </w:tc>
        <w:tc>
          <w:tcPr>
            <w:tcW w:w="1620" w:type="dxa"/>
          </w:tcPr>
          <w:p w14:paraId="2478EC8C"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64.3</w:t>
            </w:r>
          </w:p>
        </w:tc>
      </w:tr>
      <w:tr w:rsidR="008F5FCC" w:rsidRPr="009B6107" w14:paraId="72EB2813" w14:textId="77777777" w:rsidTr="00AC3A14">
        <w:tc>
          <w:tcPr>
            <w:tcW w:w="4003" w:type="dxa"/>
          </w:tcPr>
          <w:p w14:paraId="7795D187" w14:textId="77777777" w:rsidR="008F5FCC" w:rsidRPr="009B6107" w:rsidRDefault="008F5FCC" w:rsidP="00AC3A14">
            <w:pPr>
              <w:spacing w:line="276" w:lineRule="auto"/>
              <w:jc w:val="both"/>
              <w:rPr>
                <w:rFonts w:ascii="Times New Roman" w:hAnsi="Times New Roman" w:cs="Times New Roman"/>
                <w:b/>
                <w:sz w:val="24"/>
                <w:szCs w:val="24"/>
              </w:rPr>
            </w:pPr>
          </w:p>
          <w:p w14:paraId="49941F2E"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Marital status</w:t>
            </w:r>
          </w:p>
        </w:tc>
        <w:tc>
          <w:tcPr>
            <w:tcW w:w="1710" w:type="dxa"/>
          </w:tcPr>
          <w:p w14:paraId="527CFA5B"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Pr>
          <w:p w14:paraId="1F9D5C50"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4DC3B056" w14:textId="77777777" w:rsidTr="00AC3A14">
        <w:tc>
          <w:tcPr>
            <w:tcW w:w="4003" w:type="dxa"/>
          </w:tcPr>
          <w:p w14:paraId="426D57E3"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Single</w:t>
            </w:r>
          </w:p>
        </w:tc>
        <w:tc>
          <w:tcPr>
            <w:tcW w:w="1710" w:type="dxa"/>
          </w:tcPr>
          <w:p w14:paraId="77D18A62"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66</w:t>
            </w:r>
          </w:p>
        </w:tc>
        <w:tc>
          <w:tcPr>
            <w:tcW w:w="1620" w:type="dxa"/>
          </w:tcPr>
          <w:p w14:paraId="3CB6D986"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38.6</w:t>
            </w:r>
          </w:p>
        </w:tc>
      </w:tr>
      <w:tr w:rsidR="008F5FCC" w:rsidRPr="009B6107" w14:paraId="6B1A12D1" w14:textId="77777777" w:rsidTr="00AC3A14">
        <w:tc>
          <w:tcPr>
            <w:tcW w:w="4003" w:type="dxa"/>
          </w:tcPr>
          <w:p w14:paraId="6750B818"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Married</w:t>
            </w:r>
          </w:p>
        </w:tc>
        <w:tc>
          <w:tcPr>
            <w:tcW w:w="1710" w:type="dxa"/>
          </w:tcPr>
          <w:p w14:paraId="1EB35D4B"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101</w:t>
            </w:r>
          </w:p>
        </w:tc>
        <w:tc>
          <w:tcPr>
            <w:tcW w:w="1620" w:type="dxa"/>
          </w:tcPr>
          <w:p w14:paraId="620EC14A"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59.1</w:t>
            </w:r>
          </w:p>
        </w:tc>
      </w:tr>
      <w:tr w:rsidR="008F5FCC" w:rsidRPr="009B6107" w14:paraId="1704FA9C" w14:textId="77777777" w:rsidTr="00AC3A14">
        <w:tc>
          <w:tcPr>
            <w:tcW w:w="4003" w:type="dxa"/>
          </w:tcPr>
          <w:p w14:paraId="6250BB15"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Widow/widower</w:t>
            </w:r>
          </w:p>
        </w:tc>
        <w:tc>
          <w:tcPr>
            <w:tcW w:w="1710" w:type="dxa"/>
          </w:tcPr>
          <w:p w14:paraId="4E2608D8"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4</w:t>
            </w:r>
          </w:p>
        </w:tc>
        <w:tc>
          <w:tcPr>
            <w:tcW w:w="1620" w:type="dxa"/>
          </w:tcPr>
          <w:p w14:paraId="242E15BF"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2.3</w:t>
            </w:r>
          </w:p>
        </w:tc>
      </w:tr>
      <w:tr w:rsidR="008F5FCC" w:rsidRPr="009B6107" w14:paraId="60290855" w14:textId="77777777" w:rsidTr="00AC3A14">
        <w:tc>
          <w:tcPr>
            <w:tcW w:w="4003" w:type="dxa"/>
          </w:tcPr>
          <w:p w14:paraId="350EEB52" w14:textId="77777777" w:rsidR="008F5FCC" w:rsidRPr="009B6107" w:rsidRDefault="008F5FCC" w:rsidP="00AC3A14">
            <w:pPr>
              <w:spacing w:line="276" w:lineRule="auto"/>
              <w:jc w:val="both"/>
              <w:rPr>
                <w:rFonts w:ascii="Times New Roman" w:hAnsi="Times New Roman" w:cs="Times New Roman"/>
                <w:sz w:val="24"/>
                <w:szCs w:val="24"/>
              </w:rPr>
            </w:pPr>
          </w:p>
        </w:tc>
        <w:tc>
          <w:tcPr>
            <w:tcW w:w="1710" w:type="dxa"/>
          </w:tcPr>
          <w:p w14:paraId="1866688E"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Pr>
          <w:p w14:paraId="2BC5D92B"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31686438" w14:textId="77777777" w:rsidTr="00AC3A14">
        <w:tc>
          <w:tcPr>
            <w:tcW w:w="4003" w:type="dxa"/>
          </w:tcPr>
          <w:p w14:paraId="21318A2F" w14:textId="77777777" w:rsidR="008F5FCC" w:rsidRPr="009B6107" w:rsidRDefault="008F5FCC" w:rsidP="00AC3A14">
            <w:pPr>
              <w:spacing w:line="276" w:lineRule="auto"/>
              <w:jc w:val="both"/>
              <w:rPr>
                <w:rFonts w:ascii="Times New Roman" w:hAnsi="Times New Roman" w:cs="Times New Roman"/>
                <w:b/>
                <w:sz w:val="24"/>
                <w:szCs w:val="24"/>
              </w:rPr>
            </w:pPr>
            <w:r w:rsidRPr="009B6107">
              <w:rPr>
                <w:rFonts w:ascii="Times New Roman" w:hAnsi="Times New Roman" w:cs="Times New Roman"/>
                <w:b/>
                <w:sz w:val="24"/>
                <w:szCs w:val="24"/>
              </w:rPr>
              <w:t xml:space="preserve">Occupation </w:t>
            </w:r>
          </w:p>
        </w:tc>
        <w:tc>
          <w:tcPr>
            <w:tcW w:w="1710" w:type="dxa"/>
          </w:tcPr>
          <w:p w14:paraId="048EF6BC"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Pr>
          <w:p w14:paraId="7B9C2C9C" w14:textId="77777777" w:rsidR="008F5FCC" w:rsidRPr="009B6107" w:rsidRDefault="008F5FCC" w:rsidP="00AC3A14">
            <w:pPr>
              <w:spacing w:line="276" w:lineRule="auto"/>
              <w:jc w:val="both"/>
              <w:rPr>
                <w:rFonts w:ascii="Times New Roman" w:hAnsi="Times New Roman" w:cs="Times New Roman"/>
                <w:sz w:val="24"/>
                <w:szCs w:val="24"/>
              </w:rPr>
            </w:pPr>
          </w:p>
        </w:tc>
      </w:tr>
      <w:tr w:rsidR="008F5FCC" w:rsidRPr="009B6107" w14:paraId="0CC503F1" w14:textId="77777777" w:rsidTr="00AC3A14">
        <w:tc>
          <w:tcPr>
            <w:tcW w:w="4003" w:type="dxa"/>
          </w:tcPr>
          <w:p w14:paraId="0CD98274"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Skilled/professional</w:t>
            </w:r>
          </w:p>
        </w:tc>
        <w:tc>
          <w:tcPr>
            <w:tcW w:w="1710" w:type="dxa"/>
          </w:tcPr>
          <w:p w14:paraId="0F6E41E8"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63</w:t>
            </w:r>
          </w:p>
        </w:tc>
        <w:tc>
          <w:tcPr>
            <w:tcW w:w="1620" w:type="dxa"/>
          </w:tcPr>
          <w:p w14:paraId="13E329BD"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36.8</w:t>
            </w:r>
          </w:p>
        </w:tc>
      </w:tr>
      <w:tr w:rsidR="008F5FCC" w:rsidRPr="009B6107" w14:paraId="1789D27D" w14:textId="77777777" w:rsidTr="00AC3A14">
        <w:tc>
          <w:tcPr>
            <w:tcW w:w="4003" w:type="dxa"/>
          </w:tcPr>
          <w:p w14:paraId="7D34E494"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 xml:space="preserve">Unskilled </w:t>
            </w:r>
          </w:p>
        </w:tc>
        <w:tc>
          <w:tcPr>
            <w:tcW w:w="1710" w:type="dxa"/>
          </w:tcPr>
          <w:p w14:paraId="7131EC29"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86</w:t>
            </w:r>
          </w:p>
        </w:tc>
        <w:tc>
          <w:tcPr>
            <w:tcW w:w="1620" w:type="dxa"/>
          </w:tcPr>
          <w:p w14:paraId="233DDE67"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50.3</w:t>
            </w:r>
          </w:p>
        </w:tc>
      </w:tr>
      <w:tr w:rsidR="008F5FCC" w:rsidRPr="009B6107" w14:paraId="1F3123E3" w14:textId="77777777" w:rsidTr="00AC3A14">
        <w:tc>
          <w:tcPr>
            <w:tcW w:w="4003" w:type="dxa"/>
          </w:tcPr>
          <w:p w14:paraId="1D5CBA50"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 xml:space="preserve">Others </w:t>
            </w:r>
          </w:p>
        </w:tc>
        <w:tc>
          <w:tcPr>
            <w:tcW w:w="1710" w:type="dxa"/>
          </w:tcPr>
          <w:p w14:paraId="09644BAF"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22</w:t>
            </w:r>
          </w:p>
        </w:tc>
        <w:tc>
          <w:tcPr>
            <w:tcW w:w="1620" w:type="dxa"/>
          </w:tcPr>
          <w:p w14:paraId="67B82A06" w14:textId="77777777" w:rsidR="008F5FCC" w:rsidRPr="009B6107" w:rsidRDefault="008F5FCC" w:rsidP="00AC3A14">
            <w:pPr>
              <w:spacing w:line="276" w:lineRule="auto"/>
              <w:jc w:val="both"/>
              <w:rPr>
                <w:rFonts w:ascii="Times New Roman" w:hAnsi="Times New Roman" w:cs="Times New Roman"/>
                <w:sz w:val="24"/>
                <w:szCs w:val="24"/>
              </w:rPr>
            </w:pPr>
            <w:r w:rsidRPr="009B6107">
              <w:rPr>
                <w:rFonts w:ascii="Times New Roman" w:hAnsi="Times New Roman" w:cs="Times New Roman"/>
                <w:sz w:val="24"/>
                <w:szCs w:val="24"/>
              </w:rPr>
              <w:t>12.9</w:t>
            </w:r>
          </w:p>
        </w:tc>
      </w:tr>
      <w:tr w:rsidR="008F5FCC" w:rsidRPr="009B6107" w14:paraId="3E433A91" w14:textId="77777777" w:rsidTr="00AC3A14">
        <w:tc>
          <w:tcPr>
            <w:tcW w:w="4003" w:type="dxa"/>
          </w:tcPr>
          <w:p w14:paraId="3B3A9109" w14:textId="77777777" w:rsidR="008F5FCC" w:rsidRPr="009B6107" w:rsidRDefault="008F5FCC" w:rsidP="00AC3A14">
            <w:pPr>
              <w:spacing w:line="276" w:lineRule="auto"/>
              <w:jc w:val="both"/>
              <w:rPr>
                <w:rFonts w:ascii="Times New Roman" w:hAnsi="Times New Roman" w:cs="Times New Roman"/>
                <w:sz w:val="24"/>
                <w:szCs w:val="24"/>
              </w:rPr>
            </w:pPr>
          </w:p>
        </w:tc>
        <w:tc>
          <w:tcPr>
            <w:tcW w:w="1710" w:type="dxa"/>
          </w:tcPr>
          <w:p w14:paraId="50DACA61" w14:textId="77777777" w:rsidR="008F5FCC" w:rsidRPr="009B6107" w:rsidRDefault="008F5FCC" w:rsidP="00AC3A14">
            <w:pPr>
              <w:spacing w:line="276" w:lineRule="auto"/>
              <w:jc w:val="both"/>
              <w:rPr>
                <w:rFonts w:ascii="Times New Roman" w:hAnsi="Times New Roman" w:cs="Times New Roman"/>
                <w:sz w:val="24"/>
                <w:szCs w:val="24"/>
              </w:rPr>
            </w:pPr>
          </w:p>
        </w:tc>
        <w:tc>
          <w:tcPr>
            <w:tcW w:w="1620" w:type="dxa"/>
          </w:tcPr>
          <w:p w14:paraId="7492C958" w14:textId="77777777" w:rsidR="008F5FCC" w:rsidRPr="009B6107" w:rsidRDefault="008F5FCC" w:rsidP="00AC3A14">
            <w:pPr>
              <w:spacing w:line="276" w:lineRule="auto"/>
              <w:jc w:val="both"/>
              <w:rPr>
                <w:rFonts w:ascii="Times New Roman" w:hAnsi="Times New Roman" w:cs="Times New Roman"/>
                <w:sz w:val="24"/>
                <w:szCs w:val="24"/>
              </w:rPr>
            </w:pPr>
          </w:p>
        </w:tc>
      </w:tr>
    </w:tbl>
    <w:p w14:paraId="342AA16C" w14:textId="77777777" w:rsidR="008F5FCC" w:rsidRPr="009B6107" w:rsidRDefault="008F5FCC" w:rsidP="003F6F5D">
      <w:pPr>
        <w:jc w:val="both"/>
        <w:rPr>
          <w:rFonts w:ascii="Times New Roman" w:hAnsi="Times New Roman" w:cs="Times New Roman"/>
          <w:b/>
          <w:bCs/>
          <w:sz w:val="24"/>
          <w:szCs w:val="24"/>
        </w:rPr>
      </w:pPr>
    </w:p>
    <w:p w14:paraId="627F706B" w14:textId="77777777" w:rsidR="008F5FCC" w:rsidRPr="009B6107" w:rsidRDefault="008F5FCC">
      <w:pPr>
        <w:rPr>
          <w:rFonts w:ascii="Times New Roman" w:hAnsi="Times New Roman" w:cs="Times New Roman"/>
          <w:b/>
          <w:bCs/>
          <w:sz w:val="24"/>
          <w:szCs w:val="24"/>
        </w:rPr>
      </w:pPr>
      <w:r w:rsidRPr="009B6107">
        <w:rPr>
          <w:rFonts w:ascii="Times New Roman" w:hAnsi="Times New Roman" w:cs="Times New Roman"/>
          <w:b/>
          <w:bCs/>
          <w:sz w:val="24"/>
          <w:szCs w:val="24"/>
        </w:rPr>
        <w:br w:type="page"/>
      </w:r>
    </w:p>
    <w:p w14:paraId="4E089DF3" w14:textId="77777777" w:rsidR="008F5FCC" w:rsidRPr="00901875" w:rsidRDefault="008F5FCC" w:rsidP="000F3883">
      <w:pPr>
        <w:jc w:val="both"/>
        <w:rPr>
          <w:rFonts w:ascii="Times New Roman" w:hAnsi="Times New Roman" w:cs="Times New Roman"/>
          <w:b/>
          <w:bCs/>
          <w:sz w:val="24"/>
          <w:szCs w:val="24"/>
        </w:rPr>
      </w:pPr>
    </w:p>
    <w:p w14:paraId="3BA04E64" w14:textId="2583BF30" w:rsidR="008F5FCC" w:rsidRPr="00466192" w:rsidRDefault="008F5FCC" w:rsidP="000F3883">
      <w:pPr>
        <w:jc w:val="both"/>
        <w:rPr>
          <w:rFonts w:ascii="Times New Roman" w:hAnsi="Times New Roman" w:cs="Times New Roman"/>
          <w:sz w:val="24"/>
          <w:szCs w:val="24"/>
        </w:rPr>
      </w:pPr>
      <w:r w:rsidRPr="00466192">
        <w:rPr>
          <w:rFonts w:ascii="Times New Roman" w:hAnsi="Times New Roman" w:cs="Times New Roman"/>
          <w:sz w:val="24"/>
          <w:szCs w:val="24"/>
        </w:rPr>
        <w:t xml:space="preserve"> Clinical History of Patients</w:t>
      </w:r>
    </w:p>
    <w:p w14:paraId="0FEC2760" w14:textId="77777777" w:rsidR="008F5FCC" w:rsidRPr="00466192" w:rsidRDefault="008F5FCC" w:rsidP="000F3883">
      <w:pPr>
        <w:jc w:val="both"/>
        <w:rPr>
          <w:rFonts w:ascii="Times New Roman" w:hAnsi="Times New Roman" w:cs="Times New Roman"/>
          <w:sz w:val="24"/>
          <w:szCs w:val="24"/>
        </w:rPr>
      </w:pPr>
      <w:r w:rsidRPr="00466192">
        <w:rPr>
          <w:rFonts w:ascii="Times New Roman" w:hAnsi="Times New Roman" w:cs="Times New Roman"/>
          <w:sz w:val="24"/>
          <w:szCs w:val="24"/>
        </w:rPr>
        <w:t>In terms of disease duration, 59.6% had TB symptoms for 1–8 weeks, while 40.4% had symptoms for 9–24 weeks. A family history of TB was reported by 17% of participants. Interestingly, over half (53.8%) reported a family history of diabetes mellitus (DM). Smoking was also prevalent, with 50.9% identifying as current or former smokers.</w:t>
      </w:r>
    </w:p>
    <w:p w14:paraId="71AF4791" w14:textId="77777777" w:rsidR="008F5FCC" w:rsidRDefault="008F5FCC" w:rsidP="00073F44">
      <w:pPr>
        <w:pStyle w:val="Caption"/>
        <w:keepNext/>
        <w:jc w:val="both"/>
      </w:pPr>
      <w:r>
        <w:t xml:space="preserve">Table </w:t>
      </w:r>
      <w:fldSimple w:instr=" SEQ Table \* ARABIC ">
        <w:r>
          <w:rPr>
            <w:noProof/>
          </w:rPr>
          <w:t>2</w:t>
        </w:r>
      </w:fldSimple>
      <w:r>
        <w:t>: Clinical History of Patients</w:t>
      </w:r>
    </w:p>
    <w:tbl>
      <w:tblPr>
        <w:tblW w:w="5812" w:type="dxa"/>
        <w:tblLook w:val="04A0" w:firstRow="1" w:lastRow="0" w:firstColumn="1" w:lastColumn="0" w:noHBand="0" w:noVBand="1"/>
      </w:tblPr>
      <w:tblGrid>
        <w:gridCol w:w="1880"/>
        <w:gridCol w:w="2231"/>
        <w:gridCol w:w="1701"/>
      </w:tblGrid>
      <w:tr w:rsidR="008F5FCC" w:rsidRPr="009B6107" w14:paraId="5062FC90" w14:textId="77777777" w:rsidTr="00073F44">
        <w:trPr>
          <w:trHeight w:val="290"/>
        </w:trPr>
        <w:tc>
          <w:tcPr>
            <w:tcW w:w="1880" w:type="dxa"/>
            <w:tcBorders>
              <w:top w:val="single" w:sz="4" w:space="0" w:color="auto"/>
              <w:left w:val="nil"/>
              <w:bottom w:val="single" w:sz="4" w:space="0" w:color="auto"/>
              <w:right w:val="nil"/>
            </w:tcBorders>
            <w:noWrap/>
            <w:vAlign w:val="bottom"/>
            <w:hideMark/>
          </w:tcPr>
          <w:p w14:paraId="6C5980A1" w14:textId="77777777" w:rsidR="008F5FCC" w:rsidRPr="009B6107" w:rsidRDefault="008F5FCC" w:rsidP="009B6107">
            <w:pPr>
              <w:spacing w:after="0" w:line="240" w:lineRule="auto"/>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Variable</w:t>
            </w:r>
          </w:p>
        </w:tc>
        <w:tc>
          <w:tcPr>
            <w:tcW w:w="2231" w:type="dxa"/>
            <w:tcBorders>
              <w:top w:val="single" w:sz="4" w:space="0" w:color="auto"/>
              <w:left w:val="nil"/>
              <w:bottom w:val="single" w:sz="4" w:space="0" w:color="auto"/>
              <w:right w:val="nil"/>
            </w:tcBorders>
            <w:noWrap/>
            <w:vAlign w:val="bottom"/>
            <w:hideMark/>
          </w:tcPr>
          <w:p w14:paraId="40A8A38A" w14:textId="77777777" w:rsidR="008F5FCC" w:rsidRPr="009B6107" w:rsidRDefault="008F5FCC" w:rsidP="009B6107">
            <w:pPr>
              <w:spacing w:after="0" w:line="240" w:lineRule="auto"/>
              <w:jc w:val="center"/>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Frequency (n</w:t>
            </w:r>
            <w:r>
              <w:rPr>
                <w:rFonts w:ascii="Times New Roman" w:eastAsia="Times New Roman" w:hAnsi="Times New Roman" w:cs="Times New Roman"/>
                <w:b/>
                <w:bCs/>
                <w:color w:val="000000"/>
                <w:kern w:val="0"/>
                <w:sz w:val="24"/>
                <w:szCs w:val="24"/>
                <w:lang w:eastAsia="en-GB"/>
                <w14:ligatures w14:val="none"/>
              </w:rPr>
              <w:t>=171</w:t>
            </w:r>
            <w:r w:rsidRPr="009B6107">
              <w:rPr>
                <w:rFonts w:ascii="Times New Roman" w:eastAsia="Times New Roman" w:hAnsi="Times New Roman" w:cs="Times New Roman"/>
                <w:b/>
                <w:bCs/>
                <w:color w:val="000000"/>
                <w:kern w:val="0"/>
                <w:sz w:val="24"/>
                <w:szCs w:val="24"/>
                <w:lang w:eastAsia="en-GB"/>
                <w14:ligatures w14:val="none"/>
              </w:rPr>
              <w:t>)</w:t>
            </w:r>
          </w:p>
        </w:tc>
        <w:tc>
          <w:tcPr>
            <w:tcW w:w="1701" w:type="dxa"/>
            <w:tcBorders>
              <w:top w:val="single" w:sz="4" w:space="0" w:color="auto"/>
              <w:left w:val="nil"/>
              <w:bottom w:val="single" w:sz="4" w:space="0" w:color="auto"/>
              <w:right w:val="nil"/>
            </w:tcBorders>
            <w:noWrap/>
            <w:vAlign w:val="bottom"/>
            <w:hideMark/>
          </w:tcPr>
          <w:p w14:paraId="2096B323" w14:textId="77777777" w:rsidR="008F5FCC" w:rsidRPr="009B6107" w:rsidRDefault="008F5FCC" w:rsidP="009B6107">
            <w:pPr>
              <w:spacing w:after="0" w:line="240" w:lineRule="auto"/>
              <w:jc w:val="center"/>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Percent (%)</w:t>
            </w:r>
          </w:p>
        </w:tc>
      </w:tr>
      <w:tr w:rsidR="008F5FCC" w:rsidRPr="009B6107" w14:paraId="144A5DC6" w14:textId="77777777" w:rsidTr="00073F44">
        <w:trPr>
          <w:trHeight w:val="290"/>
        </w:trPr>
        <w:tc>
          <w:tcPr>
            <w:tcW w:w="1880" w:type="dxa"/>
            <w:tcBorders>
              <w:top w:val="single" w:sz="4" w:space="0" w:color="auto"/>
              <w:left w:val="nil"/>
              <w:bottom w:val="nil"/>
              <w:right w:val="nil"/>
            </w:tcBorders>
            <w:noWrap/>
            <w:vAlign w:val="bottom"/>
            <w:hideMark/>
          </w:tcPr>
          <w:p w14:paraId="007FF8A8" w14:textId="77777777" w:rsidR="008F5FCC" w:rsidRPr="009B6107" w:rsidRDefault="008F5FCC" w:rsidP="009B6107">
            <w:pPr>
              <w:spacing w:after="0" w:line="240" w:lineRule="auto"/>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Duration of TB</w:t>
            </w:r>
          </w:p>
        </w:tc>
        <w:tc>
          <w:tcPr>
            <w:tcW w:w="2231" w:type="dxa"/>
            <w:tcBorders>
              <w:top w:val="single" w:sz="4" w:space="0" w:color="auto"/>
              <w:left w:val="nil"/>
              <w:bottom w:val="nil"/>
              <w:right w:val="nil"/>
            </w:tcBorders>
            <w:noWrap/>
            <w:vAlign w:val="bottom"/>
            <w:hideMark/>
          </w:tcPr>
          <w:p w14:paraId="4872FE6D"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1701" w:type="dxa"/>
            <w:tcBorders>
              <w:top w:val="single" w:sz="4" w:space="0" w:color="auto"/>
              <w:left w:val="nil"/>
              <w:bottom w:val="nil"/>
              <w:right w:val="nil"/>
            </w:tcBorders>
            <w:noWrap/>
            <w:vAlign w:val="bottom"/>
            <w:hideMark/>
          </w:tcPr>
          <w:p w14:paraId="7E977AAE"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515540E0" w14:textId="77777777" w:rsidTr="00073F44">
        <w:trPr>
          <w:trHeight w:val="290"/>
        </w:trPr>
        <w:tc>
          <w:tcPr>
            <w:tcW w:w="1880" w:type="dxa"/>
            <w:tcBorders>
              <w:top w:val="nil"/>
              <w:left w:val="nil"/>
              <w:bottom w:val="nil"/>
              <w:right w:val="nil"/>
            </w:tcBorders>
            <w:noWrap/>
            <w:vAlign w:val="bottom"/>
            <w:hideMark/>
          </w:tcPr>
          <w:p w14:paraId="03FC3273"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1 – 8weeks</w:t>
            </w:r>
          </w:p>
        </w:tc>
        <w:tc>
          <w:tcPr>
            <w:tcW w:w="2231" w:type="dxa"/>
            <w:tcBorders>
              <w:top w:val="nil"/>
              <w:left w:val="nil"/>
              <w:bottom w:val="nil"/>
              <w:right w:val="nil"/>
            </w:tcBorders>
            <w:noWrap/>
            <w:vAlign w:val="bottom"/>
            <w:hideMark/>
          </w:tcPr>
          <w:p w14:paraId="7D281E1F"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102</w:t>
            </w:r>
          </w:p>
        </w:tc>
        <w:tc>
          <w:tcPr>
            <w:tcW w:w="1701" w:type="dxa"/>
            <w:tcBorders>
              <w:top w:val="nil"/>
              <w:left w:val="nil"/>
              <w:bottom w:val="nil"/>
              <w:right w:val="nil"/>
            </w:tcBorders>
            <w:noWrap/>
            <w:vAlign w:val="bottom"/>
            <w:hideMark/>
          </w:tcPr>
          <w:p w14:paraId="07187BE2"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59.6</w:t>
            </w:r>
          </w:p>
        </w:tc>
      </w:tr>
      <w:tr w:rsidR="008F5FCC" w:rsidRPr="009B6107" w14:paraId="2AECF101" w14:textId="77777777" w:rsidTr="00073F44">
        <w:trPr>
          <w:trHeight w:val="290"/>
        </w:trPr>
        <w:tc>
          <w:tcPr>
            <w:tcW w:w="1880" w:type="dxa"/>
            <w:tcBorders>
              <w:top w:val="nil"/>
              <w:left w:val="nil"/>
              <w:bottom w:val="nil"/>
              <w:right w:val="nil"/>
            </w:tcBorders>
            <w:noWrap/>
            <w:vAlign w:val="bottom"/>
            <w:hideMark/>
          </w:tcPr>
          <w:p w14:paraId="4EA6BEEB"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9 – 24 weeks</w:t>
            </w:r>
          </w:p>
        </w:tc>
        <w:tc>
          <w:tcPr>
            <w:tcW w:w="2231" w:type="dxa"/>
            <w:tcBorders>
              <w:top w:val="nil"/>
              <w:left w:val="nil"/>
              <w:bottom w:val="nil"/>
              <w:right w:val="nil"/>
            </w:tcBorders>
            <w:noWrap/>
            <w:vAlign w:val="bottom"/>
            <w:hideMark/>
          </w:tcPr>
          <w:p w14:paraId="6DF72CA3"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69</w:t>
            </w:r>
          </w:p>
        </w:tc>
        <w:tc>
          <w:tcPr>
            <w:tcW w:w="1701" w:type="dxa"/>
            <w:tcBorders>
              <w:top w:val="nil"/>
              <w:left w:val="nil"/>
              <w:bottom w:val="nil"/>
              <w:right w:val="nil"/>
            </w:tcBorders>
            <w:noWrap/>
            <w:vAlign w:val="bottom"/>
            <w:hideMark/>
          </w:tcPr>
          <w:p w14:paraId="3E785F4D"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40.4</w:t>
            </w:r>
          </w:p>
        </w:tc>
      </w:tr>
      <w:tr w:rsidR="008F5FCC" w:rsidRPr="009B6107" w14:paraId="440CD8B2" w14:textId="77777777" w:rsidTr="00073F44">
        <w:trPr>
          <w:trHeight w:val="290"/>
        </w:trPr>
        <w:tc>
          <w:tcPr>
            <w:tcW w:w="1880" w:type="dxa"/>
            <w:tcBorders>
              <w:top w:val="nil"/>
              <w:left w:val="nil"/>
              <w:bottom w:val="nil"/>
              <w:right w:val="nil"/>
            </w:tcBorders>
            <w:noWrap/>
            <w:vAlign w:val="bottom"/>
            <w:hideMark/>
          </w:tcPr>
          <w:p w14:paraId="5EE679A5" w14:textId="77777777" w:rsidR="008F5FCC" w:rsidRPr="009B6107" w:rsidRDefault="008F5FCC" w:rsidP="009B6107">
            <w:pPr>
              <w:spacing w:after="0" w:line="240" w:lineRule="auto"/>
              <w:jc w:val="right"/>
              <w:rPr>
                <w:rFonts w:ascii="Times New Roman" w:eastAsia="Times New Roman" w:hAnsi="Times New Roman" w:cs="Times New Roman"/>
                <w:color w:val="000000"/>
                <w:kern w:val="0"/>
                <w:sz w:val="24"/>
                <w:szCs w:val="24"/>
                <w:lang w:eastAsia="en-GB"/>
                <w14:ligatures w14:val="none"/>
              </w:rPr>
            </w:pPr>
          </w:p>
        </w:tc>
        <w:tc>
          <w:tcPr>
            <w:tcW w:w="2231" w:type="dxa"/>
            <w:tcBorders>
              <w:top w:val="nil"/>
              <w:left w:val="nil"/>
              <w:bottom w:val="nil"/>
              <w:right w:val="nil"/>
            </w:tcBorders>
            <w:noWrap/>
            <w:vAlign w:val="bottom"/>
            <w:hideMark/>
          </w:tcPr>
          <w:p w14:paraId="4AD59751"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c>
          <w:tcPr>
            <w:tcW w:w="1701" w:type="dxa"/>
            <w:tcBorders>
              <w:top w:val="nil"/>
              <w:left w:val="nil"/>
              <w:bottom w:val="nil"/>
              <w:right w:val="nil"/>
            </w:tcBorders>
            <w:noWrap/>
            <w:vAlign w:val="bottom"/>
            <w:hideMark/>
          </w:tcPr>
          <w:p w14:paraId="7F1AD93C"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32BDD1F2" w14:textId="77777777" w:rsidTr="00073F44">
        <w:trPr>
          <w:trHeight w:val="290"/>
        </w:trPr>
        <w:tc>
          <w:tcPr>
            <w:tcW w:w="1880" w:type="dxa"/>
            <w:tcBorders>
              <w:top w:val="nil"/>
              <w:left w:val="nil"/>
              <w:bottom w:val="nil"/>
              <w:right w:val="nil"/>
            </w:tcBorders>
            <w:noWrap/>
            <w:vAlign w:val="bottom"/>
            <w:hideMark/>
          </w:tcPr>
          <w:p w14:paraId="3BE1EEEB" w14:textId="77777777" w:rsidR="008F5FCC" w:rsidRPr="009B6107" w:rsidRDefault="008F5FCC" w:rsidP="009B6107">
            <w:pPr>
              <w:spacing w:after="0" w:line="240" w:lineRule="auto"/>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 xml:space="preserve">Family history of TB </w:t>
            </w:r>
          </w:p>
        </w:tc>
        <w:tc>
          <w:tcPr>
            <w:tcW w:w="2231" w:type="dxa"/>
            <w:tcBorders>
              <w:top w:val="nil"/>
              <w:left w:val="nil"/>
              <w:bottom w:val="nil"/>
              <w:right w:val="nil"/>
            </w:tcBorders>
            <w:noWrap/>
            <w:vAlign w:val="bottom"/>
            <w:hideMark/>
          </w:tcPr>
          <w:p w14:paraId="6597876F"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1701" w:type="dxa"/>
            <w:tcBorders>
              <w:top w:val="nil"/>
              <w:left w:val="nil"/>
              <w:bottom w:val="nil"/>
              <w:right w:val="nil"/>
            </w:tcBorders>
            <w:noWrap/>
            <w:vAlign w:val="bottom"/>
            <w:hideMark/>
          </w:tcPr>
          <w:p w14:paraId="013393E8"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0CFE6B44" w14:textId="77777777" w:rsidTr="00073F44">
        <w:trPr>
          <w:trHeight w:val="290"/>
        </w:trPr>
        <w:tc>
          <w:tcPr>
            <w:tcW w:w="1880" w:type="dxa"/>
            <w:tcBorders>
              <w:top w:val="nil"/>
              <w:left w:val="nil"/>
              <w:bottom w:val="nil"/>
              <w:right w:val="nil"/>
            </w:tcBorders>
            <w:noWrap/>
            <w:vAlign w:val="bottom"/>
            <w:hideMark/>
          </w:tcPr>
          <w:p w14:paraId="372C0044"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Yes</w:t>
            </w:r>
          </w:p>
        </w:tc>
        <w:tc>
          <w:tcPr>
            <w:tcW w:w="2231" w:type="dxa"/>
            <w:tcBorders>
              <w:top w:val="nil"/>
              <w:left w:val="nil"/>
              <w:bottom w:val="nil"/>
              <w:right w:val="nil"/>
            </w:tcBorders>
            <w:noWrap/>
            <w:vAlign w:val="bottom"/>
            <w:hideMark/>
          </w:tcPr>
          <w:p w14:paraId="2E12FD65"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29</w:t>
            </w:r>
          </w:p>
        </w:tc>
        <w:tc>
          <w:tcPr>
            <w:tcW w:w="1701" w:type="dxa"/>
            <w:tcBorders>
              <w:top w:val="nil"/>
              <w:left w:val="nil"/>
              <w:bottom w:val="nil"/>
              <w:right w:val="nil"/>
            </w:tcBorders>
            <w:noWrap/>
            <w:vAlign w:val="bottom"/>
            <w:hideMark/>
          </w:tcPr>
          <w:p w14:paraId="298FCED4"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17</w:t>
            </w:r>
          </w:p>
        </w:tc>
      </w:tr>
      <w:tr w:rsidR="008F5FCC" w:rsidRPr="009B6107" w14:paraId="5D8A2342" w14:textId="77777777" w:rsidTr="00073F44">
        <w:trPr>
          <w:trHeight w:val="290"/>
        </w:trPr>
        <w:tc>
          <w:tcPr>
            <w:tcW w:w="1880" w:type="dxa"/>
            <w:tcBorders>
              <w:top w:val="nil"/>
              <w:left w:val="nil"/>
              <w:bottom w:val="nil"/>
              <w:right w:val="nil"/>
            </w:tcBorders>
            <w:noWrap/>
            <w:vAlign w:val="bottom"/>
            <w:hideMark/>
          </w:tcPr>
          <w:p w14:paraId="1765D7C9"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 xml:space="preserve">No                         </w:t>
            </w:r>
          </w:p>
        </w:tc>
        <w:tc>
          <w:tcPr>
            <w:tcW w:w="2231" w:type="dxa"/>
            <w:tcBorders>
              <w:top w:val="nil"/>
              <w:left w:val="nil"/>
              <w:bottom w:val="nil"/>
              <w:right w:val="nil"/>
            </w:tcBorders>
            <w:noWrap/>
            <w:vAlign w:val="bottom"/>
            <w:hideMark/>
          </w:tcPr>
          <w:p w14:paraId="391409D2"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142</w:t>
            </w:r>
          </w:p>
        </w:tc>
        <w:tc>
          <w:tcPr>
            <w:tcW w:w="1701" w:type="dxa"/>
            <w:tcBorders>
              <w:top w:val="nil"/>
              <w:left w:val="nil"/>
              <w:bottom w:val="nil"/>
              <w:right w:val="nil"/>
            </w:tcBorders>
            <w:noWrap/>
            <w:vAlign w:val="bottom"/>
            <w:hideMark/>
          </w:tcPr>
          <w:p w14:paraId="50C981EC"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83</w:t>
            </w:r>
          </w:p>
        </w:tc>
      </w:tr>
      <w:tr w:rsidR="008F5FCC" w:rsidRPr="009B6107" w14:paraId="435B2408" w14:textId="77777777" w:rsidTr="00073F44">
        <w:trPr>
          <w:trHeight w:val="290"/>
        </w:trPr>
        <w:tc>
          <w:tcPr>
            <w:tcW w:w="1880" w:type="dxa"/>
            <w:tcBorders>
              <w:top w:val="nil"/>
              <w:left w:val="nil"/>
              <w:bottom w:val="nil"/>
              <w:right w:val="nil"/>
            </w:tcBorders>
            <w:noWrap/>
            <w:vAlign w:val="bottom"/>
            <w:hideMark/>
          </w:tcPr>
          <w:p w14:paraId="177783BB" w14:textId="77777777" w:rsidR="008F5FCC" w:rsidRPr="009B6107" w:rsidRDefault="008F5FCC" w:rsidP="009B6107">
            <w:pPr>
              <w:spacing w:after="0" w:line="240" w:lineRule="auto"/>
              <w:jc w:val="right"/>
              <w:rPr>
                <w:rFonts w:ascii="Times New Roman" w:eastAsia="Times New Roman" w:hAnsi="Times New Roman" w:cs="Times New Roman"/>
                <w:color w:val="000000"/>
                <w:kern w:val="0"/>
                <w:sz w:val="24"/>
                <w:szCs w:val="24"/>
                <w:lang w:eastAsia="en-GB"/>
                <w14:ligatures w14:val="none"/>
              </w:rPr>
            </w:pPr>
          </w:p>
        </w:tc>
        <w:tc>
          <w:tcPr>
            <w:tcW w:w="2231" w:type="dxa"/>
            <w:tcBorders>
              <w:top w:val="nil"/>
              <w:left w:val="nil"/>
              <w:bottom w:val="nil"/>
              <w:right w:val="nil"/>
            </w:tcBorders>
            <w:noWrap/>
            <w:vAlign w:val="bottom"/>
            <w:hideMark/>
          </w:tcPr>
          <w:p w14:paraId="5F054DDC"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c>
          <w:tcPr>
            <w:tcW w:w="1701" w:type="dxa"/>
            <w:tcBorders>
              <w:top w:val="nil"/>
              <w:left w:val="nil"/>
              <w:bottom w:val="nil"/>
              <w:right w:val="nil"/>
            </w:tcBorders>
            <w:noWrap/>
            <w:vAlign w:val="bottom"/>
            <w:hideMark/>
          </w:tcPr>
          <w:p w14:paraId="6988E236"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5E78AD3F" w14:textId="77777777" w:rsidTr="00073F44">
        <w:trPr>
          <w:trHeight w:val="290"/>
        </w:trPr>
        <w:tc>
          <w:tcPr>
            <w:tcW w:w="1880" w:type="dxa"/>
            <w:tcBorders>
              <w:top w:val="nil"/>
              <w:left w:val="nil"/>
              <w:bottom w:val="nil"/>
              <w:right w:val="nil"/>
            </w:tcBorders>
            <w:noWrap/>
            <w:vAlign w:val="bottom"/>
            <w:hideMark/>
          </w:tcPr>
          <w:p w14:paraId="1A822EC2" w14:textId="77777777" w:rsidR="008F5FCC" w:rsidRPr="009B6107" w:rsidRDefault="008F5FCC" w:rsidP="009B6107">
            <w:pPr>
              <w:spacing w:after="0" w:line="240" w:lineRule="auto"/>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Family history of DM</w:t>
            </w:r>
          </w:p>
        </w:tc>
        <w:tc>
          <w:tcPr>
            <w:tcW w:w="2231" w:type="dxa"/>
            <w:tcBorders>
              <w:top w:val="nil"/>
              <w:left w:val="nil"/>
              <w:bottom w:val="nil"/>
              <w:right w:val="nil"/>
            </w:tcBorders>
            <w:noWrap/>
            <w:vAlign w:val="bottom"/>
            <w:hideMark/>
          </w:tcPr>
          <w:p w14:paraId="0F4898E1"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1701" w:type="dxa"/>
            <w:tcBorders>
              <w:top w:val="nil"/>
              <w:left w:val="nil"/>
              <w:bottom w:val="nil"/>
              <w:right w:val="nil"/>
            </w:tcBorders>
            <w:noWrap/>
            <w:vAlign w:val="bottom"/>
            <w:hideMark/>
          </w:tcPr>
          <w:p w14:paraId="6F1D9F64"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7CF76EE5" w14:textId="77777777" w:rsidTr="00073F44">
        <w:trPr>
          <w:trHeight w:val="290"/>
        </w:trPr>
        <w:tc>
          <w:tcPr>
            <w:tcW w:w="1880" w:type="dxa"/>
            <w:tcBorders>
              <w:top w:val="nil"/>
              <w:left w:val="nil"/>
              <w:bottom w:val="nil"/>
              <w:right w:val="nil"/>
            </w:tcBorders>
            <w:noWrap/>
            <w:vAlign w:val="bottom"/>
            <w:hideMark/>
          </w:tcPr>
          <w:p w14:paraId="569B35B5"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Yes</w:t>
            </w:r>
          </w:p>
        </w:tc>
        <w:tc>
          <w:tcPr>
            <w:tcW w:w="2231" w:type="dxa"/>
            <w:tcBorders>
              <w:top w:val="nil"/>
              <w:left w:val="nil"/>
              <w:bottom w:val="nil"/>
              <w:right w:val="nil"/>
            </w:tcBorders>
            <w:noWrap/>
            <w:vAlign w:val="bottom"/>
            <w:hideMark/>
          </w:tcPr>
          <w:p w14:paraId="1B684935"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92</w:t>
            </w:r>
          </w:p>
        </w:tc>
        <w:tc>
          <w:tcPr>
            <w:tcW w:w="1701" w:type="dxa"/>
            <w:tcBorders>
              <w:top w:val="nil"/>
              <w:left w:val="nil"/>
              <w:bottom w:val="nil"/>
              <w:right w:val="nil"/>
            </w:tcBorders>
            <w:noWrap/>
            <w:vAlign w:val="bottom"/>
            <w:hideMark/>
          </w:tcPr>
          <w:p w14:paraId="0ACD31AD"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53.8</w:t>
            </w:r>
          </w:p>
        </w:tc>
      </w:tr>
      <w:tr w:rsidR="008F5FCC" w:rsidRPr="009B6107" w14:paraId="48A90919" w14:textId="77777777" w:rsidTr="00073F44">
        <w:trPr>
          <w:trHeight w:val="290"/>
        </w:trPr>
        <w:tc>
          <w:tcPr>
            <w:tcW w:w="1880" w:type="dxa"/>
            <w:tcBorders>
              <w:top w:val="nil"/>
              <w:left w:val="nil"/>
              <w:bottom w:val="nil"/>
              <w:right w:val="nil"/>
            </w:tcBorders>
            <w:noWrap/>
            <w:vAlign w:val="bottom"/>
            <w:hideMark/>
          </w:tcPr>
          <w:p w14:paraId="3B66381C"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No</w:t>
            </w:r>
          </w:p>
        </w:tc>
        <w:tc>
          <w:tcPr>
            <w:tcW w:w="2231" w:type="dxa"/>
            <w:tcBorders>
              <w:top w:val="nil"/>
              <w:left w:val="nil"/>
              <w:bottom w:val="nil"/>
              <w:right w:val="nil"/>
            </w:tcBorders>
            <w:noWrap/>
            <w:vAlign w:val="bottom"/>
            <w:hideMark/>
          </w:tcPr>
          <w:p w14:paraId="5B8359D2"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79</w:t>
            </w:r>
          </w:p>
        </w:tc>
        <w:tc>
          <w:tcPr>
            <w:tcW w:w="1701" w:type="dxa"/>
            <w:tcBorders>
              <w:top w:val="nil"/>
              <w:left w:val="nil"/>
              <w:bottom w:val="nil"/>
              <w:right w:val="nil"/>
            </w:tcBorders>
            <w:noWrap/>
            <w:vAlign w:val="bottom"/>
            <w:hideMark/>
          </w:tcPr>
          <w:p w14:paraId="5919AA59"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46.3</w:t>
            </w:r>
          </w:p>
        </w:tc>
      </w:tr>
      <w:tr w:rsidR="008F5FCC" w:rsidRPr="009B6107" w14:paraId="537327AE" w14:textId="77777777" w:rsidTr="00073F44">
        <w:trPr>
          <w:trHeight w:val="290"/>
        </w:trPr>
        <w:tc>
          <w:tcPr>
            <w:tcW w:w="1880" w:type="dxa"/>
            <w:tcBorders>
              <w:top w:val="nil"/>
              <w:left w:val="nil"/>
              <w:bottom w:val="nil"/>
              <w:right w:val="nil"/>
            </w:tcBorders>
            <w:noWrap/>
            <w:vAlign w:val="bottom"/>
            <w:hideMark/>
          </w:tcPr>
          <w:p w14:paraId="17CEEC16" w14:textId="77777777" w:rsidR="008F5FCC" w:rsidRPr="009B6107" w:rsidRDefault="008F5FCC" w:rsidP="009B6107">
            <w:pPr>
              <w:spacing w:after="0" w:line="240" w:lineRule="auto"/>
              <w:jc w:val="right"/>
              <w:rPr>
                <w:rFonts w:ascii="Times New Roman" w:eastAsia="Times New Roman" w:hAnsi="Times New Roman" w:cs="Times New Roman"/>
                <w:color w:val="000000"/>
                <w:kern w:val="0"/>
                <w:sz w:val="24"/>
                <w:szCs w:val="24"/>
                <w:lang w:eastAsia="en-GB"/>
                <w14:ligatures w14:val="none"/>
              </w:rPr>
            </w:pPr>
          </w:p>
        </w:tc>
        <w:tc>
          <w:tcPr>
            <w:tcW w:w="2231" w:type="dxa"/>
            <w:tcBorders>
              <w:top w:val="nil"/>
              <w:left w:val="nil"/>
              <w:bottom w:val="nil"/>
              <w:right w:val="nil"/>
            </w:tcBorders>
            <w:noWrap/>
            <w:vAlign w:val="bottom"/>
            <w:hideMark/>
          </w:tcPr>
          <w:p w14:paraId="7843BFF6"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c>
          <w:tcPr>
            <w:tcW w:w="1701" w:type="dxa"/>
            <w:tcBorders>
              <w:top w:val="nil"/>
              <w:left w:val="nil"/>
              <w:bottom w:val="nil"/>
              <w:right w:val="nil"/>
            </w:tcBorders>
            <w:noWrap/>
            <w:vAlign w:val="bottom"/>
            <w:hideMark/>
          </w:tcPr>
          <w:p w14:paraId="5A283481"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5E388EF8" w14:textId="77777777" w:rsidTr="00073F44">
        <w:trPr>
          <w:trHeight w:val="290"/>
        </w:trPr>
        <w:tc>
          <w:tcPr>
            <w:tcW w:w="1880" w:type="dxa"/>
            <w:tcBorders>
              <w:top w:val="nil"/>
              <w:left w:val="nil"/>
              <w:bottom w:val="nil"/>
              <w:right w:val="nil"/>
            </w:tcBorders>
            <w:noWrap/>
            <w:vAlign w:val="bottom"/>
            <w:hideMark/>
          </w:tcPr>
          <w:p w14:paraId="03C630DB" w14:textId="77777777" w:rsidR="008F5FCC" w:rsidRPr="009B6107" w:rsidRDefault="008F5FCC" w:rsidP="009B6107">
            <w:pPr>
              <w:spacing w:after="0" w:line="240" w:lineRule="auto"/>
              <w:rPr>
                <w:rFonts w:ascii="Times New Roman" w:eastAsia="Times New Roman" w:hAnsi="Times New Roman" w:cs="Times New Roman"/>
                <w:b/>
                <w:bCs/>
                <w:color w:val="000000"/>
                <w:kern w:val="0"/>
                <w:sz w:val="24"/>
                <w:szCs w:val="24"/>
                <w:lang w:eastAsia="en-GB"/>
                <w14:ligatures w14:val="none"/>
              </w:rPr>
            </w:pPr>
            <w:r w:rsidRPr="009B6107">
              <w:rPr>
                <w:rFonts w:ascii="Times New Roman" w:eastAsia="Times New Roman" w:hAnsi="Times New Roman" w:cs="Times New Roman"/>
                <w:b/>
                <w:bCs/>
                <w:color w:val="000000"/>
                <w:kern w:val="0"/>
                <w:sz w:val="24"/>
                <w:szCs w:val="24"/>
                <w:lang w:eastAsia="en-GB"/>
                <w14:ligatures w14:val="none"/>
              </w:rPr>
              <w:t>Smoking status</w:t>
            </w:r>
          </w:p>
        </w:tc>
        <w:tc>
          <w:tcPr>
            <w:tcW w:w="2231" w:type="dxa"/>
            <w:tcBorders>
              <w:top w:val="nil"/>
              <w:left w:val="nil"/>
              <w:bottom w:val="nil"/>
              <w:right w:val="nil"/>
            </w:tcBorders>
            <w:noWrap/>
            <w:vAlign w:val="bottom"/>
            <w:hideMark/>
          </w:tcPr>
          <w:p w14:paraId="654CF196"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p>
        </w:tc>
        <w:tc>
          <w:tcPr>
            <w:tcW w:w="1701" w:type="dxa"/>
            <w:tcBorders>
              <w:top w:val="nil"/>
              <w:left w:val="nil"/>
              <w:bottom w:val="nil"/>
              <w:right w:val="nil"/>
            </w:tcBorders>
            <w:noWrap/>
            <w:vAlign w:val="bottom"/>
            <w:hideMark/>
          </w:tcPr>
          <w:p w14:paraId="53DCF1E4" w14:textId="77777777" w:rsidR="008F5FCC" w:rsidRPr="009B6107" w:rsidRDefault="008F5FCC" w:rsidP="009B6107">
            <w:pPr>
              <w:spacing w:after="0" w:line="240" w:lineRule="auto"/>
              <w:jc w:val="center"/>
              <w:rPr>
                <w:rFonts w:ascii="Times New Roman" w:eastAsia="Times New Roman" w:hAnsi="Times New Roman" w:cs="Times New Roman"/>
                <w:kern w:val="0"/>
                <w:sz w:val="24"/>
                <w:szCs w:val="24"/>
                <w:lang w:eastAsia="en-GB"/>
                <w14:ligatures w14:val="none"/>
              </w:rPr>
            </w:pPr>
          </w:p>
        </w:tc>
      </w:tr>
      <w:tr w:rsidR="008F5FCC" w:rsidRPr="009B6107" w14:paraId="7360BF04" w14:textId="77777777" w:rsidTr="00073F44">
        <w:trPr>
          <w:trHeight w:val="290"/>
        </w:trPr>
        <w:tc>
          <w:tcPr>
            <w:tcW w:w="1880" w:type="dxa"/>
            <w:tcBorders>
              <w:top w:val="nil"/>
              <w:left w:val="nil"/>
              <w:right w:val="nil"/>
            </w:tcBorders>
            <w:noWrap/>
            <w:vAlign w:val="bottom"/>
            <w:hideMark/>
          </w:tcPr>
          <w:p w14:paraId="3AD1A373"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Yes</w:t>
            </w:r>
          </w:p>
        </w:tc>
        <w:tc>
          <w:tcPr>
            <w:tcW w:w="2231" w:type="dxa"/>
            <w:tcBorders>
              <w:top w:val="nil"/>
              <w:left w:val="nil"/>
              <w:right w:val="nil"/>
            </w:tcBorders>
            <w:noWrap/>
            <w:vAlign w:val="bottom"/>
            <w:hideMark/>
          </w:tcPr>
          <w:p w14:paraId="17784713"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87</w:t>
            </w:r>
          </w:p>
        </w:tc>
        <w:tc>
          <w:tcPr>
            <w:tcW w:w="1701" w:type="dxa"/>
            <w:tcBorders>
              <w:top w:val="nil"/>
              <w:left w:val="nil"/>
              <w:right w:val="nil"/>
            </w:tcBorders>
            <w:noWrap/>
            <w:vAlign w:val="bottom"/>
            <w:hideMark/>
          </w:tcPr>
          <w:p w14:paraId="7C4B64A3"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50.9</w:t>
            </w:r>
          </w:p>
        </w:tc>
      </w:tr>
      <w:tr w:rsidR="008F5FCC" w:rsidRPr="009B6107" w14:paraId="487C127D" w14:textId="77777777" w:rsidTr="00073F44">
        <w:trPr>
          <w:trHeight w:val="290"/>
        </w:trPr>
        <w:tc>
          <w:tcPr>
            <w:tcW w:w="1880" w:type="dxa"/>
            <w:tcBorders>
              <w:top w:val="nil"/>
              <w:left w:val="nil"/>
              <w:bottom w:val="single" w:sz="4" w:space="0" w:color="auto"/>
              <w:right w:val="nil"/>
            </w:tcBorders>
            <w:noWrap/>
            <w:vAlign w:val="bottom"/>
            <w:hideMark/>
          </w:tcPr>
          <w:p w14:paraId="618CFBC1" w14:textId="77777777" w:rsidR="008F5FCC" w:rsidRPr="009B6107" w:rsidRDefault="008F5FCC" w:rsidP="009B6107">
            <w:pPr>
              <w:spacing w:after="0" w:line="240" w:lineRule="auto"/>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No</w:t>
            </w:r>
          </w:p>
        </w:tc>
        <w:tc>
          <w:tcPr>
            <w:tcW w:w="2231" w:type="dxa"/>
            <w:tcBorders>
              <w:top w:val="nil"/>
              <w:left w:val="nil"/>
              <w:bottom w:val="single" w:sz="4" w:space="0" w:color="auto"/>
              <w:right w:val="nil"/>
            </w:tcBorders>
            <w:noWrap/>
            <w:vAlign w:val="bottom"/>
            <w:hideMark/>
          </w:tcPr>
          <w:p w14:paraId="78A30C54"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84</w:t>
            </w:r>
          </w:p>
        </w:tc>
        <w:tc>
          <w:tcPr>
            <w:tcW w:w="1701" w:type="dxa"/>
            <w:tcBorders>
              <w:top w:val="nil"/>
              <w:left w:val="nil"/>
              <w:bottom w:val="single" w:sz="4" w:space="0" w:color="auto"/>
              <w:right w:val="nil"/>
            </w:tcBorders>
            <w:noWrap/>
            <w:vAlign w:val="bottom"/>
            <w:hideMark/>
          </w:tcPr>
          <w:p w14:paraId="221CDDF7" w14:textId="77777777" w:rsidR="008F5FCC" w:rsidRPr="009B6107" w:rsidRDefault="008F5FCC" w:rsidP="009B6107">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9B6107">
              <w:rPr>
                <w:rFonts w:ascii="Times New Roman" w:eastAsia="Times New Roman" w:hAnsi="Times New Roman" w:cs="Times New Roman"/>
                <w:color w:val="000000"/>
                <w:kern w:val="0"/>
                <w:sz w:val="24"/>
                <w:szCs w:val="24"/>
                <w:lang w:eastAsia="en-GB"/>
                <w14:ligatures w14:val="none"/>
              </w:rPr>
              <w:t>49.1</w:t>
            </w:r>
          </w:p>
        </w:tc>
      </w:tr>
    </w:tbl>
    <w:p w14:paraId="5ADE235E" w14:textId="77777777" w:rsidR="008F5FCC" w:rsidRDefault="008F5FCC" w:rsidP="003F6F5D">
      <w:pPr>
        <w:jc w:val="both"/>
        <w:rPr>
          <w:rFonts w:ascii="Times New Roman" w:hAnsi="Times New Roman" w:cs="Times New Roman"/>
          <w:b/>
          <w:bCs/>
          <w:sz w:val="24"/>
          <w:szCs w:val="24"/>
        </w:rPr>
      </w:pPr>
    </w:p>
    <w:p w14:paraId="6D2E161C" w14:textId="2D7E7ED4" w:rsidR="008F5FCC" w:rsidRPr="00466192" w:rsidRDefault="008F5FCC" w:rsidP="000F3883">
      <w:pPr>
        <w:jc w:val="both"/>
        <w:rPr>
          <w:rFonts w:ascii="Times New Roman" w:hAnsi="Times New Roman" w:cs="Times New Roman"/>
          <w:sz w:val="24"/>
          <w:szCs w:val="24"/>
        </w:rPr>
      </w:pPr>
      <w:r w:rsidRPr="00466192">
        <w:rPr>
          <w:rFonts w:ascii="Times New Roman" w:hAnsi="Times New Roman" w:cs="Times New Roman"/>
          <w:sz w:val="24"/>
          <w:szCs w:val="24"/>
        </w:rPr>
        <w:t xml:space="preserve">While the image is not visible, the title indicates this chart illustrates the overall prevalence of </w:t>
      </w:r>
      <w:proofErr w:type="spellStart"/>
      <w:r w:rsidRPr="00466192">
        <w:rPr>
          <w:rFonts w:ascii="Times New Roman" w:hAnsi="Times New Roman" w:cs="Times New Roman"/>
          <w:sz w:val="24"/>
          <w:szCs w:val="24"/>
        </w:rPr>
        <w:t>dysglycaemia</w:t>
      </w:r>
      <w:proofErr w:type="spellEnd"/>
      <w:r w:rsidRPr="00466192">
        <w:rPr>
          <w:rFonts w:ascii="Times New Roman" w:hAnsi="Times New Roman" w:cs="Times New Roman"/>
          <w:sz w:val="24"/>
          <w:szCs w:val="24"/>
        </w:rPr>
        <w:t xml:space="preserve"> among the study population. Based on context from Table </w:t>
      </w:r>
      <w:r w:rsidR="008C185D">
        <w:rPr>
          <w:rFonts w:ascii="Times New Roman" w:hAnsi="Times New Roman" w:cs="Times New Roman"/>
          <w:sz w:val="24"/>
          <w:szCs w:val="24"/>
        </w:rPr>
        <w:t>3</w:t>
      </w:r>
      <w:r w:rsidRPr="00466192">
        <w:rPr>
          <w:rFonts w:ascii="Times New Roman" w:hAnsi="Times New Roman" w:cs="Times New Roman"/>
          <w:sz w:val="24"/>
          <w:szCs w:val="24"/>
        </w:rPr>
        <w:t xml:space="preserve">, 90 out of 171 participants (52.6%) were identified as having </w:t>
      </w:r>
      <w:proofErr w:type="spellStart"/>
      <w:r w:rsidRPr="00466192">
        <w:rPr>
          <w:rFonts w:ascii="Times New Roman" w:hAnsi="Times New Roman" w:cs="Times New Roman"/>
          <w:sz w:val="24"/>
          <w:szCs w:val="24"/>
        </w:rPr>
        <w:t>dysglycaemia</w:t>
      </w:r>
      <w:proofErr w:type="spellEnd"/>
      <w:r w:rsidRPr="00466192">
        <w:rPr>
          <w:rFonts w:ascii="Times New Roman" w:hAnsi="Times New Roman" w:cs="Times New Roman"/>
          <w:sz w:val="24"/>
          <w:szCs w:val="24"/>
        </w:rPr>
        <w:t>.</w:t>
      </w:r>
    </w:p>
    <w:p w14:paraId="1C131301" w14:textId="77777777" w:rsidR="008F5FCC" w:rsidRDefault="008F5FCC" w:rsidP="003F6F5D">
      <w:pPr>
        <w:jc w:val="both"/>
        <w:rPr>
          <w:rFonts w:ascii="Times New Roman" w:hAnsi="Times New Roman" w:cs="Times New Roman"/>
          <w:b/>
          <w:bCs/>
          <w:sz w:val="24"/>
          <w:szCs w:val="24"/>
        </w:rPr>
      </w:pPr>
      <w:r>
        <w:rPr>
          <w:noProof/>
        </w:rPr>
        <w:drawing>
          <wp:anchor distT="0" distB="0" distL="114300" distR="114300" simplePos="0" relativeHeight="251659264" behindDoc="0" locked="0" layoutInCell="1" allowOverlap="1" wp14:anchorId="7CA027EC" wp14:editId="27288917">
            <wp:simplePos x="0" y="0"/>
            <wp:positionH relativeFrom="margin">
              <wp:posOffset>577850</wp:posOffset>
            </wp:positionH>
            <wp:positionV relativeFrom="paragraph">
              <wp:posOffset>180975</wp:posOffset>
            </wp:positionV>
            <wp:extent cx="4000500" cy="2152650"/>
            <wp:effectExtent l="0" t="0" r="0" b="0"/>
            <wp:wrapNone/>
            <wp:docPr id="1562166213" name="Chart 1">
              <a:extLst xmlns:a="http://schemas.openxmlformats.org/drawingml/2006/main">
                <a:ext uri="{FF2B5EF4-FFF2-40B4-BE49-F238E27FC236}">
                  <a16:creationId xmlns:a16="http://schemas.microsoft.com/office/drawing/2014/main" id="{C8A681DE-55A2-5575-C2E9-78154238A7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2CCD752" w14:textId="77777777" w:rsidR="008F5FCC" w:rsidRDefault="008F5FCC" w:rsidP="003F6F5D">
      <w:pPr>
        <w:jc w:val="both"/>
        <w:rPr>
          <w:rFonts w:ascii="Times New Roman" w:hAnsi="Times New Roman" w:cs="Times New Roman"/>
          <w:b/>
          <w:bCs/>
          <w:sz w:val="24"/>
          <w:szCs w:val="24"/>
        </w:rPr>
      </w:pPr>
    </w:p>
    <w:p w14:paraId="276D22FB" w14:textId="77777777" w:rsidR="008F5FCC" w:rsidRPr="009B6107" w:rsidRDefault="008F5FCC" w:rsidP="003F6F5D">
      <w:pPr>
        <w:jc w:val="both"/>
        <w:rPr>
          <w:rFonts w:ascii="Times New Roman" w:hAnsi="Times New Roman" w:cs="Times New Roman"/>
          <w:b/>
          <w:bCs/>
          <w:sz w:val="24"/>
          <w:szCs w:val="24"/>
        </w:rPr>
      </w:pPr>
    </w:p>
    <w:p w14:paraId="20E3C7E2" w14:textId="77777777" w:rsidR="008F5FCC" w:rsidRDefault="008F5FCC">
      <w:pPr>
        <w:rPr>
          <w:rFonts w:ascii="Times New Roman" w:hAnsi="Times New Roman" w:cs="Times New Roman"/>
          <w:b/>
          <w:bCs/>
          <w:sz w:val="24"/>
          <w:szCs w:val="24"/>
        </w:rPr>
      </w:pPr>
    </w:p>
    <w:p w14:paraId="5D77F4A1" w14:textId="77777777" w:rsidR="008F5FCC" w:rsidRDefault="008F5FCC">
      <w:pPr>
        <w:rPr>
          <w:rFonts w:ascii="Times New Roman" w:hAnsi="Times New Roman" w:cs="Times New Roman"/>
          <w:b/>
          <w:bCs/>
          <w:sz w:val="24"/>
          <w:szCs w:val="24"/>
        </w:rPr>
      </w:pPr>
    </w:p>
    <w:p w14:paraId="5DF0A1EC" w14:textId="77777777" w:rsidR="008F5FCC" w:rsidRDefault="008F5FCC">
      <w:pPr>
        <w:rPr>
          <w:rFonts w:ascii="Times New Roman" w:hAnsi="Times New Roman" w:cs="Times New Roman"/>
          <w:b/>
          <w:bCs/>
          <w:sz w:val="24"/>
          <w:szCs w:val="24"/>
        </w:rPr>
      </w:pPr>
    </w:p>
    <w:p w14:paraId="7380C7FA" w14:textId="77777777" w:rsidR="008F5FCC" w:rsidRDefault="008F5FCC">
      <w:pPr>
        <w:rPr>
          <w:rFonts w:ascii="Times New Roman" w:hAnsi="Times New Roman" w:cs="Times New Roman"/>
          <w:b/>
          <w:bCs/>
          <w:sz w:val="24"/>
          <w:szCs w:val="24"/>
        </w:rPr>
      </w:pPr>
    </w:p>
    <w:p w14:paraId="2E84BB95" w14:textId="77777777" w:rsidR="008F5FCC" w:rsidRDefault="008F5FCC">
      <w:pPr>
        <w:rPr>
          <w:rFonts w:ascii="Times New Roman" w:hAnsi="Times New Roman" w:cs="Times New Roman"/>
          <w:b/>
          <w:bCs/>
          <w:sz w:val="24"/>
          <w:szCs w:val="24"/>
        </w:rPr>
      </w:pPr>
    </w:p>
    <w:p w14:paraId="351CFD0D" w14:textId="77777777" w:rsidR="008F5FCC" w:rsidRDefault="008F5FCC">
      <w:pPr>
        <w:rPr>
          <w:rFonts w:ascii="Times New Roman" w:hAnsi="Times New Roman" w:cs="Times New Roman"/>
          <w:b/>
          <w:bCs/>
          <w:sz w:val="24"/>
          <w:szCs w:val="24"/>
        </w:rPr>
      </w:pPr>
      <w:r>
        <w:rPr>
          <w:noProof/>
        </w:rPr>
        <mc:AlternateContent>
          <mc:Choice Requires="wps">
            <w:drawing>
              <wp:anchor distT="0" distB="0" distL="114300" distR="114300" simplePos="0" relativeHeight="251660288" behindDoc="0" locked="0" layoutInCell="1" allowOverlap="1" wp14:anchorId="591FF0AD" wp14:editId="3960F4F7">
                <wp:simplePos x="0" y="0"/>
                <wp:positionH relativeFrom="margin">
                  <wp:align>center</wp:align>
                </wp:positionH>
                <wp:positionV relativeFrom="paragraph">
                  <wp:posOffset>81915</wp:posOffset>
                </wp:positionV>
                <wp:extent cx="4572000" cy="635"/>
                <wp:effectExtent l="0" t="0" r="0" b="0"/>
                <wp:wrapNone/>
                <wp:docPr id="995446432" name="Text Box 1"/>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14:paraId="274FC946" w14:textId="77777777" w:rsidR="008F5FCC" w:rsidRPr="00160946" w:rsidRDefault="008F5FCC" w:rsidP="007C3F03">
                            <w:pPr>
                              <w:pStyle w:val="Caption"/>
                              <w:rPr>
                                <w:noProof/>
                                <w:sz w:val="22"/>
                                <w:szCs w:val="22"/>
                              </w:rPr>
                            </w:pPr>
                            <w:r>
                              <w:t xml:space="preserve">Figure </w:t>
                            </w:r>
                            <w:fldSimple w:instr=" SEQ Figure \* ARABIC ">
                              <w:r>
                                <w:rPr>
                                  <w:noProof/>
                                </w:rPr>
                                <w:t>1</w:t>
                              </w:r>
                            </w:fldSimple>
                            <w:r>
                              <w:t>: Prevalence of Dysglycaemia in TB Patients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91FF0AD" id="_x0000_t202" coordsize="21600,21600" o:spt="202" path="m,l,21600r21600,l21600,xe">
                <v:stroke joinstyle="miter"/>
                <v:path gradientshapeok="t" o:connecttype="rect"/>
              </v:shapetype>
              <v:shape id="Text Box 1" o:spid="_x0000_s1026" type="#_x0000_t202" style="position:absolute;margin-left:0;margin-top:6.45pt;width:5in;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" stroked="f">
                <v:textbox style="mso-fit-shape-to-text:t" inset="0,0,0,0">
                  <w:txbxContent>
                    <w:p w14:paraId="274FC946" w14:textId="77777777" w:rsidR="008F5FCC" w:rsidRPr="00160946" w:rsidRDefault="008F5FCC" w:rsidP="007C3F03">
                      <w:pPr>
                        <w:pStyle w:val="Caption"/>
                        <w:rPr>
                          <w:noProof/>
                          <w:sz w:val="22"/>
                          <w:szCs w:val="22"/>
                        </w:rPr>
                      </w:pPr>
                      <w:r>
                        <w:t xml:space="preserve">Figure </w:t>
                      </w:r>
                      <w:fldSimple w:instr=" SEQ Figure \* ARABIC ">
                        <w:r>
                          <w:rPr>
                            <w:noProof/>
                          </w:rPr>
                          <w:t>1</w:t>
                        </w:r>
                      </w:fldSimple>
                      <w:r>
                        <w:t>: Prevalence of Dysglycaemia in TB Patients</w:t>
                      </w:r>
                    </w:p>
                  </w:txbxContent>
                </v:textbox>
                <w10:wrap anchorx="margin"/>
              </v:shape>
            </w:pict>
          </mc:Fallback>
        </mc:AlternateContent>
      </w:r>
    </w:p>
    <w:p w14:paraId="34249EDC" w14:textId="77777777" w:rsidR="008F5FCC" w:rsidRDefault="008F5FCC">
      <w:pPr>
        <w:rPr>
          <w:rFonts w:ascii="Times New Roman" w:hAnsi="Times New Roman" w:cs="Times New Roman"/>
          <w:b/>
          <w:bCs/>
          <w:sz w:val="24"/>
          <w:szCs w:val="24"/>
        </w:rPr>
      </w:pPr>
    </w:p>
    <w:p w14:paraId="21CB1611" w14:textId="77777777" w:rsidR="008F5FCC" w:rsidRPr="00466192" w:rsidRDefault="008F5FCC" w:rsidP="00676971">
      <w:pPr>
        <w:jc w:val="both"/>
        <w:rPr>
          <w:rFonts w:ascii="Times New Roman" w:hAnsi="Times New Roman" w:cs="Times New Roman"/>
          <w:sz w:val="24"/>
          <w:szCs w:val="24"/>
        </w:rPr>
      </w:pPr>
      <w:r w:rsidRPr="00466192">
        <w:rPr>
          <w:rFonts w:ascii="Times New Roman" w:hAnsi="Times New Roman" w:cs="Times New Roman"/>
          <w:sz w:val="24"/>
          <w:szCs w:val="24"/>
        </w:rPr>
        <w:lastRenderedPageBreak/>
        <w:t xml:space="preserve">This chart presumably distinguishes between the types of </w:t>
      </w:r>
      <w:proofErr w:type="spellStart"/>
      <w:r w:rsidRPr="00466192">
        <w:rPr>
          <w:rFonts w:ascii="Times New Roman" w:hAnsi="Times New Roman" w:cs="Times New Roman"/>
          <w:sz w:val="24"/>
          <w:szCs w:val="24"/>
        </w:rPr>
        <w:t>dysglycaemia</w:t>
      </w:r>
      <w:proofErr w:type="spellEnd"/>
      <w:r w:rsidRPr="00466192">
        <w:rPr>
          <w:rFonts w:ascii="Times New Roman" w:hAnsi="Times New Roman" w:cs="Times New Roman"/>
          <w:sz w:val="24"/>
          <w:szCs w:val="24"/>
        </w:rPr>
        <w:t xml:space="preserve"> detected—likely prediabetes versus overt diabetes mellitus—though the precise figures are not provided. These distinctions are essential for clinical triage and disease risk stratification.</w:t>
      </w:r>
    </w:p>
    <w:p w14:paraId="071A5A21" w14:textId="77777777" w:rsidR="008F5FCC" w:rsidRDefault="008F5FCC">
      <w:pPr>
        <w:rPr>
          <w:rFonts w:ascii="Times New Roman" w:hAnsi="Times New Roman" w:cs="Times New Roman"/>
          <w:b/>
          <w:bCs/>
          <w:sz w:val="24"/>
          <w:szCs w:val="24"/>
        </w:rPr>
      </w:pPr>
    </w:p>
    <w:p w14:paraId="19005033" w14:textId="77777777" w:rsidR="008F5FCC" w:rsidRDefault="008F5FCC">
      <w:pPr>
        <w:rPr>
          <w:rFonts w:ascii="Times New Roman" w:hAnsi="Times New Roman" w:cs="Times New Roman"/>
          <w:b/>
          <w:bCs/>
          <w:sz w:val="24"/>
          <w:szCs w:val="24"/>
        </w:rPr>
      </w:pPr>
    </w:p>
    <w:p w14:paraId="3C116E73" w14:textId="77777777" w:rsidR="008F5FCC" w:rsidRDefault="008F5FCC" w:rsidP="002756BF">
      <w:pPr>
        <w:keepNext/>
      </w:pPr>
      <w:r>
        <w:rPr>
          <w:noProof/>
        </w:rPr>
        <w:drawing>
          <wp:inline distT="0" distB="0" distL="0" distR="0" wp14:anchorId="57A27295" wp14:editId="0E12A994">
            <wp:extent cx="4572000" cy="2743200"/>
            <wp:effectExtent l="0" t="0" r="0" b="0"/>
            <wp:docPr id="1632463221" name="Chart 1">
              <a:extLst xmlns:a="http://schemas.openxmlformats.org/drawingml/2006/main">
                <a:ext uri="{FF2B5EF4-FFF2-40B4-BE49-F238E27FC236}">
                  <a16:creationId xmlns:a16="http://schemas.microsoft.com/office/drawing/2014/main" id="{FADF2269-CDB7-079B-DA0D-DAAA109A59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C6F4EB" w14:textId="77777777" w:rsidR="008F5FCC" w:rsidRDefault="008F5FCC" w:rsidP="002756BF">
      <w:pPr>
        <w:pStyle w:val="Caption"/>
      </w:pPr>
      <w:r>
        <w:t xml:space="preserve">Figure </w:t>
      </w:r>
      <w:fldSimple w:instr=" SEQ Figure \* ARABIC ">
        <w:r>
          <w:rPr>
            <w:noProof/>
          </w:rPr>
          <w:t>2</w:t>
        </w:r>
      </w:fldSimple>
      <w:r>
        <w:t>: Pattern of Dysglycaemia in TB patients</w:t>
      </w:r>
    </w:p>
    <w:p w14:paraId="02AE8543" w14:textId="77777777" w:rsidR="008F5FCC" w:rsidRDefault="008F5FCC">
      <w:pPr>
        <w:rPr>
          <w:rFonts w:ascii="Times New Roman" w:hAnsi="Times New Roman" w:cs="Times New Roman"/>
          <w:b/>
          <w:bCs/>
          <w:sz w:val="24"/>
          <w:szCs w:val="24"/>
        </w:rPr>
      </w:pPr>
    </w:p>
    <w:p w14:paraId="7C3AFD0E" w14:textId="49833927" w:rsidR="008F5FCC" w:rsidRPr="00466192" w:rsidRDefault="008F5FCC" w:rsidP="00676971">
      <w:pPr>
        <w:jc w:val="both"/>
        <w:rPr>
          <w:rFonts w:ascii="Times New Roman" w:hAnsi="Times New Roman" w:cs="Times New Roman"/>
          <w:sz w:val="24"/>
          <w:szCs w:val="24"/>
        </w:rPr>
      </w:pPr>
      <w:r w:rsidRPr="00466192">
        <w:rPr>
          <w:rFonts w:ascii="Times New Roman" w:hAnsi="Times New Roman" w:cs="Times New Roman"/>
          <w:sz w:val="24"/>
          <w:szCs w:val="24"/>
        </w:rPr>
        <w:t xml:space="preserve"> Distribution of Socio-demographic Factors and Dysglycaemia</w:t>
      </w:r>
    </w:p>
    <w:p w14:paraId="7E0AF83F" w14:textId="77777777" w:rsidR="008F5FCC" w:rsidRPr="00466192" w:rsidRDefault="008F5FCC" w:rsidP="00676971">
      <w:pPr>
        <w:jc w:val="both"/>
        <w:rPr>
          <w:rFonts w:ascii="Times New Roman" w:hAnsi="Times New Roman" w:cs="Times New Roman"/>
          <w:sz w:val="24"/>
          <w:szCs w:val="24"/>
        </w:rPr>
      </w:pPr>
      <w:r w:rsidRPr="00466192">
        <w:rPr>
          <w:rFonts w:ascii="Times New Roman" w:hAnsi="Times New Roman" w:cs="Times New Roman"/>
          <w:sz w:val="24"/>
          <w:szCs w:val="24"/>
        </w:rPr>
        <w:t xml:space="preserve">This table compares demographic and clinical variables between TB patients with and without </w:t>
      </w:r>
      <w:proofErr w:type="spellStart"/>
      <w:r w:rsidRPr="00466192">
        <w:rPr>
          <w:rFonts w:ascii="Times New Roman" w:hAnsi="Times New Roman" w:cs="Times New Roman"/>
          <w:sz w:val="24"/>
          <w:szCs w:val="24"/>
        </w:rPr>
        <w:t>dysglycaemia</w:t>
      </w:r>
      <w:proofErr w:type="spellEnd"/>
      <w:r w:rsidRPr="00466192">
        <w:rPr>
          <w:rFonts w:ascii="Times New Roman" w:hAnsi="Times New Roman" w:cs="Times New Roman"/>
          <w:sz w:val="24"/>
          <w:szCs w:val="24"/>
        </w:rPr>
        <w:t xml:space="preserve">. The differences in age group, gender, and educational attainment were not statistically significant (p &gt; 0.05). However, occupation and BMI were significantly associated with </w:t>
      </w:r>
      <w:proofErr w:type="spellStart"/>
      <w:r w:rsidRPr="00466192">
        <w:rPr>
          <w:rFonts w:ascii="Times New Roman" w:hAnsi="Times New Roman" w:cs="Times New Roman"/>
          <w:sz w:val="24"/>
          <w:szCs w:val="24"/>
        </w:rPr>
        <w:t>dysglycaemia</w:t>
      </w:r>
      <w:proofErr w:type="spellEnd"/>
      <w:r w:rsidRPr="00466192">
        <w:rPr>
          <w:rFonts w:ascii="Times New Roman" w:hAnsi="Times New Roman" w:cs="Times New Roman"/>
          <w:sz w:val="24"/>
          <w:szCs w:val="24"/>
        </w:rPr>
        <w:t xml:space="preserve"> (p &lt; 0.0001). Unskilled workers and individuals with higher BMI (overweight or obese) were more likely to have </w:t>
      </w:r>
      <w:proofErr w:type="spellStart"/>
      <w:r w:rsidRPr="00466192">
        <w:rPr>
          <w:rFonts w:ascii="Times New Roman" w:hAnsi="Times New Roman" w:cs="Times New Roman"/>
          <w:sz w:val="24"/>
          <w:szCs w:val="24"/>
        </w:rPr>
        <w:t>dysglycaemia</w:t>
      </w:r>
      <w:proofErr w:type="spellEnd"/>
      <w:r w:rsidRPr="00466192">
        <w:rPr>
          <w:rFonts w:ascii="Times New Roman" w:hAnsi="Times New Roman" w:cs="Times New Roman"/>
          <w:sz w:val="24"/>
          <w:szCs w:val="24"/>
        </w:rPr>
        <w:t>.</w:t>
      </w:r>
    </w:p>
    <w:p w14:paraId="05E28AE4" w14:textId="77777777" w:rsidR="008F5FCC" w:rsidRDefault="008F5FCC">
      <w:pPr>
        <w:rPr>
          <w:rFonts w:ascii="Times New Roman" w:hAnsi="Times New Roman" w:cs="Times New Roman"/>
          <w:b/>
          <w:bCs/>
          <w:sz w:val="24"/>
          <w:szCs w:val="24"/>
        </w:rPr>
      </w:pPr>
      <w:r>
        <w:rPr>
          <w:rFonts w:ascii="Times New Roman" w:hAnsi="Times New Roman" w:cs="Times New Roman"/>
          <w:b/>
          <w:bCs/>
          <w:sz w:val="24"/>
          <w:szCs w:val="24"/>
        </w:rPr>
        <w:br w:type="page"/>
      </w:r>
    </w:p>
    <w:p w14:paraId="5EF705FF" w14:textId="77777777" w:rsidR="008F5FCC" w:rsidRDefault="008F5FCC" w:rsidP="003F6F5D">
      <w:pPr>
        <w:jc w:val="both"/>
        <w:rPr>
          <w:rFonts w:ascii="Times New Roman" w:hAnsi="Times New Roman" w:cs="Times New Roman"/>
          <w:b/>
          <w:bCs/>
          <w:sz w:val="24"/>
          <w:szCs w:val="24"/>
        </w:rPr>
      </w:pPr>
    </w:p>
    <w:p w14:paraId="45ADF82E" w14:textId="77777777" w:rsidR="008F5FCC" w:rsidRPr="00367737" w:rsidRDefault="008F5FCC" w:rsidP="00470036">
      <w:pPr>
        <w:rPr>
          <w:rFonts w:ascii="Times New Roman" w:hAnsi="Times New Roman"/>
          <w:b/>
          <w:bCs/>
          <w:sz w:val="24"/>
          <w:szCs w:val="24"/>
        </w:rPr>
      </w:pPr>
      <w:r>
        <w:rPr>
          <w:rFonts w:ascii="Times New Roman" w:hAnsi="Times New Roman"/>
          <w:b/>
          <w:bCs/>
          <w:sz w:val="24"/>
          <w:szCs w:val="24"/>
        </w:rPr>
        <w:t xml:space="preserve">Table 3: </w:t>
      </w:r>
      <w:r w:rsidRPr="00367737">
        <w:rPr>
          <w:rFonts w:ascii="Times New Roman" w:hAnsi="Times New Roman"/>
          <w:b/>
          <w:bCs/>
          <w:sz w:val="24"/>
          <w:szCs w:val="24"/>
        </w:rPr>
        <w:t>Distribution of Socio</w:t>
      </w:r>
      <w:r>
        <w:rPr>
          <w:rFonts w:ascii="Times New Roman" w:hAnsi="Times New Roman"/>
          <w:b/>
          <w:bCs/>
          <w:sz w:val="24"/>
          <w:szCs w:val="24"/>
        </w:rPr>
        <w:t>-</w:t>
      </w:r>
      <w:r w:rsidRPr="00367737">
        <w:rPr>
          <w:rFonts w:ascii="Times New Roman" w:hAnsi="Times New Roman"/>
          <w:b/>
          <w:bCs/>
          <w:sz w:val="24"/>
          <w:szCs w:val="24"/>
        </w:rPr>
        <w:t>demograph</w:t>
      </w:r>
      <w:r>
        <w:rPr>
          <w:rFonts w:ascii="Times New Roman" w:hAnsi="Times New Roman"/>
          <w:b/>
          <w:bCs/>
          <w:sz w:val="24"/>
          <w:szCs w:val="24"/>
        </w:rPr>
        <w:t>ic factors and Dysglycaemia</w:t>
      </w:r>
    </w:p>
    <w:tbl>
      <w:tblPr>
        <w:tblStyle w:val="LightShading"/>
        <w:tblW w:w="8613" w:type="dxa"/>
        <w:tblLook w:val="0620" w:firstRow="1" w:lastRow="0" w:firstColumn="0" w:lastColumn="0" w:noHBand="1" w:noVBand="1"/>
      </w:tblPr>
      <w:tblGrid>
        <w:gridCol w:w="2166"/>
        <w:gridCol w:w="2126"/>
        <w:gridCol w:w="1770"/>
        <w:gridCol w:w="2551"/>
      </w:tblGrid>
      <w:tr w:rsidR="008F5FCC" w:rsidRPr="0028603D" w14:paraId="153C6D0C" w14:textId="77777777" w:rsidTr="00AC3A14">
        <w:trPr>
          <w:cnfStyle w:val="100000000000" w:firstRow="1" w:lastRow="0" w:firstColumn="0" w:lastColumn="0" w:oddVBand="0" w:evenVBand="0" w:oddHBand="0" w:evenHBand="0" w:firstRowFirstColumn="0" w:firstRowLastColumn="0" w:lastRowFirstColumn="0" w:lastRowLastColumn="0"/>
          <w:trHeight w:val="300"/>
        </w:trPr>
        <w:tc>
          <w:tcPr>
            <w:tcW w:w="2166" w:type="dxa"/>
            <w:noWrap/>
            <w:hideMark/>
          </w:tcPr>
          <w:p w14:paraId="3E16CFCF" w14:textId="77777777" w:rsidR="008F5FCC" w:rsidRDefault="008F5FCC" w:rsidP="00AC3A14">
            <w:pPr>
              <w:spacing w:line="276" w:lineRule="auto"/>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 xml:space="preserve">Socio-demographic </w:t>
            </w:r>
          </w:p>
          <w:p w14:paraId="0C2EFC8A" w14:textId="77777777" w:rsidR="008F5FCC" w:rsidRPr="0028603D" w:rsidRDefault="008F5FCC" w:rsidP="00AC3A14">
            <w:pPr>
              <w:spacing w:line="276" w:lineRule="auto"/>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 xml:space="preserve">factors </w:t>
            </w:r>
          </w:p>
        </w:tc>
        <w:tc>
          <w:tcPr>
            <w:tcW w:w="2126" w:type="dxa"/>
          </w:tcPr>
          <w:p w14:paraId="019AE06D" w14:textId="77777777" w:rsidR="008F5FCC" w:rsidRDefault="008F5FCC" w:rsidP="00AC3A14">
            <w:pPr>
              <w:spacing w:line="276" w:lineRule="auto"/>
              <w:jc w:val="center"/>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Dysglycaemia</w:t>
            </w:r>
          </w:p>
          <w:p w14:paraId="2DA0621B" w14:textId="77777777" w:rsidR="008F5FCC" w:rsidRDefault="008F5FCC" w:rsidP="00AC3A14">
            <w:pPr>
              <w:spacing w:line="276" w:lineRule="auto"/>
              <w:jc w:val="center"/>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(n=90, %)</w:t>
            </w:r>
          </w:p>
        </w:tc>
        <w:tc>
          <w:tcPr>
            <w:tcW w:w="1770" w:type="dxa"/>
            <w:noWrap/>
          </w:tcPr>
          <w:p w14:paraId="7CE07B99" w14:textId="77777777" w:rsidR="008F5FCC" w:rsidRDefault="008F5FCC" w:rsidP="00AC3A14">
            <w:pPr>
              <w:spacing w:line="276" w:lineRule="auto"/>
              <w:jc w:val="center"/>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No Dysglycaemia</w:t>
            </w:r>
          </w:p>
          <w:p w14:paraId="4AF2A776" w14:textId="77777777" w:rsidR="008F5FCC" w:rsidRPr="0028603D" w:rsidRDefault="008F5FCC" w:rsidP="00AC3A14">
            <w:pPr>
              <w:spacing w:line="276" w:lineRule="auto"/>
              <w:jc w:val="center"/>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(n =81, %)</w:t>
            </w:r>
          </w:p>
        </w:tc>
        <w:tc>
          <w:tcPr>
            <w:tcW w:w="2551" w:type="dxa"/>
          </w:tcPr>
          <w:p w14:paraId="5A0F3A4C" w14:textId="77777777" w:rsidR="008F5FCC" w:rsidRPr="0028603D" w:rsidRDefault="008F5FCC" w:rsidP="00AC3A14">
            <w:pPr>
              <w:spacing w:line="276" w:lineRule="auto"/>
              <w:rPr>
                <w:rFonts w:ascii="Times New Roman" w:eastAsia="Times New Roman" w:hAnsi="Times New Roman"/>
                <w:b w:val="0"/>
                <w:bCs w:val="0"/>
                <w:color w:val="000000"/>
                <w:sz w:val="24"/>
                <w:szCs w:val="24"/>
                <w:lang w:eastAsia="en-GB"/>
              </w:rPr>
            </w:pPr>
            <w:r>
              <w:rPr>
                <w:rFonts w:ascii="Times New Roman" w:eastAsia="Times New Roman" w:hAnsi="Times New Roman"/>
                <w:color w:val="000000"/>
                <w:sz w:val="24"/>
                <w:szCs w:val="24"/>
                <w:lang w:eastAsia="en-GB"/>
              </w:rPr>
              <w:t>Chi-square (p-value)</w:t>
            </w:r>
          </w:p>
        </w:tc>
      </w:tr>
      <w:tr w:rsidR="008F5FCC" w:rsidRPr="0028603D" w14:paraId="397D3284" w14:textId="77777777" w:rsidTr="00AC3A14">
        <w:trPr>
          <w:trHeight w:val="300"/>
        </w:trPr>
        <w:tc>
          <w:tcPr>
            <w:tcW w:w="2166" w:type="dxa"/>
            <w:noWrap/>
          </w:tcPr>
          <w:p w14:paraId="4A302D5D" w14:textId="77777777" w:rsidR="008F5FCC" w:rsidRPr="00F612C3" w:rsidRDefault="008F5FCC" w:rsidP="00AC3A14">
            <w:pPr>
              <w:spacing w:line="276" w:lineRule="auto"/>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Age-group</w:t>
            </w:r>
          </w:p>
        </w:tc>
        <w:tc>
          <w:tcPr>
            <w:tcW w:w="2126" w:type="dxa"/>
          </w:tcPr>
          <w:p w14:paraId="354937FB"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p>
        </w:tc>
        <w:tc>
          <w:tcPr>
            <w:tcW w:w="1770" w:type="dxa"/>
            <w:noWrap/>
          </w:tcPr>
          <w:p w14:paraId="54F560F0"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p>
        </w:tc>
        <w:tc>
          <w:tcPr>
            <w:tcW w:w="2551" w:type="dxa"/>
            <w:vMerge w:val="restart"/>
          </w:tcPr>
          <w:p w14:paraId="6494BF56"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0.29 (0.961) **</w:t>
            </w:r>
          </w:p>
        </w:tc>
      </w:tr>
      <w:tr w:rsidR="008F5FCC" w:rsidRPr="0028603D" w14:paraId="2F4C5F6F" w14:textId="77777777" w:rsidTr="00AC3A14">
        <w:trPr>
          <w:trHeight w:val="300"/>
        </w:trPr>
        <w:tc>
          <w:tcPr>
            <w:tcW w:w="2166" w:type="dxa"/>
            <w:noWrap/>
          </w:tcPr>
          <w:p w14:paraId="1307B77D"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18 – 29</w:t>
            </w:r>
          </w:p>
        </w:tc>
        <w:tc>
          <w:tcPr>
            <w:tcW w:w="2126" w:type="dxa"/>
          </w:tcPr>
          <w:p w14:paraId="2A16FF78"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26 (28.9)</w:t>
            </w:r>
          </w:p>
        </w:tc>
        <w:tc>
          <w:tcPr>
            <w:tcW w:w="1770" w:type="dxa"/>
            <w:noWrap/>
          </w:tcPr>
          <w:p w14:paraId="4F5355E4"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21 (25.9)</w:t>
            </w:r>
          </w:p>
        </w:tc>
        <w:tc>
          <w:tcPr>
            <w:tcW w:w="2551" w:type="dxa"/>
            <w:vMerge/>
          </w:tcPr>
          <w:p w14:paraId="4B12E79D"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7138E9F5" w14:textId="77777777" w:rsidTr="00AC3A14">
        <w:trPr>
          <w:trHeight w:val="300"/>
        </w:trPr>
        <w:tc>
          <w:tcPr>
            <w:tcW w:w="2166" w:type="dxa"/>
            <w:noWrap/>
          </w:tcPr>
          <w:p w14:paraId="1FF5E04C"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30 – 39  </w:t>
            </w:r>
          </w:p>
        </w:tc>
        <w:tc>
          <w:tcPr>
            <w:tcW w:w="2126" w:type="dxa"/>
          </w:tcPr>
          <w:p w14:paraId="36AA7536"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36 (40.0)</w:t>
            </w:r>
          </w:p>
        </w:tc>
        <w:tc>
          <w:tcPr>
            <w:tcW w:w="1770" w:type="dxa"/>
            <w:noWrap/>
          </w:tcPr>
          <w:p w14:paraId="445F7BE6"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32 (39.5)</w:t>
            </w:r>
          </w:p>
        </w:tc>
        <w:tc>
          <w:tcPr>
            <w:tcW w:w="2551" w:type="dxa"/>
            <w:vMerge/>
          </w:tcPr>
          <w:p w14:paraId="1E20F3E2"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59E668B8" w14:textId="77777777" w:rsidTr="00AC3A14">
        <w:trPr>
          <w:trHeight w:val="300"/>
        </w:trPr>
        <w:tc>
          <w:tcPr>
            <w:tcW w:w="2166" w:type="dxa"/>
            <w:noWrap/>
          </w:tcPr>
          <w:p w14:paraId="2F74596F"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40 – 49 </w:t>
            </w:r>
          </w:p>
        </w:tc>
        <w:tc>
          <w:tcPr>
            <w:tcW w:w="2126" w:type="dxa"/>
          </w:tcPr>
          <w:p w14:paraId="1D97D3DD"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21 (23.3)</w:t>
            </w:r>
          </w:p>
        </w:tc>
        <w:tc>
          <w:tcPr>
            <w:tcW w:w="1770" w:type="dxa"/>
            <w:noWrap/>
          </w:tcPr>
          <w:p w14:paraId="64A78546"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21 (25.9)</w:t>
            </w:r>
          </w:p>
        </w:tc>
        <w:tc>
          <w:tcPr>
            <w:tcW w:w="2551" w:type="dxa"/>
            <w:vMerge/>
          </w:tcPr>
          <w:p w14:paraId="09B0ACEB"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3A37E458" w14:textId="77777777" w:rsidTr="00AC3A14">
        <w:trPr>
          <w:trHeight w:val="300"/>
        </w:trPr>
        <w:tc>
          <w:tcPr>
            <w:tcW w:w="2166" w:type="dxa"/>
            <w:noWrap/>
          </w:tcPr>
          <w:p w14:paraId="774C4145"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50 – 59 </w:t>
            </w:r>
          </w:p>
        </w:tc>
        <w:tc>
          <w:tcPr>
            <w:tcW w:w="2126" w:type="dxa"/>
          </w:tcPr>
          <w:p w14:paraId="4370D985"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7 (7.8)</w:t>
            </w:r>
          </w:p>
        </w:tc>
        <w:tc>
          <w:tcPr>
            <w:tcW w:w="1770" w:type="dxa"/>
            <w:noWrap/>
          </w:tcPr>
          <w:p w14:paraId="5B559B0E"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7 (8.6)</w:t>
            </w:r>
          </w:p>
        </w:tc>
        <w:tc>
          <w:tcPr>
            <w:tcW w:w="2551" w:type="dxa"/>
            <w:vMerge/>
          </w:tcPr>
          <w:p w14:paraId="7E2A5CD2"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105F5736" w14:textId="77777777" w:rsidTr="00AC3A14">
        <w:trPr>
          <w:trHeight w:val="300"/>
        </w:trPr>
        <w:tc>
          <w:tcPr>
            <w:tcW w:w="2166" w:type="dxa"/>
            <w:noWrap/>
          </w:tcPr>
          <w:p w14:paraId="0D3FC7C8" w14:textId="77777777" w:rsidR="008F5FCC" w:rsidRPr="00F612C3" w:rsidRDefault="008F5FCC" w:rsidP="00AC3A14">
            <w:pPr>
              <w:spacing w:line="276" w:lineRule="auto"/>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Gender</w:t>
            </w:r>
          </w:p>
        </w:tc>
        <w:tc>
          <w:tcPr>
            <w:tcW w:w="2126" w:type="dxa"/>
          </w:tcPr>
          <w:p w14:paraId="62E005E4"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p>
        </w:tc>
        <w:tc>
          <w:tcPr>
            <w:tcW w:w="1770" w:type="dxa"/>
            <w:noWrap/>
          </w:tcPr>
          <w:p w14:paraId="474EEB8C"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p>
        </w:tc>
        <w:tc>
          <w:tcPr>
            <w:tcW w:w="2551" w:type="dxa"/>
            <w:vMerge w:val="restart"/>
          </w:tcPr>
          <w:p w14:paraId="39AF2D08"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0.55 (</w:t>
            </w:r>
            <w:proofErr w:type="gramStart"/>
            <w:r>
              <w:rPr>
                <w:rFonts w:ascii="Times New Roman" w:eastAsia="Times New Roman" w:hAnsi="Times New Roman"/>
                <w:color w:val="000000"/>
                <w:sz w:val="24"/>
                <w:szCs w:val="24"/>
                <w:lang w:eastAsia="en-GB"/>
              </w:rPr>
              <w:t>0.457)*</w:t>
            </w:r>
            <w:proofErr w:type="gramEnd"/>
            <w:r>
              <w:rPr>
                <w:rFonts w:ascii="Times New Roman" w:eastAsia="Times New Roman" w:hAnsi="Times New Roman"/>
                <w:color w:val="000000"/>
                <w:sz w:val="24"/>
                <w:szCs w:val="24"/>
                <w:lang w:eastAsia="en-GB"/>
              </w:rPr>
              <w:t>*</w:t>
            </w:r>
          </w:p>
        </w:tc>
      </w:tr>
      <w:tr w:rsidR="008F5FCC" w:rsidRPr="0028603D" w14:paraId="5DB8B6FB" w14:textId="77777777" w:rsidTr="00AC3A14">
        <w:trPr>
          <w:trHeight w:val="300"/>
        </w:trPr>
        <w:tc>
          <w:tcPr>
            <w:tcW w:w="2166" w:type="dxa"/>
            <w:noWrap/>
          </w:tcPr>
          <w:p w14:paraId="34A17B26" w14:textId="77777777" w:rsidR="008F5FCC" w:rsidRPr="00F612C3"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Female</w:t>
            </w:r>
          </w:p>
        </w:tc>
        <w:tc>
          <w:tcPr>
            <w:tcW w:w="2126" w:type="dxa"/>
          </w:tcPr>
          <w:p w14:paraId="31FE340D"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44 (48.9)</w:t>
            </w:r>
          </w:p>
        </w:tc>
        <w:tc>
          <w:tcPr>
            <w:tcW w:w="1770" w:type="dxa"/>
            <w:noWrap/>
          </w:tcPr>
          <w:p w14:paraId="001FA900"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35 (43.2)</w:t>
            </w:r>
          </w:p>
        </w:tc>
        <w:tc>
          <w:tcPr>
            <w:tcW w:w="2551" w:type="dxa"/>
            <w:vMerge/>
          </w:tcPr>
          <w:p w14:paraId="59A3030C"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577866D5" w14:textId="77777777" w:rsidTr="00AC3A14">
        <w:trPr>
          <w:trHeight w:val="300"/>
        </w:trPr>
        <w:tc>
          <w:tcPr>
            <w:tcW w:w="2166" w:type="dxa"/>
            <w:noWrap/>
          </w:tcPr>
          <w:p w14:paraId="12509853"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Male</w:t>
            </w:r>
          </w:p>
        </w:tc>
        <w:tc>
          <w:tcPr>
            <w:tcW w:w="2126" w:type="dxa"/>
          </w:tcPr>
          <w:p w14:paraId="38F05329"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46 (51.1)</w:t>
            </w:r>
          </w:p>
        </w:tc>
        <w:tc>
          <w:tcPr>
            <w:tcW w:w="1770" w:type="dxa"/>
            <w:noWrap/>
          </w:tcPr>
          <w:p w14:paraId="76B32FC5"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46 (56.8)</w:t>
            </w:r>
          </w:p>
        </w:tc>
        <w:tc>
          <w:tcPr>
            <w:tcW w:w="2551" w:type="dxa"/>
            <w:vMerge/>
          </w:tcPr>
          <w:p w14:paraId="533C9DA3"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237BCD87" w14:textId="77777777" w:rsidTr="00AC3A14">
        <w:trPr>
          <w:trHeight w:val="378"/>
        </w:trPr>
        <w:tc>
          <w:tcPr>
            <w:tcW w:w="2166" w:type="dxa"/>
            <w:noWrap/>
          </w:tcPr>
          <w:p w14:paraId="410DD371"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sidRPr="00411836">
              <w:rPr>
                <w:rFonts w:ascii="Times New Roman" w:eastAsia="Times New Roman" w:hAnsi="Times New Roman"/>
                <w:b/>
                <w:bCs/>
                <w:color w:val="000000"/>
                <w:sz w:val="24"/>
                <w:szCs w:val="24"/>
                <w:lang w:eastAsia="en-GB"/>
              </w:rPr>
              <w:t>Education</w:t>
            </w:r>
          </w:p>
        </w:tc>
        <w:tc>
          <w:tcPr>
            <w:tcW w:w="2126" w:type="dxa"/>
          </w:tcPr>
          <w:p w14:paraId="4A757CA1"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p>
        </w:tc>
        <w:tc>
          <w:tcPr>
            <w:tcW w:w="1770" w:type="dxa"/>
            <w:noWrap/>
          </w:tcPr>
          <w:p w14:paraId="183AF984"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p>
        </w:tc>
        <w:tc>
          <w:tcPr>
            <w:tcW w:w="2551" w:type="dxa"/>
          </w:tcPr>
          <w:p w14:paraId="29830C4E"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08431C73" w14:textId="77777777" w:rsidTr="00AC3A14">
        <w:trPr>
          <w:trHeight w:val="378"/>
        </w:trPr>
        <w:tc>
          <w:tcPr>
            <w:tcW w:w="2166" w:type="dxa"/>
            <w:noWrap/>
          </w:tcPr>
          <w:p w14:paraId="5F886891"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Primary</w:t>
            </w:r>
          </w:p>
        </w:tc>
        <w:tc>
          <w:tcPr>
            <w:tcW w:w="2126" w:type="dxa"/>
          </w:tcPr>
          <w:p w14:paraId="0F20692E"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9 (10.0)</w:t>
            </w:r>
          </w:p>
        </w:tc>
        <w:tc>
          <w:tcPr>
            <w:tcW w:w="1770" w:type="dxa"/>
            <w:noWrap/>
          </w:tcPr>
          <w:p w14:paraId="696FCFC4"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5 (6.2)</w:t>
            </w:r>
          </w:p>
        </w:tc>
        <w:tc>
          <w:tcPr>
            <w:tcW w:w="2551" w:type="dxa"/>
            <w:vMerge w:val="restart"/>
          </w:tcPr>
          <w:p w14:paraId="01828C0A"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1.02 (</w:t>
            </w:r>
            <w:proofErr w:type="gramStart"/>
            <w:r>
              <w:rPr>
                <w:rFonts w:ascii="Times New Roman" w:eastAsia="Times New Roman" w:hAnsi="Times New Roman"/>
                <w:color w:val="000000"/>
                <w:sz w:val="24"/>
                <w:szCs w:val="24"/>
                <w:lang w:eastAsia="en-GB"/>
              </w:rPr>
              <w:t>0.600)*</w:t>
            </w:r>
            <w:proofErr w:type="gramEnd"/>
            <w:r>
              <w:rPr>
                <w:rFonts w:ascii="Times New Roman" w:eastAsia="Times New Roman" w:hAnsi="Times New Roman"/>
                <w:color w:val="000000"/>
                <w:sz w:val="24"/>
                <w:szCs w:val="24"/>
                <w:lang w:eastAsia="en-GB"/>
              </w:rPr>
              <w:t>*</w:t>
            </w:r>
          </w:p>
        </w:tc>
      </w:tr>
      <w:tr w:rsidR="008F5FCC" w:rsidRPr="0028603D" w14:paraId="34ECAE9D" w14:textId="77777777" w:rsidTr="00AC3A14">
        <w:trPr>
          <w:trHeight w:val="378"/>
        </w:trPr>
        <w:tc>
          <w:tcPr>
            <w:tcW w:w="2166" w:type="dxa"/>
            <w:noWrap/>
          </w:tcPr>
          <w:p w14:paraId="11A71FD4"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Secondary</w:t>
            </w:r>
          </w:p>
        </w:tc>
        <w:tc>
          <w:tcPr>
            <w:tcW w:w="2126" w:type="dxa"/>
          </w:tcPr>
          <w:p w14:paraId="537CC1E6"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23 (25.6)</w:t>
            </w:r>
          </w:p>
        </w:tc>
        <w:tc>
          <w:tcPr>
            <w:tcW w:w="1770" w:type="dxa"/>
            <w:noWrap/>
          </w:tcPr>
          <w:p w14:paraId="74276763"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24 (29.6)</w:t>
            </w:r>
          </w:p>
        </w:tc>
        <w:tc>
          <w:tcPr>
            <w:tcW w:w="2551" w:type="dxa"/>
            <w:vMerge/>
          </w:tcPr>
          <w:p w14:paraId="26B6266B"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030F2DE2" w14:textId="77777777" w:rsidTr="00AC3A14">
        <w:trPr>
          <w:trHeight w:val="378"/>
        </w:trPr>
        <w:tc>
          <w:tcPr>
            <w:tcW w:w="2166" w:type="dxa"/>
            <w:noWrap/>
          </w:tcPr>
          <w:p w14:paraId="76F38B68"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Tertiary</w:t>
            </w:r>
          </w:p>
        </w:tc>
        <w:tc>
          <w:tcPr>
            <w:tcW w:w="2126" w:type="dxa"/>
          </w:tcPr>
          <w:p w14:paraId="783814D5"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58 (64.4)</w:t>
            </w:r>
          </w:p>
        </w:tc>
        <w:tc>
          <w:tcPr>
            <w:tcW w:w="1770" w:type="dxa"/>
            <w:noWrap/>
          </w:tcPr>
          <w:p w14:paraId="1A84198E" w14:textId="77777777" w:rsidR="008F5FCC" w:rsidRPr="00D46026"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52 (64.2)</w:t>
            </w:r>
          </w:p>
        </w:tc>
        <w:tc>
          <w:tcPr>
            <w:tcW w:w="2551" w:type="dxa"/>
            <w:vMerge/>
          </w:tcPr>
          <w:p w14:paraId="58D51EE5"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6CC29EB6" w14:textId="77777777" w:rsidTr="00AC3A14">
        <w:trPr>
          <w:trHeight w:val="267"/>
        </w:trPr>
        <w:tc>
          <w:tcPr>
            <w:tcW w:w="2166" w:type="dxa"/>
            <w:noWrap/>
          </w:tcPr>
          <w:p w14:paraId="785FDFC9" w14:textId="77777777" w:rsidR="008F5FCC" w:rsidRPr="001C75E4" w:rsidRDefault="008F5FCC" w:rsidP="00AC3A14">
            <w:pPr>
              <w:spacing w:line="276" w:lineRule="auto"/>
              <w:rPr>
                <w:rFonts w:ascii="Times New Roman" w:eastAsia="Times New Roman" w:hAnsi="Times New Roman"/>
                <w:b/>
                <w:color w:val="000000"/>
                <w:sz w:val="24"/>
                <w:szCs w:val="24"/>
                <w:lang w:eastAsia="en-GB"/>
              </w:rPr>
            </w:pPr>
            <w:r w:rsidRPr="001C75E4">
              <w:rPr>
                <w:rFonts w:ascii="Times New Roman" w:eastAsia="Times New Roman" w:hAnsi="Times New Roman"/>
                <w:b/>
                <w:color w:val="000000"/>
                <w:sz w:val="24"/>
                <w:szCs w:val="24"/>
                <w:lang w:eastAsia="en-GB"/>
              </w:rPr>
              <w:t>Occupation</w:t>
            </w:r>
          </w:p>
        </w:tc>
        <w:tc>
          <w:tcPr>
            <w:tcW w:w="2126" w:type="dxa"/>
          </w:tcPr>
          <w:p w14:paraId="11191411" w14:textId="77777777" w:rsidR="008F5FCC" w:rsidRDefault="008F5FCC" w:rsidP="00AC3A14">
            <w:pPr>
              <w:spacing w:line="276" w:lineRule="auto"/>
              <w:jc w:val="center"/>
              <w:rPr>
                <w:rFonts w:ascii="Times New Roman" w:eastAsia="Times New Roman" w:hAnsi="Times New Roman"/>
                <w:color w:val="000000"/>
                <w:sz w:val="24"/>
                <w:szCs w:val="24"/>
                <w:lang w:eastAsia="en-GB"/>
              </w:rPr>
            </w:pPr>
          </w:p>
        </w:tc>
        <w:tc>
          <w:tcPr>
            <w:tcW w:w="1770" w:type="dxa"/>
            <w:noWrap/>
          </w:tcPr>
          <w:p w14:paraId="0A2385E7" w14:textId="77777777" w:rsidR="008F5FCC" w:rsidRDefault="008F5FCC" w:rsidP="00AC3A14">
            <w:pPr>
              <w:spacing w:line="276" w:lineRule="auto"/>
              <w:jc w:val="center"/>
              <w:rPr>
                <w:rFonts w:ascii="Times New Roman" w:eastAsia="Times New Roman" w:hAnsi="Times New Roman"/>
                <w:color w:val="000000"/>
                <w:sz w:val="24"/>
                <w:szCs w:val="24"/>
                <w:lang w:eastAsia="en-GB"/>
              </w:rPr>
            </w:pPr>
          </w:p>
        </w:tc>
        <w:tc>
          <w:tcPr>
            <w:tcW w:w="2551" w:type="dxa"/>
          </w:tcPr>
          <w:p w14:paraId="0FD4AB77"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0B21336C" w14:textId="77777777" w:rsidTr="00AC3A14">
        <w:trPr>
          <w:trHeight w:val="287"/>
        </w:trPr>
        <w:tc>
          <w:tcPr>
            <w:tcW w:w="2166" w:type="dxa"/>
            <w:noWrap/>
          </w:tcPr>
          <w:p w14:paraId="014FABF3"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Unskilled</w:t>
            </w:r>
          </w:p>
        </w:tc>
        <w:tc>
          <w:tcPr>
            <w:tcW w:w="2126" w:type="dxa"/>
          </w:tcPr>
          <w:p w14:paraId="68843841"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45(50.0)</w:t>
            </w:r>
          </w:p>
        </w:tc>
        <w:tc>
          <w:tcPr>
            <w:tcW w:w="1770" w:type="dxa"/>
            <w:noWrap/>
          </w:tcPr>
          <w:p w14:paraId="336F118C"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41(50.6)</w:t>
            </w:r>
          </w:p>
        </w:tc>
        <w:tc>
          <w:tcPr>
            <w:tcW w:w="2551" w:type="dxa"/>
          </w:tcPr>
          <w:p w14:paraId="4700F76F" w14:textId="77777777" w:rsidR="008F5FCC" w:rsidRPr="0028603D"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192.75 (0.0001) *</w:t>
            </w:r>
          </w:p>
        </w:tc>
      </w:tr>
      <w:tr w:rsidR="008F5FCC" w:rsidRPr="0028603D" w14:paraId="1431CD92" w14:textId="77777777" w:rsidTr="00AC3A14">
        <w:trPr>
          <w:trHeight w:val="378"/>
        </w:trPr>
        <w:tc>
          <w:tcPr>
            <w:tcW w:w="2166" w:type="dxa"/>
            <w:noWrap/>
          </w:tcPr>
          <w:p w14:paraId="13BE5E66"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Skilled</w:t>
            </w:r>
          </w:p>
        </w:tc>
        <w:tc>
          <w:tcPr>
            <w:tcW w:w="2126" w:type="dxa"/>
          </w:tcPr>
          <w:p w14:paraId="09383052"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35(38.9)</w:t>
            </w:r>
          </w:p>
        </w:tc>
        <w:tc>
          <w:tcPr>
            <w:tcW w:w="1770" w:type="dxa"/>
            <w:noWrap/>
          </w:tcPr>
          <w:p w14:paraId="4BA27548"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28(34.6)</w:t>
            </w:r>
          </w:p>
        </w:tc>
        <w:tc>
          <w:tcPr>
            <w:tcW w:w="2551" w:type="dxa"/>
          </w:tcPr>
          <w:p w14:paraId="327A2D8A"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138866C2" w14:textId="77777777" w:rsidTr="00AC3A14">
        <w:trPr>
          <w:trHeight w:val="378"/>
        </w:trPr>
        <w:tc>
          <w:tcPr>
            <w:tcW w:w="2166" w:type="dxa"/>
            <w:noWrap/>
          </w:tcPr>
          <w:p w14:paraId="55A803A0"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Others </w:t>
            </w:r>
          </w:p>
        </w:tc>
        <w:tc>
          <w:tcPr>
            <w:tcW w:w="2126" w:type="dxa"/>
          </w:tcPr>
          <w:p w14:paraId="299FE3B3"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10(11.1)</w:t>
            </w:r>
          </w:p>
        </w:tc>
        <w:tc>
          <w:tcPr>
            <w:tcW w:w="1770" w:type="dxa"/>
            <w:noWrap/>
          </w:tcPr>
          <w:p w14:paraId="75EF03F2"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12(14.8)</w:t>
            </w:r>
          </w:p>
        </w:tc>
        <w:tc>
          <w:tcPr>
            <w:tcW w:w="2551" w:type="dxa"/>
          </w:tcPr>
          <w:p w14:paraId="6D774469"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4AB78A86" w14:textId="77777777" w:rsidTr="00AC3A14">
        <w:trPr>
          <w:trHeight w:val="378"/>
        </w:trPr>
        <w:tc>
          <w:tcPr>
            <w:tcW w:w="2166" w:type="dxa"/>
            <w:noWrap/>
          </w:tcPr>
          <w:p w14:paraId="72DAE8A1" w14:textId="77777777" w:rsidR="008F5FCC" w:rsidRPr="001C75E4" w:rsidRDefault="008F5FCC" w:rsidP="00AC3A14">
            <w:pPr>
              <w:spacing w:line="276" w:lineRule="auto"/>
              <w:rPr>
                <w:rFonts w:ascii="Times New Roman" w:eastAsia="Times New Roman" w:hAnsi="Times New Roman"/>
                <w:b/>
                <w:color w:val="000000"/>
                <w:sz w:val="24"/>
                <w:szCs w:val="24"/>
                <w:lang w:eastAsia="en-GB"/>
              </w:rPr>
            </w:pPr>
            <w:r w:rsidRPr="001C75E4">
              <w:rPr>
                <w:rFonts w:ascii="Times New Roman" w:eastAsia="Times New Roman" w:hAnsi="Times New Roman"/>
                <w:b/>
                <w:color w:val="000000"/>
                <w:sz w:val="24"/>
                <w:szCs w:val="24"/>
                <w:lang w:eastAsia="en-GB"/>
              </w:rPr>
              <w:t>BMI Category</w:t>
            </w:r>
          </w:p>
        </w:tc>
        <w:tc>
          <w:tcPr>
            <w:tcW w:w="2126" w:type="dxa"/>
          </w:tcPr>
          <w:p w14:paraId="531B659E" w14:textId="77777777" w:rsidR="008F5FCC" w:rsidRDefault="008F5FCC" w:rsidP="00AC3A14">
            <w:pPr>
              <w:spacing w:line="276" w:lineRule="auto"/>
              <w:jc w:val="center"/>
              <w:rPr>
                <w:rFonts w:ascii="Times New Roman" w:eastAsia="Times New Roman" w:hAnsi="Times New Roman"/>
                <w:color w:val="000000"/>
                <w:sz w:val="24"/>
                <w:szCs w:val="24"/>
                <w:lang w:eastAsia="en-GB"/>
              </w:rPr>
            </w:pPr>
          </w:p>
        </w:tc>
        <w:tc>
          <w:tcPr>
            <w:tcW w:w="1770" w:type="dxa"/>
            <w:noWrap/>
          </w:tcPr>
          <w:p w14:paraId="5D16456C" w14:textId="77777777" w:rsidR="008F5FCC" w:rsidRDefault="008F5FCC" w:rsidP="00AC3A14">
            <w:pPr>
              <w:spacing w:line="276" w:lineRule="auto"/>
              <w:jc w:val="center"/>
              <w:rPr>
                <w:rFonts w:ascii="Times New Roman" w:eastAsia="Times New Roman" w:hAnsi="Times New Roman"/>
                <w:color w:val="000000"/>
                <w:sz w:val="24"/>
                <w:szCs w:val="24"/>
                <w:lang w:eastAsia="en-GB"/>
              </w:rPr>
            </w:pPr>
          </w:p>
        </w:tc>
        <w:tc>
          <w:tcPr>
            <w:tcW w:w="2551" w:type="dxa"/>
          </w:tcPr>
          <w:p w14:paraId="3A723712"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44ADC9A3" w14:textId="77777777" w:rsidTr="00AC3A14">
        <w:trPr>
          <w:trHeight w:val="378"/>
        </w:trPr>
        <w:tc>
          <w:tcPr>
            <w:tcW w:w="2166" w:type="dxa"/>
            <w:noWrap/>
          </w:tcPr>
          <w:p w14:paraId="7E4A207A"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Normal</w:t>
            </w:r>
          </w:p>
        </w:tc>
        <w:tc>
          <w:tcPr>
            <w:tcW w:w="2126" w:type="dxa"/>
          </w:tcPr>
          <w:p w14:paraId="7CCCD470"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26 (28.9)</w:t>
            </w:r>
          </w:p>
        </w:tc>
        <w:tc>
          <w:tcPr>
            <w:tcW w:w="1770" w:type="dxa"/>
            <w:noWrap/>
          </w:tcPr>
          <w:p w14:paraId="58FED116"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28 (34.6)</w:t>
            </w:r>
          </w:p>
        </w:tc>
        <w:tc>
          <w:tcPr>
            <w:tcW w:w="2551" w:type="dxa"/>
          </w:tcPr>
          <w:p w14:paraId="42A81155"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193.2 (0.0001) *</w:t>
            </w:r>
          </w:p>
        </w:tc>
      </w:tr>
      <w:tr w:rsidR="008F5FCC" w:rsidRPr="0028603D" w14:paraId="2493EBF6" w14:textId="77777777" w:rsidTr="00AC3A14">
        <w:trPr>
          <w:trHeight w:val="378"/>
        </w:trPr>
        <w:tc>
          <w:tcPr>
            <w:tcW w:w="2166" w:type="dxa"/>
            <w:noWrap/>
          </w:tcPr>
          <w:p w14:paraId="5A1D514C"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 Underweight </w:t>
            </w:r>
          </w:p>
        </w:tc>
        <w:tc>
          <w:tcPr>
            <w:tcW w:w="2126" w:type="dxa"/>
          </w:tcPr>
          <w:p w14:paraId="31C4BDB5"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4 (4.4)</w:t>
            </w:r>
          </w:p>
        </w:tc>
        <w:tc>
          <w:tcPr>
            <w:tcW w:w="1770" w:type="dxa"/>
            <w:noWrap/>
          </w:tcPr>
          <w:p w14:paraId="63AE8E36"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5 (6.2)</w:t>
            </w:r>
          </w:p>
        </w:tc>
        <w:tc>
          <w:tcPr>
            <w:tcW w:w="2551" w:type="dxa"/>
          </w:tcPr>
          <w:p w14:paraId="3A929611"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4EC8B0CA" w14:textId="77777777" w:rsidTr="00AC3A14">
        <w:trPr>
          <w:trHeight w:val="378"/>
        </w:trPr>
        <w:tc>
          <w:tcPr>
            <w:tcW w:w="2166" w:type="dxa"/>
            <w:noWrap/>
          </w:tcPr>
          <w:p w14:paraId="59CFF16A"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Overweight </w:t>
            </w:r>
          </w:p>
        </w:tc>
        <w:tc>
          <w:tcPr>
            <w:tcW w:w="2126" w:type="dxa"/>
          </w:tcPr>
          <w:p w14:paraId="196D606D"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34 (37.8)</w:t>
            </w:r>
          </w:p>
        </w:tc>
        <w:tc>
          <w:tcPr>
            <w:tcW w:w="1770" w:type="dxa"/>
            <w:noWrap/>
          </w:tcPr>
          <w:p w14:paraId="1419052D"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28 (34.6)</w:t>
            </w:r>
          </w:p>
        </w:tc>
        <w:tc>
          <w:tcPr>
            <w:tcW w:w="2551" w:type="dxa"/>
          </w:tcPr>
          <w:p w14:paraId="1EE83F14"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r w:rsidR="008F5FCC" w:rsidRPr="0028603D" w14:paraId="385E7721" w14:textId="77777777" w:rsidTr="00AC3A14">
        <w:trPr>
          <w:trHeight w:val="378"/>
        </w:trPr>
        <w:tc>
          <w:tcPr>
            <w:tcW w:w="2166" w:type="dxa"/>
            <w:noWrap/>
          </w:tcPr>
          <w:p w14:paraId="04331D03" w14:textId="77777777" w:rsidR="008F5FCC" w:rsidRDefault="008F5FCC" w:rsidP="00AC3A14">
            <w:pPr>
              <w:spacing w:line="276"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Obesity </w:t>
            </w:r>
          </w:p>
        </w:tc>
        <w:tc>
          <w:tcPr>
            <w:tcW w:w="2126" w:type="dxa"/>
          </w:tcPr>
          <w:p w14:paraId="37ECB795"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26 (28.9)</w:t>
            </w:r>
          </w:p>
        </w:tc>
        <w:tc>
          <w:tcPr>
            <w:tcW w:w="1770" w:type="dxa"/>
            <w:noWrap/>
          </w:tcPr>
          <w:p w14:paraId="0F4BB183" w14:textId="77777777" w:rsidR="008F5FCC" w:rsidRDefault="008F5FCC" w:rsidP="00AC3A14">
            <w:pPr>
              <w:spacing w:line="276"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20 (24.7)</w:t>
            </w:r>
          </w:p>
        </w:tc>
        <w:tc>
          <w:tcPr>
            <w:tcW w:w="2551" w:type="dxa"/>
          </w:tcPr>
          <w:p w14:paraId="65E5B505" w14:textId="77777777" w:rsidR="008F5FCC" w:rsidRPr="0028603D" w:rsidRDefault="008F5FCC" w:rsidP="00AC3A14">
            <w:pPr>
              <w:spacing w:line="276" w:lineRule="auto"/>
              <w:jc w:val="center"/>
              <w:rPr>
                <w:rFonts w:ascii="Times New Roman" w:eastAsia="Times New Roman" w:hAnsi="Times New Roman"/>
                <w:color w:val="000000"/>
                <w:sz w:val="24"/>
                <w:szCs w:val="24"/>
                <w:lang w:eastAsia="en-GB"/>
              </w:rPr>
            </w:pPr>
          </w:p>
        </w:tc>
      </w:tr>
    </w:tbl>
    <w:p w14:paraId="1B0CFF90" w14:textId="77777777" w:rsidR="008F5FCC" w:rsidRDefault="008F5FCC" w:rsidP="00470036">
      <w:pPr>
        <w:jc w:val="center"/>
      </w:pPr>
      <w:r>
        <w:t>Dysglycaemia comprises of prediabetes and Diabetes Mellitus subjects</w:t>
      </w:r>
    </w:p>
    <w:p w14:paraId="5CB4F13B" w14:textId="77777777" w:rsidR="008F5FCC" w:rsidRDefault="008F5FCC" w:rsidP="00470036">
      <w:pPr>
        <w:jc w:val="center"/>
      </w:pPr>
      <w:r>
        <w:t>*distribution is significant (p &lt;0.05), **Distribution is not significant (p&gt;0.05)</w:t>
      </w:r>
    </w:p>
    <w:p w14:paraId="0E4A18D0"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Prediabetes represents an intermediate metabolic state preceding diabetes mellitus (DM), in which blood glucose levels exceed normal values but remain below diagnostic thresholds (</w:t>
      </w:r>
      <w:proofErr w:type="spellStart"/>
      <w:r w:rsidRPr="004E6113">
        <w:rPr>
          <w:rFonts w:ascii="Times New Roman" w:hAnsi="Times New Roman"/>
          <w:sz w:val="24"/>
          <w:szCs w:val="24"/>
          <w:lang w:val="en-US"/>
        </w:rPr>
        <w:t>Mechanick</w:t>
      </w:r>
      <w:proofErr w:type="spellEnd"/>
      <w:r w:rsidRPr="004E6113">
        <w:rPr>
          <w:rFonts w:ascii="Times New Roman" w:hAnsi="Times New Roman"/>
          <w:sz w:val="24"/>
          <w:szCs w:val="24"/>
          <w:lang w:val="en-US"/>
        </w:rPr>
        <w:t xml:space="preserve"> et al., 2018). In the present study, prediabetes occurred more frequently among males than females. This finding aligns with the broader evidence that men often exhibit higher exposure to lifestyle-related risk factors—such as tobacco use and alcohol consumption—that predispose them to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w:t>
      </w:r>
      <w:proofErr w:type="spellStart"/>
      <w:r w:rsidRPr="004E6113">
        <w:rPr>
          <w:rFonts w:ascii="Times New Roman" w:hAnsi="Times New Roman"/>
          <w:sz w:val="24"/>
          <w:szCs w:val="24"/>
          <w:lang w:val="en-US"/>
        </w:rPr>
        <w:t>Lönnroth</w:t>
      </w:r>
      <w:proofErr w:type="spellEnd"/>
      <w:r w:rsidRPr="004E6113">
        <w:rPr>
          <w:rFonts w:ascii="Times New Roman" w:hAnsi="Times New Roman"/>
          <w:sz w:val="24"/>
          <w:szCs w:val="24"/>
          <w:lang w:val="en-US"/>
        </w:rPr>
        <w:t xml:space="preserve"> et al., 2008). Comparable observations were reported by </w:t>
      </w:r>
      <w:proofErr w:type="spellStart"/>
      <w:r w:rsidRPr="004E6113">
        <w:rPr>
          <w:rFonts w:ascii="Times New Roman" w:hAnsi="Times New Roman"/>
          <w:sz w:val="24"/>
          <w:szCs w:val="24"/>
          <w:lang w:val="en-US"/>
        </w:rPr>
        <w:t>Ekeke</w:t>
      </w:r>
      <w:proofErr w:type="spellEnd"/>
      <w:r w:rsidRPr="004E6113">
        <w:rPr>
          <w:rFonts w:ascii="Times New Roman" w:hAnsi="Times New Roman"/>
          <w:sz w:val="24"/>
          <w:szCs w:val="24"/>
          <w:lang w:val="en-US"/>
        </w:rPr>
        <w:t xml:space="preserve"> et al. (2017) in Southern Nigeria and by Lawson et al. (2017) in Abuja, where males similarly demonstrated higher rates of prediabetes among tuberculosis (TB) patients.</w:t>
      </w:r>
    </w:p>
    <w:p w14:paraId="4BA6ACD8"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 xml:space="preserve">Interestingly, overt diabetes mellitus was more prevalent among females in this study. This observation corroborates the findings of Restrepo et al. (2011) in the United States, which identified a higher prevalence of DM among female TB patients. Biological factors such as </w:t>
      </w:r>
      <w:r w:rsidRPr="004E6113">
        <w:rPr>
          <w:rFonts w:ascii="Times New Roman" w:hAnsi="Times New Roman"/>
          <w:sz w:val="24"/>
          <w:szCs w:val="24"/>
          <w:lang w:val="en-US"/>
        </w:rPr>
        <w:lastRenderedPageBreak/>
        <w:t xml:space="preserve">greater adiposity and hormonal influences—particularly </w:t>
      </w:r>
      <w:proofErr w:type="spellStart"/>
      <w:r w:rsidRPr="004E6113">
        <w:rPr>
          <w:rFonts w:ascii="Times New Roman" w:hAnsi="Times New Roman"/>
          <w:sz w:val="24"/>
          <w:szCs w:val="24"/>
          <w:lang w:val="en-US"/>
        </w:rPr>
        <w:t>oestrogen</w:t>
      </w:r>
      <w:proofErr w:type="spellEnd"/>
      <w:r w:rsidRPr="004E6113">
        <w:rPr>
          <w:rFonts w:ascii="Times New Roman" w:hAnsi="Times New Roman"/>
          <w:sz w:val="24"/>
          <w:szCs w:val="24"/>
          <w:lang w:val="en-US"/>
        </w:rPr>
        <w:t>-mediated insulin resistance—may explain this gender disparity (</w:t>
      </w:r>
      <w:proofErr w:type="spellStart"/>
      <w:r w:rsidRPr="004E6113">
        <w:rPr>
          <w:rFonts w:ascii="Times New Roman" w:hAnsi="Times New Roman"/>
          <w:sz w:val="24"/>
          <w:szCs w:val="24"/>
          <w:lang w:val="en-US"/>
        </w:rPr>
        <w:t>Tuei</w:t>
      </w:r>
      <w:proofErr w:type="spellEnd"/>
      <w:r w:rsidRPr="004E6113">
        <w:rPr>
          <w:rFonts w:ascii="Times New Roman" w:hAnsi="Times New Roman"/>
          <w:sz w:val="24"/>
          <w:szCs w:val="24"/>
          <w:lang w:val="en-US"/>
        </w:rPr>
        <w:t xml:space="preserve"> et al., 2010). Additionally, regional differences may contribute: the South–South zone of Nigeria, where this study was conducted, has been documented to exhibit higher diabetes prevalence than the North–Central zone (</w:t>
      </w:r>
      <w:proofErr w:type="spellStart"/>
      <w:r w:rsidRPr="004E6113">
        <w:rPr>
          <w:rFonts w:ascii="Times New Roman" w:hAnsi="Times New Roman"/>
          <w:sz w:val="24"/>
          <w:szCs w:val="24"/>
          <w:lang w:val="en-US"/>
        </w:rPr>
        <w:t>Uloko</w:t>
      </w:r>
      <w:proofErr w:type="spellEnd"/>
      <w:r w:rsidRPr="004E6113">
        <w:rPr>
          <w:rFonts w:ascii="Times New Roman" w:hAnsi="Times New Roman"/>
          <w:sz w:val="24"/>
          <w:szCs w:val="24"/>
          <w:lang w:val="en-US"/>
        </w:rPr>
        <w:t xml:space="preserve"> et al., 2018). The observed prevalence also exceeded that reported by </w:t>
      </w:r>
      <w:proofErr w:type="spellStart"/>
      <w:r w:rsidRPr="004E6113">
        <w:rPr>
          <w:rFonts w:ascii="Times New Roman" w:hAnsi="Times New Roman"/>
          <w:sz w:val="24"/>
          <w:szCs w:val="24"/>
          <w:lang w:val="en-US"/>
        </w:rPr>
        <w:t>Ekeke</w:t>
      </w:r>
      <w:proofErr w:type="spellEnd"/>
      <w:r w:rsidRPr="004E6113">
        <w:rPr>
          <w:rFonts w:ascii="Times New Roman" w:hAnsi="Times New Roman"/>
          <w:sz w:val="24"/>
          <w:szCs w:val="24"/>
          <w:lang w:val="en-US"/>
        </w:rPr>
        <w:t xml:space="preserve"> et al. (2017), likely due to methodological differences, as the latter employed fasting blood glucose (FBG) testing, which is less sensitive and may underestimate the true burden of </w:t>
      </w:r>
      <w:proofErr w:type="spellStart"/>
      <w:r w:rsidRPr="004E6113">
        <w:rPr>
          <w:rFonts w:ascii="Times New Roman" w:hAnsi="Times New Roman"/>
          <w:sz w:val="24"/>
          <w:szCs w:val="24"/>
          <w:lang w:val="en-US"/>
        </w:rPr>
        <w:t>glycaemic</w:t>
      </w:r>
      <w:proofErr w:type="spellEnd"/>
      <w:r w:rsidRPr="004E6113">
        <w:rPr>
          <w:rFonts w:ascii="Times New Roman" w:hAnsi="Times New Roman"/>
          <w:sz w:val="24"/>
          <w:szCs w:val="24"/>
          <w:lang w:val="en-US"/>
        </w:rPr>
        <w:t xml:space="preserve"> abnormalities. Conversely, our findings are comparable to those from Mexico (36%) and South Texas (39%) (Workneh et al., 2017), reflecting shared epidemiological patterns in high-burden settings. Lower prevalence figures documented in Ethiopia (Kibirige, 2014), Uganda (Magee et al., 2018), and the United States (Workneh et al., 2016) may stem from lower background rates of both diseases.</w:t>
      </w:r>
    </w:p>
    <w:p w14:paraId="5441A6AB" w14:textId="6544AA10"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 xml:space="preserve">The overall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prevalence in this cohort (52.6%) was notably high and consistent with findings from Western India (Workneh et al., 2017). This could be attributed to the use of glycated haemoglobin (HbA1c) testing, which captures longer-term </w:t>
      </w:r>
      <w:proofErr w:type="spellStart"/>
      <w:r w:rsidRPr="004E6113">
        <w:rPr>
          <w:rFonts w:ascii="Times New Roman" w:hAnsi="Times New Roman"/>
          <w:sz w:val="24"/>
          <w:szCs w:val="24"/>
          <w:lang w:val="en-US"/>
        </w:rPr>
        <w:t>glycaemic</w:t>
      </w:r>
      <w:proofErr w:type="spellEnd"/>
      <w:r w:rsidRPr="004E6113">
        <w:rPr>
          <w:rFonts w:ascii="Times New Roman" w:hAnsi="Times New Roman"/>
          <w:sz w:val="24"/>
          <w:szCs w:val="24"/>
          <w:lang w:val="en-US"/>
        </w:rPr>
        <w:t xml:space="preserve"> fluctuations and enhances detection sensitivity (</w:t>
      </w:r>
      <w:r w:rsidR="00F71601" w:rsidRPr="004E6113">
        <w:rPr>
          <w:rFonts w:ascii="Times New Roman" w:hAnsi="Times New Roman"/>
          <w:sz w:val="24"/>
          <w:szCs w:val="24"/>
          <w:lang w:val="en-US"/>
        </w:rPr>
        <w:t>Guo et al., 2014</w:t>
      </w:r>
      <w:r w:rsidR="00F71601">
        <w:rPr>
          <w:rFonts w:ascii="Times New Roman" w:hAnsi="Times New Roman"/>
          <w:sz w:val="24"/>
          <w:szCs w:val="24"/>
          <w:lang w:val="en-US"/>
        </w:rPr>
        <w:t xml:space="preserve">; </w:t>
      </w:r>
      <w:r w:rsidR="00416756" w:rsidRPr="00416756">
        <w:rPr>
          <w:rFonts w:ascii="Times New Roman" w:hAnsi="Times New Roman"/>
          <w:sz w:val="24"/>
          <w:szCs w:val="24"/>
          <w:lang w:val="en-US"/>
        </w:rPr>
        <w:t xml:space="preserve">Barreda </w:t>
      </w:r>
      <w:r w:rsidR="00416756">
        <w:rPr>
          <w:rFonts w:ascii="Times New Roman" w:hAnsi="Times New Roman"/>
          <w:sz w:val="24"/>
          <w:szCs w:val="24"/>
          <w:lang w:val="en-US"/>
        </w:rPr>
        <w:t xml:space="preserve">et al., </w:t>
      </w:r>
      <w:r w:rsidR="00F71601">
        <w:rPr>
          <w:rFonts w:ascii="Times New Roman" w:hAnsi="Times New Roman"/>
          <w:sz w:val="24"/>
          <w:szCs w:val="24"/>
          <w:lang w:val="en-US"/>
        </w:rPr>
        <w:t>2020</w:t>
      </w:r>
      <w:r w:rsidRPr="004E6113">
        <w:rPr>
          <w:rFonts w:ascii="Times New Roman" w:hAnsi="Times New Roman"/>
          <w:sz w:val="24"/>
          <w:szCs w:val="24"/>
          <w:lang w:val="en-US"/>
        </w:rPr>
        <w:t>). It is plausible that some participants had undiagnosed diabetes prior to TB diagnosis, reinforcing the argument for integrating metabolic screening into TB programs.</w:t>
      </w:r>
    </w:p>
    <w:p w14:paraId="75A3E3E8"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 xml:space="preserve">The co-occurrence of TB and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underscores a well-recognized </w:t>
      </w:r>
      <w:proofErr w:type="spellStart"/>
      <w:r w:rsidRPr="004E6113">
        <w:rPr>
          <w:rFonts w:ascii="Times New Roman" w:hAnsi="Times New Roman"/>
          <w:sz w:val="24"/>
          <w:szCs w:val="24"/>
          <w:lang w:val="en-US"/>
        </w:rPr>
        <w:t>syndemic</w:t>
      </w:r>
      <w:proofErr w:type="spellEnd"/>
      <w:r w:rsidRPr="004E6113">
        <w:rPr>
          <w:rFonts w:ascii="Times New Roman" w:hAnsi="Times New Roman"/>
          <w:sz w:val="24"/>
          <w:szCs w:val="24"/>
          <w:lang w:val="en-US"/>
        </w:rPr>
        <w:t xml:space="preserve"> interaction between infectious and metabolic diseases (Boillat-Blanco et al., 2016; Viswanathan et al., 2012). Although the majority of participants were aged 30–39 years, age and sex were not significantly associated with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This contrasts with global patterns where advancing age is a dominant predictor of impaired glucose regulation. The lack of age association may indicate transient infection-related </w:t>
      </w:r>
      <w:proofErr w:type="spellStart"/>
      <w:r w:rsidRPr="004E6113">
        <w:rPr>
          <w:rFonts w:ascii="Times New Roman" w:hAnsi="Times New Roman"/>
          <w:sz w:val="24"/>
          <w:szCs w:val="24"/>
          <w:lang w:val="en-US"/>
        </w:rPr>
        <w:t>hyperglycaemia</w:t>
      </w:r>
      <w:proofErr w:type="spellEnd"/>
      <w:r w:rsidRPr="004E6113">
        <w:rPr>
          <w:rFonts w:ascii="Times New Roman" w:hAnsi="Times New Roman"/>
          <w:sz w:val="24"/>
          <w:szCs w:val="24"/>
          <w:lang w:val="en-US"/>
        </w:rPr>
        <w:t xml:space="preserve"> affecting younger adults during active TB infection.</w:t>
      </w:r>
    </w:p>
    <w:p w14:paraId="2B6B29CD"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 xml:space="preserve">Educational attainment was also not significantly linked to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suggesting that biological and disease-mediated mechanisms may override behavioural and socio-educational factors. Nevertheless, a strong familial predisposition was observed—over half of respondents (53.8%) reported a family history of diabetes—implying genetic or intergenerational susceptibility, particularly in TB-endemic populations. Smoking prevalence (50.9%) further compounds this risk, given its established contribution to insulin resistance and impaired pulmonary function (Osman et al., 2023; </w:t>
      </w:r>
      <w:proofErr w:type="spellStart"/>
      <w:r w:rsidRPr="004E6113">
        <w:rPr>
          <w:rFonts w:ascii="Times New Roman" w:hAnsi="Times New Roman"/>
          <w:sz w:val="24"/>
          <w:szCs w:val="24"/>
          <w:lang w:val="en-US"/>
        </w:rPr>
        <w:t>Maddatu</w:t>
      </w:r>
      <w:proofErr w:type="spellEnd"/>
      <w:r w:rsidRPr="004E6113">
        <w:rPr>
          <w:rFonts w:ascii="Times New Roman" w:hAnsi="Times New Roman"/>
          <w:sz w:val="24"/>
          <w:szCs w:val="24"/>
          <w:lang w:val="en-US"/>
        </w:rPr>
        <w:t xml:space="preserve"> et al., 2017).</w:t>
      </w:r>
    </w:p>
    <w:p w14:paraId="492F7450"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 xml:space="preserve">Notably, occupational status and body mass index (BMI) emerged as the most significant determinants of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Unskilled workers were disproportionately affected, possibly due to poor nutrition, occupational stress, limited access to healthcare, and lower health literacy. Similarly, overweight and obese participants exhibited a higher prevalence of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reaffirming the strong link between adiposity and insulin resistance (Boillat-Blanco et al., 2016). These findings are consistent with regional studies that demonstrate an interplay between infection-induced stress </w:t>
      </w:r>
      <w:proofErr w:type="spellStart"/>
      <w:r w:rsidRPr="004E6113">
        <w:rPr>
          <w:rFonts w:ascii="Times New Roman" w:hAnsi="Times New Roman"/>
          <w:sz w:val="24"/>
          <w:szCs w:val="24"/>
          <w:lang w:val="en-US"/>
        </w:rPr>
        <w:t>hyperglycaemia</w:t>
      </w:r>
      <w:proofErr w:type="spellEnd"/>
      <w:r w:rsidRPr="004E6113">
        <w:rPr>
          <w:rFonts w:ascii="Times New Roman" w:hAnsi="Times New Roman"/>
          <w:sz w:val="24"/>
          <w:szCs w:val="24"/>
          <w:lang w:val="en-US"/>
        </w:rPr>
        <w:t xml:space="preserve">, underlying metabolic syndrome, and potential </w:t>
      </w:r>
      <w:proofErr w:type="spellStart"/>
      <w:r w:rsidRPr="004E6113">
        <w:rPr>
          <w:rFonts w:ascii="Times New Roman" w:hAnsi="Times New Roman"/>
          <w:sz w:val="24"/>
          <w:szCs w:val="24"/>
          <w:lang w:val="en-US"/>
        </w:rPr>
        <w:t>glycaemic</w:t>
      </w:r>
      <w:proofErr w:type="spellEnd"/>
      <w:r w:rsidRPr="004E6113">
        <w:rPr>
          <w:rFonts w:ascii="Times New Roman" w:hAnsi="Times New Roman"/>
          <w:sz w:val="24"/>
          <w:szCs w:val="24"/>
          <w:lang w:val="en-US"/>
        </w:rPr>
        <w:t xml:space="preserve"> disturbances caused by anti-TB drugs such as rifampicin and isoniazid (Viswanathan et al., 2012).</w:t>
      </w:r>
    </w:p>
    <w:p w14:paraId="3C8E0EE8" w14:textId="77777777" w:rsidR="004E6113" w:rsidRPr="004E6113" w:rsidRDefault="004E6113" w:rsidP="004E6113">
      <w:pPr>
        <w:jc w:val="both"/>
        <w:rPr>
          <w:rFonts w:ascii="Times New Roman" w:hAnsi="Times New Roman"/>
          <w:sz w:val="24"/>
          <w:szCs w:val="24"/>
          <w:lang w:val="en-US"/>
        </w:rPr>
      </w:pPr>
      <w:r w:rsidRPr="004E6113">
        <w:rPr>
          <w:rFonts w:ascii="Times New Roman" w:hAnsi="Times New Roman"/>
          <w:sz w:val="24"/>
          <w:szCs w:val="24"/>
          <w:lang w:val="en-US"/>
        </w:rPr>
        <w:t xml:space="preserve">Taken together, these findings highlight a critical need to integrate diabetes screening and management into TB care pathways. Addressing modifiable risk factors—such as obesity, smoking, and low socioeconomic status—within TB programs may improve both metabolic </w:t>
      </w:r>
      <w:r w:rsidRPr="004E6113">
        <w:rPr>
          <w:rFonts w:ascii="Times New Roman" w:hAnsi="Times New Roman"/>
          <w:sz w:val="24"/>
          <w:szCs w:val="24"/>
          <w:lang w:val="en-US"/>
        </w:rPr>
        <w:lastRenderedPageBreak/>
        <w:t xml:space="preserve">and infectious disease outcomes. Moreover, early identification and management of </w:t>
      </w:r>
      <w:proofErr w:type="spellStart"/>
      <w:r w:rsidRPr="004E6113">
        <w:rPr>
          <w:rFonts w:ascii="Times New Roman" w:hAnsi="Times New Roman"/>
          <w:sz w:val="24"/>
          <w:szCs w:val="24"/>
          <w:lang w:val="en-US"/>
        </w:rPr>
        <w:t>dysglycaemia</w:t>
      </w:r>
      <w:proofErr w:type="spellEnd"/>
      <w:r w:rsidRPr="004E6113">
        <w:rPr>
          <w:rFonts w:ascii="Times New Roman" w:hAnsi="Times New Roman"/>
          <w:sz w:val="24"/>
          <w:szCs w:val="24"/>
          <w:lang w:val="en-US"/>
        </w:rPr>
        <w:t xml:space="preserve"> can enhance treatment adherence, mitigate complications, and reduce mortality among TB patients.</w:t>
      </w:r>
    </w:p>
    <w:p w14:paraId="2B1DB403" w14:textId="71B7C560" w:rsidR="008F5FCC" w:rsidRDefault="0019294B" w:rsidP="003F6F5D">
      <w:pPr>
        <w:jc w:val="both"/>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sidR="008F5FCC" w:rsidRPr="009B6107">
        <w:rPr>
          <w:rFonts w:ascii="Times New Roman" w:hAnsi="Times New Roman" w:cs="Times New Roman"/>
          <w:b/>
          <w:bCs/>
          <w:sz w:val="24"/>
          <w:szCs w:val="24"/>
        </w:rPr>
        <w:t>CONCLUSION</w:t>
      </w:r>
    </w:p>
    <w:p w14:paraId="2D8FB115" w14:textId="231DD3FF" w:rsidR="008F5FCC" w:rsidRDefault="008F5FCC" w:rsidP="006E29B7">
      <w:pPr>
        <w:jc w:val="both"/>
        <w:rPr>
          <w:rFonts w:ascii="Times New Roman" w:hAnsi="Times New Roman" w:cs="Times New Roman"/>
          <w:sz w:val="24"/>
          <w:szCs w:val="24"/>
        </w:rPr>
      </w:pPr>
      <w:r w:rsidRPr="00901875">
        <w:rPr>
          <w:rFonts w:ascii="Times New Roman" w:hAnsi="Times New Roman" w:cs="Times New Roman"/>
          <w:sz w:val="24"/>
          <w:szCs w:val="24"/>
        </w:rPr>
        <w:t xml:space="preserve">This study reveals a high prevalence of </w:t>
      </w:r>
      <w:proofErr w:type="spellStart"/>
      <w:r w:rsidRPr="00901875">
        <w:rPr>
          <w:rFonts w:ascii="Times New Roman" w:hAnsi="Times New Roman" w:cs="Times New Roman"/>
          <w:sz w:val="24"/>
          <w:szCs w:val="24"/>
        </w:rPr>
        <w:t>dysglycaemia</w:t>
      </w:r>
      <w:proofErr w:type="spellEnd"/>
      <w:r w:rsidRPr="00901875">
        <w:rPr>
          <w:rFonts w:ascii="Times New Roman" w:hAnsi="Times New Roman" w:cs="Times New Roman"/>
          <w:sz w:val="24"/>
          <w:szCs w:val="24"/>
        </w:rPr>
        <w:t xml:space="preserve"> among TB patients at UPTH, underscoring the urgent need for integrated screening protocols at TB clinics. The significant associations with BMI and occupational status further suggest that targeted interventions, including nutritional counselling, lifestyle modification, and socioeconomic support, may improve outcomes. Future studies should explore longitudinal patterns post-treatment to distinguish transient hyperglycaemia from chronic diabetes and assess how these patterns affect TB treatment adherence and recovery.</w:t>
      </w:r>
    </w:p>
    <w:p w14:paraId="47F67C6C" w14:textId="77777777" w:rsidR="004657CC" w:rsidRDefault="004657CC" w:rsidP="006E29B7">
      <w:pPr>
        <w:jc w:val="both"/>
        <w:rPr>
          <w:rFonts w:ascii="Times New Roman" w:hAnsi="Times New Roman" w:cs="Times New Roman"/>
          <w:sz w:val="24"/>
          <w:szCs w:val="24"/>
        </w:rPr>
      </w:pPr>
    </w:p>
    <w:p w14:paraId="42A32B77" w14:textId="77777777" w:rsidR="004657CC" w:rsidRPr="004657CC" w:rsidRDefault="004657CC" w:rsidP="004657CC">
      <w:pPr>
        <w:jc w:val="both"/>
        <w:rPr>
          <w:rFonts w:ascii="Times New Roman" w:hAnsi="Times New Roman" w:cs="Times New Roman"/>
          <w:sz w:val="24"/>
          <w:szCs w:val="24"/>
        </w:rPr>
      </w:pPr>
      <w:r w:rsidRPr="004657CC">
        <w:rPr>
          <w:rFonts w:ascii="Times New Roman" w:hAnsi="Times New Roman" w:cs="Times New Roman"/>
          <w:sz w:val="24"/>
          <w:szCs w:val="24"/>
        </w:rPr>
        <w:t>COMPETING INTERESTS DISCLAIMER:</w:t>
      </w:r>
    </w:p>
    <w:p w14:paraId="42F3E0D7" w14:textId="08C74A54" w:rsidR="004657CC" w:rsidRDefault="004657CC" w:rsidP="004657CC">
      <w:pPr>
        <w:jc w:val="both"/>
        <w:rPr>
          <w:rFonts w:ascii="Times New Roman" w:hAnsi="Times New Roman" w:cs="Times New Roman"/>
          <w:sz w:val="24"/>
          <w:szCs w:val="24"/>
        </w:rPr>
      </w:pPr>
      <w:r w:rsidRPr="004657C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B00DB49" w14:textId="77777777" w:rsidR="00EF7B9F" w:rsidRDefault="00EF7B9F" w:rsidP="00991D96">
      <w:pPr>
        <w:jc w:val="both"/>
        <w:rPr>
          <w:rFonts w:ascii="Calibri" w:eastAsia="Calibri" w:hAnsi="Calibri" w:cs="Times New Roman"/>
          <w:highlight w:val="yellow"/>
          <w:lang w:val="en-US"/>
        </w:rPr>
      </w:pPr>
      <w:bookmarkStart w:id="1" w:name="_Hlk204003461"/>
      <w:bookmarkStart w:id="2" w:name="_Hlk209007716"/>
      <w:r>
        <w:rPr>
          <w:rFonts w:ascii="Calibri" w:eastAsia="Calibri" w:hAnsi="Calibri" w:cs="Times New Roman"/>
          <w:highlight w:val="yellow"/>
          <w:lang w:val="en-US"/>
        </w:rPr>
        <w:t>Disclaimer (Artificial intelligence)</w:t>
      </w:r>
    </w:p>
    <w:p w14:paraId="51D0BDC7" w14:textId="77777777" w:rsidR="00EF7B9F" w:rsidRDefault="00EF7B9F" w:rsidP="00991D96">
      <w:pPr>
        <w:jc w:val="both"/>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78CB1CD3" w14:textId="77777777" w:rsidR="004657CC" w:rsidRPr="00901875" w:rsidRDefault="004657CC" w:rsidP="006E29B7">
      <w:pPr>
        <w:jc w:val="both"/>
        <w:rPr>
          <w:rFonts w:ascii="Times New Roman" w:hAnsi="Times New Roman" w:cs="Times New Roman"/>
          <w:sz w:val="24"/>
          <w:szCs w:val="24"/>
        </w:rPr>
      </w:pPr>
    </w:p>
    <w:p w14:paraId="14D8119D" w14:textId="77777777" w:rsidR="008F5FCC" w:rsidRDefault="008F5FCC" w:rsidP="003F6F5D">
      <w:pPr>
        <w:jc w:val="both"/>
        <w:rPr>
          <w:rFonts w:ascii="Times New Roman" w:hAnsi="Times New Roman" w:cs="Times New Roman"/>
          <w:b/>
          <w:bCs/>
          <w:sz w:val="24"/>
          <w:szCs w:val="24"/>
        </w:rPr>
      </w:pPr>
      <w:r w:rsidRPr="009B6107">
        <w:rPr>
          <w:rFonts w:ascii="Times New Roman" w:hAnsi="Times New Roman" w:cs="Times New Roman"/>
          <w:b/>
          <w:bCs/>
          <w:sz w:val="24"/>
          <w:szCs w:val="24"/>
        </w:rPr>
        <w:t>REFERENCES</w:t>
      </w:r>
    </w:p>
    <w:p w14:paraId="5E44084F"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24200D">
        <w:rPr>
          <w:rFonts w:ascii="Times New Roman" w:hAnsi="Times New Roman" w:cs="Times New Roman"/>
          <w:sz w:val="24"/>
          <w:szCs w:val="24"/>
          <w:lang w:val="en-US"/>
        </w:rPr>
        <w:t xml:space="preserve">Ayeni, F., Aina, B., Oyetunde, O., &amp; Adejumo, O. (2016). </w:t>
      </w:r>
      <w:r w:rsidRPr="00EA5272">
        <w:rPr>
          <w:rFonts w:ascii="Times New Roman" w:hAnsi="Times New Roman" w:cs="Times New Roman"/>
          <w:sz w:val="24"/>
          <w:szCs w:val="24"/>
        </w:rPr>
        <w:t xml:space="preserve">Treatment outcomes of tuberculosis patients with diabetes mellitus in a secondary health facility in Lagos, Nigeria. </w:t>
      </w:r>
      <w:r w:rsidRPr="00EA5272">
        <w:rPr>
          <w:rFonts w:ascii="Times New Roman" w:hAnsi="Times New Roman" w:cs="Times New Roman"/>
          <w:i/>
          <w:iCs/>
          <w:sz w:val="24"/>
          <w:szCs w:val="24"/>
        </w:rPr>
        <w:t>West African Journal of Pharmacy, 27</w:t>
      </w:r>
      <w:r w:rsidRPr="00EA5272">
        <w:rPr>
          <w:rFonts w:ascii="Times New Roman" w:hAnsi="Times New Roman" w:cs="Times New Roman"/>
          <w:sz w:val="24"/>
          <w:szCs w:val="24"/>
        </w:rPr>
        <w:t xml:space="preserve">(2), 111–119. </w:t>
      </w:r>
      <w:hyperlink r:id="rId10" w:history="1">
        <w:r w:rsidRPr="00EA5272">
          <w:rPr>
            <w:rStyle w:val="Hyperlink"/>
            <w:rFonts w:ascii="Times New Roman" w:hAnsi="Times New Roman" w:cs="Times New Roman"/>
            <w:sz w:val="24"/>
            <w:szCs w:val="24"/>
          </w:rPr>
          <w:t>https://www.wapcpjournal.org.ng/index.php/home/article/view/116</w:t>
        </w:r>
      </w:hyperlink>
    </w:p>
    <w:p w14:paraId="43198CDD" w14:textId="3F179DAB" w:rsidR="005978C1" w:rsidRDefault="005978C1" w:rsidP="00C07CF6">
      <w:pPr>
        <w:spacing w:line="278" w:lineRule="auto"/>
        <w:ind w:left="720" w:hanging="720"/>
        <w:jc w:val="both"/>
        <w:rPr>
          <w:rFonts w:ascii="Times New Roman" w:hAnsi="Times New Roman" w:cs="Times New Roman"/>
          <w:sz w:val="24"/>
          <w:szCs w:val="24"/>
          <w:lang w:val="en-US"/>
        </w:rPr>
      </w:pPr>
      <w:r w:rsidRPr="00416756">
        <w:rPr>
          <w:rFonts w:ascii="Times New Roman" w:hAnsi="Times New Roman" w:cs="Times New Roman"/>
          <w:sz w:val="24"/>
          <w:szCs w:val="24"/>
          <w:highlight w:val="yellow"/>
          <w:lang w:val="it-IT"/>
        </w:rPr>
        <w:t xml:space="preserve">Barreda, N. N., Arriaga, M. B., Aliaga, J. G., Lopez, K., Sanabria, O. M., Carmo, T. A., &amp; Calderon, R. I. (2020). </w:t>
      </w:r>
      <w:r w:rsidRPr="00416756">
        <w:rPr>
          <w:rFonts w:ascii="Times New Roman" w:hAnsi="Times New Roman" w:cs="Times New Roman"/>
          <w:sz w:val="24"/>
          <w:szCs w:val="24"/>
          <w:highlight w:val="yellow"/>
          <w:lang w:val="en-US"/>
        </w:rPr>
        <w:t xml:space="preserve">Severe pulmonary radiological manifestations are associated with a distinct biochemical profile in blood of tuberculosis patients with </w:t>
      </w:r>
      <w:proofErr w:type="spellStart"/>
      <w:r w:rsidRPr="00416756">
        <w:rPr>
          <w:rFonts w:ascii="Times New Roman" w:hAnsi="Times New Roman" w:cs="Times New Roman"/>
          <w:sz w:val="24"/>
          <w:szCs w:val="24"/>
          <w:highlight w:val="yellow"/>
          <w:lang w:val="en-US"/>
        </w:rPr>
        <w:t>dysglycemia</w:t>
      </w:r>
      <w:proofErr w:type="spellEnd"/>
      <w:r w:rsidRPr="00416756">
        <w:rPr>
          <w:rFonts w:ascii="Times New Roman" w:hAnsi="Times New Roman" w:cs="Times New Roman"/>
          <w:sz w:val="24"/>
          <w:szCs w:val="24"/>
          <w:highlight w:val="yellow"/>
          <w:lang w:val="en-US"/>
        </w:rPr>
        <w:t>. BMC Infectious Diseases, 20(1), 139</w:t>
      </w:r>
      <w:r w:rsidR="00226B37" w:rsidRPr="00416756">
        <w:rPr>
          <w:rFonts w:ascii="Times New Roman" w:hAnsi="Times New Roman" w:cs="Times New Roman"/>
          <w:sz w:val="24"/>
          <w:szCs w:val="24"/>
          <w:highlight w:val="yellow"/>
          <w:lang w:val="en-US"/>
        </w:rPr>
        <w:t xml:space="preserve">: </w:t>
      </w:r>
      <w:r w:rsidR="00416756" w:rsidRPr="00416756">
        <w:rPr>
          <w:rFonts w:ascii="Times New Roman" w:hAnsi="Times New Roman" w:cs="Times New Roman"/>
          <w:sz w:val="24"/>
          <w:szCs w:val="24"/>
          <w:highlight w:val="yellow"/>
          <w:lang w:val="en-US"/>
        </w:rPr>
        <w:t>1-14</w:t>
      </w:r>
    </w:p>
    <w:p w14:paraId="72FF99A9" w14:textId="13872816" w:rsidR="00C07CF6" w:rsidRPr="00EA5272" w:rsidRDefault="00C07CF6" w:rsidP="00C07CF6">
      <w:pPr>
        <w:spacing w:line="278" w:lineRule="auto"/>
        <w:ind w:left="720" w:hanging="720"/>
        <w:jc w:val="both"/>
        <w:rPr>
          <w:rFonts w:ascii="Times New Roman" w:hAnsi="Times New Roman" w:cs="Times New Roman"/>
          <w:sz w:val="24"/>
          <w:szCs w:val="24"/>
        </w:rPr>
      </w:pPr>
      <w:r w:rsidRPr="00226B37">
        <w:rPr>
          <w:rFonts w:ascii="Times New Roman" w:hAnsi="Times New Roman" w:cs="Times New Roman"/>
          <w:sz w:val="24"/>
          <w:szCs w:val="24"/>
          <w:lang w:val="en-US"/>
        </w:rPr>
        <w:t xml:space="preserve">Boillat-Blanco, N., Ramaiya, K. L., </w:t>
      </w:r>
      <w:proofErr w:type="spellStart"/>
      <w:r w:rsidRPr="00226B37">
        <w:rPr>
          <w:rFonts w:ascii="Times New Roman" w:hAnsi="Times New Roman" w:cs="Times New Roman"/>
          <w:sz w:val="24"/>
          <w:szCs w:val="24"/>
          <w:lang w:val="en-US"/>
        </w:rPr>
        <w:t>Mganga</w:t>
      </w:r>
      <w:proofErr w:type="spellEnd"/>
      <w:r w:rsidRPr="00226B37">
        <w:rPr>
          <w:rFonts w:ascii="Times New Roman" w:hAnsi="Times New Roman" w:cs="Times New Roman"/>
          <w:sz w:val="24"/>
          <w:szCs w:val="24"/>
          <w:lang w:val="en-US"/>
        </w:rPr>
        <w:t xml:space="preserve">, M., Minja, L. T., Bovet, P., Schindler, C., et al. </w:t>
      </w:r>
      <w:r w:rsidRPr="00EA5272">
        <w:rPr>
          <w:rFonts w:ascii="Times New Roman" w:hAnsi="Times New Roman" w:cs="Times New Roman"/>
          <w:sz w:val="24"/>
          <w:szCs w:val="24"/>
        </w:rPr>
        <w:t xml:space="preserve">(2016). Transient </w:t>
      </w:r>
      <w:proofErr w:type="spellStart"/>
      <w:r w:rsidRPr="00EA5272">
        <w:rPr>
          <w:rFonts w:ascii="Times New Roman" w:hAnsi="Times New Roman" w:cs="Times New Roman"/>
          <w:sz w:val="24"/>
          <w:szCs w:val="24"/>
        </w:rPr>
        <w:t>hyperglycemia</w:t>
      </w:r>
      <w:proofErr w:type="spellEnd"/>
      <w:r w:rsidRPr="00EA5272">
        <w:rPr>
          <w:rFonts w:ascii="Times New Roman" w:hAnsi="Times New Roman" w:cs="Times New Roman"/>
          <w:sz w:val="24"/>
          <w:szCs w:val="24"/>
        </w:rPr>
        <w:t xml:space="preserve"> in patients with tuberculosis in Tanzania: Implications for diabetes screening algorithms. </w:t>
      </w:r>
      <w:r w:rsidRPr="00EA5272">
        <w:rPr>
          <w:rFonts w:ascii="Times New Roman" w:hAnsi="Times New Roman" w:cs="Times New Roman"/>
          <w:i/>
          <w:iCs/>
          <w:sz w:val="24"/>
          <w:szCs w:val="24"/>
        </w:rPr>
        <w:t>Journal of Infectious Diseases, 213</w:t>
      </w:r>
      <w:r w:rsidRPr="00EA5272">
        <w:rPr>
          <w:rFonts w:ascii="Times New Roman" w:hAnsi="Times New Roman" w:cs="Times New Roman"/>
          <w:sz w:val="24"/>
          <w:szCs w:val="24"/>
        </w:rPr>
        <w:t xml:space="preserve">(7), 1163–1172. </w:t>
      </w:r>
      <w:hyperlink r:id="rId11" w:history="1">
        <w:r w:rsidRPr="00EA5272">
          <w:rPr>
            <w:rStyle w:val="Hyperlink"/>
            <w:rFonts w:ascii="Times New Roman" w:hAnsi="Times New Roman" w:cs="Times New Roman"/>
            <w:sz w:val="24"/>
            <w:szCs w:val="24"/>
          </w:rPr>
          <w:t>https://pubmed.ncbi.nlm.nih.gov/26609005/</w:t>
        </w:r>
      </w:hyperlink>
    </w:p>
    <w:p w14:paraId="52B6D5DD"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lang w:val="it-IT"/>
        </w:rPr>
        <w:t xml:space="preserve">Calderon, R. I., Arriaga, M. B., Aliaga, J. G., Barreda, N. N., Sanabria, O. M., &amp; Barreto-Duarte, B. (2022). </w:t>
      </w:r>
      <w:r w:rsidRPr="00EA5272">
        <w:rPr>
          <w:rFonts w:ascii="Times New Roman" w:hAnsi="Times New Roman" w:cs="Times New Roman"/>
          <w:sz w:val="24"/>
          <w:szCs w:val="24"/>
        </w:rPr>
        <w:t xml:space="preserve">Persistent </w:t>
      </w:r>
      <w:proofErr w:type="spellStart"/>
      <w:r w:rsidRPr="00EA5272">
        <w:rPr>
          <w:rFonts w:ascii="Times New Roman" w:hAnsi="Times New Roman" w:cs="Times New Roman"/>
          <w:sz w:val="24"/>
          <w:szCs w:val="24"/>
        </w:rPr>
        <w:t>dysglycemia</w:t>
      </w:r>
      <w:proofErr w:type="spellEnd"/>
      <w:r w:rsidRPr="00EA5272">
        <w:rPr>
          <w:rFonts w:ascii="Times New Roman" w:hAnsi="Times New Roman" w:cs="Times New Roman"/>
          <w:sz w:val="24"/>
          <w:szCs w:val="24"/>
        </w:rPr>
        <w:t xml:space="preserve"> and treatment outcomes among pulmonary tuberculosis patients in Peru. </w:t>
      </w:r>
      <w:r w:rsidRPr="00EA5272">
        <w:rPr>
          <w:rFonts w:ascii="Times New Roman" w:hAnsi="Times New Roman" w:cs="Times New Roman"/>
          <w:i/>
          <w:iCs/>
          <w:sz w:val="24"/>
          <w:szCs w:val="24"/>
        </w:rPr>
        <w:t>International Journal of Infectious Diseases, 116</w:t>
      </w:r>
      <w:r w:rsidRPr="00EA5272">
        <w:rPr>
          <w:rFonts w:ascii="Times New Roman" w:hAnsi="Times New Roman" w:cs="Times New Roman"/>
          <w:sz w:val="24"/>
          <w:szCs w:val="24"/>
        </w:rPr>
        <w:t xml:space="preserve">, 293–301. </w:t>
      </w:r>
      <w:hyperlink r:id="rId12" w:history="1">
        <w:r w:rsidRPr="00EA5272">
          <w:rPr>
            <w:rStyle w:val="Hyperlink"/>
            <w:rFonts w:ascii="Times New Roman" w:hAnsi="Times New Roman" w:cs="Times New Roman"/>
            <w:sz w:val="24"/>
            <w:szCs w:val="24"/>
          </w:rPr>
          <w:t>https://www.sciencedirect.com/science/article/pii/S1201971222000133</w:t>
        </w:r>
      </w:hyperlink>
    </w:p>
    <w:p w14:paraId="4B3767A9"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lang w:val="it-IT"/>
        </w:rPr>
        <w:lastRenderedPageBreak/>
        <w:t xml:space="preserve">Calderon, R. I., Arriaga, M. B., Lopez, K., Barreda, N. N., Sanabria, O. M., &amp; Fróes Neto, J. F. (2019). </w:t>
      </w:r>
      <w:r w:rsidRPr="00EA5272">
        <w:rPr>
          <w:rFonts w:ascii="Times New Roman" w:hAnsi="Times New Roman" w:cs="Times New Roman"/>
          <w:sz w:val="24"/>
          <w:szCs w:val="24"/>
        </w:rPr>
        <w:t xml:space="preserve">High prevalence and heterogeneity of </w:t>
      </w:r>
      <w:proofErr w:type="spellStart"/>
      <w:r w:rsidRPr="00EA5272">
        <w:rPr>
          <w:rFonts w:ascii="Times New Roman" w:hAnsi="Times New Roman" w:cs="Times New Roman"/>
          <w:sz w:val="24"/>
          <w:szCs w:val="24"/>
        </w:rPr>
        <w:t>dysglycemia</w:t>
      </w:r>
      <w:proofErr w:type="spellEnd"/>
      <w:r w:rsidRPr="00EA5272">
        <w:rPr>
          <w:rFonts w:ascii="Times New Roman" w:hAnsi="Times New Roman" w:cs="Times New Roman"/>
          <w:sz w:val="24"/>
          <w:szCs w:val="24"/>
        </w:rPr>
        <w:t xml:space="preserve"> in patients with tuberculosis from Peru: A prospective cohort study. </w:t>
      </w:r>
      <w:r w:rsidRPr="00EA5272">
        <w:rPr>
          <w:rFonts w:ascii="Times New Roman" w:hAnsi="Times New Roman" w:cs="Times New Roman"/>
          <w:i/>
          <w:iCs/>
          <w:sz w:val="24"/>
          <w:szCs w:val="24"/>
        </w:rPr>
        <w:t>BMC Infectious Diseases, 19</w:t>
      </w:r>
      <w:r w:rsidRPr="00EA5272">
        <w:rPr>
          <w:rFonts w:ascii="Times New Roman" w:hAnsi="Times New Roman" w:cs="Times New Roman"/>
          <w:sz w:val="24"/>
          <w:szCs w:val="24"/>
        </w:rPr>
        <w:t xml:space="preserve">(1), 1–11. </w:t>
      </w:r>
      <w:hyperlink r:id="rId13" w:history="1">
        <w:r w:rsidRPr="00EA5272">
          <w:rPr>
            <w:rStyle w:val="Hyperlink"/>
            <w:rFonts w:ascii="Times New Roman" w:hAnsi="Times New Roman" w:cs="Times New Roman"/>
            <w:sz w:val="24"/>
            <w:szCs w:val="24"/>
          </w:rPr>
          <w:t>https://bmcinfectdis.biomedcentral.com/articles/10.1186/s12879-019-4416-2</w:t>
        </w:r>
      </w:hyperlink>
    </w:p>
    <w:p w14:paraId="27909936"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Castle, A. C., Hoeppner, S. S., </w:t>
      </w:r>
      <w:proofErr w:type="spellStart"/>
      <w:r w:rsidRPr="00EA5272">
        <w:rPr>
          <w:rFonts w:ascii="Times New Roman" w:hAnsi="Times New Roman" w:cs="Times New Roman"/>
          <w:sz w:val="24"/>
          <w:szCs w:val="24"/>
        </w:rPr>
        <w:t>Magodoro</w:t>
      </w:r>
      <w:proofErr w:type="spellEnd"/>
      <w:r w:rsidRPr="00EA5272">
        <w:rPr>
          <w:rFonts w:ascii="Times New Roman" w:hAnsi="Times New Roman" w:cs="Times New Roman"/>
          <w:sz w:val="24"/>
          <w:szCs w:val="24"/>
        </w:rPr>
        <w:t xml:space="preserve">, I. M., Singh, U., Moosa, Y., &amp; Bassett, I. V. (2023). Association between prior tuberculosis disease and </w:t>
      </w:r>
      <w:proofErr w:type="spellStart"/>
      <w:r w:rsidRPr="00EA5272">
        <w:rPr>
          <w:rFonts w:ascii="Times New Roman" w:hAnsi="Times New Roman" w:cs="Times New Roman"/>
          <w:sz w:val="24"/>
          <w:szCs w:val="24"/>
        </w:rPr>
        <w:t>dysglycemia</w:t>
      </w:r>
      <w:proofErr w:type="spellEnd"/>
      <w:r w:rsidRPr="00EA5272">
        <w:rPr>
          <w:rFonts w:ascii="Times New Roman" w:hAnsi="Times New Roman" w:cs="Times New Roman"/>
          <w:sz w:val="24"/>
          <w:szCs w:val="24"/>
        </w:rPr>
        <w:t xml:space="preserve"> within an HIV-endemic, rural South African population. </w:t>
      </w:r>
      <w:r w:rsidRPr="00EA5272">
        <w:rPr>
          <w:rFonts w:ascii="Times New Roman" w:hAnsi="Times New Roman" w:cs="Times New Roman"/>
          <w:i/>
          <w:iCs/>
          <w:sz w:val="24"/>
          <w:szCs w:val="24"/>
        </w:rPr>
        <w:t>PLoS One, 18</w:t>
      </w:r>
      <w:r w:rsidRPr="00EA5272">
        <w:rPr>
          <w:rFonts w:ascii="Times New Roman" w:hAnsi="Times New Roman" w:cs="Times New Roman"/>
          <w:sz w:val="24"/>
          <w:szCs w:val="24"/>
        </w:rPr>
        <w:t xml:space="preserve">(3), e0282371. </w:t>
      </w:r>
      <w:hyperlink r:id="rId14" w:history="1">
        <w:r w:rsidRPr="00EA5272">
          <w:rPr>
            <w:rStyle w:val="Hyperlink"/>
            <w:rFonts w:ascii="Times New Roman" w:hAnsi="Times New Roman" w:cs="Times New Roman"/>
            <w:sz w:val="24"/>
            <w:szCs w:val="24"/>
          </w:rPr>
          <w:t>https://pmc.ncbi.nlm.nih.gov/articles/PMC10019670/</w:t>
        </w:r>
      </w:hyperlink>
    </w:p>
    <w:p w14:paraId="715265C9" w14:textId="77777777" w:rsidR="00C07CF6" w:rsidRPr="00EA5272" w:rsidRDefault="00C07CF6" w:rsidP="00C07CF6">
      <w:pPr>
        <w:spacing w:line="278" w:lineRule="auto"/>
        <w:ind w:left="720" w:hanging="720"/>
        <w:jc w:val="both"/>
        <w:rPr>
          <w:rFonts w:ascii="Times New Roman" w:hAnsi="Times New Roman" w:cs="Times New Roman"/>
          <w:sz w:val="24"/>
          <w:szCs w:val="24"/>
        </w:rPr>
      </w:pPr>
      <w:proofErr w:type="spellStart"/>
      <w:r w:rsidRPr="00EA5272">
        <w:rPr>
          <w:rFonts w:ascii="Times New Roman" w:hAnsi="Times New Roman" w:cs="Times New Roman"/>
          <w:sz w:val="24"/>
          <w:szCs w:val="24"/>
        </w:rPr>
        <w:t>Ekeke</w:t>
      </w:r>
      <w:proofErr w:type="spellEnd"/>
      <w:r w:rsidRPr="00EA5272">
        <w:rPr>
          <w:rFonts w:ascii="Times New Roman" w:hAnsi="Times New Roman" w:cs="Times New Roman"/>
          <w:sz w:val="24"/>
          <w:szCs w:val="24"/>
        </w:rPr>
        <w:t xml:space="preserve">, N., </w:t>
      </w:r>
      <w:proofErr w:type="spellStart"/>
      <w:r w:rsidRPr="00EA5272">
        <w:rPr>
          <w:rFonts w:ascii="Times New Roman" w:hAnsi="Times New Roman" w:cs="Times New Roman"/>
          <w:sz w:val="24"/>
          <w:szCs w:val="24"/>
        </w:rPr>
        <w:t>Ukwaja</w:t>
      </w:r>
      <w:proofErr w:type="spellEnd"/>
      <w:r w:rsidRPr="00EA5272">
        <w:rPr>
          <w:rFonts w:ascii="Times New Roman" w:hAnsi="Times New Roman" w:cs="Times New Roman"/>
          <w:sz w:val="24"/>
          <w:szCs w:val="24"/>
        </w:rPr>
        <w:t xml:space="preserve">, K. N., Chukwu, J. N., Nwafor, C. C., Meka, A. O., &amp; </w:t>
      </w:r>
      <w:proofErr w:type="spellStart"/>
      <w:r w:rsidRPr="00EA5272">
        <w:rPr>
          <w:rFonts w:ascii="Times New Roman" w:hAnsi="Times New Roman" w:cs="Times New Roman"/>
          <w:sz w:val="24"/>
          <w:szCs w:val="24"/>
        </w:rPr>
        <w:t>Egbagbe</w:t>
      </w:r>
      <w:proofErr w:type="spellEnd"/>
      <w:r w:rsidRPr="00EA5272">
        <w:rPr>
          <w:rFonts w:ascii="Times New Roman" w:hAnsi="Times New Roman" w:cs="Times New Roman"/>
          <w:sz w:val="24"/>
          <w:szCs w:val="24"/>
        </w:rPr>
        <w:t xml:space="preserve">, E. E. (2017). Screening for diabetes mellitus among tuberculosis patients in Southern Nigeria: A multicentre implementation study under program settings. </w:t>
      </w:r>
      <w:r w:rsidRPr="00EA5272">
        <w:rPr>
          <w:rFonts w:ascii="Times New Roman" w:hAnsi="Times New Roman" w:cs="Times New Roman"/>
          <w:i/>
          <w:iCs/>
          <w:sz w:val="24"/>
          <w:szCs w:val="24"/>
        </w:rPr>
        <w:t>Scientific Reports, 7</w:t>
      </w:r>
      <w:r w:rsidRPr="00EA5272">
        <w:rPr>
          <w:rFonts w:ascii="Times New Roman" w:hAnsi="Times New Roman" w:cs="Times New Roman"/>
          <w:sz w:val="24"/>
          <w:szCs w:val="24"/>
        </w:rPr>
        <w:t xml:space="preserve">, 44205. </w:t>
      </w:r>
      <w:hyperlink r:id="rId15" w:history="1">
        <w:r w:rsidRPr="00EA5272">
          <w:rPr>
            <w:rStyle w:val="Hyperlink"/>
            <w:rFonts w:ascii="Times New Roman" w:hAnsi="Times New Roman" w:cs="Times New Roman"/>
            <w:sz w:val="24"/>
            <w:szCs w:val="24"/>
          </w:rPr>
          <w:t>https://doi.org/10.1038/srep44205</w:t>
        </w:r>
      </w:hyperlink>
    </w:p>
    <w:p w14:paraId="0117C091"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Guo, F., Moellering, D. R., &amp; Garvey, W. T. (2014). Use of HbA1c for diagnosis of diabetes and prediabetes: Comparison with fasting and 2-hour glucose values and effects of gender, race, and age. </w:t>
      </w:r>
      <w:r w:rsidRPr="00EA5272">
        <w:rPr>
          <w:rFonts w:ascii="Times New Roman" w:hAnsi="Times New Roman" w:cs="Times New Roman"/>
          <w:i/>
          <w:iCs/>
          <w:sz w:val="24"/>
          <w:szCs w:val="24"/>
        </w:rPr>
        <w:t>Metabolic Syndrome and Related Disorders, 12</w:t>
      </w:r>
      <w:r w:rsidRPr="00EA5272">
        <w:rPr>
          <w:rFonts w:ascii="Times New Roman" w:hAnsi="Times New Roman" w:cs="Times New Roman"/>
          <w:sz w:val="24"/>
          <w:szCs w:val="24"/>
        </w:rPr>
        <w:t>(5), 258–268.</w:t>
      </w:r>
    </w:p>
    <w:p w14:paraId="07432790"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International Diabetes Federation. (2023). </w:t>
      </w:r>
      <w:r w:rsidRPr="00EA5272">
        <w:rPr>
          <w:rFonts w:ascii="Times New Roman" w:hAnsi="Times New Roman" w:cs="Times New Roman"/>
          <w:i/>
          <w:iCs/>
          <w:sz w:val="24"/>
          <w:szCs w:val="24"/>
        </w:rPr>
        <w:t>IDF diabetes atlas</w:t>
      </w:r>
      <w:r w:rsidRPr="00EA5272">
        <w:rPr>
          <w:rFonts w:ascii="Times New Roman" w:hAnsi="Times New Roman" w:cs="Times New Roman"/>
          <w:sz w:val="24"/>
          <w:szCs w:val="24"/>
        </w:rPr>
        <w:t xml:space="preserve"> (10th ed.). IDF.</w:t>
      </w:r>
    </w:p>
    <w:p w14:paraId="36516B39" w14:textId="77777777" w:rsidR="00C07CF6" w:rsidRPr="00EA5272" w:rsidRDefault="00C07CF6" w:rsidP="00C07CF6">
      <w:pPr>
        <w:spacing w:line="278" w:lineRule="auto"/>
        <w:ind w:left="720" w:hanging="720"/>
        <w:jc w:val="both"/>
        <w:rPr>
          <w:rFonts w:ascii="Times New Roman" w:hAnsi="Times New Roman" w:cs="Times New Roman"/>
          <w:sz w:val="24"/>
          <w:szCs w:val="24"/>
          <w:lang w:val="it-IT"/>
        </w:rPr>
      </w:pPr>
      <w:r w:rsidRPr="00EA5272">
        <w:rPr>
          <w:rFonts w:ascii="Times New Roman" w:hAnsi="Times New Roman" w:cs="Times New Roman"/>
          <w:sz w:val="24"/>
          <w:szCs w:val="24"/>
        </w:rPr>
        <w:t xml:space="preserve">Kassie, G. A., Adella, G. A., </w:t>
      </w:r>
      <w:proofErr w:type="spellStart"/>
      <w:r w:rsidRPr="00EA5272">
        <w:rPr>
          <w:rFonts w:ascii="Times New Roman" w:hAnsi="Times New Roman" w:cs="Times New Roman"/>
          <w:sz w:val="24"/>
          <w:szCs w:val="24"/>
        </w:rPr>
        <w:t>Woldegeorgis</w:t>
      </w:r>
      <w:proofErr w:type="spellEnd"/>
      <w:r w:rsidRPr="00EA5272">
        <w:rPr>
          <w:rFonts w:ascii="Times New Roman" w:hAnsi="Times New Roman" w:cs="Times New Roman"/>
          <w:sz w:val="24"/>
          <w:szCs w:val="24"/>
        </w:rPr>
        <w:t xml:space="preserve">, B. Z., Alemu, A., Gebrekidan, A. Y., &amp; Haile, K. E. (2024). Burden of active tuberculosis among patients with diabetes mellitus in sub-Saharan Africa: A systematic review and meta-analysis. </w:t>
      </w:r>
      <w:r w:rsidRPr="00EA5272">
        <w:rPr>
          <w:rFonts w:ascii="Times New Roman" w:hAnsi="Times New Roman" w:cs="Times New Roman"/>
          <w:i/>
          <w:iCs/>
          <w:sz w:val="24"/>
          <w:szCs w:val="24"/>
          <w:lang w:val="it-IT"/>
        </w:rPr>
        <w:t>Heliyon, 10</w:t>
      </w:r>
      <w:r w:rsidRPr="00EA5272">
        <w:rPr>
          <w:rFonts w:ascii="Times New Roman" w:hAnsi="Times New Roman" w:cs="Times New Roman"/>
          <w:sz w:val="24"/>
          <w:szCs w:val="24"/>
          <w:lang w:val="it-IT"/>
        </w:rPr>
        <w:t xml:space="preserve">(21), e40140. </w:t>
      </w:r>
      <w:hyperlink r:id="rId16" w:history="1">
        <w:r w:rsidRPr="00EA5272">
          <w:rPr>
            <w:rStyle w:val="Hyperlink"/>
            <w:rFonts w:ascii="Times New Roman" w:hAnsi="Times New Roman" w:cs="Times New Roman"/>
            <w:sz w:val="24"/>
            <w:szCs w:val="24"/>
            <w:lang w:val="it-IT"/>
          </w:rPr>
          <w:t>https://linkinghub.elsevier.com/retrieve/pii/S2405844024161713</w:t>
        </w:r>
      </w:hyperlink>
    </w:p>
    <w:p w14:paraId="6C8B399E"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lang w:val="it-IT"/>
        </w:rPr>
        <w:t xml:space="preserve">Kibirige, D. (2014). </w:t>
      </w:r>
      <w:r w:rsidRPr="00EA5272">
        <w:rPr>
          <w:rFonts w:ascii="Times New Roman" w:hAnsi="Times New Roman" w:cs="Times New Roman"/>
          <w:sz w:val="24"/>
          <w:szCs w:val="24"/>
        </w:rPr>
        <w:t xml:space="preserve">Endocrine dysfunction among adult patients with tuberculosis: An African experience. </w:t>
      </w:r>
      <w:r w:rsidRPr="00EA5272">
        <w:rPr>
          <w:rFonts w:ascii="Times New Roman" w:hAnsi="Times New Roman" w:cs="Times New Roman"/>
          <w:i/>
          <w:iCs/>
          <w:sz w:val="24"/>
          <w:szCs w:val="24"/>
        </w:rPr>
        <w:t>Indian Journal of Endocrinology and Metabolism, 18</w:t>
      </w:r>
      <w:r w:rsidRPr="00EA5272">
        <w:rPr>
          <w:rFonts w:ascii="Times New Roman" w:hAnsi="Times New Roman" w:cs="Times New Roman"/>
          <w:sz w:val="24"/>
          <w:szCs w:val="24"/>
        </w:rPr>
        <w:t>(3), 288–292.</w:t>
      </w:r>
    </w:p>
    <w:p w14:paraId="342E44B5"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Lawson, L., </w:t>
      </w:r>
      <w:proofErr w:type="spellStart"/>
      <w:r w:rsidRPr="00EA5272">
        <w:rPr>
          <w:rFonts w:ascii="Times New Roman" w:hAnsi="Times New Roman" w:cs="Times New Roman"/>
          <w:sz w:val="24"/>
          <w:szCs w:val="24"/>
        </w:rPr>
        <w:t>Muc</w:t>
      </w:r>
      <w:proofErr w:type="spellEnd"/>
      <w:r w:rsidRPr="00EA5272">
        <w:rPr>
          <w:rFonts w:ascii="Times New Roman" w:hAnsi="Times New Roman" w:cs="Times New Roman"/>
          <w:sz w:val="24"/>
          <w:szCs w:val="24"/>
        </w:rPr>
        <w:t xml:space="preserve">, M., Oladimeji, O., Iweha, C., </w:t>
      </w:r>
      <w:proofErr w:type="spellStart"/>
      <w:r w:rsidRPr="00EA5272">
        <w:rPr>
          <w:rFonts w:ascii="Times New Roman" w:hAnsi="Times New Roman" w:cs="Times New Roman"/>
          <w:sz w:val="24"/>
          <w:szCs w:val="24"/>
        </w:rPr>
        <w:t>Opoola</w:t>
      </w:r>
      <w:proofErr w:type="spellEnd"/>
      <w:r w:rsidRPr="00EA5272">
        <w:rPr>
          <w:rFonts w:ascii="Times New Roman" w:hAnsi="Times New Roman" w:cs="Times New Roman"/>
          <w:sz w:val="24"/>
          <w:szCs w:val="24"/>
        </w:rPr>
        <w:t xml:space="preserve">, B., &amp; Abdurhaman, S. T. (2017). Tuberculosis and diabetes in Nigerian patients with and without HIV. </w:t>
      </w:r>
      <w:r w:rsidRPr="00EA5272">
        <w:rPr>
          <w:rFonts w:ascii="Times New Roman" w:hAnsi="Times New Roman" w:cs="Times New Roman"/>
          <w:i/>
          <w:iCs/>
          <w:sz w:val="24"/>
          <w:szCs w:val="24"/>
        </w:rPr>
        <w:t>International Journal of Infectious Diseases, 61</w:t>
      </w:r>
      <w:r w:rsidRPr="00EA5272">
        <w:rPr>
          <w:rFonts w:ascii="Times New Roman" w:hAnsi="Times New Roman" w:cs="Times New Roman"/>
          <w:sz w:val="24"/>
          <w:szCs w:val="24"/>
        </w:rPr>
        <w:t xml:space="preserve">, 121–125. </w:t>
      </w:r>
      <w:hyperlink r:id="rId17" w:history="1">
        <w:r w:rsidRPr="00EA5272">
          <w:rPr>
            <w:rStyle w:val="Hyperlink"/>
            <w:rFonts w:ascii="Times New Roman" w:hAnsi="Times New Roman" w:cs="Times New Roman"/>
            <w:sz w:val="24"/>
            <w:szCs w:val="24"/>
          </w:rPr>
          <w:t>https://doi.org/10.1016/j.ijid.2017.06.010</w:t>
        </w:r>
      </w:hyperlink>
    </w:p>
    <w:p w14:paraId="6E0E9337" w14:textId="77777777" w:rsidR="00C07CF6" w:rsidRDefault="00C07CF6" w:rsidP="00C07CF6">
      <w:pPr>
        <w:spacing w:line="278" w:lineRule="auto"/>
        <w:ind w:left="720" w:hanging="720"/>
        <w:jc w:val="both"/>
      </w:pPr>
      <w:proofErr w:type="spellStart"/>
      <w:r w:rsidRPr="00EA5272">
        <w:rPr>
          <w:rFonts w:ascii="Times New Roman" w:hAnsi="Times New Roman" w:cs="Times New Roman"/>
          <w:sz w:val="24"/>
          <w:szCs w:val="24"/>
        </w:rPr>
        <w:t>Lönnroth</w:t>
      </w:r>
      <w:proofErr w:type="spellEnd"/>
      <w:r w:rsidRPr="00EA5272">
        <w:rPr>
          <w:rFonts w:ascii="Times New Roman" w:hAnsi="Times New Roman" w:cs="Times New Roman"/>
          <w:sz w:val="24"/>
          <w:szCs w:val="24"/>
        </w:rPr>
        <w:t xml:space="preserve">, K., Williams, B. G., </w:t>
      </w:r>
      <w:proofErr w:type="spellStart"/>
      <w:r w:rsidRPr="00EA5272">
        <w:rPr>
          <w:rFonts w:ascii="Times New Roman" w:hAnsi="Times New Roman" w:cs="Times New Roman"/>
          <w:sz w:val="24"/>
          <w:szCs w:val="24"/>
        </w:rPr>
        <w:t>Stadlin</w:t>
      </w:r>
      <w:proofErr w:type="spellEnd"/>
      <w:r w:rsidRPr="00EA5272">
        <w:rPr>
          <w:rFonts w:ascii="Times New Roman" w:hAnsi="Times New Roman" w:cs="Times New Roman"/>
          <w:sz w:val="24"/>
          <w:szCs w:val="24"/>
        </w:rPr>
        <w:t xml:space="preserve">, S., Jaramillo, E., &amp; Dye, C. (2008). Alcohol use as a risk factor for tuberculosis: A systematic review. </w:t>
      </w:r>
      <w:r w:rsidRPr="00EA5272">
        <w:rPr>
          <w:rFonts w:ascii="Times New Roman" w:hAnsi="Times New Roman" w:cs="Times New Roman"/>
          <w:i/>
          <w:iCs/>
          <w:sz w:val="24"/>
          <w:szCs w:val="24"/>
        </w:rPr>
        <w:t>BMC Public Health, 8</w:t>
      </w:r>
      <w:r w:rsidRPr="00EA5272">
        <w:rPr>
          <w:rFonts w:ascii="Times New Roman" w:hAnsi="Times New Roman" w:cs="Times New Roman"/>
          <w:sz w:val="24"/>
          <w:szCs w:val="24"/>
        </w:rPr>
        <w:t xml:space="preserve">(1), 289. </w:t>
      </w:r>
      <w:hyperlink r:id="rId18" w:history="1">
        <w:r w:rsidRPr="00EA5272">
          <w:rPr>
            <w:rStyle w:val="Hyperlink"/>
            <w:rFonts w:ascii="Times New Roman" w:hAnsi="Times New Roman" w:cs="Times New Roman"/>
            <w:sz w:val="24"/>
            <w:szCs w:val="24"/>
          </w:rPr>
          <w:t>https://doi.org/10.1186/1471-2458-8-289</w:t>
        </w:r>
      </w:hyperlink>
    </w:p>
    <w:p w14:paraId="5117426C" w14:textId="0F0C53FE" w:rsidR="00D669FE" w:rsidRPr="00EA5272" w:rsidRDefault="00D669FE" w:rsidP="00C07CF6">
      <w:pPr>
        <w:spacing w:line="278" w:lineRule="auto"/>
        <w:ind w:left="720" w:hanging="720"/>
        <w:jc w:val="both"/>
        <w:rPr>
          <w:rFonts w:ascii="Times New Roman" w:hAnsi="Times New Roman" w:cs="Times New Roman"/>
          <w:sz w:val="24"/>
          <w:szCs w:val="24"/>
        </w:rPr>
      </w:pPr>
      <w:r w:rsidRPr="004430F9">
        <w:rPr>
          <w:rFonts w:ascii="Times New Roman" w:hAnsi="Times New Roman" w:cs="Times New Roman"/>
          <w:sz w:val="24"/>
          <w:szCs w:val="24"/>
          <w:highlight w:val="yellow"/>
        </w:rPr>
        <w:t xml:space="preserve">Lopez K, Arriaga MB, Aliaga JG, Barreda NN, Sanabria OM, Huang C-C, et al. (2021) </w:t>
      </w:r>
      <w:proofErr w:type="spellStart"/>
      <w:r w:rsidRPr="004430F9">
        <w:rPr>
          <w:rFonts w:ascii="Times New Roman" w:hAnsi="Times New Roman" w:cs="Times New Roman"/>
          <w:sz w:val="24"/>
          <w:szCs w:val="24"/>
          <w:highlight w:val="yellow"/>
        </w:rPr>
        <w:t>Dysglycemia</w:t>
      </w:r>
      <w:proofErr w:type="spellEnd"/>
      <w:r w:rsidRPr="004430F9">
        <w:rPr>
          <w:rFonts w:ascii="Times New Roman" w:hAnsi="Times New Roman" w:cs="Times New Roman"/>
          <w:sz w:val="24"/>
          <w:szCs w:val="24"/>
          <w:highlight w:val="yellow"/>
        </w:rPr>
        <w:t xml:space="preserve"> is associated with Mycobacterium tuberculosis lineages in tuberculosis patients of North Lima—Peru. </w:t>
      </w:r>
      <w:r w:rsidRPr="004430F9">
        <w:rPr>
          <w:rFonts w:ascii="Times New Roman" w:hAnsi="Times New Roman" w:cs="Times New Roman"/>
          <w:i/>
          <w:iCs/>
          <w:sz w:val="24"/>
          <w:szCs w:val="24"/>
          <w:highlight w:val="yellow"/>
        </w:rPr>
        <w:t>PLoS ONE</w:t>
      </w:r>
      <w:r w:rsidRPr="004430F9">
        <w:rPr>
          <w:rFonts w:ascii="Times New Roman" w:hAnsi="Times New Roman" w:cs="Times New Roman"/>
          <w:sz w:val="24"/>
          <w:szCs w:val="24"/>
          <w:highlight w:val="yellow"/>
        </w:rPr>
        <w:t xml:space="preserve"> 16(1):</w:t>
      </w:r>
      <w:r w:rsidR="004430F9" w:rsidRPr="004430F9">
        <w:rPr>
          <w:rFonts w:ascii="Times New Roman" w:hAnsi="Times New Roman" w:cs="Times New Roman"/>
          <w:sz w:val="24"/>
          <w:szCs w:val="24"/>
          <w:highlight w:val="yellow"/>
        </w:rPr>
        <w:t>1-14.</w:t>
      </w:r>
    </w:p>
    <w:p w14:paraId="40329F6A"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Magee, M. J., </w:t>
      </w:r>
      <w:proofErr w:type="spellStart"/>
      <w:r w:rsidRPr="00EA5272">
        <w:rPr>
          <w:rFonts w:ascii="Times New Roman" w:hAnsi="Times New Roman" w:cs="Times New Roman"/>
          <w:sz w:val="24"/>
          <w:szCs w:val="24"/>
        </w:rPr>
        <w:t>Salindri</w:t>
      </w:r>
      <w:proofErr w:type="spellEnd"/>
      <w:r w:rsidRPr="00EA5272">
        <w:rPr>
          <w:rFonts w:ascii="Times New Roman" w:hAnsi="Times New Roman" w:cs="Times New Roman"/>
          <w:sz w:val="24"/>
          <w:szCs w:val="24"/>
        </w:rPr>
        <w:t xml:space="preserve">, A. D., Kyaw, N. T. T., Auld, S. C., Haw, J. S., &amp; Umpierrez, G. E. (2018). Stress </w:t>
      </w:r>
      <w:proofErr w:type="spellStart"/>
      <w:r w:rsidRPr="00EA5272">
        <w:rPr>
          <w:rFonts w:ascii="Times New Roman" w:hAnsi="Times New Roman" w:cs="Times New Roman"/>
          <w:sz w:val="24"/>
          <w:szCs w:val="24"/>
        </w:rPr>
        <w:t>hyperglycemia</w:t>
      </w:r>
      <w:proofErr w:type="spellEnd"/>
      <w:r w:rsidRPr="00EA5272">
        <w:rPr>
          <w:rFonts w:ascii="Times New Roman" w:hAnsi="Times New Roman" w:cs="Times New Roman"/>
          <w:sz w:val="24"/>
          <w:szCs w:val="24"/>
        </w:rPr>
        <w:t xml:space="preserve"> in patients with tuberculosis disease: Epidemiology and clinical implications. </w:t>
      </w:r>
      <w:r w:rsidRPr="00EA5272">
        <w:rPr>
          <w:rFonts w:ascii="Times New Roman" w:hAnsi="Times New Roman" w:cs="Times New Roman"/>
          <w:i/>
          <w:iCs/>
          <w:sz w:val="24"/>
          <w:szCs w:val="24"/>
        </w:rPr>
        <w:t>Current Diabetes Reports, 18</w:t>
      </w:r>
      <w:r w:rsidRPr="00EA5272">
        <w:rPr>
          <w:rFonts w:ascii="Times New Roman" w:hAnsi="Times New Roman" w:cs="Times New Roman"/>
          <w:sz w:val="24"/>
          <w:szCs w:val="24"/>
        </w:rPr>
        <w:t>(8), 1–10.</w:t>
      </w:r>
    </w:p>
    <w:p w14:paraId="711A77DA" w14:textId="77777777" w:rsidR="00C07CF6" w:rsidRPr="00EA5272" w:rsidRDefault="00C07CF6" w:rsidP="00C07CF6">
      <w:pPr>
        <w:spacing w:line="278" w:lineRule="auto"/>
        <w:ind w:left="720" w:hanging="720"/>
        <w:jc w:val="both"/>
        <w:rPr>
          <w:rFonts w:ascii="Times New Roman" w:hAnsi="Times New Roman" w:cs="Times New Roman"/>
          <w:sz w:val="24"/>
          <w:szCs w:val="24"/>
        </w:rPr>
      </w:pPr>
      <w:proofErr w:type="spellStart"/>
      <w:r w:rsidRPr="00EA5272">
        <w:rPr>
          <w:rFonts w:ascii="Times New Roman" w:hAnsi="Times New Roman" w:cs="Times New Roman"/>
          <w:sz w:val="24"/>
          <w:szCs w:val="24"/>
        </w:rPr>
        <w:t>Maddatu</w:t>
      </w:r>
      <w:proofErr w:type="spellEnd"/>
      <w:r w:rsidRPr="00EA5272">
        <w:rPr>
          <w:rFonts w:ascii="Times New Roman" w:hAnsi="Times New Roman" w:cs="Times New Roman"/>
          <w:sz w:val="24"/>
          <w:szCs w:val="24"/>
        </w:rPr>
        <w:t xml:space="preserve">, J., Anderson-Baucum, E., &amp; Evans-Molina, C. (2017). Smoking and the risk of type 2 diabetes. </w:t>
      </w:r>
      <w:r w:rsidRPr="00EA5272">
        <w:rPr>
          <w:rFonts w:ascii="Times New Roman" w:hAnsi="Times New Roman" w:cs="Times New Roman"/>
          <w:i/>
          <w:iCs/>
          <w:sz w:val="24"/>
          <w:szCs w:val="24"/>
        </w:rPr>
        <w:t>Translational Research, 184</w:t>
      </w:r>
      <w:r w:rsidRPr="00EA5272">
        <w:rPr>
          <w:rFonts w:ascii="Times New Roman" w:hAnsi="Times New Roman" w:cs="Times New Roman"/>
          <w:sz w:val="24"/>
          <w:szCs w:val="24"/>
        </w:rPr>
        <w:t xml:space="preserve">, 101–107. </w:t>
      </w:r>
      <w:hyperlink r:id="rId19" w:history="1">
        <w:r w:rsidRPr="00EA5272">
          <w:rPr>
            <w:rStyle w:val="Hyperlink"/>
            <w:rFonts w:ascii="Times New Roman" w:hAnsi="Times New Roman" w:cs="Times New Roman"/>
            <w:sz w:val="24"/>
            <w:szCs w:val="24"/>
          </w:rPr>
          <w:t>https://pmc.ncbi.nlm.nih.gov/articles/PMC5429867/</w:t>
        </w:r>
      </w:hyperlink>
    </w:p>
    <w:p w14:paraId="1F74D7F0" w14:textId="77777777" w:rsidR="00C07CF6" w:rsidRPr="00EA5272" w:rsidRDefault="00C07CF6" w:rsidP="00C07CF6">
      <w:pPr>
        <w:spacing w:line="278" w:lineRule="auto"/>
        <w:ind w:left="720" w:hanging="720"/>
        <w:jc w:val="both"/>
        <w:rPr>
          <w:rFonts w:ascii="Times New Roman" w:hAnsi="Times New Roman" w:cs="Times New Roman"/>
          <w:sz w:val="24"/>
          <w:szCs w:val="24"/>
        </w:rPr>
      </w:pPr>
      <w:proofErr w:type="spellStart"/>
      <w:r w:rsidRPr="00EA5272">
        <w:rPr>
          <w:rFonts w:ascii="Times New Roman" w:hAnsi="Times New Roman" w:cs="Times New Roman"/>
          <w:sz w:val="24"/>
          <w:szCs w:val="24"/>
        </w:rPr>
        <w:lastRenderedPageBreak/>
        <w:t>Magodoro</w:t>
      </w:r>
      <w:proofErr w:type="spellEnd"/>
      <w:r w:rsidRPr="00EA5272">
        <w:rPr>
          <w:rFonts w:ascii="Times New Roman" w:hAnsi="Times New Roman" w:cs="Times New Roman"/>
          <w:sz w:val="24"/>
          <w:szCs w:val="24"/>
        </w:rPr>
        <w:t xml:space="preserve">, I. M., Kotze, L. A., Stek, C. J., West, A., Le Roux, A., &amp; </w:t>
      </w:r>
      <w:proofErr w:type="spellStart"/>
      <w:r w:rsidRPr="00EA5272">
        <w:rPr>
          <w:rFonts w:ascii="Times New Roman" w:hAnsi="Times New Roman" w:cs="Times New Roman"/>
          <w:sz w:val="24"/>
          <w:szCs w:val="24"/>
        </w:rPr>
        <w:t>Sobratee</w:t>
      </w:r>
      <w:proofErr w:type="spellEnd"/>
      <w:r w:rsidRPr="00EA5272">
        <w:rPr>
          <w:rFonts w:ascii="Times New Roman" w:hAnsi="Times New Roman" w:cs="Times New Roman"/>
          <w:sz w:val="24"/>
          <w:szCs w:val="24"/>
        </w:rPr>
        <w:t xml:space="preserve">, N. (2025). Metabolic and immune interaction between tuberculosis and diabetes mellitus: Implications and opportunities for therapies. </w:t>
      </w:r>
      <w:r w:rsidRPr="00EA5272">
        <w:rPr>
          <w:rFonts w:ascii="Times New Roman" w:hAnsi="Times New Roman" w:cs="Times New Roman"/>
          <w:i/>
          <w:iCs/>
          <w:sz w:val="24"/>
          <w:szCs w:val="24"/>
        </w:rPr>
        <w:t>Expert Opinion on Pharmacotherapy, 26</w:t>
      </w:r>
      <w:r w:rsidRPr="00EA5272">
        <w:rPr>
          <w:rFonts w:ascii="Times New Roman" w:hAnsi="Times New Roman" w:cs="Times New Roman"/>
          <w:sz w:val="24"/>
          <w:szCs w:val="24"/>
        </w:rPr>
        <w:t xml:space="preserve">(5), 1–10. </w:t>
      </w:r>
      <w:hyperlink r:id="rId20" w:history="1">
        <w:r w:rsidRPr="00EA5272">
          <w:rPr>
            <w:rStyle w:val="Hyperlink"/>
            <w:rFonts w:ascii="Times New Roman" w:hAnsi="Times New Roman" w:cs="Times New Roman"/>
            <w:sz w:val="24"/>
            <w:szCs w:val="24"/>
          </w:rPr>
          <w:t>https://pmc.ncbi.nlm.nih.gov/articles/PMC7617758/</w:t>
        </w:r>
      </w:hyperlink>
    </w:p>
    <w:p w14:paraId="608CE1D6" w14:textId="77777777" w:rsidR="00C07CF6" w:rsidRPr="00EA5272" w:rsidRDefault="00C07CF6" w:rsidP="00C07CF6">
      <w:pPr>
        <w:spacing w:line="278" w:lineRule="auto"/>
        <w:ind w:left="720" w:hanging="720"/>
        <w:jc w:val="both"/>
        <w:rPr>
          <w:rFonts w:ascii="Times New Roman" w:hAnsi="Times New Roman" w:cs="Times New Roman"/>
          <w:sz w:val="24"/>
          <w:szCs w:val="24"/>
        </w:rPr>
      </w:pPr>
      <w:proofErr w:type="spellStart"/>
      <w:r w:rsidRPr="00EA5272">
        <w:rPr>
          <w:rFonts w:ascii="Times New Roman" w:hAnsi="Times New Roman" w:cs="Times New Roman"/>
          <w:sz w:val="24"/>
          <w:szCs w:val="24"/>
        </w:rPr>
        <w:t>Mechanick</w:t>
      </w:r>
      <w:proofErr w:type="spellEnd"/>
      <w:r w:rsidRPr="00EA5272">
        <w:rPr>
          <w:rFonts w:ascii="Times New Roman" w:hAnsi="Times New Roman" w:cs="Times New Roman"/>
          <w:sz w:val="24"/>
          <w:szCs w:val="24"/>
        </w:rPr>
        <w:t xml:space="preserve">, J. I., Garber, A. J., Grunberger, G., Handelsman, Y., &amp; Garvey, W. T. (2018). </w:t>
      </w:r>
      <w:proofErr w:type="spellStart"/>
      <w:r w:rsidRPr="00EA5272">
        <w:rPr>
          <w:rFonts w:ascii="Times New Roman" w:hAnsi="Times New Roman" w:cs="Times New Roman"/>
          <w:sz w:val="24"/>
          <w:szCs w:val="24"/>
        </w:rPr>
        <w:t>Dysglycemia</w:t>
      </w:r>
      <w:proofErr w:type="spellEnd"/>
      <w:r w:rsidRPr="00EA5272">
        <w:rPr>
          <w:rFonts w:ascii="Times New Roman" w:hAnsi="Times New Roman" w:cs="Times New Roman"/>
          <w:sz w:val="24"/>
          <w:szCs w:val="24"/>
        </w:rPr>
        <w:t xml:space="preserve">-based chronic disease: An American Association of Clinical Endocrinologists position statement. </w:t>
      </w:r>
      <w:r w:rsidRPr="00EA5272">
        <w:rPr>
          <w:rFonts w:ascii="Times New Roman" w:hAnsi="Times New Roman" w:cs="Times New Roman"/>
          <w:i/>
          <w:iCs/>
          <w:sz w:val="24"/>
          <w:szCs w:val="24"/>
        </w:rPr>
        <w:t>Endocrine Practice, 24</w:t>
      </w:r>
      <w:r w:rsidRPr="00EA5272">
        <w:rPr>
          <w:rFonts w:ascii="Times New Roman" w:hAnsi="Times New Roman" w:cs="Times New Roman"/>
          <w:sz w:val="24"/>
          <w:szCs w:val="24"/>
        </w:rPr>
        <w:t>(11), 995–1011.</w:t>
      </w:r>
    </w:p>
    <w:p w14:paraId="17C0ABCE"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Osman, A., Petrescu, G. S., </w:t>
      </w:r>
      <w:proofErr w:type="spellStart"/>
      <w:r w:rsidRPr="00EA5272">
        <w:rPr>
          <w:rFonts w:ascii="Times New Roman" w:hAnsi="Times New Roman" w:cs="Times New Roman"/>
          <w:sz w:val="24"/>
          <w:szCs w:val="24"/>
        </w:rPr>
        <w:t>Tuculină</w:t>
      </w:r>
      <w:proofErr w:type="spellEnd"/>
      <w:r w:rsidRPr="00EA5272">
        <w:rPr>
          <w:rFonts w:ascii="Times New Roman" w:hAnsi="Times New Roman" w:cs="Times New Roman"/>
          <w:sz w:val="24"/>
          <w:szCs w:val="24"/>
        </w:rPr>
        <w:t xml:space="preserve">, M. J., Dascălu, I. T., Popescu, C., &amp; Enescu, A. Ș. (2023). Metabolic and other endocrine elements with regard to lifestyle choices: Focus on e-cigarettes. </w:t>
      </w:r>
      <w:r w:rsidRPr="00EA5272">
        <w:rPr>
          <w:rFonts w:ascii="Times New Roman" w:hAnsi="Times New Roman" w:cs="Times New Roman"/>
          <w:i/>
          <w:iCs/>
          <w:sz w:val="24"/>
          <w:szCs w:val="24"/>
        </w:rPr>
        <w:t>Metabolites, 13</w:t>
      </w:r>
      <w:r w:rsidRPr="00EA5272">
        <w:rPr>
          <w:rFonts w:ascii="Times New Roman" w:hAnsi="Times New Roman" w:cs="Times New Roman"/>
          <w:sz w:val="24"/>
          <w:szCs w:val="24"/>
        </w:rPr>
        <w:t xml:space="preserve">(12), 1192. </w:t>
      </w:r>
      <w:hyperlink r:id="rId21" w:history="1">
        <w:r w:rsidRPr="00EA5272">
          <w:rPr>
            <w:rStyle w:val="Hyperlink"/>
            <w:rFonts w:ascii="Times New Roman" w:hAnsi="Times New Roman" w:cs="Times New Roman"/>
            <w:sz w:val="24"/>
            <w:szCs w:val="24"/>
          </w:rPr>
          <w:t>https://www.mdpi.com/2218-1989/13/12/1192/htm</w:t>
        </w:r>
      </w:hyperlink>
    </w:p>
    <w:p w14:paraId="558BC83D"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Patel, E. U., Mehta, S. H., Boon, D., Quinn, T. C., Thomas, D. L., &amp; Tobian, A. A. R. (2020). Tuberculosis and </w:t>
      </w:r>
      <w:proofErr w:type="spellStart"/>
      <w:r w:rsidRPr="00EA5272">
        <w:rPr>
          <w:rFonts w:ascii="Times New Roman" w:hAnsi="Times New Roman" w:cs="Times New Roman"/>
          <w:sz w:val="24"/>
          <w:szCs w:val="24"/>
        </w:rPr>
        <w:t>dysglycemia</w:t>
      </w:r>
      <w:proofErr w:type="spellEnd"/>
      <w:r w:rsidRPr="00EA5272">
        <w:rPr>
          <w:rFonts w:ascii="Times New Roman" w:hAnsi="Times New Roman" w:cs="Times New Roman"/>
          <w:sz w:val="24"/>
          <w:szCs w:val="24"/>
        </w:rPr>
        <w:t xml:space="preserve">. </w:t>
      </w:r>
      <w:r w:rsidRPr="00EA5272">
        <w:rPr>
          <w:rFonts w:ascii="Times New Roman" w:hAnsi="Times New Roman" w:cs="Times New Roman"/>
          <w:i/>
          <w:iCs/>
          <w:sz w:val="24"/>
          <w:szCs w:val="24"/>
        </w:rPr>
        <w:t>Clinical Infectious Diseases, 70</w:t>
      </w:r>
      <w:r w:rsidRPr="00EA5272">
        <w:rPr>
          <w:rFonts w:ascii="Times New Roman" w:hAnsi="Times New Roman" w:cs="Times New Roman"/>
          <w:sz w:val="24"/>
          <w:szCs w:val="24"/>
        </w:rPr>
        <w:t xml:space="preserve">(3), 545–548. </w:t>
      </w:r>
      <w:hyperlink r:id="rId22" w:history="1">
        <w:r w:rsidRPr="00EA5272">
          <w:rPr>
            <w:rStyle w:val="Hyperlink"/>
            <w:rFonts w:ascii="Times New Roman" w:hAnsi="Times New Roman" w:cs="Times New Roman"/>
            <w:sz w:val="24"/>
            <w:szCs w:val="24"/>
          </w:rPr>
          <w:t>https://doi.org/10.1093/cid/ciz433</w:t>
        </w:r>
      </w:hyperlink>
    </w:p>
    <w:p w14:paraId="6E8DB428"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Restrepo, B. I., Camerlin, A. J., Rahbar, M. H., Wang, W., Restrepo, M. A., &amp; Zarate, I. (2011). Cross-sectional assessment reveals high diabetes prevalence among newly diagnosed tuberculosis cases. </w:t>
      </w:r>
      <w:r w:rsidRPr="00EA5272">
        <w:rPr>
          <w:rFonts w:ascii="Times New Roman" w:hAnsi="Times New Roman" w:cs="Times New Roman"/>
          <w:i/>
          <w:iCs/>
          <w:sz w:val="24"/>
          <w:szCs w:val="24"/>
        </w:rPr>
        <w:t>Bulletin of the World Health Organization, 89</w:t>
      </w:r>
      <w:r w:rsidRPr="00EA5272">
        <w:rPr>
          <w:rFonts w:ascii="Times New Roman" w:hAnsi="Times New Roman" w:cs="Times New Roman"/>
          <w:sz w:val="24"/>
          <w:szCs w:val="24"/>
        </w:rPr>
        <w:t xml:space="preserve">(5), 352–359. </w:t>
      </w:r>
      <w:hyperlink r:id="rId23" w:history="1">
        <w:r w:rsidRPr="00EA5272">
          <w:rPr>
            <w:rStyle w:val="Hyperlink"/>
            <w:rFonts w:ascii="Times New Roman" w:hAnsi="Times New Roman" w:cs="Times New Roman"/>
            <w:sz w:val="24"/>
            <w:szCs w:val="24"/>
          </w:rPr>
          <w:t>https://doi.org/10.2471/BLT.10.085738</w:t>
        </w:r>
      </w:hyperlink>
    </w:p>
    <w:p w14:paraId="4D45673B"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Salako, A., </w:t>
      </w:r>
      <w:proofErr w:type="spellStart"/>
      <w:r w:rsidRPr="00EA5272">
        <w:rPr>
          <w:rFonts w:ascii="Times New Roman" w:hAnsi="Times New Roman" w:cs="Times New Roman"/>
          <w:sz w:val="24"/>
          <w:szCs w:val="24"/>
        </w:rPr>
        <w:t>Adenowo</w:t>
      </w:r>
      <w:proofErr w:type="spellEnd"/>
      <w:r w:rsidRPr="00EA5272">
        <w:rPr>
          <w:rFonts w:ascii="Times New Roman" w:hAnsi="Times New Roman" w:cs="Times New Roman"/>
          <w:sz w:val="24"/>
          <w:szCs w:val="24"/>
        </w:rPr>
        <w:t xml:space="preserve">, O., Amoran, O., </w:t>
      </w:r>
      <w:proofErr w:type="spellStart"/>
      <w:r w:rsidRPr="00EA5272">
        <w:rPr>
          <w:rFonts w:ascii="Times New Roman" w:hAnsi="Times New Roman" w:cs="Times New Roman"/>
          <w:sz w:val="24"/>
          <w:szCs w:val="24"/>
        </w:rPr>
        <w:t>Odusan</w:t>
      </w:r>
      <w:proofErr w:type="spellEnd"/>
      <w:r w:rsidRPr="00EA5272">
        <w:rPr>
          <w:rFonts w:ascii="Times New Roman" w:hAnsi="Times New Roman" w:cs="Times New Roman"/>
          <w:sz w:val="24"/>
          <w:szCs w:val="24"/>
        </w:rPr>
        <w:t xml:space="preserve">, O., </w:t>
      </w:r>
      <w:proofErr w:type="spellStart"/>
      <w:r w:rsidRPr="00EA5272">
        <w:rPr>
          <w:rFonts w:ascii="Times New Roman" w:hAnsi="Times New Roman" w:cs="Times New Roman"/>
          <w:sz w:val="24"/>
          <w:szCs w:val="24"/>
        </w:rPr>
        <w:t>Mautin</w:t>
      </w:r>
      <w:proofErr w:type="spellEnd"/>
      <w:r w:rsidRPr="00EA5272">
        <w:rPr>
          <w:rFonts w:ascii="Times New Roman" w:hAnsi="Times New Roman" w:cs="Times New Roman"/>
          <w:sz w:val="24"/>
          <w:szCs w:val="24"/>
        </w:rPr>
        <w:t xml:space="preserve">, G., &amp; </w:t>
      </w:r>
      <w:proofErr w:type="spellStart"/>
      <w:r w:rsidRPr="00EA5272">
        <w:rPr>
          <w:rFonts w:ascii="Times New Roman" w:hAnsi="Times New Roman" w:cs="Times New Roman"/>
          <w:sz w:val="24"/>
          <w:szCs w:val="24"/>
        </w:rPr>
        <w:t>Sanya-Ishijola</w:t>
      </w:r>
      <w:proofErr w:type="spellEnd"/>
      <w:r w:rsidRPr="00EA5272">
        <w:rPr>
          <w:rFonts w:ascii="Times New Roman" w:hAnsi="Times New Roman" w:cs="Times New Roman"/>
          <w:sz w:val="24"/>
          <w:szCs w:val="24"/>
        </w:rPr>
        <w:t xml:space="preserve">, F. (2019). Screening of newly diagnosed adults with tuberculosis for diabetes mellitus and impaired glucose tolerance in Ogun State, Nigeria. </w:t>
      </w:r>
      <w:r w:rsidRPr="00EA5272">
        <w:rPr>
          <w:rFonts w:ascii="Times New Roman" w:hAnsi="Times New Roman" w:cs="Times New Roman"/>
          <w:i/>
          <w:iCs/>
          <w:sz w:val="24"/>
          <w:szCs w:val="24"/>
        </w:rPr>
        <w:t>Annals of Health Research, 5</w:t>
      </w:r>
      <w:r w:rsidRPr="00EA5272">
        <w:rPr>
          <w:rFonts w:ascii="Times New Roman" w:hAnsi="Times New Roman" w:cs="Times New Roman"/>
          <w:sz w:val="24"/>
          <w:szCs w:val="24"/>
        </w:rPr>
        <w:t xml:space="preserve">(2), 146–155. </w:t>
      </w:r>
      <w:hyperlink r:id="rId24" w:history="1">
        <w:r w:rsidRPr="00EA5272">
          <w:rPr>
            <w:rStyle w:val="Hyperlink"/>
            <w:rFonts w:ascii="Times New Roman" w:hAnsi="Times New Roman" w:cs="Times New Roman"/>
            <w:sz w:val="24"/>
            <w:szCs w:val="24"/>
          </w:rPr>
          <w:t>https://www.annalsofhealthresearch.com/index.php/ahr/article/view/131</w:t>
        </w:r>
      </w:hyperlink>
    </w:p>
    <w:p w14:paraId="7A961048"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lang w:val="it-IT"/>
        </w:rPr>
        <w:t xml:space="preserve">Tuei, V. C., Maiyoh, G. K., &amp; Ha, C. E. (2010). </w:t>
      </w:r>
      <w:r w:rsidRPr="00EA5272">
        <w:rPr>
          <w:rFonts w:ascii="Times New Roman" w:hAnsi="Times New Roman" w:cs="Times New Roman"/>
          <w:sz w:val="24"/>
          <w:szCs w:val="24"/>
        </w:rPr>
        <w:t xml:space="preserve">Type 2 diabetes mellitus and obesity in sub-Saharan Africa. </w:t>
      </w:r>
      <w:r w:rsidRPr="00EA5272">
        <w:rPr>
          <w:rFonts w:ascii="Times New Roman" w:hAnsi="Times New Roman" w:cs="Times New Roman"/>
          <w:i/>
          <w:iCs/>
          <w:sz w:val="24"/>
          <w:szCs w:val="24"/>
        </w:rPr>
        <w:t>Diabetes/Metabolism Research and Reviews, 26</w:t>
      </w:r>
      <w:r w:rsidRPr="00EA5272">
        <w:rPr>
          <w:rFonts w:ascii="Times New Roman" w:hAnsi="Times New Roman" w:cs="Times New Roman"/>
          <w:sz w:val="24"/>
          <w:szCs w:val="24"/>
        </w:rPr>
        <w:t>(6), 433–445.</w:t>
      </w:r>
    </w:p>
    <w:p w14:paraId="69FB8FCB" w14:textId="77777777" w:rsidR="00C07CF6" w:rsidRPr="00EA5272" w:rsidRDefault="00C07CF6" w:rsidP="00C07CF6">
      <w:pPr>
        <w:spacing w:line="278" w:lineRule="auto"/>
        <w:ind w:left="720" w:hanging="720"/>
        <w:jc w:val="both"/>
        <w:rPr>
          <w:rFonts w:ascii="Times New Roman" w:hAnsi="Times New Roman" w:cs="Times New Roman"/>
          <w:sz w:val="24"/>
          <w:szCs w:val="24"/>
        </w:rPr>
      </w:pPr>
      <w:proofErr w:type="spellStart"/>
      <w:r w:rsidRPr="00EA5272">
        <w:rPr>
          <w:rFonts w:ascii="Times New Roman" w:hAnsi="Times New Roman" w:cs="Times New Roman"/>
          <w:sz w:val="24"/>
          <w:szCs w:val="24"/>
        </w:rPr>
        <w:t>Uloko</w:t>
      </w:r>
      <w:proofErr w:type="spellEnd"/>
      <w:r w:rsidRPr="00EA5272">
        <w:rPr>
          <w:rFonts w:ascii="Times New Roman" w:hAnsi="Times New Roman" w:cs="Times New Roman"/>
          <w:sz w:val="24"/>
          <w:szCs w:val="24"/>
        </w:rPr>
        <w:t xml:space="preserve">, A. E., Musa, B. M., Ramalan, M. A., </w:t>
      </w:r>
      <w:proofErr w:type="spellStart"/>
      <w:r w:rsidRPr="00EA5272">
        <w:rPr>
          <w:rFonts w:ascii="Times New Roman" w:hAnsi="Times New Roman" w:cs="Times New Roman"/>
          <w:sz w:val="24"/>
          <w:szCs w:val="24"/>
        </w:rPr>
        <w:t>Gezawa</w:t>
      </w:r>
      <w:proofErr w:type="spellEnd"/>
      <w:r w:rsidRPr="00EA5272">
        <w:rPr>
          <w:rFonts w:ascii="Times New Roman" w:hAnsi="Times New Roman" w:cs="Times New Roman"/>
          <w:sz w:val="24"/>
          <w:szCs w:val="24"/>
        </w:rPr>
        <w:t xml:space="preserve">, I. D., </w:t>
      </w:r>
      <w:proofErr w:type="spellStart"/>
      <w:r w:rsidRPr="00EA5272">
        <w:rPr>
          <w:rFonts w:ascii="Times New Roman" w:hAnsi="Times New Roman" w:cs="Times New Roman"/>
          <w:sz w:val="24"/>
          <w:szCs w:val="24"/>
        </w:rPr>
        <w:t>Puepet</w:t>
      </w:r>
      <w:proofErr w:type="spellEnd"/>
      <w:r w:rsidRPr="00EA5272">
        <w:rPr>
          <w:rFonts w:ascii="Times New Roman" w:hAnsi="Times New Roman" w:cs="Times New Roman"/>
          <w:sz w:val="24"/>
          <w:szCs w:val="24"/>
        </w:rPr>
        <w:t xml:space="preserve">, F. H., &amp; </w:t>
      </w:r>
      <w:proofErr w:type="spellStart"/>
      <w:r w:rsidRPr="00EA5272">
        <w:rPr>
          <w:rFonts w:ascii="Times New Roman" w:hAnsi="Times New Roman" w:cs="Times New Roman"/>
          <w:sz w:val="24"/>
          <w:szCs w:val="24"/>
        </w:rPr>
        <w:t>Uloko</w:t>
      </w:r>
      <w:proofErr w:type="spellEnd"/>
      <w:r w:rsidRPr="00EA5272">
        <w:rPr>
          <w:rFonts w:ascii="Times New Roman" w:hAnsi="Times New Roman" w:cs="Times New Roman"/>
          <w:sz w:val="24"/>
          <w:szCs w:val="24"/>
        </w:rPr>
        <w:t xml:space="preserve">, A. T. (2018). Prevalence and risk factors for diabetes mellitus in Nigeria: A systematic review and meta-analysis. </w:t>
      </w:r>
      <w:r w:rsidRPr="00EA5272">
        <w:rPr>
          <w:rFonts w:ascii="Times New Roman" w:hAnsi="Times New Roman" w:cs="Times New Roman"/>
          <w:i/>
          <w:iCs/>
          <w:sz w:val="24"/>
          <w:szCs w:val="24"/>
        </w:rPr>
        <w:t>Diabetes Therapy, 9</w:t>
      </w:r>
      <w:r w:rsidRPr="00EA5272">
        <w:rPr>
          <w:rFonts w:ascii="Times New Roman" w:hAnsi="Times New Roman" w:cs="Times New Roman"/>
          <w:sz w:val="24"/>
          <w:szCs w:val="24"/>
        </w:rPr>
        <w:t>(3), 1307–1316.</w:t>
      </w:r>
    </w:p>
    <w:p w14:paraId="72C83F7A"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Viswanathan, V., Kumpatla, S., </w:t>
      </w:r>
      <w:proofErr w:type="spellStart"/>
      <w:r w:rsidRPr="00EA5272">
        <w:rPr>
          <w:rFonts w:ascii="Times New Roman" w:hAnsi="Times New Roman" w:cs="Times New Roman"/>
          <w:sz w:val="24"/>
          <w:szCs w:val="24"/>
        </w:rPr>
        <w:t>Aravindalochanan</w:t>
      </w:r>
      <w:proofErr w:type="spellEnd"/>
      <w:r w:rsidRPr="00EA5272">
        <w:rPr>
          <w:rFonts w:ascii="Times New Roman" w:hAnsi="Times New Roman" w:cs="Times New Roman"/>
          <w:sz w:val="24"/>
          <w:szCs w:val="24"/>
        </w:rPr>
        <w:t xml:space="preserve">, V., Rajan, R., Chinnasamy, C., &amp; Srinivasan, R. (2012). Prevalence of diabetes and pre-diabetes and associated risk factors among tuberculosis patients in India. </w:t>
      </w:r>
      <w:r w:rsidRPr="00EA5272">
        <w:rPr>
          <w:rFonts w:ascii="Times New Roman" w:hAnsi="Times New Roman" w:cs="Times New Roman"/>
          <w:i/>
          <w:iCs/>
          <w:sz w:val="24"/>
          <w:szCs w:val="24"/>
        </w:rPr>
        <w:t>PLoS One, 7</w:t>
      </w:r>
      <w:r w:rsidRPr="00EA5272">
        <w:rPr>
          <w:rFonts w:ascii="Times New Roman" w:hAnsi="Times New Roman" w:cs="Times New Roman"/>
          <w:sz w:val="24"/>
          <w:szCs w:val="24"/>
        </w:rPr>
        <w:t xml:space="preserve">(7), e40825. </w:t>
      </w:r>
      <w:hyperlink r:id="rId25" w:history="1">
        <w:r w:rsidRPr="00EA5272">
          <w:rPr>
            <w:rStyle w:val="Hyperlink"/>
            <w:rFonts w:ascii="Times New Roman" w:hAnsi="Times New Roman" w:cs="Times New Roman"/>
            <w:sz w:val="24"/>
            <w:szCs w:val="24"/>
          </w:rPr>
          <w:t>https://pubmed.ncbi.nlm.nih.gov/22848473/</w:t>
        </w:r>
      </w:hyperlink>
    </w:p>
    <w:p w14:paraId="07381845"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Workneh, M. H., Bjune, G. A., &amp; Yimer, S. A. (2016). Prevalence and associated factors of diabetes mellitus among tuberculosis patients in Southeastern Amhara Region, Ethiopia: A cross-sectional study. </w:t>
      </w:r>
      <w:r w:rsidRPr="00EA5272">
        <w:rPr>
          <w:rFonts w:ascii="Times New Roman" w:hAnsi="Times New Roman" w:cs="Times New Roman"/>
          <w:i/>
          <w:iCs/>
          <w:sz w:val="24"/>
          <w:szCs w:val="24"/>
        </w:rPr>
        <w:t>PLoS One, 11</w:t>
      </w:r>
      <w:r w:rsidRPr="00EA5272">
        <w:rPr>
          <w:rFonts w:ascii="Times New Roman" w:hAnsi="Times New Roman" w:cs="Times New Roman"/>
          <w:sz w:val="24"/>
          <w:szCs w:val="24"/>
        </w:rPr>
        <w:t>(1), e0147621.</w:t>
      </w:r>
    </w:p>
    <w:p w14:paraId="0E07C6BE"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Workneh, M. H., Bjune, G. A., &amp; Yimer, S. A. (2017). Prevalence and associated factors of tuberculosis and diabetes mellitus comorbidity: A systematic review. </w:t>
      </w:r>
      <w:r w:rsidRPr="00EA5272">
        <w:rPr>
          <w:rFonts w:ascii="Times New Roman" w:hAnsi="Times New Roman" w:cs="Times New Roman"/>
          <w:i/>
          <w:iCs/>
          <w:sz w:val="24"/>
          <w:szCs w:val="24"/>
        </w:rPr>
        <w:t>PLoS One, 12</w:t>
      </w:r>
      <w:r w:rsidRPr="00EA5272">
        <w:rPr>
          <w:rFonts w:ascii="Times New Roman" w:hAnsi="Times New Roman" w:cs="Times New Roman"/>
          <w:sz w:val="24"/>
          <w:szCs w:val="24"/>
        </w:rPr>
        <w:t>(4), e0175925.</w:t>
      </w:r>
    </w:p>
    <w:p w14:paraId="5B6018ED" w14:textId="77777777" w:rsidR="00C07CF6" w:rsidRPr="00EA5272" w:rsidRDefault="00C07CF6" w:rsidP="00C07CF6">
      <w:pPr>
        <w:spacing w:line="278" w:lineRule="auto"/>
        <w:ind w:left="720" w:hanging="720"/>
        <w:jc w:val="both"/>
        <w:rPr>
          <w:rFonts w:ascii="Times New Roman" w:hAnsi="Times New Roman" w:cs="Times New Roman"/>
          <w:sz w:val="24"/>
          <w:szCs w:val="24"/>
        </w:rPr>
      </w:pPr>
      <w:r w:rsidRPr="00EA5272">
        <w:rPr>
          <w:rFonts w:ascii="Times New Roman" w:hAnsi="Times New Roman" w:cs="Times New Roman"/>
          <w:sz w:val="24"/>
          <w:szCs w:val="24"/>
        </w:rPr>
        <w:t xml:space="preserve">World Health Organization. (2023). </w:t>
      </w:r>
      <w:r w:rsidRPr="00EA5272">
        <w:rPr>
          <w:rFonts w:ascii="Times New Roman" w:hAnsi="Times New Roman" w:cs="Times New Roman"/>
          <w:i/>
          <w:iCs/>
          <w:sz w:val="24"/>
          <w:szCs w:val="24"/>
        </w:rPr>
        <w:t>Global tuberculosis report 2023.</w:t>
      </w:r>
      <w:r w:rsidRPr="00EA5272">
        <w:rPr>
          <w:rFonts w:ascii="Times New Roman" w:hAnsi="Times New Roman" w:cs="Times New Roman"/>
          <w:sz w:val="24"/>
          <w:szCs w:val="24"/>
        </w:rPr>
        <w:t xml:space="preserve"> </w:t>
      </w:r>
      <w:hyperlink r:id="rId26" w:history="1">
        <w:r w:rsidRPr="00EA5272">
          <w:rPr>
            <w:rStyle w:val="Hyperlink"/>
            <w:rFonts w:ascii="Times New Roman" w:hAnsi="Times New Roman" w:cs="Times New Roman"/>
            <w:sz w:val="24"/>
            <w:szCs w:val="24"/>
          </w:rPr>
          <w:t>https://iris.who.int/</w:t>
        </w:r>
      </w:hyperlink>
    </w:p>
    <w:p w14:paraId="6BBE3FBD" w14:textId="77777777" w:rsidR="008F5FCC" w:rsidRPr="009B6107" w:rsidRDefault="008F5FCC" w:rsidP="003F6F5D">
      <w:pPr>
        <w:jc w:val="both"/>
        <w:rPr>
          <w:rFonts w:ascii="Times New Roman" w:hAnsi="Times New Roman" w:cs="Times New Roman"/>
          <w:b/>
          <w:bCs/>
          <w:sz w:val="24"/>
          <w:szCs w:val="24"/>
        </w:rPr>
      </w:pPr>
    </w:p>
    <w:sectPr w:rsidR="008F5FCC" w:rsidRPr="009B6107">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0E4AC" w14:textId="77777777" w:rsidR="00A40CB3" w:rsidRDefault="00A40CB3" w:rsidP="00DA0C39">
      <w:pPr>
        <w:spacing w:after="0" w:line="240" w:lineRule="auto"/>
      </w:pPr>
      <w:r>
        <w:separator/>
      </w:r>
    </w:p>
  </w:endnote>
  <w:endnote w:type="continuationSeparator" w:id="0">
    <w:p w14:paraId="2AFDDAD9" w14:textId="77777777" w:rsidR="00A40CB3" w:rsidRDefault="00A40CB3" w:rsidP="00DA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9AAB" w14:textId="77777777" w:rsidR="00DA0C39" w:rsidRDefault="00DA0C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8FABB" w14:textId="77777777" w:rsidR="00DA0C39" w:rsidRDefault="00DA0C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2943B" w14:textId="77777777" w:rsidR="00DA0C39" w:rsidRDefault="00DA0C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506D2" w14:textId="77777777" w:rsidR="00A40CB3" w:rsidRDefault="00A40CB3" w:rsidP="00DA0C39">
      <w:pPr>
        <w:spacing w:after="0" w:line="240" w:lineRule="auto"/>
      </w:pPr>
      <w:r>
        <w:separator/>
      </w:r>
    </w:p>
  </w:footnote>
  <w:footnote w:type="continuationSeparator" w:id="0">
    <w:p w14:paraId="12C01930" w14:textId="77777777" w:rsidR="00A40CB3" w:rsidRDefault="00A40CB3" w:rsidP="00DA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5DC5" w14:textId="5E6D2DC3" w:rsidR="00DA0C39" w:rsidRDefault="00A40CB3">
    <w:pPr>
      <w:pStyle w:val="Header"/>
    </w:pPr>
    <w:r>
      <w:rPr>
        <w:noProof/>
      </w:rPr>
      <w:pict w14:anchorId="77B46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4741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A0A8" w14:textId="542CBE73" w:rsidR="00DA0C39" w:rsidRDefault="00A40CB3">
    <w:pPr>
      <w:pStyle w:val="Header"/>
    </w:pPr>
    <w:r>
      <w:rPr>
        <w:noProof/>
      </w:rPr>
      <w:pict w14:anchorId="4FA6F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4741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BF2A" w14:textId="25FB9586" w:rsidR="00DA0C39" w:rsidRDefault="00A40CB3">
    <w:pPr>
      <w:pStyle w:val="Header"/>
    </w:pPr>
    <w:r>
      <w:rPr>
        <w:noProof/>
      </w:rPr>
      <w:pict w14:anchorId="5575D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94741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322EC"/>
    <w:multiLevelType w:val="multilevel"/>
    <w:tmpl w:val="EE58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WwMDMwMrMwM7QwNjBV0lEKTi0uzszPAykwrAUA5Kbz+SwAAAA="/>
  </w:docVars>
  <w:rsids>
    <w:rsidRoot w:val="003F6F5D"/>
    <w:rsid w:val="00013BCA"/>
    <w:rsid w:val="00015B71"/>
    <w:rsid w:val="00027B12"/>
    <w:rsid w:val="0006447A"/>
    <w:rsid w:val="0006785B"/>
    <w:rsid w:val="00073F44"/>
    <w:rsid w:val="000C4D59"/>
    <w:rsid w:val="000D380B"/>
    <w:rsid w:val="000E5CBC"/>
    <w:rsid w:val="000F3883"/>
    <w:rsid w:val="000F4A86"/>
    <w:rsid w:val="00187996"/>
    <w:rsid w:val="00190B0F"/>
    <w:rsid w:val="0019294B"/>
    <w:rsid w:val="001C3DB8"/>
    <w:rsid w:val="001F5AC1"/>
    <w:rsid w:val="002013F5"/>
    <w:rsid w:val="0020508A"/>
    <w:rsid w:val="00225451"/>
    <w:rsid w:val="00226B37"/>
    <w:rsid w:val="0024200D"/>
    <w:rsid w:val="00244463"/>
    <w:rsid w:val="002504DB"/>
    <w:rsid w:val="002756BF"/>
    <w:rsid w:val="002842B8"/>
    <w:rsid w:val="0033634D"/>
    <w:rsid w:val="00374521"/>
    <w:rsid w:val="003F4F87"/>
    <w:rsid w:val="003F6F5D"/>
    <w:rsid w:val="00416756"/>
    <w:rsid w:val="004170D9"/>
    <w:rsid w:val="00425167"/>
    <w:rsid w:val="004400FF"/>
    <w:rsid w:val="004430F9"/>
    <w:rsid w:val="00460473"/>
    <w:rsid w:val="004657CC"/>
    <w:rsid w:val="00466192"/>
    <w:rsid w:val="00470036"/>
    <w:rsid w:val="00475DCB"/>
    <w:rsid w:val="00486009"/>
    <w:rsid w:val="004A1D36"/>
    <w:rsid w:val="004E6113"/>
    <w:rsid w:val="004F0190"/>
    <w:rsid w:val="005005B8"/>
    <w:rsid w:val="00550D5C"/>
    <w:rsid w:val="005978C1"/>
    <w:rsid w:val="005D6D86"/>
    <w:rsid w:val="005F0227"/>
    <w:rsid w:val="00617629"/>
    <w:rsid w:val="00625EBE"/>
    <w:rsid w:val="00630736"/>
    <w:rsid w:val="00636DB4"/>
    <w:rsid w:val="00650EF2"/>
    <w:rsid w:val="00676971"/>
    <w:rsid w:val="006976D7"/>
    <w:rsid w:val="006E29B7"/>
    <w:rsid w:val="006F0D65"/>
    <w:rsid w:val="00726573"/>
    <w:rsid w:val="007470BC"/>
    <w:rsid w:val="00755D0B"/>
    <w:rsid w:val="00764BE5"/>
    <w:rsid w:val="00786EAB"/>
    <w:rsid w:val="007B47EA"/>
    <w:rsid w:val="007C3C55"/>
    <w:rsid w:val="007C3F03"/>
    <w:rsid w:val="007E1E54"/>
    <w:rsid w:val="008326FC"/>
    <w:rsid w:val="00847D49"/>
    <w:rsid w:val="00851852"/>
    <w:rsid w:val="008543DA"/>
    <w:rsid w:val="008A4AD3"/>
    <w:rsid w:val="008C185D"/>
    <w:rsid w:val="008D2107"/>
    <w:rsid w:val="008F5FCC"/>
    <w:rsid w:val="00901875"/>
    <w:rsid w:val="009027D9"/>
    <w:rsid w:val="00931ABE"/>
    <w:rsid w:val="00943F47"/>
    <w:rsid w:val="00945EBC"/>
    <w:rsid w:val="0097727C"/>
    <w:rsid w:val="00991D96"/>
    <w:rsid w:val="009B6107"/>
    <w:rsid w:val="00A13365"/>
    <w:rsid w:val="00A34F73"/>
    <w:rsid w:val="00A40CB3"/>
    <w:rsid w:val="00A72DCF"/>
    <w:rsid w:val="00A8087F"/>
    <w:rsid w:val="00A97453"/>
    <w:rsid w:val="00AA48CC"/>
    <w:rsid w:val="00AA5D70"/>
    <w:rsid w:val="00AB5F2E"/>
    <w:rsid w:val="00AB6844"/>
    <w:rsid w:val="00AD177F"/>
    <w:rsid w:val="00AE0E44"/>
    <w:rsid w:val="00B17F01"/>
    <w:rsid w:val="00B25463"/>
    <w:rsid w:val="00B257D9"/>
    <w:rsid w:val="00B60CCF"/>
    <w:rsid w:val="00B62A24"/>
    <w:rsid w:val="00BD65B7"/>
    <w:rsid w:val="00C07CF6"/>
    <w:rsid w:val="00C8791C"/>
    <w:rsid w:val="00CA174C"/>
    <w:rsid w:val="00CB51BA"/>
    <w:rsid w:val="00CC2F4E"/>
    <w:rsid w:val="00CC6D55"/>
    <w:rsid w:val="00CD0C61"/>
    <w:rsid w:val="00D12FBA"/>
    <w:rsid w:val="00D669FE"/>
    <w:rsid w:val="00D87716"/>
    <w:rsid w:val="00DA0C39"/>
    <w:rsid w:val="00DA25D2"/>
    <w:rsid w:val="00DA4949"/>
    <w:rsid w:val="00DB680B"/>
    <w:rsid w:val="00DC1865"/>
    <w:rsid w:val="00DF043F"/>
    <w:rsid w:val="00E05795"/>
    <w:rsid w:val="00E2629C"/>
    <w:rsid w:val="00E7111D"/>
    <w:rsid w:val="00E95D10"/>
    <w:rsid w:val="00ED737D"/>
    <w:rsid w:val="00ED7B11"/>
    <w:rsid w:val="00EE2179"/>
    <w:rsid w:val="00EF7B9F"/>
    <w:rsid w:val="00F1337A"/>
    <w:rsid w:val="00F41866"/>
    <w:rsid w:val="00F71601"/>
    <w:rsid w:val="00FD27FA"/>
    <w:rsid w:val="00FE4B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D56219"/>
  <w15:chartTrackingRefBased/>
  <w15:docId w15:val="{1C54B36D-F41B-4F84-A5A9-46FF5988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F5D"/>
    <w:rPr>
      <w:rFonts w:eastAsiaTheme="majorEastAsia" w:cstheme="majorBidi"/>
      <w:color w:val="272727" w:themeColor="text1" w:themeTint="D8"/>
    </w:rPr>
  </w:style>
  <w:style w:type="paragraph" w:styleId="Title">
    <w:name w:val="Title"/>
    <w:basedOn w:val="Normal"/>
    <w:next w:val="Normal"/>
    <w:link w:val="TitleChar"/>
    <w:uiPriority w:val="10"/>
    <w:qFormat/>
    <w:rsid w:val="003F6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F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F5D"/>
    <w:pPr>
      <w:spacing w:before="160"/>
      <w:jc w:val="center"/>
    </w:pPr>
    <w:rPr>
      <w:i/>
      <w:iCs/>
      <w:color w:val="404040" w:themeColor="text1" w:themeTint="BF"/>
    </w:rPr>
  </w:style>
  <w:style w:type="character" w:customStyle="1" w:styleId="QuoteChar">
    <w:name w:val="Quote Char"/>
    <w:basedOn w:val="DefaultParagraphFont"/>
    <w:link w:val="Quote"/>
    <w:uiPriority w:val="29"/>
    <w:rsid w:val="003F6F5D"/>
    <w:rPr>
      <w:i/>
      <w:iCs/>
      <w:color w:val="404040" w:themeColor="text1" w:themeTint="BF"/>
    </w:rPr>
  </w:style>
  <w:style w:type="paragraph" w:styleId="ListParagraph">
    <w:name w:val="List Paragraph"/>
    <w:basedOn w:val="Normal"/>
    <w:uiPriority w:val="34"/>
    <w:qFormat/>
    <w:rsid w:val="003F6F5D"/>
    <w:pPr>
      <w:ind w:left="720"/>
      <w:contextualSpacing/>
    </w:pPr>
  </w:style>
  <w:style w:type="character" w:styleId="IntenseEmphasis">
    <w:name w:val="Intense Emphasis"/>
    <w:basedOn w:val="DefaultParagraphFont"/>
    <w:uiPriority w:val="21"/>
    <w:qFormat/>
    <w:rsid w:val="003F6F5D"/>
    <w:rPr>
      <w:i/>
      <w:iCs/>
      <w:color w:val="0F4761" w:themeColor="accent1" w:themeShade="BF"/>
    </w:rPr>
  </w:style>
  <w:style w:type="paragraph" w:styleId="IntenseQuote">
    <w:name w:val="Intense Quote"/>
    <w:basedOn w:val="Normal"/>
    <w:next w:val="Normal"/>
    <w:link w:val="IntenseQuoteChar"/>
    <w:uiPriority w:val="30"/>
    <w:qFormat/>
    <w:rsid w:val="003F6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F5D"/>
    <w:rPr>
      <w:i/>
      <w:iCs/>
      <w:color w:val="0F4761" w:themeColor="accent1" w:themeShade="BF"/>
    </w:rPr>
  </w:style>
  <w:style w:type="character" w:styleId="IntenseReference">
    <w:name w:val="Intense Reference"/>
    <w:basedOn w:val="DefaultParagraphFont"/>
    <w:uiPriority w:val="32"/>
    <w:qFormat/>
    <w:rsid w:val="003F6F5D"/>
    <w:rPr>
      <w:b/>
      <w:bCs/>
      <w:smallCaps/>
      <w:color w:val="0F4761" w:themeColor="accent1" w:themeShade="BF"/>
      <w:spacing w:val="5"/>
    </w:rPr>
  </w:style>
  <w:style w:type="table" w:styleId="TableGrid">
    <w:name w:val="Table Grid"/>
    <w:basedOn w:val="TableNormal"/>
    <w:uiPriority w:val="39"/>
    <w:rsid w:val="00ED737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C3F03"/>
    <w:pPr>
      <w:spacing w:after="200" w:line="240" w:lineRule="auto"/>
    </w:pPr>
    <w:rPr>
      <w:i/>
      <w:iCs/>
      <w:color w:val="0E2841" w:themeColor="text2"/>
      <w:sz w:val="18"/>
      <w:szCs w:val="18"/>
    </w:rPr>
  </w:style>
  <w:style w:type="table" w:styleId="LightShading">
    <w:name w:val="Light Shading"/>
    <w:basedOn w:val="TableNormal"/>
    <w:uiPriority w:val="60"/>
    <w:rsid w:val="00470036"/>
    <w:pPr>
      <w:spacing w:after="0" w:line="240" w:lineRule="auto"/>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8F5FCC"/>
    <w:rPr>
      <w:color w:val="666666"/>
    </w:rPr>
  </w:style>
  <w:style w:type="character" w:styleId="Hyperlink">
    <w:name w:val="Hyperlink"/>
    <w:basedOn w:val="DefaultParagraphFont"/>
    <w:uiPriority w:val="99"/>
    <w:unhideWhenUsed/>
    <w:rsid w:val="00A13365"/>
    <w:rPr>
      <w:color w:val="467886" w:themeColor="hyperlink"/>
      <w:u w:val="single"/>
    </w:rPr>
  </w:style>
  <w:style w:type="character" w:styleId="UnresolvedMention">
    <w:name w:val="Unresolved Mention"/>
    <w:basedOn w:val="DefaultParagraphFont"/>
    <w:uiPriority w:val="99"/>
    <w:semiHidden/>
    <w:unhideWhenUsed/>
    <w:rsid w:val="00A13365"/>
    <w:rPr>
      <w:color w:val="605E5C"/>
      <w:shd w:val="clear" w:color="auto" w:fill="E1DFDD"/>
    </w:rPr>
  </w:style>
  <w:style w:type="paragraph" w:styleId="Header">
    <w:name w:val="header"/>
    <w:basedOn w:val="Normal"/>
    <w:link w:val="HeaderChar"/>
    <w:uiPriority w:val="99"/>
    <w:unhideWhenUsed/>
    <w:rsid w:val="00DA0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C39"/>
  </w:style>
  <w:style w:type="paragraph" w:styleId="Footer">
    <w:name w:val="footer"/>
    <w:basedOn w:val="Normal"/>
    <w:link w:val="FooterChar"/>
    <w:uiPriority w:val="99"/>
    <w:unhideWhenUsed/>
    <w:rsid w:val="00DA0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1887">
      <w:bodyDiv w:val="1"/>
      <w:marLeft w:val="0"/>
      <w:marRight w:val="0"/>
      <w:marTop w:val="0"/>
      <w:marBottom w:val="0"/>
      <w:divBdr>
        <w:top w:val="none" w:sz="0" w:space="0" w:color="auto"/>
        <w:left w:val="none" w:sz="0" w:space="0" w:color="auto"/>
        <w:bottom w:val="none" w:sz="0" w:space="0" w:color="auto"/>
        <w:right w:val="none" w:sz="0" w:space="0" w:color="auto"/>
      </w:divBdr>
    </w:div>
    <w:div w:id="60369552">
      <w:bodyDiv w:val="1"/>
      <w:marLeft w:val="0"/>
      <w:marRight w:val="0"/>
      <w:marTop w:val="0"/>
      <w:marBottom w:val="0"/>
      <w:divBdr>
        <w:top w:val="none" w:sz="0" w:space="0" w:color="auto"/>
        <w:left w:val="none" w:sz="0" w:space="0" w:color="auto"/>
        <w:bottom w:val="none" w:sz="0" w:space="0" w:color="auto"/>
        <w:right w:val="none" w:sz="0" w:space="0" w:color="auto"/>
      </w:divBdr>
    </w:div>
    <w:div w:id="339084641">
      <w:bodyDiv w:val="1"/>
      <w:marLeft w:val="0"/>
      <w:marRight w:val="0"/>
      <w:marTop w:val="0"/>
      <w:marBottom w:val="0"/>
      <w:divBdr>
        <w:top w:val="none" w:sz="0" w:space="0" w:color="auto"/>
        <w:left w:val="none" w:sz="0" w:space="0" w:color="auto"/>
        <w:bottom w:val="none" w:sz="0" w:space="0" w:color="auto"/>
        <w:right w:val="none" w:sz="0" w:space="0" w:color="auto"/>
      </w:divBdr>
      <w:divsChild>
        <w:div w:id="598611088">
          <w:marLeft w:val="640"/>
          <w:marRight w:val="0"/>
          <w:marTop w:val="0"/>
          <w:marBottom w:val="0"/>
          <w:divBdr>
            <w:top w:val="none" w:sz="0" w:space="0" w:color="auto"/>
            <w:left w:val="none" w:sz="0" w:space="0" w:color="auto"/>
            <w:bottom w:val="none" w:sz="0" w:space="0" w:color="auto"/>
            <w:right w:val="none" w:sz="0" w:space="0" w:color="auto"/>
          </w:divBdr>
        </w:div>
        <w:div w:id="270285461">
          <w:marLeft w:val="640"/>
          <w:marRight w:val="0"/>
          <w:marTop w:val="0"/>
          <w:marBottom w:val="0"/>
          <w:divBdr>
            <w:top w:val="none" w:sz="0" w:space="0" w:color="auto"/>
            <w:left w:val="none" w:sz="0" w:space="0" w:color="auto"/>
            <w:bottom w:val="none" w:sz="0" w:space="0" w:color="auto"/>
            <w:right w:val="none" w:sz="0" w:space="0" w:color="auto"/>
          </w:divBdr>
        </w:div>
        <w:div w:id="1457482118">
          <w:marLeft w:val="640"/>
          <w:marRight w:val="0"/>
          <w:marTop w:val="0"/>
          <w:marBottom w:val="0"/>
          <w:divBdr>
            <w:top w:val="none" w:sz="0" w:space="0" w:color="auto"/>
            <w:left w:val="none" w:sz="0" w:space="0" w:color="auto"/>
            <w:bottom w:val="none" w:sz="0" w:space="0" w:color="auto"/>
            <w:right w:val="none" w:sz="0" w:space="0" w:color="auto"/>
          </w:divBdr>
        </w:div>
        <w:div w:id="1285119751">
          <w:marLeft w:val="640"/>
          <w:marRight w:val="0"/>
          <w:marTop w:val="0"/>
          <w:marBottom w:val="0"/>
          <w:divBdr>
            <w:top w:val="none" w:sz="0" w:space="0" w:color="auto"/>
            <w:left w:val="none" w:sz="0" w:space="0" w:color="auto"/>
            <w:bottom w:val="none" w:sz="0" w:space="0" w:color="auto"/>
            <w:right w:val="none" w:sz="0" w:space="0" w:color="auto"/>
          </w:divBdr>
        </w:div>
        <w:div w:id="1106576497">
          <w:marLeft w:val="640"/>
          <w:marRight w:val="0"/>
          <w:marTop w:val="0"/>
          <w:marBottom w:val="0"/>
          <w:divBdr>
            <w:top w:val="none" w:sz="0" w:space="0" w:color="auto"/>
            <w:left w:val="none" w:sz="0" w:space="0" w:color="auto"/>
            <w:bottom w:val="none" w:sz="0" w:space="0" w:color="auto"/>
            <w:right w:val="none" w:sz="0" w:space="0" w:color="auto"/>
          </w:divBdr>
        </w:div>
        <w:div w:id="639916652">
          <w:marLeft w:val="640"/>
          <w:marRight w:val="0"/>
          <w:marTop w:val="0"/>
          <w:marBottom w:val="0"/>
          <w:divBdr>
            <w:top w:val="none" w:sz="0" w:space="0" w:color="auto"/>
            <w:left w:val="none" w:sz="0" w:space="0" w:color="auto"/>
            <w:bottom w:val="none" w:sz="0" w:space="0" w:color="auto"/>
            <w:right w:val="none" w:sz="0" w:space="0" w:color="auto"/>
          </w:divBdr>
        </w:div>
        <w:div w:id="408113834">
          <w:marLeft w:val="640"/>
          <w:marRight w:val="0"/>
          <w:marTop w:val="0"/>
          <w:marBottom w:val="0"/>
          <w:divBdr>
            <w:top w:val="none" w:sz="0" w:space="0" w:color="auto"/>
            <w:left w:val="none" w:sz="0" w:space="0" w:color="auto"/>
            <w:bottom w:val="none" w:sz="0" w:space="0" w:color="auto"/>
            <w:right w:val="none" w:sz="0" w:space="0" w:color="auto"/>
          </w:divBdr>
        </w:div>
        <w:div w:id="467280426">
          <w:marLeft w:val="640"/>
          <w:marRight w:val="0"/>
          <w:marTop w:val="0"/>
          <w:marBottom w:val="0"/>
          <w:divBdr>
            <w:top w:val="none" w:sz="0" w:space="0" w:color="auto"/>
            <w:left w:val="none" w:sz="0" w:space="0" w:color="auto"/>
            <w:bottom w:val="none" w:sz="0" w:space="0" w:color="auto"/>
            <w:right w:val="none" w:sz="0" w:space="0" w:color="auto"/>
          </w:divBdr>
        </w:div>
        <w:div w:id="2071951568">
          <w:marLeft w:val="640"/>
          <w:marRight w:val="0"/>
          <w:marTop w:val="0"/>
          <w:marBottom w:val="0"/>
          <w:divBdr>
            <w:top w:val="none" w:sz="0" w:space="0" w:color="auto"/>
            <w:left w:val="none" w:sz="0" w:space="0" w:color="auto"/>
            <w:bottom w:val="none" w:sz="0" w:space="0" w:color="auto"/>
            <w:right w:val="none" w:sz="0" w:space="0" w:color="auto"/>
          </w:divBdr>
        </w:div>
        <w:div w:id="856038466">
          <w:marLeft w:val="640"/>
          <w:marRight w:val="0"/>
          <w:marTop w:val="0"/>
          <w:marBottom w:val="0"/>
          <w:divBdr>
            <w:top w:val="none" w:sz="0" w:space="0" w:color="auto"/>
            <w:left w:val="none" w:sz="0" w:space="0" w:color="auto"/>
            <w:bottom w:val="none" w:sz="0" w:space="0" w:color="auto"/>
            <w:right w:val="none" w:sz="0" w:space="0" w:color="auto"/>
          </w:divBdr>
        </w:div>
        <w:div w:id="1977484568">
          <w:marLeft w:val="640"/>
          <w:marRight w:val="0"/>
          <w:marTop w:val="0"/>
          <w:marBottom w:val="0"/>
          <w:divBdr>
            <w:top w:val="none" w:sz="0" w:space="0" w:color="auto"/>
            <w:left w:val="none" w:sz="0" w:space="0" w:color="auto"/>
            <w:bottom w:val="none" w:sz="0" w:space="0" w:color="auto"/>
            <w:right w:val="none" w:sz="0" w:space="0" w:color="auto"/>
          </w:divBdr>
        </w:div>
        <w:div w:id="773089133">
          <w:marLeft w:val="640"/>
          <w:marRight w:val="0"/>
          <w:marTop w:val="0"/>
          <w:marBottom w:val="0"/>
          <w:divBdr>
            <w:top w:val="none" w:sz="0" w:space="0" w:color="auto"/>
            <w:left w:val="none" w:sz="0" w:space="0" w:color="auto"/>
            <w:bottom w:val="none" w:sz="0" w:space="0" w:color="auto"/>
            <w:right w:val="none" w:sz="0" w:space="0" w:color="auto"/>
          </w:divBdr>
        </w:div>
        <w:div w:id="1192495603">
          <w:marLeft w:val="640"/>
          <w:marRight w:val="0"/>
          <w:marTop w:val="0"/>
          <w:marBottom w:val="0"/>
          <w:divBdr>
            <w:top w:val="none" w:sz="0" w:space="0" w:color="auto"/>
            <w:left w:val="none" w:sz="0" w:space="0" w:color="auto"/>
            <w:bottom w:val="none" w:sz="0" w:space="0" w:color="auto"/>
            <w:right w:val="none" w:sz="0" w:space="0" w:color="auto"/>
          </w:divBdr>
        </w:div>
        <w:div w:id="1698316486">
          <w:marLeft w:val="640"/>
          <w:marRight w:val="0"/>
          <w:marTop w:val="0"/>
          <w:marBottom w:val="0"/>
          <w:divBdr>
            <w:top w:val="none" w:sz="0" w:space="0" w:color="auto"/>
            <w:left w:val="none" w:sz="0" w:space="0" w:color="auto"/>
            <w:bottom w:val="none" w:sz="0" w:space="0" w:color="auto"/>
            <w:right w:val="none" w:sz="0" w:space="0" w:color="auto"/>
          </w:divBdr>
        </w:div>
        <w:div w:id="299654775">
          <w:marLeft w:val="640"/>
          <w:marRight w:val="0"/>
          <w:marTop w:val="0"/>
          <w:marBottom w:val="0"/>
          <w:divBdr>
            <w:top w:val="none" w:sz="0" w:space="0" w:color="auto"/>
            <w:left w:val="none" w:sz="0" w:space="0" w:color="auto"/>
            <w:bottom w:val="none" w:sz="0" w:space="0" w:color="auto"/>
            <w:right w:val="none" w:sz="0" w:space="0" w:color="auto"/>
          </w:divBdr>
        </w:div>
        <w:div w:id="383602671">
          <w:marLeft w:val="640"/>
          <w:marRight w:val="0"/>
          <w:marTop w:val="0"/>
          <w:marBottom w:val="0"/>
          <w:divBdr>
            <w:top w:val="none" w:sz="0" w:space="0" w:color="auto"/>
            <w:left w:val="none" w:sz="0" w:space="0" w:color="auto"/>
            <w:bottom w:val="none" w:sz="0" w:space="0" w:color="auto"/>
            <w:right w:val="none" w:sz="0" w:space="0" w:color="auto"/>
          </w:divBdr>
        </w:div>
        <w:div w:id="385495040">
          <w:marLeft w:val="640"/>
          <w:marRight w:val="0"/>
          <w:marTop w:val="0"/>
          <w:marBottom w:val="0"/>
          <w:divBdr>
            <w:top w:val="none" w:sz="0" w:space="0" w:color="auto"/>
            <w:left w:val="none" w:sz="0" w:space="0" w:color="auto"/>
            <w:bottom w:val="none" w:sz="0" w:space="0" w:color="auto"/>
            <w:right w:val="none" w:sz="0" w:space="0" w:color="auto"/>
          </w:divBdr>
        </w:div>
        <w:div w:id="1661349016">
          <w:marLeft w:val="640"/>
          <w:marRight w:val="0"/>
          <w:marTop w:val="0"/>
          <w:marBottom w:val="0"/>
          <w:divBdr>
            <w:top w:val="none" w:sz="0" w:space="0" w:color="auto"/>
            <w:left w:val="none" w:sz="0" w:space="0" w:color="auto"/>
            <w:bottom w:val="none" w:sz="0" w:space="0" w:color="auto"/>
            <w:right w:val="none" w:sz="0" w:space="0" w:color="auto"/>
          </w:divBdr>
        </w:div>
        <w:div w:id="748424319">
          <w:marLeft w:val="640"/>
          <w:marRight w:val="0"/>
          <w:marTop w:val="0"/>
          <w:marBottom w:val="0"/>
          <w:divBdr>
            <w:top w:val="none" w:sz="0" w:space="0" w:color="auto"/>
            <w:left w:val="none" w:sz="0" w:space="0" w:color="auto"/>
            <w:bottom w:val="none" w:sz="0" w:space="0" w:color="auto"/>
            <w:right w:val="none" w:sz="0" w:space="0" w:color="auto"/>
          </w:divBdr>
        </w:div>
        <w:div w:id="1750540372">
          <w:marLeft w:val="640"/>
          <w:marRight w:val="0"/>
          <w:marTop w:val="0"/>
          <w:marBottom w:val="0"/>
          <w:divBdr>
            <w:top w:val="none" w:sz="0" w:space="0" w:color="auto"/>
            <w:left w:val="none" w:sz="0" w:space="0" w:color="auto"/>
            <w:bottom w:val="none" w:sz="0" w:space="0" w:color="auto"/>
            <w:right w:val="none" w:sz="0" w:space="0" w:color="auto"/>
          </w:divBdr>
        </w:div>
        <w:div w:id="811365793">
          <w:marLeft w:val="640"/>
          <w:marRight w:val="0"/>
          <w:marTop w:val="0"/>
          <w:marBottom w:val="0"/>
          <w:divBdr>
            <w:top w:val="none" w:sz="0" w:space="0" w:color="auto"/>
            <w:left w:val="none" w:sz="0" w:space="0" w:color="auto"/>
            <w:bottom w:val="none" w:sz="0" w:space="0" w:color="auto"/>
            <w:right w:val="none" w:sz="0" w:space="0" w:color="auto"/>
          </w:divBdr>
        </w:div>
        <w:div w:id="817303619">
          <w:marLeft w:val="640"/>
          <w:marRight w:val="0"/>
          <w:marTop w:val="0"/>
          <w:marBottom w:val="0"/>
          <w:divBdr>
            <w:top w:val="none" w:sz="0" w:space="0" w:color="auto"/>
            <w:left w:val="none" w:sz="0" w:space="0" w:color="auto"/>
            <w:bottom w:val="none" w:sz="0" w:space="0" w:color="auto"/>
            <w:right w:val="none" w:sz="0" w:space="0" w:color="auto"/>
          </w:divBdr>
        </w:div>
        <w:div w:id="786848679">
          <w:marLeft w:val="640"/>
          <w:marRight w:val="0"/>
          <w:marTop w:val="0"/>
          <w:marBottom w:val="0"/>
          <w:divBdr>
            <w:top w:val="none" w:sz="0" w:space="0" w:color="auto"/>
            <w:left w:val="none" w:sz="0" w:space="0" w:color="auto"/>
            <w:bottom w:val="none" w:sz="0" w:space="0" w:color="auto"/>
            <w:right w:val="none" w:sz="0" w:space="0" w:color="auto"/>
          </w:divBdr>
        </w:div>
        <w:div w:id="1770735535">
          <w:marLeft w:val="640"/>
          <w:marRight w:val="0"/>
          <w:marTop w:val="0"/>
          <w:marBottom w:val="0"/>
          <w:divBdr>
            <w:top w:val="none" w:sz="0" w:space="0" w:color="auto"/>
            <w:left w:val="none" w:sz="0" w:space="0" w:color="auto"/>
            <w:bottom w:val="none" w:sz="0" w:space="0" w:color="auto"/>
            <w:right w:val="none" w:sz="0" w:space="0" w:color="auto"/>
          </w:divBdr>
        </w:div>
        <w:div w:id="737439485">
          <w:marLeft w:val="640"/>
          <w:marRight w:val="0"/>
          <w:marTop w:val="0"/>
          <w:marBottom w:val="0"/>
          <w:divBdr>
            <w:top w:val="none" w:sz="0" w:space="0" w:color="auto"/>
            <w:left w:val="none" w:sz="0" w:space="0" w:color="auto"/>
            <w:bottom w:val="none" w:sz="0" w:space="0" w:color="auto"/>
            <w:right w:val="none" w:sz="0" w:space="0" w:color="auto"/>
          </w:divBdr>
        </w:div>
        <w:div w:id="2048144815">
          <w:marLeft w:val="640"/>
          <w:marRight w:val="0"/>
          <w:marTop w:val="0"/>
          <w:marBottom w:val="0"/>
          <w:divBdr>
            <w:top w:val="none" w:sz="0" w:space="0" w:color="auto"/>
            <w:left w:val="none" w:sz="0" w:space="0" w:color="auto"/>
            <w:bottom w:val="none" w:sz="0" w:space="0" w:color="auto"/>
            <w:right w:val="none" w:sz="0" w:space="0" w:color="auto"/>
          </w:divBdr>
        </w:div>
        <w:div w:id="71661621">
          <w:marLeft w:val="640"/>
          <w:marRight w:val="0"/>
          <w:marTop w:val="0"/>
          <w:marBottom w:val="0"/>
          <w:divBdr>
            <w:top w:val="none" w:sz="0" w:space="0" w:color="auto"/>
            <w:left w:val="none" w:sz="0" w:space="0" w:color="auto"/>
            <w:bottom w:val="none" w:sz="0" w:space="0" w:color="auto"/>
            <w:right w:val="none" w:sz="0" w:space="0" w:color="auto"/>
          </w:divBdr>
        </w:div>
        <w:div w:id="1358659332">
          <w:marLeft w:val="640"/>
          <w:marRight w:val="0"/>
          <w:marTop w:val="0"/>
          <w:marBottom w:val="0"/>
          <w:divBdr>
            <w:top w:val="none" w:sz="0" w:space="0" w:color="auto"/>
            <w:left w:val="none" w:sz="0" w:space="0" w:color="auto"/>
            <w:bottom w:val="none" w:sz="0" w:space="0" w:color="auto"/>
            <w:right w:val="none" w:sz="0" w:space="0" w:color="auto"/>
          </w:divBdr>
        </w:div>
        <w:div w:id="1247114459">
          <w:marLeft w:val="640"/>
          <w:marRight w:val="0"/>
          <w:marTop w:val="0"/>
          <w:marBottom w:val="0"/>
          <w:divBdr>
            <w:top w:val="none" w:sz="0" w:space="0" w:color="auto"/>
            <w:left w:val="none" w:sz="0" w:space="0" w:color="auto"/>
            <w:bottom w:val="none" w:sz="0" w:space="0" w:color="auto"/>
            <w:right w:val="none" w:sz="0" w:space="0" w:color="auto"/>
          </w:divBdr>
        </w:div>
      </w:divsChild>
    </w:div>
    <w:div w:id="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722563882">
          <w:marLeft w:val="640"/>
          <w:marRight w:val="0"/>
          <w:marTop w:val="0"/>
          <w:marBottom w:val="0"/>
          <w:divBdr>
            <w:top w:val="none" w:sz="0" w:space="0" w:color="auto"/>
            <w:left w:val="none" w:sz="0" w:space="0" w:color="auto"/>
            <w:bottom w:val="none" w:sz="0" w:space="0" w:color="auto"/>
            <w:right w:val="none" w:sz="0" w:space="0" w:color="auto"/>
          </w:divBdr>
        </w:div>
        <w:div w:id="1541472671">
          <w:marLeft w:val="640"/>
          <w:marRight w:val="0"/>
          <w:marTop w:val="0"/>
          <w:marBottom w:val="0"/>
          <w:divBdr>
            <w:top w:val="none" w:sz="0" w:space="0" w:color="auto"/>
            <w:left w:val="none" w:sz="0" w:space="0" w:color="auto"/>
            <w:bottom w:val="none" w:sz="0" w:space="0" w:color="auto"/>
            <w:right w:val="none" w:sz="0" w:space="0" w:color="auto"/>
          </w:divBdr>
        </w:div>
        <w:div w:id="1062018229">
          <w:marLeft w:val="640"/>
          <w:marRight w:val="0"/>
          <w:marTop w:val="0"/>
          <w:marBottom w:val="0"/>
          <w:divBdr>
            <w:top w:val="none" w:sz="0" w:space="0" w:color="auto"/>
            <w:left w:val="none" w:sz="0" w:space="0" w:color="auto"/>
            <w:bottom w:val="none" w:sz="0" w:space="0" w:color="auto"/>
            <w:right w:val="none" w:sz="0" w:space="0" w:color="auto"/>
          </w:divBdr>
        </w:div>
        <w:div w:id="253131343">
          <w:marLeft w:val="640"/>
          <w:marRight w:val="0"/>
          <w:marTop w:val="0"/>
          <w:marBottom w:val="0"/>
          <w:divBdr>
            <w:top w:val="none" w:sz="0" w:space="0" w:color="auto"/>
            <w:left w:val="none" w:sz="0" w:space="0" w:color="auto"/>
            <w:bottom w:val="none" w:sz="0" w:space="0" w:color="auto"/>
            <w:right w:val="none" w:sz="0" w:space="0" w:color="auto"/>
          </w:divBdr>
        </w:div>
        <w:div w:id="1239172444">
          <w:marLeft w:val="640"/>
          <w:marRight w:val="0"/>
          <w:marTop w:val="0"/>
          <w:marBottom w:val="0"/>
          <w:divBdr>
            <w:top w:val="none" w:sz="0" w:space="0" w:color="auto"/>
            <w:left w:val="none" w:sz="0" w:space="0" w:color="auto"/>
            <w:bottom w:val="none" w:sz="0" w:space="0" w:color="auto"/>
            <w:right w:val="none" w:sz="0" w:space="0" w:color="auto"/>
          </w:divBdr>
        </w:div>
        <w:div w:id="2012370574">
          <w:marLeft w:val="640"/>
          <w:marRight w:val="0"/>
          <w:marTop w:val="0"/>
          <w:marBottom w:val="0"/>
          <w:divBdr>
            <w:top w:val="none" w:sz="0" w:space="0" w:color="auto"/>
            <w:left w:val="none" w:sz="0" w:space="0" w:color="auto"/>
            <w:bottom w:val="none" w:sz="0" w:space="0" w:color="auto"/>
            <w:right w:val="none" w:sz="0" w:space="0" w:color="auto"/>
          </w:divBdr>
        </w:div>
        <w:div w:id="1278490870">
          <w:marLeft w:val="640"/>
          <w:marRight w:val="0"/>
          <w:marTop w:val="0"/>
          <w:marBottom w:val="0"/>
          <w:divBdr>
            <w:top w:val="none" w:sz="0" w:space="0" w:color="auto"/>
            <w:left w:val="none" w:sz="0" w:space="0" w:color="auto"/>
            <w:bottom w:val="none" w:sz="0" w:space="0" w:color="auto"/>
            <w:right w:val="none" w:sz="0" w:space="0" w:color="auto"/>
          </w:divBdr>
        </w:div>
        <w:div w:id="89661606">
          <w:marLeft w:val="640"/>
          <w:marRight w:val="0"/>
          <w:marTop w:val="0"/>
          <w:marBottom w:val="0"/>
          <w:divBdr>
            <w:top w:val="none" w:sz="0" w:space="0" w:color="auto"/>
            <w:left w:val="none" w:sz="0" w:space="0" w:color="auto"/>
            <w:bottom w:val="none" w:sz="0" w:space="0" w:color="auto"/>
            <w:right w:val="none" w:sz="0" w:space="0" w:color="auto"/>
          </w:divBdr>
        </w:div>
        <w:div w:id="1430278695">
          <w:marLeft w:val="640"/>
          <w:marRight w:val="0"/>
          <w:marTop w:val="0"/>
          <w:marBottom w:val="0"/>
          <w:divBdr>
            <w:top w:val="none" w:sz="0" w:space="0" w:color="auto"/>
            <w:left w:val="none" w:sz="0" w:space="0" w:color="auto"/>
            <w:bottom w:val="none" w:sz="0" w:space="0" w:color="auto"/>
            <w:right w:val="none" w:sz="0" w:space="0" w:color="auto"/>
          </w:divBdr>
        </w:div>
        <w:div w:id="1512451081">
          <w:marLeft w:val="640"/>
          <w:marRight w:val="0"/>
          <w:marTop w:val="0"/>
          <w:marBottom w:val="0"/>
          <w:divBdr>
            <w:top w:val="none" w:sz="0" w:space="0" w:color="auto"/>
            <w:left w:val="none" w:sz="0" w:space="0" w:color="auto"/>
            <w:bottom w:val="none" w:sz="0" w:space="0" w:color="auto"/>
            <w:right w:val="none" w:sz="0" w:space="0" w:color="auto"/>
          </w:divBdr>
        </w:div>
        <w:div w:id="826554243">
          <w:marLeft w:val="640"/>
          <w:marRight w:val="0"/>
          <w:marTop w:val="0"/>
          <w:marBottom w:val="0"/>
          <w:divBdr>
            <w:top w:val="none" w:sz="0" w:space="0" w:color="auto"/>
            <w:left w:val="none" w:sz="0" w:space="0" w:color="auto"/>
            <w:bottom w:val="none" w:sz="0" w:space="0" w:color="auto"/>
            <w:right w:val="none" w:sz="0" w:space="0" w:color="auto"/>
          </w:divBdr>
        </w:div>
        <w:div w:id="1731999653">
          <w:marLeft w:val="640"/>
          <w:marRight w:val="0"/>
          <w:marTop w:val="0"/>
          <w:marBottom w:val="0"/>
          <w:divBdr>
            <w:top w:val="none" w:sz="0" w:space="0" w:color="auto"/>
            <w:left w:val="none" w:sz="0" w:space="0" w:color="auto"/>
            <w:bottom w:val="none" w:sz="0" w:space="0" w:color="auto"/>
            <w:right w:val="none" w:sz="0" w:space="0" w:color="auto"/>
          </w:divBdr>
        </w:div>
        <w:div w:id="725959671">
          <w:marLeft w:val="640"/>
          <w:marRight w:val="0"/>
          <w:marTop w:val="0"/>
          <w:marBottom w:val="0"/>
          <w:divBdr>
            <w:top w:val="none" w:sz="0" w:space="0" w:color="auto"/>
            <w:left w:val="none" w:sz="0" w:space="0" w:color="auto"/>
            <w:bottom w:val="none" w:sz="0" w:space="0" w:color="auto"/>
            <w:right w:val="none" w:sz="0" w:space="0" w:color="auto"/>
          </w:divBdr>
        </w:div>
        <w:div w:id="865562115">
          <w:marLeft w:val="640"/>
          <w:marRight w:val="0"/>
          <w:marTop w:val="0"/>
          <w:marBottom w:val="0"/>
          <w:divBdr>
            <w:top w:val="none" w:sz="0" w:space="0" w:color="auto"/>
            <w:left w:val="none" w:sz="0" w:space="0" w:color="auto"/>
            <w:bottom w:val="none" w:sz="0" w:space="0" w:color="auto"/>
            <w:right w:val="none" w:sz="0" w:space="0" w:color="auto"/>
          </w:divBdr>
        </w:div>
        <w:div w:id="345518519">
          <w:marLeft w:val="640"/>
          <w:marRight w:val="0"/>
          <w:marTop w:val="0"/>
          <w:marBottom w:val="0"/>
          <w:divBdr>
            <w:top w:val="none" w:sz="0" w:space="0" w:color="auto"/>
            <w:left w:val="none" w:sz="0" w:space="0" w:color="auto"/>
            <w:bottom w:val="none" w:sz="0" w:space="0" w:color="auto"/>
            <w:right w:val="none" w:sz="0" w:space="0" w:color="auto"/>
          </w:divBdr>
        </w:div>
        <w:div w:id="252903990">
          <w:marLeft w:val="640"/>
          <w:marRight w:val="0"/>
          <w:marTop w:val="0"/>
          <w:marBottom w:val="0"/>
          <w:divBdr>
            <w:top w:val="none" w:sz="0" w:space="0" w:color="auto"/>
            <w:left w:val="none" w:sz="0" w:space="0" w:color="auto"/>
            <w:bottom w:val="none" w:sz="0" w:space="0" w:color="auto"/>
            <w:right w:val="none" w:sz="0" w:space="0" w:color="auto"/>
          </w:divBdr>
        </w:div>
        <w:div w:id="595214227">
          <w:marLeft w:val="640"/>
          <w:marRight w:val="0"/>
          <w:marTop w:val="0"/>
          <w:marBottom w:val="0"/>
          <w:divBdr>
            <w:top w:val="none" w:sz="0" w:space="0" w:color="auto"/>
            <w:left w:val="none" w:sz="0" w:space="0" w:color="auto"/>
            <w:bottom w:val="none" w:sz="0" w:space="0" w:color="auto"/>
            <w:right w:val="none" w:sz="0" w:space="0" w:color="auto"/>
          </w:divBdr>
        </w:div>
        <w:div w:id="1010641493">
          <w:marLeft w:val="640"/>
          <w:marRight w:val="0"/>
          <w:marTop w:val="0"/>
          <w:marBottom w:val="0"/>
          <w:divBdr>
            <w:top w:val="none" w:sz="0" w:space="0" w:color="auto"/>
            <w:left w:val="none" w:sz="0" w:space="0" w:color="auto"/>
            <w:bottom w:val="none" w:sz="0" w:space="0" w:color="auto"/>
            <w:right w:val="none" w:sz="0" w:space="0" w:color="auto"/>
          </w:divBdr>
        </w:div>
        <w:div w:id="382024722">
          <w:marLeft w:val="640"/>
          <w:marRight w:val="0"/>
          <w:marTop w:val="0"/>
          <w:marBottom w:val="0"/>
          <w:divBdr>
            <w:top w:val="none" w:sz="0" w:space="0" w:color="auto"/>
            <w:left w:val="none" w:sz="0" w:space="0" w:color="auto"/>
            <w:bottom w:val="none" w:sz="0" w:space="0" w:color="auto"/>
            <w:right w:val="none" w:sz="0" w:space="0" w:color="auto"/>
          </w:divBdr>
        </w:div>
        <w:div w:id="1253120495">
          <w:marLeft w:val="640"/>
          <w:marRight w:val="0"/>
          <w:marTop w:val="0"/>
          <w:marBottom w:val="0"/>
          <w:divBdr>
            <w:top w:val="none" w:sz="0" w:space="0" w:color="auto"/>
            <w:left w:val="none" w:sz="0" w:space="0" w:color="auto"/>
            <w:bottom w:val="none" w:sz="0" w:space="0" w:color="auto"/>
            <w:right w:val="none" w:sz="0" w:space="0" w:color="auto"/>
          </w:divBdr>
        </w:div>
        <w:div w:id="1520851115">
          <w:marLeft w:val="640"/>
          <w:marRight w:val="0"/>
          <w:marTop w:val="0"/>
          <w:marBottom w:val="0"/>
          <w:divBdr>
            <w:top w:val="none" w:sz="0" w:space="0" w:color="auto"/>
            <w:left w:val="none" w:sz="0" w:space="0" w:color="auto"/>
            <w:bottom w:val="none" w:sz="0" w:space="0" w:color="auto"/>
            <w:right w:val="none" w:sz="0" w:space="0" w:color="auto"/>
          </w:divBdr>
        </w:div>
        <w:div w:id="1187451216">
          <w:marLeft w:val="640"/>
          <w:marRight w:val="0"/>
          <w:marTop w:val="0"/>
          <w:marBottom w:val="0"/>
          <w:divBdr>
            <w:top w:val="none" w:sz="0" w:space="0" w:color="auto"/>
            <w:left w:val="none" w:sz="0" w:space="0" w:color="auto"/>
            <w:bottom w:val="none" w:sz="0" w:space="0" w:color="auto"/>
            <w:right w:val="none" w:sz="0" w:space="0" w:color="auto"/>
          </w:divBdr>
        </w:div>
        <w:div w:id="1895922595">
          <w:marLeft w:val="640"/>
          <w:marRight w:val="0"/>
          <w:marTop w:val="0"/>
          <w:marBottom w:val="0"/>
          <w:divBdr>
            <w:top w:val="none" w:sz="0" w:space="0" w:color="auto"/>
            <w:left w:val="none" w:sz="0" w:space="0" w:color="auto"/>
            <w:bottom w:val="none" w:sz="0" w:space="0" w:color="auto"/>
            <w:right w:val="none" w:sz="0" w:space="0" w:color="auto"/>
          </w:divBdr>
        </w:div>
        <w:div w:id="628777675">
          <w:marLeft w:val="640"/>
          <w:marRight w:val="0"/>
          <w:marTop w:val="0"/>
          <w:marBottom w:val="0"/>
          <w:divBdr>
            <w:top w:val="none" w:sz="0" w:space="0" w:color="auto"/>
            <w:left w:val="none" w:sz="0" w:space="0" w:color="auto"/>
            <w:bottom w:val="none" w:sz="0" w:space="0" w:color="auto"/>
            <w:right w:val="none" w:sz="0" w:space="0" w:color="auto"/>
          </w:divBdr>
        </w:div>
        <w:div w:id="431055963">
          <w:marLeft w:val="640"/>
          <w:marRight w:val="0"/>
          <w:marTop w:val="0"/>
          <w:marBottom w:val="0"/>
          <w:divBdr>
            <w:top w:val="none" w:sz="0" w:space="0" w:color="auto"/>
            <w:left w:val="none" w:sz="0" w:space="0" w:color="auto"/>
            <w:bottom w:val="none" w:sz="0" w:space="0" w:color="auto"/>
            <w:right w:val="none" w:sz="0" w:space="0" w:color="auto"/>
          </w:divBdr>
        </w:div>
        <w:div w:id="174930462">
          <w:marLeft w:val="640"/>
          <w:marRight w:val="0"/>
          <w:marTop w:val="0"/>
          <w:marBottom w:val="0"/>
          <w:divBdr>
            <w:top w:val="none" w:sz="0" w:space="0" w:color="auto"/>
            <w:left w:val="none" w:sz="0" w:space="0" w:color="auto"/>
            <w:bottom w:val="none" w:sz="0" w:space="0" w:color="auto"/>
            <w:right w:val="none" w:sz="0" w:space="0" w:color="auto"/>
          </w:divBdr>
        </w:div>
        <w:div w:id="1397312860">
          <w:marLeft w:val="640"/>
          <w:marRight w:val="0"/>
          <w:marTop w:val="0"/>
          <w:marBottom w:val="0"/>
          <w:divBdr>
            <w:top w:val="none" w:sz="0" w:space="0" w:color="auto"/>
            <w:left w:val="none" w:sz="0" w:space="0" w:color="auto"/>
            <w:bottom w:val="none" w:sz="0" w:space="0" w:color="auto"/>
            <w:right w:val="none" w:sz="0" w:space="0" w:color="auto"/>
          </w:divBdr>
        </w:div>
        <w:div w:id="475607164">
          <w:marLeft w:val="640"/>
          <w:marRight w:val="0"/>
          <w:marTop w:val="0"/>
          <w:marBottom w:val="0"/>
          <w:divBdr>
            <w:top w:val="none" w:sz="0" w:space="0" w:color="auto"/>
            <w:left w:val="none" w:sz="0" w:space="0" w:color="auto"/>
            <w:bottom w:val="none" w:sz="0" w:space="0" w:color="auto"/>
            <w:right w:val="none" w:sz="0" w:space="0" w:color="auto"/>
          </w:divBdr>
        </w:div>
        <w:div w:id="1939366061">
          <w:marLeft w:val="640"/>
          <w:marRight w:val="0"/>
          <w:marTop w:val="0"/>
          <w:marBottom w:val="0"/>
          <w:divBdr>
            <w:top w:val="none" w:sz="0" w:space="0" w:color="auto"/>
            <w:left w:val="none" w:sz="0" w:space="0" w:color="auto"/>
            <w:bottom w:val="none" w:sz="0" w:space="0" w:color="auto"/>
            <w:right w:val="none" w:sz="0" w:space="0" w:color="auto"/>
          </w:divBdr>
        </w:div>
      </w:divsChild>
    </w:div>
    <w:div w:id="473186335">
      <w:bodyDiv w:val="1"/>
      <w:marLeft w:val="0"/>
      <w:marRight w:val="0"/>
      <w:marTop w:val="0"/>
      <w:marBottom w:val="0"/>
      <w:divBdr>
        <w:top w:val="none" w:sz="0" w:space="0" w:color="auto"/>
        <w:left w:val="none" w:sz="0" w:space="0" w:color="auto"/>
        <w:bottom w:val="none" w:sz="0" w:space="0" w:color="auto"/>
        <w:right w:val="none" w:sz="0" w:space="0" w:color="auto"/>
      </w:divBdr>
    </w:div>
    <w:div w:id="482739442">
      <w:bodyDiv w:val="1"/>
      <w:marLeft w:val="0"/>
      <w:marRight w:val="0"/>
      <w:marTop w:val="0"/>
      <w:marBottom w:val="0"/>
      <w:divBdr>
        <w:top w:val="none" w:sz="0" w:space="0" w:color="auto"/>
        <w:left w:val="none" w:sz="0" w:space="0" w:color="auto"/>
        <w:bottom w:val="none" w:sz="0" w:space="0" w:color="auto"/>
        <w:right w:val="none" w:sz="0" w:space="0" w:color="auto"/>
      </w:divBdr>
    </w:div>
    <w:div w:id="569581338">
      <w:bodyDiv w:val="1"/>
      <w:marLeft w:val="0"/>
      <w:marRight w:val="0"/>
      <w:marTop w:val="0"/>
      <w:marBottom w:val="0"/>
      <w:divBdr>
        <w:top w:val="none" w:sz="0" w:space="0" w:color="auto"/>
        <w:left w:val="none" w:sz="0" w:space="0" w:color="auto"/>
        <w:bottom w:val="none" w:sz="0" w:space="0" w:color="auto"/>
        <w:right w:val="none" w:sz="0" w:space="0" w:color="auto"/>
      </w:divBdr>
    </w:div>
    <w:div w:id="602035397">
      <w:bodyDiv w:val="1"/>
      <w:marLeft w:val="0"/>
      <w:marRight w:val="0"/>
      <w:marTop w:val="0"/>
      <w:marBottom w:val="0"/>
      <w:divBdr>
        <w:top w:val="none" w:sz="0" w:space="0" w:color="auto"/>
        <w:left w:val="none" w:sz="0" w:space="0" w:color="auto"/>
        <w:bottom w:val="none" w:sz="0" w:space="0" w:color="auto"/>
        <w:right w:val="none" w:sz="0" w:space="0" w:color="auto"/>
      </w:divBdr>
    </w:div>
    <w:div w:id="637997563">
      <w:bodyDiv w:val="1"/>
      <w:marLeft w:val="0"/>
      <w:marRight w:val="0"/>
      <w:marTop w:val="0"/>
      <w:marBottom w:val="0"/>
      <w:divBdr>
        <w:top w:val="none" w:sz="0" w:space="0" w:color="auto"/>
        <w:left w:val="none" w:sz="0" w:space="0" w:color="auto"/>
        <w:bottom w:val="none" w:sz="0" w:space="0" w:color="auto"/>
        <w:right w:val="none" w:sz="0" w:space="0" w:color="auto"/>
      </w:divBdr>
    </w:div>
    <w:div w:id="673343181">
      <w:bodyDiv w:val="1"/>
      <w:marLeft w:val="0"/>
      <w:marRight w:val="0"/>
      <w:marTop w:val="0"/>
      <w:marBottom w:val="0"/>
      <w:divBdr>
        <w:top w:val="none" w:sz="0" w:space="0" w:color="auto"/>
        <w:left w:val="none" w:sz="0" w:space="0" w:color="auto"/>
        <w:bottom w:val="none" w:sz="0" w:space="0" w:color="auto"/>
        <w:right w:val="none" w:sz="0" w:space="0" w:color="auto"/>
      </w:divBdr>
    </w:div>
    <w:div w:id="687025824">
      <w:bodyDiv w:val="1"/>
      <w:marLeft w:val="0"/>
      <w:marRight w:val="0"/>
      <w:marTop w:val="0"/>
      <w:marBottom w:val="0"/>
      <w:divBdr>
        <w:top w:val="none" w:sz="0" w:space="0" w:color="auto"/>
        <w:left w:val="none" w:sz="0" w:space="0" w:color="auto"/>
        <w:bottom w:val="none" w:sz="0" w:space="0" w:color="auto"/>
        <w:right w:val="none" w:sz="0" w:space="0" w:color="auto"/>
      </w:divBdr>
    </w:div>
    <w:div w:id="737483572">
      <w:bodyDiv w:val="1"/>
      <w:marLeft w:val="0"/>
      <w:marRight w:val="0"/>
      <w:marTop w:val="0"/>
      <w:marBottom w:val="0"/>
      <w:divBdr>
        <w:top w:val="none" w:sz="0" w:space="0" w:color="auto"/>
        <w:left w:val="none" w:sz="0" w:space="0" w:color="auto"/>
        <w:bottom w:val="none" w:sz="0" w:space="0" w:color="auto"/>
        <w:right w:val="none" w:sz="0" w:space="0" w:color="auto"/>
      </w:divBdr>
    </w:div>
    <w:div w:id="807164472">
      <w:bodyDiv w:val="1"/>
      <w:marLeft w:val="0"/>
      <w:marRight w:val="0"/>
      <w:marTop w:val="0"/>
      <w:marBottom w:val="0"/>
      <w:divBdr>
        <w:top w:val="none" w:sz="0" w:space="0" w:color="auto"/>
        <w:left w:val="none" w:sz="0" w:space="0" w:color="auto"/>
        <w:bottom w:val="none" w:sz="0" w:space="0" w:color="auto"/>
        <w:right w:val="none" w:sz="0" w:space="0" w:color="auto"/>
      </w:divBdr>
      <w:divsChild>
        <w:div w:id="1454179789">
          <w:marLeft w:val="640"/>
          <w:marRight w:val="0"/>
          <w:marTop w:val="0"/>
          <w:marBottom w:val="0"/>
          <w:divBdr>
            <w:top w:val="none" w:sz="0" w:space="0" w:color="auto"/>
            <w:left w:val="none" w:sz="0" w:space="0" w:color="auto"/>
            <w:bottom w:val="none" w:sz="0" w:space="0" w:color="auto"/>
            <w:right w:val="none" w:sz="0" w:space="0" w:color="auto"/>
          </w:divBdr>
        </w:div>
        <w:div w:id="560869076">
          <w:marLeft w:val="640"/>
          <w:marRight w:val="0"/>
          <w:marTop w:val="0"/>
          <w:marBottom w:val="0"/>
          <w:divBdr>
            <w:top w:val="none" w:sz="0" w:space="0" w:color="auto"/>
            <w:left w:val="none" w:sz="0" w:space="0" w:color="auto"/>
            <w:bottom w:val="none" w:sz="0" w:space="0" w:color="auto"/>
            <w:right w:val="none" w:sz="0" w:space="0" w:color="auto"/>
          </w:divBdr>
        </w:div>
        <w:div w:id="145820785">
          <w:marLeft w:val="640"/>
          <w:marRight w:val="0"/>
          <w:marTop w:val="0"/>
          <w:marBottom w:val="0"/>
          <w:divBdr>
            <w:top w:val="none" w:sz="0" w:space="0" w:color="auto"/>
            <w:left w:val="none" w:sz="0" w:space="0" w:color="auto"/>
            <w:bottom w:val="none" w:sz="0" w:space="0" w:color="auto"/>
            <w:right w:val="none" w:sz="0" w:space="0" w:color="auto"/>
          </w:divBdr>
        </w:div>
        <w:div w:id="421070687">
          <w:marLeft w:val="640"/>
          <w:marRight w:val="0"/>
          <w:marTop w:val="0"/>
          <w:marBottom w:val="0"/>
          <w:divBdr>
            <w:top w:val="none" w:sz="0" w:space="0" w:color="auto"/>
            <w:left w:val="none" w:sz="0" w:space="0" w:color="auto"/>
            <w:bottom w:val="none" w:sz="0" w:space="0" w:color="auto"/>
            <w:right w:val="none" w:sz="0" w:space="0" w:color="auto"/>
          </w:divBdr>
        </w:div>
        <w:div w:id="1018889525">
          <w:marLeft w:val="640"/>
          <w:marRight w:val="0"/>
          <w:marTop w:val="0"/>
          <w:marBottom w:val="0"/>
          <w:divBdr>
            <w:top w:val="none" w:sz="0" w:space="0" w:color="auto"/>
            <w:left w:val="none" w:sz="0" w:space="0" w:color="auto"/>
            <w:bottom w:val="none" w:sz="0" w:space="0" w:color="auto"/>
            <w:right w:val="none" w:sz="0" w:space="0" w:color="auto"/>
          </w:divBdr>
        </w:div>
        <w:div w:id="649333772">
          <w:marLeft w:val="640"/>
          <w:marRight w:val="0"/>
          <w:marTop w:val="0"/>
          <w:marBottom w:val="0"/>
          <w:divBdr>
            <w:top w:val="none" w:sz="0" w:space="0" w:color="auto"/>
            <w:left w:val="none" w:sz="0" w:space="0" w:color="auto"/>
            <w:bottom w:val="none" w:sz="0" w:space="0" w:color="auto"/>
            <w:right w:val="none" w:sz="0" w:space="0" w:color="auto"/>
          </w:divBdr>
        </w:div>
        <w:div w:id="282730494">
          <w:marLeft w:val="640"/>
          <w:marRight w:val="0"/>
          <w:marTop w:val="0"/>
          <w:marBottom w:val="0"/>
          <w:divBdr>
            <w:top w:val="none" w:sz="0" w:space="0" w:color="auto"/>
            <w:left w:val="none" w:sz="0" w:space="0" w:color="auto"/>
            <w:bottom w:val="none" w:sz="0" w:space="0" w:color="auto"/>
            <w:right w:val="none" w:sz="0" w:space="0" w:color="auto"/>
          </w:divBdr>
        </w:div>
        <w:div w:id="1165709597">
          <w:marLeft w:val="640"/>
          <w:marRight w:val="0"/>
          <w:marTop w:val="0"/>
          <w:marBottom w:val="0"/>
          <w:divBdr>
            <w:top w:val="none" w:sz="0" w:space="0" w:color="auto"/>
            <w:left w:val="none" w:sz="0" w:space="0" w:color="auto"/>
            <w:bottom w:val="none" w:sz="0" w:space="0" w:color="auto"/>
            <w:right w:val="none" w:sz="0" w:space="0" w:color="auto"/>
          </w:divBdr>
        </w:div>
        <w:div w:id="578562824">
          <w:marLeft w:val="640"/>
          <w:marRight w:val="0"/>
          <w:marTop w:val="0"/>
          <w:marBottom w:val="0"/>
          <w:divBdr>
            <w:top w:val="none" w:sz="0" w:space="0" w:color="auto"/>
            <w:left w:val="none" w:sz="0" w:space="0" w:color="auto"/>
            <w:bottom w:val="none" w:sz="0" w:space="0" w:color="auto"/>
            <w:right w:val="none" w:sz="0" w:space="0" w:color="auto"/>
          </w:divBdr>
        </w:div>
        <w:div w:id="2116705403">
          <w:marLeft w:val="640"/>
          <w:marRight w:val="0"/>
          <w:marTop w:val="0"/>
          <w:marBottom w:val="0"/>
          <w:divBdr>
            <w:top w:val="none" w:sz="0" w:space="0" w:color="auto"/>
            <w:left w:val="none" w:sz="0" w:space="0" w:color="auto"/>
            <w:bottom w:val="none" w:sz="0" w:space="0" w:color="auto"/>
            <w:right w:val="none" w:sz="0" w:space="0" w:color="auto"/>
          </w:divBdr>
        </w:div>
        <w:div w:id="2091150875">
          <w:marLeft w:val="640"/>
          <w:marRight w:val="0"/>
          <w:marTop w:val="0"/>
          <w:marBottom w:val="0"/>
          <w:divBdr>
            <w:top w:val="none" w:sz="0" w:space="0" w:color="auto"/>
            <w:left w:val="none" w:sz="0" w:space="0" w:color="auto"/>
            <w:bottom w:val="none" w:sz="0" w:space="0" w:color="auto"/>
            <w:right w:val="none" w:sz="0" w:space="0" w:color="auto"/>
          </w:divBdr>
        </w:div>
        <w:div w:id="1555309372">
          <w:marLeft w:val="640"/>
          <w:marRight w:val="0"/>
          <w:marTop w:val="0"/>
          <w:marBottom w:val="0"/>
          <w:divBdr>
            <w:top w:val="none" w:sz="0" w:space="0" w:color="auto"/>
            <w:left w:val="none" w:sz="0" w:space="0" w:color="auto"/>
            <w:bottom w:val="none" w:sz="0" w:space="0" w:color="auto"/>
            <w:right w:val="none" w:sz="0" w:space="0" w:color="auto"/>
          </w:divBdr>
        </w:div>
        <w:div w:id="1564488391">
          <w:marLeft w:val="640"/>
          <w:marRight w:val="0"/>
          <w:marTop w:val="0"/>
          <w:marBottom w:val="0"/>
          <w:divBdr>
            <w:top w:val="none" w:sz="0" w:space="0" w:color="auto"/>
            <w:left w:val="none" w:sz="0" w:space="0" w:color="auto"/>
            <w:bottom w:val="none" w:sz="0" w:space="0" w:color="auto"/>
            <w:right w:val="none" w:sz="0" w:space="0" w:color="auto"/>
          </w:divBdr>
        </w:div>
        <w:div w:id="1634601132">
          <w:marLeft w:val="640"/>
          <w:marRight w:val="0"/>
          <w:marTop w:val="0"/>
          <w:marBottom w:val="0"/>
          <w:divBdr>
            <w:top w:val="none" w:sz="0" w:space="0" w:color="auto"/>
            <w:left w:val="none" w:sz="0" w:space="0" w:color="auto"/>
            <w:bottom w:val="none" w:sz="0" w:space="0" w:color="auto"/>
            <w:right w:val="none" w:sz="0" w:space="0" w:color="auto"/>
          </w:divBdr>
        </w:div>
        <w:div w:id="1649438625">
          <w:marLeft w:val="640"/>
          <w:marRight w:val="0"/>
          <w:marTop w:val="0"/>
          <w:marBottom w:val="0"/>
          <w:divBdr>
            <w:top w:val="none" w:sz="0" w:space="0" w:color="auto"/>
            <w:left w:val="none" w:sz="0" w:space="0" w:color="auto"/>
            <w:bottom w:val="none" w:sz="0" w:space="0" w:color="auto"/>
            <w:right w:val="none" w:sz="0" w:space="0" w:color="auto"/>
          </w:divBdr>
        </w:div>
        <w:div w:id="282004510">
          <w:marLeft w:val="640"/>
          <w:marRight w:val="0"/>
          <w:marTop w:val="0"/>
          <w:marBottom w:val="0"/>
          <w:divBdr>
            <w:top w:val="none" w:sz="0" w:space="0" w:color="auto"/>
            <w:left w:val="none" w:sz="0" w:space="0" w:color="auto"/>
            <w:bottom w:val="none" w:sz="0" w:space="0" w:color="auto"/>
            <w:right w:val="none" w:sz="0" w:space="0" w:color="auto"/>
          </w:divBdr>
        </w:div>
        <w:div w:id="378629341">
          <w:marLeft w:val="640"/>
          <w:marRight w:val="0"/>
          <w:marTop w:val="0"/>
          <w:marBottom w:val="0"/>
          <w:divBdr>
            <w:top w:val="none" w:sz="0" w:space="0" w:color="auto"/>
            <w:left w:val="none" w:sz="0" w:space="0" w:color="auto"/>
            <w:bottom w:val="none" w:sz="0" w:space="0" w:color="auto"/>
            <w:right w:val="none" w:sz="0" w:space="0" w:color="auto"/>
          </w:divBdr>
        </w:div>
        <w:div w:id="98768262">
          <w:marLeft w:val="640"/>
          <w:marRight w:val="0"/>
          <w:marTop w:val="0"/>
          <w:marBottom w:val="0"/>
          <w:divBdr>
            <w:top w:val="none" w:sz="0" w:space="0" w:color="auto"/>
            <w:left w:val="none" w:sz="0" w:space="0" w:color="auto"/>
            <w:bottom w:val="none" w:sz="0" w:space="0" w:color="auto"/>
            <w:right w:val="none" w:sz="0" w:space="0" w:color="auto"/>
          </w:divBdr>
        </w:div>
        <w:div w:id="2099212882">
          <w:marLeft w:val="640"/>
          <w:marRight w:val="0"/>
          <w:marTop w:val="0"/>
          <w:marBottom w:val="0"/>
          <w:divBdr>
            <w:top w:val="none" w:sz="0" w:space="0" w:color="auto"/>
            <w:left w:val="none" w:sz="0" w:space="0" w:color="auto"/>
            <w:bottom w:val="none" w:sz="0" w:space="0" w:color="auto"/>
            <w:right w:val="none" w:sz="0" w:space="0" w:color="auto"/>
          </w:divBdr>
        </w:div>
        <w:div w:id="1404715413">
          <w:marLeft w:val="640"/>
          <w:marRight w:val="0"/>
          <w:marTop w:val="0"/>
          <w:marBottom w:val="0"/>
          <w:divBdr>
            <w:top w:val="none" w:sz="0" w:space="0" w:color="auto"/>
            <w:left w:val="none" w:sz="0" w:space="0" w:color="auto"/>
            <w:bottom w:val="none" w:sz="0" w:space="0" w:color="auto"/>
            <w:right w:val="none" w:sz="0" w:space="0" w:color="auto"/>
          </w:divBdr>
        </w:div>
        <w:div w:id="114520843">
          <w:marLeft w:val="640"/>
          <w:marRight w:val="0"/>
          <w:marTop w:val="0"/>
          <w:marBottom w:val="0"/>
          <w:divBdr>
            <w:top w:val="none" w:sz="0" w:space="0" w:color="auto"/>
            <w:left w:val="none" w:sz="0" w:space="0" w:color="auto"/>
            <w:bottom w:val="none" w:sz="0" w:space="0" w:color="auto"/>
            <w:right w:val="none" w:sz="0" w:space="0" w:color="auto"/>
          </w:divBdr>
        </w:div>
        <w:div w:id="1346782688">
          <w:marLeft w:val="640"/>
          <w:marRight w:val="0"/>
          <w:marTop w:val="0"/>
          <w:marBottom w:val="0"/>
          <w:divBdr>
            <w:top w:val="none" w:sz="0" w:space="0" w:color="auto"/>
            <w:left w:val="none" w:sz="0" w:space="0" w:color="auto"/>
            <w:bottom w:val="none" w:sz="0" w:space="0" w:color="auto"/>
            <w:right w:val="none" w:sz="0" w:space="0" w:color="auto"/>
          </w:divBdr>
        </w:div>
        <w:div w:id="744962332">
          <w:marLeft w:val="640"/>
          <w:marRight w:val="0"/>
          <w:marTop w:val="0"/>
          <w:marBottom w:val="0"/>
          <w:divBdr>
            <w:top w:val="none" w:sz="0" w:space="0" w:color="auto"/>
            <w:left w:val="none" w:sz="0" w:space="0" w:color="auto"/>
            <w:bottom w:val="none" w:sz="0" w:space="0" w:color="auto"/>
            <w:right w:val="none" w:sz="0" w:space="0" w:color="auto"/>
          </w:divBdr>
        </w:div>
        <w:div w:id="1423406608">
          <w:marLeft w:val="640"/>
          <w:marRight w:val="0"/>
          <w:marTop w:val="0"/>
          <w:marBottom w:val="0"/>
          <w:divBdr>
            <w:top w:val="none" w:sz="0" w:space="0" w:color="auto"/>
            <w:left w:val="none" w:sz="0" w:space="0" w:color="auto"/>
            <w:bottom w:val="none" w:sz="0" w:space="0" w:color="auto"/>
            <w:right w:val="none" w:sz="0" w:space="0" w:color="auto"/>
          </w:divBdr>
        </w:div>
        <w:div w:id="1833325855">
          <w:marLeft w:val="640"/>
          <w:marRight w:val="0"/>
          <w:marTop w:val="0"/>
          <w:marBottom w:val="0"/>
          <w:divBdr>
            <w:top w:val="none" w:sz="0" w:space="0" w:color="auto"/>
            <w:left w:val="none" w:sz="0" w:space="0" w:color="auto"/>
            <w:bottom w:val="none" w:sz="0" w:space="0" w:color="auto"/>
            <w:right w:val="none" w:sz="0" w:space="0" w:color="auto"/>
          </w:divBdr>
        </w:div>
        <w:div w:id="246505936">
          <w:marLeft w:val="640"/>
          <w:marRight w:val="0"/>
          <w:marTop w:val="0"/>
          <w:marBottom w:val="0"/>
          <w:divBdr>
            <w:top w:val="none" w:sz="0" w:space="0" w:color="auto"/>
            <w:left w:val="none" w:sz="0" w:space="0" w:color="auto"/>
            <w:bottom w:val="none" w:sz="0" w:space="0" w:color="auto"/>
            <w:right w:val="none" w:sz="0" w:space="0" w:color="auto"/>
          </w:divBdr>
        </w:div>
        <w:div w:id="608851831">
          <w:marLeft w:val="640"/>
          <w:marRight w:val="0"/>
          <w:marTop w:val="0"/>
          <w:marBottom w:val="0"/>
          <w:divBdr>
            <w:top w:val="none" w:sz="0" w:space="0" w:color="auto"/>
            <w:left w:val="none" w:sz="0" w:space="0" w:color="auto"/>
            <w:bottom w:val="none" w:sz="0" w:space="0" w:color="auto"/>
            <w:right w:val="none" w:sz="0" w:space="0" w:color="auto"/>
          </w:divBdr>
        </w:div>
        <w:div w:id="490608017">
          <w:marLeft w:val="640"/>
          <w:marRight w:val="0"/>
          <w:marTop w:val="0"/>
          <w:marBottom w:val="0"/>
          <w:divBdr>
            <w:top w:val="none" w:sz="0" w:space="0" w:color="auto"/>
            <w:left w:val="none" w:sz="0" w:space="0" w:color="auto"/>
            <w:bottom w:val="none" w:sz="0" w:space="0" w:color="auto"/>
            <w:right w:val="none" w:sz="0" w:space="0" w:color="auto"/>
          </w:divBdr>
        </w:div>
        <w:div w:id="1005668382">
          <w:marLeft w:val="640"/>
          <w:marRight w:val="0"/>
          <w:marTop w:val="0"/>
          <w:marBottom w:val="0"/>
          <w:divBdr>
            <w:top w:val="none" w:sz="0" w:space="0" w:color="auto"/>
            <w:left w:val="none" w:sz="0" w:space="0" w:color="auto"/>
            <w:bottom w:val="none" w:sz="0" w:space="0" w:color="auto"/>
            <w:right w:val="none" w:sz="0" w:space="0" w:color="auto"/>
          </w:divBdr>
        </w:div>
      </w:divsChild>
    </w:div>
    <w:div w:id="924656536">
      <w:bodyDiv w:val="1"/>
      <w:marLeft w:val="0"/>
      <w:marRight w:val="0"/>
      <w:marTop w:val="0"/>
      <w:marBottom w:val="0"/>
      <w:divBdr>
        <w:top w:val="none" w:sz="0" w:space="0" w:color="auto"/>
        <w:left w:val="none" w:sz="0" w:space="0" w:color="auto"/>
        <w:bottom w:val="none" w:sz="0" w:space="0" w:color="auto"/>
        <w:right w:val="none" w:sz="0" w:space="0" w:color="auto"/>
      </w:divBdr>
    </w:div>
    <w:div w:id="1013921929">
      <w:bodyDiv w:val="1"/>
      <w:marLeft w:val="0"/>
      <w:marRight w:val="0"/>
      <w:marTop w:val="0"/>
      <w:marBottom w:val="0"/>
      <w:divBdr>
        <w:top w:val="none" w:sz="0" w:space="0" w:color="auto"/>
        <w:left w:val="none" w:sz="0" w:space="0" w:color="auto"/>
        <w:bottom w:val="none" w:sz="0" w:space="0" w:color="auto"/>
        <w:right w:val="none" w:sz="0" w:space="0" w:color="auto"/>
      </w:divBdr>
    </w:div>
    <w:div w:id="1311902493">
      <w:bodyDiv w:val="1"/>
      <w:marLeft w:val="0"/>
      <w:marRight w:val="0"/>
      <w:marTop w:val="0"/>
      <w:marBottom w:val="0"/>
      <w:divBdr>
        <w:top w:val="none" w:sz="0" w:space="0" w:color="auto"/>
        <w:left w:val="none" w:sz="0" w:space="0" w:color="auto"/>
        <w:bottom w:val="none" w:sz="0" w:space="0" w:color="auto"/>
        <w:right w:val="none" w:sz="0" w:space="0" w:color="auto"/>
      </w:divBdr>
    </w:div>
    <w:div w:id="1349405474">
      <w:bodyDiv w:val="1"/>
      <w:marLeft w:val="0"/>
      <w:marRight w:val="0"/>
      <w:marTop w:val="0"/>
      <w:marBottom w:val="0"/>
      <w:divBdr>
        <w:top w:val="none" w:sz="0" w:space="0" w:color="auto"/>
        <w:left w:val="none" w:sz="0" w:space="0" w:color="auto"/>
        <w:bottom w:val="none" w:sz="0" w:space="0" w:color="auto"/>
        <w:right w:val="none" w:sz="0" w:space="0" w:color="auto"/>
      </w:divBdr>
    </w:div>
    <w:div w:id="1382244878">
      <w:bodyDiv w:val="1"/>
      <w:marLeft w:val="0"/>
      <w:marRight w:val="0"/>
      <w:marTop w:val="0"/>
      <w:marBottom w:val="0"/>
      <w:divBdr>
        <w:top w:val="none" w:sz="0" w:space="0" w:color="auto"/>
        <w:left w:val="none" w:sz="0" w:space="0" w:color="auto"/>
        <w:bottom w:val="none" w:sz="0" w:space="0" w:color="auto"/>
        <w:right w:val="none" w:sz="0" w:space="0" w:color="auto"/>
      </w:divBdr>
    </w:div>
    <w:div w:id="1523976089">
      <w:bodyDiv w:val="1"/>
      <w:marLeft w:val="0"/>
      <w:marRight w:val="0"/>
      <w:marTop w:val="0"/>
      <w:marBottom w:val="0"/>
      <w:divBdr>
        <w:top w:val="none" w:sz="0" w:space="0" w:color="auto"/>
        <w:left w:val="none" w:sz="0" w:space="0" w:color="auto"/>
        <w:bottom w:val="none" w:sz="0" w:space="0" w:color="auto"/>
        <w:right w:val="none" w:sz="0" w:space="0" w:color="auto"/>
      </w:divBdr>
    </w:div>
    <w:div w:id="1639721216">
      <w:bodyDiv w:val="1"/>
      <w:marLeft w:val="0"/>
      <w:marRight w:val="0"/>
      <w:marTop w:val="0"/>
      <w:marBottom w:val="0"/>
      <w:divBdr>
        <w:top w:val="none" w:sz="0" w:space="0" w:color="auto"/>
        <w:left w:val="none" w:sz="0" w:space="0" w:color="auto"/>
        <w:bottom w:val="none" w:sz="0" w:space="0" w:color="auto"/>
        <w:right w:val="none" w:sz="0" w:space="0" w:color="auto"/>
      </w:divBdr>
    </w:div>
    <w:div w:id="1809400863">
      <w:bodyDiv w:val="1"/>
      <w:marLeft w:val="0"/>
      <w:marRight w:val="0"/>
      <w:marTop w:val="0"/>
      <w:marBottom w:val="0"/>
      <w:divBdr>
        <w:top w:val="none" w:sz="0" w:space="0" w:color="auto"/>
        <w:left w:val="none" w:sz="0" w:space="0" w:color="auto"/>
        <w:bottom w:val="none" w:sz="0" w:space="0" w:color="auto"/>
        <w:right w:val="none" w:sz="0" w:space="0" w:color="auto"/>
      </w:divBdr>
    </w:div>
    <w:div w:id="1902253802">
      <w:bodyDiv w:val="1"/>
      <w:marLeft w:val="0"/>
      <w:marRight w:val="0"/>
      <w:marTop w:val="0"/>
      <w:marBottom w:val="0"/>
      <w:divBdr>
        <w:top w:val="none" w:sz="0" w:space="0" w:color="auto"/>
        <w:left w:val="none" w:sz="0" w:space="0" w:color="auto"/>
        <w:bottom w:val="none" w:sz="0" w:space="0" w:color="auto"/>
        <w:right w:val="none" w:sz="0" w:space="0" w:color="auto"/>
      </w:divBdr>
    </w:div>
    <w:div w:id="1903633165">
      <w:bodyDiv w:val="1"/>
      <w:marLeft w:val="0"/>
      <w:marRight w:val="0"/>
      <w:marTop w:val="0"/>
      <w:marBottom w:val="0"/>
      <w:divBdr>
        <w:top w:val="none" w:sz="0" w:space="0" w:color="auto"/>
        <w:left w:val="none" w:sz="0" w:space="0" w:color="auto"/>
        <w:bottom w:val="none" w:sz="0" w:space="0" w:color="auto"/>
        <w:right w:val="none" w:sz="0" w:space="0" w:color="auto"/>
      </w:divBdr>
    </w:div>
    <w:div w:id="1913814785">
      <w:bodyDiv w:val="1"/>
      <w:marLeft w:val="0"/>
      <w:marRight w:val="0"/>
      <w:marTop w:val="0"/>
      <w:marBottom w:val="0"/>
      <w:divBdr>
        <w:top w:val="none" w:sz="0" w:space="0" w:color="auto"/>
        <w:left w:val="none" w:sz="0" w:space="0" w:color="auto"/>
        <w:bottom w:val="none" w:sz="0" w:space="0" w:color="auto"/>
        <w:right w:val="none" w:sz="0" w:space="0" w:color="auto"/>
      </w:divBdr>
      <w:divsChild>
        <w:div w:id="1803189440">
          <w:marLeft w:val="640"/>
          <w:marRight w:val="0"/>
          <w:marTop w:val="0"/>
          <w:marBottom w:val="0"/>
          <w:divBdr>
            <w:top w:val="none" w:sz="0" w:space="0" w:color="auto"/>
            <w:left w:val="none" w:sz="0" w:space="0" w:color="auto"/>
            <w:bottom w:val="none" w:sz="0" w:space="0" w:color="auto"/>
            <w:right w:val="none" w:sz="0" w:space="0" w:color="auto"/>
          </w:divBdr>
        </w:div>
        <w:div w:id="398214233">
          <w:marLeft w:val="640"/>
          <w:marRight w:val="0"/>
          <w:marTop w:val="0"/>
          <w:marBottom w:val="0"/>
          <w:divBdr>
            <w:top w:val="none" w:sz="0" w:space="0" w:color="auto"/>
            <w:left w:val="none" w:sz="0" w:space="0" w:color="auto"/>
            <w:bottom w:val="none" w:sz="0" w:space="0" w:color="auto"/>
            <w:right w:val="none" w:sz="0" w:space="0" w:color="auto"/>
          </w:divBdr>
        </w:div>
        <w:div w:id="1606880705">
          <w:marLeft w:val="640"/>
          <w:marRight w:val="0"/>
          <w:marTop w:val="0"/>
          <w:marBottom w:val="0"/>
          <w:divBdr>
            <w:top w:val="none" w:sz="0" w:space="0" w:color="auto"/>
            <w:left w:val="none" w:sz="0" w:space="0" w:color="auto"/>
            <w:bottom w:val="none" w:sz="0" w:space="0" w:color="auto"/>
            <w:right w:val="none" w:sz="0" w:space="0" w:color="auto"/>
          </w:divBdr>
        </w:div>
        <w:div w:id="1020427977">
          <w:marLeft w:val="640"/>
          <w:marRight w:val="0"/>
          <w:marTop w:val="0"/>
          <w:marBottom w:val="0"/>
          <w:divBdr>
            <w:top w:val="none" w:sz="0" w:space="0" w:color="auto"/>
            <w:left w:val="none" w:sz="0" w:space="0" w:color="auto"/>
            <w:bottom w:val="none" w:sz="0" w:space="0" w:color="auto"/>
            <w:right w:val="none" w:sz="0" w:space="0" w:color="auto"/>
          </w:divBdr>
        </w:div>
        <w:div w:id="1936397498">
          <w:marLeft w:val="640"/>
          <w:marRight w:val="0"/>
          <w:marTop w:val="0"/>
          <w:marBottom w:val="0"/>
          <w:divBdr>
            <w:top w:val="none" w:sz="0" w:space="0" w:color="auto"/>
            <w:left w:val="none" w:sz="0" w:space="0" w:color="auto"/>
            <w:bottom w:val="none" w:sz="0" w:space="0" w:color="auto"/>
            <w:right w:val="none" w:sz="0" w:space="0" w:color="auto"/>
          </w:divBdr>
        </w:div>
        <w:div w:id="1169910237">
          <w:marLeft w:val="640"/>
          <w:marRight w:val="0"/>
          <w:marTop w:val="0"/>
          <w:marBottom w:val="0"/>
          <w:divBdr>
            <w:top w:val="none" w:sz="0" w:space="0" w:color="auto"/>
            <w:left w:val="none" w:sz="0" w:space="0" w:color="auto"/>
            <w:bottom w:val="none" w:sz="0" w:space="0" w:color="auto"/>
            <w:right w:val="none" w:sz="0" w:space="0" w:color="auto"/>
          </w:divBdr>
        </w:div>
        <w:div w:id="339697475">
          <w:marLeft w:val="640"/>
          <w:marRight w:val="0"/>
          <w:marTop w:val="0"/>
          <w:marBottom w:val="0"/>
          <w:divBdr>
            <w:top w:val="none" w:sz="0" w:space="0" w:color="auto"/>
            <w:left w:val="none" w:sz="0" w:space="0" w:color="auto"/>
            <w:bottom w:val="none" w:sz="0" w:space="0" w:color="auto"/>
            <w:right w:val="none" w:sz="0" w:space="0" w:color="auto"/>
          </w:divBdr>
        </w:div>
        <w:div w:id="2032953816">
          <w:marLeft w:val="640"/>
          <w:marRight w:val="0"/>
          <w:marTop w:val="0"/>
          <w:marBottom w:val="0"/>
          <w:divBdr>
            <w:top w:val="none" w:sz="0" w:space="0" w:color="auto"/>
            <w:left w:val="none" w:sz="0" w:space="0" w:color="auto"/>
            <w:bottom w:val="none" w:sz="0" w:space="0" w:color="auto"/>
            <w:right w:val="none" w:sz="0" w:space="0" w:color="auto"/>
          </w:divBdr>
        </w:div>
        <w:div w:id="751436984">
          <w:marLeft w:val="640"/>
          <w:marRight w:val="0"/>
          <w:marTop w:val="0"/>
          <w:marBottom w:val="0"/>
          <w:divBdr>
            <w:top w:val="none" w:sz="0" w:space="0" w:color="auto"/>
            <w:left w:val="none" w:sz="0" w:space="0" w:color="auto"/>
            <w:bottom w:val="none" w:sz="0" w:space="0" w:color="auto"/>
            <w:right w:val="none" w:sz="0" w:space="0" w:color="auto"/>
          </w:divBdr>
        </w:div>
        <w:div w:id="614286260">
          <w:marLeft w:val="640"/>
          <w:marRight w:val="0"/>
          <w:marTop w:val="0"/>
          <w:marBottom w:val="0"/>
          <w:divBdr>
            <w:top w:val="none" w:sz="0" w:space="0" w:color="auto"/>
            <w:left w:val="none" w:sz="0" w:space="0" w:color="auto"/>
            <w:bottom w:val="none" w:sz="0" w:space="0" w:color="auto"/>
            <w:right w:val="none" w:sz="0" w:space="0" w:color="auto"/>
          </w:divBdr>
        </w:div>
        <w:div w:id="1476793909">
          <w:marLeft w:val="640"/>
          <w:marRight w:val="0"/>
          <w:marTop w:val="0"/>
          <w:marBottom w:val="0"/>
          <w:divBdr>
            <w:top w:val="none" w:sz="0" w:space="0" w:color="auto"/>
            <w:left w:val="none" w:sz="0" w:space="0" w:color="auto"/>
            <w:bottom w:val="none" w:sz="0" w:space="0" w:color="auto"/>
            <w:right w:val="none" w:sz="0" w:space="0" w:color="auto"/>
          </w:divBdr>
        </w:div>
        <w:div w:id="347295412">
          <w:marLeft w:val="640"/>
          <w:marRight w:val="0"/>
          <w:marTop w:val="0"/>
          <w:marBottom w:val="0"/>
          <w:divBdr>
            <w:top w:val="none" w:sz="0" w:space="0" w:color="auto"/>
            <w:left w:val="none" w:sz="0" w:space="0" w:color="auto"/>
            <w:bottom w:val="none" w:sz="0" w:space="0" w:color="auto"/>
            <w:right w:val="none" w:sz="0" w:space="0" w:color="auto"/>
          </w:divBdr>
        </w:div>
        <w:div w:id="1481000586">
          <w:marLeft w:val="640"/>
          <w:marRight w:val="0"/>
          <w:marTop w:val="0"/>
          <w:marBottom w:val="0"/>
          <w:divBdr>
            <w:top w:val="none" w:sz="0" w:space="0" w:color="auto"/>
            <w:left w:val="none" w:sz="0" w:space="0" w:color="auto"/>
            <w:bottom w:val="none" w:sz="0" w:space="0" w:color="auto"/>
            <w:right w:val="none" w:sz="0" w:space="0" w:color="auto"/>
          </w:divBdr>
        </w:div>
        <w:div w:id="1529950288">
          <w:marLeft w:val="640"/>
          <w:marRight w:val="0"/>
          <w:marTop w:val="0"/>
          <w:marBottom w:val="0"/>
          <w:divBdr>
            <w:top w:val="none" w:sz="0" w:space="0" w:color="auto"/>
            <w:left w:val="none" w:sz="0" w:space="0" w:color="auto"/>
            <w:bottom w:val="none" w:sz="0" w:space="0" w:color="auto"/>
            <w:right w:val="none" w:sz="0" w:space="0" w:color="auto"/>
          </w:divBdr>
        </w:div>
        <w:div w:id="1604458801">
          <w:marLeft w:val="640"/>
          <w:marRight w:val="0"/>
          <w:marTop w:val="0"/>
          <w:marBottom w:val="0"/>
          <w:divBdr>
            <w:top w:val="none" w:sz="0" w:space="0" w:color="auto"/>
            <w:left w:val="none" w:sz="0" w:space="0" w:color="auto"/>
            <w:bottom w:val="none" w:sz="0" w:space="0" w:color="auto"/>
            <w:right w:val="none" w:sz="0" w:space="0" w:color="auto"/>
          </w:divBdr>
        </w:div>
        <w:div w:id="648554009">
          <w:marLeft w:val="640"/>
          <w:marRight w:val="0"/>
          <w:marTop w:val="0"/>
          <w:marBottom w:val="0"/>
          <w:divBdr>
            <w:top w:val="none" w:sz="0" w:space="0" w:color="auto"/>
            <w:left w:val="none" w:sz="0" w:space="0" w:color="auto"/>
            <w:bottom w:val="none" w:sz="0" w:space="0" w:color="auto"/>
            <w:right w:val="none" w:sz="0" w:space="0" w:color="auto"/>
          </w:divBdr>
        </w:div>
        <w:div w:id="295837172">
          <w:marLeft w:val="640"/>
          <w:marRight w:val="0"/>
          <w:marTop w:val="0"/>
          <w:marBottom w:val="0"/>
          <w:divBdr>
            <w:top w:val="none" w:sz="0" w:space="0" w:color="auto"/>
            <w:left w:val="none" w:sz="0" w:space="0" w:color="auto"/>
            <w:bottom w:val="none" w:sz="0" w:space="0" w:color="auto"/>
            <w:right w:val="none" w:sz="0" w:space="0" w:color="auto"/>
          </w:divBdr>
        </w:div>
        <w:div w:id="1732340372">
          <w:marLeft w:val="640"/>
          <w:marRight w:val="0"/>
          <w:marTop w:val="0"/>
          <w:marBottom w:val="0"/>
          <w:divBdr>
            <w:top w:val="none" w:sz="0" w:space="0" w:color="auto"/>
            <w:left w:val="none" w:sz="0" w:space="0" w:color="auto"/>
            <w:bottom w:val="none" w:sz="0" w:space="0" w:color="auto"/>
            <w:right w:val="none" w:sz="0" w:space="0" w:color="auto"/>
          </w:divBdr>
        </w:div>
        <w:div w:id="1733698484">
          <w:marLeft w:val="640"/>
          <w:marRight w:val="0"/>
          <w:marTop w:val="0"/>
          <w:marBottom w:val="0"/>
          <w:divBdr>
            <w:top w:val="none" w:sz="0" w:space="0" w:color="auto"/>
            <w:left w:val="none" w:sz="0" w:space="0" w:color="auto"/>
            <w:bottom w:val="none" w:sz="0" w:space="0" w:color="auto"/>
            <w:right w:val="none" w:sz="0" w:space="0" w:color="auto"/>
          </w:divBdr>
        </w:div>
        <w:div w:id="307169213">
          <w:marLeft w:val="640"/>
          <w:marRight w:val="0"/>
          <w:marTop w:val="0"/>
          <w:marBottom w:val="0"/>
          <w:divBdr>
            <w:top w:val="none" w:sz="0" w:space="0" w:color="auto"/>
            <w:left w:val="none" w:sz="0" w:space="0" w:color="auto"/>
            <w:bottom w:val="none" w:sz="0" w:space="0" w:color="auto"/>
            <w:right w:val="none" w:sz="0" w:space="0" w:color="auto"/>
          </w:divBdr>
        </w:div>
        <w:div w:id="754980162">
          <w:marLeft w:val="640"/>
          <w:marRight w:val="0"/>
          <w:marTop w:val="0"/>
          <w:marBottom w:val="0"/>
          <w:divBdr>
            <w:top w:val="none" w:sz="0" w:space="0" w:color="auto"/>
            <w:left w:val="none" w:sz="0" w:space="0" w:color="auto"/>
            <w:bottom w:val="none" w:sz="0" w:space="0" w:color="auto"/>
            <w:right w:val="none" w:sz="0" w:space="0" w:color="auto"/>
          </w:divBdr>
        </w:div>
        <w:div w:id="1103694084">
          <w:marLeft w:val="640"/>
          <w:marRight w:val="0"/>
          <w:marTop w:val="0"/>
          <w:marBottom w:val="0"/>
          <w:divBdr>
            <w:top w:val="none" w:sz="0" w:space="0" w:color="auto"/>
            <w:left w:val="none" w:sz="0" w:space="0" w:color="auto"/>
            <w:bottom w:val="none" w:sz="0" w:space="0" w:color="auto"/>
            <w:right w:val="none" w:sz="0" w:space="0" w:color="auto"/>
          </w:divBdr>
        </w:div>
        <w:div w:id="1996301721">
          <w:marLeft w:val="640"/>
          <w:marRight w:val="0"/>
          <w:marTop w:val="0"/>
          <w:marBottom w:val="0"/>
          <w:divBdr>
            <w:top w:val="none" w:sz="0" w:space="0" w:color="auto"/>
            <w:left w:val="none" w:sz="0" w:space="0" w:color="auto"/>
            <w:bottom w:val="none" w:sz="0" w:space="0" w:color="auto"/>
            <w:right w:val="none" w:sz="0" w:space="0" w:color="auto"/>
          </w:divBdr>
        </w:div>
        <w:div w:id="1048455844">
          <w:marLeft w:val="640"/>
          <w:marRight w:val="0"/>
          <w:marTop w:val="0"/>
          <w:marBottom w:val="0"/>
          <w:divBdr>
            <w:top w:val="none" w:sz="0" w:space="0" w:color="auto"/>
            <w:left w:val="none" w:sz="0" w:space="0" w:color="auto"/>
            <w:bottom w:val="none" w:sz="0" w:space="0" w:color="auto"/>
            <w:right w:val="none" w:sz="0" w:space="0" w:color="auto"/>
          </w:divBdr>
        </w:div>
        <w:div w:id="739908084">
          <w:marLeft w:val="640"/>
          <w:marRight w:val="0"/>
          <w:marTop w:val="0"/>
          <w:marBottom w:val="0"/>
          <w:divBdr>
            <w:top w:val="none" w:sz="0" w:space="0" w:color="auto"/>
            <w:left w:val="none" w:sz="0" w:space="0" w:color="auto"/>
            <w:bottom w:val="none" w:sz="0" w:space="0" w:color="auto"/>
            <w:right w:val="none" w:sz="0" w:space="0" w:color="auto"/>
          </w:divBdr>
        </w:div>
        <w:div w:id="1192038226">
          <w:marLeft w:val="640"/>
          <w:marRight w:val="0"/>
          <w:marTop w:val="0"/>
          <w:marBottom w:val="0"/>
          <w:divBdr>
            <w:top w:val="none" w:sz="0" w:space="0" w:color="auto"/>
            <w:left w:val="none" w:sz="0" w:space="0" w:color="auto"/>
            <w:bottom w:val="none" w:sz="0" w:space="0" w:color="auto"/>
            <w:right w:val="none" w:sz="0" w:space="0" w:color="auto"/>
          </w:divBdr>
        </w:div>
        <w:div w:id="1409569248">
          <w:marLeft w:val="640"/>
          <w:marRight w:val="0"/>
          <w:marTop w:val="0"/>
          <w:marBottom w:val="0"/>
          <w:divBdr>
            <w:top w:val="none" w:sz="0" w:space="0" w:color="auto"/>
            <w:left w:val="none" w:sz="0" w:space="0" w:color="auto"/>
            <w:bottom w:val="none" w:sz="0" w:space="0" w:color="auto"/>
            <w:right w:val="none" w:sz="0" w:space="0" w:color="auto"/>
          </w:divBdr>
        </w:div>
        <w:div w:id="1153639686">
          <w:marLeft w:val="640"/>
          <w:marRight w:val="0"/>
          <w:marTop w:val="0"/>
          <w:marBottom w:val="0"/>
          <w:divBdr>
            <w:top w:val="none" w:sz="0" w:space="0" w:color="auto"/>
            <w:left w:val="none" w:sz="0" w:space="0" w:color="auto"/>
            <w:bottom w:val="none" w:sz="0" w:space="0" w:color="auto"/>
            <w:right w:val="none" w:sz="0" w:space="0" w:color="auto"/>
          </w:divBdr>
        </w:div>
        <w:div w:id="1556967689">
          <w:marLeft w:val="640"/>
          <w:marRight w:val="0"/>
          <w:marTop w:val="0"/>
          <w:marBottom w:val="0"/>
          <w:divBdr>
            <w:top w:val="none" w:sz="0" w:space="0" w:color="auto"/>
            <w:left w:val="none" w:sz="0" w:space="0" w:color="auto"/>
            <w:bottom w:val="none" w:sz="0" w:space="0" w:color="auto"/>
            <w:right w:val="none" w:sz="0" w:space="0" w:color="auto"/>
          </w:divBdr>
        </w:div>
      </w:divsChild>
    </w:div>
    <w:div w:id="1916042772">
      <w:bodyDiv w:val="1"/>
      <w:marLeft w:val="0"/>
      <w:marRight w:val="0"/>
      <w:marTop w:val="0"/>
      <w:marBottom w:val="0"/>
      <w:divBdr>
        <w:top w:val="none" w:sz="0" w:space="0" w:color="auto"/>
        <w:left w:val="none" w:sz="0" w:space="0" w:color="auto"/>
        <w:bottom w:val="none" w:sz="0" w:space="0" w:color="auto"/>
        <w:right w:val="none" w:sz="0" w:space="0" w:color="auto"/>
      </w:divBdr>
    </w:div>
    <w:div w:id="1944454717">
      <w:bodyDiv w:val="1"/>
      <w:marLeft w:val="0"/>
      <w:marRight w:val="0"/>
      <w:marTop w:val="0"/>
      <w:marBottom w:val="0"/>
      <w:divBdr>
        <w:top w:val="none" w:sz="0" w:space="0" w:color="auto"/>
        <w:left w:val="none" w:sz="0" w:space="0" w:color="auto"/>
        <w:bottom w:val="none" w:sz="0" w:space="0" w:color="auto"/>
        <w:right w:val="none" w:sz="0" w:space="0" w:color="auto"/>
      </w:divBdr>
    </w:div>
    <w:div w:id="213316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mcinfectdis.biomedcentral.com/articles/10.1186/s12879-019-4416-2" TargetMode="External"/><Relationship Id="rId18" Type="http://schemas.openxmlformats.org/officeDocument/2006/relationships/hyperlink" Target="https://doi.org/10.1186/1471-2458-8-289" TargetMode="External"/><Relationship Id="rId26" Type="http://schemas.openxmlformats.org/officeDocument/2006/relationships/hyperlink" Target="https://iris.who.int/" TargetMode="External"/><Relationship Id="rId3" Type="http://schemas.openxmlformats.org/officeDocument/2006/relationships/styles" Target="styles.xml"/><Relationship Id="rId21" Type="http://schemas.openxmlformats.org/officeDocument/2006/relationships/hyperlink" Target="https://www.mdpi.com/2218-1989/13/12/1192/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iencedirect.com/science/article/pii/S1201971222000133" TargetMode="External"/><Relationship Id="rId17" Type="http://schemas.openxmlformats.org/officeDocument/2006/relationships/hyperlink" Target="https://doi.org/10.1016/j.ijid.2017.06.010" TargetMode="External"/><Relationship Id="rId25" Type="http://schemas.openxmlformats.org/officeDocument/2006/relationships/hyperlink" Target="https://pubmed.ncbi.nlm.nih.gov/2284847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nkinghub.elsevier.com/retrieve/pii/S2405844024161713" TargetMode="External"/><Relationship Id="rId20" Type="http://schemas.openxmlformats.org/officeDocument/2006/relationships/hyperlink" Target="https://pmc.ncbi.nlm.nih.gov/articles/PMC761775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26609005/" TargetMode="External"/><Relationship Id="rId24" Type="http://schemas.openxmlformats.org/officeDocument/2006/relationships/hyperlink" Target="https://www.annalsofhealthresearch.com/index.php/ahr/article/view/131"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38/srep44205" TargetMode="External"/><Relationship Id="rId23" Type="http://schemas.openxmlformats.org/officeDocument/2006/relationships/hyperlink" Target="https://doi.org/10.2471/BLT.10.085738" TargetMode="External"/><Relationship Id="rId28" Type="http://schemas.openxmlformats.org/officeDocument/2006/relationships/header" Target="header2.xml"/><Relationship Id="rId10" Type="http://schemas.openxmlformats.org/officeDocument/2006/relationships/hyperlink" Target="https://www.wapcpjournal.org.ng/index.php/home/article/view/116" TargetMode="External"/><Relationship Id="rId19" Type="http://schemas.openxmlformats.org/officeDocument/2006/relationships/hyperlink" Target="https://pmc.ncbi.nlm.nih.gov/articles/PMC5429867/"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pmc.ncbi.nlm.nih.gov/articles/PMC10019670/" TargetMode="External"/><Relationship Id="rId22" Type="http://schemas.openxmlformats.org/officeDocument/2006/relationships/hyperlink" Target="https://doi.org/10.1093/cid/ciz433"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https://spnigeria-my.sharepoint.com/personal/linus_ossai-chidi_spnigeria_com/Documents/Documents/Ordu/CHAR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pnigeria-my.sharepoint.com/personal/linus_ossai-chidi_spnigeria_com/Documents/Documents/Ordu/CHA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54593175853023"/>
          <c:y val="0.11257984344877245"/>
          <c:w val="0.44262767154105742"/>
          <c:h val="0.82258239843913328"/>
        </c:manualLayout>
      </c:layout>
      <c:pieChart>
        <c:varyColors val="1"/>
        <c:ser>
          <c:idx val="0"/>
          <c:order val="0"/>
          <c:tx>
            <c:strRef>
              <c:f>Sheet1!$G$3</c:f>
              <c:strCache>
                <c:ptCount val="1"/>
                <c:pt idx="0">
                  <c:v>Dysglycaemia</c:v>
                </c:pt>
              </c:strCache>
            </c:strRef>
          </c:tx>
          <c:dPt>
            <c:idx val="0"/>
            <c:bubble3D val="0"/>
            <c:spPr>
              <a:solidFill>
                <a:schemeClr val="accent1"/>
              </a:solidFill>
              <a:ln w="19050">
                <a:solidFill>
                  <a:schemeClr val="lt1"/>
                </a:solidFill>
              </a:ln>
              <a:effectLst/>
            </c:spPr>
            <c:extLst xmlns="http://schemas.openxmlformats.org/drawingml/2006/chart">
              <c:ext xmlns:c16="http://schemas.microsoft.com/office/drawing/2014/chart" uri="{C3380CC4-5D6E-409C-BE32-E72D297353CC}">
                <c16:uniqueId val="{00000001-E00C-4A34-AD21-983E705E0E6A}"/>
              </c:ext>
            </c:extLst>
          </c:dPt>
          <c:dPt>
            <c:idx val="1"/>
            <c:bubble3D val="0"/>
            <c:spPr>
              <a:solidFill>
                <a:schemeClr val="accent2"/>
              </a:solidFill>
              <a:ln w="19050">
                <a:solidFill>
                  <a:schemeClr val="lt1"/>
                </a:solidFill>
              </a:ln>
              <a:effectLst/>
            </c:spPr>
            <c:extLst xmlns="http://schemas.openxmlformats.org/drawingml/2006/chart">
              <c:ext xmlns:c16="http://schemas.microsoft.com/office/drawing/2014/chart" uri="{C3380CC4-5D6E-409C-BE32-E72D297353CC}">
                <c16:uniqueId val="{00000003-E00C-4A34-AD21-983E705E0E6A}"/>
              </c:ext>
            </c:extLst>
          </c:dPt>
          <c:dLbls>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Sheet1!$F$4:$F$5</c:f>
              <c:strCache>
                <c:ptCount val="2"/>
                <c:pt idx="0">
                  <c:v>Dysglycaemia</c:v>
                </c:pt>
                <c:pt idx="1">
                  <c:v>No Dysglycaemia</c:v>
                </c:pt>
              </c:strCache>
            </c:strRef>
          </c:cat>
          <c:val>
            <c:numRef>
              <c:f>Sheet1!$G$4:$G$5</c:f>
              <c:numCache>
                <c:formatCode>General</c:formatCode>
                <c:ptCount val="2"/>
                <c:pt idx="0">
                  <c:v>90</c:v>
                </c:pt>
                <c:pt idx="1">
                  <c:v>81</c:v>
                </c:pt>
              </c:numCache>
            </c:numRef>
          </c:val>
          <c:extLst xmlns="http://schemas.openxmlformats.org/drawingml/2006/chart">
            <c:ext xmlns:c16="http://schemas.microsoft.com/office/drawing/2014/chart" uri="{C3380CC4-5D6E-409C-BE32-E72D297353CC}">
              <c16:uniqueId val="{00000004-E00C-4A34-AD21-983E705E0E6A}"/>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4752668416447945"/>
          <c:y val="0.41261519393409168"/>
          <c:w val="0.29939085739282589"/>
          <c:h val="0.156829250510352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Sheet1!$J$3</c:f>
              <c:strCache>
                <c:ptCount val="1"/>
                <c:pt idx="0">
                  <c:v>Dysglycaemia </c:v>
                </c:pt>
              </c:strCache>
            </c:strRef>
          </c:tx>
          <c:dPt>
            <c:idx val="0"/>
            <c:bubble3D val="0"/>
            <c:spPr>
              <a:solidFill>
                <a:schemeClr val="accent1"/>
              </a:solidFill>
              <a:ln w="19050">
                <a:solidFill>
                  <a:schemeClr val="lt1"/>
                </a:solidFill>
              </a:ln>
              <a:effectLst/>
            </c:spPr>
            <c:extLst xmlns="http://schemas.openxmlformats.org/drawingml/2006/chart">
              <c:ext xmlns:c16="http://schemas.microsoft.com/office/drawing/2014/chart" uri="{C3380CC4-5D6E-409C-BE32-E72D297353CC}">
                <c16:uniqueId val="{00000001-EA43-4B6F-BB3F-8FCB42308A89}"/>
              </c:ext>
            </c:extLst>
          </c:dPt>
          <c:dPt>
            <c:idx val="1"/>
            <c:bubble3D val="0"/>
            <c:spPr>
              <a:solidFill>
                <a:schemeClr val="accent2"/>
              </a:solidFill>
              <a:ln w="19050">
                <a:solidFill>
                  <a:schemeClr val="lt1"/>
                </a:solidFill>
              </a:ln>
              <a:effectLst/>
            </c:spPr>
            <c:extLst xmlns="http://schemas.openxmlformats.org/drawingml/2006/chart">
              <c:ext xmlns:c16="http://schemas.microsoft.com/office/drawing/2014/chart" uri="{C3380CC4-5D6E-409C-BE32-E72D297353CC}">
                <c16:uniqueId val="{00000003-EA43-4B6F-BB3F-8FCB42308A89}"/>
              </c:ext>
            </c:extLst>
          </c:dPt>
          <c:dPt>
            <c:idx val="2"/>
            <c:bubble3D val="0"/>
            <c:spPr>
              <a:solidFill>
                <a:schemeClr val="accent3"/>
              </a:solidFill>
              <a:ln w="19050">
                <a:solidFill>
                  <a:schemeClr val="lt1"/>
                </a:solidFill>
              </a:ln>
              <a:effectLst/>
            </c:spPr>
            <c:extLst xmlns="http://schemas.openxmlformats.org/drawingml/2006/chart">
              <c:ext xmlns:c16="http://schemas.microsoft.com/office/drawing/2014/chart" uri="{C3380CC4-5D6E-409C-BE32-E72D297353CC}">
                <c16:uniqueId val="{00000005-EA43-4B6F-BB3F-8FCB42308A89}"/>
              </c:ext>
            </c:extLst>
          </c:dPt>
          <c:dLbls>
            <c:numFmt formatCode="0.0%" sourceLinked="0"/>
            <c:spPr>
              <a:solidFill>
                <a:schemeClr val="bg1"/>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http://schemas.openxmlformats.org/drawingml/2006/chart">
              <c:ext xmlns:c15="http://schemas.microsoft.com/office/drawing/2012/chart" uri="{CE6537A1-D6FC-4f65-9D91-7224C49458BB}"/>
            </c:extLst>
          </c:dLbls>
          <c:cat>
            <c:strRef>
              <c:f>Sheet1!$I$4:$I$6</c:f>
              <c:strCache>
                <c:ptCount val="3"/>
                <c:pt idx="0">
                  <c:v>DM</c:v>
                </c:pt>
                <c:pt idx="1">
                  <c:v>preDM</c:v>
                </c:pt>
                <c:pt idx="2">
                  <c:v>Negative</c:v>
                </c:pt>
              </c:strCache>
            </c:strRef>
          </c:cat>
          <c:val>
            <c:numRef>
              <c:f>Sheet1!$J$4:$J$6</c:f>
              <c:numCache>
                <c:formatCode>General</c:formatCode>
                <c:ptCount val="3"/>
                <c:pt idx="0">
                  <c:v>59</c:v>
                </c:pt>
                <c:pt idx="1">
                  <c:v>31</c:v>
                </c:pt>
                <c:pt idx="2">
                  <c:v>81</c:v>
                </c:pt>
              </c:numCache>
            </c:numRef>
          </c:val>
          <c:extLst xmlns="http://schemas.openxmlformats.org/drawingml/2006/chart">
            <c:ext xmlns:c16="http://schemas.microsoft.com/office/drawing/2014/chart" uri="{C3380CC4-5D6E-409C-BE32-E72D297353CC}">
              <c16:uniqueId val="{00000006-EA43-4B6F-BB3F-8FCB42308A8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7531087051618548"/>
          <c:y val="0.33391149023038785"/>
          <c:w val="0.21044903762029746"/>
          <c:h val="0.235532954214056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http://schemas.openxmlformats.org/drawingml/2006/char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9B5960-E00D-40BF-AEAB-6F98ECF2405A}">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0086491655"/>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8180-8A5B-45B9-98A8-0FD2E73D1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13</Pages>
  <Words>4235</Words>
  <Characters>24146</Characters>
  <Application>Microsoft Office Word</Application>
  <DocSecurity>0</DocSecurity>
  <Lines>201</Lines>
  <Paragraphs>56</Paragraphs>
  <ScaleCrop>false</ScaleCrop>
  <Company>Company IT</Company>
  <LinksUpToDate>false</LinksUpToDate>
  <CharactersWithSpaces>28325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Ossai-Chidi, Linus IUC/G/USR</dc:creator>
  <cp:keywords/>
  <dc:description/>
  <cp:lastModifiedBy>SDI PC New 16</cp:lastModifiedBy>
  <cp:revision>129</cp:revision>
  <dcterms:created xsi:type="dcterms:W3CDTF">2025-06-18T16:27:00Z</dcterms:created>
  <dcterms:modified xsi:type="dcterms:W3CDTF">2025-10-16T11:02:00Z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2025-06-18T16:28:05Z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f5326574-b01d-46d0-a7b4-d2976544a6cc</vt:lpwstr>
  </property>
  <property fmtid="{D5CDD505-2E9C-101B-9397-08002B2CF9AE}" pid="7" name="MSIP_Label_defa4170-0d19-0005-0004-bc88714345d2_ActionId">
    <vt:lpwstr>e449a1c5-4be3-4979-bf96-96013c2b3f33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