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7B368" w14:textId="77777777" w:rsidR="00266AA3" w:rsidRDefault="00266AA3">
      <w:pPr>
        <w:spacing w:before="100" w:beforeAutospacing="1" w:after="100" w:afterAutospacing="1" w:line="360" w:lineRule="auto"/>
        <w:jc w:val="center"/>
        <w:rPr>
          <w:rFonts w:ascii="Times New Roman" w:eastAsia="Times New Roman" w:hAnsi="Times New Roman" w:cs="Times New Roman"/>
          <w:b/>
          <w:sz w:val="24"/>
          <w:szCs w:val="24"/>
        </w:rPr>
      </w:pPr>
      <w:r w:rsidRPr="00266AA3">
        <w:rPr>
          <w:rFonts w:ascii="Times New Roman" w:eastAsia="Times New Roman" w:hAnsi="Times New Roman" w:cs="Times New Roman"/>
          <w:b/>
          <w:sz w:val="24"/>
          <w:szCs w:val="24"/>
        </w:rPr>
        <w:t xml:space="preserve">Original Research Article </w:t>
      </w:r>
    </w:p>
    <w:p w14:paraId="53730E3A" w14:textId="2D0E921A" w:rsidR="00300895" w:rsidRDefault="00BC6047">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Evaluation of </w:t>
      </w:r>
      <w:proofErr w:type="spellStart"/>
      <w:r>
        <w:rPr>
          <w:rFonts w:ascii="Times New Roman" w:eastAsia="Times New Roman" w:hAnsi="Times New Roman" w:cs="Times New Roman"/>
          <w:b/>
          <w:sz w:val="24"/>
          <w:szCs w:val="24"/>
        </w:rPr>
        <w:t>Haematological</w:t>
      </w:r>
      <w:proofErr w:type="spellEnd"/>
      <w:r>
        <w:rPr>
          <w:rFonts w:ascii="Times New Roman" w:eastAsia="Times New Roman" w:hAnsi="Times New Roman" w:cs="Times New Roman"/>
          <w:b/>
          <w:sz w:val="24"/>
          <w:szCs w:val="24"/>
        </w:rPr>
        <w:t xml:space="preserve"> Parameters in Male Wistar Rats Administered Methanol Extract of </w:t>
      </w:r>
      <w:proofErr w:type="spellStart"/>
      <w:r>
        <w:rPr>
          <w:rFonts w:ascii="Times New Roman" w:eastAsia="Times New Roman" w:hAnsi="Times New Roman" w:cs="Times New Roman"/>
          <w:b/>
          <w:i/>
          <w:iCs/>
          <w:sz w:val="24"/>
          <w:szCs w:val="24"/>
        </w:rPr>
        <w:t>Pausinystalia</w:t>
      </w:r>
      <w:proofErr w:type="spellEnd"/>
      <w:r>
        <w:rPr>
          <w:rFonts w:ascii="Times New Roman" w:eastAsia="Times New Roman" w:hAnsi="Times New Roman" w:cs="Times New Roman"/>
          <w:b/>
          <w:i/>
          <w:iCs/>
          <w:sz w:val="24"/>
          <w:szCs w:val="24"/>
        </w:rPr>
        <w:t xml:space="preserve"> yohimbe</w:t>
      </w:r>
    </w:p>
    <w:p w14:paraId="1D3D9740"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EE043D8" w14:textId="77777777" w:rsidR="00300895" w:rsidRDefault="00BC6047">
      <w:pPr>
        <w:spacing w:before="100" w:beforeAutospacing="1" w:after="100" w:afterAutospacing="1" w:line="36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Abstract</w:t>
      </w:r>
    </w:p>
    <w:p w14:paraId="5C97AE40" w14:textId="77777777" w:rsidR="00300895" w:rsidRDefault="00BC60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Introduction:</w:t>
      </w:r>
      <w:r>
        <w:rPr>
          <w:rFonts w:ascii="Times New Roman" w:eastAsia="Times New Roman" w:hAnsi="Times New Roman" w:cs="Times New Roman"/>
          <w:sz w:val="24"/>
          <w:szCs w:val="24"/>
        </w:rPr>
        <w:t xml:space="preserve"> Due to their purported ability to improve sexual performance, herbal aphrodisiacs like </w:t>
      </w:r>
      <w:proofErr w:type="spellStart"/>
      <w:r>
        <w:rPr>
          <w:rFonts w:ascii="Times New Roman" w:eastAsia="Times New Roman" w:hAnsi="Times New Roman" w:cs="Times New Roman"/>
          <w:i/>
          <w:sz w:val="24"/>
          <w:szCs w:val="24"/>
        </w:rPr>
        <w:t>Pausinystalia</w:t>
      </w:r>
      <w:proofErr w:type="spellEnd"/>
      <w:r>
        <w:rPr>
          <w:rFonts w:ascii="Times New Roman" w:eastAsia="Times New Roman" w:hAnsi="Times New Roman" w:cs="Times New Roman"/>
          <w:i/>
          <w:sz w:val="24"/>
          <w:szCs w:val="24"/>
        </w:rPr>
        <w:t xml:space="preserve"> yohimbe</w:t>
      </w:r>
      <w:r>
        <w:rPr>
          <w:rFonts w:ascii="Times New Roman" w:eastAsia="Times New Roman" w:hAnsi="Times New Roman" w:cs="Times New Roman"/>
          <w:sz w:val="24"/>
          <w:szCs w:val="24"/>
        </w:rPr>
        <w:t xml:space="preserve"> are becoming more and more popular in West Africa. Despite its widespread use, there is still a dearth of scientific evidence on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extract's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safety. Through oxidative or inflammatory processes, chronic consumption may affect platelet homeostasis, leukocyte dynamics, or erythropoiesis.</w:t>
      </w:r>
    </w:p>
    <w:p w14:paraId="4204C5F6" w14:textId="77777777" w:rsidR="00300895" w:rsidRDefault="00BC60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Aim and Objectives:</w:t>
      </w:r>
      <w:r>
        <w:rPr>
          <w:rFonts w:ascii="Times New Roman" w:eastAsia="Times New Roman" w:hAnsi="Times New Roman" w:cs="Times New Roman"/>
          <w:sz w:val="24"/>
          <w:szCs w:val="24"/>
        </w:rPr>
        <w:t xml:space="preserve"> Male Wistar rats were used in this investigation to assess the effects of </w:t>
      </w:r>
      <w:proofErr w:type="spellStart"/>
      <w:r>
        <w:rPr>
          <w:rFonts w:ascii="Times New Roman" w:eastAsia="Times New Roman" w:hAnsi="Times New Roman" w:cs="Times New Roman"/>
          <w:sz w:val="24"/>
          <w:szCs w:val="24"/>
        </w:rPr>
        <w:t>subchronic</w:t>
      </w:r>
      <w:proofErr w:type="spellEnd"/>
      <w:r>
        <w:rPr>
          <w:rFonts w:ascii="Times New Roman" w:eastAsia="Times New Roman" w:hAnsi="Times New Roman" w:cs="Times New Roman"/>
          <w:sz w:val="24"/>
          <w:szCs w:val="24"/>
        </w:rPr>
        <w:t xml:space="preserve"> oral administration of </w:t>
      </w:r>
      <w:proofErr w:type="spellStart"/>
      <w:r>
        <w:rPr>
          <w:rFonts w:ascii="Times New Roman" w:eastAsia="Times New Roman" w:hAnsi="Times New Roman" w:cs="Times New Roman"/>
          <w:i/>
          <w:sz w:val="24"/>
          <w:szCs w:val="24"/>
        </w:rPr>
        <w:t>Pausinystalia</w:t>
      </w:r>
      <w:proofErr w:type="spellEnd"/>
      <w:r>
        <w:rPr>
          <w:rFonts w:ascii="Times New Roman" w:eastAsia="Times New Roman" w:hAnsi="Times New Roman" w:cs="Times New Roman"/>
          <w:i/>
          <w:sz w:val="24"/>
          <w:szCs w:val="24"/>
        </w:rPr>
        <w:t xml:space="preserve"> yohimbe</w:t>
      </w:r>
      <w:r>
        <w:rPr>
          <w:rFonts w:ascii="Times New Roman" w:eastAsia="Times New Roman" w:hAnsi="Times New Roman" w:cs="Times New Roman"/>
          <w:sz w:val="24"/>
          <w:szCs w:val="24"/>
        </w:rPr>
        <w:t xml:space="preserve"> methanol extract on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indicators, including packed cell volume (PCV), hemoglobin concentration (Hb), white blood cell count (WBC), and platelet count (PLT).</w:t>
      </w:r>
    </w:p>
    <w:p w14:paraId="4C2B39BF" w14:textId="77777777" w:rsidR="00300895" w:rsidRDefault="00BC60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Materials and Methods:</w:t>
      </w:r>
      <w:r>
        <w:rPr>
          <w:rFonts w:ascii="Times New Roman" w:eastAsia="Times New Roman" w:hAnsi="Times New Roman" w:cs="Times New Roman"/>
          <w:sz w:val="24"/>
          <w:szCs w:val="24"/>
        </w:rPr>
        <w:t xml:space="preserve"> 25 healthy male Wistar rats weighing 150–180 g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randomly assigned to one of five groups (n = 5), which included sildenafil (5 mg/kg),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at 50, 100, and 200 mg/kg, and control (distilled water 5 mL/kg). For 28 days, all therapies were given orally. An automated </w:t>
      </w:r>
      <w:proofErr w:type="spellStart"/>
      <w:r>
        <w:rPr>
          <w:rFonts w:ascii="Times New Roman" w:eastAsia="Times New Roman" w:hAnsi="Times New Roman" w:cs="Times New Roman"/>
          <w:sz w:val="24"/>
          <w:szCs w:val="24"/>
        </w:rPr>
        <w:t>haematology</w:t>
      </w:r>
      <w:proofErr w:type="spellEnd"/>
      <w:r>
        <w:rPr>
          <w:rFonts w:ascii="Times New Roman" w:eastAsia="Times New Roman" w:hAnsi="Times New Roman" w:cs="Times New Roman"/>
          <w:sz w:val="24"/>
          <w:szCs w:val="24"/>
        </w:rPr>
        <w:t xml:space="preserve"> analyzer was used to examine blood samples at sacrifice. The Student's t-test (SPSS v24, p &lt; 0.05) was used to examine the data, which were presented as mean ± SE.</w:t>
      </w:r>
    </w:p>
    <w:p w14:paraId="315323E3" w14:textId="77777777" w:rsidR="00300895" w:rsidRDefault="00BC60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Results: </w:t>
      </w:r>
      <w:r>
        <w:rPr>
          <w:rFonts w:ascii="Times New Roman" w:eastAsia="Times New Roman" w:hAnsi="Times New Roman" w:cs="Times New Roman"/>
          <w:sz w:val="24"/>
          <w:szCs w:val="24"/>
        </w:rPr>
        <w:t xml:space="preserve">Sildenafil raised WBC (10.20 ± 0.68 vs 7.54 ± 0.67 × 10³/µL, p = 0.036) and PLT (771.0 ± 26.49 vs 607.4 ± 43.76 × 10³/µL, p = 0.013), while significantly lowering PCV (38.92 ± 1.48 vs 42.66 ± 0.59%, p = 0.047) and Hb (13.90 ± 0.69 vs 16.14 ± 0.15 g/dL, p = 0.013). Both 50 and 100 mg/kg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did not result in any notable changes to the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system. At 200 mg/kg, however, the extract significantly decreased WBC (5.70 ± 0.31 vs 7.54 ± 0.67 × 10³/µL, p = 0.038) and Hb (13.94 ± 0.77 vs 16.14 ± 0.15 g/dL, p = 0.022), while PCV and PLT were unchanged.</w:t>
      </w:r>
    </w:p>
    <w:p w14:paraId="5D948A96" w14:textId="77777777" w:rsidR="00300895" w:rsidRDefault="00BC60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Conclusion:</w:t>
      </w:r>
      <w:r>
        <w:rPr>
          <w:rFonts w:ascii="Times New Roman" w:eastAsia="Times New Roman" w:hAnsi="Times New Roman" w:cs="Times New Roman"/>
          <w:sz w:val="24"/>
          <w:szCs w:val="24"/>
        </w:rPr>
        <w:t xml:space="preserve"> At doses &lt; 100 mg/kg, methanolic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is harmless for the blood, but at 200 mg/kg, it may cause leukopenia and mild anemia. The results highlight a little margin of safety at elevated exposure levels.</w:t>
      </w:r>
    </w:p>
    <w:p w14:paraId="26959581" w14:textId="77777777" w:rsidR="00300895" w:rsidRDefault="00BC604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Pausinystalia</w:t>
      </w:r>
      <w:proofErr w:type="spellEnd"/>
      <w:r>
        <w:rPr>
          <w:rFonts w:ascii="Times New Roman" w:eastAsia="Times New Roman" w:hAnsi="Times New Roman" w:cs="Times New Roman"/>
          <w:i/>
          <w:iCs/>
          <w:sz w:val="24"/>
          <w:szCs w:val="24"/>
        </w:rPr>
        <w:t xml:space="preserve"> yohimbe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haematology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haemoglobin</w:t>
      </w:r>
      <w:proofErr w:type="spellEnd"/>
      <w:r>
        <w:rPr>
          <w:rFonts w:ascii="Times New Roman" w:eastAsia="Times New Roman" w:hAnsi="Times New Roman" w:cs="Times New Roman"/>
          <w:sz w:val="24"/>
          <w:szCs w:val="24"/>
        </w:rPr>
        <w:t>, white blood cell, platelet, Wistar rat, toxicity.</w:t>
      </w:r>
    </w:p>
    <w:p w14:paraId="539536C0" w14:textId="77777777" w:rsidR="00300895" w:rsidRDefault="00BC6047">
      <w:pPr>
        <w:spacing w:before="100" w:beforeAutospacing="1" w:after="100" w:afterAutospacing="1" w:line="36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 Introduction</w:t>
      </w:r>
    </w:p>
    <w:p w14:paraId="1E624921" w14:textId="5EE2A1E3"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Africa, where medicinal plants are prized for their accessibility, affordability, and long-standing cultural acceptance, herbal medicine remains a major component of primary healthcare. One of these plants, </w:t>
      </w:r>
      <w:proofErr w:type="spellStart"/>
      <w:r>
        <w:rPr>
          <w:rFonts w:ascii="Times New Roman" w:eastAsia="Times New Roman" w:hAnsi="Times New Roman" w:cs="Times New Roman"/>
          <w:i/>
          <w:sz w:val="24"/>
          <w:szCs w:val="24"/>
        </w:rPr>
        <w:t>Pausinystalia</w:t>
      </w:r>
      <w:proofErr w:type="spellEnd"/>
      <w:r>
        <w:rPr>
          <w:rFonts w:ascii="Times New Roman" w:eastAsia="Times New Roman" w:hAnsi="Times New Roman" w:cs="Times New Roman"/>
          <w:i/>
          <w:sz w:val="24"/>
          <w:szCs w:val="24"/>
        </w:rPr>
        <w:t xml:space="preserve"> yohimbe</w:t>
      </w:r>
      <w:r>
        <w:rPr>
          <w:rFonts w:ascii="Times New Roman" w:eastAsia="Times New Roman" w:hAnsi="Times New Roman" w:cs="Times New Roman"/>
          <w:sz w:val="24"/>
          <w:szCs w:val="24"/>
        </w:rPr>
        <w:t xml:space="preserve">, also called </w:t>
      </w:r>
      <w:proofErr w:type="spellStart"/>
      <w:r>
        <w:rPr>
          <w:rFonts w:ascii="Times New Roman" w:eastAsia="Times New Roman" w:hAnsi="Times New Roman" w:cs="Times New Roman"/>
          <w:sz w:val="24"/>
          <w:szCs w:val="24"/>
        </w:rPr>
        <w:t>Burantashi</w:t>
      </w:r>
      <w:proofErr w:type="spellEnd"/>
      <w:r>
        <w:rPr>
          <w:rFonts w:ascii="Times New Roman" w:eastAsia="Times New Roman" w:hAnsi="Times New Roman" w:cs="Times New Roman"/>
          <w:sz w:val="24"/>
          <w:szCs w:val="24"/>
        </w:rPr>
        <w:t xml:space="preserve"> in Nigeria, has long been used as a general tonic, aphrodisiac</w:t>
      </w:r>
      <w:r w:rsidRPr="0012569E">
        <w:rPr>
          <w:rFonts w:ascii="Times New Roman" w:eastAsia="Times New Roman" w:hAnsi="Times New Roman" w:cs="Times New Roman"/>
          <w:sz w:val="24"/>
          <w:szCs w:val="24"/>
          <w:highlight w:val="yellow"/>
        </w:rPr>
        <w:t>, and sexual stimulant</w:t>
      </w:r>
      <w:r w:rsidR="002977FA">
        <w:rPr>
          <w:rFonts w:ascii="Times New Roman" w:eastAsia="Times New Roman" w:hAnsi="Times New Roman" w:cs="Times New Roman"/>
          <w:sz w:val="24"/>
          <w:szCs w:val="24"/>
          <w:highlight w:val="yellow"/>
        </w:rPr>
        <w:t xml:space="preserve"> </w:t>
      </w:r>
      <w:r w:rsidR="002977FA" w:rsidRPr="002977FA">
        <w:rPr>
          <w:rFonts w:ascii="Times New Roman" w:eastAsia="Times New Roman" w:hAnsi="Times New Roman" w:cs="Times New Roman"/>
          <w:sz w:val="24"/>
          <w:szCs w:val="24"/>
          <w:highlight w:val="yellow"/>
          <w:vertAlign w:val="superscript"/>
        </w:rPr>
        <w:t>2</w:t>
      </w:r>
      <w:r w:rsidRPr="0012569E">
        <w:rPr>
          <w:rFonts w:ascii="Times New Roman" w:eastAsia="Times New Roman" w:hAnsi="Times New Roman" w:cs="Times New Roman"/>
          <w:color w:val="EE0000"/>
          <w:sz w:val="24"/>
          <w:szCs w:val="24"/>
          <w:highlight w:val="yellow"/>
        </w:rPr>
        <w:t>.</w:t>
      </w:r>
      <w:r w:rsidR="0081285C">
        <w:rPr>
          <w:rStyle w:val="CommentReference"/>
          <w:highlight w:val="yellow"/>
        </w:rPr>
        <w:t xml:space="preserve"> </w:t>
      </w:r>
      <w:r w:rsidR="0081285C" w:rsidRPr="00F5289D">
        <w:rPr>
          <w:rFonts w:ascii="Times New Roman" w:eastAsia="Times New Roman" w:hAnsi="Times New Roman" w:cs="Times New Roman"/>
          <w:sz w:val="24"/>
          <w:szCs w:val="24"/>
          <w:highlight w:val="yellow"/>
        </w:rPr>
        <w:t xml:space="preserve"> </w:t>
      </w:r>
      <w:r w:rsidR="0081285C">
        <w:rPr>
          <w:rFonts w:ascii="Times New Roman" w:eastAsia="Times New Roman" w:hAnsi="Times New Roman" w:cs="Times New Roman"/>
          <w:sz w:val="24"/>
          <w:szCs w:val="24"/>
          <w:highlight w:val="yellow"/>
        </w:rPr>
        <w:t>T</w:t>
      </w:r>
      <w:r w:rsidRPr="00F5289D">
        <w:rPr>
          <w:rFonts w:ascii="Times New Roman" w:eastAsia="Times New Roman" w:hAnsi="Times New Roman" w:cs="Times New Roman"/>
          <w:sz w:val="24"/>
          <w:szCs w:val="24"/>
          <w:highlight w:val="yellow"/>
        </w:rPr>
        <w:t>he</w:t>
      </w:r>
      <w:r>
        <w:rPr>
          <w:rFonts w:ascii="Times New Roman" w:eastAsia="Times New Roman" w:hAnsi="Times New Roman" w:cs="Times New Roman"/>
          <w:sz w:val="24"/>
          <w:szCs w:val="24"/>
        </w:rPr>
        <w:t xml:space="preserve"> evergreen tree, which is a member of the </w:t>
      </w:r>
      <w:proofErr w:type="spellStart"/>
      <w:r>
        <w:rPr>
          <w:rFonts w:ascii="Times New Roman" w:eastAsia="Times New Roman" w:hAnsi="Times New Roman" w:cs="Times New Roman"/>
          <w:sz w:val="24"/>
          <w:szCs w:val="24"/>
        </w:rPr>
        <w:t>Rubiaceae</w:t>
      </w:r>
      <w:proofErr w:type="spellEnd"/>
      <w:r>
        <w:rPr>
          <w:rFonts w:ascii="Times New Roman" w:eastAsia="Times New Roman" w:hAnsi="Times New Roman" w:cs="Times New Roman"/>
          <w:sz w:val="24"/>
          <w:szCs w:val="24"/>
        </w:rPr>
        <w:t xml:space="preserve"> family, is found in Cameroon, Nigeria, Gabon, and Equatorial Guinea's tropical woods </w:t>
      </w:r>
      <w:r w:rsidR="004E2B7C">
        <w:rPr>
          <w:rFonts w:ascii="Times New Roman" w:eastAsia="Times New Roman" w:hAnsi="Times New Roman" w:cs="Times New Roman"/>
          <w:sz w:val="24"/>
          <w:szCs w:val="24"/>
          <w:vertAlign w:val="superscript"/>
        </w:rPr>
        <w:t>1 15</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Yohimbine</w:t>
      </w:r>
      <w:r>
        <w:rPr>
          <w:rFonts w:ascii="Times New Roman" w:eastAsia="Times New Roman" w:hAnsi="Times New Roman" w:cs="Times New Roman"/>
          <w:sz w:val="24"/>
          <w:szCs w:val="24"/>
        </w:rPr>
        <w:t xml:space="preserve">, its main alkaloid, is a well-known antagonist of the α-adrenergic receptor that promotes peripheral blood flow, increases sympathetic activity, and makes penile erection easier </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p w14:paraId="3B9C479D" w14:textId="17BD61F6"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safety profile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is still not well known, despite its extensive use. Because of its alleged ability to increase libido, males in Nigeria favor powdered bark extract, which is frequently added to barbecued meat (called "</w:t>
      </w:r>
      <w:proofErr w:type="spellStart"/>
      <w:r>
        <w:rPr>
          <w:rFonts w:ascii="Times New Roman" w:eastAsia="Times New Roman" w:hAnsi="Times New Roman" w:cs="Times New Roman"/>
          <w:sz w:val="24"/>
          <w:szCs w:val="24"/>
        </w:rPr>
        <w:t>suya</w:t>
      </w:r>
      <w:proofErr w:type="spellEnd"/>
      <w:r>
        <w:rPr>
          <w:rFonts w:ascii="Times New Roman" w:eastAsia="Times New Roman" w:hAnsi="Times New Roman" w:cs="Times New Roman"/>
          <w:sz w:val="24"/>
          <w:szCs w:val="24"/>
        </w:rPr>
        <w:t xml:space="preserve">") or ingested in liquid form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However, negative effects like anxiety, hypertension, renal impairment, and hepatotoxicity have been connected to excessive or uncontrolled </w:t>
      </w:r>
      <w:r w:rsidRPr="00F5289D">
        <w:rPr>
          <w:rFonts w:ascii="Times New Roman" w:eastAsia="Times New Roman" w:hAnsi="Times New Roman" w:cs="Times New Roman"/>
          <w:sz w:val="24"/>
          <w:szCs w:val="24"/>
          <w:highlight w:val="yellow"/>
        </w:rPr>
        <w:t>ingestion</w:t>
      </w:r>
      <w:r w:rsidR="00F5289D" w:rsidRPr="00F5289D">
        <w:rPr>
          <w:rFonts w:ascii="Times New Roman" w:eastAsia="Times New Roman" w:hAnsi="Times New Roman" w:cs="Times New Roman"/>
          <w:sz w:val="24"/>
          <w:szCs w:val="24"/>
          <w:highlight w:val="yellow"/>
        </w:rPr>
        <w:t xml:space="preserve"> of </w:t>
      </w:r>
      <w:r w:rsidR="00F5289D" w:rsidRPr="00F5289D">
        <w:rPr>
          <w:rFonts w:ascii="Times New Roman" w:eastAsia="Times New Roman" w:hAnsi="Times New Roman" w:cs="Times New Roman"/>
          <w:i/>
          <w:sz w:val="24"/>
          <w:szCs w:val="24"/>
          <w:highlight w:val="yellow"/>
        </w:rPr>
        <w:t>P. yohimbe</w:t>
      </w:r>
      <w:r w:rsidRPr="00F5289D">
        <w:rPr>
          <w:rFonts w:ascii="Times New Roman" w:eastAsia="Times New Roman" w:hAnsi="Times New Roman" w:cs="Times New Roman"/>
          <w:i/>
          <w:sz w:val="24"/>
          <w:szCs w:val="24"/>
          <w:highlight w:val="yellow"/>
          <w:vertAlign w:val="superscript"/>
        </w:rPr>
        <w:t>4</w:t>
      </w:r>
      <w:r w:rsidRPr="00F5289D">
        <w:rPr>
          <w:rFonts w:ascii="Times New Roman" w:eastAsia="Times New Roman" w:hAnsi="Times New Roman" w:cs="Times New Roman"/>
          <w:sz w:val="24"/>
          <w:szCs w:val="24"/>
          <w:highlight w:val="yellow"/>
          <w:vertAlign w:val="superscript"/>
        </w:rPr>
        <w:t xml:space="preserve"> 5</w:t>
      </w:r>
      <w:r w:rsidRPr="00F5289D">
        <w:rPr>
          <w:rFonts w:ascii="Times New Roman" w:eastAsia="Times New Roman" w:hAnsi="Times New Roman" w:cs="Times New Roman"/>
          <w:sz w:val="24"/>
          <w:szCs w:val="24"/>
          <w:highlight w:val="yellow"/>
        </w:rPr>
        <w:t>. These</w:t>
      </w:r>
      <w:r w:rsidR="008128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angers highlight the necessity of evaluating its systemic and hematological effects using evidence-based methodology.</w:t>
      </w:r>
    </w:p>
    <w:p w14:paraId="7574169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Important markers of both physiological and pathological condition include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measures, such as packed cell volume (PCV), hemoglobin concentration (Hb), white blood cell count (WBC), and platelet count (PLT). Changes in these indicators could indicate bone marrow suppression, infection, inflammation, or anemia </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Methanol extracts may contain strong bioactive components that can affect blood formation or cause </w:t>
      </w:r>
      <w:proofErr w:type="spellStart"/>
      <w:r>
        <w:rPr>
          <w:rFonts w:ascii="Times New Roman" w:eastAsia="Times New Roman" w:hAnsi="Times New Roman" w:cs="Times New Roman"/>
          <w:sz w:val="24"/>
          <w:szCs w:val="24"/>
        </w:rPr>
        <w:t>haematotoxicity</w:t>
      </w:r>
      <w:proofErr w:type="spellEnd"/>
      <w:r>
        <w:rPr>
          <w:rFonts w:ascii="Times New Roman" w:eastAsia="Times New Roman" w:hAnsi="Times New Roman" w:cs="Times New Roman"/>
          <w:sz w:val="24"/>
          <w:szCs w:val="24"/>
        </w:rPr>
        <w:t xml:space="preserve"> at large dosages since they concentrate both polar and non-polar phytochemicals </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w:t>
      </w:r>
    </w:p>
    <w:p w14:paraId="0193A6C8" w14:textId="70D82278"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using sildenafil citrate as a pharmacological comparator, this study was planned to examine the effects of graded dosages of </w:t>
      </w:r>
      <w:proofErr w:type="spellStart"/>
      <w:r>
        <w:rPr>
          <w:rFonts w:ascii="Times New Roman" w:eastAsia="Times New Roman" w:hAnsi="Times New Roman" w:cs="Times New Roman"/>
          <w:i/>
          <w:sz w:val="24"/>
          <w:szCs w:val="24"/>
        </w:rPr>
        <w:t>Pausinystalia</w:t>
      </w:r>
      <w:proofErr w:type="spellEnd"/>
      <w:r>
        <w:rPr>
          <w:rFonts w:ascii="Times New Roman" w:eastAsia="Times New Roman" w:hAnsi="Times New Roman" w:cs="Times New Roman"/>
          <w:i/>
          <w:sz w:val="24"/>
          <w:szCs w:val="24"/>
        </w:rPr>
        <w:t xml:space="preserve"> yohimbe</w:t>
      </w:r>
      <w:r>
        <w:rPr>
          <w:rFonts w:ascii="Times New Roman" w:eastAsia="Times New Roman" w:hAnsi="Times New Roman" w:cs="Times New Roman"/>
          <w:sz w:val="24"/>
          <w:szCs w:val="24"/>
        </w:rPr>
        <w:t xml:space="preserve"> methanol extract on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markers in male Wistar rats. The results </w:t>
      </w:r>
      <w:proofErr w:type="gramStart"/>
      <w:r w:rsidR="0081285C" w:rsidRPr="0081285C">
        <w:rPr>
          <w:rFonts w:ascii="Times New Roman" w:eastAsia="Times New Roman" w:hAnsi="Times New Roman" w:cs="Times New Roman"/>
          <w:sz w:val="24"/>
          <w:szCs w:val="24"/>
          <w:highlight w:val="yellow"/>
        </w:rPr>
        <w:t>is</w:t>
      </w:r>
      <w:proofErr w:type="gramEnd"/>
      <w:r w:rsidR="0081285C" w:rsidRPr="0081285C">
        <w:rPr>
          <w:rFonts w:ascii="Times New Roman" w:eastAsia="Times New Roman" w:hAnsi="Times New Roman" w:cs="Times New Roman"/>
          <w:sz w:val="24"/>
          <w:szCs w:val="24"/>
          <w:highlight w:val="yellow"/>
        </w:rPr>
        <w:t xml:space="preserve"> aimed to</w:t>
      </w:r>
      <w:r w:rsidR="0081285C" w:rsidRPr="008128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promote logical control of </w:t>
      </w:r>
      <w:r>
        <w:rPr>
          <w:rFonts w:ascii="Times New Roman" w:eastAsia="Times New Roman" w:hAnsi="Times New Roman" w:cs="Times New Roman"/>
          <w:i/>
          <w:sz w:val="24"/>
          <w:szCs w:val="24"/>
        </w:rPr>
        <w:t xml:space="preserve">P. </w:t>
      </w:r>
      <w:r>
        <w:rPr>
          <w:rFonts w:ascii="Times New Roman" w:eastAsia="Times New Roman" w:hAnsi="Times New Roman" w:cs="Times New Roman"/>
          <w:i/>
          <w:sz w:val="24"/>
          <w:szCs w:val="24"/>
        </w:rPr>
        <w:lastRenderedPageBreak/>
        <w:t>yohimbe</w:t>
      </w:r>
      <w:r>
        <w:rPr>
          <w:rFonts w:ascii="Times New Roman" w:eastAsia="Times New Roman" w:hAnsi="Times New Roman" w:cs="Times New Roman"/>
          <w:sz w:val="24"/>
          <w:szCs w:val="24"/>
        </w:rPr>
        <w:t xml:space="preserve"> use in traditional and clinical settings, clarify its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safety threshold, and offer empirical toxicological data.</w:t>
      </w:r>
    </w:p>
    <w:p w14:paraId="1871E6F4" w14:textId="77777777" w:rsidR="00300895" w:rsidRDefault="00300895">
      <w:pPr>
        <w:spacing w:before="100" w:beforeAutospacing="1" w:after="100" w:afterAutospacing="1" w:line="360" w:lineRule="auto"/>
        <w:jc w:val="both"/>
        <w:outlineLvl w:val="1"/>
        <w:rPr>
          <w:rFonts w:ascii="Times New Roman" w:eastAsia="Times New Roman" w:hAnsi="Times New Roman" w:cs="Times New Roman"/>
          <w:b/>
          <w:bCs/>
          <w:sz w:val="36"/>
          <w:szCs w:val="36"/>
        </w:rPr>
      </w:pPr>
    </w:p>
    <w:p w14:paraId="64B5DD21" w14:textId="77777777" w:rsidR="00300895" w:rsidRDefault="00300895">
      <w:pPr>
        <w:spacing w:before="100" w:beforeAutospacing="1" w:after="100" w:afterAutospacing="1" w:line="360" w:lineRule="auto"/>
        <w:jc w:val="both"/>
        <w:outlineLvl w:val="1"/>
        <w:rPr>
          <w:rFonts w:ascii="Times New Roman" w:eastAsia="Times New Roman" w:hAnsi="Times New Roman" w:cs="Times New Roman"/>
          <w:b/>
          <w:bCs/>
          <w:sz w:val="36"/>
          <w:szCs w:val="36"/>
        </w:rPr>
      </w:pPr>
    </w:p>
    <w:p w14:paraId="2FF13310" w14:textId="77777777" w:rsidR="00300895" w:rsidRDefault="00BC6047">
      <w:pPr>
        <w:spacing w:before="100" w:beforeAutospacing="1" w:after="100" w:afterAutospacing="1" w:line="36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2.0 Materials and Methods</w:t>
      </w:r>
    </w:p>
    <w:p w14:paraId="5340B68B"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2.1 Study Design and Setting</w:t>
      </w:r>
    </w:p>
    <w:p w14:paraId="74A7C224" w14:textId="4AA658A3" w:rsidR="00300895" w:rsidRPr="0081285C" w:rsidRDefault="0081285C">
      <w:pPr>
        <w:spacing w:after="0" w:line="360" w:lineRule="auto"/>
        <w:jc w:val="both"/>
        <w:rPr>
          <w:rFonts w:ascii="Times New Roman" w:eastAsia="Times New Roman" w:hAnsi="Times New Roman" w:cs="Times New Roman"/>
          <w:sz w:val="24"/>
          <w:szCs w:val="24"/>
        </w:rPr>
      </w:pPr>
      <w:r w:rsidRPr="0081285C">
        <w:rPr>
          <w:highlight w:val="yellow"/>
        </w:rPr>
        <w:t xml:space="preserve">Matured reproductive male </w:t>
      </w:r>
      <w:proofErr w:type="spellStart"/>
      <w:r w:rsidRPr="0081285C">
        <w:rPr>
          <w:highlight w:val="yellow"/>
        </w:rPr>
        <w:t>wistar</w:t>
      </w:r>
      <w:proofErr w:type="spellEnd"/>
      <w:r w:rsidRPr="0081285C">
        <w:rPr>
          <w:highlight w:val="yellow"/>
        </w:rPr>
        <w:t xml:space="preserve"> rats with body weight between   150-180kg were included and fed for one month with </w:t>
      </w:r>
      <w:proofErr w:type="spellStart"/>
      <w:r w:rsidRPr="0081285C">
        <w:rPr>
          <w:i/>
          <w:highlight w:val="yellow"/>
        </w:rPr>
        <w:t>pausinystalia</w:t>
      </w:r>
      <w:proofErr w:type="spellEnd"/>
      <w:r w:rsidRPr="0081285C">
        <w:rPr>
          <w:i/>
          <w:highlight w:val="yellow"/>
        </w:rPr>
        <w:t xml:space="preserve"> yohimbe</w:t>
      </w:r>
      <w:r w:rsidRPr="0081285C">
        <w:rPr>
          <w:highlight w:val="yellow"/>
        </w:rPr>
        <w:t xml:space="preserve"> extract</w:t>
      </w:r>
      <w:r>
        <w:t xml:space="preserve"> </w:t>
      </w:r>
      <w:r w:rsidR="00BC6047">
        <w:rPr>
          <w:rFonts w:ascii="Times New Roman" w:eastAsia="Times New Roman" w:hAnsi="Times New Roman" w:cs="Times New Roman"/>
          <w:sz w:val="24"/>
          <w:szCs w:val="24"/>
        </w:rPr>
        <w:t xml:space="preserve">to assess the </w:t>
      </w:r>
      <w:proofErr w:type="spellStart"/>
      <w:r w:rsidR="00BC6047">
        <w:rPr>
          <w:rFonts w:ascii="Times New Roman" w:eastAsia="Times New Roman" w:hAnsi="Times New Roman" w:cs="Times New Roman"/>
          <w:sz w:val="24"/>
          <w:szCs w:val="24"/>
        </w:rPr>
        <w:t>haematological</w:t>
      </w:r>
      <w:proofErr w:type="spellEnd"/>
      <w:r w:rsidR="00BC6047">
        <w:rPr>
          <w:rFonts w:ascii="Times New Roman" w:eastAsia="Times New Roman" w:hAnsi="Times New Roman" w:cs="Times New Roman"/>
          <w:sz w:val="24"/>
          <w:szCs w:val="24"/>
        </w:rPr>
        <w:t xml:space="preserve"> effects of </w:t>
      </w:r>
      <w:proofErr w:type="spellStart"/>
      <w:r w:rsidR="00BC6047">
        <w:rPr>
          <w:rFonts w:ascii="Times New Roman" w:eastAsia="Times New Roman" w:hAnsi="Times New Roman" w:cs="Times New Roman"/>
          <w:sz w:val="24"/>
          <w:szCs w:val="24"/>
        </w:rPr>
        <w:t>Pausinystalia</w:t>
      </w:r>
      <w:proofErr w:type="spellEnd"/>
      <w:r w:rsidR="00BC6047">
        <w:rPr>
          <w:rFonts w:ascii="Times New Roman" w:eastAsia="Times New Roman" w:hAnsi="Times New Roman" w:cs="Times New Roman"/>
          <w:sz w:val="24"/>
          <w:szCs w:val="24"/>
        </w:rPr>
        <w:t xml:space="preserve"> yohimbe methanol extract using a controlled, laboratory-based experimental approach. Under typical laboratory circumstances, the experiment was carried out in the Animal House of the Faculty of Pharmacy, </w:t>
      </w:r>
      <w:proofErr w:type="spellStart"/>
      <w:r w:rsidR="00BC6047">
        <w:rPr>
          <w:rFonts w:ascii="Times New Roman" w:eastAsia="Times New Roman" w:hAnsi="Times New Roman" w:cs="Times New Roman"/>
          <w:sz w:val="24"/>
          <w:szCs w:val="24"/>
        </w:rPr>
        <w:t>Igbinedion</w:t>
      </w:r>
      <w:proofErr w:type="spellEnd"/>
      <w:r w:rsidR="00BC6047">
        <w:rPr>
          <w:rFonts w:ascii="Times New Roman" w:eastAsia="Times New Roman" w:hAnsi="Times New Roman" w:cs="Times New Roman"/>
          <w:sz w:val="24"/>
          <w:szCs w:val="24"/>
        </w:rPr>
        <w:t xml:space="preserve"> University, Okada, Edo State, Nigeria. A 12-hour light/dark cycle, ambient temperature (25 ± 2°C), and relative humidity (60 ± 5%) were all maintained during the study period. The approach made it possible to evaluate dose-dependent changes in blood indices in comparison to both untreated controls and sildenafil citrate, </w:t>
      </w:r>
      <w:r w:rsidR="00BC6047" w:rsidRPr="0081285C">
        <w:rPr>
          <w:rFonts w:ascii="Times New Roman" w:eastAsia="Times New Roman" w:hAnsi="Times New Roman" w:cs="Times New Roman"/>
          <w:sz w:val="24"/>
          <w:szCs w:val="24"/>
          <w:highlight w:val="yellow"/>
        </w:rPr>
        <w:t xml:space="preserve">a </w:t>
      </w:r>
      <w:r w:rsidRPr="0081285C">
        <w:rPr>
          <w:rFonts w:ascii="Times New Roman" w:eastAsia="Times New Roman" w:hAnsi="Times New Roman" w:cs="Times New Roman"/>
          <w:sz w:val="24"/>
          <w:szCs w:val="24"/>
          <w:highlight w:val="yellow"/>
        </w:rPr>
        <w:t>common</w:t>
      </w:r>
      <w:r>
        <w:rPr>
          <w:rStyle w:val="CommentReference"/>
          <w:highlight w:val="yellow"/>
        </w:rPr>
        <w:t xml:space="preserve"> </w:t>
      </w:r>
      <w:r w:rsidRPr="0081285C">
        <w:rPr>
          <w:rStyle w:val="CommentReference"/>
          <w:rFonts w:ascii="Times New Roman" w:hAnsi="Times New Roman" w:cs="Times New Roman"/>
          <w:sz w:val="24"/>
          <w:szCs w:val="24"/>
          <w:highlight w:val="yellow"/>
        </w:rPr>
        <w:t>reference</w:t>
      </w:r>
      <w:r w:rsidR="00BC6047" w:rsidRPr="0081285C">
        <w:rPr>
          <w:rFonts w:ascii="Times New Roman" w:eastAsia="Times New Roman" w:hAnsi="Times New Roman" w:cs="Times New Roman"/>
          <w:sz w:val="24"/>
          <w:szCs w:val="24"/>
          <w:highlight w:val="yellow"/>
        </w:rPr>
        <w:t xml:space="preserve"> medication</w:t>
      </w:r>
      <w:r w:rsidRPr="0081285C">
        <w:rPr>
          <w:rFonts w:ascii="Times New Roman" w:eastAsia="Times New Roman" w:hAnsi="Times New Roman" w:cs="Times New Roman"/>
          <w:sz w:val="24"/>
          <w:szCs w:val="24"/>
          <w:highlight w:val="yellow"/>
        </w:rPr>
        <w:t xml:space="preserve"> for erectile dysfunction</w:t>
      </w:r>
      <w:r w:rsidR="00BC6047" w:rsidRPr="0081285C">
        <w:rPr>
          <w:rFonts w:ascii="Times New Roman" w:eastAsia="Times New Roman" w:hAnsi="Times New Roman" w:cs="Times New Roman"/>
          <w:sz w:val="24"/>
          <w:szCs w:val="24"/>
          <w:highlight w:val="yellow"/>
        </w:rPr>
        <w:t>.</w:t>
      </w:r>
    </w:p>
    <w:p w14:paraId="6C34EB1F" w14:textId="77777777" w:rsidR="00EB09D3" w:rsidRDefault="00BC6047" w:rsidP="00EB09D3">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2.2 Study Population</w:t>
      </w:r>
    </w:p>
    <w:p w14:paraId="5C31396A" w14:textId="511DA248" w:rsidR="00300895" w:rsidRDefault="00BC6047" w:rsidP="00EB09D3">
      <w:pPr>
        <w:spacing w:before="100" w:beforeAutospacing="1" w:after="100" w:afterAutospacing="1" w:line="360" w:lineRule="auto"/>
        <w:jc w:val="both"/>
        <w:outlineLvl w:val="2"/>
        <w:rPr>
          <w:rFonts w:ascii="Times New Roman" w:eastAsia="Times New Roman" w:hAnsi="Times New Roman" w:cs="Times New Roman"/>
          <w:sz w:val="24"/>
          <w:szCs w:val="24"/>
        </w:rPr>
      </w:pPr>
      <w:r w:rsidRPr="00EB09D3">
        <w:rPr>
          <w:rFonts w:ascii="Times New Roman" w:eastAsia="Times New Roman" w:hAnsi="Times New Roman" w:cs="Times New Roman"/>
          <w:sz w:val="24"/>
          <w:szCs w:val="24"/>
          <w:highlight w:val="yellow"/>
        </w:rPr>
        <w:t>Twenty-five (25) adult male Wistar rats in good health, wei</w:t>
      </w:r>
      <w:r w:rsidR="00EB09D3" w:rsidRPr="00EB09D3">
        <w:rPr>
          <w:rFonts w:ascii="Times New Roman" w:eastAsia="Times New Roman" w:hAnsi="Times New Roman" w:cs="Times New Roman"/>
          <w:sz w:val="24"/>
          <w:szCs w:val="24"/>
          <w:highlight w:val="yellow"/>
        </w:rPr>
        <w:t>ghing between 150 and 180 grams</w:t>
      </w:r>
      <w:r w:rsidR="00EB09D3">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ere used. The Faculty of Pharmacy's Animal Breeding Unit provided the animals. They were housed in clean wood shavings that were changed every 48 hours in plastic cages with stainless-steel wire tops and adequate ventilation for two weeks after their arrival. The rats were fed a typical commercial pellet diet (Vital Feeds®) and given unlimited access to clean water.</w:t>
      </w:r>
    </w:p>
    <w:p w14:paraId="78E77FB7" w14:textId="77777777" w:rsidR="00EB09D3" w:rsidRDefault="00EB09D3" w:rsidP="00EB09D3">
      <w:pPr>
        <w:spacing w:before="100" w:beforeAutospacing="1" w:after="100" w:afterAutospacing="1" w:line="360" w:lineRule="auto"/>
        <w:jc w:val="both"/>
        <w:outlineLvl w:val="2"/>
        <w:rPr>
          <w:rFonts w:ascii="Times New Roman" w:eastAsia="Times New Roman" w:hAnsi="Times New Roman" w:cs="Times New Roman"/>
          <w:sz w:val="24"/>
          <w:szCs w:val="24"/>
        </w:rPr>
      </w:pPr>
    </w:p>
    <w:p w14:paraId="641B8E55" w14:textId="77777777" w:rsidR="00EB09D3" w:rsidRPr="00EB09D3" w:rsidRDefault="00EB09D3" w:rsidP="00EB09D3">
      <w:pPr>
        <w:spacing w:before="100" w:beforeAutospacing="1" w:after="100" w:afterAutospacing="1" w:line="360" w:lineRule="auto"/>
        <w:jc w:val="both"/>
        <w:outlineLvl w:val="2"/>
        <w:rPr>
          <w:rFonts w:ascii="Times New Roman" w:eastAsia="Times New Roman" w:hAnsi="Times New Roman" w:cs="Times New Roman"/>
          <w:b/>
          <w:bCs/>
          <w:sz w:val="27"/>
          <w:szCs w:val="27"/>
        </w:rPr>
      </w:pPr>
    </w:p>
    <w:p w14:paraId="67748D71" w14:textId="77777777" w:rsidR="00300895" w:rsidRPr="00EB09D3"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highlight w:val="yellow"/>
        </w:rPr>
      </w:pPr>
      <w:r w:rsidRPr="00EB09D3">
        <w:rPr>
          <w:rFonts w:ascii="Times New Roman" w:eastAsia="Times New Roman" w:hAnsi="Times New Roman" w:cs="Times New Roman"/>
          <w:b/>
          <w:bCs/>
          <w:sz w:val="27"/>
          <w:szCs w:val="27"/>
          <w:highlight w:val="yellow"/>
        </w:rPr>
        <w:lastRenderedPageBreak/>
        <w:t>2.3 Inclusion and Exclusion Criteria</w:t>
      </w:r>
    </w:p>
    <w:p w14:paraId="7D632481" w14:textId="262CFE1E" w:rsidR="00300895" w:rsidRPr="00EB09D3" w:rsidRDefault="00BC604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EB09D3">
        <w:rPr>
          <w:rFonts w:ascii="Times New Roman" w:eastAsia="Times New Roman" w:hAnsi="Times New Roman" w:cs="Times New Roman"/>
          <w:b/>
          <w:bCs/>
          <w:sz w:val="24"/>
          <w:szCs w:val="24"/>
          <w:highlight w:val="yellow"/>
        </w:rPr>
        <w:t>2.3.1 Inclusion Criteri</w:t>
      </w:r>
      <w:r w:rsidR="00EB09D3" w:rsidRPr="00EB09D3">
        <w:rPr>
          <w:rFonts w:ascii="Times New Roman" w:eastAsia="Times New Roman" w:hAnsi="Times New Roman" w:cs="Times New Roman"/>
          <w:b/>
          <w:bCs/>
          <w:sz w:val="24"/>
          <w:szCs w:val="24"/>
          <w:highlight w:val="yellow"/>
        </w:rPr>
        <w:t>a</w:t>
      </w:r>
    </w:p>
    <w:p w14:paraId="5F7C5DC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 Wistar rats that were healthy, sexually mature, and weighed between 150 and 180 g were included in the study. During acclimatization, they displayed typical feeding, grooming, and locomotor behavior.</w:t>
      </w:r>
    </w:p>
    <w:p w14:paraId="41257660" w14:textId="77777777" w:rsidR="00300895" w:rsidRDefault="00BC6047">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2.3.2 Exclusion Criteria</w:t>
      </w:r>
    </w:p>
    <w:p w14:paraId="553B22B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remove conflicting biological factors, the study excluded female, immature, sick, or stressed rats that showed aberrant activity, hunger reduction, or weight loss during acclimation.</w:t>
      </w:r>
    </w:p>
    <w:p w14:paraId="58B04250" w14:textId="6690EA5D"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2.4 Sample Size </w:t>
      </w:r>
    </w:p>
    <w:p w14:paraId="7CECE3DB" w14:textId="1183993D" w:rsidR="00300895" w:rsidRPr="00EB09D3" w:rsidRDefault="00EB09D3" w:rsidP="00EB09D3">
      <w:pPr>
        <w:spacing w:line="480" w:lineRule="auto"/>
        <w:jc w:val="both"/>
      </w:pPr>
      <w:r w:rsidRPr="00EB09D3">
        <w:rPr>
          <w:highlight w:val="yellow"/>
        </w:rPr>
        <w:t xml:space="preserve">A total of 20 male </w:t>
      </w:r>
      <w:proofErr w:type="spellStart"/>
      <w:r w:rsidRPr="00EB09D3">
        <w:rPr>
          <w:highlight w:val="yellow"/>
        </w:rPr>
        <w:t>wistar</w:t>
      </w:r>
      <w:proofErr w:type="spellEnd"/>
      <w:r w:rsidRPr="00EB09D3">
        <w:rPr>
          <w:highlight w:val="yellow"/>
        </w:rPr>
        <w:t xml:space="preserve"> rats administered with </w:t>
      </w:r>
      <w:proofErr w:type="spellStart"/>
      <w:r w:rsidRPr="00EB09D3">
        <w:rPr>
          <w:highlight w:val="yellow"/>
        </w:rPr>
        <w:t>pausinystalia</w:t>
      </w:r>
      <w:proofErr w:type="spellEnd"/>
      <w:r w:rsidRPr="00EB09D3">
        <w:rPr>
          <w:highlight w:val="yellow"/>
        </w:rPr>
        <w:t xml:space="preserve"> yohimbe extract treated with methanol, 5 sildenafil and 5 male rats without extract which serve as control</w:t>
      </w:r>
      <w:r w:rsidR="00BC6047" w:rsidRPr="00EB09D3">
        <w:rPr>
          <w:rFonts w:ascii="Times New Roman" w:eastAsia="Times New Roman" w:hAnsi="Times New Roman" w:cs="Times New Roman"/>
          <w:sz w:val="24"/>
          <w:szCs w:val="24"/>
          <w:highlight w:val="yellow"/>
        </w:rPr>
        <w:t>, the sample size was chosen to ensure that there was enough statistical power to identify biologically significant changes between treatment groups. The following was the grouping:</w:t>
      </w:r>
      <w:r w:rsidR="00BC6047">
        <w:rPr>
          <w:rFonts w:ascii="Times New Roman" w:eastAsia="Times New Roman" w:hAnsi="Times New Roman" w:cs="Times New Roman"/>
          <w:sz w:val="24"/>
          <w:szCs w:val="24"/>
        </w:rPr>
        <w:t xml:space="preserve"> </w:t>
      </w:r>
      <w:r w:rsidR="00BC6047">
        <w:rPr>
          <w:rFonts w:ascii="Times New Roman" w:eastAsia="Times New Roman" w:hAnsi="Times New Roman" w:cs="Times New Roman"/>
          <w:sz w:val="24"/>
          <w:szCs w:val="24"/>
        </w:rPr>
        <w:br/>
      </w:r>
    </w:p>
    <w:p w14:paraId="26EE3EDF" w14:textId="77777777" w:rsidR="00300895" w:rsidRDefault="00BC6047">
      <w:pPr>
        <w:pStyle w:val="ListParagraph"/>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1 (Control) was given 5 milliliters per kilogram of distilled water. </w:t>
      </w:r>
    </w:p>
    <w:p w14:paraId="1CEEC3A9" w14:textId="77777777" w:rsidR="00300895" w:rsidRDefault="00BC6047">
      <w:pPr>
        <w:pStyle w:val="ListParagraph"/>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2 (Sildenafil): 5 mg/kg body weight of sildenafil citrate was administered. </w:t>
      </w:r>
    </w:p>
    <w:p w14:paraId="0ED4EB49" w14:textId="77777777" w:rsidR="00300895" w:rsidRDefault="00BC6047">
      <w:pPr>
        <w:pStyle w:val="ListParagraph"/>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3 was given 50 mg/kg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methanol extract. </w:t>
      </w:r>
    </w:p>
    <w:p w14:paraId="19530E89" w14:textId="77777777" w:rsidR="00300895" w:rsidRDefault="00BC6047">
      <w:pPr>
        <w:pStyle w:val="ListParagraph"/>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4 was given 100 mg/kg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methanol extract. </w:t>
      </w:r>
    </w:p>
    <w:p w14:paraId="22616E65" w14:textId="77777777" w:rsidR="00300895" w:rsidRDefault="00BC6047">
      <w:pPr>
        <w:pStyle w:val="ListParagraph"/>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5 was given 200 mg/kg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methanol extract. </w:t>
      </w:r>
    </w:p>
    <w:p w14:paraId="0ED4DD4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For 28 days in a row, all administrations were done orally once a day using an intragastric cannula.</w:t>
      </w:r>
    </w:p>
    <w:p w14:paraId="1738C1CF"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2.5 Sample Collection and Laboratory Analysis</w:t>
      </w:r>
    </w:p>
    <w:p w14:paraId="776FE8B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animals were anesthetized with chloroform vapor in a desiccator after an overnight fast at the conclusion of the 28-day treatment period. Sterile syringes were used to obtain blood samples through heart puncture. Each animal had about 4 mL of blood extracted, consisting of 2 mL for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analysis in ethylenediaminetetraacetic acid (EDTA) tubes and 2 mL for serum separation (used in complementing biochemical research) in plain tubes. </w:t>
      </w:r>
      <w:r>
        <w:rPr>
          <w:rFonts w:ascii="Times New Roman" w:eastAsia="Times New Roman" w:hAnsi="Times New Roman" w:cs="Times New Roman"/>
          <w:sz w:val="24"/>
          <w:szCs w:val="24"/>
        </w:rPr>
        <w:br/>
        <w:t xml:space="preserve">Using an automated </w:t>
      </w:r>
      <w:proofErr w:type="spellStart"/>
      <w:r>
        <w:rPr>
          <w:rFonts w:ascii="Times New Roman" w:eastAsia="Times New Roman" w:hAnsi="Times New Roman" w:cs="Times New Roman"/>
          <w:sz w:val="24"/>
          <w:szCs w:val="24"/>
        </w:rPr>
        <w:t>haematology</w:t>
      </w:r>
      <w:proofErr w:type="spellEnd"/>
      <w:r>
        <w:rPr>
          <w:rFonts w:ascii="Times New Roman" w:eastAsia="Times New Roman" w:hAnsi="Times New Roman" w:cs="Times New Roman"/>
          <w:sz w:val="24"/>
          <w:szCs w:val="24"/>
        </w:rPr>
        <w:t xml:space="preserve"> analyzer (Sysmex XN-1000i, Sysmex Corporation, Japan), hematological parameters such as packed cell volume (PCV), hemoglobin concentration (Hb), white blood cell count (WBC), and platelet count (PLT) were examined.</w:t>
      </w:r>
    </w:p>
    <w:p w14:paraId="1B3F3EAC" w14:textId="77777777" w:rsidR="00300895" w:rsidRDefault="00300895">
      <w:pPr>
        <w:spacing w:after="0" w:line="360" w:lineRule="auto"/>
        <w:jc w:val="both"/>
        <w:rPr>
          <w:rFonts w:ascii="Times New Roman" w:eastAsia="Times New Roman" w:hAnsi="Times New Roman" w:cs="Times New Roman"/>
          <w:sz w:val="24"/>
          <w:szCs w:val="24"/>
        </w:rPr>
      </w:pPr>
    </w:p>
    <w:p w14:paraId="64541AEF" w14:textId="77777777" w:rsidR="00300895" w:rsidRDefault="00BC6047">
      <w:pPr>
        <w:pStyle w:val="ListParagraph"/>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PCV was calculated as a percentage using the </w:t>
      </w:r>
      <w:proofErr w:type="spellStart"/>
      <w:r>
        <w:rPr>
          <w:rFonts w:ascii="Times New Roman" w:eastAsia="Times New Roman" w:hAnsi="Times New Roman" w:cs="Times New Roman"/>
          <w:sz w:val="24"/>
          <w:szCs w:val="24"/>
        </w:rPr>
        <w:t>microhaematocrit</w:t>
      </w:r>
      <w:proofErr w:type="spellEnd"/>
      <w:r>
        <w:rPr>
          <w:rFonts w:ascii="Times New Roman" w:eastAsia="Times New Roman" w:hAnsi="Times New Roman" w:cs="Times New Roman"/>
          <w:sz w:val="24"/>
          <w:szCs w:val="24"/>
        </w:rPr>
        <w:t xml:space="preserve"> technique. </w:t>
      </w:r>
    </w:p>
    <w:p w14:paraId="099A237C" w14:textId="77777777" w:rsidR="00300895" w:rsidRDefault="00BC6047">
      <w:pPr>
        <w:pStyle w:val="ListParagraph"/>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cyanmethemoglobin technique was used to estimate hemoglobin concentration. </w:t>
      </w:r>
    </w:p>
    <w:p w14:paraId="79500BA8" w14:textId="77777777" w:rsidR="00300895" w:rsidRDefault="00BC6047">
      <w:pPr>
        <w:pStyle w:val="ListParagraph"/>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electrical impedance approach was used to determine the WBC and PLT numbers.</w:t>
      </w:r>
    </w:p>
    <w:p w14:paraId="0EDC3467" w14:textId="77777777" w:rsidR="00300895" w:rsidRDefault="00BC6047">
      <w:pPr>
        <w:pStyle w:val="ListParagraph"/>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test was carried out in compliance with the manufacturer's instructions, using the proper quality control procedures.</w:t>
      </w:r>
    </w:p>
    <w:p w14:paraId="30D31D60"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2.6 Data Management and Statistical Analysis</w:t>
      </w:r>
    </w:p>
    <w:p w14:paraId="2E1AAA1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 Package for the Social Sciences (SPSS) version 24.0 (IBM Corp., Armonk, NY, USA) was used to analyze the data, which were presented as mean ± standard error (SE). The independent Student's t-test was used for between-group comparisons in order to assess statistical differences between the treatment and control groups. Statistical significance was defined as a p-value of less than 0.05. Tables summarizing the findings were included, along with statistical comments outlining the significance levels.</w:t>
      </w:r>
    </w:p>
    <w:p w14:paraId="4FFB1EDF"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2.7 Ethical Considerations</w:t>
      </w:r>
    </w:p>
    <w:p w14:paraId="6FDC42E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experimental method was carried out strictly in accordance with the National Research Council's (2011) ethical guidelines for the care and use of laboratory animals. The Institutional Animal Ethics Committee of </w:t>
      </w:r>
      <w:proofErr w:type="spellStart"/>
      <w:r>
        <w:rPr>
          <w:rFonts w:ascii="Times New Roman" w:eastAsia="Times New Roman" w:hAnsi="Times New Roman" w:cs="Times New Roman"/>
          <w:sz w:val="24"/>
          <w:szCs w:val="24"/>
        </w:rPr>
        <w:t>Igbinedion</w:t>
      </w:r>
      <w:proofErr w:type="spellEnd"/>
      <w:r>
        <w:rPr>
          <w:rFonts w:ascii="Times New Roman" w:eastAsia="Times New Roman" w:hAnsi="Times New Roman" w:cs="Times New Roman"/>
          <w:sz w:val="24"/>
          <w:szCs w:val="24"/>
        </w:rPr>
        <w:t xml:space="preserve"> University, Okada, granted ethical approval for the project (Ref. No: IUI/MLS/2023/04). Throughout the investigation, every attempt was made to reduce the amount of pain, stress, and suffering experienced by the animals.</w:t>
      </w:r>
    </w:p>
    <w:p w14:paraId="6FFF755A"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2.8 Limitations</w:t>
      </w:r>
    </w:p>
    <w:p w14:paraId="3645EB0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study's statistical power may have been diminished due to the comparatively small number of animals per group (n = 5). Furthermore, reticulocyte count, differential WBC analysis, and other significant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indices such red cell indices (MCV, MCH, and MCHC) were excluded. The spleen and bone marrow were not examined </w:t>
      </w:r>
      <w:proofErr w:type="spellStart"/>
      <w:r>
        <w:rPr>
          <w:rFonts w:ascii="Times New Roman" w:eastAsia="Times New Roman" w:hAnsi="Times New Roman" w:cs="Times New Roman"/>
          <w:sz w:val="24"/>
          <w:szCs w:val="24"/>
        </w:rPr>
        <w:t>histopathologically</w:t>
      </w:r>
      <w:proofErr w:type="spellEnd"/>
      <w:r>
        <w:rPr>
          <w:rFonts w:ascii="Times New Roman" w:eastAsia="Times New Roman" w:hAnsi="Times New Roman" w:cs="Times New Roman"/>
          <w:sz w:val="24"/>
          <w:szCs w:val="24"/>
        </w:rPr>
        <w:t>. To support the current findings, larger sample sizes and longer biomarker panels are advised for future research.</w:t>
      </w:r>
    </w:p>
    <w:p w14:paraId="3355D2E5" w14:textId="77777777" w:rsidR="00300895" w:rsidRDefault="00300895">
      <w:pPr>
        <w:spacing w:after="0" w:line="360" w:lineRule="auto"/>
        <w:jc w:val="both"/>
        <w:rPr>
          <w:rFonts w:ascii="Times New Roman" w:eastAsia="Times New Roman" w:hAnsi="Times New Roman" w:cs="Times New Roman"/>
          <w:sz w:val="24"/>
          <w:szCs w:val="24"/>
        </w:rPr>
      </w:pPr>
    </w:p>
    <w:p w14:paraId="7E8857E1" w14:textId="77777777" w:rsidR="00300895" w:rsidRDefault="00300895">
      <w:pPr>
        <w:spacing w:after="0" w:line="360" w:lineRule="auto"/>
        <w:jc w:val="both"/>
        <w:rPr>
          <w:rFonts w:ascii="Times New Roman" w:eastAsia="Times New Roman" w:hAnsi="Times New Roman" w:cs="Times New Roman"/>
          <w:sz w:val="24"/>
          <w:szCs w:val="24"/>
        </w:rPr>
      </w:pPr>
    </w:p>
    <w:p w14:paraId="4FA057E3" w14:textId="77777777" w:rsidR="00300895" w:rsidRDefault="00300895">
      <w:pPr>
        <w:spacing w:after="0" w:line="360" w:lineRule="auto"/>
        <w:jc w:val="both"/>
        <w:rPr>
          <w:rFonts w:ascii="Times New Roman" w:eastAsia="Times New Roman" w:hAnsi="Times New Roman" w:cs="Times New Roman"/>
          <w:sz w:val="24"/>
          <w:szCs w:val="24"/>
        </w:rPr>
      </w:pPr>
    </w:p>
    <w:p w14:paraId="555870C3" w14:textId="77777777" w:rsidR="00300895" w:rsidRDefault="00300895">
      <w:pPr>
        <w:spacing w:after="0" w:line="360" w:lineRule="auto"/>
        <w:jc w:val="both"/>
        <w:rPr>
          <w:rFonts w:ascii="Times New Roman" w:eastAsia="Times New Roman" w:hAnsi="Times New Roman" w:cs="Times New Roman"/>
          <w:sz w:val="24"/>
          <w:szCs w:val="24"/>
        </w:rPr>
      </w:pPr>
    </w:p>
    <w:p w14:paraId="3CEAC5C0" w14:textId="77777777" w:rsidR="00300895" w:rsidRDefault="00300895">
      <w:pPr>
        <w:spacing w:after="0" w:line="360" w:lineRule="auto"/>
        <w:jc w:val="both"/>
        <w:rPr>
          <w:rFonts w:ascii="Times New Roman" w:eastAsia="Times New Roman" w:hAnsi="Times New Roman" w:cs="Times New Roman"/>
          <w:sz w:val="24"/>
          <w:szCs w:val="24"/>
        </w:rPr>
      </w:pPr>
    </w:p>
    <w:p w14:paraId="15B13995" w14:textId="77777777" w:rsidR="00300895" w:rsidRDefault="00300895">
      <w:pPr>
        <w:spacing w:after="0" w:line="360" w:lineRule="auto"/>
        <w:jc w:val="both"/>
        <w:rPr>
          <w:rFonts w:ascii="Times New Roman" w:eastAsia="Times New Roman" w:hAnsi="Times New Roman" w:cs="Times New Roman"/>
          <w:sz w:val="24"/>
          <w:szCs w:val="24"/>
        </w:rPr>
      </w:pPr>
    </w:p>
    <w:p w14:paraId="4AFAD302" w14:textId="77777777" w:rsidR="00300895" w:rsidRDefault="00300895">
      <w:pPr>
        <w:spacing w:after="0" w:line="360" w:lineRule="auto"/>
        <w:jc w:val="both"/>
        <w:rPr>
          <w:rFonts w:ascii="Times New Roman" w:eastAsia="Times New Roman" w:hAnsi="Times New Roman" w:cs="Times New Roman"/>
          <w:sz w:val="24"/>
          <w:szCs w:val="24"/>
        </w:rPr>
      </w:pPr>
    </w:p>
    <w:p w14:paraId="137DD151" w14:textId="77777777" w:rsidR="00300895" w:rsidRDefault="00300895">
      <w:pPr>
        <w:spacing w:after="0" w:line="360" w:lineRule="auto"/>
        <w:jc w:val="both"/>
        <w:rPr>
          <w:rFonts w:ascii="Times New Roman" w:eastAsia="Times New Roman" w:hAnsi="Times New Roman" w:cs="Times New Roman"/>
          <w:sz w:val="24"/>
          <w:szCs w:val="24"/>
        </w:rPr>
      </w:pPr>
    </w:p>
    <w:p w14:paraId="5CD3BEE1" w14:textId="77777777" w:rsidR="00300895" w:rsidRDefault="00BC6047">
      <w:pPr>
        <w:pStyle w:val="Heading2"/>
        <w:spacing w:line="360" w:lineRule="auto"/>
        <w:jc w:val="both"/>
        <w:rPr>
          <w:sz w:val="28"/>
          <w:szCs w:val="28"/>
        </w:rPr>
      </w:pPr>
      <w:r>
        <w:rPr>
          <w:rStyle w:val="Strong"/>
          <w:b/>
          <w:bCs/>
          <w:sz w:val="28"/>
          <w:szCs w:val="28"/>
        </w:rPr>
        <w:t>3.0 Results</w:t>
      </w:r>
    </w:p>
    <w:p w14:paraId="424EAF41" w14:textId="77777777" w:rsidR="00300895" w:rsidRDefault="00BC6047">
      <w:pPr>
        <w:pStyle w:val="Heading3"/>
        <w:spacing w:line="360" w:lineRule="auto"/>
        <w:jc w:val="both"/>
      </w:pPr>
      <w:r>
        <w:rPr>
          <w:rStyle w:val="Strong"/>
          <w:b/>
          <w:bCs/>
        </w:rPr>
        <w:t>3.1 General Observations</w:t>
      </w:r>
    </w:p>
    <w:p w14:paraId="5FA6319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course of the 28-day investigation, all experimental animals tolerated the oral treatment of sildenafil and </w:t>
      </w:r>
      <w:proofErr w:type="spellStart"/>
      <w:r>
        <w:rPr>
          <w:rFonts w:ascii="Times New Roman" w:eastAsia="Times New Roman" w:hAnsi="Times New Roman" w:cs="Times New Roman"/>
          <w:i/>
          <w:sz w:val="24"/>
          <w:szCs w:val="24"/>
        </w:rPr>
        <w:t>Pausinystalia</w:t>
      </w:r>
      <w:proofErr w:type="spellEnd"/>
      <w:r>
        <w:rPr>
          <w:rFonts w:ascii="Times New Roman" w:eastAsia="Times New Roman" w:hAnsi="Times New Roman" w:cs="Times New Roman"/>
          <w:i/>
          <w:sz w:val="24"/>
          <w:szCs w:val="24"/>
        </w:rPr>
        <w:t xml:space="preserve"> yohimbe</w:t>
      </w:r>
      <w:r>
        <w:rPr>
          <w:rFonts w:ascii="Times New Roman" w:eastAsia="Times New Roman" w:hAnsi="Times New Roman" w:cs="Times New Roman"/>
          <w:sz w:val="24"/>
          <w:szCs w:val="24"/>
        </w:rPr>
        <w:t xml:space="preserve"> extract without showing any signs of behavioral problems or dying. There were no discernible variations in the amount of food or water consumed by the treatment and control groups. All groups' physical examinations showed normal activity and grooming habits, indicating overall systemic stability over the study period.</w:t>
      </w:r>
    </w:p>
    <w:p w14:paraId="05C88988" w14:textId="77777777" w:rsidR="00300895" w:rsidRDefault="00BC6047">
      <w:pPr>
        <w:pStyle w:val="Heading3"/>
        <w:spacing w:line="360" w:lineRule="auto"/>
        <w:jc w:val="both"/>
      </w:pPr>
      <w:r>
        <w:rPr>
          <w:rStyle w:val="Strong"/>
          <w:b/>
          <w:bCs/>
        </w:rPr>
        <w:t xml:space="preserve">3.2 </w:t>
      </w:r>
      <w:proofErr w:type="spellStart"/>
      <w:r>
        <w:rPr>
          <w:rStyle w:val="Strong"/>
          <w:b/>
          <w:bCs/>
        </w:rPr>
        <w:t>Haematological</w:t>
      </w:r>
      <w:proofErr w:type="spellEnd"/>
      <w:r>
        <w:rPr>
          <w:rStyle w:val="Strong"/>
          <w:b/>
          <w:bCs/>
        </w:rPr>
        <w:t xml:space="preserve"> Indices</w:t>
      </w:r>
    </w:p>
    <w:p w14:paraId="7950D19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Tables 1–4 show the effects of </w:t>
      </w:r>
      <w:proofErr w:type="spellStart"/>
      <w:r w:rsidRPr="00C270E1">
        <w:rPr>
          <w:rFonts w:ascii="Times New Roman" w:eastAsia="Times New Roman" w:hAnsi="Times New Roman" w:cs="Times New Roman"/>
          <w:i/>
          <w:sz w:val="24"/>
          <w:szCs w:val="24"/>
        </w:rPr>
        <w:t>Pausinystalia</w:t>
      </w:r>
      <w:proofErr w:type="spellEnd"/>
      <w:r w:rsidRPr="00C270E1">
        <w:rPr>
          <w:rFonts w:ascii="Times New Roman" w:eastAsia="Times New Roman" w:hAnsi="Times New Roman" w:cs="Times New Roman"/>
          <w:i/>
          <w:sz w:val="24"/>
          <w:szCs w:val="24"/>
        </w:rPr>
        <w:t xml:space="preserve"> yohimbe</w:t>
      </w:r>
      <w:r>
        <w:rPr>
          <w:rFonts w:ascii="Times New Roman" w:eastAsia="Times New Roman" w:hAnsi="Times New Roman" w:cs="Times New Roman"/>
          <w:sz w:val="24"/>
          <w:szCs w:val="24"/>
        </w:rPr>
        <w:t xml:space="preserve"> methanol extract on important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parameters in male Wistar rats, including packed cell volume (PCV), hemoglobin concentration (Hb), white blood cell count (WBC), and platelet count (PLT). The independent Student's t-test was used to compare each treatment group to the control group.</w:t>
      </w:r>
    </w:p>
    <w:p w14:paraId="2C847321" w14:textId="77777777" w:rsidR="00300895" w:rsidRDefault="00300895">
      <w:pPr>
        <w:spacing w:line="360" w:lineRule="auto"/>
        <w:jc w:val="both"/>
        <w:rPr>
          <w:rFonts w:ascii="Times New Roman" w:hAnsi="Times New Roman" w:cs="Times New Roman"/>
          <w:b/>
          <w:sz w:val="24"/>
          <w:szCs w:val="24"/>
        </w:rPr>
      </w:pPr>
    </w:p>
    <w:p w14:paraId="70418F87" w14:textId="77777777" w:rsidR="00300895" w:rsidRDefault="00BC604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1: Comparison of </w:t>
      </w:r>
      <w:proofErr w:type="spellStart"/>
      <w:r>
        <w:rPr>
          <w:rFonts w:ascii="Times New Roman" w:hAnsi="Times New Roman" w:cs="Times New Roman"/>
          <w:b/>
          <w:sz w:val="24"/>
          <w:szCs w:val="24"/>
        </w:rPr>
        <w:t>Haematological</w:t>
      </w:r>
      <w:proofErr w:type="spellEnd"/>
      <w:r>
        <w:rPr>
          <w:rFonts w:ascii="Times New Roman" w:hAnsi="Times New Roman" w:cs="Times New Roman"/>
          <w:b/>
          <w:sz w:val="24"/>
          <w:szCs w:val="24"/>
        </w:rPr>
        <w:t xml:space="preserve"> Parameters Between Control and Sildenafil-Treated Rats (5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1"/>
        <w:gridCol w:w="2212"/>
        <w:gridCol w:w="2386"/>
        <w:gridCol w:w="754"/>
        <w:gridCol w:w="807"/>
        <w:gridCol w:w="1115"/>
      </w:tblGrid>
      <w:tr w:rsidR="00300895" w14:paraId="53BB71FE" w14:textId="77777777">
        <w:trPr>
          <w:tblHeader/>
          <w:tblCellSpacing w:w="15" w:type="dxa"/>
        </w:trPr>
        <w:tc>
          <w:tcPr>
            <w:tcW w:w="0" w:type="auto"/>
            <w:vAlign w:val="center"/>
            <w:hideMark/>
          </w:tcPr>
          <w:p w14:paraId="1E2C2661"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1EC9264A"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25CEB090"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Sildenafil (Mean ± SE)</w:t>
            </w:r>
          </w:p>
        </w:tc>
        <w:tc>
          <w:tcPr>
            <w:tcW w:w="0" w:type="auto"/>
            <w:vAlign w:val="center"/>
            <w:hideMark/>
          </w:tcPr>
          <w:p w14:paraId="05584953"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2701B3CB"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075B46E5"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300895" w14:paraId="28F29654" w14:textId="77777777">
        <w:trPr>
          <w:tblCellSpacing w:w="15" w:type="dxa"/>
        </w:trPr>
        <w:tc>
          <w:tcPr>
            <w:tcW w:w="0" w:type="auto"/>
            <w:vAlign w:val="center"/>
            <w:hideMark/>
          </w:tcPr>
          <w:p w14:paraId="5910FCF5"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PCV (%)</w:t>
            </w:r>
          </w:p>
        </w:tc>
        <w:tc>
          <w:tcPr>
            <w:tcW w:w="0" w:type="auto"/>
            <w:vAlign w:val="center"/>
            <w:hideMark/>
          </w:tcPr>
          <w:p w14:paraId="7BC51B1E"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42.66 ± 0.59</w:t>
            </w:r>
          </w:p>
        </w:tc>
        <w:tc>
          <w:tcPr>
            <w:tcW w:w="0" w:type="auto"/>
            <w:vAlign w:val="center"/>
            <w:hideMark/>
          </w:tcPr>
          <w:p w14:paraId="53AE3F1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38.92 ± 1.48</w:t>
            </w:r>
          </w:p>
        </w:tc>
        <w:tc>
          <w:tcPr>
            <w:tcW w:w="0" w:type="auto"/>
            <w:vAlign w:val="center"/>
            <w:hideMark/>
          </w:tcPr>
          <w:p w14:paraId="5EB8270E"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2.39</w:t>
            </w:r>
          </w:p>
        </w:tc>
        <w:tc>
          <w:tcPr>
            <w:tcW w:w="0" w:type="auto"/>
            <w:vAlign w:val="center"/>
            <w:hideMark/>
          </w:tcPr>
          <w:p w14:paraId="59BF370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0.047</w:t>
            </w:r>
          </w:p>
        </w:tc>
        <w:tc>
          <w:tcPr>
            <w:tcW w:w="0" w:type="auto"/>
            <w:vAlign w:val="center"/>
            <w:hideMark/>
          </w:tcPr>
          <w:p w14:paraId="17AED37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300895" w14:paraId="7405EB65" w14:textId="77777777">
        <w:trPr>
          <w:tblCellSpacing w:w="15" w:type="dxa"/>
        </w:trPr>
        <w:tc>
          <w:tcPr>
            <w:tcW w:w="0" w:type="auto"/>
            <w:vAlign w:val="center"/>
            <w:hideMark/>
          </w:tcPr>
          <w:p w14:paraId="7D7DED2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Hb (g/dL)</w:t>
            </w:r>
          </w:p>
        </w:tc>
        <w:tc>
          <w:tcPr>
            <w:tcW w:w="0" w:type="auto"/>
            <w:vAlign w:val="center"/>
            <w:hideMark/>
          </w:tcPr>
          <w:p w14:paraId="62FFECCC"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16.14 ± 0.15</w:t>
            </w:r>
          </w:p>
        </w:tc>
        <w:tc>
          <w:tcPr>
            <w:tcW w:w="0" w:type="auto"/>
            <w:vAlign w:val="center"/>
            <w:hideMark/>
          </w:tcPr>
          <w:p w14:paraId="0F2C433A"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13.90 ± 0.69</w:t>
            </w:r>
          </w:p>
        </w:tc>
        <w:tc>
          <w:tcPr>
            <w:tcW w:w="0" w:type="auto"/>
            <w:vAlign w:val="center"/>
            <w:hideMark/>
          </w:tcPr>
          <w:p w14:paraId="301BB7E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2.97</w:t>
            </w:r>
          </w:p>
        </w:tc>
        <w:tc>
          <w:tcPr>
            <w:tcW w:w="0" w:type="auto"/>
            <w:vAlign w:val="center"/>
            <w:hideMark/>
          </w:tcPr>
          <w:p w14:paraId="3269E1D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0.013</w:t>
            </w:r>
          </w:p>
        </w:tc>
        <w:tc>
          <w:tcPr>
            <w:tcW w:w="0" w:type="auto"/>
            <w:vAlign w:val="center"/>
            <w:hideMark/>
          </w:tcPr>
          <w:p w14:paraId="230AE52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300895" w14:paraId="70BA382C" w14:textId="77777777">
        <w:trPr>
          <w:tblCellSpacing w:w="15" w:type="dxa"/>
        </w:trPr>
        <w:tc>
          <w:tcPr>
            <w:tcW w:w="0" w:type="auto"/>
            <w:vAlign w:val="center"/>
            <w:hideMark/>
          </w:tcPr>
          <w:p w14:paraId="222486E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WBC (×10³/µL)</w:t>
            </w:r>
          </w:p>
        </w:tc>
        <w:tc>
          <w:tcPr>
            <w:tcW w:w="0" w:type="auto"/>
            <w:vAlign w:val="center"/>
            <w:hideMark/>
          </w:tcPr>
          <w:p w14:paraId="6E58975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7.54 ± 0.67</w:t>
            </w:r>
          </w:p>
        </w:tc>
        <w:tc>
          <w:tcPr>
            <w:tcW w:w="0" w:type="auto"/>
            <w:vAlign w:val="center"/>
            <w:hideMark/>
          </w:tcPr>
          <w:p w14:paraId="57B3111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10.20 ± 0.68</w:t>
            </w:r>
          </w:p>
        </w:tc>
        <w:tc>
          <w:tcPr>
            <w:tcW w:w="0" w:type="auto"/>
            <w:vAlign w:val="center"/>
            <w:hideMark/>
          </w:tcPr>
          <w:p w14:paraId="0BA37E9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0" w:type="auto"/>
            <w:vAlign w:val="center"/>
            <w:hideMark/>
          </w:tcPr>
          <w:p w14:paraId="1A3C3B8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0.036</w:t>
            </w:r>
          </w:p>
        </w:tc>
        <w:tc>
          <w:tcPr>
            <w:tcW w:w="0" w:type="auto"/>
            <w:vAlign w:val="center"/>
            <w:hideMark/>
          </w:tcPr>
          <w:p w14:paraId="13C4674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300895" w14:paraId="5141C1B1" w14:textId="77777777">
        <w:trPr>
          <w:tblCellSpacing w:w="15" w:type="dxa"/>
        </w:trPr>
        <w:tc>
          <w:tcPr>
            <w:tcW w:w="0" w:type="auto"/>
            <w:vAlign w:val="center"/>
            <w:hideMark/>
          </w:tcPr>
          <w:p w14:paraId="3309F11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PLT (×10³/µL)</w:t>
            </w:r>
          </w:p>
        </w:tc>
        <w:tc>
          <w:tcPr>
            <w:tcW w:w="0" w:type="auto"/>
            <w:vAlign w:val="center"/>
            <w:hideMark/>
          </w:tcPr>
          <w:p w14:paraId="1F72B1A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607.40 ± 43.76</w:t>
            </w:r>
          </w:p>
        </w:tc>
        <w:tc>
          <w:tcPr>
            <w:tcW w:w="0" w:type="auto"/>
            <w:vAlign w:val="center"/>
            <w:hideMark/>
          </w:tcPr>
          <w:p w14:paraId="0E15692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771.00 ± 26.49</w:t>
            </w:r>
          </w:p>
        </w:tc>
        <w:tc>
          <w:tcPr>
            <w:tcW w:w="0" w:type="auto"/>
            <w:vAlign w:val="center"/>
            <w:hideMark/>
          </w:tcPr>
          <w:p w14:paraId="666E98DC"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c>
          <w:tcPr>
            <w:tcW w:w="0" w:type="auto"/>
            <w:vAlign w:val="center"/>
            <w:hideMark/>
          </w:tcPr>
          <w:p w14:paraId="3BEB1E8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0.013</w:t>
            </w:r>
          </w:p>
        </w:tc>
        <w:tc>
          <w:tcPr>
            <w:tcW w:w="0" w:type="auto"/>
            <w:vAlign w:val="center"/>
            <w:hideMark/>
          </w:tcPr>
          <w:p w14:paraId="45FE8BB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bl>
    <w:p w14:paraId="62B08C93" w14:textId="77777777" w:rsidR="00300895" w:rsidRDefault="00300895">
      <w:pPr>
        <w:spacing w:line="360" w:lineRule="auto"/>
        <w:jc w:val="both"/>
      </w:pPr>
    </w:p>
    <w:p w14:paraId="2A0DC51C" w14:textId="77777777" w:rsidR="00300895" w:rsidRDefault="00BC6047">
      <w:pPr>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Interpretation:</w:t>
      </w:r>
      <w:r>
        <w:t xml:space="preserve"> </w:t>
      </w:r>
      <w:r>
        <w:rPr>
          <w:rFonts w:ascii="Times New Roman" w:hAnsi="Times New Roman" w:cs="Times New Roman"/>
          <w:sz w:val="24"/>
          <w:szCs w:val="24"/>
        </w:rPr>
        <w:t>Sildenafil treatment resulted in significant decreases in PCV and Hb, with corresponding significant increases in WBC and PLT counts compared to control animals.</w:t>
      </w:r>
    </w:p>
    <w:p w14:paraId="6D4F979D" w14:textId="77777777" w:rsidR="00300895" w:rsidRDefault="00300895">
      <w:pPr>
        <w:spacing w:line="360" w:lineRule="auto"/>
        <w:jc w:val="both"/>
      </w:pPr>
    </w:p>
    <w:p w14:paraId="21785713" w14:textId="77777777" w:rsidR="00300895" w:rsidRDefault="00300895">
      <w:pPr>
        <w:spacing w:line="360" w:lineRule="auto"/>
        <w:jc w:val="both"/>
      </w:pPr>
    </w:p>
    <w:p w14:paraId="20B14341" w14:textId="77777777" w:rsidR="00300895" w:rsidRDefault="00BC604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Comparison Between Control and Rats Treated with </w:t>
      </w:r>
      <w:r>
        <w:rPr>
          <w:rStyle w:val="Emphasis"/>
          <w:rFonts w:ascii="Times New Roman" w:hAnsi="Times New Roman" w:cs="Times New Roman"/>
          <w:b/>
          <w:sz w:val="24"/>
          <w:szCs w:val="24"/>
        </w:rPr>
        <w:t>P. yohimbe</w:t>
      </w:r>
      <w:r>
        <w:rPr>
          <w:rFonts w:ascii="Times New Roman" w:hAnsi="Times New Roman" w:cs="Times New Roman"/>
          <w:b/>
          <w:sz w:val="24"/>
          <w:szCs w:val="24"/>
        </w:rPr>
        <w:t xml:space="preserve"> (50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3"/>
        <w:gridCol w:w="2074"/>
        <w:gridCol w:w="3252"/>
        <w:gridCol w:w="739"/>
        <w:gridCol w:w="787"/>
        <w:gridCol w:w="915"/>
      </w:tblGrid>
      <w:tr w:rsidR="00300895" w14:paraId="7FEC5E7F" w14:textId="77777777">
        <w:trPr>
          <w:tblHeader/>
          <w:tblCellSpacing w:w="15" w:type="dxa"/>
        </w:trPr>
        <w:tc>
          <w:tcPr>
            <w:tcW w:w="0" w:type="auto"/>
            <w:vAlign w:val="center"/>
            <w:hideMark/>
          </w:tcPr>
          <w:p w14:paraId="4B6DD5CD"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4FAFF45C"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2C3E53ED"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 yohimbe</w:t>
            </w:r>
            <w:r>
              <w:rPr>
                <w:rFonts w:ascii="Times New Roman" w:eastAsia="Times New Roman" w:hAnsi="Times New Roman" w:cs="Times New Roman"/>
                <w:b/>
                <w:bCs/>
                <w:sz w:val="24"/>
                <w:szCs w:val="24"/>
              </w:rPr>
              <w:t xml:space="preserve"> 50 mg/kg (Mean ± SE)</w:t>
            </w:r>
          </w:p>
        </w:tc>
        <w:tc>
          <w:tcPr>
            <w:tcW w:w="0" w:type="auto"/>
            <w:vAlign w:val="center"/>
            <w:hideMark/>
          </w:tcPr>
          <w:p w14:paraId="6E267127"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53CFDF00"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68AAEA53"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300895" w14:paraId="254BE628" w14:textId="77777777">
        <w:trPr>
          <w:tblCellSpacing w:w="15" w:type="dxa"/>
        </w:trPr>
        <w:tc>
          <w:tcPr>
            <w:tcW w:w="0" w:type="auto"/>
            <w:vAlign w:val="center"/>
            <w:hideMark/>
          </w:tcPr>
          <w:p w14:paraId="29F2210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PCV (%)</w:t>
            </w:r>
          </w:p>
        </w:tc>
        <w:tc>
          <w:tcPr>
            <w:tcW w:w="0" w:type="auto"/>
            <w:vAlign w:val="center"/>
            <w:hideMark/>
          </w:tcPr>
          <w:p w14:paraId="48E8E85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42.66 ± 0.59</w:t>
            </w:r>
          </w:p>
        </w:tc>
        <w:tc>
          <w:tcPr>
            <w:tcW w:w="0" w:type="auto"/>
            <w:vAlign w:val="center"/>
            <w:hideMark/>
          </w:tcPr>
          <w:p w14:paraId="2A27698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41.90 ± 1.76</w:t>
            </w:r>
          </w:p>
        </w:tc>
        <w:tc>
          <w:tcPr>
            <w:tcW w:w="0" w:type="auto"/>
            <w:vAlign w:val="center"/>
            <w:hideMark/>
          </w:tcPr>
          <w:p w14:paraId="4507C11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0.41</w:t>
            </w:r>
          </w:p>
        </w:tc>
        <w:tc>
          <w:tcPr>
            <w:tcW w:w="0" w:type="auto"/>
            <w:vAlign w:val="center"/>
            <w:hideMark/>
          </w:tcPr>
          <w:p w14:paraId="5587B53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0.693</w:t>
            </w:r>
          </w:p>
        </w:tc>
        <w:tc>
          <w:tcPr>
            <w:tcW w:w="0" w:type="auto"/>
            <w:vAlign w:val="center"/>
            <w:hideMark/>
          </w:tcPr>
          <w:p w14:paraId="5241119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1E11C75F" w14:textId="77777777">
        <w:trPr>
          <w:tblCellSpacing w:w="15" w:type="dxa"/>
        </w:trPr>
        <w:tc>
          <w:tcPr>
            <w:tcW w:w="0" w:type="auto"/>
            <w:vAlign w:val="center"/>
            <w:hideMark/>
          </w:tcPr>
          <w:p w14:paraId="6BC9576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Hb (g/dL)</w:t>
            </w:r>
          </w:p>
        </w:tc>
        <w:tc>
          <w:tcPr>
            <w:tcW w:w="0" w:type="auto"/>
            <w:vAlign w:val="center"/>
            <w:hideMark/>
          </w:tcPr>
          <w:p w14:paraId="262A360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16.14 ± 0.15</w:t>
            </w:r>
          </w:p>
        </w:tc>
        <w:tc>
          <w:tcPr>
            <w:tcW w:w="0" w:type="auto"/>
            <w:vAlign w:val="center"/>
            <w:hideMark/>
          </w:tcPr>
          <w:p w14:paraId="3C68567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15.82 ± 0.69</w:t>
            </w:r>
          </w:p>
        </w:tc>
        <w:tc>
          <w:tcPr>
            <w:tcW w:w="0" w:type="auto"/>
            <w:vAlign w:val="center"/>
            <w:hideMark/>
          </w:tcPr>
          <w:p w14:paraId="09CA8AA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c>
          <w:tcPr>
            <w:tcW w:w="0" w:type="auto"/>
            <w:vAlign w:val="center"/>
            <w:hideMark/>
          </w:tcPr>
          <w:p w14:paraId="3A35AD3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0.661</w:t>
            </w:r>
          </w:p>
        </w:tc>
        <w:tc>
          <w:tcPr>
            <w:tcW w:w="0" w:type="auto"/>
            <w:vAlign w:val="center"/>
            <w:hideMark/>
          </w:tcPr>
          <w:p w14:paraId="3843DA1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33FDD4A3" w14:textId="77777777">
        <w:trPr>
          <w:tblCellSpacing w:w="15" w:type="dxa"/>
        </w:trPr>
        <w:tc>
          <w:tcPr>
            <w:tcW w:w="0" w:type="auto"/>
            <w:vAlign w:val="center"/>
            <w:hideMark/>
          </w:tcPr>
          <w:p w14:paraId="2B1A5165"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WBC (×10³/µL)</w:t>
            </w:r>
          </w:p>
        </w:tc>
        <w:tc>
          <w:tcPr>
            <w:tcW w:w="0" w:type="auto"/>
            <w:vAlign w:val="center"/>
            <w:hideMark/>
          </w:tcPr>
          <w:p w14:paraId="2BB146EA"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7.54 ± 0.67</w:t>
            </w:r>
          </w:p>
        </w:tc>
        <w:tc>
          <w:tcPr>
            <w:tcW w:w="0" w:type="auto"/>
            <w:vAlign w:val="center"/>
            <w:hideMark/>
          </w:tcPr>
          <w:p w14:paraId="4AFA53D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7.32 ± 0.69</w:t>
            </w:r>
          </w:p>
        </w:tc>
        <w:tc>
          <w:tcPr>
            <w:tcW w:w="0" w:type="auto"/>
            <w:vAlign w:val="center"/>
            <w:hideMark/>
          </w:tcPr>
          <w:p w14:paraId="006EB72C"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c>
          <w:tcPr>
            <w:tcW w:w="0" w:type="auto"/>
            <w:vAlign w:val="center"/>
            <w:hideMark/>
          </w:tcPr>
          <w:p w14:paraId="3275CD9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0.855</w:t>
            </w:r>
          </w:p>
        </w:tc>
        <w:tc>
          <w:tcPr>
            <w:tcW w:w="0" w:type="auto"/>
            <w:vAlign w:val="center"/>
            <w:hideMark/>
          </w:tcPr>
          <w:p w14:paraId="6C5C824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3309BD3B" w14:textId="77777777">
        <w:trPr>
          <w:tblCellSpacing w:w="15" w:type="dxa"/>
        </w:trPr>
        <w:tc>
          <w:tcPr>
            <w:tcW w:w="0" w:type="auto"/>
            <w:vAlign w:val="center"/>
            <w:hideMark/>
          </w:tcPr>
          <w:p w14:paraId="2BD34B5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PLT (×10³/µL)</w:t>
            </w:r>
          </w:p>
        </w:tc>
        <w:tc>
          <w:tcPr>
            <w:tcW w:w="0" w:type="auto"/>
            <w:vAlign w:val="center"/>
            <w:hideMark/>
          </w:tcPr>
          <w:p w14:paraId="63FEA93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607.40 ± 43.76</w:t>
            </w:r>
          </w:p>
        </w:tc>
        <w:tc>
          <w:tcPr>
            <w:tcW w:w="0" w:type="auto"/>
            <w:vAlign w:val="center"/>
            <w:hideMark/>
          </w:tcPr>
          <w:p w14:paraId="3BAF786E"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614.60 ± 30.69</w:t>
            </w:r>
          </w:p>
        </w:tc>
        <w:tc>
          <w:tcPr>
            <w:tcW w:w="0" w:type="auto"/>
            <w:vAlign w:val="center"/>
            <w:hideMark/>
          </w:tcPr>
          <w:p w14:paraId="55ABE3A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0" w:type="auto"/>
            <w:vAlign w:val="center"/>
            <w:hideMark/>
          </w:tcPr>
          <w:p w14:paraId="3E4A949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0.896</w:t>
            </w:r>
          </w:p>
        </w:tc>
        <w:tc>
          <w:tcPr>
            <w:tcW w:w="0" w:type="auto"/>
            <w:vAlign w:val="center"/>
            <w:hideMark/>
          </w:tcPr>
          <w:p w14:paraId="4E33C49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bl>
    <w:p w14:paraId="17AD5B40" w14:textId="77777777" w:rsidR="00300895" w:rsidRDefault="00300895">
      <w:pPr>
        <w:spacing w:line="360" w:lineRule="auto"/>
        <w:jc w:val="both"/>
        <w:rPr>
          <w:rStyle w:val="Strong"/>
        </w:rPr>
      </w:pPr>
    </w:p>
    <w:p w14:paraId="70925F6B" w14:textId="77777777" w:rsidR="00300895" w:rsidRDefault="00BC6047">
      <w:pPr>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Interpretation:</w:t>
      </w:r>
      <w:r>
        <w:rPr>
          <w:rFonts w:ascii="Times New Roman" w:hAnsi="Times New Roman" w:cs="Times New Roman"/>
          <w:sz w:val="24"/>
          <w:szCs w:val="24"/>
        </w:rPr>
        <w:t xml:space="preserve"> At 50 mg/kg, </w:t>
      </w:r>
      <w:r>
        <w:rPr>
          <w:rStyle w:val="Emphasis"/>
          <w:rFonts w:ascii="Times New Roman" w:hAnsi="Times New Roman" w:cs="Times New Roman"/>
          <w:sz w:val="24"/>
          <w:szCs w:val="24"/>
        </w:rPr>
        <w:t>P. yohimbe</w:t>
      </w:r>
      <w:r>
        <w:rPr>
          <w:rFonts w:ascii="Times New Roman" w:hAnsi="Times New Roman" w:cs="Times New Roman"/>
          <w:sz w:val="24"/>
          <w:szCs w:val="24"/>
        </w:rPr>
        <w:t xml:space="preserve"> extract produced no significant alterations in any measured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 indicating good tolerance and absence of toxicity at this low dose.</w:t>
      </w:r>
    </w:p>
    <w:p w14:paraId="3A637C6A" w14:textId="77777777" w:rsidR="00300895" w:rsidRDefault="00300895">
      <w:pPr>
        <w:spacing w:line="360" w:lineRule="auto"/>
        <w:jc w:val="both"/>
        <w:rPr>
          <w:rFonts w:ascii="Times New Roman" w:hAnsi="Times New Roman" w:cs="Times New Roman"/>
          <w:sz w:val="24"/>
          <w:szCs w:val="24"/>
        </w:rPr>
      </w:pPr>
    </w:p>
    <w:p w14:paraId="15A8C1C2" w14:textId="77777777" w:rsidR="00300895" w:rsidRDefault="00300895">
      <w:pPr>
        <w:spacing w:line="360" w:lineRule="auto"/>
        <w:jc w:val="both"/>
        <w:rPr>
          <w:rFonts w:ascii="Times New Roman" w:hAnsi="Times New Roman" w:cs="Times New Roman"/>
          <w:sz w:val="24"/>
          <w:szCs w:val="24"/>
        </w:rPr>
      </w:pPr>
    </w:p>
    <w:p w14:paraId="061DDB63" w14:textId="77777777" w:rsidR="00300895" w:rsidRDefault="00300895">
      <w:pPr>
        <w:spacing w:line="360" w:lineRule="auto"/>
        <w:jc w:val="both"/>
        <w:rPr>
          <w:rFonts w:ascii="Times New Roman" w:hAnsi="Times New Roman" w:cs="Times New Roman"/>
          <w:sz w:val="24"/>
          <w:szCs w:val="24"/>
        </w:rPr>
      </w:pPr>
    </w:p>
    <w:p w14:paraId="42762960" w14:textId="77777777" w:rsidR="00300895" w:rsidRDefault="00300895">
      <w:pPr>
        <w:spacing w:line="360" w:lineRule="auto"/>
        <w:jc w:val="both"/>
        <w:rPr>
          <w:rFonts w:ascii="Times New Roman" w:hAnsi="Times New Roman" w:cs="Times New Roman"/>
          <w:sz w:val="24"/>
          <w:szCs w:val="24"/>
        </w:rPr>
      </w:pPr>
    </w:p>
    <w:p w14:paraId="4A1E1B7F" w14:textId="77777777" w:rsidR="00300895" w:rsidRDefault="00300895">
      <w:pPr>
        <w:spacing w:line="360" w:lineRule="auto"/>
        <w:jc w:val="both"/>
        <w:rPr>
          <w:rFonts w:ascii="Times New Roman" w:hAnsi="Times New Roman" w:cs="Times New Roman"/>
          <w:sz w:val="24"/>
          <w:szCs w:val="24"/>
        </w:rPr>
      </w:pPr>
    </w:p>
    <w:p w14:paraId="0011A5E4" w14:textId="77777777" w:rsidR="00300895" w:rsidRDefault="00300895">
      <w:pPr>
        <w:spacing w:line="360" w:lineRule="auto"/>
        <w:jc w:val="both"/>
        <w:rPr>
          <w:rFonts w:ascii="Times New Roman" w:hAnsi="Times New Roman" w:cs="Times New Roman"/>
          <w:sz w:val="24"/>
          <w:szCs w:val="24"/>
        </w:rPr>
      </w:pPr>
    </w:p>
    <w:p w14:paraId="4015CBA2" w14:textId="77777777" w:rsidR="00300895" w:rsidRDefault="00300895">
      <w:pPr>
        <w:spacing w:line="360" w:lineRule="auto"/>
        <w:jc w:val="both"/>
        <w:rPr>
          <w:rFonts w:ascii="Times New Roman" w:hAnsi="Times New Roman" w:cs="Times New Roman"/>
          <w:sz w:val="24"/>
          <w:szCs w:val="24"/>
        </w:rPr>
      </w:pPr>
    </w:p>
    <w:p w14:paraId="1F31DB59" w14:textId="77777777" w:rsidR="00300895" w:rsidRDefault="00300895">
      <w:pPr>
        <w:spacing w:line="360" w:lineRule="auto"/>
        <w:jc w:val="both"/>
        <w:rPr>
          <w:rFonts w:ascii="Times New Roman" w:hAnsi="Times New Roman" w:cs="Times New Roman"/>
          <w:sz w:val="24"/>
          <w:szCs w:val="24"/>
        </w:rPr>
      </w:pPr>
    </w:p>
    <w:p w14:paraId="56B8B01C" w14:textId="77777777" w:rsidR="00300895" w:rsidRDefault="00300895">
      <w:pPr>
        <w:spacing w:line="360" w:lineRule="auto"/>
        <w:jc w:val="both"/>
        <w:rPr>
          <w:rFonts w:ascii="Times New Roman" w:hAnsi="Times New Roman" w:cs="Times New Roman"/>
          <w:sz w:val="24"/>
          <w:szCs w:val="24"/>
        </w:rPr>
      </w:pPr>
    </w:p>
    <w:p w14:paraId="064906A8" w14:textId="77777777" w:rsidR="00300895" w:rsidRDefault="00300895">
      <w:pPr>
        <w:spacing w:line="360" w:lineRule="auto"/>
        <w:jc w:val="both"/>
        <w:rPr>
          <w:rFonts w:ascii="Times New Roman" w:hAnsi="Times New Roman" w:cs="Times New Roman"/>
          <w:sz w:val="24"/>
          <w:szCs w:val="24"/>
        </w:rPr>
      </w:pPr>
    </w:p>
    <w:p w14:paraId="3A90FE66" w14:textId="77777777" w:rsidR="00300895" w:rsidRDefault="00300895">
      <w:pPr>
        <w:spacing w:line="360" w:lineRule="auto"/>
        <w:jc w:val="both"/>
        <w:rPr>
          <w:rFonts w:ascii="Times New Roman" w:hAnsi="Times New Roman" w:cs="Times New Roman"/>
          <w:sz w:val="24"/>
          <w:szCs w:val="24"/>
        </w:rPr>
      </w:pPr>
    </w:p>
    <w:p w14:paraId="677C5EB4" w14:textId="77777777" w:rsidR="00300895" w:rsidRDefault="00300895">
      <w:pPr>
        <w:spacing w:line="360" w:lineRule="auto"/>
        <w:jc w:val="both"/>
        <w:rPr>
          <w:rFonts w:ascii="Times New Roman" w:hAnsi="Times New Roman" w:cs="Times New Roman"/>
          <w:sz w:val="24"/>
          <w:szCs w:val="24"/>
        </w:rPr>
      </w:pPr>
    </w:p>
    <w:p w14:paraId="2949FC74" w14:textId="77777777" w:rsidR="00300895" w:rsidRDefault="00300895">
      <w:pPr>
        <w:spacing w:line="360" w:lineRule="auto"/>
        <w:jc w:val="both"/>
        <w:rPr>
          <w:rFonts w:ascii="Times New Roman" w:hAnsi="Times New Roman" w:cs="Times New Roman"/>
          <w:sz w:val="24"/>
          <w:szCs w:val="24"/>
        </w:rPr>
      </w:pPr>
    </w:p>
    <w:p w14:paraId="1666B88C" w14:textId="77777777" w:rsidR="00300895" w:rsidRDefault="00BC604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Comparison Between Control and Rats Treated with </w:t>
      </w:r>
      <w:r>
        <w:rPr>
          <w:rStyle w:val="Emphasis"/>
          <w:rFonts w:ascii="Times New Roman" w:hAnsi="Times New Roman" w:cs="Times New Roman"/>
          <w:b/>
          <w:sz w:val="24"/>
          <w:szCs w:val="24"/>
        </w:rPr>
        <w:t>P. yohimbe</w:t>
      </w:r>
      <w:r>
        <w:rPr>
          <w:rFonts w:ascii="Times New Roman" w:hAnsi="Times New Roman" w:cs="Times New Roman"/>
          <w:b/>
          <w:sz w:val="24"/>
          <w:szCs w:val="24"/>
        </w:rPr>
        <w:t xml:space="preserve"> (100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2"/>
        <w:gridCol w:w="2045"/>
        <w:gridCol w:w="3300"/>
        <w:gridCol w:w="736"/>
        <w:gridCol w:w="782"/>
        <w:gridCol w:w="915"/>
      </w:tblGrid>
      <w:tr w:rsidR="00300895" w14:paraId="3C0B3381" w14:textId="77777777">
        <w:trPr>
          <w:tblHeader/>
          <w:tblCellSpacing w:w="15" w:type="dxa"/>
        </w:trPr>
        <w:tc>
          <w:tcPr>
            <w:tcW w:w="0" w:type="auto"/>
            <w:vAlign w:val="center"/>
            <w:hideMark/>
          </w:tcPr>
          <w:p w14:paraId="7DC2947E"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2CC7AA79"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02E3B1D0"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 yohimbe</w:t>
            </w:r>
            <w:r>
              <w:rPr>
                <w:rFonts w:ascii="Times New Roman" w:eastAsia="Times New Roman" w:hAnsi="Times New Roman" w:cs="Times New Roman"/>
                <w:b/>
                <w:bCs/>
                <w:sz w:val="24"/>
                <w:szCs w:val="24"/>
              </w:rPr>
              <w:t xml:space="preserve"> 100 mg/kg (Mean ± SE)</w:t>
            </w:r>
          </w:p>
        </w:tc>
        <w:tc>
          <w:tcPr>
            <w:tcW w:w="0" w:type="auto"/>
            <w:vAlign w:val="center"/>
            <w:hideMark/>
          </w:tcPr>
          <w:p w14:paraId="74292178"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68F5FF8A"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40594725"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300895" w14:paraId="5EF03AEF" w14:textId="77777777">
        <w:trPr>
          <w:tblCellSpacing w:w="15" w:type="dxa"/>
        </w:trPr>
        <w:tc>
          <w:tcPr>
            <w:tcW w:w="0" w:type="auto"/>
            <w:vAlign w:val="center"/>
            <w:hideMark/>
          </w:tcPr>
          <w:p w14:paraId="14C3A645"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PCV (%)</w:t>
            </w:r>
          </w:p>
        </w:tc>
        <w:tc>
          <w:tcPr>
            <w:tcW w:w="0" w:type="auto"/>
            <w:vAlign w:val="center"/>
            <w:hideMark/>
          </w:tcPr>
          <w:p w14:paraId="30CE66B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42.66 ± 0.59</w:t>
            </w:r>
          </w:p>
        </w:tc>
        <w:tc>
          <w:tcPr>
            <w:tcW w:w="0" w:type="auto"/>
            <w:vAlign w:val="center"/>
            <w:hideMark/>
          </w:tcPr>
          <w:p w14:paraId="7946E5B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42.46 ± 0.36</w:t>
            </w:r>
          </w:p>
        </w:tc>
        <w:tc>
          <w:tcPr>
            <w:tcW w:w="0" w:type="auto"/>
            <w:vAlign w:val="center"/>
            <w:hideMark/>
          </w:tcPr>
          <w:p w14:paraId="2FE7DE5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0" w:type="auto"/>
            <w:vAlign w:val="center"/>
            <w:hideMark/>
          </w:tcPr>
          <w:p w14:paraId="6D49C4C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0.778</w:t>
            </w:r>
          </w:p>
        </w:tc>
        <w:tc>
          <w:tcPr>
            <w:tcW w:w="0" w:type="auto"/>
            <w:vAlign w:val="center"/>
            <w:hideMark/>
          </w:tcPr>
          <w:p w14:paraId="420F45A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086E7D9B" w14:textId="77777777">
        <w:trPr>
          <w:tblCellSpacing w:w="15" w:type="dxa"/>
        </w:trPr>
        <w:tc>
          <w:tcPr>
            <w:tcW w:w="0" w:type="auto"/>
            <w:vAlign w:val="center"/>
            <w:hideMark/>
          </w:tcPr>
          <w:p w14:paraId="4111DB2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Hb (g/dL)</w:t>
            </w:r>
          </w:p>
        </w:tc>
        <w:tc>
          <w:tcPr>
            <w:tcW w:w="0" w:type="auto"/>
            <w:vAlign w:val="center"/>
            <w:hideMark/>
          </w:tcPr>
          <w:p w14:paraId="651182C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16.14 ± 0.15</w:t>
            </w:r>
          </w:p>
        </w:tc>
        <w:tc>
          <w:tcPr>
            <w:tcW w:w="0" w:type="auto"/>
            <w:vAlign w:val="center"/>
            <w:hideMark/>
          </w:tcPr>
          <w:p w14:paraId="6BD389D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15.32 ± 0.44</w:t>
            </w:r>
          </w:p>
        </w:tc>
        <w:tc>
          <w:tcPr>
            <w:tcW w:w="0" w:type="auto"/>
            <w:vAlign w:val="center"/>
            <w:hideMark/>
          </w:tcPr>
          <w:p w14:paraId="2D5C3D7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0" w:type="auto"/>
            <w:vAlign w:val="center"/>
            <w:hideMark/>
          </w:tcPr>
          <w:p w14:paraId="46AE22BE"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0.116</w:t>
            </w:r>
          </w:p>
        </w:tc>
        <w:tc>
          <w:tcPr>
            <w:tcW w:w="0" w:type="auto"/>
            <w:vAlign w:val="center"/>
            <w:hideMark/>
          </w:tcPr>
          <w:p w14:paraId="2177B52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6045970B" w14:textId="77777777">
        <w:trPr>
          <w:tblCellSpacing w:w="15" w:type="dxa"/>
        </w:trPr>
        <w:tc>
          <w:tcPr>
            <w:tcW w:w="0" w:type="auto"/>
            <w:vAlign w:val="center"/>
            <w:hideMark/>
          </w:tcPr>
          <w:p w14:paraId="11D5594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WBC (×10³/µL)</w:t>
            </w:r>
          </w:p>
        </w:tc>
        <w:tc>
          <w:tcPr>
            <w:tcW w:w="0" w:type="auto"/>
            <w:vAlign w:val="center"/>
            <w:hideMark/>
          </w:tcPr>
          <w:p w14:paraId="40CE0A6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7.54 ± 0.67</w:t>
            </w:r>
          </w:p>
        </w:tc>
        <w:tc>
          <w:tcPr>
            <w:tcW w:w="0" w:type="auto"/>
            <w:vAlign w:val="center"/>
            <w:hideMark/>
          </w:tcPr>
          <w:p w14:paraId="3B72BC15"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 ± 1.19</w:t>
            </w:r>
          </w:p>
        </w:tc>
        <w:tc>
          <w:tcPr>
            <w:tcW w:w="0" w:type="auto"/>
            <w:vAlign w:val="center"/>
            <w:hideMark/>
          </w:tcPr>
          <w:p w14:paraId="3BA64C3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0" w:type="auto"/>
            <w:vAlign w:val="center"/>
            <w:hideMark/>
          </w:tcPr>
          <w:p w14:paraId="75C6CAF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0.788</w:t>
            </w:r>
          </w:p>
        </w:tc>
        <w:tc>
          <w:tcPr>
            <w:tcW w:w="0" w:type="auto"/>
            <w:vAlign w:val="center"/>
            <w:hideMark/>
          </w:tcPr>
          <w:p w14:paraId="666588F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17D20DC9" w14:textId="77777777">
        <w:trPr>
          <w:tblCellSpacing w:w="15" w:type="dxa"/>
        </w:trPr>
        <w:tc>
          <w:tcPr>
            <w:tcW w:w="0" w:type="auto"/>
            <w:vAlign w:val="center"/>
            <w:hideMark/>
          </w:tcPr>
          <w:p w14:paraId="68C07D3A"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PLT (×10³/µL)</w:t>
            </w:r>
          </w:p>
        </w:tc>
        <w:tc>
          <w:tcPr>
            <w:tcW w:w="0" w:type="auto"/>
            <w:vAlign w:val="center"/>
            <w:hideMark/>
          </w:tcPr>
          <w:p w14:paraId="3B90FA0E"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607.40 ± 43.76</w:t>
            </w:r>
          </w:p>
        </w:tc>
        <w:tc>
          <w:tcPr>
            <w:tcW w:w="0" w:type="auto"/>
            <w:vAlign w:val="center"/>
            <w:hideMark/>
          </w:tcPr>
          <w:p w14:paraId="43D5B8B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509.40 ± 38.01</w:t>
            </w:r>
          </w:p>
        </w:tc>
        <w:tc>
          <w:tcPr>
            <w:tcW w:w="0" w:type="auto"/>
            <w:vAlign w:val="center"/>
            <w:hideMark/>
          </w:tcPr>
          <w:p w14:paraId="791BFED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0" w:type="auto"/>
            <w:vAlign w:val="center"/>
            <w:hideMark/>
          </w:tcPr>
          <w:p w14:paraId="420CB7C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0.129</w:t>
            </w:r>
          </w:p>
        </w:tc>
        <w:tc>
          <w:tcPr>
            <w:tcW w:w="0" w:type="auto"/>
            <w:vAlign w:val="center"/>
            <w:hideMark/>
          </w:tcPr>
          <w:p w14:paraId="7CF32B5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bl>
    <w:p w14:paraId="70678A98" w14:textId="77777777" w:rsidR="00300895" w:rsidRDefault="00BC604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Administration of </w:t>
      </w:r>
      <w:r>
        <w:rPr>
          <w:rFonts w:ascii="Times New Roman" w:eastAsia="Times New Roman" w:hAnsi="Times New Roman" w:cs="Times New Roman"/>
          <w:i/>
          <w:iCs/>
          <w:sz w:val="24"/>
          <w:szCs w:val="24"/>
        </w:rPr>
        <w:t>P. yohimbe</w:t>
      </w:r>
      <w:r>
        <w:rPr>
          <w:rFonts w:ascii="Times New Roman" w:eastAsia="Times New Roman" w:hAnsi="Times New Roman" w:cs="Times New Roman"/>
          <w:sz w:val="24"/>
          <w:szCs w:val="24"/>
        </w:rPr>
        <w:t xml:space="preserve"> at 100 mg/kg did not significantly alter PCV, Hb, WBC, or PLT levels compared with control. The observed minor downward trends in Hb and platelet count were not statistically significant, suggesting continued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safety at moderate dosage.</w:t>
      </w:r>
    </w:p>
    <w:p w14:paraId="4F3CDA5C"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6C91E00C"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34D2A64"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26005E3"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28CE9ADA"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19175851"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2FA3DAF7"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C1410C5"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68D423A4"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2D682EC2"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10D69CB3" w14:textId="77777777" w:rsidR="00300895" w:rsidRDefault="00BC604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Comparison Between Control and Rats Treated with </w:t>
      </w:r>
      <w:r>
        <w:rPr>
          <w:rStyle w:val="Emphasis"/>
          <w:rFonts w:ascii="Times New Roman" w:hAnsi="Times New Roman" w:cs="Times New Roman"/>
          <w:b/>
          <w:sz w:val="24"/>
          <w:szCs w:val="24"/>
        </w:rPr>
        <w:t>P. yohimbe</w:t>
      </w:r>
      <w:r>
        <w:rPr>
          <w:rFonts w:ascii="Times New Roman" w:hAnsi="Times New Roman" w:cs="Times New Roman"/>
          <w:b/>
          <w:sz w:val="24"/>
          <w:szCs w:val="24"/>
        </w:rPr>
        <w:t xml:space="preserve"> (200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3"/>
        <w:gridCol w:w="1990"/>
        <w:gridCol w:w="3188"/>
        <w:gridCol w:w="730"/>
        <w:gridCol w:w="774"/>
        <w:gridCol w:w="1115"/>
      </w:tblGrid>
      <w:tr w:rsidR="00300895" w14:paraId="1B8AD3D2" w14:textId="77777777">
        <w:trPr>
          <w:tblHeader/>
          <w:tblCellSpacing w:w="15" w:type="dxa"/>
        </w:trPr>
        <w:tc>
          <w:tcPr>
            <w:tcW w:w="0" w:type="auto"/>
            <w:vAlign w:val="center"/>
            <w:hideMark/>
          </w:tcPr>
          <w:p w14:paraId="144638CD"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64FDC5AB"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76952FF9"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 yohimbe</w:t>
            </w:r>
            <w:r>
              <w:rPr>
                <w:rFonts w:ascii="Times New Roman" w:eastAsia="Times New Roman" w:hAnsi="Times New Roman" w:cs="Times New Roman"/>
                <w:b/>
                <w:bCs/>
                <w:sz w:val="24"/>
                <w:szCs w:val="24"/>
              </w:rPr>
              <w:t xml:space="preserve"> 200 mg/kg (Mean ± SE)</w:t>
            </w:r>
          </w:p>
        </w:tc>
        <w:tc>
          <w:tcPr>
            <w:tcW w:w="0" w:type="auto"/>
            <w:vAlign w:val="center"/>
            <w:hideMark/>
          </w:tcPr>
          <w:p w14:paraId="545E5127"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415C1C03"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05AB6693"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300895" w14:paraId="38C0B5A3" w14:textId="77777777">
        <w:trPr>
          <w:tblCellSpacing w:w="15" w:type="dxa"/>
        </w:trPr>
        <w:tc>
          <w:tcPr>
            <w:tcW w:w="0" w:type="auto"/>
            <w:vAlign w:val="center"/>
            <w:hideMark/>
          </w:tcPr>
          <w:p w14:paraId="37ECDE8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PCV (%)</w:t>
            </w:r>
          </w:p>
        </w:tc>
        <w:tc>
          <w:tcPr>
            <w:tcW w:w="0" w:type="auto"/>
            <w:vAlign w:val="center"/>
            <w:hideMark/>
          </w:tcPr>
          <w:p w14:paraId="1521C69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42.66 ± 0.59</w:t>
            </w:r>
          </w:p>
        </w:tc>
        <w:tc>
          <w:tcPr>
            <w:tcW w:w="0" w:type="auto"/>
            <w:vAlign w:val="center"/>
            <w:hideMark/>
          </w:tcPr>
          <w:p w14:paraId="4BCBAD9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39.10 ± 1.59</w:t>
            </w:r>
          </w:p>
        </w:tc>
        <w:tc>
          <w:tcPr>
            <w:tcW w:w="0" w:type="auto"/>
            <w:vAlign w:val="center"/>
            <w:hideMark/>
          </w:tcPr>
          <w:p w14:paraId="5FCFA94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c>
          <w:tcPr>
            <w:tcW w:w="0" w:type="auto"/>
            <w:vAlign w:val="center"/>
            <w:hideMark/>
          </w:tcPr>
          <w:p w14:paraId="3C9D51A5"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0.669</w:t>
            </w:r>
          </w:p>
        </w:tc>
        <w:tc>
          <w:tcPr>
            <w:tcW w:w="0" w:type="auto"/>
            <w:vAlign w:val="center"/>
            <w:hideMark/>
          </w:tcPr>
          <w:p w14:paraId="7A520CC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3A07222B" w14:textId="77777777">
        <w:trPr>
          <w:tblCellSpacing w:w="15" w:type="dxa"/>
        </w:trPr>
        <w:tc>
          <w:tcPr>
            <w:tcW w:w="0" w:type="auto"/>
            <w:vAlign w:val="center"/>
            <w:hideMark/>
          </w:tcPr>
          <w:p w14:paraId="5405008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Hb (g/dL)</w:t>
            </w:r>
          </w:p>
        </w:tc>
        <w:tc>
          <w:tcPr>
            <w:tcW w:w="0" w:type="auto"/>
            <w:vAlign w:val="center"/>
            <w:hideMark/>
          </w:tcPr>
          <w:p w14:paraId="5EF35FB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16.14 ± 0.15</w:t>
            </w:r>
          </w:p>
        </w:tc>
        <w:tc>
          <w:tcPr>
            <w:tcW w:w="0" w:type="auto"/>
            <w:vAlign w:val="center"/>
            <w:hideMark/>
          </w:tcPr>
          <w:p w14:paraId="39AAD8C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13.94 ± 0.77</w:t>
            </w:r>
          </w:p>
        </w:tc>
        <w:tc>
          <w:tcPr>
            <w:tcW w:w="0" w:type="auto"/>
            <w:vAlign w:val="center"/>
            <w:hideMark/>
          </w:tcPr>
          <w:p w14:paraId="6A4BFF9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0" w:type="auto"/>
            <w:vAlign w:val="center"/>
            <w:hideMark/>
          </w:tcPr>
          <w:p w14:paraId="0099633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0.022</w:t>
            </w:r>
          </w:p>
        </w:tc>
        <w:tc>
          <w:tcPr>
            <w:tcW w:w="0" w:type="auto"/>
            <w:vAlign w:val="center"/>
            <w:hideMark/>
          </w:tcPr>
          <w:p w14:paraId="17808F5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300895" w14:paraId="6AFC3F08" w14:textId="77777777">
        <w:trPr>
          <w:tblCellSpacing w:w="15" w:type="dxa"/>
        </w:trPr>
        <w:tc>
          <w:tcPr>
            <w:tcW w:w="0" w:type="auto"/>
            <w:vAlign w:val="center"/>
            <w:hideMark/>
          </w:tcPr>
          <w:p w14:paraId="3EB6A7B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WBC (×10³/µL)</w:t>
            </w:r>
          </w:p>
        </w:tc>
        <w:tc>
          <w:tcPr>
            <w:tcW w:w="0" w:type="auto"/>
            <w:vAlign w:val="center"/>
            <w:hideMark/>
          </w:tcPr>
          <w:p w14:paraId="004E1D9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7.54 ± 0.67</w:t>
            </w:r>
          </w:p>
        </w:tc>
        <w:tc>
          <w:tcPr>
            <w:tcW w:w="0" w:type="auto"/>
            <w:vAlign w:val="center"/>
            <w:hideMark/>
          </w:tcPr>
          <w:p w14:paraId="4FD0C24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5.70 ± 0.31</w:t>
            </w:r>
          </w:p>
        </w:tc>
        <w:tc>
          <w:tcPr>
            <w:tcW w:w="0" w:type="auto"/>
            <w:vAlign w:val="center"/>
            <w:hideMark/>
          </w:tcPr>
          <w:p w14:paraId="16B9002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0" w:type="auto"/>
            <w:vAlign w:val="center"/>
            <w:hideMark/>
          </w:tcPr>
          <w:p w14:paraId="52476D1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0.038</w:t>
            </w:r>
          </w:p>
        </w:tc>
        <w:tc>
          <w:tcPr>
            <w:tcW w:w="0" w:type="auto"/>
            <w:vAlign w:val="center"/>
            <w:hideMark/>
          </w:tcPr>
          <w:p w14:paraId="19303F6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300895" w14:paraId="2AA88172" w14:textId="77777777">
        <w:trPr>
          <w:tblCellSpacing w:w="15" w:type="dxa"/>
        </w:trPr>
        <w:tc>
          <w:tcPr>
            <w:tcW w:w="0" w:type="auto"/>
            <w:vAlign w:val="center"/>
            <w:hideMark/>
          </w:tcPr>
          <w:p w14:paraId="6A0B0B1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PLT (×10³/µL)</w:t>
            </w:r>
          </w:p>
        </w:tc>
        <w:tc>
          <w:tcPr>
            <w:tcW w:w="0" w:type="auto"/>
            <w:vAlign w:val="center"/>
            <w:hideMark/>
          </w:tcPr>
          <w:p w14:paraId="44B574D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607.40 ± 43.76</w:t>
            </w:r>
          </w:p>
        </w:tc>
        <w:tc>
          <w:tcPr>
            <w:tcW w:w="0" w:type="auto"/>
            <w:vAlign w:val="center"/>
            <w:hideMark/>
          </w:tcPr>
          <w:p w14:paraId="0050C6E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633.80 ± 39.65</w:t>
            </w:r>
          </w:p>
        </w:tc>
        <w:tc>
          <w:tcPr>
            <w:tcW w:w="0" w:type="auto"/>
            <w:vAlign w:val="center"/>
            <w:hideMark/>
          </w:tcPr>
          <w:p w14:paraId="35EC7C5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0.44</w:t>
            </w:r>
          </w:p>
        </w:tc>
        <w:tc>
          <w:tcPr>
            <w:tcW w:w="0" w:type="auto"/>
            <w:vAlign w:val="center"/>
            <w:hideMark/>
          </w:tcPr>
          <w:p w14:paraId="4C6AF45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0.667</w:t>
            </w:r>
          </w:p>
        </w:tc>
        <w:tc>
          <w:tcPr>
            <w:tcW w:w="0" w:type="auto"/>
            <w:vAlign w:val="center"/>
            <w:hideMark/>
          </w:tcPr>
          <w:p w14:paraId="3E2BA01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bl>
    <w:p w14:paraId="1D7AC104" w14:textId="77777777" w:rsidR="00300895" w:rsidRDefault="00300895">
      <w:pPr>
        <w:spacing w:line="360" w:lineRule="auto"/>
        <w:jc w:val="both"/>
        <w:rPr>
          <w:rStyle w:val="Strong"/>
        </w:rPr>
      </w:pPr>
    </w:p>
    <w:p w14:paraId="094B7EB0" w14:textId="77777777" w:rsidR="00300895" w:rsidRDefault="00BC6047">
      <w:pPr>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Interpretation:</w:t>
      </w:r>
      <w:r>
        <w:rPr>
          <w:rFonts w:ascii="Times New Roman" w:hAnsi="Times New Roman" w:cs="Times New Roman"/>
          <w:sz w:val="24"/>
          <w:szCs w:val="24"/>
        </w:rPr>
        <w:t xml:space="preserve"> High-dose </w:t>
      </w:r>
      <w:r>
        <w:rPr>
          <w:rStyle w:val="Emphasis"/>
          <w:rFonts w:ascii="Times New Roman" w:hAnsi="Times New Roman" w:cs="Times New Roman"/>
          <w:sz w:val="24"/>
          <w:szCs w:val="24"/>
        </w:rPr>
        <w:t>P. yohimbe</w:t>
      </w:r>
      <w:r>
        <w:rPr>
          <w:rFonts w:ascii="Times New Roman" w:hAnsi="Times New Roman" w:cs="Times New Roman"/>
          <w:sz w:val="24"/>
          <w:szCs w:val="24"/>
        </w:rPr>
        <w:t xml:space="preserve"> (200 mg/kg) resulted in a significant reduction in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concentration and white blood cell count compared to the control group, while PCV and platelet counts were unaffected. These findings suggest a dose-dependent suppressive effect on erythropoiesis and leukopoiesis at elevated extract concentrations.</w:t>
      </w:r>
    </w:p>
    <w:p w14:paraId="3047DD50" w14:textId="77777777" w:rsidR="00300895" w:rsidRDefault="00300895">
      <w:pPr>
        <w:spacing w:line="360" w:lineRule="auto"/>
        <w:jc w:val="both"/>
        <w:rPr>
          <w:rFonts w:ascii="Times New Roman" w:hAnsi="Times New Roman" w:cs="Times New Roman"/>
          <w:sz w:val="24"/>
          <w:szCs w:val="24"/>
        </w:rPr>
      </w:pPr>
    </w:p>
    <w:p w14:paraId="50020274" w14:textId="77777777" w:rsidR="00300895" w:rsidRDefault="00300895">
      <w:pPr>
        <w:spacing w:line="360" w:lineRule="auto"/>
        <w:jc w:val="both"/>
        <w:rPr>
          <w:rFonts w:ascii="Times New Roman" w:hAnsi="Times New Roman" w:cs="Times New Roman"/>
          <w:sz w:val="24"/>
          <w:szCs w:val="24"/>
        </w:rPr>
      </w:pPr>
    </w:p>
    <w:p w14:paraId="78250569" w14:textId="77777777" w:rsidR="00300895" w:rsidRDefault="00300895">
      <w:pPr>
        <w:spacing w:line="360" w:lineRule="auto"/>
        <w:jc w:val="both"/>
        <w:rPr>
          <w:rFonts w:ascii="Times New Roman" w:hAnsi="Times New Roman" w:cs="Times New Roman"/>
          <w:sz w:val="24"/>
          <w:szCs w:val="24"/>
        </w:rPr>
      </w:pPr>
    </w:p>
    <w:p w14:paraId="3F4D9537" w14:textId="77777777" w:rsidR="00300895" w:rsidRDefault="00300895">
      <w:pPr>
        <w:spacing w:line="360" w:lineRule="auto"/>
        <w:jc w:val="both"/>
        <w:rPr>
          <w:rFonts w:ascii="Times New Roman" w:hAnsi="Times New Roman" w:cs="Times New Roman"/>
          <w:sz w:val="24"/>
          <w:szCs w:val="24"/>
        </w:rPr>
      </w:pPr>
    </w:p>
    <w:p w14:paraId="1E62336D" w14:textId="77777777" w:rsidR="00300895" w:rsidRDefault="00300895">
      <w:pPr>
        <w:spacing w:line="360" w:lineRule="auto"/>
        <w:jc w:val="both"/>
        <w:rPr>
          <w:rFonts w:ascii="Times New Roman" w:hAnsi="Times New Roman" w:cs="Times New Roman"/>
          <w:sz w:val="24"/>
          <w:szCs w:val="24"/>
        </w:rPr>
      </w:pPr>
    </w:p>
    <w:p w14:paraId="385BAB46" w14:textId="77777777" w:rsidR="00300895" w:rsidRDefault="00300895">
      <w:pPr>
        <w:spacing w:line="360" w:lineRule="auto"/>
        <w:jc w:val="both"/>
        <w:rPr>
          <w:rFonts w:ascii="Times New Roman" w:hAnsi="Times New Roman" w:cs="Times New Roman"/>
          <w:sz w:val="24"/>
          <w:szCs w:val="24"/>
        </w:rPr>
      </w:pPr>
    </w:p>
    <w:p w14:paraId="2FC66BA1" w14:textId="77777777" w:rsidR="00300895" w:rsidRDefault="00300895">
      <w:pPr>
        <w:spacing w:line="360" w:lineRule="auto"/>
        <w:jc w:val="both"/>
        <w:rPr>
          <w:rFonts w:ascii="Times New Roman" w:hAnsi="Times New Roman" w:cs="Times New Roman"/>
          <w:sz w:val="24"/>
          <w:szCs w:val="24"/>
        </w:rPr>
      </w:pPr>
    </w:p>
    <w:p w14:paraId="6A1BD91A" w14:textId="77777777" w:rsidR="00300895" w:rsidRDefault="00300895">
      <w:pPr>
        <w:spacing w:line="360" w:lineRule="auto"/>
        <w:jc w:val="both"/>
        <w:rPr>
          <w:rFonts w:ascii="Times New Roman" w:hAnsi="Times New Roman" w:cs="Times New Roman"/>
          <w:sz w:val="24"/>
          <w:szCs w:val="24"/>
        </w:rPr>
      </w:pPr>
    </w:p>
    <w:p w14:paraId="49649D93" w14:textId="77777777" w:rsidR="00300895" w:rsidRDefault="00300895">
      <w:pPr>
        <w:spacing w:line="360" w:lineRule="auto"/>
        <w:jc w:val="both"/>
        <w:rPr>
          <w:rFonts w:ascii="Times New Roman" w:hAnsi="Times New Roman" w:cs="Times New Roman"/>
          <w:sz w:val="24"/>
          <w:szCs w:val="24"/>
        </w:rPr>
      </w:pPr>
    </w:p>
    <w:p w14:paraId="33FDF628" w14:textId="77777777" w:rsidR="00300895" w:rsidRDefault="00300895">
      <w:pPr>
        <w:spacing w:line="360" w:lineRule="auto"/>
        <w:jc w:val="both"/>
        <w:rPr>
          <w:rFonts w:ascii="Times New Roman" w:hAnsi="Times New Roman" w:cs="Times New Roman"/>
          <w:sz w:val="24"/>
          <w:szCs w:val="24"/>
        </w:rPr>
      </w:pPr>
    </w:p>
    <w:p w14:paraId="30D929A2" w14:textId="77777777" w:rsidR="00300895" w:rsidRDefault="00300895">
      <w:pPr>
        <w:spacing w:line="360" w:lineRule="auto"/>
        <w:jc w:val="both"/>
        <w:rPr>
          <w:rFonts w:ascii="Times New Roman" w:hAnsi="Times New Roman" w:cs="Times New Roman"/>
          <w:sz w:val="24"/>
          <w:szCs w:val="24"/>
        </w:rPr>
      </w:pPr>
    </w:p>
    <w:p w14:paraId="161F022C" w14:textId="77777777" w:rsidR="00300895" w:rsidRDefault="00300895">
      <w:pPr>
        <w:spacing w:line="360" w:lineRule="auto"/>
        <w:jc w:val="both"/>
        <w:rPr>
          <w:rFonts w:ascii="Times New Roman" w:hAnsi="Times New Roman" w:cs="Times New Roman"/>
          <w:sz w:val="24"/>
          <w:szCs w:val="24"/>
        </w:rPr>
      </w:pPr>
    </w:p>
    <w:p w14:paraId="3EA30F0D" w14:textId="77777777" w:rsidR="00300895" w:rsidRDefault="00300895">
      <w:pPr>
        <w:spacing w:line="360" w:lineRule="auto"/>
        <w:jc w:val="both"/>
        <w:rPr>
          <w:rFonts w:ascii="Times New Roman" w:hAnsi="Times New Roman" w:cs="Times New Roman"/>
          <w:sz w:val="24"/>
          <w:szCs w:val="24"/>
        </w:rPr>
      </w:pPr>
    </w:p>
    <w:p w14:paraId="108540FD"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Statistical Summary</w:t>
      </w:r>
    </w:p>
    <w:p w14:paraId="631AE68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at 50 and 100 mg/kg did not substantially change any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parameters (p &gt; 0.05), according to independent t-tests; however, the 200 mg/kg dose resulted in significant decreases in Hb (p = 0.022) and WBC (p = 0.038). All indices were strongly impacted by sildenafil (5 mg/kg) (p &lt; 0.05), suggesting pharmacologically driven changes in the hematological system.</w:t>
      </w:r>
    </w:p>
    <w:p w14:paraId="1A0AA0DD"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3.4 Graphical Trend Summary (Narrative)</w:t>
      </w:r>
    </w:p>
    <w:p w14:paraId="24C9ED4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dosages increased, PCV and Hb levels generally showed a declining trend, albeit statistical significance was only reached at 200 mg/kg. WBC counts responded in two stages: at low-to-moderate doses, they fluctuated somewhat, and at the highest dose, they significantly decreased. All groups' platelet counts were comparatively constant, with a small but non-significant increase at 200 mg/kg.</w:t>
      </w:r>
    </w:p>
    <w:p w14:paraId="71A01F45"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3.5 Summary of Key Findings</w:t>
      </w:r>
    </w:p>
    <w:p w14:paraId="26DC848B" w14:textId="77777777" w:rsidR="00300895" w:rsidRDefault="00BC60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Sildenafil significantly altered all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parameters.</w:t>
      </w:r>
    </w:p>
    <w:p w14:paraId="74D58051" w14:textId="77777777" w:rsidR="00300895" w:rsidRDefault="00BC60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 yohimbe</w:t>
      </w:r>
      <w:r>
        <w:rPr>
          <w:rFonts w:ascii="Times New Roman" w:eastAsia="Times New Roman" w:hAnsi="Times New Roman" w:cs="Times New Roman"/>
          <w:sz w:val="24"/>
          <w:szCs w:val="24"/>
        </w:rPr>
        <w:t xml:space="preserve"> at 50–100 mg/kg maintained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stability.</w:t>
      </w:r>
    </w:p>
    <w:p w14:paraId="3DA889A1" w14:textId="77777777" w:rsidR="00300895" w:rsidRDefault="00BC60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200 mg/kg, </w:t>
      </w:r>
      <w:r>
        <w:rPr>
          <w:rFonts w:ascii="Times New Roman" w:eastAsia="Times New Roman" w:hAnsi="Times New Roman" w:cs="Times New Roman"/>
          <w:i/>
          <w:iCs/>
          <w:sz w:val="24"/>
          <w:szCs w:val="24"/>
        </w:rPr>
        <w:t>P. yohimbe</w:t>
      </w:r>
      <w:r>
        <w:rPr>
          <w:rFonts w:ascii="Times New Roman" w:eastAsia="Times New Roman" w:hAnsi="Times New Roman" w:cs="Times New Roman"/>
          <w:sz w:val="24"/>
          <w:szCs w:val="24"/>
        </w:rPr>
        <w:t xml:space="preserve"> caused statistically significant decreases in Hb and WBC.</w:t>
      </w:r>
    </w:p>
    <w:p w14:paraId="05B4B60A" w14:textId="77777777" w:rsidR="00300895" w:rsidRDefault="00BC60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dose produced thrombocytopenia or a change in PCV beyond physiological limits.</w:t>
      </w:r>
    </w:p>
    <w:p w14:paraId="407707FC"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17A2996"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69A2D92" w14:textId="77777777" w:rsidR="00300895" w:rsidRDefault="00BC6047">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Discussion</w:t>
      </w:r>
    </w:p>
    <w:p w14:paraId="53D2F7DB" w14:textId="2FA0C631"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28 days of oral treatment, the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effects of </w:t>
      </w:r>
      <w:proofErr w:type="spellStart"/>
      <w:r>
        <w:rPr>
          <w:rFonts w:ascii="Times New Roman" w:eastAsia="Times New Roman" w:hAnsi="Times New Roman" w:cs="Times New Roman"/>
          <w:i/>
          <w:sz w:val="24"/>
          <w:szCs w:val="24"/>
        </w:rPr>
        <w:t>Pausinystalia</w:t>
      </w:r>
      <w:proofErr w:type="spellEnd"/>
      <w:r>
        <w:rPr>
          <w:rFonts w:ascii="Times New Roman" w:eastAsia="Times New Roman" w:hAnsi="Times New Roman" w:cs="Times New Roman"/>
          <w:i/>
          <w:sz w:val="24"/>
          <w:szCs w:val="24"/>
        </w:rPr>
        <w:t xml:space="preserve"> yohimbe</w:t>
      </w:r>
      <w:r>
        <w:rPr>
          <w:rFonts w:ascii="Times New Roman" w:eastAsia="Times New Roman" w:hAnsi="Times New Roman" w:cs="Times New Roman"/>
          <w:sz w:val="24"/>
          <w:szCs w:val="24"/>
        </w:rPr>
        <w:t xml:space="preserve"> methanol extract were examined in male Wistar rats. Important biomarkers of both healthy and pathological situations include hematological indices, including packed cell volume (PCV), hemoglobin concentration (Hb), white blood cell count (WBC), and platelet count (PLT). According to </w:t>
      </w:r>
      <w:r w:rsidR="007539B4" w:rsidRPr="007539B4">
        <w:rPr>
          <w:highlight w:val="yellow"/>
        </w:rPr>
        <w:t>Soliman</w:t>
      </w:r>
      <w:r w:rsidR="00753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et al. </w:t>
      </w:r>
      <w:r w:rsidR="007539B4">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changes in these parameters are frequently suggestive of inflammatory reactions, toxic exposures, or disturbances in hematopoiesis.</w:t>
      </w:r>
    </w:p>
    <w:p w14:paraId="5F7B60C7" w14:textId="0E269457" w:rsidR="00300895" w:rsidRPr="002977FA"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was administered at low and moderate doses (50 and 100 mg/kg) in the current investigation, there were no statistically significant changes in PCV, Hb, WBC, or PLT as compared to the control group. This finding implies a favorable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safety profile since it shows that the extract has no negative effects on erythropoiesis, leukopoiesis, or thrombopoiesis at these concentrations. These results are in line with evidence that low-dose phytochemicals can trigger homeostatic or adaptive antioxidant systems that support cellular resilience by preventing oxidative or metabolic stress. As a result, </w:t>
      </w:r>
      <w:r w:rsidRPr="002977FA">
        <w:rPr>
          <w:rFonts w:ascii="Times New Roman" w:eastAsia="Times New Roman" w:hAnsi="Times New Roman" w:cs="Times New Roman"/>
          <w:sz w:val="24"/>
          <w:szCs w:val="24"/>
          <w:highlight w:val="yellow"/>
        </w:rPr>
        <w:t xml:space="preserve">when taken in moderation, </w:t>
      </w:r>
      <w:r w:rsidRPr="002977FA">
        <w:rPr>
          <w:rFonts w:ascii="Times New Roman" w:eastAsia="Times New Roman" w:hAnsi="Times New Roman" w:cs="Times New Roman"/>
          <w:i/>
          <w:sz w:val="24"/>
          <w:szCs w:val="24"/>
          <w:highlight w:val="yellow"/>
        </w:rPr>
        <w:t>P. yohimbe</w:t>
      </w:r>
      <w:r w:rsidRPr="002977FA">
        <w:rPr>
          <w:rFonts w:ascii="Times New Roman" w:eastAsia="Times New Roman" w:hAnsi="Times New Roman" w:cs="Times New Roman"/>
          <w:sz w:val="24"/>
          <w:szCs w:val="24"/>
          <w:highlight w:val="yellow"/>
        </w:rPr>
        <w:t xml:space="preserve"> seems to be safe for the hematological system</w:t>
      </w:r>
      <w:r w:rsidR="002977FA" w:rsidRPr="002977FA">
        <w:rPr>
          <w:rFonts w:ascii="Times New Roman" w:eastAsia="Times New Roman" w:hAnsi="Times New Roman" w:cs="Times New Roman"/>
          <w:sz w:val="24"/>
          <w:szCs w:val="24"/>
          <w:highlight w:val="yellow"/>
          <w:vertAlign w:val="superscript"/>
        </w:rPr>
        <w:t>14</w:t>
      </w:r>
      <w:r w:rsidR="002977FA" w:rsidRPr="002977FA">
        <w:rPr>
          <w:rFonts w:ascii="Times New Roman" w:eastAsia="Times New Roman" w:hAnsi="Times New Roman" w:cs="Times New Roman"/>
          <w:sz w:val="24"/>
          <w:szCs w:val="24"/>
          <w:highlight w:val="yellow"/>
        </w:rPr>
        <w:t>.</w:t>
      </w:r>
    </w:p>
    <w:p w14:paraId="1B3C926E" w14:textId="3BD453A4" w:rsidR="00300895" w:rsidRPr="002977FA"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 the extract significantly decreased the WBC count and hemoglobin concentration at a higher dose (200 mg/kg), while PCV and PLT values stayed the same. The decrease in Hb could be a sign of moderate anemia, which could be brought on by oxidative damage to erythrocytes or reduction of erythropoietic activity. At high quantities, </w:t>
      </w:r>
      <w:r>
        <w:rPr>
          <w:rFonts w:ascii="Times New Roman" w:eastAsia="Times New Roman" w:hAnsi="Times New Roman" w:cs="Times New Roman"/>
          <w:i/>
          <w:sz w:val="24"/>
          <w:szCs w:val="24"/>
        </w:rPr>
        <w:t>yohimbine</w:t>
      </w:r>
      <w:r>
        <w:rPr>
          <w:rFonts w:ascii="Times New Roman" w:eastAsia="Times New Roman" w:hAnsi="Times New Roman" w:cs="Times New Roman"/>
          <w:sz w:val="24"/>
          <w:szCs w:val="24"/>
        </w:rPr>
        <w:t xml:space="preserve">, the main indole alkaloid found in P. yohimbe, is known to promote lipid peroxidation and catecholamine release, two processes that might weaken the integrity of red blood cell membranes. </w:t>
      </w:r>
      <w:r w:rsidRPr="002977FA">
        <w:rPr>
          <w:rFonts w:ascii="Times New Roman" w:eastAsia="Times New Roman" w:hAnsi="Times New Roman" w:cs="Times New Roman"/>
          <w:sz w:val="24"/>
          <w:szCs w:val="24"/>
          <w:highlight w:val="yellow"/>
        </w:rPr>
        <w:lastRenderedPageBreak/>
        <w:t>The simultaneous drop in WBC count may be the result of bone marrow suppression or leukocyte depletion, indicating mild immunosuppression brought on by oxidative stress from alkaloid exposure</w:t>
      </w:r>
      <w:r w:rsidR="002977FA" w:rsidRPr="002977FA">
        <w:rPr>
          <w:rFonts w:ascii="Times New Roman" w:eastAsia="Times New Roman" w:hAnsi="Times New Roman" w:cs="Times New Roman"/>
          <w:sz w:val="24"/>
          <w:szCs w:val="24"/>
          <w:highlight w:val="yellow"/>
        </w:rPr>
        <w:t>.</w:t>
      </w:r>
      <w:r w:rsidR="002977FA" w:rsidRPr="002977FA">
        <w:rPr>
          <w:rFonts w:ascii="Times New Roman" w:eastAsia="Times New Roman" w:hAnsi="Times New Roman" w:cs="Times New Roman"/>
          <w:sz w:val="24"/>
          <w:szCs w:val="24"/>
          <w:highlight w:val="yellow"/>
          <w:vertAlign w:val="superscript"/>
        </w:rPr>
        <w:t>13</w:t>
      </w:r>
    </w:p>
    <w:p w14:paraId="7DCA3B28" w14:textId="081EF800"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extract's safety with regard to erythropoiesis, leukopoiesis, and thrombopoiesis is thus demonstrated by the observed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changes, which show a dose-dependent response. Low (50 mg/kg) and moderate (100 mg/kg) doses maintained stable PCV, Hb, WBC, and PLT levels </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xml:space="preserve">. At the higher dose (200 mg/kg), however, notable decreases in Hb and WBC point to possible anemia and immunosuppression, which are most likely caused by oxidative damage mediated by yohimbine </w:t>
      </w:r>
      <w:r>
        <w:rPr>
          <w:rFonts w:ascii="Times New Roman" w:eastAsia="Times New Roman" w:hAnsi="Times New Roman" w:cs="Times New Roman"/>
          <w:sz w:val="24"/>
          <w:szCs w:val="24"/>
          <w:vertAlign w:val="superscript"/>
        </w:rPr>
        <w:t>8 9</w:t>
      </w:r>
      <w:r>
        <w:rPr>
          <w:rFonts w:ascii="Times New Roman" w:eastAsia="Times New Roman" w:hAnsi="Times New Roman" w:cs="Times New Roman"/>
          <w:sz w:val="24"/>
          <w:szCs w:val="24"/>
        </w:rPr>
        <w:t xml:space="preserve">. This dose-dependent duality is consistent with other research showing that while greater doses of phytochemicals may cause harmful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effects, lower doses can induce advantageous antioxidant adaptations </w:t>
      </w:r>
      <w:r>
        <w:rPr>
          <w:rFonts w:ascii="Times New Roman" w:eastAsia="Times New Roman" w:hAnsi="Times New Roman" w:cs="Times New Roman"/>
          <w:sz w:val="24"/>
          <w:szCs w:val="24"/>
          <w:vertAlign w:val="superscript"/>
        </w:rPr>
        <w:t>12 10</w:t>
      </w:r>
      <w:r>
        <w:rPr>
          <w:rFonts w:ascii="Times New Roman" w:eastAsia="Times New Roman" w:hAnsi="Times New Roman" w:cs="Times New Roman"/>
          <w:sz w:val="24"/>
          <w:szCs w:val="24"/>
        </w:rPr>
        <w:t>.</w:t>
      </w:r>
    </w:p>
    <w:p w14:paraId="524C6C6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research on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extracts repeatedly shows that platelet counts are essentially unchanged among treatment groups, indicating that there is no discernible impact on either platelet turnover or thrombopoiesis </w:t>
      </w:r>
      <w:proofErr w:type="gramStart"/>
      <w:r>
        <w:rPr>
          <w:rFonts w:ascii="Times New Roman" w:eastAsia="Times New Roman" w:hAnsi="Times New Roman" w:cs="Times New Roman"/>
          <w:sz w:val="24"/>
          <w:szCs w:val="24"/>
          <w:vertAlign w:val="superscript"/>
        </w:rPr>
        <w:t>12  9</w:t>
      </w:r>
      <w:proofErr w:type="gramEnd"/>
      <w:r>
        <w:rPr>
          <w:rFonts w:ascii="Times New Roman" w:eastAsia="Times New Roman" w:hAnsi="Times New Roman" w:cs="Times New Roman"/>
          <w:sz w:val="24"/>
          <w:szCs w:val="24"/>
        </w:rPr>
        <w:t xml:space="preserve">. The lack of significant change in PCV further supports this stability in PLT levels, highlighting the extract's little effect on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homeostasis at moderate dosages. On the other hand, it has been shown that the well-known vasodilator sildenafil citrate dramatically changes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markers, which is indicative of its systemic vascular effects </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w:t>
      </w:r>
    </w:p>
    <w:p w14:paraId="58E6D95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methanol extract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exhibits a complex, dose-dependent hematological safety profile overall. Higher doses (200 mg/kg) are linked to leukopenia and moderate anemia, while levels up to 100 mg/kg are well tolerated and may be advantageous through adaptive antioxidant responses </w:t>
      </w:r>
      <w:r>
        <w:rPr>
          <w:rFonts w:ascii="Times New Roman" w:eastAsia="Times New Roman" w:hAnsi="Times New Roman" w:cs="Times New Roman"/>
          <w:sz w:val="24"/>
          <w:szCs w:val="24"/>
          <w:vertAlign w:val="superscript"/>
        </w:rPr>
        <w:t>12 8 11</w:t>
      </w:r>
      <w:r>
        <w:rPr>
          <w:rFonts w:ascii="Times New Roman" w:eastAsia="Times New Roman" w:hAnsi="Times New Roman" w:cs="Times New Roman"/>
          <w:sz w:val="24"/>
          <w:szCs w:val="24"/>
        </w:rPr>
        <w:t>. In order to ensure safety in both traditional and pharmacological applications of P. yohimbe, modest dose must be maintained.</w:t>
      </w:r>
    </w:p>
    <w:p w14:paraId="2B2DEF53" w14:textId="77777777" w:rsidR="00300895" w:rsidRDefault="00300895">
      <w:pPr>
        <w:spacing w:after="0" w:line="240" w:lineRule="auto"/>
        <w:rPr>
          <w:rFonts w:ascii="Times New Roman" w:eastAsia="Times New Roman" w:hAnsi="Times New Roman" w:cs="Times New Roman"/>
          <w:sz w:val="24"/>
          <w:szCs w:val="24"/>
        </w:rPr>
      </w:pPr>
    </w:p>
    <w:p w14:paraId="1C430684"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25DB4BE"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6FEBBF1A"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420F3FBB"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E0CC95D"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2B95EC39"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1940EB7"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18054B50"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1E2704D2"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9F0AE13"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0152FB2E" w14:textId="77777777" w:rsidR="00300895" w:rsidRDefault="00BC6047">
      <w:pPr>
        <w:spacing w:before="100" w:beforeAutospacing="1" w:after="100" w:afterAutospacing="1" w:line="36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5.0 Conclusion</w:t>
      </w:r>
    </w:p>
    <w:p w14:paraId="677AB2E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male Wistar rats, this work has shown that </w:t>
      </w:r>
      <w:proofErr w:type="spellStart"/>
      <w:r>
        <w:rPr>
          <w:rFonts w:ascii="Times New Roman" w:eastAsia="Times New Roman" w:hAnsi="Times New Roman" w:cs="Times New Roman"/>
          <w:sz w:val="24"/>
          <w:szCs w:val="24"/>
        </w:rPr>
        <w:t>subchronic</w:t>
      </w:r>
      <w:proofErr w:type="spellEnd"/>
      <w:r>
        <w:rPr>
          <w:rFonts w:ascii="Times New Roman" w:eastAsia="Times New Roman" w:hAnsi="Times New Roman" w:cs="Times New Roman"/>
          <w:sz w:val="24"/>
          <w:szCs w:val="24"/>
        </w:rPr>
        <w:t xml:space="preserve"> treatment of </w:t>
      </w:r>
      <w:proofErr w:type="spellStart"/>
      <w:r>
        <w:rPr>
          <w:rFonts w:ascii="Times New Roman" w:eastAsia="Times New Roman" w:hAnsi="Times New Roman" w:cs="Times New Roman"/>
          <w:i/>
          <w:sz w:val="24"/>
          <w:szCs w:val="24"/>
        </w:rPr>
        <w:t>Pausinystalia</w:t>
      </w:r>
      <w:proofErr w:type="spellEnd"/>
      <w:r>
        <w:rPr>
          <w:rFonts w:ascii="Times New Roman" w:eastAsia="Times New Roman" w:hAnsi="Times New Roman" w:cs="Times New Roman"/>
          <w:i/>
          <w:sz w:val="24"/>
          <w:szCs w:val="24"/>
        </w:rPr>
        <w:t xml:space="preserve"> yohimbe</w:t>
      </w:r>
      <w:r>
        <w:rPr>
          <w:rFonts w:ascii="Times New Roman" w:eastAsia="Times New Roman" w:hAnsi="Times New Roman" w:cs="Times New Roman"/>
          <w:sz w:val="24"/>
          <w:szCs w:val="24"/>
        </w:rPr>
        <w:t xml:space="preserve"> methanol extract results in dose-dependent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effects. The extract showed no discernible changes in packed cell volume, </w:t>
      </w:r>
      <w:proofErr w:type="spellStart"/>
      <w:r>
        <w:rPr>
          <w:rFonts w:ascii="Times New Roman" w:eastAsia="Times New Roman" w:hAnsi="Times New Roman" w:cs="Times New Roman"/>
          <w:sz w:val="24"/>
          <w:szCs w:val="24"/>
        </w:rPr>
        <w:t>haemoglobin</w:t>
      </w:r>
      <w:proofErr w:type="spellEnd"/>
      <w:r>
        <w:rPr>
          <w:rFonts w:ascii="Times New Roman" w:eastAsia="Times New Roman" w:hAnsi="Times New Roman" w:cs="Times New Roman"/>
          <w:sz w:val="24"/>
          <w:szCs w:val="24"/>
        </w:rPr>
        <w:t xml:space="preserve"> concentration, white blood cell count, or platelet count at lower dosages (50 and 100 mg/kg), indicating a good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safety profile in this range. But at a larger dose (200 mg/kg), the extract dramatically decreased white blood cell and hemoglobin counts, suggesting that leukopenia and mild anemia may be caused by oxidative or marrow-suppressive mechanisms brought on by high </w:t>
      </w:r>
      <w:r>
        <w:rPr>
          <w:rFonts w:ascii="Times New Roman" w:eastAsia="Times New Roman" w:hAnsi="Times New Roman" w:cs="Times New Roman"/>
          <w:i/>
          <w:sz w:val="24"/>
          <w:szCs w:val="24"/>
        </w:rPr>
        <w:t>yohimbine</w:t>
      </w:r>
      <w:r>
        <w:rPr>
          <w:rFonts w:ascii="Times New Roman" w:eastAsia="Times New Roman" w:hAnsi="Times New Roman" w:cs="Times New Roman"/>
          <w:sz w:val="24"/>
          <w:szCs w:val="24"/>
        </w:rPr>
        <w:t xml:space="preserve"> alkaloids.</w:t>
      </w:r>
    </w:p>
    <w:p w14:paraId="692D512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these results set a preliminary safety threshold for </w:t>
      </w:r>
      <w:r w:rsidRPr="00C270E1">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and highlight the possibility of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hazards associated with its careless usage at large dosages. The work offers fundamental toxicological proof in favor of </w:t>
      </w:r>
      <w:r>
        <w:rPr>
          <w:rFonts w:ascii="Times New Roman" w:eastAsia="Times New Roman" w:hAnsi="Times New Roman" w:cs="Times New Roman"/>
          <w:i/>
          <w:sz w:val="24"/>
          <w:szCs w:val="24"/>
        </w:rPr>
        <w:t>P. yohimbe's</w:t>
      </w:r>
      <w:r>
        <w:rPr>
          <w:rFonts w:ascii="Times New Roman" w:eastAsia="Times New Roman" w:hAnsi="Times New Roman" w:cs="Times New Roman"/>
          <w:sz w:val="24"/>
          <w:szCs w:val="24"/>
        </w:rPr>
        <w:t xml:space="preserve"> cautious application in conventional and experimental pharmacotherapy. To clarify the reasons behind the observed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changes, more research utilizing cytokine profiling, oxidative stress indicators, and histopathology is needed.</w:t>
      </w:r>
    </w:p>
    <w:p w14:paraId="0A8F54A9" w14:textId="77777777" w:rsidR="00300895" w:rsidRDefault="00300895">
      <w:pPr>
        <w:spacing w:after="0" w:line="360" w:lineRule="auto"/>
        <w:jc w:val="both"/>
        <w:rPr>
          <w:rFonts w:ascii="Times New Roman" w:eastAsia="Times New Roman" w:hAnsi="Times New Roman" w:cs="Times New Roman"/>
          <w:sz w:val="24"/>
          <w:szCs w:val="24"/>
        </w:rPr>
      </w:pPr>
    </w:p>
    <w:p w14:paraId="37AF84CD" w14:textId="77777777" w:rsidR="00300895" w:rsidRDefault="00300895">
      <w:pPr>
        <w:spacing w:after="0" w:line="360" w:lineRule="auto"/>
        <w:jc w:val="both"/>
        <w:rPr>
          <w:rFonts w:ascii="Times New Roman" w:eastAsia="Times New Roman" w:hAnsi="Times New Roman" w:cs="Times New Roman"/>
          <w:sz w:val="24"/>
          <w:szCs w:val="24"/>
        </w:rPr>
      </w:pPr>
    </w:p>
    <w:p w14:paraId="63868928" w14:textId="77777777" w:rsidR="00300895" w:rsidRDefault="00300895">
      <w:pPr>
        <w:spacing w:after="0" w:line="360" w:lineRule="auto"/>
        <w:jc w:val="both"/>
        <w:rPr>
          <w:rFonts w:ascii="Times New Roman" w:eastAsia="Times New Roman" w:hAnsi="Times New Roman" w:cs="Times New Roman"/>
          <w:sz w:val="24"/>
          <w:szCs w:val="24"/>
        </w:rPr>
      </w:pPr>
    </w:p>
    <w:p w14:paraId="3B48B7D2" w14:textId="77777777" w:rsidR="00300895" w:rsidRDefault="00300895">
      <w:pPr>
        <w:spacing w:after="0" w:line="360" w:lineRule="auto"/>
        <w:jc w:val="both"/>
        <w:rPr>
          <w:rFonts w:ascii="Times New Roman" w:eastAsia="Times New Roman" w:hAnsi="Times New Roman" w:cs="Times New Roman"/>
          <w:sz w:val="24"/>
          <w:szCs w:val="24"/>
        </w:rPr>
      </w:pPr>
    </w:p>
    <w:p w14:paraId="6FC0C987" w14:textId="77777777" w:rsidR="00300895" w:rsidRDefault="00300895">
      <w:pPr>
        <w:spacing w:after="0" w:line="360" w:lineRule="auto"/>
        <w:jc w:val="both"/>
        <w:rPr>
          <w:rFonts w:ascii="Times New Roman" w:eastAsia="Times New Roman" w:hAnsi="Times New Roman" w:cs="Times New Roman"/>
          <w:sz w:val="24"/>
          <w:szCs w:val="24"/>
        </w:rPr>
      </w:pPr>
    </w:p>
    <w:p w14:paraId="520042DE" w14:textId="77777777" w:rsidR="00300895" w:rsidRDefault="00300895">
      <w:pPr>
        <w:spacing w:after="0" w:line="360" w:lineRule="auto"/>
        <w:jc w:val="both"/>
        <w:rPr>
          <w:rFonts w:ascii="Times New Roman" w:eastAsia="Times New Roman" w:hAnsi="Times New Roman" w:cs="Times New Roman"/>
          <w:sz w:val="24"/>
          <w:szCs w:val="24"/>
        </w:rPr>
      </w:pPr>
    </w:p>
    <w:p w14:paraId="6F121E2E" w14:textId="77777777" w:rsidR="00300895" w:rsidRDefault="00300895">
      <w:pPr>
        <w:spacing w:after="0" w:line="360" w:lineRule="auto"/>
        <w:jc w:val="both"/>
        <w:rPr>
          <w:rFonts w:ascii="Times New Roman" w:eastAsia="Times New Roman" w:hAnsi="Times New Roman" w:cs="Times New Roman"/>
          <w:sz w:val="24"/>
          <w:szCs w:val="24"/>
        </w:rPr>
      </w:pPr>
    </w:p>
    <w:p w14:paraId="251CBB41" w14:textId="77777777" w:rsidR="00300895" w:rsidRDefault="00300895">
      <w:pPr>
        <w:spacing w:after="0" w:line="360" w:lineRule="auto"/>
        <w:jc w:val="both"/>
        <w:rPr>
          <w:rFonts w:ascii="Times New Roman" w:eastAsia="Times New Roman" w:hAnsi="Times New Roman" w:cs="Times New Roman"/>
          <w:sz w:val="24"/>
          <w:szCs w:val="24"/>
        </w:rPr>
      </w:pPr>
    </w:p>
    <w:p w14:paraId="5A487FDB" w14:textId="77777777" w:rsidR="00300895" w:rsidRDefault="00300895">
      <w:pPr>
        <w:spacing w:after="0" w:line="360" w:lineRule="auto"/>
        <w:jc w:val="both"/>
        <w:rPr>
          <w:rFonts w:ascii="Times New Roman" w:eastAsia="Times New Roman" w:hAnsi="Times New Roman" w:cs="Times New Roman"/>
          <w:sz w:val="24"/>
          <w:szCs w:val="24"/>
        </w:rPr>
      </w:pPr>
    </w:p>
    <w:p w14:paraId="2A5DED32" w14:textId="77777777" w:rsidR="00300895" w:rsidRDefault="00300895">
      <w:pPr>
        <w:spacing w:after="0" w:line="360" w:lineRule="auto"/>
        <w:jc w:val="both"/>
        <w:rPr>
          <w:rFonts w:ascii="Times New Roman" w:eastAsia="Times New Roman" w:hAnsi="Times New Roman" w:cs="Times New Roman"/>
          <w:sz w:val="24"/>
          <w:szCs w:val="24"/>
        </w:rPr>
      </w:pPr>
    </w:p>
    <w:p w14:paraId="70615B92" w14:textId="77777777" w:rsidR="00300895" w:rsidRDefault="00300895">
      <w:pPr>
        <w:spacing w:after="0" w:line="360" w:lineRule="auto"/>
        <w:jc w:val="both"/>
        <w:rPr>
          <w:rFonts w:ascii="Times New Roman" w:eastAsia="Times New Roman" w:hAnsi="Times New Roman" w:cs="Times New Roman"/>
          <w:sz w:val="24"/>
          <w:szCs w:val="24"/>
        </w:rPr>
      </w:pPr>
    </w:p>
    <w:p w14:paraId="6202EA05" w14:textId="77777777" w:rsidR="00300895" w:rsidRDefault="00300895">
      <w:pPr>
        <w:spacing w:after="0" w:line="360" w:lineRule="auto"/>
        <w:jc w:val="both"/>
        <w:rPr>
          <w:rFonts w:ascii="Times New Roman" w:eastAsia="Times New Roman" w:hAnsi="Times New Roman" w:cs="Times New Roman"/>
          <w:sz w:val="24"/>
          <w:szCs w:val="24"/>
        </w:rPr>
      </w:pPr>
    </w:p>
    <w:p w14:paraId="24D8B6EE" w14:textId="77777777" w:rsidR="00300895" w:rsidRDefault="00300895">
      <w:pPr>
        <w:spacing w:after="0" w:line="360" w:lineRule="auto"/>
        <w:jc w:val="both"/>
        <w:rPr>
          <w:rFonts w:ascii="Times New Roman" w:eastAsia="Times New Roman" w:hAnsi="Times New Roman" w:cs="Times New Roman"/>
          <w:sz w:val="24"/>
          <w:szCs w:val="24"/>
        </w:rPr>
      </w:pPr>
    </w:p>
    <w:p w14:paraId="28EE9EA1" w14:textId="77777777" w:rsidR="00300895" w:rsidRDefault="00300895">
      <w:pPr>
        <w:spacing w:after="0" w:line="360" w:lineRule="auto"/>
        <w:jc w:val="both"/>
        <w:rPr>
          <w:rFonts w:ascii="Times New Roman" w:eastAsia="Times New Roman" w:hAnsi="Times New Roman" w:cs="Times New Roman"/>
          <w:sz w:val="24"/>
          <w:szCs w:val="24"/>
        </w:rPr>
      </w:pPr>
    </w:p>
    <w:p w14:paraId="65485BFB" w14:textId="77777777" w:rsidR="00300895" w:rsidRDefault="00BC6047">
      <w:pPr>
        <w:spacing w:before="100" w:beforeAutospacing="1" w:after="100" w:afterAutospacing="1" w:line="36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6.0 Recommendations</w:t>
      </w:r>
    </w:p>
    <w:p w14:paraId="23FD8FB1" w14:textId="77777777" w:rsidR="00300895" w:rsidRDefault="00BC6047">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Dose Regulation:</w:t>
      </w:r>
      <w:r>
        <w:rPr>
          <w:rFonts w:ascii="Times New Roman" w:eastAsia="Times New Roman" w:hAnsi="Times New Roman" w:cs="Times New Roman"/>
          <w:sz w:val="24"/>
          <w:szCs w:val="24"/>
        </w:rPr>
        <w:t xml:space="preserve"> To prevent potential hematological and systemic toxicity, </w:t>
      </w:r>
      <w:proofErr w:type="spellStart"/>
      <w:r>
        <w:rPr>
          <w:rFonts w:ascii="Times New Roman" w:eastAsia="Times New Roman" w:hAnsi="Times New Roman" w:cs="Times New Roman"/>
          <w:i/>
          <w:sz w:val="24"/>
          <w:szCs w:val="24"/>
        </w:rPr>
        <w:t>Pausinystalia</w:t>
      </w:r>
      <w:proofErr w:type="spellEnd"/>
      <w:r>
        <w:rPr>
          <w:rFonts w:ascii="Times New Roman" w:eastAsia="Times New Roman" w:hAnsi="Times New Roman" w:cs="Times New Roman"/>
          <w:i/>
          <w:sz w:val="24"/>
          <w:szCs w:val="24"/>
        </w:rPr>
        <w:t xml:space="preserve"> yohimbe </w:t>
      </w:r>
      <w:r>
        <w:rPr>
          <w:rFonts w:ascii="Times New Roman" w:eastAsia="Times New Roman" w:hAnsi="Times New Roman" w:cs="Times New Roman"/>
          <w:sz w:val="24"/>
          <w:szCs w:val="24"/>
        </w:rPr>
        <w:t xml:space="preserve">should only be used at low-to-moderate doses (≤100 mg/kg in experimental models). </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Mechanistic Studies:</w:t>
      </w:r>
      <w:r>
        <w:rPr>
          <w:rFonts w:ascii="Times New Roman" w:eastAsia="Times New Roman" w:hAnsi="Times New Roman" w:cs="Times New Roman"/>
          <w:sz w:val="24"/>
          <w:szCs w:val="24"/>
        </w:rPr>
        <w:t xml:space="preserve"> To elucidate the mechanisms of toxicity seen at larger doses, additional research should assess bone marrow histology and oxidative stress indices (such as glutathione, superoxide dismutase, and malondialdehyde).</w:t>
      </w:r>
    </w:p>
    <w:p w14:paraId="517E352B" w14:textId="77777777" w:rsidR="00300895" w:rsidRDefault="00BC6047">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Extract Standardization: </w:t>
      </w:r>
      <w:r>
        <w:rPr>
          <w:rFonts w:ascii="Times New Roman" w:eastAsia="Times New Roman" w:hAnsi="Times New Roman" w:cs="Times New Roman"/>
          <w:sz w:val="24"/>
          <w:szCs w:val="24"/>
        </w:rPr>
        <w:t>To guarantee dosage accuracy, safety, and repeatability in both lab and clinical settings, the active ingredient (</w:t>
      </w:r>
      <w:r>
        <w:rPr>
          <w:rFonts w:ascii="Times New Roman" w:eastAsia="Times New Roman" w:hAnsi="Times New Roman" w:cs="Times New Roman"/>
          <w:i/>
          <w:sz w:val="24"/>
          <w:szCs w:val="24"/>
        </w:rPr>
        <w:t>yohimbine</w:t>
      </w:r>
      <w:r>
        <w:rPr>
          <w:rFonts w:ascii="Times New Roman" w:eastAsia="Times New Roman" w:hAnsi="Times New Roman" w:cs="Times New Roman"/>
          <w:sz w:val="24"/>
          <w:szCs w:val="24"/>
        </w:rPr>
        <w:t>) should be quantified and standardized.</w:t>
      </w:r>
    </w:p>
    <w:p w14:paraId="71CA917A" w14:textId="77777777" w:rsidR="00300895" w:rsidRDefault="00BC6047">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Chronic Toxicity Evaluation:</w:t>
      </w:r>
      <w:r>
        <w:rPr>
          <w:rFonts w:ascii="Times New Roman" w:eastAsia="Times New Roman" w:hAnsi="Times New Roman" w:cs="Times New Roman"/>
          <w:sz w:val="24"/>
          <w:szCs w:val="24"/>
        </w:rPr>
        <w:t xml:space="preserve"> To ascertain whether extended administration has an impact on differential WBC count, platelet function, or red cell indices, long-term exposure studies has to be carried out. </w:t>
      </w:r>
    </w:p>
    <w:p w14:paraId="033BF3E1" w14:textId="77777777" w:rsidR="00300895" w:rsidRDefault="00BC6047">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Clinical Translation:</w:t>
      </w:r>
      <w:r>
        <w:rPr>
          <w:rFonts w:ascii="Times New Roman" w:eastAsia="Times New Roman" w:hAnsi="Times New Roman" w:cs="Times New Roman"/>
          <w:sz w:val="24"/>
          <w:szCs w:val="24"/>
        </w:rPr>
        <w:t xml:space="preserve"> Before suggesting broad therapeutic or nutraceutical use, </w:t>
      </w:r>
      <w:r>
        <w:rPr>
          <w:rFonts w:ascii="Times New Roman" w:eastAsia="Times New Roman" w:hAnsi="Times New Roman" w:cs="Times New Roman"/>
          <w:i/>
          <w:sz w:val="24"/>
          <w:szCs w:val="24"/>
        </w:rPr>
        <w:t>P. yohimbe's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safety should be verified in controlled human research, considering its historical use as an aphrodisiac.</w:t>
      </w:r>
    </w:p>
    <w:p w14:paraId="2E07AA46"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771C075C"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095353A7"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CBCF1A0"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78E7DA9"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1077A3E0"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8D675EE"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6771616"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11970FAE"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6B4136D6" w14:textId="77777777" w:rsidR="00300895" w:rsidRDefault="00BC6047">
      <w:pPr>
        <w:pStyle w:val="Heading2"/>
        <w:spacing w:line="360" w:lineRule="auto"/>
        <w:jc w:val="both"/>
        <w:rPr>
          <w:sz w:val="28"/>
          <w:szCs w:val="28"/>
        </w:rPr>
      </w:pPr>
      <w:r>
        <w:rPr>
          <w:rStyle w:val="Strong"/>
          <w:b/>
          <w:bCs/>
          <w:sz w:val="28"/>
          <w:szCs w:val="28"/>
        </w:rPr>
        <w:t>7.0 Contribution to Knowledge</w:t>
      </w:r>
    </w:p>
    <w:p w14:paraId="3FE1AB8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safety profile of </w:t>
      </w:r>
      <w:proofErr w:type="spellStart"/>
      <w:r>
        <w:rPr>
          <w:rFonts w:ascii="Times New Roman" w:eastAsia="Times New Roman" w:hAnsi="Times New Roman" w:cs="Times New Roman"/>
          <w:i/>
          <w:sz w:val="24"/>
          <w:szCs w:val="24"/>
        </w:rPr>
        <w:t>Pausinystalia</w:t>
      </w:r>
      <w:proofErr w:type="spellEnd"/>
      <w:r>
        <w:rPr>
          <w:rFonts w:ascii="Times New Roman" w:eastAsia="Times New Roman" w:hAnsi="Times New Roman" w:cs="Times New Roman"/>
          <w:i/>
          <w:sz w:val="24"/>
          <w:szCs w:val="24"/>
        </w:rPr>
        <w:t xml:space="preserve"> yohimbe</w:t>
      </w:r>
      <w:r>
        <w:rPr>
          <w:rFonts w:ascii="Times New Roman" w:eastAsia="Times New Roman" w:hAnsi="Times New Roman" w:cs="Times New Roman"/>
          <w:sz w:val="24"/>
          <w:szCs w:val="24"/>
        </w:rPr>
        <w:t xml:space="preserve"> methanol extract in male Wistar rats is empirically supported by this investigation. It is one of the only experimental studies that uses established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criteria to compare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at various dose levels with a pharmacological reference (sildenafil citrate). Although a higher dose (200 mg/kg) causes notable decreases in hemoglobin concentration and white blood cell count, suggesting possible </w:t>
      </w:r>
      <w:proofErr w:type="spellStart"/>
      <w:r>
        <w:rPr>
          <w:rFonts w:ascii="Times New Roman" w:eastAsia="Times New Roman" w:hAnsi="Times New Roman" w:cs="Times New Roman"/>
          <w:sz w:val="24"/>
          <w:szCs w:val="24"/>
        </w:rPr>
        <w:t>hemotoxicity</w:t>
      </w:r>
      <w:proofErr w:type="spellEnd"/>
      <w:r>
        <w:rPr>
          <w:rFonts w:ascii="Times New Roman" w:eastAsia="Times New Roman" w:hAnsi="Times New Roman" w:cs="Times New Roman"/>
          <w:sz w:val="24"/>
          <w:szCs w:val="24"/>
        </w:rPr>
        <w:t xml:space="preserve">, the results show that doses up to 100 mg/kg are </w:t>
      </w:r>
      <w:proofErr w:type="spellStart"/>
      <w:r>
        <w:rPr>
          <w:rFonts w:ascii="Times New Roman" w:eastAsia="Times New Roman" w:hAnsi="Times New Roman" w:cs="Times New Roman"/>
          <w:sz w:val="24"/>
          <w:szCs w:val="24"/>
        </w:rPr>
        <w:t>haematologically</w:t>
      </w:r>
      <w:proofErr w:type="spellEnd"/>
      <w:r>
        <w:rPr>
          <w:rFonts w:ascii="Times New Roman" w:eastAsia="Times New Roman" w:hAnsi="Times New Roman" w:cs="Times New Roman"/>
          <w:sz w:val="24"/>
          <w:szCs w:val="24"/>
        </w:rPr>
        <w:t xml:space="preserve"> safe.</w:t>
      </w:r>
    </w:p>
    <w:p w14:paraId="4F7E103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defining this dose-dependent relationship, the study establishes a scientific foundation for dosage regulation in traditional medicine, offers new toxicological insights into the safe use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and prepares the way for further translational and mechanistic research on plant-derived aphrodisiacs. Additionally, it reaffirms the value of basic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profiling as a preliminary biomarker technique for evaluating the safety of herbal drugs.</w:t>
      </w:r>
    </w:p>
    <w:p w14:paraId="3240F455" w14:textId="77777777" w:rsidR="00300895" w:rsidRDefault="00300895">
      <w:pPr>
        <w:spacing w:line="360" w:lineRule="auto"/>
        <w:jc w:val="both"/>
      </w:pPr>
    </w:p>
    <w:p w14:paraId="00EA3F5E" w14:textId="77777777" w:rsidR="00300895" w:rsidRDefault="00300895">
      <w:pPr>
        <w:spacing w:line="360" w:lineRule="auto"/>
        <w:jc w:val="both"/>
      </w:pPr>
    </w:p>
    <w:p w14:paraId="358DAE80" w14:textId="77777777" w:rsidR="00300895" w:rsidRDefault="00300895">
      <w:pPr>
        <w:spacing w:line="360" w:lineRule="auto"/>
        <w:jc w:val="both"/>
      </w:pPr>
    </w:p>
    <w:p w14:paraId="176C2491" w14:textId="77777777" w:rsidR="00300895" w:rsidRDefault="00300895">
      <w:pPr>
        <w:spacing w:line="360" w:lineRule="auto"/>
        <w:jc w:val="both"/>
      </w:pPr>
    </w:p>
    <w:p w14:paraId="5CDD4D65" w14:textId="77777777" w:rsidR="00C270E1" w:rsidRDefault="00C270E1">
      <w:pPr>
        <w:spacing w:line="360" w:lineRule="auto"/>
        <w:jc w:val="both"/>
      </w:pPr>
    </w:p>
    <w:p w14:paraId="30EF06C4" w14:textId="77777777" w:rsidR="00C270E1" w:rsidRDefault="00C270E1">
      <w:pPr>
        <w:spacing w:line="360" w:lineRule="auto"/>
        <w:jc w:val="both"/>
      </w:pPr>
    </w:p>
    <w:p w14:paraId="2AC3993B" w14:textId="77777777" w:rsidR="00300895" w:rsidRDefault="00300895">
      <w:pPr>
        <w:spacing w:line="360" w:lineRule="auto"/>
        <w:jc w:val="both"/>
      </w:pPr>
    </w:p>
    <w:p w14:paraId="41B02862" w14:textId="77777777" w:rsidR="00300895" w:rsidRDefault="00BC6047">
      <w:pPr>
        <w:pStyle w:val="Heading2"/>
        <w:spacing w:line="360" w:lineRule="auto"/>
        <w:jc w:val="both"/>
        <w:rPr>
          <w:sz w:val="28"/>
          <w:szCs w:val="28"/>
        </w:rPr>
      </w:pPr>
      <w:r>
        <w:rPr>
          <w:rStyle w:val="Strong"/>
          <w:b/>
          <w:bCs/>
          <w:sz w:val="28"/>
          <w:szCs w:val="28"/>
        </w:rPr>
        <w:lastRenderedPageBreak/>
        <w:t>9.0 Declaration</w:t>
      </w:r>
    </w:p>
    <w:p w14:paraId="1E0A1EA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"Evaluation of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Parameters in Male Wistar Rats Administered Methanol Extract of </w:t>
      </w:r>
      <w:proofErr w:type="spellStart"/>
      <w:r w:rsidRPr="00C270E1">
        <w:rPr>
          <w:rFonts w:ascii="Times New Roman" w:eastAsia="Times New Roman" w:hAnsi="Times New Roman" w:cs="Times New Roman"/>
          <w:i/>
          <w:sz w:val="24"/>
          <w:szCs w:val="24"/>
        </w:rPr>
        <w:t>Pausinystalia</w:t>
      </w:r>
      <w:proofErr w:type="spellEnd"/>
      <w:r w:rsidRPr="00C270E1">
        <w:rPr>
          <w:rFonts w:ascii="Times New Roman" w:eastAsia="Times New Roman" w:hAnsi="Times New Roman" w:cs="Times New Roman"/>
          <w:i/>
          <w:sz w:val="24"/>
          <w:szCs w:val="24"/>
        </w:rPr>
        <w:t xml:space="preserve"> yohimbe</w:t>
      </w:r>
      <w:r>
        <w:rPr>
          <w:rFonts w:ascii="Times New Roman" w:eastAsia="Times New Roman" w:hAnsi="Times New Roman" w:cs="Times New Roman"/>
          <w:sz w:val="24"/>
          <w:szCs w:val="24"/>
        </w:rPr>
        <w:t xml:space="preserve">," was conducted by me, </w:t>
      </w:r>
      <w:proofErr w:type="spellStart"/>
      <w:r>
        <w:rPr>
          <w:rFonts w:ascii="Times New Roman" w:eastAsia="Times New Roman" w:hAnsi="Times New Roman" w:cs="Times New Roman"/>
          <w:sz w:val="24"/>
          <w:szCs w:val="24"/>
        </w:rPr>
        <w:t>Imafidon</w:t>
      </w:r>
      <w:proofErr w:type="spellEnd"/>
      <w:r>
        <w:rPr>
          <w:rFonts w:ascii="Times New Roman" w:eastAsia="Times New Roman" w:hAnsi="Times New Roman" w:cs="Times New Roman"/>
          <w:sz w:val="24"/>
          <w:szCs w:val="24"/>
        </w:rPr>
        <w:t xml:space="preserve"> Joseph </w:t>
      </w:r>
      <w:proofErr w:type="spellStart"/>
      <w:r>
        <w:rPr>
          <w:rFonts w:ascii="Times New Roman" w:eastAsia="Times New Roman" w:hAnsi="Times New Roman" w:cs="Times New Roman"/>
          <w:sz w:val="24"/>
          <w:szCs w:val="24"/>
        </w:rPr>
        <w:t>Omogiade</w:t>
      </w:r>
      <w:proofErr w:type="spellEnd"/>
      <w:r>
        <w:rPr>
          <w:rFonts w:ascii="Times New Roman" w:eastAsia="Times New Roman" w:hAnsi="Times New Roman" w:cs="Times New Roman"/>
          <w:sz w:val="24"/>
          <w:szCs w:val="24"/>
        </w:rPr>
        <w:t xml:space="preserve"> (PG/23/027282/HSC), under the direction of Dr. </w:t>
      </w:r>
      <w:proofErr w:type="spellStart"/>
      <w:r>
        <w:rPr>
          <w:rFonts w:ascii="Times New Roman" w:eastAsia="Times New Roman" w:hAnsi="Times New Roman" w:cs="Times New Roman"/>
          <w:sz w:val="24"/>
          <w:szCs w:val="24"/>
        </w:rPr>
        <w:t>Aghatise</w:t>
      </w:r>
      <w:proofErr w:type="spellEnd"/>
      <w:r>
        <w:rPr>
          <w:rFonts w:ascii="Times New Roman" w:eastAsia="Times New Roman" w:hAnsi="Times New Roman" w:cs="Times New Roman"/>
          <w:sz w:val="24"/>
          <w:szCs w:val="24"/>
        </w:rPr>
        <w:t xml:space="preserve"> K. E. at the Department of Medical Laboratory Science, </w:t>
      </w:r>
      <w:proofErr w:type="spellStart"/>
      <w:r>
        <w:rPr>
          <w:rFonts w:ascii="Times New Roman" w:eastAsia="Times New Roman" w:hAnsi="Times New Roman" w:cs="Times New Roman"/>
          <w:sz w:val="24"/>
          <w:szCs w:val="24"/>
        </w:rPr>
        <w:t>Igbinedion</w:t>
      </w:r>
      <w:proofErr w:type="spellEnd"/>
      <w:r>
        <w:rPr>
          <w:rFonts w:ascii="Times New Roman" w:eastAsia="Times New Roman" w:hAnsi="Times New Roman" w:cs="Times New Roman"/>
          <w:sz w:val="24"/>
          <w:szCs w:val="24"/>
        </w:rPr>
        <w:t xml:space="preserve"> University, Okada, Edo State, Nigeria. The work has never before been submitted, in whole or in part, for publication or for the granting of any degree elsewhere. In accordance with academic and ethical norms, all material and data sources have been properly recognized and cited.</w:t>
      </w:r>
    </w:p>
    <w:p w14:paraId="0545D6F7" w14:textId="77777777" w:rsidR="00300895" w:rsidRDefault="00300895">
      <w:pPr>
        <w:spacing w:line="360" w:lineRule="auto"/>
        <w:jc w:val="both"/>
      </w:pPr>
    </w:p>
    <w:p w14:paraId="3DFB3D84" w14:textId="5CE35655" w:rsidR="00C270E1" w:rsidRPr="00C270E1" w:rsidRDefault="00C270E1" w:rsidP="00C270E1">
      <w:pPr>
        <w:spacing w:line="360" w:lineRule="auto"/>
        <w:jc w:val="both"/>
        <w:rPr>
          <w:rFonts w:ascii="Times New Roman" w:hAnsi="Times New Roman" w:cs="Times New Roman"/>
          <w:b/>
          <w:sz w:val="24"/>
          <w:szCs w:val="24"/>
        </w:rPr>
      </w:pPr>
      <w:r w:rsidRPr="00C270E1">
        <w:rPr>
          <w:rFonts w:ascii="Times New Roman" w:hAnsi="Times New Roman" w:cs="Times New Roman"/>
          <w:b/>
          <w:sz w:val="24"/>
          <w:szCs w:val="24"/>
        </w:rPr>
        <w:t>9.1 Disclaimer (Artificial intelligence)</w:t>
      </w:r>
    </w:p>
    <w:p w14:paraId="776E486C" w14:textId="77777777" w:rsidR="00C270E1" w:rsidRDefault="00C270E1" w:rsidP="00C270E1">
      <w:pPr>
        <w:spacing w:line="360" w:lineRule="auto"/>
        <w:jc w:val="both"/>
        <w:rPr>
          <w:rFonts w:ascii="Times New Roman" w:hAnsi="Times New Roman" w:cs="Times New Roman"/>
          <w:sz w:val="24"/>
          <w:szCs w:val="24"/>
        </w:rPr>
      </w:pPr>
      <w:r>
        <w:rPr>
          <w:rFonts w:ascii="Times New Roman" w:hAnsi="Times New Roman" w:cs="Times New Roman"/>
          <w:sz w:val="24"/>
          <w:szCs w:val="24"/>
        </w:rPr>
        <w:t>Author(s) hereby declare that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COPILOT, etc.) and text-to-image generators have been used during the writing or editing of this manuscript. </w:t>
      </w:r>
    </w:p>
    <w:p w14:paraId="39CDAE67" w14:textId="77777777" w:rsidR="00C270E1" w:rsidRDefault="00C270E1">
      <w:pPr>
        <w:spacing w:line="360" w:lineRule="auto"/>
        <w:jc w:val="both"/>
      </w:pPr>
    </w:p>
    <w:p w14:paraId="503E10E9" w14:textId="77777777" w:rsidR="00300895" w:rsidRDefault="00300895">
      <w:pPr>
        <w:spacing w:line="360" w:lineRule="auto"/>
        <w:jc w:val="both"/>
      </w:pPr>
    </w:p>
    <w:p w14:paraId="781B9B86" w14:textId="77777777" w:rsidR="00300895" w:rsidRDefault="00300895">
      <w:pPr>
        <w:spacing w:line="360" w:lineRule="auto"/>
        <w:jc w:val="both"/>
      </w:pPr>
    </w:p>
    <w:p w14:paraId="5CEC680E" w14:textId="77777777" w:rsidR="00300895" w:rsidRDefault="00BC6047">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7460B980" w14:textId="77777777" w:rsidR="00300895" w:rsidRDefault="00300895"/>
    <w:p w14:paraId="3DB94A3A" w14:textId="77777777" w:rsidR="00300895" w:rsidRDefault="00BC6047">
      <w:pPr>
        <w:pStyle w:val="NormalWeb"/>
        <w:numPr>
          <w:ilvl w:val="0"/>
          <w:numId w:val="9"/>
        </w:numPr>
        <w:spacing w:line="360" w:lineRule="auto"/>
        <w:jc w:val="both"/>
      </w:pPr>
      <w:proofErr w:type="spellStart"/>
      <w:r>
        <w:t>Ibeh</w:t>
      </w:r>
      <w:proofErr w:type="spellEnd"/>
      <w:r>
        <w:t xml:space="preserve"> NI, </w:t>
      </w:r>
      <w:proofErr w:type="spellStart"/>
      <w:r>
        <w:t>Okungbowa</w:t>
      </w:r>
      <w:proofErr w:type="spellEnd"/>
      <w:r>
        <w:t xml:space="preserve"> MA, </w:t>
      </w:r>
      <w:proofErr w:type="spellStart"/>
      <w:r>
        <w:t>Omorodion</w:t>
      </w:r>
      <w:proofErr w:type="spellEnd"/>
      <w:r>
        <w:t xml:space="preserve"> NT, </w:t>
      </w:r>
      <w:proofErr w:type="spellStart"/>
      <w:r>
        <w:t>Ibeh</w:t>
      </w:r>
      <w:proofErr w:type="spellEnd"/>
      <w:r>
        <w:t xml:space="preserve"> IN. Impact of herbal aphrodisiac </w:t>
      </w:r>
      <w:proofErr w:type="spellStart"/>
      <w:r>
        <w:t>Pausinystalia</w:t>
      </w:r>
      <w:proofErr w:type="spellEnd"/>
      <w:r>
        <w:t xml:space="preserve"> yohimbe (</w:t>
      </w:r>
      <w:proofErr w:type="spellStart"/>
      <w:r>
        <w:t>Burantashi</w:t>
      </w:r>
      <w:proofErr w:type="spellEnd"/>
      <w:r>
        <w:t xml:space="preserve">) on the morphology of sperm cells in adult male Wistar rats and mice. </w:t>
      </w:r>
      <w:r>
        <w:rPr>
          <w:rStyle w:val="Emphasis"/>
        </w:rPr>
        <w:t>Acta Sci Pharm Sci</w:t>
      </w:r>
      <w:r>
        <w:t>. 2020;4(3):40–45. doi:10.31080/ASPS.2020.04.0453</w:t>
      </w:r>
    </w:p>
    <w:p w14:paraId="48EE4E25" w14:textId="7938B309" w:rsidR="004E2B7C" w:rsidRPr="004E2B7C" w:rsidRDefault="004E2B7C" w:rsidP="004E2B7C">
      <w:pPr>
        <w:pStyle w:val="NormalWeb"/>
        <w:numPr>
          <w:ilvl w:val="0"/>
          <w:numId w:val="9"/>
        </w:numPr>
        <w:jc w:val="both"/>
        <w:rPr>
          <w:highlight w:val="yellow"/>
        </w:rPr>
      </w:pPr>
      <w:r w:rsidRPr="004E2B7C">
        <w:rPr>
          <w:highlight w:val="yellow"/>
        </w:rPr>
        <w:t xml:space="preserve">Ajao AA, Sibiya NP, </w:t>
      </w:r>
      <w:proofErr w:type="spellStart"/>
      <w:r w:rsidRPr="004E2B7C">
        <w:rPr>
          <w:highlight w:val="yellow"/>
        </w:rPr>
        <w:t>Moteetee</w:t>
      </w:r>
      <w:proofErr w:type="spellEnd"/>
      <w:r w:rsidRPr="004E2B7C">
        <w:rPr>
          <w:highlight w:val="yellow"/>
        </w:rPr>
        <w:t xml:space="preserve"> AN. Sexual prowess from nature: A systematic review of medicinal plants used as aphrodisiacs and for sexual dysfunction in sub-Saharan Africa. </w:t>
      </w:r>
      <w:r w:rsidRPr="004E2B7C">
        <w:rPr>
          <w:rStyle w:val="Emphasis"/>
          <w:highlight w:val="yellow"/>
        </w:rPr>
        <w:t xml:space="preserve">S </w:t>
      </w:r>
      <w:proofErr w:type="spellStart"/>
      <w:r w:rsidRPr="004E2B7C">
        <w:rPr>
          <w:rStyle w:val="Emphasis"/>
          <w:highlight w:val="yellow"/>
        </w:rPr>
        <w:t>Afr</w:t>
      </w:r>
      <w:proofErr w:type="spellEnd"/>
      <w:r w:rsidRPr="004E2B7C">
        <w:rPr>
          <w:rStyle w:val="Emphasis"/>
          <w:highlight w:val="yellow"/>
        </w:rPr>
        <w:t xml:space="preserve"> J Bot.</w:t>
      </w:r>
      <w:r w:rsidRPr="004E2B7C">
        <w:rPr>
          <w:highlight w:val="yellow"/>
        </w:rPr>
        <w:t xml:space="preserve"> </w:t>
      </w:r>
      <w:proofErr w:type="gramStart"/>
      <w:r w:rsidRPr="004E2B7C">
        <w:rPr>
          <w:highlight w:val="yellow"/>
        </w:rPr>
        <w:t>2018;115:362</w:t>
      </w:r>
      <w:proofErr w:type="gramEnd"/>
      <w:r w:rsidRPr="004E2B7C">
        <w:rPr>
          <w:highlight w:val="yellow"/>
        </w:rPr>
        <w:t xml:space="preserve">–371. </w:t>
      </w:r>
      <w:proofErr w:type="gramStart"/>
      <w:r w:rsidRPr="004E2B7C">
        <w:rPr>
          <w:highlight w:val="yellow"/>
        </w:rPr>
        <w:t>doi:10.1016/j.sajb</w:t>
      </w:r>
      <w:proofErr w:type="gramEnd"/>
      <w:r w:rsidRPr="004E2B7C">
        <w:rPr>
          <w:highlight w:val="yellow"/>
        </w:rPr>
        <w:t>.2018.02.383.</w:t>
      </w:r>
    </w:p>
    <w:p w14:paraId="105ADA5A" w14:textId="77777777" w:rsidR="004E2B7C" w:rsidRPr="004E2B7C" w:rsidRDefault="004E2B7C" w:rsidP="004E2B7C">
      <w:pPr>
        <w:pStyle w:val="NormalWeb"/>
        <w:numPr>
          <w:ilvl w:val="0"/>
          <w:numId w:val="9"/>
        </w:numPr>
        <w:jc w:val="both"/>
        <w:rPr>
          <w:highlight w:val="yellow"/>
        </w:rPr>
      </w:pPr>
      <w:proofErr w:type="spellStart"/>
      <w:r w:rsidRPr="004E2B7C">
        <w:rPr>
          <w:highlight w:val="yellow"/>
        </w:rPr>
        <w:t>Somei</w:t>
      </w:r>
      <w:proofErr w:type="spellEnd"/>
      <w:r w:rsidRPr="004E2B7C">
        <w:rPr>
          <w:highlight w:val="yellow"/>
        </w:rPr>
        <w:t xml:space="preserve"> M, Noguchi K, Yoshino H, Mori M, Asada Y, Yamada F, Tanaka H, Shigenobu K, Koike K. 1-Hydroxyyohimbine and its derivatives: new potent α2-blockers for the treatment of erectile dysfunction. </w:t>
      </w:r>
      <w:r w:rsidRPr="004E2B7C">
        <w:rPr>
          <w:rStyle w:val="Emphasis"/>
          <w:highlight w:val="yellow"/>
        </w:rPr>
        <w:t>Heterocycles.</w:t>
      </w:r>
      <w:r w:rsidRPr="004E2B7C">
        <w:rPr>
          <w:highlight w:val="yellow"/>
        </w:rPr>
        <w:t xml:space="preserve"> 2006;68(9):2049–2057. doi:10.3987/COM-06-10822</w:t>
      </w:r>
    </w:p>
    <w:p w14:paraId="0AF8B312" w14:textId="77777777" w:rsidR="00300895" w:rsidRDefault="00BC6047">
      <w:pPr>
        <w:pStyle w:val="NormalWeb"/>
        <w:numPr>
          <w:ilvl w:val="0"/>
          <w:numId w:val="9"/>
        </w:numPr>
        <w:spacing w:line="360" w:lineRule="auto"/>
        <w:jc w:val="both"/>
      </w:pPr>
      <w:proofErr w:type="spellStart"/>
      <w:r>
        <w:lastRenderedPageBreak/>
        <w:t>Onyeka</w:t>
      </w:r>
      <w:proofErr w:type="spellEnd"/>
      <w:r>
        <w:t xml:space="preserve"> TC, Okonkwo CJ, </w:t>
      </w:r>
      <w:proofErr w:type="spellStart"/>
      <w:r>
        <w:t>Udeh</w:t>
      </w:r>
      <w:proofErr w:type="spellEnd"/>
      <w:r>
        <w:t xml:space="preserve"> FN. Sub-acute hepatotoxicity of </w:t>
      </w:r>
      <w:proofErr w:type="spellStart"/>
      <w:r>
        <w:t>Pausinystalia</w:t>
      </w:r>
      <w:proofErr w:type="spellEnd"/>
      <w:r>
        <w:t xml:space="preserve"> yohimbe bark extract (</w:t>
      </w:r>
      <w:proofErr w:type="spellStart"/>
      <w:r>
        <w:t>Burantashi</w:t>
      </w:r>
      <w:proofErr w:type="spellEnd"/>
      <w:r>
        <w:t xml:space="preserve">) in male albino rats (Rattus </w:t>
      </w:r>
      <w:proofErr w:type="spellStart"/>
      <w:r>
        <w:t>novergicus</w:t>
      </w:r>
      <w:proofErr w:type="spellEnd"/>
      <w:r>
        <w:t xml:space="preserve">). </w:t>
      </w:r>
      <w:proofErr w:type="spellStart"/>
      <w:r>
        <w:rPr>
          <w:rStyle w:val="Emphasis"/>
        </w:rPr>
        <w:t>Biokemistri</w:t>
      </w:r>
      <w:proofErr w:type="spellEnd"/>
      <w:r>
        <w:t>. 2020;32(2):125–133. doi:10.4314/</w:t>
      </w:r>
      <w:proofErr w:type="gramStart"/>
      <w:r>
        <w:t>biokem.v</w:t>
      </w:r>
      <w:proofErr w:type="gramEnd"/>
      <w:r>
        <w:t>32i2.5</w:t>
      </w:r>
    </w:p>
    <w:p w14:paraId="35F15EC6" w14:textId="77777777" w:rsidR="00C270E1" w:rsidRPr="00C270E1" w:rsidRDefault="00C270E1" w:rsidP="00C270E1">
      <w:pPr>
        <w:pStyle w:val="NormalWeb"/>
        <w:numPr>
          <w:ilvl w:val="0"/>
          <w:numId w:val="9"/>
        </w:numPr>
        <w:jc w:val="both"/>
        <w:rPr>
          <w:highlight w:val="yellow"/>
        </w:rPr>
      </w:pPr>
      <w:r w:rsidRPr="00C270E1">
        <w:rPr>
          <w:highlight w:val="yellow"/>
        </w:rPr>
        <w:t xml:space="preserve">Song G, Poon C-S. α2-Adrenergic blockade rescues hypoglossal motor defense against obstructive sleep apnea. </w:t>
      </w:r>
      <w:r w:rsidRPr="00C270E1">
        <w:rPr>
          <w:rStyle w:val="Emphasis"/>
          <w:highlight w:val="yellow"/>
        </w:rPr>
        <w:t>JCI Insight.</w:t>
      </w:r>
      <w:r w:rsidRPr="00C270E1">
        <w:rPr>
          <w:highlight w:val="yellow"/>
        </w:rPr>
        <w:t xml:space="preserve"> 2017;2(17</w:t>
      </w:r>
      <w:proofErr w:type="gramStart"/>
      <w:r w:rsidRPr="00C270E1">
        <w:rPr>
          <w:highlight w:val="yellow"/>
        </w:rPr>
        <w:t>):e</w:t>
      </w:r>
      <w:proofErr w:type="gramEnd"/>
      <w:r w:rsidRPr="00C270E1">
        <w:rPr>
          <w:highlight w:val="yellow"/>
        </w:rPr>
        <w:t xml:space="preserve">91456. </w:t>
      </w:r>
      <w:proofErr w:type="gramStart"/>
      <w:r w:rsidRPr="00C270E1">
        <w:rPr>
          <w:highlight w:val="yellow"/>
        </w:rPr>
        <w:t>doi:10.1172/jci.insight</w:t>
      </w:r>
      <w:proofErr w:type="gramEnd"/>
      <w:r w:rsidRPr="00C270E1">
        <w:rPr>
          <w:highlight w:val="yellow"/>
        </w:rPr>
        <w:t>.91456</w:t>
      </w:r>
    </w:p>
    <w:p w14:paraId="35B17993" w14:textId="77777777" w:rsidR="007539B4" w:rsidRPr="007539B4" w:rsidRDefault="007539B4" w:rsidP="007539B4">
      <w:pPr>
        <w:pStyle w:val="NormalWeb"/>
        <w:numPr>
          <w:ilvl w:val="0"/>
          <w:numId w:val="9"/>
        </w:numPr>
        <w:jc w:val="both"/>
        <w:rPr>
          <w:highlight w:val="yellow"/>
        </w:rPr>
      </w:pPr>
      <w:r w:rsidRPr="007539B4">
        <w:rPr>
          <w:highlight w:val="yellow"/>
        </w:rPr>
        <w:t xml:space="preserve">Soliman N, </w:t>
      </w:r>
      <w:proofErr w:type="spellStart"/>
      <w:r w:rsidRPr="007539B4">
        <w:rPr>
          <w:highlight w:val="yellow"/>
        </w:rPr>
        <w:t>Salaah</w:t>
      </w:r>
      <w:proofErr w:type="spellEnd"/>
      <w:r w:rsidRPr="007539B4">
        <w:rPr>
          <w:highlight w:val="yellow"/>
        </w:rPr>
        <w:t xml:space="preserve"> A, Hamed M, Sayed AE-D. Toxicity of co-exposure of microplastics and lead in African catfish (</w:t>
      </w:r>
      <w:proofErr w:type="spellStart"/>
      <w:r w:rsidRPr="007539B4">
        <w:rPr>
          <w:highlight w:val="yellow"/>
        </w:rPr>
        <w:t>Clarias</w:t>
      </w:r>
      <w:proofErr w:type="spellEnd"/>
      <w:r w:rsidRPr="007539B4">
        <w:rPr>
          <w:highlight w:val="yellow"/>
        </w:rPr>
        <w:t xml:space="preserve"> </w:t>
      </w:r>
      <w:proofErr w:type="spellStart"/>
      <w:r w:rsidRPr="007539B4">
        <w:rPr>
          <w:highlight w:val="yellow"/>
        </w:rPr>
        <w:t>gariepinus</w:t>
      </w:r>
      <w:proofErr w:type="spellEnd"/>
      <w:r w:rsidRPr="007539B4">
        <w:rPr>
          <w:highlight w:val="yellow"/>
        </w:rPr>
        <w:t xml:space="preserve">). </w:t>
      </w:r>
      <w:r w:rsidRPr="007539B4">
        <w:rPr>
          <w:rStyle w:val="Emphasis"/>
          <w:highlight w:val="yellow"/>
        </w:rPr>
        <w:t>Front Vet Sci.</w:t>
      </w:r>
      <w:r w:rsidRPr="007539B4">
        <w:rPr>
          <w:highlight w:val="yellow"/>
        </w:rPr>
        <w:t xml:space="preserve"> </w:t>
      </w:r>
      <w:proofErr w:type="gramStart"/>
      <w:r w:rsidRPr="007539B4">
        <w:rPr>
          <w:highlight w:val="yellow"/>
        </w:rPr>
        <w:t>2023;10:1222594</w:t>
      </w:r>
      <w:proofErr w:type="gramEnd"/>
      <w:r w:rsidRPr="007539B4">
        <w:rPr>
          <w:highlight w:val="yellow"/>
        </w:rPr>
        <w:t>. doi:10.3389/fvets.2023.1222594</w:t>
      </w:r>
    </w:p>
    <w:p w14:paraId="66262976" w14:textId="410361DA" w:rsidR="00C270E1" w:rsidRDefault="00C270E1">
      <w:pPr>
        <w:pStyle w:val="NormalWeb"/>
        <w:numPr>
          <w:ilvl w:val="0"/>
          <w:numId w:val="9"/>
        </w:numPr>
        <w:spacing w:line="360" w:lineRule="auto"/>
        <w:jc w:val="both"/>
      </w:pPr>
      <w:proofErr w:type="spellStart"/>
      <w:r w:rsidRPr="00C270E1">
        <w:rPr>
          <w:highlight w:val="yellow"/>
        </w:rPr>
        <w:t>Jayashika</w:t>
      </w:r>
      <w:proofErr w:type="spellEnd"/>
      <w:r w:rsidRPr="00C270E1">
        <w:rPr>
          <w:highlight w:val="yellow"/>
        </w:rPr>
        <w:t xml:space="preserve"> R. Solvent-dependent phytochemical diversity in </w:t>
      </w:r>
      <w:r w:rsidRPr="00C270E1">
        <w:rPr>
          <w:rStyle w:val="Emphasis"/>
          <w:highlight w:val="yellow"/>
        </w:rPr>
        <w:t xml:space="preserve">Justicia </w:t>
      </w:r>
      <w:proofErr w:type="spellStart"/>
      <w:r w:rsidRPr="00C270E1">
        <w:rPr>
          <w:rStyle w:val="Emphasis"/>
          <w:highlight w:val="yellow"/>
        </w:rPr>
        <w:t>tranquebariensis</w:t>
      </w:r>
      <w:proofErr w:type="spellEnd"/>
      <w:r w:rsidRPr="00C270E1">
        <w:rPr>
          <w:highlight w:val="yellow"/>
        </w:rPr>
        <w:t xml:space="preserve">: a comparative analysis of methanol and ethyl acetate extractions. </w:t>
      </w:r>
      <w:r w:rsidRPr="00C270E1">
        <w:rPr>
          <w:rStyle w:val="Emphasis"/>
          <w:highlight w:val="yellow"/>
        </w:rPr>
        <w:t xml:space="preserve">Int J </w:t>
      </w:r>
      <w:proofErr w:type="spellStart"/>
      <w:r w:rsidRPr="00C270E1">
        <w:rPr>
          <w:rStyle w:val="Emphasis"/>
          <w:highlight w:val="yellow"/>
        </w:rPr>
        <w:t>Multidiscip</w:t>
      </w:r>
      <w:proofErr w:type="spellEnd"/>
      <w:r w:rsidRPr="00C270E1">
        <w:rPr>
          <w:rStyle w:val="Emphasis"/>
          <w:highlight w:val="yellow"/>
        </w:rPr>
        <w:t xml:space="preserve"> Res.</w:t>
      </w:r>
      <w:r w:rsidRPr="00C270E1">
        <w:rPr>
          <w:highlight w:val="yellow"/>
        </w:rPr>
        <w:t xml:space="preserve"> 2025;11(2):45–53</w:t>
      </w:r>
      <w:r>
        <w:t>.</w:t>
      </w:r>
    </w:p>
    <w:p w14:paraId="182D148D" w14:textId="27ECC30C" w:rsidR="00300895" w:rsidRDefault="00BC6047">
      <w:pPr>
        <w:pStyle w:val="NormalWeb"/>
        <w:numPr>
          <w:ilvl w:val="0"/>
          <w:numId w:val="9"/>
        </w:numPr>
        <w:spacing w:line="360" w:lineRule="auto"/>
        <w:jc w:val="both"/>
      </w:pPr>
      <w:proofErr w:type="spellStart"/>
      <w:r>
        <w:t>Okwakpam</w:t>
      </w:r>
      <w:proofErr w:type="spellEnd"/>
      <w:r>
        <w:t xml:space="preserve"> FN, Ken-</w:t>
      </w:r>
      <w:proofErr w:type="spellStart"/>
      <w:r>
        <w:t>Ezihuo</w:t>
      </w:r>
      <w:proofErr w:type="spellEnd"/>
      <w:r>
        <w:t xml:space="preserve"> SU, </w:t>
      </w:r>
      <w:proofErr w:type="spellStart"/>
      <w:r>
        <w:t>Ajie</w:t>
      </w:r>
      <w:proofErr w:type="spellEnd"/>
      <w:r>
        <w:t xml:space="preserve"> PC, Augustine B. Effects of graded doses of ethanolic extract of </w:t>
      </w:r>
      <w:proofErr w:type="spellStart"/>
      <w:r>
        <w:rPr>
          <w:rStyle w:val="Emphasis"/>
        </w:rPr>
        <w:t>Pausinystalia</w:t>
      </w:r>
      <w:proofErr w:type="spellEnd"/>
      <w:r>
        <w:rPr>
          <w:rStyle w:val="Emphasis"/>
        </w:rPr>
        <w:t xml:space="preserve"> yohimbe</w:t>
      </w:r>
      <w:r>
        <w:t xml:space="preserve"> stem bark on biochemical and hematological indices in the kidneys of female Wistar rats. </w:t>
      </w:r>
      <w:r>
        <w:rPr>
          <w:rStyle w:val="Emphasis"/>
        </w:rPr>
        <w:t xml:space="preserve">Int J </w:t>
      </w:r>
      <w:proofErr w:type="spellStart"/>
      <w:r>
        <w:rPr>
          <w:rStyle w:val="Emphasis"/>
        </w:rPr>
        <w:t>Biochem</w:t>
      </w:r>
      <w:proofErr w:type="spellEnd"/>
      <w:r>
        <w:rPr>
          <w:rStyle w:val="Emphasis"/>
        </w:rPr>
        <w:t xml:space="preserve"> Res Rev</w:t>
      </w:r>
      <w:r>
        <w:t>. 2023;32(4):23–36. doi:10.9734/</w:t>
      </w:r>
      <w:proofErr w:type="spellStart"/>
      <w:r>
        <w:t>ijbcrr</w:t>
      </w:r>
      <w:proofErr w:type="spellEnd"/>
      <w:r>
        <w:t>/2023/v32i4810</w:t>
      </w:r>
    </w:p>
    <w:p w14:paraId="147A2A76" w14:textId="77777777" w:rsidR="00300895" w:rsidRDefault="00BC6047">
      <w:pPr>
        <w:pStyle w:val="NormalWeb"/>
        <w:numPr>
          <w:ilvl w:val="0"/>
          <w:numId w:val="9"/>
        </w:numPr>
        <w:spacing w:line="360" w:lineRule="auto"/>
        <w:jc w:val="both"/>
      </w:pPr>
      <w:proofErr w:type="spellStart"/>
      <w:r>
        <w:t>Adesokan</w:t>
      </w:r>
      <w:proofErr w:type="spellEnd"/>
      <w:r>
        <w:t xml:space="preserve"> AA, </w:t>
      </w:r>
      <w:proofErr w:type="spellStart"/>
      <w:r>
        <w:t>Akanji</w:t>
      </w:r>
      <w:proofErr w:type="spellEnd"/>
      <w:r>
        <w:t xml:space="preserve"> MA. </w:t>
      </w:r>
      <w:proofErr w:type="spellStart"/>
      <w:r>
        <w:t>Haematological</w:t>
      </w:r>
      <w:proofErr w:type="spellEnd"/>
      <w:r>
        <w:t xml:space="preserve"> changes following chronic administration of aqueous extract of </w:t>
      </w:r>
      <w:proofErr w:type="spellStart"/>
      <w:r>
        <w:rPr>
          <w:rStyle w:val="Emphasis"/>
        </w:rPr>
        <w:t>Enantia</w:t>
      </w:r>
      <w:proofErr w:type="spellEnd"/>
      <w:r>
        <w:rPr>
          <w:rStyle w:val="Emphasis"/>
        </w:rPr>
        <w:t xml:space="preserve"> </w:t>
      </w:r>
      <w:proofErr w:type="spellStart"/>
      <w:r>
        <w:rPr>
          <w:rStyle w:val="Emphasis"/>
        </w:rPr>
        <w:t>chlorantha</w:t>
      </w:r>
      <w:proofErr w:type="spellEnd"/>
      <w:r>
        <w:t xml:space="preserve"> to albino rats. </w:t>
      </w:r>
      <w:r>
        <w:rPr>
          <w:rStyle w:val="Emphasis"/>
        </w:rPr>
        <w:t>Trop J Health Sci</w:t>
      </w:r>
      <w:r>
        <w:t>. 2010;17(1). doi:10.4314/TJHC.V17I1.52791</w:t>
      </w:r>
    </w:p>
    <w:p w14:paraId="2DBB9E0D" w14:textId="77777777" w:rsidR="00300895" w:rsidRDefault="00BC6047">
      <w:pPr>
        <w:pStyle w:val="NormalWeb"/>
        <w:numPr>
          <w:ilvl w:val="0"/>
          <w:numId w:val="9"/>
        </w:numPr>
        <w:spacing w:line="360" w:lineRule="auto"/>
        <w:jc w:val="both"/>
      </w:pPr>
      <w:proofErr w:type="spellStart"/>
      <w:r>
        <w:t>Ashafa</w:t>
      </w:r>
      <w:proofErr w:type="spellEnd"/>
      <w:r>
        <w:t xml:space="preserve"> AOT, </w:t>
      </w:r>
      <w:proofErr w:type="spellStart"/>
      <w:r>
        <w:t>Sunmonu</w:t>
      </w:r>
      <w:proofErr w:type="spellEnd"/>
      <w:r>
        <w:t xml:space="preserve"> T, </w:t>
      </w:r>
      <w:proofErr w:type="spellStart"/>
      <w:r>
        <w:t>Afolayan</w:t>
      </w:r>
      <w:proofErr w:type="spellEnd"/>
      <w:r>
        <w:t xml:space="preserve"> AJ. Effects of leaf and berry extracts of </w:t>
      </w:r>
      <w:proofErr w:type="spellStart"/>
      <w:r>
        <w:rPr>
          <w:rStyle w:val="Emphasis"/>
        </w:rPr>
        <w:t>Phytolacca</w:t>
      </w:r>
      <w:proofErr w:type="spellEnd"/>
      <w:r>
        <w:rPr>
          <w:rStyle w:val="Emphasis"/>
        </w:rPr>
        <w:t xml:space="preserve"> </w:t>
      </w:r>
      <w:proofErr w:type="spellStart"/>
      <w:r>
        <w:rPr>
          <w:rStyle w:val="Emphasis"/>
        </w:rPr>
        <w:t>dioica</w:t>
      </w:r>
      <w:proofErr w:type="spellEnd"/>
      <w:r>
        <w:t xml:space="preserve"> L. on </w:t>
      </w:r>
      <w:proofErr w:type="spellStart"/>
      <w:r>
        <w:t>haematological</w:t>
      </w:r>
      <w:proofErr w:type="spellEnd"/>
      <w:r>
        <w:t xml:space="preserve"> and weight parameters of Wistar rats. </w:t>
      </w:r>
      <w:proofErr w:type="spellStart"/>
      <w:r>
        <w:rPr>
          <w:rStyle w:val="Emphasis"/>
        </w:rPr>
        <w:t>Afr</w:t>
      </w:r>
      <w:proofErr w:type="spellEnd"/>
      <w:r>
        <w:rPr>
          <w:rStyle w:val="Emphasis"/>
        </w:rPr>
        <w:t xml:space="preserve"> J Pharm </w:t>
      </w:r>
      <w:proofErr w:type="spellStart"/>
      <w:r>
        <w:rPr>
          <w:rStyle w:val="Emphasis"/>
        </w:rPr>
        <w:t>Pharmacol</w:t>
      </w:r>
      <w:proofErr w:type="spellEnd"/>
      <w:r>
        <w:t>. 2011;5(2):150–4. doi:10.5897/AJPP10.289</w:t>
      </w:r>
    </w:p>
    <w:p w14:paraId="11AB2082" w14:textId="77777777" w:rsidR="00300895" w:rsidRDefault="00BC6047">
      <w:pPr>
        <w:pStyle w:val="NormalWeb"/>
        <w:numPr>
          <w:ilvl w:val="0"/>
          <w:numId w:val="9"/>
        </w:numPr>
        <w:spacing w:line="360" w:lineRule="auto"/>
        <w:jc w:val="both"/>
      </w:pPr>
      <w:proofErr w:type="spellStart"/>
      <w:r>
        <w:t>Egbono</w:t>
      </w:r>
      <w:proofErr w:type="spellEnd"/>
      <w:r>
        <w:t xml:space="preserve"> FF, </w:t>
      </w:r>
      <w:proofErr w:type="spellStart"/>
      <w:r>
        <w:t>Obomanu-Tamunotonjo</w:t>
      </w:r>
      <w:proofErr w:type="spellEnd"/>
      <w:r>
        <w:t xml:space="preserve"> R, Nath-Abraham C. Erythrocyte and platelet counts analysis and effect in female Wistar rats after prolonged administration of aqueous fruit pulp extract of </w:t>
      </w:r>
      <w:r>
        <w:rPr>
          <w:rStyle w:val="Emphasis"/>
        </w:rPr>
        <w:t xml:space="preserve">Raphia </w:t>
      </w:r>
      <w:proofErr w:type="spellStart"/>
      <w:r>
        <w:rPr>
          <w:rStyle w:val="Emphasis"/>
        </w:rPr>
        <w:t>hookeri</w:t>
      </w:r>
      <w:proofErr w:type="spellEnd"/>
      <w:r>
        <w:t xml:space="preserve"> plant. </w:t>
      </w:r>
      <w:r>
        <w:rPr>
          <w:rStyle w:val="Emphasis"/>
        </w:rPr>
        <w:t xml:space="preserve">Int J Adv Res Sci </w:t>
      </w:r>
      <w:proofErr w:type="spellStart"/>
      <w:r>
        <w:rPr>
          <w:rStyle w:val="Emphasis"/>
        </w:rPr>
        <w:t>Commun</w:t>
      </w:r>
      <w:proofErr w:type="spellEnd"/>
      <w:r>
        <w:rPr>
          <w:rStyle w:val="Emphasis"/>
        </w:rPr>
        <w:t xml:space="preserve"> Technol</w:t>
      </w:r>
      <w:r>
        <w:t>. 2025;523–32. doi:10.48175/ijarsct-23062</w:t>
      </w:r>
    </w:p>
    <w:p w14:paraId="6D0ACF26" w14:textId="5B999AEF" w:rsidR="00300895" w:rsidRDefault="00BC6047">
      <w:pPr>
        <w:pStyle w:val="NormalWeb"/>
        <w:numPr>
          <w:ilvl w:val="0"/>
          <w:numId w:val="9"/>
        </w:numPr>
        <w:spacing w:line="360" w:lineRule="auto"/>
        <w:jc w:val="both"/>
      </w:pPr>
      <w:proofErr w:type="spellStart"/>
      <w:r>
        <w:t>Ojatula</w:t>
      </w:r>
      <w:proofErr w:type="spellEnd"/>
      <w:r>
        <w:t xml:space="preserve"> AO. Effects of </w:t>
      </w:r>
      <w:proofErr w:type="spellStart"/>
      <w:r>
        <w:rPr>
          <w:rStyle w:val="Emphasis"/>
        </w:rPr>
        <w:t>Pausinystalia</w:t>
      </w:r>
      <w:proofErr w:type="spellEnd"/>
      <w:r>
        <w:rPr>
          <w:rStyle w:val="Emphasis"/>
        </w:rPr>
        <w:t xml:space="preserve"> yohimbe</w:t>
      </w:r>
      <w:r>
        <w:t xml:space="preserve"> methanol root extract on some cardiovascular and hematological variables in Wistar rats. </w:t>
      </w:r>
      <w:r>
        <w:rPr>
          <w:rStyle w:val="Emphasis"/>
        </w:rPr>
        <w:t>Int J Pharm Sci Appl Technol</w:t>
      </w:r>
      <w:r>
        <w:t>. 2020;18(1):142–7. doi:10.52155/IJPSAT.V18.1.1473</w:t>
      </w:r>
      <w:r w:rsidR="002977FA">
        <w:t>.</w:t>
      </w:r>
    </w:p>
    <w:p w14:paraId="2D488C7E" w14:textId="2EB01049" w:rsidR="002977FA" w:rsidRPr="002977FA" w:rsidRDefault="002977FA" w:rsidP="002977FA">
      <w:pPr>
        <w:pStyle w:val="NormalWeb"/>
        <w:numPr>
          <w:ilvl w:val="0"/>
          <w:numId w:val="9"/>
        </w:numPr>
        <w:spacing w:line="360" w:lineRule="auto"/>
        <w:jc w:val="both"/>
        <w:rPr>
          <w:highlight w:val="yellow"/>
        </w:rPr>
      </w:pPr>
      <w:proofErr w:type="spellStart"/>
      <w:r w:rsidRPr="002977FA">
        <w:rPr>
          <w:highlight w:val="yellow"/>
        </w:rPr>
        <w:t>Elshaer</w:t>
      </w:r>
      <w:proofErr w:type="spellEnd"/>
      <w:r w:rsidRPr="002977FA">
        <w:rPr>
          <w:highlight w:val="yellow"/>
        </w:rPr>
        <w:t xml:space="preserve"> M, Hamad E, </w:t>
      </w:r>
      <w:proofErr w:type="spellStart"/>
      <w:r w:rsidRPr="002977FA">
        <w:rPr>
          <w:highlight w:val="yellow"/>
        </w:rPr>
        <w:t>Sobhy</w:t>
      </w:r>
      <w:proofErr w:type="spellEnd"/>
      <w:r w:rsidRPr="002977FA">
        <w:rPr>
          <w:highlight w:val="yellow"/>
        </w:rPr>
        <w:t xml:space="preserve"> H, Darwish S, Baghdadi H, </w:t>
      </w:r>
      <w:proofErr w:type="spellStart"/>
      <w:r w:rsidRPr="002977FA">
        <w:rPr>
          <w:highlight w:val="yellow"/>
        </w:rPr>
        <w:t>Nahas</w:t>
      </w:r>
      <w:proofErr w:type="spellEnd"/>
      <w:r w:rsidRPr="002977FA">
        <w:rPr>
          <w:highlight w:val="yellow"/>
        </w:rPr>
        <w:t xml:space="preserve"> R, El-</w:t>
      </w:r>
      <w:proofErr w:type="spellStart"/>
      <w:r w:rsidRPr="002977FA">
        <w:rPr>
          <w:highlight w:val="yellow"/>
        </w:rPr>
        <w:t>Demerdash</w:t>
      </w:r>
      <w:proofErr w:type="spellEnd"/>
      <w:r w:rsidRPr="002977FA">
        <w:rPr>
          <w:highlight w:val="yellow"/>
        </w:rPr>
        <w:t xml:space="preserve"> F, </w:t>
      </w:r>
      <w:proofErr w:type="spellStart"/>
      <w:r w:rsidRPr="002977FA">
        <w:rPr>
          <w:highlight w:val="yellow"/>
        </w:rPr>
        <w:t>Kabeil</w:t>
      </w:r>
      <w:proofErr w:type="spellEnd"/>
      <w:r w:rsidRPr="002977FA">
        <w:rPr>
          <w:highlight w:val="yellow"/>
        </w:rPr>
        <w:t xml:space="preserve"> S, </w:t>
      </w:r>
      <w:proofErr w:type="spellStart"/>
      <w:r w:rsidRPr="002977FA">
        <w:rPr>
          <w:highlight w:val="yellow"/>
        </w:rPr>
        <w:t>Altamimi</w:t>
      </w:r>
      <w:proofErr w:type="spellEnd"/>
      <w:r w:rsidRPr="002977FA">
        <w:rPr>
          <w:highlight w:val="yellow"/>
        </w:rPr>
        <w:t xml:space="preserve"> D, Al-</w:t>
      </w:r>
      <w:proofErr w:type="spellStart"/>
      <w:r w:rsidRPr="002977FA">
        <w:rPr>
          <w:highlight w:val="yellow"/>
        </w:rPr>
        <w:t>Olayan</w:t>
      </w:r>
      <w:proofErr w:type="spellEnd"/>
      <w:r w:rsidRPr="002977FA">
        <w:rPr>
          <w:highlight w:val="yellow"/>
        </w:rPr>
        <w:t xml:space="preserve"> E, </w:t>
      </w:r>
      <w:proofErr w:type="spellStart"/>
      <w:r w:rsidRPr="002977FA">
        <w:rPr>
          <w:highlight w:val="yellow"/>
        </w:rPr>
        <w:t>Alsunbul</w:t>
      </w:r>
      <w:proofErr w:type="spellEnd"/>
      <w:r w:rsidRPr="002977FA">
        <w:rPr>
          <w:highlight w:val="yellow"/>
        </w:rPr>
        <w:t xml:space="preserve"> A, </w:t>
      </w:r>
      <w:proofErr w:type="spellStart"/>
      <w:r w:rsidRPr="002977FA">
        <w:rPr>
          <w:highlight w:val="yellow"/>
        </w:rPr>
        <w:t>Docmac</w:t>
      </w:r>
      <w:proofErr w:type="spellEnd"/>
      <w:r w:rsidRPr="002977FA">
        <w:rPr>
          <w:highlight w:val="yellow"/>
        </w:rPr>
        <w:t xml:space="preserve"> F, </w:t>
      </w:r>
      <w:proofErr w:type="spellStart"/>
      <w:r w:rsidRPr="002977FA">
        <w:rPr>
          <w:highlight w:val="yellow"/>
        </w:rPr>
        <w:t>Jaremko</w:t>
      </w:r>
      <w:proofErr w:type="spellEnd"/>
      <w:r w:rsidRPr="002977FA">
        <w:rPr>
          <w:highlight w:val="yellow"/>
        </w:rPr>
        <w:t xml:space="preserve"> M, Hafez E, Saied E. Supplementation of </w:t>
      </w:r>
      <w:proofErr w:type="spellStart"/>
      <w:r w:rsidRPr="002977FA">
        <w:rPr>
          <w:rStyle w:val="Emphasis"/>
          <w:highlight w:val="yellow"/>
        </w:rPr>
        <w:t>Saussurea</w:t>
      </w:r>
      <w:proofErr w:type="spellEnd"/>
      <w:r w:rsidRPr="002977FA">
        <w:rPr>
          <w:rStyle w:val="Emphasis"/>
          <w:highlight w:val="yellow"/>
        </w:rPr>
        <w:t xml:space="preserve"> </w:t>
      </w:r>
      <w:proofErr w:type="spellStart"/>
      <w:r w:rsidRPr="002977FA">
        <w:rPr>
          <w:rStyle w:val="Emphasis"/>
          <w:highlight w:val="yellow"/>
        </w:rPr>
        <w:t>costus</w:t>
      </w:r>
      <w:proofErr w:type="spellEnd"/>
      <w:r w:rsidRPr="002977FA">
        <w:rPr>
          <w:highlight w:val="yellow"/>
        </w:rPr>
        <w:t xml:space="preserve"> root alleviates sodium nitrite-induced hepatorenal toxicity by modulating metabolic profile, inflammation, and apoptosis. </w:t>
      </w:r>
      <w:r w:rsidRPr="002977FA">
        <w:rPr>
          <w:rStyle w:val="Emphasis"/>
          <w:highlight w:val="yellow"/>
        </w:rPr>
        <w:t xml:space="preserve">Front </w:t>
      </w:r>
      <w:proofErr w:type="spellStart"/>
      <w:r w:rsidRPr="002977FA">
        <w:rPr>
          <w:rStyle w:val="Emphasis"/>
          <w:highlight w:val="yellow"/>
        </w:rPr>
        <w:t>Pharmacol</w:t>
      </w:r>
      <w:proofErr w:type="spellEnd"/>
      <w:r w:rsidRPr="002977FA">
        <w:rPr>
          <w:rStyle w:val="Emphasis"/>
          <w:highlight w:val="yellow"/>
        </w:rPr>
        <w:t>.</w:t>
      </w:r>
      <w:r w:rsidRPr="002977FA">
        <w:rPr>
          <w:highlight w:val="yellow"/>
        </w:rPr>
        <w:t xml:space="preserve"> </w:t>
      </w:r>
      <w:proofErr w:type="gramStart"/>
      <w:r w:rsidRPr="002977FA">
        <w:rPr>
          <w:highlight w:val="yellow"/>
        </w:rPr>
        <w:t>2024;15:1359477</w:t>
      </w:r>
      <w:proofErr w:type="gramEnd"/>
      <w:r w:rsidRPr="002977FA">
        <w:rPr>
          <w:highlight w:val="yellow"/>
        </w:rPr>
        <w:t>. doi:10.3389/fphar.2024.1359477</w:t>
      </w:r>
      <w:r>
        <w:rPr>
          <w:highlight w:val="yellow"/>
        </w:rPr>
        <w:t>.</w:t>
      </w:r>
    </w:p>
    <w:p w14:paraId="5342979D" w14:textId="64054149" w:rsidR="002977FA" w:rsidRDefault="002977FA" w:rsidP="002977FA">
      <w:pPr>
        <w:pStyle w:val="NormalWeb"/>
        <w:numPr>
          <w:ilvl w:val="0"/>
          <w:numId w:val="9"/>
        </w:numPr>
        <w:jc w:val="both"/>
        <w:rPr>
          <w:highlight w:val="yellow"/>
        </w:rPr>
      </w:pPr>
      <w:proofErr w:type="spellStart"/>
      <w:r w:rsidRPr="002977FA">
        <w:rPr>
          <w:highlight w:val="yellow"/>
        </w:rPr>
        <w:lastRenderedPageBreak/>
        <w:t>Nowacka</w:t>
      </w:r>
      <w:proofErr w:type="spellEnd"/>
      <w:r w:rsidRPr="002977FA">
        <w:rPr>
          <w:highlight w:val="yellow"/>
        </w:rPr>
        <w:t xml:space="preserve"> M, </w:t>
      </w:r>
      <w:proofErr w:type="spellStart"/>
      <w:r w:rsidRPr="002977FA">
        <w:rPr>
          <w:highlight w:val="yellow"/>
        </w:rPr>
        <w:t>Śniegocka</w:t>
      </w:r>
      <w:proofErr w:type="spellEnd"/>
      <w:r w:rsidRPr="002977FA">
        <w:rPr>
          <w:highlight w:val="yellow"/>
        </w:rPr>
        <w:t xml:space="preserve"> J, </w:t>
      </w:r>
      <w:proofErr w:type="spellStart"/>
      <w:r w:rsidRPr="002977FA">
        <w:rPr>
          <w:highlight w:val="yellow"/>
        </w:rPr>
        <w:t>Śniegocki</w:t>
      </w:r>
      <w:proofErr w:type="spellEnd"/>
      <w:r w:rsidRPr="002977FA">
        <w:rPr>
          <w:highlight w:val="yellow"/>
        </w:rPr>
        <w:t xml:space="preserve"> T, </w:t>
      </w:r>
      <w:proofErr w:type="spellStart"/>
      <w:r w:rsidRPr="002977FA">
        <w:rPr>
          <w:highlight w:val="yellow"/>
        </w:rPr>
        <w:t>Ziółkowska</w:t>
      </w:r>
      <w:proofErr w:type="spellEnd"/>
      <w:r w:rsidRPr="002977FA">
        <w:rPr>
          <w:highlight w:val="yellow"/>
        </w:rPr>
        <w:t xml:space="preserve"> S, </w:t>
      </w:r>
      <w:proofErr w:type="spellStart"/>
      <w:r w:rsidRPr="002977FA">
        <w:rPr>
          <w:highlight w:val="yellow"/>
        </w:rPr>
        <w:t>Bożiłow</w:t>
      </w:r>
      <w:proofErr w:type="spellEnd"/>
      <w:r w:rsidRPr="002977FA">
        <w:rPr>
          <w:highlight w:val="yellow"/>
        </w:rPr>
        <w:t xml:space="preserve"> W, </w:t>
      </w:r>
      <w:proofErr w:type="spellStart"/>
      <w:r w:rsidRPr="002977FA">
        <w:rPr>
          <w:highlight w:val="yellow"/>
        </w:rPr>
        <w:t>Smuczyński</w:t>
      </w:r>
      <w:proofErr w:type="spellEnd"/>
      <w:r w:rsidRPr="002977FA">
        <w:rPr>
          <w:highlight w:val="yellow"/>
        </w:rPr>
        <w:t xml:space="preserve"> M. Multifaced nature of yohimbine—A promising therapeutic potential or a risk? </w:t>
      </w:r>
      <w:r w:rsidRPr="002977FA">
        <w:rPr>
          <w:rStyle w:val="Emphasis"/>
          <w:highlight w:val="yellow"/>
        </w:rPr>
        <w:t>Int J Mol Sci.</w:t>
      </w:r>
      <w:r w:rsidRPr="002977FA">
        <w:rPr>
          <w:highlight w:val="yellow"/>
        </w:rPr>
        <w:t xml:space="preserve"> 2024;25(3):1635. doi:10.3390/ijms25031635</w:t>
      </w:r>
      <w:r w:rsidR="004E2B7C">
        <w:rPr>
          <w:highlight w:val="yellow"/>
        </w:rPr>
        <w:t>.</w:t>
      </w:r>
    </w:p>
    <w:p w14:paraId="3F71F530" w14:textId="77777777" w:rsidR="004E2B7C" w:rsidRPr="004E2B7C" w:rsidRDefault="004E2B7C" w:rsidP="004E2B7C">
      <w:pPr>
        <w:pStyle w:val="NormalWeb"/>
        <w:numPr>
          <w:ilvl w:val="0"/>
          <w:numId w:val="9"/>
        </w:numPr>
        <w:jc w:val="both"/>
        <w:rPr>
          <w:highlight w:val="yellow"/>
        </w:rPr>
      </w:pPr>
      <w:r w:rsidRPr="004E2B7C">
        <w:rPr>
          <w:highlight w:val="yellow"/>
        </w:rPr>
        <w:t xml:space="preserve">Yves AB, </w:t>
      </w:r>
      <w:proofErr w:type="spellStart"/>
      <w:r w:rsidRPr="004E2B7C">
        <w:rPr>
          <w:highlight w:val="yellow"/>
        </w:rPr>
        <w:t>Froumsia</w:t>
      </w:r>
      <w:proofErr w:type="spellEnd"/>
      <w:r w:rsidRPr="004E2B7C">
        <w:rPr>
          <w:highlight w:val="yellow"/>
        </w:rPr>
        <w:t xml:space="preserve"> M, </w:t>
      </w:r>
      <w:proofErr w:type="spellStart"/>
      <w:r w:rsidRPr="004E2B7C">
        <w:rPr>
          <w:highlight w:val="yellow"/>
        </w:rPr>
        <w:t>Mongombe</w:t>
      </w:r>
      <w:proofErr w:type="spellEnd"/>
      <w:r w:rsidRPr="004E2B7C">
        <w:rPr>
          <w:highlight w:val="yellow"/>
        </w:rPr>
        <w:t xml:space="preserve"> A, François M, Jacques A, </w:t>
      </w:r>
      <w:proofErr w:type="spellStart"/>
      <w:r w:rsidRPr="004E2B7C">
        <w:rPr>
          <w:highlight w:val="yellow"/>
        </w:rPr>
        <w:t>Atagana</w:t>
      </w:r>
      <w:proofErr w:type="spellEnd"/>
      <w:r w:rsidRPr="004E2B7C">
        <w:rPr>
          <w:highlight w:val="yellow"/>
        </w:rPr>
        <w:t xml:space="preserve"> AR. Knowledge, local uses, and vulnerability of the African ebony tree (</w:t>
      </w:r>
      <w:r w:rsidRPr="004E2B7C">
        <w:rPr>
          <w:rStyle w:val="Emphasis"/>
          <w:highlight w:val="yellow"/>
        </w:rPr>
        <w:t xml:space="preserve">Diospyros </w:t>
      </w:r>
      <w:proofErr w:type="spellStart"/>
      <w:r w:rsidRPr="004E2B7C">
        <w:rPr>
          <w:rStyle w:val="Emphasis"/>
          <w:highlight w:val="yellow"/>
        </w:rPr>
        <w:t>crassiflora</w:t>
      </w:r>
      <w:proofErr w:type="spellEnd"/>
      <w:r w:rsidRPr="004E2B7C">
        <w:rPr>
          <w:highlight w:val="yellow"/>
        </w:rPr>
        <w:t xml:space="preserve"> </w:t>
      </w:r>
      <w:proofErr w:type="spellStart"/>
      <w:r w:rsidRPr="004E2B7C">
        <w:rPr>
          <w:highlight w:val="yellow"/>
        </w:rPr>
        <w:t>Hiern</w:t>
      </w:r>
      <w:proofErr w:type="spellEnd"/>
      <w:r w:rsidRPr="004E2B7C">
        <w:rPr>
          <w:highlight w:val="yellow"/>
        </w:rPr>
        <w:t xml:space="preserve">, </w:t>
      </w:r>
      <w:proofErr w:type="spellStart"/>
      <w:r w:rsidRPr="004E2B7C">
        <w:rPr>
          <w:highlight w:val="yellow"/>
        </w:rPr>
        <w:t>Ebenaceae</w:t>
      </w:r>
      <w:proofErr w:type="spellEnd"/>
      <w:r w:rsidRPr="004E2B7C">
        <w:rPr>
          <w:highlight w:val="yellow"/>
        </w:rPr>
        <w:t>) among communities around the Campo-</w:t>
      </w:r>
      <w:proofErr w:type="spellStart"/>
      <w:r w:rsidRPr="004E2B7C">
        <w:rPr>
          <w:highlight w:val="yellow"/>
        </w:rPr>
        <w:t>Ma’an</w:t>
      </w:r>
      <w:proofErr w:type="spellEnd"/>
      <w:r w:rsidRPr="004E2B7C">
        <w:rPr>
          <w:highlight w:val="yellow"/>
        </w:rPr>
        <w:t xml:space="preserve"> National Park (Southern Cameroon). </w:t>
      </w:r>
      <w:r w:rsidRPr="004E2B7C">
        <w:rPr>
          <w:rStyle w:val="Emphasis"/>
          <w:highlight w:val="yellow"/>
        </w:rPr>
        <w:t xml:space="preserve">Trop </w:t>
      </w:r>
      <w:proofErr w:type="spellStart"/>
      <w:r w:rsidRPr="004E2B7C">
        <w:rPr>
          <w:rStyle w:val="Emphasis"/>
          <w:highlight w:val="yellow"/>
        </w:rPr>
        <w:t>Conserv</w:t>
      </w:r>
      <w:proofErr w:type="spellEnd"/>
      <w:r w:rsidRPr="004E2B7C">
        <w:rPr>
          <w:rStyle w:val="Emphasis"/>
          <w:highlight w:val="yellow"/>
        </w:rPr>
        <w:t xml:space="preserve"> Sci.</w:t>
      </w:r>
      <w:r w:rsidRPr="004E2B7C">
        <w:rPr>
          <w:highlight w:val="yellow"/>
        </w:rPr>
        <w:t xml:space="preserve"> </w:t>
      </w:r>
      <w:proofErr w:type="gramStart"/>
      <w:r w:rsidRPr="004E2B7C">
        <w:rPr>
          <w:highlight w:val="yellow"/>
        </w:rPr>
        <w:t>2024;17:1</w:t>
      </w:r>
      <w:proofErr w:type="gramEnd"/>
      <w:r w:rsidRPr="004E2B7C">
        <w:rPr>
          <w:highlight w:val="yellow"/>
        </w:rPr>
        <w:t>–17. doi:10.1177/19400829241234704</w:t>
      </w:r>
    </w:p>
    <w:p w14:paraId="376976F4" w14:textId="77777777" w:rsidR="004E2B7C" w:rsidRPr="002977FA" w:rsidRDefault="004E2B7C" w:rsidP="004E2B7C">
      <w:pPr>
        <w:pStyle w:val="NormalWeb"/>
        <w:ind w:left="720"/>
        <w:jc w:val="both"/>
        <w:rPr>
          <w:highlight w:val="yellow"/>
        </w:rPr>
      </w:pPr>
    </w:p>
    <w:p w14:paraId="7E439D50" w14:textId="77777777" w:rsidR="002977FA" w:rsidRPr="002977FA" w:rsidRDefault="002977FA" w:rsidP="002977FA">
      <w:pPr>
        <w:pStyle w:val="NormalWeb"/>
        <w:tabs>
          <w:tab w:val="left" w:pos="720"/>
        </w:tabs>
        <w:spacing w:line="360" w:lineRule="auto"/>
        <w:ind w:left="720"/>
        <w:jc w:val="both"/>
        <w:rPr>
          <w:highlight w:val="yellow"/>
        </w:rPr>
      </w:pPr>
    </w:p>
    <w:p w14:paraId="52B9E049" w14:textId="77777777" w:rsidR="00300895" w:rsidRDefault="00300895">
      <w:pPr>
        <w:spacing w:line="360" w:lineRule="auto"/>
        <w:jc w:val="both"/>
        <w:rPr>
          <w:rFonts w:ascii="Times New Roman" w:hAnsi="Times New Roman" w:cs="Times New Roman"/>
          <w:b/>
          <w:sz w:val="24"/>
          <w:szCs w:val="24"/>
        </w:rPr>
      </w:pPr>
      <w:bookmarkStart w:id="0" w:name="_GoBack"/>
      <w:bookmarkEnd w:id="0"/>
    </w:p>
    <w:sectPr w:rsidR="003008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22EBC7" w16cex:dateUtc="2025-10-28T08:43:00Z"/>
  <w16cex:commentExtensible w16cex:durableId="699E52B5" w16cex:dateUtc="2025-10-28T08:45:00Z"/>
  <w16cex:commentExtensible w16cex:durableId="5A35D425" w16cex:dateUtc="2025-10-28T08:46:00Z"/>
  <w16cex:commentExtensible w16cex:durableId="07E29167" w16cex:dateUtc="2025-10-28T08:48:00Z"/>
  <w16cex:commentExtensible w16cex:durableId="12864CAA" w16cex:dateUtc="2025-10-28T08:49:00Z"/>
  <w16cex:commentExtensible w16cex:durableId="0507DEB2" w16cex:dateUtc="2025-10-28T08:50:00Z"/>
  <w16cex:commentExtensible w16cex:durableId="4B8D75E8" w16cex:dateUtc="2025-10-28T08:51:00Z"/>
  <w16cex:commentExtensible w16cex:durableId="5DA4E3BB" w16cex:dateUtc="2025-10-28T08:52:00Z"/>
  <w16cex:commentExtensible w16cex:durableId="26B770D0" w16cex:dateUtc="2025-10-28T08:58:00Z"/>
  <w16cex:commentExtensible w16cex:durableId="36CFC7B1" w16cex:dateUtc="2025-10-28T09:00:00Z"/>
  <w16cex:commentExtensible w16cex:durableId="5C84B643" w16cex:dateUtc="2025-10-28T09: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FBBA1" w14:textId="77777777" w:rsidR="000E7F7D" w:rsidRDefault="000E7F7D" w:rsidP="00B308FE">
      <w:pPr>
        <w:spacing w:after="0" w:line="240" w:lineRule="auto"/>
      </w:pPr>
      <w:r>
        <w:separator/>
      </w:r>
    </w:p>
  </w:endnote>
  <w:endnote w:type="continuationSeparator" w:id="0">
    <w:p w14:paraId="65C55BEE" w14:textId="77777777" w:rsidR="000E7F7D" w:rsidRDefault="000E7F7D" w:rsidP="00B30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80AA7" w14:textId="77777777" w:rsidR="00B308FE" w:rsidRDefault="00B30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0F8FD" w14:textId="77777777" w:rsidR="00B308FE" w:rsidRDefault="00B30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0074B" w14:textId="77777777" w:rsidR="00B308FE" w:rsidRDefault="00B30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E0264" w14:textId="77777777" w:rsidR="000E7F7D" w:rsidRDefault="000E7F7D" w:rsidP="00B308FE">
      <w:pPr>
        <w:spacing w:after="0" w:line="240" w:lineRule="auto"/>
      </w:pPr>
      <w:r>
        <w:separator/>
      </w:r>
    </w:p>
  </w:footnote>
  <w:footnote w:type="continuationSeparator" w:id="0">
    <w:p w14:paraId="379EAD29" w14:textId="77777777" w:rsidR="000E7F7D" w:rsidRDefault="000E7F7D" w:rsidP="00B30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06B91" w14:textId="3409DB8F" w:rsidR="00B308FE" w:rsidRDefault="000E7F7D">
    <w:pPr>
      <w:pStyle w:val="Header"/>
    </w:pPr>
    <w:r>
      <w:rPr>
        <w:noProof/>
      </w:rPr>
      <w:pict w14:anchorId="664D0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08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FD6BD" w14:textId="3B00B1F7" w:rsidR="00B308FE" w:rsidRDefault="000E7F7D">
    <w:pPr>
      <w:pStyle w:val="Header"/>
    </w:pPr>
    <w:r>
      <w:rPr>
        <w:noProof/>
      </w:rPr>
      <w:pict w14:anchorId="3E396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08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F901E" w14:textId="388A0EE7" w:rsidR="00B308FE" w:rsidRDefault="000E7F7D">
    <w:pPr>
      <w:pStyle w:val="Header"/>
    </w:pPr>
    <w:r>
      <w:rPr>
        <w:noProof/>
      </w:rPr>
      <w:pict w14:anchorId="2424F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08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F68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DC2ADA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4AF4DC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FD24DFB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C750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2090950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35DCA9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A03488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DA80225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245E70C7"/>
    <w:multiLevelType w:val="multilevel"/>
    <w:tmpl w:val="841E06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9"/>
  </w:num>
  <w:num w:numId="3">
    <w:abstractNumId w:val="5"/>
  </w:num>
  <w:num w:numId="4">
    <w:abstractNumId w:val="7"/>
  </w:num>
  <w:num w:numId="5">
    <w:abstractNumId w:val="2"/>
  </w:num>
  <w:num w:numId="6">
    <w:abstractNumId w:val="1"/>
  </w:num>
  <w:num w:numId="7">
    <w:abstractNumId w:val="8"/>
  </w:num>
  <w:num w:numId="8">
    <w:abstractNumId w:val="0"/>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95"/>
    <w:rsid w:val="000947CA"/>
    <w:rsid w:val="000E7F7D"/>
    <w:rsid w:val="00105402"/>
    <w:rsid w:val="0012569E"/>
    <w:rsid w:val="00162FB0"/>
    <w:rsid w:val="00184983"/>
    <w:rsid w:val="00213520"/>
    <w:rsid w:val="0024124C"/>
    <w:rsid w:val="00265588"/>
    <w:rsid w:val="00266AA3"/>
    <w:rsid w:val="002977FA"/>
    <w:rsid w:val="00300895"/>
    <w:rsid w:val="004C62F2"/>
    <w:rsid w:val="004E2B7C"/>
    <w:rsid w:val="00513341"/>
    <w:rsid w:val="005273E8"/>
    <w:rsid w:val="00642C41"/>
    <w:rsid w:val="00682903"/>
    <w:rsid w:val="006A2BC2"/>
    <w:rsid w:val="006C0A37"/>
    <w:rsid w:val="00730750"/>
    <w:rsid w:val="007539B4"/>
    <w:rsid w:val="00782FCE"/>
    <w:rsid w:val="0081285C"/>
    <w:rsid w:val="008860D2"/>
    <w:rsid w:val="008E4638"/>
    <w:rsid w:val="009C213E"/>
    <w:rsid w:val="00A67C0E"/>
    <w:rsid w:val="00B105C7"/>
    <w:rsid w:val="00B308FE"/>
    <w:rsid w:val="00BC37D5"/>
    <w:rsid w:val="00BC6047"/>
    <w:rsid w:val="00C270E1"/>
    <w:rsid w:val="00CC5182"/>
    <w:rsid w:val="00E84BB8"/>
    <w:rsid w:val="00EB09D3"/>
    <w:rsid w:val="00EC7985"/>
    <w:rsid w:val="00F31764"/>
    <w:rsid w:val="00F52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E71316"/>
  <w15:docId w15:val="{B9A4F5FC-2D62-4872-90D7-7294AA56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relative">
    <w:name w:val="relative"/>
    <w:basedOn w:val="DefaultParagraphFont"/>
  </w:style>
  <w:style w:type="paragraph" w:customStyle="1" w:styleId="not-prose">
    <w:name w:val="not-pros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ml-05">
    <w:name w:val="ml-0.5"/>
    <w:basedOn w:val="DefaultParagraphFont"/>
  </w:style>
  <w:style w:type="character" w:customStyle="1" w:styleId="UnresolvedMention1">
    <w:name w:val="Unresolved Mention1"/>
    <w:basedOn w:val="DefaultParagraphFont"/>
    <w:uiPriority w:val="99"/>
    <w:semiHidden/>
    <w:unhideWhenUsed/>
    <w:rsid w:val="009C213E"/>
    <w:rPr>
      <w:color w:val="605E5C"/>
      <w:shd w:val="clear" w:color="auto" w:fill="E1DFDD"/>
    </w:rPr>
  </w:style>
  <w:style w:type="paragraph" w:styleId="Header">
    <w:name w:val="header"/>
    <w:basedOn w:val="Normal"/>
    <w:link w:val="HeaderChar"/>
    <w:uiPriority w:val="99"/>
    <w:unhideWhenUsed/>
    <w:rsid w:val="00B30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8FE"/>
  </w:style>
  <w:style w:type="paragraph" w:styleId="Footer">
    <w:name w:val="footer"/>
    <w:basedOn w:val="Normal"/>
    <w:link w:val="FooterChar"/>
    <w:uiPriority w:val="99"/>
    <w:unhideWhenUsed/>
    <w:rsid w:val="00B30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8FE"/>
  </w:style>
  <w:style w:type="character" w:styleId="CommentReference">
    <w:name w:val="annotation reference"/>
    <w:basedOn w:val="DefaultParagraphFont"/>
    <w:uiPriority w:val="99"/>
    <w:semiHidden/>
    <w:unhideWhenUsed/>
    <w:rsid w:val="00BC37D5"/>
    <w:rPr>
      <w:sz w:val="16"/>
      <w:szCs w:val="16"/>
    </w:rPr>
  </w:style>
  <w:style w:type="paragraph" w:styleId="CommentText">
    <w:name w:val="annotation text"/>
    <w:basedOn w:val="Normal"/>
    <w:link w:val="CommentTextChar"/>
    <w:uiPriority w:val="99"/>
    <w:unhideWhenUsed/>
    <w:rsid w:val="00BC37D5"/>
    <w:pPr>
      <w:spacing w:line="240" w:lineRule="auto"/>
    </w:pPr>
    <w:rPr>
      <w:sz w:val="20"/>
      <w:szCs w:val="20"/>
    </w:rPr>
  </w:style>
  <w:style w:type="character" w:customStyle="1" w:styleId="CommentTextChar">
    <w:name w:val="Comment Text Char"/>
    <w:basedOn w:val="DefaultParagraphFont"/>
    <w:link w:val="CommentText"/>
    <w:uiPriority w:val="99"/>
    <w:rsid w:val="00BC37D5"/>
    <w:rPr>
      <w:sz w:val="20"/>
      <w:szCs w:val="20"/>
    </w:rPr>
  </w:style>
  <w:style w:type="paragraph" w:styleId="CommentSubject">
    <w:name w:val="annotation subject"/>
    <w:basedOn w:val="CommentText"/>
    <w:next w:val="CommentText"/>
    <w:link w:val="CommentSubjectChar"/>
    <w:uiPriority w:val="99"/>
    <w:semiHidden/>
    <w:unhideWhenUsed/>
    <w:rsid w:val="00BC37D5"/>
    <w:rPr>
      <w:b/>
      <w:bCs/>
    </w:rPr>
  </w:style>
  <w:style w:type="character" w:customStyle="1" w:styleId="CommentSubjectChar">
    <w:name w:val="Comment Subject Char"/>
    <w:basedOn w:val="CommentTextChar"/>
    <w:link w:val="CommentSubject"/>
    <w:uiPriority w:val="99"/>
    <w:semiHidden/>
    <w:rsid w:val="00BC37D5"/>
    <w:rPr>
      <w:b/>
      <w:bCs/>
      <w:sz w:val="20"/>
      <w:szCs w:val="20"/>
    </w:rPr>
  </w:style>
  <w:style w:type="paragraph" w:styleId="BalloonText">
    <w:name w:val="Balloon Text"/>
    <w:basedOn w:val="Normal"/>
    <w:link w:val="BalloonTextChar"/>
    <w:uiPriority w:val="99"/>
    <w:semiHidden/>
    <w:unhideWhenUsed/>
    <w:rsid w:val="00F52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8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5065">
      <w:bodyDiv w:val="1"/>
      <w:marLeft w:val="0"/>
      <w:marRight w:val="0"/>
      <w:marTop w:val="0"/>
      <w:marBottom w:val="0"/>
      <w:divBdr>
        <w:top w:val="none" w:sz="0" w:space="0" w:color="auto"/>
        <w:left w:val="none" w:sz="0" w:space="0" w:color="auto"/>
        <w:bottom w:val="none" w:sz="0" w:space="0" w:color="auto"/>
        <w:right w:val="none" w:sz="0" w:space="0" w:color="auto"/>
      </w:divBdr>
    </w:div>
    <w:div w:id="417794178">
      <w:bodyDiv w:val="1"/>
      <w:marLeft w:val="0"/>
      <w:marRight w:val="0"/>
      <w:marTop w:val="0"/>
      <w:marBottom w:val="0"/>
      <w:divBdr>
        <w:top w:val="none" w:sz="0" w:space="0" w:color="auto"/>
        <w:left w:val="none" w:sz="0" w:space="0" w:color="auto"/>
        <w:bottom w:val="none" w:sz="0" w:space="0" w:color="auto"/>
        <w:right w:val="none" w:sz="0" w:space="0" w:color="auto"/>
      </w:divBdr>
    </w:div>
    <w:div w:id="451826900">
      <w:bodyDiv w:val="1"/>
      <w:marLeft w:val="0"/>
      <w:marRight w:val="0"/>
      <w:marTop w:val="0"/>
      <w:marBottom w:val="0"/>
      <w:divBdr>
        <w:top w:val="none" w:sz="0" w:space="0" w:color="auto"/>
        <w:left w:val="none" w:sz="0" w:space="0" w:color="auto"/>
        <w:bottom w:val="none" w:sz="0" w:space="0" w:color="auto"/>
        <w:right w:val="none" w:sz="0" w:space="0" w:color="auto"/>
      </w:divBdr>
    </w:div>
    <w:div w:id="492452082">
      <w:bodyDiv w:val="1"/>
      <w:marLeft w:val="0"/>
      <w:marRight w:val="0"/>
      <w:marTop w:val="0"/>
      <w:marBottom w:val="0"/>
      <w:divBdr>
        <w:top w:val="none" w:sz="0" w:space="0" w:color="auto"/>
        <w:left w:val="none" w:sz="0" w:space="0" w:color="auto"/>
        <w:bottom w:val="none" w:sz="0" w:space="0" w:color="auto"/>
        <w:right w:val="none" w:sz="0" w:space="0" w:color="auto"/>
      </w:divBdr>
    </w:div>
    <w:div w:id="797646739">
      <w:bodyDiv w:val="1"/>
      <w:marLeft w:val="0"/>
      <w:marRight w:val="0"/>
      <w:marTop w:val="0"/>
      <w:marBottom w:val="0"/>
      <w:divBdr>
        <w:top w:val="none" w:sz="0" w:space="0" w:color="auto"/>
        <w:left w:val="none" w:sz="0" w:space="0" w:color="auto"/>
        <w:bottom w:val="none" w:sz="0" w:space="0" w:color="auto"/>
        <w:right w:val="none" w:sz="0" w:space="0" w:color="auto"/>
      </w:divBdr>
    </w:div>
    <w:div w:id="799687005">
      <w:bodyDiv w:val="1"/>
      <w:marLeft w:val="0"/>
      <w:marRight w:val="0"/>
      <w:marTop w:val="0"/>
      <w:marBottom w:val="0"/>
      <w:divBdr>
        <w:top w:val="none" w:sz="0" w:space="0" w:color="auto"/>
        <w:left w:val="none" w:sz="0" w:space="0" w:color="auto"/>
        <w:bottom w:val="none" w:sz="0" w:space="0" w:color="auto"/>
        <w:right w:val="none" w:sz="0" w:space="0" w:color="auto"/>
      </w:divBdr>
    </w:div>
    <w:div w:id="806973285">
      <w:bodyDiv w:val="1"/>
      <w:marLeft w:val="0"/>
      <w:marRight w:val="0"/>
      <w:marTop w:val="0"/>
      <w:marBottom w:val="0"/>
      <w:divBdr>
        <w:top w:val="none" w:sz="0" w:space="0" w:color="auto"/>
        <w:left w:val="none" w:sz="0" w:space="0" w:color="auto"/>
        <w:bottom w:val="none" w:sz="0" w:space="0" w:color="auto"/>
        <w:right w:val="none" w:sz="0" w:space="0" w:color="auto"/>
      </w:divBdr>
    </w:div>
    <w:div w:id="1887525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3870</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Marhils</dc:creator>
  <cp:lastModifiedBy>SDI 1186</cp:lastModifiedBy>
  <cp:revision>4</cp:revision>
  <dcterms:created xsi:type="dcterms:W3CDTF">2025-10-30T10:36:00Z</dcterms:created>
  <dcterms:modified xsi:type="dcterms:W3CDTF">2025-10-30T12:06:00Z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7536862d8b06494bacc1dc7ca11d02b2</vt:lpwstr>
  </property>
</Properties>
</file>