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75" w:rsidRPr="001D01A5" w:rsidRDefault="002A7E75" w:rsidP="002A7E75">
      <w:pPr>
        <w:bidi/>
        <w:spacing w:after="0" w:line="360" w:lineRule="auto"/>
        <w:jc w:val="right"/>
        <w:rPr>
          <w:rFonts w:cstheme="minorHAnsi"/>
          <w:b/>
          <w:bCs/>
        </w:rPr>
      </w:pPr>
      <w:r w:rsidRPr="001D01A5">
        <w:rPr>
          <w:rFonts w:cstheme="minorHAnsi"/>
          <w:b/>
          <w:bCs/>
        </w:rPr>
        <w:t>Original Research Article</w:t>
      </w:r>
    </w:p>
    <w:p w:rsidR="002A7E75" w:rsidRDefault="002A7E75" w:rsidP="000639FB">
      <w:pPr>
        <w:spacing w:after="0" w:line="360" w:lineRule="auto"/>
        <w:jc w:val="center"/>
        <w:rPr>
          <w:rFonts w:cstheme="minorHAnsi"/>
          <w:b/>
          <w:bCs/>
        </w:rPr>
      </w:pPr>
    </w:p>
    <w:p w:rsidR="00C4053F" w:rsidRPr="002B30B3" w:rsidRDefault="001C778F" w:rsidP="000639FB">
      <w:pPr>
        <w:spacing w:after="0" w:line="360" w:lineRule="auto"/>
        <w:jc w:val="center"/>
        <w:rPr>
          <w:rFonts w:cstheme="minorHAnsi"/>
          <w:b/>
          <w:bCs/>
        </w:rPr>
      </w:pPr>
      <w:r w:rsidRPr="002B30B3">
        <w:rPr>
          <w:rFonts w:cstheme="minorHAnsi"/>
          <w:b/>
          <w:bCs/>
        </w:rPr>
        <w:t xml:space="preserve">Floristic </w:t>
      </w:r>
      <w:r w:rsidR="000639FB" w:rsidRPr="002B30B3">
        <w:rPr>
          <w:rFonts w:cstheme="minorHAnsi"/>
          <w:b/>
          <w:bCs/>
        </w:rPr>
        <w:t>List</w:t>
      </w:r>
      <w:r w:rsidRPr="002B30B3">
        <w:rPr>
          <w:rFonts w:cstheme="minorHAnsi"/>
          <w:b/>
          <w:bCs/>
        </w:rPr>
        <w:t xml:space="preserve"> of Weeds in Irrigated </w:t>
      </w:r>
      <w:r w:rsidRPr="002B30B3">
        <w:rPr>
          <w:rFonts w:cstheme="minorHAnsi"/>
          <w:b/>
          <w:bCs/>
          <w:i/>
          <w:iCs/>
        </w:rPr>
        <w:t>Sorghum bicolor</w:t>
      </w:r>
      <w:r w:rsidRPr="002B30B3">
        <w:rPr>
          <w:rFonts w:cstheme="minorHAnsi"/>
          <w:b/>
          <w:bCs/>
        </w:rPr>
        <w:t xml:space="preserve"> (Grain Sorghum) Fields in the El-Meilg Area, Gezira Scheme, Sudan</w:t>
      </w:r>
    </w:p>
    <w:p w:rsidR="001D01A5" w:rsidRDefault="001D01A5" w:rsidP="00A106DB">
      <w:pPr>
        <w:spacing w:after="0" w:line="360" w:lineRule="auto"/>
        <w:jc w:val="both"/>
        <w:rPr>
          <w:rFonts w:ascii="Times New Roman" w:hAnsi="Times New Roman" w:cs="Times New Roman"/>
          <w:b/>
          <w:bCs/>
        </w:rPr>
      </w:pPr>
    </w:p>
    <w:p w:rsidR="00A106DB" w:rsidRPr="001D01A5" w:rsidRDefault="001C778F" w:rsidP="00A106DB">
      <w:pPr>
        <w:spacing w:after="0" w:line="360" w:lineRule="auto"/>
        <w:jc w:val="both"/>
        <w:rPr>
          <w:rFonts w:cstheme="minorHAnsi"/>
          <w:b/>
          <w:bCs/>
          <w:rtl/>
        </w:rPr>
      </w:pPr>
      <w:r w:rsidRPr="001D01A5">
        <w:rPr>
          <w:rFonts w:cstheme="minorHAnsi"/>
          <w:b/>
          <w:bCs/>
        </w:rPr>
        <w:t>Abstract</w:t>
      </w:r>
      <w:r w:rsidRPr="001D01A5">
        <w:rPr>
          <w:rFonts w:cstheme="minorHAnsi"/>
          <w:b/>
          <w:bCs/>
          <w:rtl/>
        </w:rPr>
        <w:t>:</w:t>
      </w:r>
    </w:p>
    <w:p w:rsidR="004179CD" w:rsidRPr="001D01A5" w:rsidRDefault="001C778F" w:rsidP="004179CD">
      <w:pPr>
        <w:spacing w:after="0" w:line="360" w:lineRule="auto"/>
        <w:jc w:val="both"/>
        <w:rPr>
          <w:rFonts w:cstheme="minorHAnsi"/>
          <w:sz w:val="20"/>
          <w:szCs w:val="20"/>
        </w:rPr>
      </w:pPr>
      <w:r w:rsidRPr="001D01A5">
        <w:rPr>
          <w:rFonts w:eastAsia="Calibri" w:cstheme="minorHAnsi"/>
          <w:sz w:val="20"/>
          <w:szCs w:val="20"/>
        </w:rPr>
        <w:t xml:space="preserve">Studies on </w:t>
      </w:r>
      <w:r w:rsidRPr="001D01A5">
        <w:rPr>
          <w:rFonts w:cstheme="minorHAnsi"/>
          <w:sz w:val="20"/>
          <w:szCs w:val="20"/>
        </w:rPr>
        <w:t xml:space="preserve">weed flora are fundamental for </w:t>
      </w:r>
      <w:r w:rsidRPr="001D01A5">
        <w:rPr>
          <w:rFonts w:eastAsia="Calibri" w:cstheme="minorHAnsi"/>
          <w:sz w:val="20"/>
          <w:szCs w:val="20"/>
        </w:rPr>
        <w:t xml:space="preserve">the </w:t>
      </w:r>
      <w:r w:rsidRPr="001D01A5">
        <w:rPr>
          <w:rFonts w:cstheme="minorHAnsi"/>
          <w:sz w:val="20"/>
          <w:szCs w:val="20"/>
        </w:rPr>
        <w:t xml:space="preserve">development </w:t>
      </w:r>
      <w:r w:rsidRPr="001D01A5">
        <w:rPr>
          <w:rFonts w:eastAsia="Calibri" w:cstheme="minorHAnsi"/>
          <w:sz w:val="20"/>
          <w:szCs w:val="20"/>
        </w:rPr>
        <w:t xml:space="preserve">of effective weed management strategies. This </w:t>
      </w:r>
      <w:r w:rsidRPr="001D01A5">
        <w:rPr>
          <w:rFonts w:cstheme="minorHAnsi"/>
          <w:sz w:val="20"/>
          <w:szCs w:val="20"/>
        </w:rPr>
        <w:t xml:space="preserve">study provides the first comprehensive inventory of weed species in irrigated grain sorghum fields </w:t>
      </w:r>
      <w:r w:rsidRPr="001D01A5">
        <w:rPr>
          <w:rFonts w:eastAsia="Calibri" w:cstheme="minorHAnsi"/>
          <w:sz w:val="20"/>
          <w:szCs w:val="20"/>
        </w:rPr>
        <w:t xml:space="preserve">using </w:t>
      </w:r>
      <w:r w:rsidRPr="001D01A5">
        <w:rPr>
          <w:rFonts w:cstheme="minorHAnsi"/>
          <w:sz w:val="20"/>
          <w:szCs w:val="20"/>
        </w:rPr>
        <w:t xml:space="preserve">the Sudan Gezira Scheme. Field surveys were conducted during the August-October 2025 growing season across multiple farms in the El-Meilg region. A visual inventory method was employed to record weed species, which were identified using regional flora and online taxonomic databases (Kew Plants of the World Online, IPNI). This study documented 39 weed species across 34 genera and 14 families. Dicotyledons were dominant (28 species), followed by </w:t>
      </w:r>
      <w:r w:rsidRPr="001D01A5">
        <w:rPr>
          <w:rFonts w:eastAsia="Calibri" w:cstheme="minorHAnsi"/>
          <w:sz w:val="20"/>
          <w:szCs w:val="20"/>
        </w:rPr>
        <w:t xml:space="preserve">the monocotyledons (11 species).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was the most species-rich (8 species), followed by </w:t>
      </w:r>
      <w:proofErr w:type="spellStart"/>
      <w:r w:rsidRPr="001D01A5">
        <w:rPr>
          <w:rFonts w:eastAsia="Calibri" w:cstheme="minorHAnsi"/>
          <w:sz w:val="20"/>
          <w:szCs w:val="20"/>
        </w:rPr>
        <w:t>Malvaceae</w:t>
      </w:r>
      <w:proofErr w:type="spellEnd"/>
      <w:r w:rsidRPr="001D01A5">
        <w:rPr>
          <w:rFonts w:eastAsia="Calibri" w:cstheme="minorHAnsi"/>
          <w:sz w:val="20"/>
          <w:szCs w:val="20"/>
        </w:rPr>
        <w:t xml:space="preserve"> (7 species), and Fabaceae (5 species). Most weeds were annual</w:t>
      </w:r>
      <w:r w:rsidRPr="001D01A5">
        <w:rPr>
          <w:rFonts w:cstheme="minorHAnsi"/>
          <w:sz w:val="20"/>
          <w:szCs w:val="20"/>
        </w:rPr>
        <w:t>, with fewer annual/perennial and perennial species. Propagation was primarily by seed</w:t>
      </w:r>
      <w:r w:rsidRPr="001D01A5">
        <w:rPr>
          <w:rFonts w:eastAsia="Calibri" w:cstheme="minorHAnsi"/>
          <w:sz w:val="20"/>
          <w:szCs w:val="20"/>
        </w:rPr>
        <w:t xml:space="preserve">s (31 species), with other species reproducing via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w:t>
      </w:r>
      <w:r w:rsidRPr="001D01A5">
        <w:rPr>
          <w:rFonts w:cstheme="minorHAnsi"/>
          <w:sz w:val="20"/>
          <w:szCs w:val="20"/>
        </w:rPr>
        <w:t>5 species), seeds and/or rhizomes (2 species), or a combination of all three (2 species). This study established a critical baseline database for developing targeted weed control protocols for Sudan's most important agricultural systems.</w:t>
      </w:r>
    </w:p>
    <w:p w:rsidR="00C4053F" w:rsidRPr="00C4053F" w:rsidRDefault="001C778F" w:rsidP="004179CD">
      <w:pPr>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Integrated Weed Management, Biodiversity.</w:t>
      </w:r>
    </w:p>
    <w:p w:rsidR="00C4053F" w:rsidRPr="00C4053F" w:rsidRDefault="00C4053F" w:rsidP="00C4053F">
      <w:pPr>
        <w:spacing w:after="0" w:line="360" w:lineRule="auto"/>
        <w:jc w:val="both"/>
        <w:rPr>
          <w:rFonts w:ascii="Times New Roman" w:hAnsi="Times New Roman" w:cs="Times New Roman"/>
        </w:rPr>
      </w:pPr>
    </w:p>
    <w:p w:rsidR="00C4053F" w:rsidRPr="001D01A5" w:rsidRDefault="001C778F" w:rsidP="00C4053F">
      <w:pPr>
        <w:spacing w:after="0" w:line="360" w:lineRule="auto"/>
        <w:jc w:val="both"/>
        <w:rPr>
          <w:rFonts w:cstheme="minorHAnsi"/>
          <w:b/>
          <w:bCs/>
        </w:rPr>
      </w:pPr>
      <w:r w:rsidRPr="001D01A5">
        <w:rPr>
          <w:rFonts w:cstheme="minorHAnsi"/>
          <w:b/>
          <w:bCs/>
        </w:rPr>
        <w:t>1. Introduction</w:t>
      </w:r>
    </w:p>
    <w:p w:rsidR="00C4053F" w:rsidRPr="001D01A5" w:rsidRDefault="001C778F" w:rsidP="00742C47">
      <w:pPr>
        <w:spacing w:after="0" w:line="360" w:lineRule="auto"/>
        <w:jc w:val="both"/>
        <w:rPr>
          <w:rFonts w:cstheme="minorHAnsi"/>
          <w:sz w:val="20"/>
          <w:szCs w:val="20"/>
          <w:rtl/>
        </w:rPr>
      </w:pPr>
      <w:r w:rsidRPr="001D01A5">
        <w:rPr>
          <w:rFonts w:cstheme="minorHAnsi"/>
          <w:sz w:val="20"/>
          <w:szCs w:val="20"/>
        </w:rPr>
        <w:t>Weeds are plants that grow in undesirable locations and compete with crops for resources without human intervention. In agriculture, they significantly affect productivity by competing for light, water, and nutrients, harboring pests and diseases, and interfering with harvesting operations</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&lt;EndNote&gt;&lt;Cite&gt;&lt;Author&gt;Rahman&lt;/Author&gt;&lt;Year&gt;2013&lt;/Year&gt;&lt;RecNum&gt;298&lt;/RecNum&gt;&lt;DisplayText&gt;(Rahman, 2013)&lt;/DisplayText&gt;&lt;record&gt;&lt;rec-number&gt;298&lt;/rec-number&gt;&lt;foreign-keys&gt;&lt;key app="EN" db-id="pd0swas0fwf2e7ewt98xvfpkwv5sf9fae2sd" timestamp="1762965683"&gt;298&lt;/key&gt;&lt;/foreign-keys&gt;&lt;ref-type name="Journal Article"&gt;17&lt;/ref-type&gt;&lt;contributors&gt;&lt;authors&gt;&lt;author&gt;Rahman, AHMM&lt;/author&gt;&lt;/authors&gt;&lt;/contributors&gt;&lt;titles&gt;&lt;title&gt;A checklist of common angiosperm weeds of Rajshahi District, Bangladesh&lt;/title&gt;&lt;secondary-title&gt;International Journal of Agricultural and Soil Science&lt;/secondary-title&gt;&lt;/titles&gt;&lt;periodical&gt;&lt;full-title&gt;International Journal of Agricultural and Soil Science&lt;/full-title&gt;&lt;/periodical&gt;&lt;pages&gt;1-6&lt;/pages&gt;&lt;volume&gt;1&lt;/volume&gt;&lt;number&gt;1&lt;/number&gt;&lt;dates&gt;&lt;year&gt;2013&lt;/year&gt;&lt;/dates&gt;&lt;urls&gt;&lt;/urls&gt;&lt;/record&gt;&lt;/Cite&gt;&lt;/EndNote&gt;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(Rahman, 2013)</w:t>
      </w:r>
      <w:r w:rsidR="00042C32" w:rsidRPr="001D01A5">
        <w:rPr>
          <w:rFonts w:cstheme="minorHAnsi"/>
          <w:sz w:val="20"/>
          <w:szCs w:val="20"/>
        </w:rPr>
        <w:fldChar w:fldCharType="end"/>
      </w:r>
      <w:r w:rsidRPr="001D01A5">
        <w:rPr>
          <w:rFonts w:cstheme="minorHAnsi"/>
          <w:sz w:val="20"/>
          <w:szCs w:val="20"/>
        </w:rPr>
        <w:t>.</w:t>
      </w:r>
    </w:p>
    <w:p w:rsidR="00992EB4" w:rsidRPr="001D01A5" w:rsidRDefault="001C778F" w:rsidP="00742C47">
      <w:pPr>
        <w:spacing w:after="0" w:line="360" w:lineRule="auto"/>
        <w:jc w:val="both"/>
        <w:rPr>
          <w:rFonts w:cstheme="minorHAnsi"/>
          <w:sz w:val="20"/>
          <w:szCs w:val="20"/>
        </w:rPr>
      </w:pPr>
      <w:r w:rsidRPr="001D01A5">
        <w:rPr>
          <w:rFonts w:cstheme="minorHAnsi"/>
          <w:sz w:val="20"/>
          <w:szCs w:val="20"/>
        </w:rPr>
        <w:t xml:space="preserve">The foundation of any successful weed management program lies in the precise identification and comprehensive understanding of weed species composition within a specific agro-ecosystem. Floristic studies </w:t>
      </w:r>
      <w:r w:rsidRPr="001D01A5">
        <w:rPr>
          <w:rFonts w:eastAsia="Calibri" w:cstheme="minorHAnsi"/>
          <w:sz w:val="20"/>
          <w:szCs w:val="20"/>
        </w:rPr>
        <w:t xml:space="preserve">have provided crucial insights into the biological characteristics, distribution patterns, and ecological dynamics of weed communities, enabling the development of targeted and sustainable control strategies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&lt;EndNote&gt;&lt;Cite&gt;&lt;Author&gt;Monteiro&lt;/Author&gt;&lt;Year&gt;2022&lt;/Year&gt;&lt;RecNum&gt;312&lt;/RecNum&gt;&lt;DisplayText&gt;(Monteiro and Santos, 2022, Chicouène, 2020)&lt;/DisplayText&gt;&lt;record&gt;&lt;rec-number&gt;312&lt;/rec-number&gt;&lt;foreign-keys&gt;&lt;key app="EN" db-id="pd0swas0fwf2e7ewt98xvfpkwv5sf9fae2sd" timestamp="1762968074"&gt;312&lt;/key&gt;&lt;/foreign-keys&gt;&lt;ref-type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Cite&gt;&lt;Author&gt;Chicouène&lt;/Author&gt;&lt;Year&gt;2020&lt;/Year&gt;&lt;RecNum&gt;314&lt;/RecNum&gt;&lt;record&gt;&lt;rec-number&gt;314&lt;/rec-number&gt;&lt;foreign-keys&gt;&lt;key app="EN" db-id="pd0swas0fwf2e7ewt98xvfpkwv5sf9fae2sd" timestamp="1762968153"&gt;314&lt;/key&gt;&lt;/foreign-keys&gt;&lt;ref-type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(Monteiro and Santos, 2022, Chicouène, 2020)</w:t>
      </w:r>
      <w:r w:rsidR="00042C32" w:rsidRPr="001D01A5">
        <w:rPr>
          <w:rFonts w:cstheme="minorHAnsi"/>
          <w:sz w:val="20"/>
          <w:szCs w:val="20"/>
        </w:rPr>
        <w:fldChar w:fldCharType="end"/>
      </w:r>
      <w:r w:rsidRPr="001D01A5">
        <w:rPr>
          <w:rFonts w:cstheme="minorHAnsi"/>
          <w:sz w:val="20"/>
          <w:szCs w:val="20"/>
        </w:rPr>
        <w:t>. Without such fundamental knowledge, control measures may be ineffective, economically inefficient, or environmentally detrimental.</w:t>
      </w:r>
    </w:p>
    <w:p w:rsidR="00C4053F" w:rsidRPr="001D01A5" w:rsidRDefault="001C778F" w:rsidP="00742C47">
      <w:pPr>
        <w:spacing w:after="0" w:line="360" w:lineRule="auto"/>
        <w:jc w:val="both"/>
        <w:rPr>
          <w:rFonts w:cstheme="minorHAnsi"/>
          <w:sz w:val="20"/>
          <w:szCs w:val="20"/>
        </w:rPr>
      </w:pPr>
      <w:r w:rsidRPr="001D01A5">
        <w:rPr>
          <w:rFonts w:cstheme="minorHAnsi"/>
          <w:i/>
          <w:iCs/>
          <w:sz w:val="20"/>
          <w:szCs w:val="20"/>
        </w:rPr>
        <w:t>Sorghum bicolor</w:t>
      </w:r>
      <w:r w:rsidRPr="001D01A5">
        <w:rPr>
          <w:rFonts w:cstheme="minorHAnsi"/>
          <w:sz w:val="20"/>
          <w:szCs w:val="20"/>
        </w:rPr>
        <w:t xml:space="preserve"> (L.) Moench, or grain sorghum, is a vital cereal crop, ranking fifth globally. It is a key source of nutrition and bioactive compounds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&lt;EndNote&gt;&lt;Cite&gt;&lt;Author&gt;Espitia-Hernández&lt;/Author&gt;&lt;Year&gt;2022&lt;/Year&gt;&lt;RecNum&gt;299&lt;/RecNum&gt;&lt;DisplayText&gt;(Espitia-Hernández et al., 2022)&lt;/DisplayText&gt;&lt;record&gt;&lt;rec-number&gt;299&lt;/rec-number&gt;&lt;foreign-keys&gt;&lt;key app="EN" db-id="pd0swas0fwf2e7ewt98xvfpkwv5sf9fae2sd" timestamp="1762965779"&gt;299&lt;/key&gt;&lt;/foreign-keys&gt;&lt;ref-type name="Journal Article"&gt;17&lt;/ref-type&gt;&lt;contributors&gt;&lt;authors&gt;&lt;author&gt;Espitia-Hernández, Pilar&lt;/author&gt;&lt;author&gt;Chavez Gonzalez, Monica L&lt;/author&gt;&lt;author&gt;Ascacio-Valdés, Juan A&lt;/author&gt;&lt;author&gt;Dávila-Medina, Desiree&lt;/author&gt;&lt;author&gt;Flores-Naveda, Antonio&lt;/author&gt;&lt;author&gt;Silva, Teresinha&lt;/author&gt;&lt;author&gt;Ruelas Chacon, Xochitl&lt;/author&gt;&lt;author&gt;Sepúlveda, Leonardo&lt;/author&gt;&lt;/authors&gt;&lt;/contributors&gt;&lt;titles&gt;&lt;title&gt;Sorghum (Sorghum bicolor L.) as a potential source of bioactive substances and their biological properties&lt;/title&gt;&lt;secondary-title&gt;Critical Reviews in Food Science and Nutrition&lt;/secondary-title&gt;&lt;/titles&gt;&lt;periodical&gt;&lt;full-title&gt;Critical Reviews in Food Science and Nutrition&lt;/full-title&gt;&lt;/periodical&gt;&lt;pages&gt;2269-2280&lt;/pages&gt;&lt;volume&gt;62&lt;/volume&gt;&lt;number&gt;8&lt;/number&gt;&lt;dates&gt;&lt;year&gt;2022&lt;/year&gt;&lt;/dates&gt;&lt;isbn&gt;1040-8398&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(Espitia-Hernández et al., 2022)</w:t>
      </w:r>
      <w:r w:rsidR="00042C32" w:rsidRPr="001D01A5">
        <w:rPr>
          <w:rFonts w:cstheme="minorHAnsi"/>
          <w:sz w:val="20"/>
          <w:szCs w:val="20"/>
        </w:rPr>
        <w:fldChar w:fldCharType="end"/>
      </w:r>
      <w:r w:rsidRPr="001D01A5">
        <w:rPr>
          <w:rFonts w:cstheme="minorHAnsi"/>
          <w:sz w:val="20"/>
          <w:szCs w:val="20"/>
        </w:rPr>
        <w:t xml:space="preserve"> and is crucial for food security in many developing countries because of its drought tolerance and low input requirements </w:t>
      </w:r>
      <w:r w:rsidR="00042C32" w:rsidRPr="001D01A5">
        <w:rPr>
          <w:rFonts w:cstheme="minorHAnsi"/>
          <w:sz w:val="20"/>
          <w:szCs w:val="20"/>
        </w:rPr>
        <w:lastRenderedPageBreak/>
        <w:fldChar w:fldCharType="begin"/>
      </w:r>
      <w:r w:rsidR="00742C47" w:rsidRPr="001D01A5">
        <w:rPr>
          <w:rFonts w:cstheme="minorHAnsi"/>
          <w:sz w:val="20"/>
          <w:szCs w:val="20"/>
        </w:rPr>
        <w:instrText xml:space="preserve"> ADDIN EN.CITE &lt;EndNote&gt;&lt;Cite&gt;&lt;Author&gt;Peerzada&lt;/Author&gt;&lt;Year&gt;2017&lt;/Year&gt;&lt;RecNum&gt;300&lt;/RecNum&gt;&lt;DisplayText&gt;(Peerzada et al., 2017)&lt;/DisplayText&gt;&lt;record&gt;&lt;rec-number&gt;300&lt;/rec-number&gt;&lt;foreign-keys&gt;&lt;key app="EN" db-id="pd0swas0fwf2e7ewt98xvfpkwv5sf9fae2sd" timestamp="1762965843"&gt;300&lt;/key&gt;&lt;/foreign-keys&gt;&lt;ref-type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(Peerzada et al., 2017)</w:t>
      </w:r>
      <w:r w:rsidR="00042C32" w:rsidRPr="001D01A5">
        <w:rPr>
          <w:rFonts w:cstheme="minorHAnsi"/>
          <w:sz w:val="20"/>
          <w:szCs w:val="20"/>
        </w:rPr>
        <w:fldChar w:fldCharType="end"/>
      </w:r>
      <w:r w:rsidRPr="001D01A5">
        <w:rPr>
          <w:rFonts w:cstheme="minorHAnsi"/>
          <w:sz w:val="20"/>
          <w:szCs w:val="20"/>
        </w:rPr>
        <w:t xml:space="preserve">. In Sudan, sorghum is the principal crop, cultivated in approximately 55.6% of the total cultivated area, serving as a staple food and a primary livelihood source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&lt;EndNote&gt;&lt;Cite&gt;&lt;Author&gt;Grenier&lt;/Author&gt;&lt;Year&gt;2004&lt;/Year&gt;&lt;RecNum&gt;301&lt;/RecNum&gt;&lt;DisplayText&gt;(Grenier et al., 2004)&lt;/DisplayText&gt;&lt;record&gt;&lt;rec-number&gt;301&lt;/rec-number&gt;&lt;foreign-keys&gt;&lt;key app="EN" db-id="pd0swas0fwf2e7ewt98xvfpkwv5sf9fae2sd" timestamp="1762965904"&gt;301&lt;/key&gt;&lt;/foreign-keys&gt;&lt;ref-type name="Journal Article"&gt;17&lt;/ref-type&gt;&lt;contributors&gt;&lt;authors&gt;&lt;author&gt;Grenier, Cécile&lt;/author&gt;&lt;author&gt;Bramel, PJ&lt;/author&gt;&lt;author&gt;Dahlberg, JA&lt;/author&gt;&lt;author&gt;El-Ahmadi, A&lt;/author&gt;&lt;author&gt;Mahmoud, M&lt;/author&gt;&lt;author&gt;Peterson, GC&lt;/author&gt;&lt;author&gt;Rosenow, DT&lt;/author&gt;&lt;author&gt;Ejeta, G&lt;/author&gt;&lt;/authors&gt;&lt;/contributors&gt;&lt;titles&gt;&lt;title&gt;Sorghums of the Sudan: analysis of regional diversity and distribution&lt;/title&gt;&lt;secondary-title&gt;Genetic Resources and Crop Evolution&lt;/secondary-title&gt;&lt;/titles&gt;&lt;periodical&gt;&lt;full-title&gt;Genetic Resources and Crop Evolution&lt;/full-title&gt;&lt;/periodical&gt;&lt;pages&gt;489-500&lt;/pages&gt;&lt;volume&gt;51&lt;/volume&gt;&lt;number&gt;5&lt;/number&gt;&lt;dates&gt;&lt;year&gt;2004&lt;/year&gt;&lt;/dates&gt;&lt;isbn&gt;0925-9864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(Grenier et al., 2004)</w:t>
      </w:r>
      <w:r w:rsidR="00042C32" w:rsidRPr="001D01A5">
        <w:rPr>
          <w:rFonts w:cstheme="minorHAnsi"/>
          <w:sz w:val="20"/>
          <w:szCs w:val="20"/>
        </w:rPr>
        <w:fldChar w:fldCharType="end"/>
      </w:r>
      <w:r w:rsidRPr="001D01A5">
        <w:rPr>
          <w:rFonts w:cstheme="minorHAnsi"/>
          <w:sz w:val="20"/>
          <w:szCs w:val="20"/>
        </w:rPr>
        <w:t>.</w:t>
      </w:r>
    </w:p>
    <w:p w:rsidR="00C4053F" w:rsidRPr="001D01A5" w:rsidRDefault="001C778F" w:rsidP="00742C47">
      <w:pPr>
        <w:spacing w:before="240" w:after="0" w:line="360" w:lineRule="auto"/>
        <w:jc w:val="both"/>
        <w:rPr>
          <w:rFonts w:cstheme="minorHAnsi"/>
          <w:sz w:val="20"/>
          <w:szCs w:val="20"/>
        </w:rPr>
      </w:pPr>
      <w:r w:rsidRPr="001D01A5">
        <w:rPr>
          <w:rFonts w:cstheme="minorHAnsi"/>
          <w:sz w:val="20"/>
          <w:szCs w:val="20"/>
        </w:rPr>
        <w:t xml:space="preserve">The Gezira Irrigated Scheme is one of the largest agricultural projects in the world, playing a central role in Sudan's economy and food production. Sorghum is a key crop in this scheme and contributes significantly to </w:t>
      </w:r>
      <w:r w:rsidRPr="001D01A5">
        <w:rPr>
          <w:rFonts w:eastAsia="Calibri" w:cstheme="minorHAnsi"/>
          <w:sz w:val="20"/>
          <w:szCs w:val="20"/>
        </w:rPr>
        <w:t xml:space="preserve">the national output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&lt;EndNote&gt;&lt;Cite&gt;&lt;Author&gt;Mamad&lt;/Author&gt;&lt;Year&gt;2010&lt;/Year&gt;&lt;RecNum&gt;302&lt;/RecNum&gt;&lt;DisplayText&gt;(Mamad, 2010)&lt;/DisplayText&gt;&lt;record&gt;&lt;rec-number&gt;302&lt;/rec-number&gt;&lt;foreign-keys&gt;&lt;key app="EN" db-id="pd0swas0fwf2e7ewt98xvfpkwv5sf9fae2sd" timestamp="1762965965"&gt;302&lt;/key&gt;&lt;/foreign-keys&gt;&lt;ref-type name="Thesis"&gt;32&lt;/ref-type&gt;&lt;contributors&gt;&lt;authors&gt;&lt;author&gt;Mamad, N&lt;/author&gt;&lt;/authors&gt;&lt;/contributors&gt;&lt;titles&gt;&lt;title&gt;Irrigation performance of Gezira scheme, Sudan: assessment of land and water productivity using satellite data&lt;/title&gt;&lt;/titles&gt;&lt;dates&gt;&lt;year&gt;2010&lt;/year&gt;&lt;/dates&gt;&lt;publisher&gt;Unesco-IHE&lt;/publisher&gt;&lt;urls&gt;&lt;/urls&gt;&lt;/record&gt;&lt;/Cite&gt;&lt;/EndNote&gt;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(Mamad, 2010)</w:t>
      </w:r>
      <w:r w:rsidR="00042C32" w:rsidRPr="001D01A5">
        <w:rPr>
          <w:rFonts w:cstheme="minorHAnsi"/>
          <w:sz w:val="20"/>
          <w:szCs w:val="20"/>
        </w:rPr>
        <w:fldChar w:fldCharType="end"/>
      </w:r>
      <w:r w:rsidRPr="001D01A5">
        <w:rPr>
          <w:rFonts w:cstheme="minorHAnsi"/>
          <w:sz w:val="20"/>
          <w:szCs w:val="20"/>
        </w:rPr>
        <w:t xml:space="preserve">. However, weed infestation remains a major constraint to sorghum production, with reported yield losses of up to 97%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&lt;EndNote&gt;&lt;Cite&gt;&lt;Author&gt;Peerzada&lt;/Author&gt;&lt;Year&gt;2017&lt;/Year&gt;&lt;RecNum&gt;310&lt;/RecNum&gt;&lt;DisplayText&gt;(Peerzada et al., 2017)&lt;/DisplayText&gt;&lt;record&gt;&lt;rec-number&gt;310&lt;/rec-number&gt;&lt;foreign-keys&gt;&lt;key app="EN" db-id="pd0swas0fwf2e7ewt98xvfpkwv5sf9fae2sd" timestamp="1762967137"&gt;310&lt;/key&gt;&lt;/foreign-keys&gt;&lt;ref-type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(Peerzada et al., 2017)</w:t>
      </w:r>
      <w:r w:rsidR="00042C32" w:rsidRPr="001D01A5">
        <w:rPr>
          <w:rFonts w:cstheme="minorHAnsi"/>
          <w:sz w:val="20"/>
          <w:szCs w:val="20"/>
        </w:rPr>
        <w:fldChar w:fldCharType="end"/>
      </w:r>
      <w:r w:rsidRPr="001D01A5">
        <w:rPr>
          <w:rFonts w:cstheme="minorHAnsi"/>
          <w:sz w:val="20"/>
          <w:szCs w:val="20"/>
        </w:rPr>
        <w:t xml:space="preserve">. </w:t>
      </w:r>
      <w:r w:rsidR="00CC198C" w:rsidRPr="001D01A5">
        <w:rPr>
          <w:rFonts w:cstheme="minorHAnsi"/>
          <w:sz w:val="20"/>
          <w:szCs w:val="20"/>
        </w:rPr>
        <w:t xml:space="preserve">Despite this significant threat, a systematic and detailed record of weed flora associated with grain sorghum in this pivotal agricultural scheme is </w:t>
      </w:r>
      <w:r w:rsidR="005C1D32" w:rsidRPr="001D01A5">
        <w:rPr>
          <w:rFonts w:cstheme="minorHAnsi"/>
          <w:sz w:val="20"/>
          <w:szCs w:val="20"/>
        </w:rPr>
        <w:t>lacking</w:t>
      </w:r>
      <w:r w:rsidR="005C1D32" w:rsidRPr="001D01A5">
        <w:rPr>
          <w:rFonts w:cstheme="minorHAnsi"/>
          <w:b/>
          <w:bCs/>
          <w:sz w:val="20"/>
          <w:szCs w:val="20"/>
        </w:rPr>
        <w:t>.</w:t>
      </w:r>
      <w:r w:rsidR="005C1D32" w:rsidRPr="001D01A5">
        <w:rPr>
          <w:rFonts w:cstheme="minorHAnsi"/>
          <w:sz w:val="20"/>
          <w:szCs w:val="20"/>
        </w:rPr>
        <w:t xml:space="preserve"> Effective</w:t>
      </w:r>
      <w:r w:rsidRPr="001D01A5">
        <w:rPr>
          <w:rFonts w:cstheme="minorHAnsi"/>
          <w:sz w:val="20"/>
          <w:szCs w:val="20"/>
        </w:rPr>
        <w:t xml:space="preserve"> weed management begins with accurate identification and understanding of weed flora. This study provides the first dedicated inventory and ecological characterization of weeds in Gezira grain sorghum fields, aiming to establish a foundational database for future research and management strategies.</w:t>
      </w:r>
    </w:p>
    <w:p w:rsidR="00C4053F" w:rsidRPr="001D01A5" w:rsidRDefault="001C778F" w:rsidP="00EB12BE">
      <w:pPr>
        <w:spacing w:before="240" w:after="0" w:line="360" w:lineRule="auto"/>
        <w:jc w:val="both"/>
        <w:rPr>
          <w:b/>
          <w:bCs/>
        </w:rPr>
      </w:pPr>
      <w:r w:rsidRPr="001D01A5">
        <w:rPr>
          <w:rFonts w:cstheme="minorHAnsi"/>
          <w:b/>
          <w:bCs/>
        </w:rPr>
        <w:t>2. Materials and Methods</w:t>
      </w:r>
    </w:p>
    <w:p w:rsidR="00C4053F" w:rsidRPr="001D01A5" w:rsidRDefault="001C778F" w:rsidP="00C4053F">
      <w:pPr>
        <w:spacing w:after="0" w:line="360" w:lineRule="auto"/>
        <w:jc w:val="both"/>
        <w:rPr>
          <w:rFonts w:cstheme="minorHAnsi"/>
          <w:b/>
          <w:bCs/>
        </w:rPr>
      </w:pPr>
      <w:r w:rsidRPr="001D01A5">
        <w:rPr>
          <w:rFonts w:cstheme="minorHAnsi"/>
          <w:b/>
          <w:bCs/>
        </w:rPr>
        <w:t>2.1. Study Area</w:t>
      </w: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The study was conducted in the El-Meilg area, located in Gezira State, Al-</w:t>
      </w:r>
      <w:proofErr w:type="spellStart"/>
      <w:r w:rsidRPr="001D01A5">
        <w:rPr>
          <w:rFonts w:cstheme="minorHAnsi"/>
          <w:sz w:val="20"/>
          <w:szCs w:val="20"/>
        </w:rPr>
        <w:t>Kamilin</w:t>
      </w:r>
      <w:proofErr w:type="spellEnd"/>
      <w:r w:rsidRPr="001D01A5">
        <w:rPr>
          <w:rFonts w:cstheme="minorHAnsi"/>
          <w:sz w:val="20"/>
          <w:szCs w:val="20"/>
        </w:rPr>
        <w:t xml:space="preserve"> District, Sudan. This area has been </w:t>
      </w:r>
      <w:r w:rsidRPr="001D01A5">
        <w:rPr>
          <w:rFonts w:eastAsia="Calibri" w:cstheme="minorHAnsi"/>
          <w:sz w:val="20"/>
          <w:szCs w:val="20"/>
        </w:rPr>
        <w:t xml:space="preserve">a part of the Gezira Scheme since 1930. The climate is subtropical, characterized by </w:t>
      </w:r>
      <w:r w:rsidRPr="001D01A5">
        <w:rPr>
          <w:rFonts w:cstheme="minorHAnsi"/>
          <w:sz w:val="20"/>
          <w:szCs w:val="20"/>
        </w:rPr>
        <w:t>hot summer</w:t>
      </w:r>
      <w:r w:rsidRPr="001D01A5">
        <w:rPr>
          <w:rFonts w:eastAsia="Calibri" w:cstheme="minorHAnsi"/>
          <w:sz w:val="20"/>
          <w:szCs w:val="20"/>
        </w:rPr>
        <w:t xml:space="preserve">s (May to September) and </w:t>
      </w:r>
      <w:r w:rsidRPr="001D01A5">
        <w:rPr>
          <w:rFonts w:cstheme="minorHAnsi"/>
          <w:sz w:val="20"/>
          <w:szCs w:val="20"/>
        </w:rPr>
        <w:t>cooler winter</w:t>
      </w:r>
      <w:r w:rsidRPr="001D01A5">
        <w:rPr>
          <w:rFonts w:eastAsia="Calibri" w:cstheme="minorHAnsi"/>
          <w:sz w:val="20"/>
          <w:szCs w:val="20"/>
        </w:rPr>
        <w:t xml:space="preserve">s, where temperatures can drop to 12°C. The primary occupation of the area's approximately 20,000 inhabitants </w:t>
      </w:r>
      <w:r w:rsidRPr="001D01A5">
        <w:rPr>
          <w:rFonts w:cstheme="minorHAnsi"/>
          <w:sz w:val="20"/>
          <w:szCs w:val="20"/>
        </w:rPr>
        <w:t>was farming.</w:t>
      </w:r>
    </w:p>
    <w:p w:rsidR="00C4053F" w:rsidRPr="00C4053F" w:rsidRDefault="001C778F" w:rsidP="000D2050">
      <w:pPr>
        <w:spacing w:after="0" w:line="360" w:lineRule="auto"/>
        <w:jc w:val="center"/>
        <w:rPr>
          <w:rFonts w:ascii="Times New Roman" w:hAnsi="Times New Roman" w:cs="Times New Roman"/>
        </w:rPr>
      </w:pPr>
      <w:r>
        <w:rPr>
          <w:rFonts w:asciiTheme="majorBidi" w:hAnsiTheme="majorBidi" w:cstheme="majorBidi"/>
          <w:noProof/>
          <w:color w:val="FF0000"/>
          <w:sz w:val="28"/>
          <w:szCs w:val="28"/>
        </w:rPr>
        <w:drawing>
          <wp:inline distT="0" distB="0" distL="0" distR="0">
            <wp:extent cx="535305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tretch>
                      <a:fillRect/>
                    </a:stretch>
                  </pic:blipFill>
                  <pic:spPr bwMode="auto">
                    <a:xfrm>
                      <a:off x="0" y="0"/>
                      <a:ext cx="5353542" cy="2190951"/>
                    </a:xfrm>
                    <a:prstGeom prst="rect">
                      <a:avLst/>
                    </a:prstGeom>
                    <a:noFill/>
                    <a:ln w="9525">
                      <a:noFill/>
                      <a:miter lim="800000"/>
                      <a:headEnd/>
                      <a:tailEnd/>
                    </a:ln>
                  </pic:spPr>
                </pic:pic>
              </a:graphicData>
            </a:graphic>
          </wp:inline>
        </w:drawing>
      </w:r>
    </w:p>
    <w:p w:rsidR="00C4053F" w:rsidRPr="001D01A5" w:rsidRDefault="001C778F" w:rsidP="00371C27">
      <w:pPr>
        <w:spacing w:after="0" w:line="360" w:lineRule="auto"/>
        <w:jc w:val="both"/>
        <w:rPr>
          <w:rFonts w:cstheme="minorHAnsi"/>
          <w:sz w:val="20"/>
          <w:szCs w:val="20"/>
        </w:rPr>
      </w:pPr>
      <w:r w:rsidRPr="001D01A5">
        <w:rPr>
          <w:rFonts w:cstheme="minorHAnsi"/>
          <w:b/>
          <w:bCs/>
        </w:rPr>
        <w:t>Figure 1:</w:t>
      </w:r>
      <w:r w:rsidRPr="00C4053F">
        <w:rPr>
          <w:rFonts w:ascii="Times New Roman" w:hAnsi="Times New Roman" w:cs="Times New Roman"/>
        </w:rPr>
        <w:t xml:space="preserve"> </w:t>
      </w:r>
      <w:r w:rsidRPr="001D01A5">
        <w:rPr>
          <w:rFonts w:cstheme="minorHAnsi"/>
          <w:sz w:val="20"/>
          <w:szCs w:val="20"/>
        </w:rPr>
        <w:t>A clear map illustrating the location of the El-Meilg area w</w:t>
      </w:r>
      <w:r w:rsidR="000D2050" w:rsidRPr="001D01A5">
        <w:rPr>
          <w:rFonts w:cstheme="minorHAnsi"/>
          <w:sz w:val="20"/>
          <w:szCs w:val="20"/>
        </w:rPr>
        <w:t>ithin the Gezira Scheme, Sudan.</w:t>
      </w:r>
    </w:p>
    <w:p w:rsidR="00C4053F" w:rsidRPr="001D01A5" w:rsidRDefault="001C778F" w:rsidP="00C4053F">
      <w:pPr>
        <w:spacing w:after="0" w:line="360" w:lineRule="auto"/>
        <w:jc w:val="both"/>
        <w:rPr>
          <w:rFonts w:cstheme="minorHAnsi"/>
          <w:b/>
          <w:bCs/>
        </w:rPr>
      </w:pPr>
      <w:r w:rsidRPr="001D01A5">
        <w:rPr>
          <w:rFonts w:cstheme="minorHAnsi"/>
          <w:b/>
          <w:bCs/>
        </w:rPr>
        <w:t>2.2. Field S</w:t>
      </w:r>
      <w:r w:rsidR="00371C27" w:rsidRPr="001D01A5">
        <w:rPr>
          <w:rFonts w:cstheme="minorHAnsi"/>
          <w:b/>
          <w:bCs/>
        </w:rPr>
        <w:t>urvey and Weed Flora Inventory</w:t>
      </w:r>
    </w:p>
    <w:p w:rsidR="00C4053F" w:rsidRPr="001D01A5" w:rsidRDefault="001C778F" w:rsidP="00742C47">
      <w:pPr>
        <w:spacing w:after="0" w:line="360" w:lineRule="auto"/>
        <w:jc w:val="both"/>
        <w:rPr>
          <w:rFonts w:cstheme="minorHAnsi"/>
          <w:sz w:val="20"/>
          <w:szCs w:val="20"/>
        </w:rPr>
      </w:pPr>
      <w:r w:rsidRPr="001D01A5">
        <w:rPr>
          <w:rFonts w:cstheme="minorHAnsi"/>
          <w:sz w:val="20"/>
          <w:szCs w:val="20"/>
        </w:rPr>
        <w:t>Field surveys were conducted from August to October 2025 across ten randomly selected irrigated grain sorghum farms. A visual inventory technique was employed, supplemented by random quadrat sampling (1m x 1m quadrats, 10 per farm)</w:t>
      </w:r>
      <w:r w:rsidRPr="001D01A5">
        <w:rPr>
          <w:rFonts w:eastAsia="Calibri" w:cstheme="minorHAnsi"/>
          <w:sz w:val="20"/>
          <w:szCs w:val="20"/>
        </w:rPr>
        <w:t xml:space="preserve">, to note </w:t>
      </w:r>
      <w:r w:rsidRPr="001D01A5">
        <w:rPr>
          <w:rFonts w:cstheme="minorHAnsi"/>
          <w:sz w:val="20"/>
          <w:szCs w:val="20"/>
        </w:rPr>
        <w:t>the presence</w:t>
      </w:r>
      <w:r w:rsidRPr="001D01A5">
        <w:rPr>
          <w:rFonts w:eastAsia="Calibri" w:cstheme="minorHAnsi"/>
          <w:sz w:val="20"/>
          <w:szCs w:val="20"/>
        </w:rPr>
        <w:t xml:space="preserve"> of species. Weed specimens were collected, photographed, and identified using regional floras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&lt;EndNote&gt;&lt;Cite&gt;&lt;Author&gt;Abdallah&lt;/Author&gt;&lt;RecNum&gt;303&lt;/RecNum&gt;&lt;DisplayText&gt;(Abdallah et al., Karar, 2003)&lt;/DisplayText&gt;&lt;record&gt;&lt;rec-number&gt;303&lt;/rec-number&gt;&lt;foreign-keys&gt;&lt;key app="EN" db-id="pd0swas0fwf2e7ewt98xvfpkwv5sf9fae2sd" timestamp="1762966175"&gt;303&lt;/key&gt;&lt;/foreign-keys&gt;&lt;ref-type name="Journal Article"&gt;17&lt;/ref-type&gt;&lt;contributors&gt;&lt;authors&gt;&lt;author&gt;Abdallah, AH&lt;/author&gt;&lt;author&gt;Mahmoud, N&lt;/author&gt;&lt;author&gt;Elmahi, Negood&lt;/author&gt;&lt;/authors&gt;&lt;/contributors&gt;&lt;titles&gt;&lt;title&gt;Check List of the Flora of Barakat Area (Gazira State) Sudan&lt;/title&gt;&lt;/titles&gt;&lt;dates&gt;&lt;/dates&gt;&lt;urls&gt;&lt;/urls&gt;&lt;/record&gt;&lt;/Cite&gt;&lt;Cite&gt;&lt;Author&gt;Karar&lt;/Author&gt;&lt;Year&gt;2003&lt;/Year&gt;&lt;RecNum&gt;304&lt;/RecNum&gt;&lt;record&gt;&lt;rec-number&gt;304&lt;/rec-number&gt;&lt;foreign-keys&gt;&lt;key app="EN" db-id="pd0swas0fwf2e7ewt98xvfpkwv5sf9fae2sd" timestamp="1762966258"&gt;304&lt;/key&gt;&lt;/foreign-keys&gt;&lt;ref-type name="Thesis"&gt;32&lt;/ref-type&gt;&lt;contributors&gt;&lt;authors&gt;&lt;author&gt;Karar, Rehab Omer&lt;/author&gt;&lt;/authors&gt;&lt;/contributors&gt;&lt;titles&gt;&lt;title&gt;Studies of the weed ecology of the Gezira scheme, Sudan: an ecological and socio-economic perspective&lt;/title&gt;&lt;/titles&gt;&lt;dates&gt;&lt;year&gt;2003&lt;/year&gt;&lt;/dates&gt;&lt;publisher&gt;University of Liverpool&lt;/publisher&gt;&lt;urls&gt;&lt;/urls&gt;&lt;/record&gt;&lt;/Cite&gt;&lt;/EndNote&gt;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(Abdallah et al., Karar, 2003)</w:t>
      </w:r>
      <w:r w:rsidR="00042C32" w:rsidRPr="001D01A5">
        <w:rPr>
          <w:rFonts w:cstheme="minorHAnsi"/>
          <w:sz w:val="20"/>
          <w:szCs w:val="20"/>
        </w:rPr>
        <w:fldChar w:fldCharType="end"/>
      </w:r>
      <w:r w:rsidRPr="001D01A5">
        <w:rPr>
          <w:rFonts w:cstheme="minorHAnsi"/>
          <w:sz w:val="20"/>
          <w:szCs w:val="20"/>
        </w:rPr>
        <w:t xml:space="preserve">, the online databases </w:t>
      </w:r>
      <w:r w:rsidRPr="001D01A5">
        <w:rPr>
          <w:rFonts w:cstheme="minorHAnsi"/>
          <w:sz w:val="20"/>
          <w:szCs w:val="20"/>
        </w:rPr>
        <w:lastRenderedPageBreak/>
        <w:t xml:space="preserve">Plants of the World Online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&lt;EndNote&gt;&lt;Cite&gt;&lt;Author&gt;POWO&lt;/Author&gt;&lt;Year&gt;2023&lt;/Year&gt;&lt;RecNum&gt;305&lt;/RecNum&gt;&lt;DisplayText&gt;(POWO, 2023)&lt;/DisplayText&gt;&lt;record&gt;&lt;rec-number&gt;305&lt;/rec-number&gt;&lt;foreign-keys&gt;&lt;key app="EN" db-id="pd0swas0fwf2e7ewt98xvfpkwv5sf9fae2sd" timestamp="1762966357"&gt;305&lt;/key&gt;&lt;/foreign-keys&gt;&lt;ref-type name="Journal Article"&gt;17&lt;/ref-type&gt;&lt;contributors&gt;&lt;authors&gt;&lt;author&gt;POWO, Royal Botanic Gardens&lt;/author&gt;&lt;/authors&gt;&lt;/contributors&gt;&lt;titles&gt;&lt;title&gt;Plants of the world online&lt;/title&gt;&lt;secondary-title&gt;Facilitated by the Royal Botanic Gardens, Kew&lt;/secondary-title&gt;&lt;/titles&gt;&lt;periodical&gt;&lt;full-title&gt;Facilitated by the Royal Botanic Gardens, Kew&lt;/full-title&gt;&lt;/periodical&gt;&lt;dates&gt;&lt;year&gt;2023&lt;/year&gt;&lt;/dates&gt;&lt;urls&gt;&lt;/urls&gt;&lt;/record&gt;&lt;/Cite&gt;&lt;/EndNote&gt;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(POWO, 2023)</w:t>
      </w:r>
      <w:r w:rsidR="00042C32" w:rsidRPr="001D01A5">
        <w:rPr>
          <w:rFonts w:cstheme="minorHAnsi"/>
          <w:sz w:val="20"/>
          <w:szCs w:val="20"/>
        </w:rPr>
        <w:fldChar w:fldCharType="end"/>
      </w:r>
      <w:r w:rsidRPr="001D01A5">
        <w:rPr>
          <w:rFonts w:cstheme="minorHAnsi"/>
          <w:sz w:val="20"/>
          <w:szCs w:val="20"/>
        </w:rPr>
        <w:t xml:space="preserve"> and the International Plant Names Index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&lt;EndNote&gt;&lt;Cite&gt;&lt;Author&gt;IPNI&lt;/Author&gt;&lt;Year&gt;2020&lt;/Year&gt;&lt;RecNum&gt;311&lt;/RecNum&gt;&lt;DisplayText&gt;(IPNI, 2020)&lt;/DisplayText&gt;&lt;record&gt;&lt;rec-number&gt;311&lt;/rec-number&gt;&lt;foreign-keys&gt;&lt;key app="EN" db-id="pd0swas0fwf2e7ewt98xvfpkwv5sf9fae2sd" timestamp="1762967244"&gt;311&lt;/key&gt;&lt;/foreign-keys&gt;&lt;ref-type name="Journal Article"&gt;17&lt;/ref-type&gt;&lt;contributors&gt;&lt;authors&gt;&lt;author&gt;IPNI, I&lt;/author&gt;&lt;/authors&gt;&lt;/contributors&gt;&lt;titles&gt;&lt;title&gt;International plant names index&lt;/title&gt;&lt;secondary-title&gt;The Royal Botanic Gardens, Kew, Harvard University Herbaria &amp;amp; Libraries and Australian National Botanic Gardens&lt;/secondary-title&gt;&lt;/titles&gt;&lt;periodical&gt;&lt;full-title&gt;The Royal Botanic Gardens, Kew, Harvard University Herbaria &amp;amp; Libraries and Australian National Botanic Gardens&lt;/full-title&gt;&lt;/periodical&gt;&lt;dates&gt;&lt;year&gt;2020&lt;/year&gt;&lt;/dates&gt;&lt;urls&gt;&lt;/urls&gt;&lt;/record&gt;&lt;/Cite&gt;&lt;/EndNote&gt;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(IPNI, 2020)</w:t>
      </w:r>
      <w:r w:rsidR="00042C32" w:rsidRPr="001D01A5">
        <w:rPr>
          <w:rFonts w:cstheme="minorHAnsi"/>
          <w:sz w:val="20"/>
          <w:szCs w:val="20"/>
        </w:rPr>
        <w:fldChar w:fldCharType="end"/>
      </w:r>
      <w:r w:rsidRPr="001D01A5">
        <w:rPr>
          <w:rFonts w:cstheme="minorHAnsi"/>
          <w:sz w:val="20"/>
          <w:szCs w:val="20"/>
        </w:rPr>
        <w:t xml:space="preserve">. </w:t>
      </w:r>
      <w:r w:rsidRPr="001D01A5">
        <w:rPr>
          <w:rFonts w:eastAsia="Calibri" w:cstheme="minorHAnsi"/>
          <w:sz w:val="20"/>
          <w:szCs w:val="20"/>
        </w:rPr>
        <w:t xml:space="preserve">The </w:t>
      </w:r>
      <w:r w:rsidRPr="001D01A5">
        <w:rPr>
          <w:rFonts w:cstheme="minorHAnsi"/>
          <w:sz w:val="20"/>
          <w:szCs w:val="20"/>
        </w:rPr>
        <w:t>data recorded for each species included the following.</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Updated botanical name and family.</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Botanical class (</w:t>
      </w:r>
      <w:proofErr w:type="gramStart"/>
      <w:r w:rsidRPr="001D01A5">
        <w:rPr>
          <w:rFonts w:cstheme="minorHAnsi"/>
          <w:sz w:val="20"/>
          <w:szCs w:val="20"/>
        </w:rPr>
        <w:t>Dicot./</w:t>
      </w:r>
      <w:proofErr w:type="gramEnd"/>
      <w:r w:rsidRPr="001D01A5">
        <w:rPr>
          <w:rFonts w:cstheme="minorHAnsi"/>
          <w:sz w:val="20"/>
          <w:szCs w:val="20"/>
        </w:rPr>
        <w:t>Monocot.).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Local vernacular name (collected from local farmers).</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Growth form (Erect, Prostrate, </w:t>
      </w:r>
      <w:r w:rsidR="001D01A5" w:rsidRPr="001D01A5">
        <w:rPr>
          <w:rFonts w:cstheme="minorHAnsi"/>
          <w:sz w:val="20"/>
          <w:szCs w:val="20"/>
        </w:rPr>
        <w:t>and Vine</w:t>
      </w:r>
      <w:r w:rsidRPr="001D01A5">
        <w:rPr>
          <w:rFonts w:cstheme="minorHAnsi"/>
          <w:sz w:val="20"/>
          <w:szCs w:val="20"/>
        </w:rPr>
        <w: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Life span (Annual, Perennial, Biennial).</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Primary means of propagation (Seed, </w:t>
      </w:r>
      <w:proofErr w:type="spellStart"/>
      <w:r w:rsidRPr="001D01A5">
        <w:rPr>
          <w:rFonts w:cstheme="minorHAnsi"/>
          <w:sz w:val="20"/>
          <w:szCs w:val="20"/>
        </w:rPr>
        <w:t>Stolons</w:t>
      </w:r>
      <w:proofErr w:type="spellEnd"/>
      <w:r w:rsidRPr="001D01A5">
        <w:rPr>
          <w:rFonts w:cstheme="minorHAnsi"/>
          <w:sz w:val="20"/>
          <w:szCs w:val="20"/>
        </w:rPr>
        <w:t>, Rhizomes).</w:t>
      </w:r>
    </w:p>
    <w:p w:rsidR="00B6146A" w:rsidRPr="001D01A5" w:rsidRDefault="001C778F" w:rsidP="00B6146A">
      <w:pPr>
        <w:spacing w:after="0" w:line="360" w:lineRule="auto"/>
        <w:jc w:val="both"/>
        <w:rPr>
          <w:rFonts w:cstheme="minorHAnsi"/>
          <w:b/>
          <w:bCs/>
        </w:rPr>
      </w:pPr>
      <w:r w:rsidRPr="001D01A5">
        <w:rPr>
          <w:rFonts w:cstheme="minorHAnsi"/>
          <w:b/>
          <w:bCs/>
        </w:rPr>
        <w:t>3. Results</w:t>
      </w:r>
      <w:r w:rsidR="00B6146A">
        <w:rPr>
          <w:rFonts w:cstheme="minorHAnsi"/>
          <w:b/>
          <w:bCs/>
        </w:rPr>
        <w:t xml:space="preserve"> and </w:t>
      </w:r>
      <w:r w:rsidR="00B6146A" w:rsidRPr="001D01A5">
        <w:rPr>
          <w:rFonts w:cstheme="minorHAnsi"/>
          <w:b/>
          <w:bCs/>
        </w:rPr>
        <w:t>Discussion</w:t>
      </w:r>
      <w:r w:rsidR="00B6146A" w:rsidRPr="001D01A5">
        <w:rPr>
          <w:rFonts w:cstheme="minorHAnsi"/>
          <w:b/>
          <w:bCs/>
          <w:rtl/>
        </w:rPr>
        <w:t>:</w:t>
      </w:r>
    </w:p>
    <w:p w:rsidR="00C4053F" w:rsidRPr="001D01A5" w:rsidRDefault="00C4053F" w:rsidP="001238F2">
      <w:pPr>
        <w:spacing w:before="240" w:after="0" w:line="360" w:lineRule="auto"/>
        <w:jc w:val="both"/>
        <w:rPr>
          <w:b/>
          <w:bCs/>
        </w:rPr>
      </w:pP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A floristic survey recorded 39 weed species belonging to 34 genera and 14 families (</w:t>
      </w:r>
      <w:r w:rsidRPr="001D01A5">
        <w:rPr>
          <w:rFonts w:cstheme="minorHAnsi"/>
          <w:b/>
          <w:bCs/>
          <w:sz w:val="20"/>
          <w:szCs w:val="20"/>
        </w:rPr>
        <w:t>Table 1</w:t>
      </w:r>
      <w:r w:rsidRPr="001D01A5">
        <w:rPr>
          <w:rFonts w:cstheme="minorHAnsi"/>
          <w:sz w:val="20"/>
          <w:szCs w:val="20"/>
        </w:rPr>
        <w:t xml:space="preserve">). Dicotyledonous species constituted the majority (71.8%, 28 species), whereas monocotyledonous species accounted for 28.2% (11 species). The most represented families were </w:t>
      </w:r>
      <w:proofErr w:type="spellStart"/>
      <w:r w:rsidRPr="001D01A5">
        <w:rPr>
          <w:rFonts w:cstheme="minorHAnsi"/>
          <w:sz w:val="20"/>
          <w:szCs w:val="20"/>
        </w:rPr>
        <w:t>Poaceae</w:t>
      </w:r>
      <w:proofErr w:type="spellEnd"/>
      <w:r w:rsidRPr="001D01A5">
        <w:rPr>
          <w:rFonts w:cstheme="minorHAnsi"/>
          <w:sz w:val="20"/>
          <w:szCs w:val="20"/>
        </w:rPr>
        <w:t xml:space="preserve"> (8 species), </w:t>
      </w:r>
      <w:proofErr w:type="spellStart"/>
      <w:r w:rsidRPr="001D01A5">
        <w:rPr>
          <w:rFonts w:cstheme="minorHAnsi"/>
          <w:sz w:val="20"/>
          <w:szCs w:val="20"/>
        </w:rPr>
        <w:t>Malvaceae</w:t>
      </w:r>
      <w:proofErr w:type="spellEnd"/>
      <w:r w:rsidRPr="001D01A5">
        <w:rPr>
          <w:rFonts w:cstheme="minorHAnsi"/>
          <w:sz w:val="20"/>
          <w:szCs w:val="20"/>
        </w:rPr>
        <w:t xml:space="preserve"> (7 species), and Fabaceae (5 species).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Life Form and Growth Strategy:</w:t>
      </w:r>
      <w:r w:rsidRPr="001D01A5">
        <w:rPr>
          <w:rFonts w:cstheme="minorHAnsi"/>
          <w:sz w:val="20"/>
          <w:szCs w:val="20"/>
        </w:rPr>
        <w:t xml:space="preserve"> Annual herbs (</w:t>
      </w:r>
      <w:proofErr w:type="spellStart"/>
      <w:r w:rsidRPr="001D01A5">
        <w:rPr>
          <w:rFonts w:cstheme="minorHAnsi"/>
          <w:sz w:val="20"/>
          <w:szCs w:val="20"/>
        </w:rPr>
        <w:t>AnH</w:t>
      </w:r>
      <w:proofErr w:type="spellEnd"/>
      <w:r w:rsidRPr="001D01A5">
        <w:rPr>
          <w:rFonts w:cstheme="minorHAnsi"/>
          <w:sz w:val="20"/>
          <w:szCs w:val="20"/>
        </w:rPr>
        <w:t>) were the most prevalent life form</w:t>
      </w:r>
      <w:r w:rsidRPr="001D01A5">
        <w:rPr>
          <w:rFonts w:eastAsia="Calibri" w:cstheme="minorHAnsi"/>
          <w:sz w:val="20"/>
          <w:szCs w:val="20"/>
        </w:rPr>
        <w:t>s. Erect growth was the dominant form, followed by the prostrate and vine forms.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Propagation Methods:</w:t>
      </w:r>
      <w:r w:rsidRPr="001D01A5">
        <w:rPr>
          <w:rFonts w:cstheme="minorHAnsi"/>
          <w:sz w:val="20"/>
          <w:szCs w:val="20"/>
        </w:rPr>
        <w:t xml:space="preserve"> The majority of species (31 species, 79.5%) </w:t>
      </w:r>
      <w:r w:rsidRPr="001D01A5">
        <w:rPr>
          <w:rFonts w:eastAsia="Calibri" w:cstheme="minorHAnsi"/>
          <w:sz w:val="20"/>
          <w:szCs w:val="20"/>
        </w:rPr>
        <w:t xml:space="preserve">were propagated solely by seeds. Other propagation strategies included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(5 species), seeds and/or rhizomes (2 species), and a combination of seeds, </w:t>
      </w:r>
      <w:proofErr w:type="spellStart"/>
      <w:r w:rsidRPr="001D01A5">
        <w:rPr>
          <w:rFonts w:eastAsia="Calibri" w:cstheme="minorHAnsi"/>
          <w:sz w:val="20"/>
          <w:szCs w:val="20"/>
        </w:rPr>
        <w:t>stolons</w:t>
      </w:r>
      <w:proofErr w:type="spellEnd"/>
      <w:r w:rsidRPr="001D01A5">
        <w:rPr>
          <w:rFonts w:eastAsia="Calibri" w:cstheme="minorHAnsi"/>
          <w:sz w:val="20"/>
          <w:szCs w:val="20"/>
        </w:rPr>
        <w:t>, and rhizomes (2 species).</w:t>
      </w:r>
    </w:p>
    <w:p w:rsidR="00620389" w:rsidRDefault="00620389" w:rsidP="00C4053F">
      <w:pPr>
        <w:spacing w:after="0" w:line="360" w:lineRule="auto"/>
        <w:jc w:val="both"/>
        <w:rPr>
          <w:rFonts w:ascii="Times New Roman" w:hAnsi="Times New Roman" w:cs="Times New Roman"/>
          <w:b/>
          <w:bCs/>
        </w:rPr>
        <w:sectPr w:rsidR="0062038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pPr>
    </w:p>
    <w:p w:rsidR="00C4053F" w:rsidRPr="00C4053F" w:rsidRDefault="001C778F" w:rsidP="00C4053F">
      <w:pPr>
        <w:spacing w:after="0" w:line="360" w:lineRule="auto"/>
        <w:jc w:val="both"/>
        <w:rPr>
          <w:rFonts w:ascii="Times New Roman" w:hAnsi="Times New Roman" w:cs="Times New Roman"/>
        </w:rPr>
      </w:pPr>
      <w:r w:rsidRPr="00CA0471">
        <w:rPr>
          <w:rFonts w:ascii="Times New Roman" w:hAnsi="Times New Roman" w:cs="Times New Roman"/>
          <w:b/>
          <w:bCs/>
        </w:rPr>
        <w:lastRenderedPageBreak/>
        <w:t>Table 1:</w:t>
      </w:r>
      <w:r w:rsidRPr="00C4053F">
        <w:rPr>
          <w:rFonts w:ascii="Times New Roman" w:hAnsi="Times New Roman" w:cs="Times New Roman"/>
        </w:rPr>
        <w:t xml:space="preserve"> Weed Species Inventory in Irrigated </w:t>
      </w:r>
      <w:r w:rsidRPr="00620389">
        <w:rPr>
          <w:rFonts w:ascii="Times New Roman" w:hAnsi="Times New Roman" w:cs="Times New Roman"/>
          <w:i/>
          <w:iCs/>
        </w:rPr>
        <w:t>Grain Sorg</w:t>
      </w:r>
      <w:r w:rsidR="00CA0471" w:rsidRPr="00620389">
        <w:rPr>
          <w:rFonts w:ascii="Times New Roman" w:hAnsi="Times New Roman" w:cs="Times New Roman"/>
          <w:i/>
          <w:iCs/>
        </w:rPr>
        <w:t>hum</w:t>
      </w:r>
      <w:r w:rsidR="00CA0471">
        <w:rPr>
          <w:rFonts w:ascii="Times New Roman" w:hAnsi="Times New Roman" w:cs="Times New Roman"/>
        </w:rPr>
        <w:t xml:space="preserve"> Fields, El-Meilg Area.</w:t>
      </w:r>
    </w:p>
    <w:tbl>
      <w:tblPr>
        <w:tblStyle w:val="PlainTable21"/>
        <w:tblW w:w="13041" w:type="dxa"/>
        <w:tblLook w:val="04A0" w:firstRow="1" w:lastRow="0" w:firstColumn="1" w:lastColumn="0" w:noHBand="0" w:noVBand="1"/>
      </w:tblPr>
      <w:tblGrid>
        <w:gridCol w:w="1627"/>
        <w:gridCol w:w="3112"/>
        <w:gridCol w:w="1640"/>
        <w:gridCol w:w="1998"/>
        <w:gridCol w:w="1411"/>
        <w:gridCol w:w="1233"/>
        <w:gridCol w:w="2020"/>
      </w:tblGrid>
      <w:tr w:rsidR="00523203" w:rsidTr="00523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Family</w:t>
            </w:r>
          </w:p>
        </w:tc>
        <w:tc>
          <w:tcPr>
            <w:tcW w:w="3112"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Weed Species                               </w:t>
            </w:r>
          </w:p>
        </w:tc>
        <w:tc>
          <w:tcPr>
            <w:tcW w:w="1640"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Botanical Class</w:t>
            </w:r>
          </w:p>
        </w:tc>
        <w:tc>
          <w:tcPr>
            <w:tcW w:w="1998"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Local Name(s)      </w:t>
            </w:r>
          </w:p>
        </w:tc>
        <w:tc>
          <w:tcPr>
            <w:tcW w:w="1411"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Growth Form</w:t>
            </w:r>
          </w:p>
        </w:tc>
        <w:tc>
          <w:tcPr>
            <w:tcW w:w="1233"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Life Span</w:t>
            </w:r>
          </w:p>
        </w:tc>
        <w:tc>
          <w:tcPr>
            <w:tcW w:w="2020"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Propagation Method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Amaranthaceae</w:t>
            </w:r>
            <w:proofErr w:type="spellEnd"/>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Digera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muricata</w:t>
            </w:r>
            <w:proofErr w:type="spellEnd"/>
            <w:r w:rsidRPr="005664C1">
              <w:rPr>
                <w:rFonts w:ascii="Times New Roman" w:hAnsi="Times New Roman" w:cs="Times New Roman"/>
                <w:sz w:val="20"/>
                <w:szCs w:val="20"/>
              </w:rPr>
              <w:t xml:space="preserve"> (L.) Mart.               </w:t>
            </w:r>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Lablab</w:t>
            </w:r>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Aizoaceae</w:t>
            </w:r>
          </w:p>
        </w:tc>
        <w:tc>
          <w:tcPr>
            <w:tcW w:w="3112" w:type="dxa"/>
          </w:tcPr>
          <w:p w:rsidR="00620389"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Trianthema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portulacastrum</w:t>
            </w:r>
            <w:proofErr w:type="spellEnd"/>
            <w:r w:rsidRPr="005664C1">
              <w:rPr>
                <w:rFonts w:ascii="Times New Roman" w:hAnsi="Times New Roman" w:cs="Times New Roman"/>
                <w:sz w:val="20"/>
                <w:szCs w:val="20"/>
              </w:rPr>
              <w:t xml:space="preserve"> L.             </w:t>
            </w:r>
          </w:p>
        </w:tc>
        <w:tc>
          <w:tcPr>
            <w:tcW w:w="164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Rabaa</w:t>
            </w:r>
          </w:p>
        </w:tc>
        <w:tc>
          <w:tcPr>
            <w:tcW w:w="1411"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Aristolochiaceae</w:t>
            </w:r>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Aristolochia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bracteolate</w:t>
            </w:r>
            <w:r w:rsidRPr="005664C1">
              <w:rPr>
                <w:rFonts w:ascii="Times New Roman" w:hAnsi="Times New Roman" w:cs="Times New Roman"/>
                <w:sz w:val="20"/>
                <w:szCs w:val="20"/>
              </w:rPr>
              <w:t>Lam</w:t>
            </w:r>
            <w:proofErr w:type="spellEnd"/>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galagel</w:t>
            </w:r>
            <w:proofErr w:type="spellEnd"/>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7E7F86"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Asteraceae</w:t>
            </w: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Eclipta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prostrata</w:t>
            </w:r>
            <w:proofErr w:type="spellEnd"/>
            <w:r w:rsidRPr="005664C1">
              <w:rPr>
                <w:rFonts w:ascii="Times New Roman" w:hAnsi="Times New Roman" w:cs="Times New Roman"/>
                <w:sz w:val="20"/>
                <w:szCs w:val="20"/>
              </w:rPr>
              <w:t xml:space="preserve"> (L.) L</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Tamer al-</w:t>
            </w:r>
            <w:proofErr w:type="spellStart"/>
            <w:r w:rsidRPr="005664C1">
              <w:rPr>
                <w:rFonts w:ascii="Times New Roman" w:hAnsi="Times New Roman" w:cs="Times New Roman"/>
                <w:sz w:val="20"/>
                <w:szCs w:val="20"/>
              </w:rPr>
              <w:t>ganam</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Erect/Prost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Sonchus oleraceus</w:t>
            </w:r>
            <w:r w:rsidRPr="005664C1">
              <w:rPr>
                <w:rFonts w:ascii="Times New Roman" w:hAnsi="Times New Roman" w:cs="Times New Roman"/>
                <w:sz w:val="20"/>
                <w:szCs w:val="20"/>
              </w:rPr>
              <w:t xml:space="preserve"> L.</w:t>
            </w:r>
          </w:p>
        </w:tc>
        <w:tc>
          <w:tcPr>
            <w:tcW w:w="164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Molita</w:t>
            </w:r>
            <w:proofErr w:type="spellEnd"/>
          </w:p>
        </w:tc>
        <w:tc>
          <w:tcPr>
            <w:tcW w:w="1411"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Xanthium </w:t>
            </w:r>
            <w:proofErr w:type="spellStart"/>
            <w:r w:rsidRPr="005664C1">
              <w:rPr>
                <w:rFonts w:ascii="Times New Roman" w:hAnsi="Times New Roman" w:cs="Times New Roman"/>
                <w:i/>
                <w:iCs/>
                <w:sz w:val="20"/>
                <w:szCs w:val="20"/>
              </w:rPr>
              <w:t>brasilicum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Vell</w:t>
            </w:r>
            <w:proofErr w:type="spellEnd"/>
            <w:r w:rsidRPr="005664C1">
              <w:rPr>
                <w:rFonts w:ascii="Times New Roman" w:hAnsi="Times New Roman" w:cs="Times New Roman"/>
                <w:sz w:val="20"/>
                <w:szCs w:val="20"/>
              </w:rPr>
              <w:t xml:space="preserve">.                </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Shelni-maak</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Commelinaceae</w:t>
            </w:r>
          </w:p>
        </w:tc>
        <w:tc>
          <w:tcPr>
            <w:tcW w:w="3112" w:type="dxa"/>
          </w:tcPr>
          <w:p w:rsidR="00E37C08"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Commelina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kotschyi</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Hassk</w:t>
            </w:r>
            <w:proofErr w:type="spellEnd"/>
          </w:p>
        </w:tc>
        <w:tc>
          <w:tcPr>
            <w:tcW w:w="164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Ibrik-</w:t>
            </w:r>
            <w:proofErr w:type="spellStart"/>
            <w:r w:rsidRPr="005664C1">
              <w:rPr>
                <w:rFonts w:ascii="Times New Roman" w:hAnsi="Times New Roman" w:cs="Times New Roman"/>
                <w:sz w:val="20"/>
                <w:szCs w:val="20"/>
              </w:rPr>
              <w:t>Al.faki</w:t>
            </w:r>
            <w:proofErr w:type="spellEnd"/>
          </w:p>
        </w:tc>
        <w:tc>
          <w:tcPr>
            <w:tcW w:w="1411"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PeNgr</w:t>
            </w:r>
            <w:proofErr w:type="spellEnd"/>
          </w:p>
        </w:tc>
        <w:tc>
          <w:tcPr>
            <w:tcW w:w="202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E37C08" w:rsidP="005664C1">
            <w:pPr>
              <w:spacing w:line="360" w:lineRule="auto"/>
              <w:jc w:val="both"/>
              <w:rPr>
                <w:rFonts w:ascii="Times New Roman" w:hAnsi="Times New Roman" w:cs="Times New Roman"/>
                <w:sz w:val="20"/>
                <w:szCs w:val="20"/>
              </w:rPr>
            </w:pPr>
          </w:p>
        </w:tc>
        <w:tc>
          <w:tcPr>
            <w:tcW w:w="3112" w:type="dxa"/>
          </w:tcPr>
          <w:p w:rsidR="00E37C08"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Cyanotis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axillaris</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D.Don</w:t>
            </w:r>
            <w:proofErr w:type="spellEnd"/>
            <w:r w:rsidRPr="005664C1">
              <w:rPr>
                <w:rFonts w:ascii="Times New Roman" w:hAnsi="Times New Roman" w:cs="Times New Roman"/>
                <w:sz w:val="20"/>
                <w:szCs w:val="20"/>
              </w:rPr>
              <w:t xml:space="preserve"> ex Sweet   </w:t>
            </w:r>
          </w:p>
        </w:tc>
        <w:tc>
          <w:tcPr>
            <w:tcW w:w="164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Ibrik-</w:t>
            </w:r>
            <w:proofErr w:type="spellStart"/>
            <w:r w:rsidRPr="005664C1">
              <w:rPr>
                <w:rFonts w:ascii="Times New Roman" w:hAnsi="Times New Roman" w:cs="Times New Roman"/>
                <w:sz w:val="20"/>
                <w:szCs w:val="20"/>
              </w:rPr>
              <w:t>Al.faki</w:t>
            </w:r>
            <w:proofErr w:type="spellEnd"/>
          </w:p>
        </w:tc>
        <w:tc>
          <w:tcPr>
            <w:tcW w:w="1411"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AnNgr</w:t>
            </w:r>
            <w:proofErr w:type="spellEnd"/>
          </w:p>
        </w:tc>
        <w:tc>
          <w:tcPr>
            <w:tcW w:w="202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val="restart"/>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Convolvulaceae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Ipomoea </w:t>
            </w:r>
            <w:proofErr w:type="spellStart"/>
            <w:r w:rsidRPr="005664C1">
              <w:rPr>
                <w:rFonts w:ascii="Times New Roman" w:hAnsi="Times New Roman" w:cs="Times New Roman"/>
                <w:i/>
                <w:iCs/>
                <w:sz w:val="20"/>
                <w:szCs w:val="20"/>
              </w:rPr>
              <w:t>cordofana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Choisy</w:t>
            </w:r>
            <w:proofErr w:type="spellEnd"/>
            <w:r w:rsidRPr="005664C1">
              <w:rPr>
                <w:rFonts w:ascii="Times New Roman" w:hAnsi="Times New Roman" w:cs="Times New Roman"/>
                <w:sz w:val="20"/>
                <w:szCs w:val="20"/>
              </w:rPr>
              <w:t xml:space="preserve">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Hantot</w:t>
            </w:r>
            <w:proofErr w:type="spellEnd"/>
            <w:r w:rsidRPr="005664C1">
              <w:rPr>
                <w:rFonts w:ascii="Times New Roman" w:hAnsi="Times New Roman" w:cs="Times New Roman"/>
                <w:sz w:val="20"/>
                <w:szCs w:val="20"/>
              </w:rPr>
              <w:t xml:space="preserve"> / </w:t>
            </w:r>
            <w:proofErr w:type="spellStart"/>
            <w:r w:rsidRPr="005664C1">
              <w:rPr>
                <w:rFonts w:ascii="Times New Roman" w:hAnsi="Times New Roman" w:cs="Times New Roman"/>
                <w:sz w:val="20"/>
                <w:szCs w:val="20"/>
              </w:rPr>
              <w:t>tabaar</w:t>
            </w:r>
            <w:proofErr w:type="spellEnd"/>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Merremia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emarginata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Hallier f.</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Momordica </w:t>
            </w:r>
            <w:proofErr w:type="spellStart"/>
            <w:r w:rsidRPr="005664C1">
              <w:rPr>
                <w:rFonts w:ascii="Times New Roman" w:hAnsi="Times New Roman" w:cs="Times New Roman"/>
                <w:i/>
                <w:iCs/>
                <w:sz w:val="20"/>
                <w:szCs w:val="20"/>
              </w:rPr>
              <w:t>balsamina</w:t>
            </w:r>
            <w:proofErr w:type="spellEnd"/>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Ipomoea sp.                              </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Cyperaceae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Cyperus rotundus</w:t>
            </w:r>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Sedaa</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PeSed</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Rhizome/Seed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Euphorbiaceae</w:t>
            </w:r>
            <w:proofErr w:type="spellEnd"/>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Phyllanthus </w:t>
            </w:r>
            <w:proofErr w:type="spellStart"/>
            <w:r w:rsidRPr="005664C1">
              <w:rPr>
                <w:rFonts w:ascii="Times New Roman" w:hAnsi="Times New Roman" w:cs="Times New Roman"/>
                <w:i/>
                <w:iCs/>
                <w:sz w:val="20"/>
                <w:szCs w:val="20"/>
              </w:rPr>
              <w:t>maderaspatensis</w:t>
            </w:r>
            <w:r w:rsidRPr="005664C1">
              <w:rPr>
                <w:rFonts w:ascii="Times New Roman" w:hAnsi="Times New Roman" w:cs="Times New Roman"/>
                <w:sz w:val="20"/>
                <w:szCs w:val="20"/>
              </w:rPr>
              <w:t>L</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Soreeb-kabeer</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Phyllanthus </w:t>
            </w:r>
            <w:proofErr w:type="spellStart"/>
            <w:r w:rsidRPr="005664C1">
              <w:rPr>
                <w:rFonts w:ascii="Times New Roman" w:hAnsi="Times New Roman" w:cs="Times New Roman"/>
                <w:i/>
                <w:iCs/>
                <w:sz w:val="20"/>
                <w:szCs w:val="20"/>
              </w:rPr>
              <w:t>niruri</w:t>
            </w:r>
            <w:proofErr w:type="spellEnd"/>
            <w:r w:rsidRPr="005664C1">
              <w:rPr>
                <w:rFonts w:ascii="Times New Roman" w:hAnsi="Times New Roman" w:cs="Times New Roman"/>
                <w:sz w:val="20"/>
                <w:szCs w:val="20"/>
              </w:rPr>
              <w:t xml:space="preserve"> L</w:t>
            </w:r>
            <w:r w:rsidRPr="005664C1">
              <w:rPr>
                <w:rFonts w:ascii="Times New Roman" w:hAnsi="Times New Roman" w:cs="Times New Roman"/>
                <w:sz w:val="20"/>
                <w:szCs w:val="20"/>
                <w:rtl/>
              </w:rPr>
              <w:t>.</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Fabaceae</w:t>
            </w: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Alysicarpus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monilifer</w:t>
            </w:r>
            <w:proofErr w:type="spellEnd"/>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Fola</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Phaseolus </w:t>
            </w:r>
            <w:proofErr w:type="spellStart"/>
            <w:r w:rsidRPr="005664C1">
              <w:rPr>
                <w:rFonts w:ascii="Times New Roman" w:hAnsi="Times New Roman" w:cs="Times New Roman"/>
                <w:i/>
                <w:iCs/>
                <w:sz w:val="20"/>
                <w:szCs w:val="20"/>
              </w:rPr>
              <w:t>trilobus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Aiton</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Alaf</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Rhynchosia</w:t>
            </w:r>
            <w:proofErr w:type="spellEnd"/>
            <w:r w:rsidRPr="005664C1">
              <w:rPr>
                <w:rFonts w:ascii="Times New Roman" w:hAnsi="Times New Roman" w:cs="Times New Roman"/>
                <w:i/>
                <w:iCs/>
                <w:sz w:val="20"/>
                <w:szCs w:val="20"/>
              </w:rPr>
              <w:t xml:space="preserve"> minima</w:t>
            </w:r>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Adan al-far</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Senna </w:t>
            </w:r>
            <w:proofErr w:type="spellStart"/>
            <w:r w:rsidRPr="005664C1">
              <w:rPr>
                <w:rFonts w:ascii="Times New Roman" w:hAnsi="Times New Roman" w:cs="Times New Roman"/>
                <w:i/>
                <w:iCs/>
                <w:sz w:val="20"/>
                <w:szCs w:val="20"/>
              </w:rPr>
              <w:t>obtusifolia</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H.S.Irwin</w:t>
            </w:r>
            <w:proofErr w:type="spellEnd"/>
            <w:r w:rsidRPr="005664C1">
              <w:rPr>
                <w:rFonts w:ascii="Times New Roman" w:hAnsi="Times New Roman" w:cs="Times New Roman"/>
                <w:sz w:val="20"/>
                <w:szCs w:val="20"/>
              </w:rPr>
              <w:t xml:space="preserve"> &amp; </w:t>
            </w:r>
            <w:proofErr w:type="spellStart"/>
            <w:r w:rsidRPr="005664C1">
              <w:rPr>
                <w:rFonts w:ascii="Times New Roman" w:hAnsi="Times New Roman" w:cs="Times New Roman"/>
                <w:sz w:val="20"/>
                <w:szCs w:val="20"/>
              </w:rPr>
              <w:t>Barneby</w:t>
            </w:r>
            <w:proofErr w:type="spellEnd"/>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Kawal</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Sesbania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sesban</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Merr</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Sisaban</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PeSh</w:t>
            </w:r>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Lamiaceae</w:t>
            </w:r>
            <w:proofErr w:type="spellEnd"/>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Ocimum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basilicum</w:t>
            </w:r>
            <w:proofErr w:type="spellEnd"/>
            <w:r w:rsidRPr="005664C1">
              <w:rPr>
                <w:rFonts w:ascii="Times New Roman" w:hAnsi="Times New Roman" w:cs="Times New Roman"/>
                <w:sz w:val="20"/>
                <w:szCs w:val="20"/>
              </w:rPr>
              <w:t xml:space="preserve"> L.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Rihan</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1360D"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Malvaceae</w:t>
            </w:r>
            <w:proofErr w:type="spellEnd"/>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Abelmoschus sp.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Bamiaa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Abutilon </w:t>
            </w:r>
            <w:proofErr w:type="spellStart"/>
            <w:r w:rsidRPr="005664C1">
              <w:rPr>
                <w:rFonts w:ascii="Times New Roman" w:hAnsi="Times New Roman" w:cs="Times New Roman"/>
                <w:i/>
                <w:iCs/>
                <w:sz w:val="20"/>
                <w:szCs w:val="20"/>
              </w:rPr>
              <w:t>pannosum</w:t>
            </w:r>
            <w:proofErr w:type="spellEnd"/>
            <w:r w:rsidRPr="005664C1">
              <w:rPr>
                <w:rFonts w:ascii="Times New Roman" w:hAnsi="Times New Roman" w:cs="Times New Roman"/>
                <w:sz w:val="20"/>
                <w:szCs w:val="20"/>
              </w:rPr>
              <w:t xml:space="preserve"> var. </w:t>
            </w:r>
            <w:proofErr w:type="spellStart"/>
            <w:r w:rsidRPr="005664C1">
              <w:rPr>
                <w:rFonts w:ascii="Times New Roman" w:hAnsi="Times New Roman" w:cs="Times New Roman"/>
                <w:sz w:val="20"/>
                <w:szCs w:val="20"/>
              </w:rPr>
              <w:t>pannosum</w:t>
            </w:r>
            <w:proofErr w:type="spellEnd"/>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Grgadan</w:t>
            </w:r>
            <w:proofErr w:type="spellEnd"/>
            <w:r w:rsidRPr="005664C1">
              <w:rPr>
                <w:rFonts w:ascii="Times New Roman" w:hAnsi="Times New Roman" w:cs="Times New Roman"/>
                <w:sz w:val="20"/>
                <w:szCs w:val="20"/>
              </w:rPr>
              <w:t>/hanbok</w:t>
            </w:r>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Corchorus fascicularis</w:t>
            </w:r>
            <w:r w:rsidRPr="005664C1">
              <w:rPr>
                <w:rFonts w:ascii="Times New Roman" w:hAnsi="Times New Roman" w:cs="Times New Roman"/>
                <w:sz w:val="20"/>
                <w:szCs w:val="20"/>
              </w:rPr>
              <w:t xml:space="preserve"> Lam.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Corchorus </w:t>
            </w:r>
            <w:proofErr w:type="spellStart"/>
            <w:r w:rsidRPr="005664C1">
              <w:rPr>
                <w:rFonts w:ascii="Times New Roman" w:hAnsi="Times New Roman" w:cs="Times New Roman"/>
                <w:i/>
                <w:iCs/>
                <w:sz w:val="20"/>
                <w:szCs w:val="20"/>
              </w:rPr>
              <w:t>tridens</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obtusilobus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Garcke</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panduriformis</w:t>
            </w:r>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Handbook/um-Baro</w:t>
            </w:r>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trionum</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Karkauba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1360D"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Orobanchaceae</w:t>
            </w: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Striga </w:t>
            </w:r>
            <w:proofErr w:type="spellStart"/>
            <w:r w:rsidRPr="005664C1">
              <w:rPr>
                <w:rFonts w:ascii="Times New Roman" w:hAnsi="Times New Roman" w:cs="Times New Roman"/>
                <w:i/>
                <w:iCs/>
                <w:sz w:val="20"/>
                <w:szCs w:val="20"/>
              </w:rPr>
              <w:t>hermonthica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Delile</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Benth</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Bodaa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00390C"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Poaceae</w:t>
            </w:r>
            <w:proofErr w:type="spellEnd"/>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Brachiaria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eruciformis</w:t>
            </w:r>
            <w:proofErr w:type="spellEnd"/>
            <w:r w:rsidRPr="005664C1">
              <w:rPr>
                <w:rFonts w:ascii="Times New Roman" w:hAnsi="Times New Roman" w:cs="Times New Roman"/>
                <w:sz w:val="20"/>
                <w:szCs w:val="20"/>
              </w:rPr>
              <w:t xml:space="preserve"> (Sm.) </w:t>
            </w:r>
            <w:proofErr w:type="spellStart"/>
            <w:r w:rsidRPr="005664C1">
              <w:rPr>
                <w:rFonts w:ascii="Times New Roman" w:hAnsi="Times New Roman" w:cs="Times New Roman"/>
                <w:sz w:val="20"/>
                <w:szCs w:val="20"/>
              </w:rPr>
              <w:t>Griseb</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kweaat</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Cynodon</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dactylon</w:t>
            </w:r>
            <w:proofErr w:type="spellEnd"/>
            <w:r w:rsidRPr="005664C1">
              <w:rPr>
                <w:rFonts w:ascii="Times New Roman" w:hAnsi="Times New Roman" w:cs="Times New Roman"/>
                <w:sz w:val="20"/>
                <w:szCs w:val="20"/>
              </w:rPr>
              <w:t xml:space="preserve"> (L.) Pers.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Nagela</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Dactyloctenium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aegyptium</w:t>
            </w:r>
            <w:proofErr w:type="spellEnd"/>
            <w:r w:rsidRPr="005664C1">
              <w:rPr>
                <w:rFonts w:ascii="Times New Roman" w:hAnsi="Times New Roman" w:cs="Times New Roman"/>
                <w:sz w:val="20"/>
                <w:szCs w:val="20"/>
              </w:rPr>
              <w:t xml:space="preserve"> (L.) Willd.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asabee</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Dichanthium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annulatum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Forssk</w:t>
            </w:r>
            <w:proofErr w:type="spellEnd"/>
            <w:r w:rsidRPr="005664C1">
              <w:rPr>
                <w:rFonts w:ascii="Times New Roman" w:hAnsi="Times New Roman" w:cs="Times New Roman"/>
                <w:sz w:val="20"/>
                <w:szCs w:val="20"/>
              </w:rPr>
              <w:t xml:space="preserve">.) Stapf.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Dankog</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Dinebra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retroflexa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Vahl</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Panz</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melaha</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Rizomes/Seed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Echinochloa</w:t>
            </w:r>
            <w:proofErr w:type="spellEnd"/>
            <w:r w:rsidRPr="005664C1">
              <w:rPr>
                <w:rFonts w:ascii="Times New Roman" w:hAnsi="Times New Roman" w:cs="Times New Roman"/>
                <w:i/>
                <w:iCs/>
                <w:sz w:val="20"/>
                <w:szCs w:val="20"/>
              </w:rPr>
              <w:t xml:space="preserve"> </w:t>
            </w:r>
            <w:proofErr w:type="spellStart"/>
            <w:proofErr w:type="gramStart"/>
            <w:r w:rsidRPr="005664C1">
              <w:rPr>
                <w:rFonts w:ascii="Times New Roman" w:hAnsi="Times New Roman" w:cs="Times New Roman"/>
                <w:i/>
                <w:iCs/>
                <w:sz w:val="20"/>
                <w:szCs w:val="20"/>
              </w:rPr>
              <w:t>colona</w:t>
            </w:r>
            <w:proofErr w:type="spellEnd"/>
            <w:r w:rsidRPr="005664C1">
              <w:rPr>
                <w:rFonts w:ascii="Times New Roman" w:hAnsi="Times New Roman" w:cs="Times New Roman"/>
                <w:sz w:val="20"/>
                <w:szCs w:val="20"/>
              </w:rPr>
              <w:t>(</w:t>
            </w:r>
            <w:proofErr w:type="gramEnd"/>
            <w:r w:rsidRPr="005664C1">
              <w:rPr>
                <w:rFonts w:ascii="Times New Roman" w:hAnsi="Times New Roman" w:cs="Times New Roman"/>
                <w:sz w:val="20"/>
                <w:szCs w:val="20"/>
              </w:rPr>
              <w:t xml:space="preserve">L.) Link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Defera</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Eragrostis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iscose</w:t>
            </w:r>
            <w:proofErr w:type="spellEnd"/>
            <w:r w:rsidRPr="005664C1">
              <w:rPr>
                <w:rFonts w:ascii="Times New Roman" w:hAnsi="Times New Roman" w:cs="Times New Roman"/>
                <w:sz w:val="20"/>
                <w:szCs w:val="20"/>
              </w:rPr>
              <w:t xml:space="preserve"> (Retz.) Trin.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Aish-alfar</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Urochloa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panicoides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P.Beauv</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C8525C"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Solanaceae</w:t>
            </w:r>
          </w:p>
        </w:tc>
        <w:tc>
          <w:tcPr>
            <w:tcW w:w="3112" w:type="dxa"/>
          </w:tcPr>
          <w:p w:rsidR="00C8525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Physalis angulata</w:t>
            </w:r>
            <w:r w:rsidRPr="005664C1">
              <w:rPr>
                <w:rFonts w:ascii="Times New Roman" w:hAnsi="Times New Roman" w:cs="Times New Roman"/>
                <w:sz w:val="20"/>
                <w:szCs w:val="20"/>
              </w:rPr>
              <w:t xml:space="preserve"> L.                     </w:t>
            </w:r>
          </w:p>
        </w:tc>
        <w:tc>
          <w:tcPr>
            <w:tcW w:w="164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Fronta</w:t>
            </w:r>
            <w:proofErr w:type="spellEnd"/>
          </w:p>
        </w:tc>
        <w:tc>
          <w:tcPr>
            <w:tcW w:w="1411"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C8525C" w:rsidRPr="005664C1" w:rsidRDefault="00C8525C" w:rsidP="005664C1">
            <w:pPr>
              <w:spacing w:line="360" w:lineRule="auto"/>
              <w:jc w:val="both"/>
              <w:rPr>
                <w:rFonts w:ascii="Times New Roman" w:hAnsi="Times New Roman" w:cs="Times New Roman"/>
                <w:sz w:val="20"/>
                <w:szCs w:val="20"/>
              </w:rPr>
            </w:pPr>
          </w:p>
        </w:tc>
        <w:tc>
          <w:tcPr>
            <w:tcW w:w="3112" w:type="dxa"/>
          </w:tcPr>
          <w:p w:rsidR="00C8525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Solanum </w:t>
            </w:r>
            <w:proofErr w:type="spellStart"/>
            <w:r w:rsidRPr="005664C1">
              <w:rPr>
                <w:rFonts w:ascii="Times New Roman" w:hAnsi="Times New Roman" w:cs="Times New Roman"/>
                <w:i/>
                <w:iCs/>
                <w:sz w:val="20"/>
                <w:szCs w:val="20"/>
              </w:rPr>
              <w:t>dubium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Fresen</w:t>
            </w:r>
            <w:proofErr w:type="spellEnd"/>
            <w:r w:rsidRPr="005664C1">
              <w:rPr>
                <w:rFonts w:ascii="Times New Roman" w:hAnsi="Times New Roman" w:cs="Times New Roman"/>
                <w:sz w:val="20"/>
                <w:szCs w:val="20"/>
              </w:rPr>
              <w:t xml:space="preserve">.                   </w:t>
            </w:r>
          </w:p>
        </w:tc>
        <w:tc>
          <w:tcPr>
            <w:tcW w:w="164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Gobeen</w:t>
            </w:r>
            <w:proofErr w:type="spellEnd"/>
          </w:p>
        </w:tc>
        <w:tc>
          <w:tcPr>
            <w:tcW w:w="1411"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bl>
    <w:p w:rsidR="00C4053F" w:rsidRPr="005467D6" w:rsidRDefault="001C778F" w:rsidP="00231E81">
      <w:pPr>
        <w:spacing w:after="0" w:line="276" w:lineRule="auto"/>
        <w:jc w:val="both"/>
        <w:rPr>
          <w:rFonts w:ascii="Times New Roman" w:hAnsi="Times New Roman" w:cs="Times New Roman"/>
          <w:sz w:val="18"/>
          <w:szCs w:val="18"/>
        </w:rPr>
      </w:pPr>
      <w:r w:rsidRPr="005467D6">
        <w:rPr>
          <w:rFonts w:ascii="Times New Roman" w:hAnsi="Times New Roman" w:cs="Times New Roman"/>
          <w:b/>
          <w:bCs/>
          <w:sz w:val="18"/>
          <w:szCs w:val="18"/>
        </w:rPr>
        <w:t>Key: N/R:</w:t>
      </w:r>
      <w:r w:rsidRPr="005467D6">
        <w:rPr>
          <w:rFonts w:ascii="Times New Roman" w:hAnsi="Times New Roman" w:cs="Times New Roman"/>
          <w:sz w:val="18"/>
          <w:szCs w:val="18"/>
        </w:rPr>
        <w:t xml:space="preserve"> Not Recorded; </w:t>
      </w:r>
      <w:proofErr w:type="spellStart"/>
      <w:r w:rsidRPr="005467D6">
        <w:rPr>
          <w:rFonts w:ascii="Times New Roman" w:hAnsi="Times New Roman" w:cs="Times New Roman"/>
          <w:b/>
          <w:bCs/>
          <w:sz w:val="18"/>
          <w:szCs w:val="18"/>
        </w:rPr>
        <w:t>AnH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Herb; </w:t>
      </w:r>
      <w:proofErr w:type="spellStart"/>
      <w:r w:rsidRPr="005467D6">
        <w:rPr>
          <w:rFonts w:ascii="Times New Roman" w:hAnsi="Times New Roman" w:cs="Times New Roman"/>
          <w:b/>
          <w:bCs/>
          <w:sz w:val="18"/>
          <w:szCs w:val="18"/>
        </w:rPr>
        <w:t>PeH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Herb; </w:t>
      </w:r>
      <w:proofErr w:type="spellStart"/>
      <w:r w:rsidRPr="005467D6">
        <w:rPr>
          <w:rFonts w:ascii="Times New Roman" w:hAnsi="Times New Roman" w:cs="Times New Roman"/>
          <w:b/>
          <w:bCs/>
          <w:sz w:val="18"/>
          <w:szCs w:val="18"/>
        </w:rPr>
        <w:t>AnGr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Grass; </w:t>
      </w:r>
      <w:proofErr w:type="spellStart"/>
      <w:r w:rsidRPr="005467D6">
        <w:rPr>
          <w:rFonts w:ascii="Times New Roman" w:hAnsi="Times New Roman" w:cs="Times New Roman"/>
          <w:b/>
          <w:bCs/>
          <w:sz w:val="18"/>
          <w:szCs w:val="18"/>
        </w:rPr>
        <w:t>PeGr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Grass; </w:t>
      </w:r>
      <w:proofErr w:type="spellStart"/>
      <w:r w:rsidRPr="005467D6">
        <w:rPr>
          <w:rFonts w:ascii="Times New Roman" w:hAnsi="Times New Roman" w:cs="Times New Roman"/>
          <w:b/>
          <w:bCs/>
          <w:sz w:val="18"/>
          <w:szCs w:val="18"/>
        </w:rPr>
        <w:t>AnNgr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Non-grass; </w:t>
      </w:r>
      <w:proofErr w:type="spellStart"/>
      <w:r w:rsidRPr="005467D6">
        <w:rPr>
          <w:rFonts w:ascii="Times New Roman" w:hAnsi="Times New Roman" w:cs="Times New Roman"/>
          <w:b/>
          <w:bCs/>
          <w:sz w:val="18"/>
          <w:szCs w:val="18"/>
        </w:rPr>
        <w:t>PeNgr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Non-grass; </w:t>
      </w:r>
      <w:proofErr w:type="spellStart"/>
      <w:r w:rsidRPr="005467D6">
        <w:rPr>
          <w:rFonts w:ascii="Times New Roman" w:hAnsi="Times New Roman" w:cs="Times New Roman"/>
          <w:b/>
          <w:bCs/>
          <w:sz w:val="18"/>
          <w:szCs w:val="18"/>
        </w:rPr>
        <w:t>PeSed</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Sedge; </w:t>
      </w:r>
      <w:proofErr w:type="spellStart"/>
      <w:r w:rsidRPr="005467D6">
        <w:rPr>
          <w:rFonts w:ascii="Times New Roman" w:hAnsi="Times New Roman" w:cs="Times New Roman"/>
          <w:b/>
          <w:bCs/>
          <w:sz w:val="18"/>
          <w:szCs w:val="18"/>
        </w:rPr>
        <w:t>PeSh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Shrub; </w:t>
      </w:r>
      <w:proofErr w:type="spellStart"/>
      <w:r w:rsidRPr="005467D6">
        <w:rPr>
          <w:rFonts w:ascii="Times New Roman" w:hAnsi="Times New Roman" w:cs="Times New Roman"/>
          <w:b/>
          <w:bCs/>
          <w:sz w:val="18"/>
          <w:szCs w:val="18"/>
        </w:rPr>
        <w:t>AnSh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Shrub.</w:t>
      </w:r>
    </w:p>
    <w:p w:rsidR="007E7F86" w:rsidRDefault="007E7F86" w:rsidP="00C4053F">
      <w:pPr>
        <w:spacing w:after="0" w:line="360" w:lineRule="auto"/>
        <w:jc w:val="both"/>
        <w:rPr>
          <w:rFonts w:ascii="Times New Roman" w:hAnsi="Times New Roman" w:cs="Times New Roman"/>
        </w:rPr>
        <w:sectPr w:rsidR="007E7F86" w:rsidSect="00620389">
          <w:pgSz w:w="15840" w:h="12240" w:orient="landscape"/>
          <w:pgMar w:top="1800" w:right="1440" w:bottom="1800" w:left="1440" w:header="708" w:footer="708" w:gutter="0"/>
          <w:cols w:space="708"/>
          <w:docGrid w:linePitch="360"/>
        </w:sectPr>
      </w:pPr>
    </w:p>
    <w:p w:rsidR="00C4053F" w:rsidRPr="001D01A5" w:rsidRDefault="00C4053F" w:rsidP="00C4053F">
      <w:pPr>
        <w:spacing w:after="0" w:line="360" w:lineRule="auto"/>
        <w:jc w:val="both"/>
        <w:rPr>
          <w:rFonts w:cstheme="minorHAnsi"/>
          <w:b/>
          <w:bCs/>
        </w:rPr>
      </w:pPr>
    </w:p>
    <w:p w:rsidR="002F08EF" w:rsidRPr="001D01A5" w:rsidRDefault="001C778F" w:rsidP="002F08EF">
      <w:pPr>
        <w:spacing w:after="0" w:line="360" w:lineRule="auto"/>
        <w:jc w:val="both"/>
        <w:rPr>
          <w:rFonts w:cstheme="minorHAnsi"/>
          <w:sz w:val="20"/>
          <w:szCs w:val="20"/>
          <w:rtl/>
        </w:rPr>
      </w:pPr>
      <w:r w:rsidRPr="001D01A5">
        <w:rPr>
          <w:rFonts w:cstheme="minorHAnsi"/>
          <w:sz w:val="20"/>
          <w:szCs w:val="20"/>
        </w:rPr>
        <w:t xml:space="preserve">This study provides a critical insight into the weed communities of irrigated grain sorghum in the Gezira Scheme. The recorded 39 species across 14 families indicate relatively high biodiversity within the agro-ecosystem, which could have implications for </w:t>
      </w:r>
      <w:r w:rsidR="00A92D34" w:rsidRPr="001D01A5">
        <w:rPr>
          <w:rFonts w:cstheme="minorHAnsi"/>
          <w:sz w:val="20"/>
          <w:szCs w:val="20"/>
        </w:rPr>
        <w:t>both competition</w:t>
      </w:r>
      <w:r w:rsidRPr="001D01A5">
        <w:rPr>
          <w:rFonts w:cstheme="minorHAnsi"/>
          <w:sz w:val="20"/>
          <w:szCs w:val="20"/>
        </w:rPr>
        <w:t xml:space="preserve"> with the crop and the overall ecological resilience of the system. The dominance of dicotyledonous weeds suggests that broadleaf-specific herbicides and cultural practices should be the primary focus of weed control programs, </w:t>
      </w:r>
      <w:r w:rsidRPr="001D01A5">
        <w:rPr>
          <w:rFonts w:eastAsia="Calibri" w:cstheme="minorHAnsi"/>
          <w:sz w:val="20"/>
          <w:szCs w:val="20"/>
        </w:rPr>
        <w:t xml:space="preserve">although the significant presence of grass weeds, particularly from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necessitates an integrated management approach to prevent a shift in weed flora towards more difficult-to-control grass species.</w:t>
      </w:r>
    </w:p>
    <w:p w:rsidR="002F08EF"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The floristic composition revealed in this study reflects the unique agro-climatic conditions of the Gezira Scheme. The high prevalence of families such as </w:t>
      </w:r>
      <w:proofErr w:type="spellStart"/>
      <w:r w:rsidRPr="001D01A5">
        <w:rPr>
          <w:rFonts w:cstheme="minorHAnsi"/>
          <w:sz w:val="20"/>
          <w:szCs w:val="20"/>
        </w:rPr>
        <w:t>Poaceae</w:t>
      </w:r>
      <w:proofErr w:type="spellEnd"/>
      <w:r w:rsidRPr="001D01A5">
        <w:rPr>
          <w:rFonts w:cstheme="minorHAnsi"/>
          <w:sz w:val="20"/>
          <w:szCs w:val="20"/>
        </w:rPr>
        <w:t xml:space="preserve"> and </w:t>
      </w:r>
      <w:proofErr w:type="spellStart"/>
      <w:r w:rsidRPr="001D01A5">
        <w:rPr>
          <w:rFonts w:cstheme="minorHAnsi"/>
          <w:sz w:val="20"/>
          <w:szCs w:val="20"/>
        </w:rPr>
        <w:t>Malvaceae</w:t>
      </w:r>
      <w:proofErr w:type="spellEnd"/>
      <w:r w:rsidRPr="001D01A5">
        <w:rPr>
          <w:rFonts w:cstheme="minorHAnsi"/>
          <w:sz w:val="20"/>
          <w:szCs w:val="20"/>
        </w:rPr>
        <w:t xml:space="preserve"> is consistent with other irrigated systems in semi-arid regions, where disturbance from agricultural practices and available moisture create</w:t>
      </w:r>
      <w:r w:rsidRPr="001D01A5">
        <w:rPr>
          <w:rFonts w:eastAsia="Calibri" w:cstheme="minorHAnsi"/>
          <w:sz w:val="20"/>
          <w:szCs w:val="20"/>
        </w:rPr>
        <w:t xml:space="preserve">s a favorable environment for species with rapid growth cycles and high seed production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&lt;EndNote&gt;&lt;Cite&gt;&lt;Author&gt;Karar&lt;/Author&gt;&lt;Year&gt;2005&lt;/Year&gt;&lt;RecNum&gt;316&lt;/RecNum&gt;&lt;DisplayText&gt;(Karar et al., 2005, Harker and O&amp;apos;Donovan, 2013)&lt;/DisplayText&gt;&lt;record&gt;&lt;rec-number&gt;316&lt;/rec-number&gt;&lt;foreign-keys&gt;&lt;key app="EN" db-id="pd0swas0fwf2e7ewt98xvfpkwv5sf9fae2sd" timestamp="1762970067"&gt;316&lt;/key&gt;&lt;/foreign-keys&gt;&lt;ref-type name="Journal Article"&gt;17&lt;/ref-type&gt;&lt;contributors&gt;&lt;authors&gt;&lt;author&gt;Karar, RO&lt;/author&gt;&lt;author&gt;Mohamed, BF&lt;/author&gt;&lt;author&gt;Marrs, RH&lt;/author&gt;&lt;/authors&gt;&lt;/contributors&gt;&lt;titles&gt;&lt;title&gt;Factors influencing the weed flora in the Gezira Scheme, Sudan&lt;/title&gt;&lt;secondary-title&gt;Weed Research&lt;/secondary-title&gt;&lt;/titles&gt;&lt;periodical&gt;&lt;full-title&gt;Weed Research&lt;/full-title&gt;&lt;/periodical&gt;&lt;pages&gt;121-129&lt;/pages&gt;&lt;volume&gt;45&lt;/volume&gt;&lt;number&gt;2&lt;/number&gt;&lt;dates&gt;&lt;year&gt;2005&lt;/year&gt;&lt;/dates&gt;&lt;isbn&gt;0043-1737&lt;/isbn&gt;&lt;urls&gt;&lt;/urls&gt;&lt;/record&gt;&lt;/Cite&gt;&lt;Cite&gt;&lt;Author&gt;Harker&lt;/Author&gt;&lt;Year&gt;2013&lt;/Year&gt;&lt;RecNum&gt;318&lt;/RecNum&gt;&lt;record&gt;&lt;rec-number&gt;318&lt;/rec-number&gt;&lt;foreign-keys&gt;&lt;key app="EN" db-id="pd0swas0fwf2e7ewt98xvfpkwv5sf9fae2sd" timestamp="1762970131"&gt;318&lt;/key&gt;&lt;/foreign-keys&gt;&lt;ref-type name="Journal Article"&gt;17&lt;/ref-type&gt;&lt;contributors&gt;&lt;authors&gt;&lt;author&gt;Harker, K Neil&lt;/author&gt;&lt;author&gt;O&amp;apos;Donovan, John T&lt;/author&gt;&lt;/authors&gt;&lt;/contributors&gt;&lt;titles&gt;&lt;title&gt;Recent weed control, weed management, and integrated weed management&lt;/title&gt;&lt;secondary-title&gt;Weed Technology&lt;/secondary-title&gt;&lt;/titles&gt;&lt;periodical&gt;&lt;full-title&gt;Weed Technology&lt;/full-title&gt;&lt;/periodical&gt;&lt;pages&gt;1-11&lt;/pages&gt;&lt;volume&gt;27&lt;/volume&gt;&lt;number&gt;1&lt;/number&gt;&lt;dates&gt;&lt;year&gt;2013&lt;/year&gt;&lt;/dates&gt;&lt;isbn&gt;0890-037X&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(Karar et al., 2005, Harker and O'Donovan, 2013)</w:t>
      </w:r>
      <w:r w:rsidR="00042C32" w:rsidRPr="001D01A5">
        <w:rPr>
          <w:rFonts w:cstheme="minorHAnsi"/>
          <w:sz w:val="20"/>
          <w:szCs w:val="20"/>
        </w:rPr>
        <w:fldChar w:fldCharType="end"/>
      </w:r>
      <w:r w:rsidRPr="001D01A5">
        <w:rPr>
          <w:rFonts w:cstheme="minorHAnsi"/>
          <w:sz w:val="20"/>
          <w:szCs w:val="20"/>
        </w:rPr>
        <w:t>. The specific combination of species, however, serves as a unique fingerprint for this system, underscoring the necessity of local-level studies that rely solely on regional data.</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The prevalence of annual species (e.g., </w:t>
      </w:r>
      <w:proofErr w:type="spellStart"/>
      <w:r w:rsidRPr="001D01A5">
        <w:rPr>
          <w:rFonts w:cstheme="minorHAnsi"/>
          <w:i/>
          <w:iCs/>
          <w:sz w:val="20"/>
          <w:szCs w:val="20"/>
        </w:rPr>
        <w:t>Digera</w:t>
      </w:r>
      <w:proofErr w:type="spellEnd"/>
      <w:r w:rsidRPr="001D01A5">
        <w:rPr>
          <w:rFonts w:cstheme="minorHAnsi"/>
          <w:i/>
          <w:iCs/>
          <w:sz w:val="20"/>
          <w:szCs w:val="20"/>
        </w:rPr>
        <w:t xml:space="preserve"> </w:t>
      </w:r>
      <w:proofErr w:type="spellStart"/>
      <w:r w:rsidRPr="001D01A5">
        <w:rPr>
          <w:rFonts w:cstheme="minorHAnsi"/>
          <w:i/>
          <w:iCs/>
          <w:sz w:val="20"/>
          <w:szCs w:val="20"/>
        </w:rPr>
        <w:t>muricata</w:t>
      </w:r>
      <w:proofErr w:type="spellEnd"/>
      <w:r w:rsidRPr="001D01A5">
        <w:rPr>
          <w:rFonts w:cstheme="minorHAnsi"/>
          <w:sz w:val="20"/>
          <w:szCs w:val="20"/>
        </w:rPr>
        <w:t xml:space="preserve"> and  </w:t>
      </w:r>
      <w:proofErr w:type="spellStart"/>
      <w:r w:rsidRPr="001D01A5">
        <w:rPr>
          <w:rFonts w:cstheme="minorHAnsi"/>
          <w:i/>
          <w:iCs/>
          <w:sz w:val="20"/>
          <w:szCs w:val="20"/>
        </w:rPr>
        <w:t>Echinochloa</w:t>
      </w:r>
      <w:proofErr w:type="spellEnd"/>
      <w:r w:rsidRPr="001D01A5">
        <w:rPr>
          <w:rFonts w:cstheme="minorHAnsi"/>
          <w:i/>
          <w:iCs/>
          <w:sz w:val="20"/>
          <w:szCs w:val="20"/>
        </w:rPr>
        <w:t xml:space="preserve"> </w:t>
      </w:r>
      <w:proofErr w:type="spellStart"/>
      <w:r w:rsidRPr="001D01A5">
        <w:rPr>
          <w:rFonts w:cstheme="minorHAnsi"/>
          <w:i/>
          <w:iCs/>
          <w:sz w:val="20"/>
          <w:szCs w:val="20"/>
        </w:rPr>
        <w:t>colona</w:t>
      </w:r>
      <w:proofErr w:type="spellEnd"/>
      <w:r w:rsidRPr="001D01A5">
        <w:rPr>
          <w:rFonts w:cstheme="minorHAnsi"/>
          <w:sz w:val="20"/>
          <w:szCs w:val="20"/>
        </w:rPr>
        <w:t xml:space="preserve">) is a common finding in agro-ecosystems and is often linked to their reliance on high seed production and the formation of persistent seed banks, ensuring their survival and spread across seasons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&lt;EndNote&gt;&lt;Cite&gt;&lt;Author&gt;Monteiro&lt;/Author&gt;&lt;Year&gt;2022&lt;/Year&gt;&lt;RecNum&gt;306&lt;/RecNum&gt;&lt;DisplayText&gt;(Monteiro and Santos, 2022)&lt;/DisplayText&gt;&lt;record&gt;&lt;rec-number&gt;306&lt;/rec-number&gt;&lt;foreign-keys&gt;&lt;key app="EN" db-id="pd0swas0fwf2e7ewt98xvfpkwv5sf9fae2sd" timestamp="1762966713"&gt;306&lt;/key&gt;&lt;/foreign-keys&gt;&lt;ref-type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(Monteiro and Santos, 2022)</w:t>
      </w:r>
      <w:r w:rsidR="00042C32" w:rsidRPr="001D01A5">
        <w:rPr>
          <w:rFonts w:cstheme="minorHAnsi"/>
          <w:sz w:val="20"/>
          <w:szCs w:val="20"/>
        </w:rPr>
        <w:fldChar w:fldCharType="end"/>
      </w:r>
      <w:r w:rsidR="00C4053F" w:rsidRPr="001D01A5">
        <w:rPr>
          <w:rFonts w:cstheme="minorHAnsi"/>
          <w:sz w:val="20"/>
          <w:szCs w:val="20"/>
        </w:rPr>
        <w:t xml:space="preserve">. </w:t>
      </w:r>
      <w:r w:rsidRPr="001D01A5">
        <w:rPr>
          <w:rFonts w:cstheme="minorHAnsi"/>
          <w:sz w:val="20"/>
          <w:szCs w:val="20"/>
        </w:rPr>
        <w:t>This highlights a critical management priority: disrupting the seed-bank cycle. Strategies such as crop rotation with sm</w:t>
      </w:r>
      <w:r w:rsidRPr="001D01A5">
        <w:rPr>
          <w:rFonts w:eastAsia="Calibri" w:cstheme="minorHAnsi"/>
          <w:sz w:val="20"/>
          <w:szCs w:val="20"/>
        </w:rPr>
        <w:t xml:space="preserve">oother crops, stale seedbed techniques, and consistent pre-emergence herbicide applications are essential to deplete this bank over time. The high diversity within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w:t>
      </w:r>
      <w:proofErr w:type="spellStart"/>
      <w:r w:rsidRPr="001D01A5">
        <w:rPr>
          <w:rFonts w:eastAsia="Calibri" w:cstheme="minorHAnsi"/>
          <w:sz w:val="20"/>
          <w:szCs w:val="20"/>
        </w:rPr>
        <w:t>Malvaceae</w:t>
      </w:r>
      <w:proofErr w:type="spellEnd"/>
      <w:r w:rsidRPr="001D01A5">
        <w:rPr>
          <w:rFonts w:eastAsia="Calibri" w:cstheme="minorHAnsi"/>
          <w:sz w:val="20"/>
          <w:szCs w:val="20"/>
        </w:rPr>
        <w:t>, and Fabaceae families aligns with the findings from other agricultural systems in semi-arid regions.</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Understanding </w:t>
      </w:r>
      <w:r w:rsidRPr="001D01A5">
        <w:rPr>
          <w:rFonts w:eastAsia="Calibri" w:cstheme="minorHAnsi"/>
          <w:sz w:val="20"/>
          <w:szCs w:val="20"/>
        </w:rPr>
        <w:t xml:space="preserve">the propagation methods is crucial for devising effective control strategies. The dominance of seed-propagated annuals highlights the importance of preventing seed set through timely weeding. However, the presence of perennial species that propagate </w:t>
      </w:r>
      <w:proofErr w:type="spellStart"/>
      <w:r w:rsidRPr="001D01A5">
        <w:rPr>
          <w:rFonts w:eastAsia="Calibri" w:cstheme="minorHAnsi"/>
          <w:sz w:val="20"/>
          <w:szCs w:val="20"/>
        </w:rPr>
        <w:t>vegetatively</w:t>
      </w:r>
      <w:proofErr w:type="spellEnd"/>
      <w:r w:rsidRPr="001D01A5">
        <w:rPr>
          <w:rFonts w:eastAsia="Calibri" w:cstheme="minorHAnsi"/>
          <w:sz w:val="20"/>
          <w:szCs w:val="20"/>
        </w:rPr>
        <w:t>, such as </w:t>
      </w:r>
      <w:proofErr w:type="spellStart"/>
      <w:r w:rsidRPr="001D01A5">
        <w:rPr>
          <w:rFonts w:cstheme="minorHAnsi"/>
          <w:i/>
          <w:iCs/>
          <w:sz w:val="20"/>
          <w:szCs w:val="20"/>
        </w:rPr>
        <w:t>Cynodon</w:t>
      </w:r>
      <w:proofErr w:type="spellEnd"/>
      <w:r w:rsidRPr="001D01A5">
        <w:rPr>
          <w:rFonts w:cstheme="minorHAnsi"/>
          <w:i/>
          <w:iCs/>
          <w:sz w:val="20"/>
          <w:szCs w:val="20"/>
        </w:rPr>
        <w:t xml:space="preserve"> </w:t>
      </w:r>
      <w:proofErr w:type="spellStart"/>
      <w:r w:rsidRPr="001D01A5">
        <w:rPr>
          <w:rFonts w:cstheme="minorHAnsi"/>
          <w:i/>
          <w:iCs/>
          <w:sz w:val="20"/>
          <w:szCs w:val="20"/>
        </w:rPr>
        <w:t>dactylon</w:t>
      </w:r>
      <w:proofErr w:type="spellEnd"/>
      <w:r w:rsidRPr="001D01A5">
        <w:rPr>
          <w:rFonts w:cstheme="minorHAnsi"/>
          <w:sz w:val="20"/>
          <w:szCs w:val="20"/>
        </w:rPr>
        <w:t> (</w:t>
      </w:r>
      <w:proofErr w:type="spellStart"/>
      <w:r w:rsidRPr="001D01A5">
        <w:rPr>
          <w:rFonts w:cstheme="minorHAnsi"/>
          <w:sz w:val="20"/>
          <w:szCs w:val="20"/>
        </w:rPr>
        <w:t>stolons</w:t>
      </w:r>
      <w:proofErr w:type="spellEnd"/>
      <w:r w:rsidRPr="001D01A5">
        <w:rPr>
          <w:rFonts w:cstheme="minorHAnsi"/>
          <w:sz w:val="20"/>
          <w:szCs w:val="20"/>
        </w:rPr>
        <w:t>) and </w:t>
      </w:r>
      <w:proofErr w:type="spellStart"/>
      <w:r w:rsidRPr="001D01A5">
        <w:rPr>
          <w:rFonts w:cstheme="minorHAnsi"/>
          <w:i/>
          <w:iCs/>
          <w:sz w:val="20"/>
          <w:szCs w:val="20"/>
        </w:rPr>
        <w:t>Cyperus</w:t>
      </w:r>
      <w:proofErr w:type="spellEnd"/>
      <w:r w:rsidRPr="001D01A5">
        <w:rPr>
          <w:rFonts w:cstheme="minorHAnsi"/>
          <w:i/>
          <w:iCs/>
          <w:sz w:val="20"/>
          <w:szCs w:val="20"/>
        </w:rPr>
        <w:t xml:space="preserve"> </w:t>
      </w:r>
      <w:proofErr w:type="spellStart"/>
      <w:r w:rsidRPr="001D01A5">
        <w:rPr>
          <w:rFonts w:cstheme="minorHAnsi"/>
          <w:i/>
          <w:iCs/>
          <w:sz w:val="20"/>
          <w:szCs w:val="20"/>
        </w:rPr>
        <w:t>rotundus</w:t>
      </w:r>
      <w:proofErr w:type="spellEnd"/>
      <w:r w:rsidRPr="001D01A5">
        <w:rPr>
          <w:rFonts w:cstheme="minorHAnsi"/>
          <w:sz w:val="20"/>
          <w:szCs w:val="20"/>
        </w:rPr>
        <w:t> (rhizomes), is concerning.</w:t>
      </w:r>
      <w:r w:rsidRPr="001D01A5">
        <w:rPr>
          <w:rFonts w:eastAsia="Calibri" w:cstheme="minorHAnsi"/>
          <w:sz w:val="20"/>
          <w:szCs w:val="20"/>
        </w:rPr>
        <w:t> These species represent a long-term management challenge, as their underground storage organs allow them to escape control measures that target above</w:t>
      </w:r>
      <w:r w:rsidRPr="001D01A5">
        <w:rPr>
          <w:rFonts w:cstheme="minorHAnsi"/>
          <w:sz w:val="20"/>
          <w:szCs w:val="20"/>
        </w:rPr>
        <w:t xml:space="preserve">ground growth. </w:t>
      </w:r>
      <w:r w:rsidRPr="001D01A5">
        <w:rPr>
          <w:rFonts w:eastAsia="Calibri" w:cstheme="minorHAnsi"/>
          <w:sz w:val="20"/>
          <w:szCs w:val="20"/>
        </w:rPr>
        <w:t xml:space="preserve">However, application of </w:t>
      </w:r>
      <w:r w:rsidRPr="001D01A5">
        <w:rPr>
          <w:rFonts w:cstheme="minorHAnsi"/>
          <w:sz w:val="20"/>
          <w:szCs w:val="20"/>
        </w:rPr>
        <w:t>a single post-emergence herbicide is often insufficient. Effective management requires a concerted effort combining deep tillage</w:t>
      </w:r>
      <w:r w:rsidRPr="001D01A5">
        <w:rPr>
          <w:rFonts w:eastAsia="Calibri" w:cstheme="minorHAnsi"/>
          <w:sz w:val="20"/>
          <w:szCs w:val="20"/>
        </w:rPr>
        <w:t xml:space="preserve">, where feasible, competitive sorghum cultivars, and the use of systemic herbicides that translocate to destroy </w:t>
      </w:r>
      <w:r w:rsidRPr="001D01A5">
        <w:rPr>
          <w:rFonts w:cstheme="minorHAnsi"/>
          <w:sz w:val="20"/>
          <w:szCs w:val="20"/>
        </w:rPr>
        <w:t xml:space="preserve">perennial structures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&lt;EndNote&gt;&lt;Cite&gt;&lt;Author&gt;Chicouène&lt;/Author&gt;&lt;Year&gt;2020&lt;/Year&gt;&lt;RecNum&gt;319&lt;/RecNum&gt;&lt;DisplayText&gt;(Chicouène, 2020)&lt;/DisplayText&gt;&lt;record&gt;&lt;rec-number&gt;319&lt;/rec-number&gt;&lt;foreign-keys&gt;&lt;key app="EN" db-id="pd0swas0fwf2e7ewt98xvfpkwv5sf9fae2sd" timestamp="1762970183"&gt;319&lt;/key&gt;&lt;/foreign-keys&gt;&lt;ref-type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(Chicouène, 2020)</w:t>
      </w:r>
      <w:r w:rsidR="00042C32" w:rsidRPr="001D01A5">
        <w:rPr>
          <w:rFonts w:cstheme="minorHAnsi"/>
          <w:sz w:val="20"/>
          <w:szCs w:val="20"/>
        </w:rPr>
        <w:fldChar w:fldCharType="end"/>
      </w:r>
      <w:r w:rsidRPr="001D01A5">
        <w:rPr>
          <w:rFonts w:cstheme="minorHAnsi"/>
          <w:sz w:val="20"/>
          <w:szCs w:val="20"/>
        </w:rPr>
        <w:t>.</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lastRenderedPageBreak/>
        <w:t>Furthermore, identification of the parasitic weed </w:t>
      </w:r>
      <w:r w:rsidRPr="001D01A5">
        <w:rPr>
          <w:rFonts w:cstheme="minorHAnsi"/>
          <w:i/>
          <w:iCs/>
          <w:sz w:val="20"/>
          <w:szCs w:val="20"/>
        </w:rPr>
        <w:t xml:space="preserve">Striga </w:t>
      </w:r>
      <w:proofErr w:type="spellStart"/>
      <w:r w:rsidRPr="001D01A5">
        <w:rPr>
          <w:rFonts w:cstheme="minorHAnsi"/>
          <w:i/>
          <w:iCs/>
          <w:sz w:val="20"/>
          <w:szCs w:val="20"/>
        </w:rPr>
        <w:t>hermonthica</w:t>
      </w:r>
      <w:proofErr w:type="spellEnd"/>
      <w:r w:rsidRPr="001D01A5">
        <w:rPr>
          <w:rFonts w:cstheme="minorHAnsi"/>
          <w:sz w:val="20"/>
          <w:szCs w:val="20"/>
        </w:rPr>
        <w:t xml:space="preserve"> warrants special attention. Its presence signals a severe threat to sorghum production and can cause total crop failure in heavily infested fields. Its management is complex and should be proactive, integrating resistant sorghum varieties, chemical seed treatments with herbicides such as imazapyr, and cultural practices such as intercropping with trap crops to induce suicidal germination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&lt;EndNote&gt;&lt;Cite&gt;&lt;Author&gt;Dawoud&lt;/Author&gt;&lt;Year&gt;1995&lt;/Year&gt;&lt;RecNum&gt;321&lt;/RecNum&gt;&lt;DisplayText&gt;(Dawoud, 1995)&lt;/DisplayText&gt;&lt;record&gt;&lt;rec-number&gt;321&lt;/rec-number&gt;&lt;foreign-keys&gt;&lt;key app="EN" db-id="pd0swas0fwf2e7ewt98xvfpkwv5sf9fae2sd" timestamp="1762970266"&gt;321&lt;/key&gt;&lt;/foreign-keys&gt;&lt;ref-type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(Dawoud, 1995)</w:t>
      </w:r>
      <w:r w:rsidR="00042C32" w:rsidRPr="001D01A5">
        <w:rPr>
          <w:rFonts w:cstheme="minorHAnsi"/>
          <w:sz w:val="20"/>
          <w:szCs w:val="20"/>
        </w:rPr>
        <w:fldChar w:fldCharType="end"/>
      </w:r>
      <w:r w:rsidR="00CF5E42" w:rsidRPr="001D01A5">
        <w:rPr>
          <w:rFonts w:cstheme="minorHAnsi"/>
          <w:sz w:val="20"/>
          <w:szCs w:val="20"/>
          <w:rtl/>
        </w:rPr>
        <w:t>.</w:t>
      </w:r>
      <w:r w:rsidRPr="001D01A5">
        <w:rPr>
          <w:rFonts w:cstheme="minorHAnsi"/>
          <w:sz w:val="20"/>
          <w:szCs w:val="20"/>
        </w:rPr>
        <w:t xml:space="preserve"> The potential of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Pr="001D01A5">
        <w:rPr>
          <w:rFonts w:cstheme="minorHAnsi"/>
          <w:sz w:val="20"/>
          <w:szCs w:val="20"/>
        </w:rPr>
        <w:t>, documented in this study, to serve as a trap crop is a promising finding that merits immediate field validation.</w:t>
      </w:r>
    </w:p>
    <w:p w:rsidR="00C4053F" w:rsidRPr="001D01A5" w:rsidRDefault="001C778F" w:rsidP="00742C47">
      <w:pPr>
        <w:spacing w:before="240" w:after="0" w:line="360" w:lineRule="auto"/>
        <w:jc w:val="both"/>
        <w:rPr>
          <w:rFonts w:cstheme="minorHAnsi"/>
          <w:sz w:val="20"/>
          <w:szCs w:val="20"/>
          <w:rtl/>
        </w:rPr>
      </w:pPr>
      <w:r w:rsidRPr="001D01A5">
        <w:rPr>
          <w:rFonts w:cstheme="minorHAnsi"/>
          <w:sz w:val="20"/>
          <w:szCs w:val="20"/>
        </w:rPr>
        <w:t>Although often viewed as detrimental, weeds can play complex ecological roles. The documented Fabaceae species (e.g.,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001F39AA" w:rsidRPr="001D01A5">
        <w:rPr>
          <w:rFonts w:cstheme="minorHAnsi"/>
          <w:sz w:val="20"/>
          <w:szCs w:val="20"/>
        </w:rPr>
        <w:t xml:space="preserve"> and</w:t>
      </w:r>
      <w:r w:rsidRPr="001D01A5">
        <w:rPr>
          <w:rFonts w:cstheme="minorHAnsi"/>
          <w:sz w:val="20"/>
          <w:szCs w:val="20"/>
        </w:rPr>
        <w:t> </w:t>
      </w:r>
      <w:r w:rsidRPr="001D01A5">
        <w:rPr>
          <w:rFonts w:cstheme="minorHAnsi"/>
          <w:i/>
          <w:iCs/>
          <w:sz w:val="20"/>
          <w:szCs w:val="20"/>
        </w:rPr>
        <w:t xml:space="preserve">Phaseolus </w:t>
      </w:r>
      <w:proofErr w:type="spellStart"/>
      <w:r w:rsidRPr="001D01A5">
        <w:rPr>
          <w:rFonts w:cstheme="minorHAnsi"/>
          <w:i/>
          <w:iCs/>
          <w:sz w:val="20"/>
          <w:szCs w:val="20"/>
        </w:rPr>
        <w:t>trilobus</w:t>
      </w:r>
      <w:proofErr w:type="spellEnd"/>
      <w:r w:rsidRPr="001D01A5">
        <w:rPr>
          <w:rFonts w:cstheme="minorHAnsi"/>
          <w:sz w:val="20"/>
          <w:szCs w:val="20"/>
        </w:rPr>
        <w:t>) can contribute to soil health by fixing atmospheric nitrogen. Furthermore, some species, such as  </w:t>
      </w:r>
      <w:r w:rsidRPr="001D01A5">
        <w:rPr>
          <w:rFonts w:cstheme="minorHAnsi"/>
          <w:i/>
          <w:iCs/>
          <w:sz w:val="20"/>
          <w:szCs w:val="20"/>
        </w:rPr>
        <w:t>R. minima</w:t>
      </w:r>
      <w:r w:rsidRPr="001D01A5">
        <w:rPr>
          <w:rFonts w:cstheme="minorHAnsi"/>
          <w:sz w:val="20"/>
          <w:szCs w:val="20"/>
        </w:rPr>
        <w:t> have been reported to induce "suicidal germination" in </w:t>
      </w:r>
      <w:r w:rsidRPr="001D01A5">
        <w:rPr>
          <w:rFonts w:cstheme="minorHAnsi"/>
          <w:i/>
          <w:iCs/>
          <w:sz w:val="20"/>
          <w:szCs w:val="20"/>
        </w:rPr>
        <w:t xml:space="preserve">Striga </w:t>
      </w:r>
      <w:proofErr w:type="spellStart"/>
      <w:r w:rsidRPr="001D01A5">
        <w:rPr>
          <w:rFonts w:cstheme="minorHAnsi"/>
          <w:i/>
          <w:iCs/>
          <w:sz w:val="20"/>
          <w:szCs w:val="20"/>
        </w:rPr>
        <w:t>hermonthica</w:t>
      </w:r>
      <w:proofErr w:type="spellEnd"/>
      <w:r w:rsidRPr="001D01A5">
        <w:rPr>
          <w:rFonts w:cstheme="minorHAnsi"/>
          <w:sz w:val="20"/>
          <w:szCs w:val="20"/>
        </w:rPr>
        <w: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&lt;EndNote&gt;&lt;Cite&gt;&lt;Author&gt;Dawoud&lt;/Author&gt;&lt;Year&gt;1995&lt;/Year&gt;&lt;RecNum&gt;307&lt;/RecNum&gt;&lt;DisplayText&gt;(Dawoud, 1995)&lt;/DisplayText&gt;&lt;record&gt;&lt;rec-number&gt;307&lt;/rec-number&gt;&lt;foreign-keys&gt;&lt;key app="EN" db-id="pd0swas0fwf2e7ewt98xvfpkwv5sf9fae2sd" timestamp="1762966830"&gt;307&lt;/key&gt;&lt;/foreign-keys&gt;&lt;ref-type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(Dawoud, 1995)</w:t>
      </w:r>
      <w:r w:rsidR="00042C32" w:rsidRPr="001D01A5">
        <w:rPr>
          <w:rFonts w:cstheme="minorHAnsi"/>
          <w:sz w:val="20"/>
          <w:szCs w:val="20"/>
        </w:rPr>
        <w:fldChar w:fldCharType="end"/>
      </w:r>
      <w:r w:rsidRPr="001D01A5">
        <w:rPr>
          <w:rFonts w:cstheme="minorHAnsi"/>
          <w:sz w:val="20"/>
          <w:szCs w:val="20"/>
        </w:rPr>
        <w:t xml:space="preserve">, suggesting their </w:t>
      </w:r>
      <w:r w:rsidRPr="001D01A5">
        <w:rPr>
          <w:rFonts w:eastAsia="Calibri" w:cstheme="minorHAnsi"/>
          <w:sz w:val="20"/>
          <w:szCs w:val="20"/>
        </w:rPr>
        <w:t>potential use in bio-control strategies. This introduces a nuanced perspective to weed management, where certain species could be tolerated or even managed to harness their ecological benefits, moving towards a more holistic approach to agro-ecosystem management. Several species, including </w:t>
      </w:r>
      <w:proofErr w:type="spellStart"/>
      <w:r w:rsidRPr="001D01A5">
        <w:rPr>
          <w:rFonts w:cstheme="minorHAnsi"/>
          <w:i/>
          <w:iCs/>
          <w:sz w:val="20"/>
          <w:szCs w:val="20"/>
        </w:rPr>
        <w:t>Aristolochia</w:t>
      </w:r>
      <w:proofErr w:type="spellEnd"/>
      <w:r w:rsidRPr="001D01A5">
        <w:rPr>
          <w:rFonts w:cstheme="minorHAnsi"/>
          <w:i/>
          <w:iCs/>
          <w:sz w:val="20"/>
          <w:szCs w:val="20"/>
        </w:rPr>
        <w:t xml:space="preserve"> </w:t>
      </w:r>
      <w:proofErr w:type="spellStart"/>
      <w:r w:rsidRPr="001D01A5">
        <w:rPr>
          <w:rFonts w:cstheme="minorHAnsi"/>
          <w:i/>
          <w:iCs/>
          <w:sz w:val="20"/>
          <w:szCs w:val="20"/>
        </w:rPr>
        <w:t>bracteolata</w:t>
      </w:r>
      <w:proofErr w:type="spellEnd"/>
      <w:r w:rsidRPr="001D01A5">
        <w:rPr>
          <w:rFonts w:cstheme="minorHAnsi"/>
          <w:sz w:val="20"/>
          <w:szCs w:val="20"/>
        </w:rPr>
        <w:t> and </w:t>
      </w:r>
      <w:r w:rsidRPr="001D01A5">
        <w:rPr>
          <w:rFonts w:cstheme="minorHAnsi"/>
          <w:i/>
          <w:iCs/>
          <w:sz w:val="20"/>
          <w:szCs w:val="20"/>
        </w:rPr>
        <w:t xml:space="preserve">Senna </w:t>
      </w:r>
      <w:proofErr w:type="spellStart"/>
      <w:r w:rsidRPr="001D01A5">
        <w:rPr>
          <w:rFonts w:cstheme="minorHAnsi"/>
          <w:i/>
          <w:iCs/>
          <w:sz w:val="20"/>
          <w:szCs w:val="20"/>
        </w:rPr>
        <w:t>obtusifolia</w:t>
      </w:r>
      <w:proofErr w:type="spellEnd"/>
      <w:r w:rsidRPr="001D01A5">
        <w:rPr>
          <w:rFonts w:cstheme="minorHAnsi"/>
          <w:sz w:val="20"/>
          <w:szCs w:val="20"/>
        </w:rPr>
        <w:t xml:space="preserve">, are known for their medicinal uses in Sudan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&lt;EndNote&gt;&lt;Cite&gt;&lt;Author&gt;Hegazy&lt;/Author&gt;&lt;Year&gt;2020&lt;/Year&gt;&lt;RecNum&gt;308&lt;/RecNum&gt;&lt;DisplayText&gt;(Hegazy et al., 2020, Musa et al., 2011)&lt;/DisplayText&gt;&lt;record&gt;&lt;rec-number&gt;308&lt;/rec-number&gt;&lt;foreign-keys&gt;&lt;key app="EN" db-id="pd0swas0fwf2e7ewt98xvfpkwv5sf9fae2sd" timestamp="1762966887"&gt;308&lt;/key&gt;&lt;/foreign-keys&gt;&lt;ref-type name="Journal Article"&gt;17&lt;/ref-type&gt;&lt;contributors&gt;&lt;authors&gt;&lt;author&gt;Hegazy, Ahmad K&lt;/author&gt;&lt;author&gt;Hosni, Hasnaa A&lt;/author&gt;&lt;author&gt;Lovett-Doust, Lesley&lt;/author&gt;&lt;author&gt;Kabiel, Hanan F&lt;/author&gt;&lt;author&gt;Badawy, El-Shafie M&lt;/author&gt;&lt;author&gt;Mwavu, Edward N&lt;/author&gt;&lt;/authors&gt;&lt;/contributors&gt;&lt;titles&gt;&lt;title&gt;Indigenous knowledge of wild plants collected in Darfur, Sudan&lt;/title&gt;&lt;/titles&gt;&lt;dates&gt;&lt;year&gt;2020&lt;/year&gt;&lt;/dates&gt;&lt;urls&gt;&lt;/urls&gt;&lt;/record&gt;&lt;/Cite&gt;&lt;Cite&gt;&lt;Author&gt;Musa&lt;/Author&gt;&lt;Year&gt;2011&lt;/Year&gt;&lt;RecNum&gt;309&lt;/RecNum&gt;&lt;record&gt;&lt;rec-number&gt;309&lt;/rec-number&gt;&lt;foreign-keys&gt;&lt;key app="EN" db-id="pd0swas0fwf2e7ewt98xvfpkwv5sf9fae2sd" timestamp="1762966946"&gt;309&lt;/key&gt;&lt;/foreign-keys&gt;&lt;ref-type name="Journal Article"&gt;17&lt;/ref-type&gt;&lt;contributors&gt;&lt;authors&gt;&lt;author&gt;Musa, Musa S&lt;/author&gt;&lt;author&gt;Abdelrasool, Fathelrhman E&lt;/author&gt;&lt;author&gt;Elsheikh, Elsheikh A&lt;/author&gt;&lt;author&gt;Ahmed, LAMN&lt;/author&gt;&lt;author&gt;Mahmoud, Abdel Latif E&lt;/author&gt;&lt;author&gt;Yagi, Sakina M&lt;/author&gt;&lt;/authors&gt;&lt;/contributors&gt;&lt;titles&gt;&lt;title&gt;Ethnobotanical study of medicinal plants in the Blue Nile State, South-eastern Sudan&lt;/title&gt;&lt;secondary-title&gt;Journal of Medicinal Plants Research&lt;/secondary-title&gt;&lt;/titles&gt;&lt;periodical&gt;&lt;full-title&gt;Journal of Medicinal Plants Research&lt;/full-title&gt;&lt;/periodical&gt;&lt;pages&gt;4287-4297&lt;/pages&gt;&lt;volume&gt;5&lt;/volume&gt;&lt;number&gt;17&lt;/number&gt;&lt;dates&gt;&lt;year&gt;2011&lt;/year&gt;&lt;/dates&gt;&lt;urls&gt;&lt;/urls&gt;&lt;/record&gt;&lt;/Cite&gt;&lt;/EndNote&gt;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(Hegazy et al., 2020, Musa et al., 2011)</w:t>
      </w:r>
      <w:r w:rsidR="00042C32" w:rsidRPr="001D01A5">
        <w:rPr>
          <w:rFonts w:cstheme="minorHAnsi"/>
          <w:sz w:val="20"/>
          <w:szCs w:val="20"/>
        </w:rPr>
        <w:fldChar w:fldCharType="end"/>
      </w:r>
      <w:r w:rsidRPr="001D01A5">
        <w:rPr>
          <w:rFonts w:cstheme="minorHAnsi"/>
          <w:sz w:val="20"/>
          <w:szCs w:val="20"/>
        </w:rPr>
        <w:t>, indicating their socio-economic value beyond agriculture.</w:t>
      </w:r>
    </w:p>
    <w:p w:rsidR="00067C84" w:rsidRPr="001D01A5" w:rsidRDefault="001C778F" w:rsidP="001D01A5">
      <w:pPr>
        <w:spacing w:before="240" w:after="0" w:line="360" w:lineRule="auto"/>
        <w:jc w:val="both"/>
        <w:rPr>
          <w:rFonts w:cstheme="minorHAnsi"/>
          <w:sz w:val="20"/>
          <w:szCs w:val="20"/>
        </w:rPr>
      </w:pPr>
      <w:r w:rsidRPr="001D01A5">
        <w:rPr>
          <w:rFonts w:cstheme="minorHAnsi"/>
          <w:sz w:val="20"/>
          <w:szCs w:val="20"/>
        </w:rPr>
        <w:t xml:space="preserve">While this study provides a foundational inventory of weed species in grain sorghum fields, it is important to note its limitations. The reliance on </w:t>
      </w:r>
      <w:r w:rsidRPr="001D01A5">
        <w:rPr>
          <w:rFonts w:eastAsia="Calibri" w:cstheme="minorHAnsi"/>
          <w:sz w:val="20"/>
          <w:szCs w:val="20"/>
        </w:rPr>
        <w:t xml:space="preserve">a visual inventory and the absence of quantitative ecological metrics restrict the ability to assess the relative dominance and economic impact of individual weed species. Furthermore, the study was conducted over a single growing season and within a specific locality, which may not fully capture the temporal and spatial variability of the weed flora. Future investigations should build </w:t>
      </w:r>
      <w:r w:rsidRPr="001D01A5">
        <w:rPr>
          <w:rFonts w:cstheme="minorHAnsi"/>
          <w:sz w:val="20"/>
          <w:szCs w:val="20"/>
        </w:rPr>
        <w:t xml:space="preserve">on this baseline by employing quantitative metrics to identify key problematic species and their threshold levels. Research should also focus on evaluating the efficacy of specific Integrated Weed Management (IWM) strategies tailored to this flora, such as the sequencing of herbicides, use of sorghum cultivars with competitive traits, and practical integration of bio-control agents </w:t>
      </w:r>
      <w:r w:rsidR="00F01384" w:rsidRPr="001D01A5">
        <w:rPr>
          <w:rFonts w:cstheme="minorHAnsi"/>
          <w:sz w:val="20"/>
          <w:szCs w:val="20"/>
        </w:rPr>
        <w:t>such as</w:t>
      </w:r>
      <w:r w:rsidRPr="001D01A5">
        <w:rPr>
          <w:rFonts w:cstheme="minorHAnsi"/>
          <w:sz w:val="20"/>
          <w:szCs w:val="20"/>
        </w:rPr>
        <w:t> </w:t>
      </w:r>
      <w:r w:rsidRPr="001D01A5">
        <w:rPr>
          <w:rFonts w:cstheme="minorHAnsi"/>
          <w:i/>
          <w:iCs/>
          <w:sz w:val="20"/>
          <w:szCs w:val="20"/>
        </w:rPr>
        <w:t>R. minima</w:t>
      </w:r>
      <w:r w:rsidRPr="001D01A5">
        <w:rPr>
          <w:rFonts w:cstheme="minorHAnsi"/>
          <w:sz w:val="20"/>
          <w:szCs w:val="20"/>
        </w:rPr>
        <w:t>.</w:t>
      </w:r>
    </w:p>
    <w:p w:rsidR="00C4053F" w:rsidRPr="001D01A5" w:rsidRDefault="00B6146A" w:rsidP="0076418C">
      <w:pPr>
        <w:spacing w:before="240" w:after="0" w:line="360" w:lineRule="auto"/>
        <w:jc w:val="both"/>
        <w:rPr>
          <w:b/>
          <w:bCs/>
        </w:rPr>
      </w:pPr>
      <w:r>
        <w:rPr>
          <w:rFonts w:cstheme="minorHAnsi"/>
          <w:b/>
          <w:bCs/>
        </w:rPr>
        <w:t>4</w:t>
      </w:r>
      <w:bookmarkStart w:id="0" w:name="_GoBack"/>
      <w:bookmarkEnd w:id="0"/>
      <w:r w:rsidR="001C778F" w:rsidRPr="001D01A5">
        <w:rPr>
          <w:rFonts w:cstheme="minorHAnsi"/>
          <w:b/>
          <w:bCs/>
        </w:rPr>
        <w:t>. Conclusion</w:t>
      </w:r>
    </w:p>
    <w:p w:rsidR="00654382" w:rsidRDefault="001C778F" w:rsidP="00654382">
      <w:pPr>
        <w:spacing w:after="0" w:line="360" w:lineRule="auto"/>
        <w:jc w:val="both"/>
        <w:rPr>
          <w:rFonts w:cstheme="minorHAnsi"/>
          <w:sz w:val="20"/>
          <w:szCs w:val="20"/>
        </w:rPr>
      </w:pPr>
      <w:r w:rsidRPr="001D01A5">
        <w:rPr>
          <w:rFonts w:cstheme="minorHAnsi"/>
          <w:sz w:val="20"/>
          <w:szCs w:val="20"/>
        </w:rPr>
        <w:t xml:space="preserve">This study provides the first comprehensive floristic inventory of weeds in irrigated grain sorghum fields within Sudan's Gezira Scheme, identifying 39 species predominantly comprising annual, seed-propagated dicotyledons. To translate these findings into actionable outcomes, it is recommended that farmers and agricultural extension services prioritize </w:t>
      </w:r>
      <w:r w:rsidRPr="001D01A5">
        <w:rPr>
          <w:rFonts w:eastAsia="Calibri" w:cstheme="minorHAnsi"/>
          <w:sz w:val="20"/>
          <w:szCs w:val="20"/>
        </w:rPr>
        <w:t>the targeted control of perennial grasses and sedges, such as </w:t>
      </w:r>
      <w:r w:rsidRPr="001D01A5">
        <w:rPr>
          <w:rFonts w:cstheme="minorHAnsi"/>
          <w:i/>
          <w:iCs/>
          <w:sz w:val="20"/>
          <w:szCs w:val="20"/>
        </w:rPr>
        <w:t>Cyperus rotundus</w:t>
      </w:r>
      <w:r w:rsidRPr="001D01A5">
        <w:rPr>
          <w:rFonts w:cstheme="minorHAnsi"/>
          <w:sz w:val="20"/>
          <w:szCs w:val="20"/>
        </w:rPr>
        <w:t xml:space="preserve">, through deep tillage and systemic herbicides, while implementing pre-emergence herbicides to manage the abundant annual weed seed bank. Furthermore, researchers should build on these baseline data by incorporating quantitative ecological metrics to identify the most competitive </w:t>
      </w:r>
      <w:r w:rsidRPr="001D01A5">
        <w:rPr>
          <w:rFonts w:cstheme="minorHAnsi"/>
          <w:sz w:val="20"/>
          <w:szCs w:val="20"/>
        </w:rPr>
        <w:lastRenderedPageBreak/>
        <w:t xml:space="preserve">species and explore integrated weed management strategies that combine chemical, cultural, and biological controls tailored to this specific </w:t>
      </w:r>
      <w:proofErr w:type="spellStart"/>
      <w:r w:rsidRPr="001D01A5">
        <w:rPr>
          <w:rFonts w:cstheme="minorHAnsi"/>
          <w:sz w:val="20"/>
          <w:szCs w:val="20"/>
        </w:rPr>
        <w:t>agro</w:t>
      </w:r>
      <w:proofErr w:type="spellEnd"/>
      <w:r w:rsidRPr="001D01A5">
        <w:rPr>
          <w:rFonts w:cstheme="minorHAnsi"/>
          <w:sz w:val="20"/>
          <w:szCs w:val="20"/>
        </w:rPr>
        <w:t>-ecosystem.</w:t>
      </w:r>
    </w:p>
    <w:p w:rsidR="00B9496F" w:rsidRDefault="00B9496F" w:rsidP="00654382">
      <w:pPr>
        <w:spacing w:after="0" w:line="360" w:lineRule="auto"/>
        <w:jc w:val="both"/>
        <w:rPr>
          <w:rFonts w:cstheme="minorHAnsi"/>
          <w:sz w:val="20"/>
          <w:szCs w:val="20"/>
        </w:rPr>
      </w:pPr>
    </w:p>
    <w:p w:rsidR="00B9496F" w:rsidRPr="00DB2D64" w:rsidRDefault="00B9496F" w:rsidP="00B9496F">
      <w:pPr>
        <w:rPr>
          <w:rFonts w:ascii="Arial" w:eastAsia="Calibri" w:hAnsi="Arial" w:cs="Arial"/>
          <w:kern w:val="2"/>
          <w:sz w:val="20"/>
          <w:szCs w:val="20"/>
          <w:highlight w:val="yellow"/>
        </w:rPr>
      </w:pPr>
      <w:bookmarkStart w:id="1" w:name="_Hlk199755073"/>
      <w:r w:rsidRPr="00DB2D64">
        <w:rPr>
          <w:rFonts w:ascii="Arial" w:eastAsia="Calibri" w:hAnsi="Arial" w:cs="Arial"/>
          <w:kern w:val="2"/>
          <w:sz w:val="20"/>
          <w:szCs w:val="20"/>
          <w:highlight w:val="yellow"/>
        </w:rPr>
        <w:t>Disclaimer (Artificial intelligence)</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 xml:space="preserve">Option 1: </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Author(s) hereby declare that NO generative AI technologies such as Large Language Models (</w:t>
      </w:r>
      <w:proofErr w:type="spellStart"/>
      <w:r w:rsidRPr="00DB2D64">
        <w:rPr>
          <w:rFonts w:ascii="Arial" w:eastAsia="Calibri" w:hAnsi="Arial" w:cs="Arial"/>
          <w:kern w:val="2"/>
          <w:sz w:val="20"/>
          <w:szCs w:val="20"/>
          <w:highlight w:val="yellow"/>
        </w:rPr>
        <w:t>ChatGPT</w:t>
      </w:r>
      <w:proofErr w:type="spellEnd"/>
      <w:r w:rsidRPr="00DB2D64">
        <w:rPr>
          <w:rFonts w:ascii="Arial" w:eastAsia="Calibri" w:hAnsi="Arial" w:cs="Arial"/>
          <w:kern w:val="2"/>
          <w:sz w:val="20"/>
          <w:szCs w:val="20"/>
          <w:highlight w:val="yellow"/>
        </w:rPr>
        <w:t xml:space="preserve">, COPILOT, etc.) and text-to-image generators have been used during the writing or editing of this manuscript. </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 xml:space="preserve">Option 2: </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Details of the AI usage are given below:</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1.</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2.</w:t>
      </w:r>
    </w:p>
    <w:p w:rsidR="00B9496F" w:rsidRPr="00DB2D64" w:rsidRDefault="00B9496F" w:rsidP="00B9496F">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3.</w:t>
      </w:r>
    </w:p>
    <w:bookmarkEnd w:id="1"/>
    <w:p w:rsidR="00B9496F" w:rsidRDefault="00B9496F" w:rsidP="00654382">
      <w:pPr>
        <w:spacing w:after="0" w:line="360" w:lineRule="auto"/>
        <w:jc w:val="both"/>
        <w:rPr>
          <w:rFonts w:cstheme="minorHAnsi"/>
          <w:sz w:val="20"/>
          <w:szCs w:val="20"/>
        </w:rPr>
      </w:pPr>
    </w:p>
    <w:p w:rsidR="00E11B2C" w:rsidRDefault="00E11B2C" w:rsidP="00654382">
      <w:pPr>
        <w:spacing w:after="0" w:line="360" w:lineRule="auto"/>
        <w:jc w:val="both"/>
        <w:rPr>
          <w:rFonts w:cstheme="minorHAnsi"/>
          <w:sz w:val="20"/>
          <w:szCs w:val="20"/>
        </w:rPr>
      </w:pPr>
    </w:p>
    <w:p w:rsidR="00E11B2C" w:rsidRPr="001D01A5" w:rsidRDefault="00E11B2C" w:rsidP="00654382">
      <w:pPr>
        <w:spacing w:after="0" w:line="360" w:lineRule="auto"/>
        <w:jc w:val="both"/>
        <w:rPr>
          <w:rFonts w:cstheme="minorHAnsi"/>
          <w:sz w:val="20"/>
          <w:szCs w:val="20"/>
          <w:rtl/>
        </w:rPr>
      </w:pPr>
    </w:p>
    <w:p w:rsidR="000639FB" w:rsidRPr="001D01A5" w:rsidRDefault="001C778F" w:rsidP="008B4023">
      <w:pPr>
        <w:spacing w:after="0" w:line="360" w:lineRule="auto"/>
        <w:jc w:val="both"/>
        <w:rPr>
          <w:b/>
          <w:bCs/>
        </w:rPr>
      </w:pPr>
      <w:r w:rsidRPr="001D01A5">
        <w:rPr>
          <w:rFonts w:cstheme="minorHAnsi"/>
          <w:b/>
          <w:bCs/>
        </w:rPr>
        <w:t>6. References</w:t>
      </w:r>
    </w:p>
    <w:p w:rsidR="00742C47" w:rsidRPr="001D01A5" w:rsidRDefault="00042C32"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fldChar w:fldCharType="begin"/>
      </w:r>
      <w:r w:rsidR="001C778F" w:rsidRPr="001D01A5">
        <w:rPr>
          <w:rFonts w:asciiTheme="minorHAnsi" w:hAnsiTheme="minorHAnsi" w:cstheme="minorHAnsi"/>
          <w:sz w:val="20"/>
          <w:szCs w:val="20"/>
        </w:rPr>
        <w:instrText xml:space="preserve"> ADDIN EN.REFLIST </w:instrText>
      </w:r>
      <w:r w:rsidRPr="001D01A5">
        <w:rPr>
          <w:rFonts w:asciiTheme="minorHAnsi" w:hAnsiTheme="minorHAnsi" w:cstheme="minorHAnsi"/>
          <w:sz w:val="20"/>
          <w:szCs w:val="20"/>
        </w:rPr>
        <w:fldChar w:fldCharType="separate"/>
      </w:r>
      <w:r w:rsidR="00742C47" w:rsidRPr="001D01A5">
        <w:rPr>
          <w:rFonts w:asciiTheme="minorHAnsi" w:hAnsiTheme="minorHAnsi" w:cstheme="minorHAnsi"/>
          <w:sz w:val="20"/>
          <w:szCs w:val="20"/>
        </w:rPr>
        <w:t>ABDALLAH, A., MAHMOUD, N. &amp; ELMAHI, N. Check List of the Flora of Barakat Area (Gazira State)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CHICOUENE, D. 2020. Inventory and mechanisms of cultural control practices for weed management, a review. </w:t>
      </w:r>
      <w:r w:rsidRPr="001D01A5">
        <w:rPr>
          <w:rFonts w:asciiTheme="minorHAnsi" w:hAnsiTheme="minorHAnsi" w:cstheme="minorHAnsi"/>
          <w:i/>
          <w:sz w:val="20"/>
          <w:szCs w:val="20"/>
        </w:rPr>
        <w:t>Journal of Research in Weed Science,</w:t>
      </w:r>
      <w:r w:rsidRPr="001D01A5">
        <w:rPr>
          <w:rFonts w:asciiTheme="minorHAnsi" w:hAnsiTheme="minorHAnsi" w:cstheme="minorHAnsi"/>
          <w:sz w:val="20"/>
          <w:szCs w:val="20"/>
        </w:rPr>
        <w:t xml:space="preserve"> 3</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490-528.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DAWOUD, D. A. 1995. Autecological studies on phytoparasites of the genera Alectra, Orobanche and Striga with special reference to their early developmental stages.</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1D01A5">
        <w:rPr>
          <w:rFonts w:asciiTheme="minorHAnsi" w:hAnsiTheme="minorHAnsi" w:cstheme="minorHAnsi"/>
          <w:i/>
          <w:sz w:val="20"/>
          <w:szCs w:val="20"/>
        </w:rPr>
        <w:t>Critical Reviews in Food Science and Nutrition,</w:t>
      </w:r>
      <w:r w:rsidRPr="001D01A5">
        <w:rPr>
          <w:rFonts w:asciiTheme="minorHAnsi" w:hAnsiTheme="minorHAnsi" w:cstheme="minorHAnsi"/>
          <w:sz w:val="20"/>
          <w:szCs w:val="20"/>
        </w:rPr>
        <w:t xml:space="preserve"> 62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2269-2280.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GRENIER, C., BRAMEL, P., DAHLBERG, J., EL-AHMADI, A., MAHMOUD, M., PETERSON, G., ROSENOW, D. &amp; EJETA, G. 2004. Sorghums of the Sudan: analysis of regional diversity and distribution. </w:t>
      </w:r>
      <w:r w:rsidRPr="001D01A5">
        <w:rPr>
          <w:rFonts w:asciiTheme="minorHAnsi" w:hAnsiTheme="minorHAnsi" w:cstheme="minorHAnsi"/>
          <w:i/>
          <w:sz w:val="20"/>
          <w:szCs w:val="20"/>
        </w:rPr>
        <w:t>Genetic Resources and Crop Evolution,</w:t>
      </w:r>
      <w:r w:rsidRPr="001D01A5">
        <w:rPr>
          <w:rFonts w:asciiTheme="minorHAnsi" w:hAnsiTheme="minorHAnsi" w:cstheme="minorHAnsi"/>
          <w:sz w:val="20"/>
          <w:szCs w:val="20"/>
        </w:rPr>
        <w:t xml:space="preserve"> 51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489-500.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HARKER, K. N. &amp; O'DONOVAN, J. T. 2013. Recent weed control, weed management, and integrated weed management. </w:t>
      </w:r>
      <w:r w:rsidRPr="001D01A5">
        <w:rPr>
          <w:rFonts w:asciiTheme="minorHAnsi" w:hAnsiTheme="minorHAnsi" w:cstheme="minorHAnsi"/>
          <w:i/>
          <w:sz w:val="20"/>
          <w:szCs w:val="20"/>
        </w:rPr>
        <w:t>Weed Technology,</w:t>
      </w:r>
      <w:r w:rsidRPr="001D01A5">
        <w:rPr>
          <w:rFonts w:asciiTheme="minorHAnsi" w:hAnsiTheme="minorHAnsi" w:cstheme="minorHAnsi"/>
          <w:sz w:val="20"/>
          <w:szCs w:val="20"/>
        </w:rPr>
        <w:t xml:space="preserve"> 27</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1-11.</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lastRenderedPageBreak/>
        <w:t>HEGAZY, A. K., HOSNI, H. A., LOVETT-DOUST, L., KABIEL, H. F., BADAWY, E.-S. M. &amp; MWAVU, E. N. 2020. Indigenous knowledge of wild plants collected in Darfur,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IPNI, I. 2020. International plant names index. </w:t>
      </w:r>
      <w:r w:rsidRPr="001D01A5">
        <w:rPr>
          <w:rFonts w:asciiTheme="minorHAnsi" w:hAnsiTheme="minorHAnsi" w:cstheme="minorHAnsi"/>
          <w:i/>
          <w:sz w:val="20"/>
          <w:szCs w:val="20"/>
        </w:rPr>
        <w:t>The Royal Botanic Gardens, Kew, Harvard University Herbaria &amp; Libraries and Australian National Botanic Gardens</w:t>
      </w:r>
      <w:r w:rsidRPr="001D01A5">
        <w:rPr>
          <w:rFonts w:asciiTheme="minorHAnsi" w:hAnsiTheme="minorHAnsi" w:cstheme="minorHAnsi"/>
          <w:sz w:val="20"/>
          <w:szCs w:val="20"/>
        </w:rPr>
        <w:t>.</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MOHAMED, B. &amp; MARRS, R. 2005. Factors influencing the weed flora in the Gezira Scheme, Sudan. </w:t>
      </w:r>
      <w:r w:rsidRPr="001D01A5">
        <w:rPr>
          <w:rFonts w:asciiTheme="minorHAnsi" w:hAnsiTheme="minorHAnsi" w:cstheme="minorHAnsi"/>
          <w:i/>
          <w:sz w:val="20"/>
          <w:szCs w:val="20"/>
        </w:rPr>
        <w:t>Weed Research,</w:t>
      </w:r>
      <w:r w:rsidRPr="001D01A5">
        <w:rPr>
          <w:rFonts w:asciiTheme="minorHAnsi" w:hAnsiTheme="minorHAnsi" w:cstheme="minorHAnsi"/>
          <w:sz w:val="20"/>
          <w:szCs w:val="20"/>
        </w:rPr>
        <w:t xml:space="preserve"> 45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121-129.</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O. 2003. </w:t>
      </w:r>
      <w:r w:rsidRPr="001D01A5">
        <w:rPr>
          <w:rFonts w:asciiTheme="minorHAnsi" w:hAnsiTheme="minorHAnsi" w:cstheme="minorHAnsi"/>
          <w:i/>
          <w:sz w:val="20"/>
          <w:szCs w:val="20"/>
        </w:rPr>
        <w:t>Studies of the weed ecology of the Gezira scheme, Sudan: an ecological and socio-economic perspective.</w:t>
      </w:r>
      <w:r w:rsidRPr="001D01A5">
        <w:rPr>
          <w:rFonts w:asciiTheme="minorHAnsi" w:hAnsiTheme="minorHAnsi" w:cstheme="minorHAnsi"/>
          <w:sz w:val="20"/>
          <w:szCs w:val="20"/>
        </w:rPr>
        <w:t xml:space="preserve"> University of Liverpool.</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1D01A5">
        <w:rPr>
          <w:rFonts w:asciiTheme="minorHAnsi" w:hAnsiTheme="minorHAnsi" w:cstheme="minorHAnsi"/>
          <w: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Unesco-IHE.</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MONTEIRO, A. &amp; SANTOS, S. 2022. Sustainable approach to weed management: The role of precision weed management. </w:t>
      </w:r>
      <w:r w:rsidRPr="001D01A5">
        <w:rPr>
          <w:rFonts w:asciiTheme="minorHAnsi" w:hAnsiTheme="minorHAnsi" w:cstheme="minorHAnsi"/>
          <w:i/>
          <w:sz w:val="20"/>
          <w:szCs w:val="20"/>
        </w:rPr>
        <w:t>Agronomy,</w:t>
      </w:r>
      <w:r w:rsidRPr="001D01A5">
        <w:rPr>
          <w:rFonts w:asciiTheme="minorHAnsi" w:hAnsiTheme="minorHAnsi" w:cstheme="minorHAnsi"/>
          <w:sz w:val="20"/>
          <w:szCs w:val="20"/>
        </w:rPr>
        <w:t xml:space="preserve"> 12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MUSA, M. S., ABDELRASOOL, F. E., ELSHEIKH, E. A., AHMED, L., MAHMOUD, A. L. E. &amp; YAGI, S. M. 2011. Ethnobotanical study of medicinal plants in the Blue Nile State, South-eastern Sudan. </w:t>
      </w:r>
      <w:r w:rsidRPr="001D01A5">
        <w:rPr>
          <w:rFonts w:asciiTheme="minorHAnsi" w:hAnsiTheme="minorHAnsi" w:cstheme="minorHAnsi"/>
          <w:i/>
          <w:sz w:val="20"/>
          <w:szCs w:val="20"/>
        </w:rPr>
        <w:t>Journal of Medicinal Plants Research,</w:t>
      </w:r>
      <w:r w:rsidRPr="001D01A5">
        <w:rPr>
          <w:rFonts w:asciiTheme="minorHAnsi" w:hAnsiTheme="minorHAnsi" w:cstheme="minorHAnsi"/>
          <w:sz w:val="20"/>
          <w:szCs w:val="20"/>
        </w:rPr>
        <w:t xml:space="preserve"> 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4287-4297.</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PEERZADA, A. M., ALI, H. H. &amp; CHAUHAN, B. S. 2017. Weed management in sorghum [Sorghum bicolor (L.) Moench] using crop competition: A review. </w:t>
      </w:r>
      <w:r w:rsidRPr="001D01A5">
        <w:rPr>
          <w:rFonts w:asciiTheme="minorHAnsi" w:hAnsiTheme="minorHAnsi" w:cstheme="minorHAnsi"/>
          <w:i/>
          <w:sz w:val="20"/>
          <w:szCs w:val="20"/>
        </w:rPr>
        <w:t>Crop protection,</w:t>
      </w:r>
      <w:r w:rsidRPr="001D01A5">
        <w:rPr>
          <w:rFonts w:asciiTheme="minorHAnsi" w:hAnsiTheme="minorHAnsi" w:cstheme="minorHAnsi"/>
          <w:sz w:val="20"/>
          <w:szCs w:val="20"/>
        </w:rPr>
        <w:t xml:space="preserve"> 95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74-80.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POWO, R. B. G. 2023. Plants of the world online. </w:t>
      </w:r>
      <w:r w:rsidRPr="001D01A5">
        <w:rPr>
          <w:rFonts w:asciiTheme="minorHAnsi" w:hAnsiTheme="minorHAnsi" w:cstheme="minorHAnsi"/>
          <w:i/>
          <w:sz w:val="20"/>
          <w:szCs w:val="20"/>
        </w:rPr>
        <w:t>Facilitated by the Royal Botanic Gardens, Kew</w:t>
      </w:r>
      <w:r w:rsidRPr="001D01A5">
        <w:rPr>
          <w:rFonts w:asciiTheme="minorHAnsi" w:hAnsiTheme="minorHAnsi" w:cstheme="minorHAnsi"/>
          <w:sz w:val="20"/>
          <w:szCs w:val="20"/>
        </w:rPr>
        <w:t>.</w:t>
      </w:r>
    </w:p>
    <w:p w:rsidR="00742C47" w:rsidRPr="001D01A5" w:rsidRDefault="00742C47" w:rsidP="00742C47">
      <w:pPr>
        <w:pStyle w:val="EndNoteBibliography"/>
        <w:spacing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1D01A5">
        <w:rPr>
          <w:rFonts w:asciiTheme="minorHAnsi" w:hAnsiTheme="minorHAnsi" w:cstheme="minorHAnsi"/>
          <w:i/>
          <w:sz w:val="20"/>
          <w:szCs w:val="20"/>
        </w:rPr>
        <w:t>International Journal of Agricultural and Soil Science,</w:t>
      </w:r>
      <w:r w:rsidRPr="001D01A5">
        <w:rPr>
          <w:rFonts w:asciiTheme="minorHAnsi" w:hAnsiTheme="minorHAnsi" w:cstheme="minorHAnsi"/>
          <w:sz w:val="20"/>
          <w:szCs w:val="20"/>
        </w:rPr>
        <w:t xml:space="preserve"> 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1-6.</w:t>
      </w:r>
    </w:p>
    <w:p w:rsidR="00B13F83" w:rsidRPr="001D01A5" w:rsidRDefault="00042C32" w:rsidP="00742C47">
      <w:pPr>
        <w:spacing w:after="0" w:line="360" w:lineRule="auto"/>
        <w:jc w:val="both"/>
        <w:rPr>
          <w:rFonts w:cstheme="minorHAnsi"/>
          <w:sz w:val="20"/>
          <w:szCs w:val="20"/>
        </w:rPr>
      </w:pPr>
      <w:r w:rsidRPr="001D01A5">
        <w:rPr>
          <w:rFonts w:cstheme="minorHAnsi"/>
          <w:sz w:val="20"/>
          <w:szCs w:val="20"/>
        </w:rPr>
        <w:fldChar w:fldCharType="end"/>
      </w:r>
    </w:p>
    <w:sectPr w:rsidR="00B13F83" w:rsidRPr="001D01A5" w:rsidSect="007E7F8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455" w:rsidRDefault="00221455" w:rsidP="00F60C6F">
      <w:pPr>
        <w:spacing w:after="0" w:line="240" w:lineRule="auto"/>
      </w:pPr>
      <w:r>
        <w:separator/>
      </w:r>
    </w:p>
  </w:endnote>
  <w:endnote w:type="continuationSeparator" w:id="0">
    <w:p w:rsidR="00221455" w:rsidRDefault="00221455" w:rsidP="00F6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455" w:rsidRDefault="00221455" w:rsidP="00F60C6F">
      <w:pPr>
        <w:spacing w:after="0" w:line="240" w:lineRule="auto"/>
      </w:pPr>
      <w:r>
        <w:separator/>
      </w:r>
    </w:p>
  </w:footnote>
  <w:footnote w:type="continuationSeparator" w:id="0">
    <w:p w:rsidR="00221455" w:rsidRDefault="00221455" w:rsidP="00F6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221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221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8"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2214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7327A"/>
    <w:multiLevelType w:val="hybridMultilevel"/>
    <w:tmpl w:val="777C63B8"/>
    <w:lvl w:ilvl="0" w:tplc="CD78EFEC">
      <w:start w:val="1"/>
      <w:numFmt w:val="decimal"/>
      <w:lvlText w:val="%1)"/>
      <w:lvlJc w:val="left"/>
      <w:pPr>
        <w:ind w:left="720" w:hanging="360"/>
      </w:pPr>
    </w:lvl>
    <w:lvl w:ilvl="1" w:tplc="F2FA16B6" w:tentative="1">
      <w:start w:val="1"/>
      <w:numFmt w:val="lowerLetter"/>
      <w:lvlText w:val="%2."/>
      <w:lvlJc w:val="left"/>
      <w:pPr>
        <w:ind w:left="1440" w:hanging="360"/>
      </w:pPr>
    </w:lvl>
    <w:lvl w:ilvl="2" w:tplc="B09E3600" w:tentative="1">
      <w:start w:val="1"/>
      <w:numFmt w:val="lowerRoman"/>
      <w:lvlText w:val="%3."/>
      <w:lvlJc w:val="right"/>
      <w:pPr>
        <w:ind w:left="2160" w:hanging="180"/>
      </w:pPr>
    </w:lvl>
    <w:lvl w:ilvl="3" w:tplc="10D41994" w:tentative="1">
      <w:start w:val="1"/>
      <w:numFmt w:val="decimal"/>
      <w:lvlText w:val="%4."/>
      <w:lvlJc w:val="left"/>
      <w:pPr>
        <w:ind w:left="2880" w:hanging="360"/>
      </w:pPr>
    </w:lvl>
    <w:lvl w:ilvl="4" w:tplc="C0AE8BD4" w:tentative="1">
      <w:start w:val="1"/>
      <w:numFmt w:val="lowerLetter"/>
      <w:lvlText w:val="%5."/>
      <w:lvlJc w:val="left"/>
      <w:pPr>
        <w:ind w:left="3600" w:hanging="360"/>
      </w:pPr>
    </w:lvl>
    <w:lvl w:ilvl="5" w:tplc="DFFA2098" w:tentative="1">
      <w:start w:val="1"/>
      <w:numFmt w:val="lowerRoman"/>
      <w:lvlText w:val="%6."/>
      <w:lvlJc w:val="right"/>
      <w:pPr>
        <w:ind w:left="4320" w:hanging="180"/>
      </w:pPr>
    </w:lvl>
    <w:lvl w:ilvl="6" w:tplc="B46E6F52" w:tentative="1">
      <w:start w:val="1"/>
      <w:numFmt w:val="decimal"/>
      <w:lvlText w:val="%7."/>
      <w:lvlJc w:val="left"/>
      <w:pPr>
        <w:ind w:left="5040" w:hanging="360"/>
      </w:pPr>
    </w:lvl>
    <w:lvl w:ilvl="7" w:tplc="01C06736" w:tentative="1">
      <w:start w:val="1"/>
      <w:numFmt w:val="lowerLetter"/>
      <w:lvlText w:val="%8."/>
      <w:lvlJc w:val="left"/>
      <w:pPr>
        <w:ind w:left="5760" w:hanging="360"/>
      </w:pPr>
    </w:lvl>
    <w:lvl w:ilvl="8" w:tplc="06F65C3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0swas0fwf2e7ewt98xvfpkwv5sf9fae2sd&quot;&gt;My EndNote Library&lt;record-ids&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4&lt;/item&gt;&lt;item&gt;316&lt;/item&gt;&lt;item&gt;318&lt;/item&gt;&lt;item&gt;319&lt;/item&gt;&lt;item&gt;321&lt;/item&gt;&lt;/record-ids&gt;&lt;/item&gt;&lt;/Libraries&gt;"/>
  </w:docVars>
  <w:rsids>
    <w:rsidRoot w:val="00563341"/>
    <w:rsid w:val="0000390C"/>
    <w:rsid w:val="00005941"/>
    <w:rsid w:val="000076DD"/>
    <w:rsid w:val="00023B3A"/>
    <w:rsid w:val="00042C32"/>
    <w:rsid w:val="000639FB"/>
    <w:rsid w:val="00067C84"/>
    <w:rsid w:val="00073EE0"/>
    <w:rsid w:val="000D2050"/>
    <w:rsid w:val="001238F2"/>
    <w:rsid w:val="00125947"/>
    <w:rsid w:val="00176083"/>
    <w:rsid w:val="001C778F"/>
    <w:rsid w:val="001D01A5"/>
    <w:rsid w:val="001D5DDD"/>
    <w:rsid w:val="001F39AA"/>
    <w:rsid w:val="0020612D"/>
    <w:rsid w:val="00206D6E"/>
    <w:rsid w:val="00221455"/>
    <w:rsid w:val="00231E81"/>
    <w:rsid w:val="00264DBC"/>
    <w:rsid w:val="0026603F"/>
    <w:rsid w:val="002A37F5"/>
    <w:rsid w:val="002A7A37"/>
    <w:rsid w:val="002A7E75"/>
    <w:rsid w:val="002B30B3"/>
    <w:rsid w:val="002B41E1"/>
    <w:rsid w:val="002F08EF"/>
    <w:rsid w:val="002F2A83"/>
    <w:rsid w:val="00342708"/>
    <w:rsid w:val="00371C27"/>
    <w:rsid w:val="00393638"/>
    <w:rsid w:val="003B4CC7"/>
    <w:rsid w:val="00406A8C"/>
    <w:rsid w:val="004179CD"/>
    <w:rsid w:val="0044554E"/>
    <w:rsid w:val="00480F8D"/>
    <w:rsid w:val="004A24F3"/>
    <w:rsid w:val="004B0533"/>
    <w:rsid w:val="004D594E"/>
    <w:rsid w:val="00523203"/>
    <w:rsid w:val="00523606"/>
    <w:rsid w:val="005467D6"/>
    <w:rsid w:val="00553B3B"/>
    <w:rsid w:val="00563341"/>
    <w:rsid w:val="005664C1"/>
    <w:rsid w:val="00570CB1"/>
    <w:rsid w:val="005754C5"/>
    <w:rsid w:val="005B5B2E"/>
    <w:rsid w:val="005B7B16"/>
    <w:rsid w:val="005C1D32"/>
    <w:rsid w:val="005D4024"/>
    <w:rsid w:val="00620389"/>
    <w:rsid w:val="00654382"/>
    <w:rsid w:val="00656BD8"/>
    <w:rsid w:val="00664197"/>
    <w:rsid w:val="00672665"/>
    <w:rsid w:val="006A1914"/>
    <w:rsid w:val="00742725"/>
    <w:rsid w:val="00742C47"/>
    <w:rsid w:val="0076418C"/>
    <w:rsid w:val="007B4E4C"/>
    <w:rsid w:val="007E4C6E"/>
    <w:rsid w:val="007E7F86"/>
    <w:rsid w:val="0080762F"/>
    <w:rsid w:val="00844A80"/>
    <w:rsid w:val="0088422A"/>
    <w:rsid w:val="00897A41"/>
    <w:rsid w:val="008B4023"/>
    <w:rsid w:val="008C5413"/>
    <w:rsid w:val="009025AA"/>
    <w:rsid w:val="00903313"/>
    <w:rsid w:val="00992EB4"/>
    <w:rsid w:val="0099399D"/>
    <w:rsid w:val="009C3CA0"/>
    <w:rsid w:val="00A106DB"/>
    <w:rsid w:val="00A34B1E"/>
    <w:rsid w:val="00A4027D"/>
    <w:rsid w:val="00A80F65"/>
    <w:rsid w:val="00A92D34"/>
    <w:rsid w:val="00AB6C6E"/>
    <w:rsid w:val="00B13F83"/>
    <w:rsid w:val="00B6146A"/>
    <w:rsid w:val="00B651D6"/>
    <w:rsid w:val="00B844C3"/>
    <w:rsid w:val="00B9496F"/>
    <w:rsid w:val="00B96BEA"/>
    <w:rsid w:val="00BA4A87"/>
    <w:rsid w:val="00BE45E0"/>
    <w:rsid w:val="00BF36DE"/>
    <w:rsid w:val="00BF6E72"/>
    <w:rsid w:val="00C4053F"/>
    <w:rsid w:val="00C413D4"/>
    <w:rsid w:val="00C44E0E"/>
    <w:rsid w:val="00C62CF4"/>
    <w:rsid w:val="00C8525C"/>
    <w:rsid w:val="00CA0471"/>
    <w:rsid w:val="00CC198C"/>
    <w:rsid w:val="00CF5E42"/>
    <w:rsid w:val="00D0037E"/>
    <w:rsid w:val="00D253BC"/>
    <w:rsid w:val="00E11B2C"/>
    <w:rsid w:val="00E37C08"/>
    <w:rsid w:val="00E430D3"/>
    <w:rsid w:val="00E573E3"/>
    <w:rsid w:val="00EB12BE"/>
    <w:rsid w:val="00F01384"/>
    <w:rsid w:val="00F12B58"/>
    <w:rsid w:val="00F1360D"/>
    <w:rsid w:val="00F3241B"/>
    <w:rsid w:val="00F60C6F"/>
    <w:rsid w:val="00F821C4"/>
    <w:rsid w:val="00F8313F"/>
    <w:rsid w:val="00F9059B"/>
    <w:rsid w:val="00F93E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04E96"/>
  <w15:docId w15:val="{D598C3DB-1A9F-4128-9C1B-89026B2F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EA"/>
    <w:pPr>
      <w:ind w:left="720"/>
      <w:contextualSpacing/>
    </w:pPr>
  </w:style>
  <w:style w:type="table" w:styleId="TableGrid">
    <w:name w:val="Table Grid"/>
    <w:basedOn w:val="TableNormal"/>
    <w:uiPriority w:val="39"/>
    <w:rsid w:val="0062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664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0639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39FB"/>
    <w:rPr>
      <w:rFonts w:ascii="Calibri" w:hAnsi="Calibri" w:cs="Calibri"/>
      <w:noProof/>
    </w:rPr>
  </w:style>
  <w:style w:type="paragraph" w:customStyle="1" w:styleId="EndNoteBibliography">
    <w:name w:val="EndNote Bibliography"/>
    <w:basedOn w:val="Normal"/>
    <w:link w:val="EndNoteBibliographyChar"/>
    <w:rsid w:val="000639F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639FB"/>
    <w:rPr>
      <w:rFonts w:ascii="Calibri" w:hAnsi="Calibri" w:cs="Calibri"/>
      <w:noProof/>
    </w:rPr>
  </w:style>
  <w:style w:type="paragraph" w:customStyle="1" w:styleId="preflight-heading">
    <w:name w:val="preflight-heading"/>
    <w:rsid w:val="00672665"/>
    <w:pPr>
      <w:spacing w:before="60" w:after="60"/>
    </w:pPr>
    <w:rPr>
      <w:b/>
      <w:color w:val="000000"/>
      <w:sz w:val="20"/>
    </w:rPr>
  </w:style>
  <w:style w:type="paragraph" w:customStyle="1" w:styleId="preflight-description">
    <w:name w:val="preflight-description"/>
    <w:rsid w:val="00672665"/>
    <w:pPr>
      <w:spacing w:before="60" w:after="60"/>
    </w:pPr>
    <w:rPr>
      <w:color w:val="000000"/>
      <w:sz w:val="20"/>
    </w:rPr>
  </w:style>
  <w:style w:type="paragraph" w:customStyle="1" w:styleId="preflight-link">
    <w:name w:val="preflight-link"/>
    <w:rsid w:val="00672665"/>
    <w:pPr>
      <w:spacing w:before="60" w:after="60"/>
    </w:pPr>
    <w:rPr>
      <w:color w:val="0000FF"/>
      <w:sz w:val="20"/>
      <w:u w:val="single"/>
    </w:rPr>
  </w:style>
  <w:style w:type="paragraph" w:customStyle="1" w:styleId="preflight-example">
    <w:name w:val="preflight-example"/>
    <w:rsid w:val="00672665"/>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4179C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179CD"/>
    <w:rPr>
      <w:rFonts w:ascii="Tahoma" w:hAnsi="Tahoma" w:cs="Tahoma"/>
      <w:sz w:val="18"/>
      <w:szCs w:val="18"/>
    </w:rPr>
  </w:style>
  <w:style w:type="character" w:styleId="Hyperlink">
    <w:name w:val="Hyperlink"/>
    <w:basedOn w:val="DefaultParagraphFont"/>
    <w:uiPriority w:val="99"/>
    <w:unhideWhenUsed/>
    <w:rsid w:val="002A7E75"/>
    <w:rPr>
      <w:color w:val="0563C1" w:themeColor="hyperlink"/>
      <w:u w:val="single"/>
    </w:rPr>
  </w:style>
  <w:style w:type="character" w:styleId="UnresolvedMention">
    <w:name w:val="Unresolved Mention"/>
    <w:basedOn w:val="DefaultParagraphFont"/>
    <w:uiPriority w:val="99"/>
    <w:semiHidden/>
    <w:unhideWhenUsed/>
    <w:rsid w:val="002A7E75"/>
    <w:rPr>
      <w:color w:val="605E5C"/>
      <w:shd w:val="clear" w:color="auto" w:fill="E1DFDD"/>
    </w:rPr>
  </w:style>
  <w:style w:type="paragraph" w:styleId="Header">
    <w:name w:val="header"/>
    <w:basedOn w:val="Normal"/>
    <w:link w:val="HeaderChar"/>
    <w:uiPriority w:val="99"/>
    <w:unhideWhenUsed/>
    <w:rsid w:val="00F6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F"/>
  </w:style>
  <w:style w:type="paragraph" w:styleId="Footer">
    <w:name w:val="footer"/>
    <w:basedOn w:val="Normal"/>
    <w:link w:val="FooterChar"/>
    <w:uiPriority w:val="99"/>
    <w:unhideWhenUsed/>
    <w:rsid w:val="00F6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5252</Words>
  <Characters>29943</Characters>
  <Application>Microsoft Office Word</Application>
  <DocSecurity>0</DocSecurity>
  <Lines>249</Lines>
  <Paragraphs>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13</cp:revision>
  <dcterms:created xsi:type="dcterms:W3CDTF">2025-11-12T18:35:00Z</dcterms:created>
  <dcterms:modified xsi:type="dcterms:W3CDTF">2025-11-21T11:34:00Z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documentId">
    <vt:lpwstr>realtime-27d54ac4-1933-475b-9f4a-76179cf978f2</vt:lpwstr>
  </property>
  <property fmtid="{D5CDD505-2E9C-101B-9397-08002B2CF9AE}" pid="3" name="preflight.processed">
    <vt:bool>true</vt:bool>
  </property>
  <property fmtid="{D5CDD505-2E9C-101B-9397-08002B2CF9AE}" pid="4" name="preflight.processedAt">
    <vt:lpwstr>2025-11-12T18:12:25.646610129Z</vt:lpwstr>
  </property>
</Properties>
</file>