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80CC" w14:textId="5CEE322A" w:rsidR="00F01658" w:rsidRPr="00F01658" w:rsidRDefault="00F01658" w:rsidP="00441B6F">
      <w:pPr>
        <w:pStyle w:val="Author"/>
        <w:spacing w:line="240" w:lineRule="auto"/>
        <w:jc w:val="both"/>
        <w:rPr>
          <w:rFonts w:ascii="Arial" w:hAnsi="Arial" w:cs="Arial"/>
          <w:bCs/>
          <w:iCs/>
          <w:kern w:val="28"/>
          <w:sz w:val="36"/>
          <w:u w:val="single"/>
        </w:rPr>
      </w:pPr>
      <w:r w:rsidRPr="00F01658">
        <w:rPr>
          <w:rFonts w:ascii="Arial" w:hAnsi="Arial" w:cs="Arial"/>
          <w:bCs/>
          <w:iCs/>
          <w:kern w:val="28"/>
          <w:sz w:val="36"/>
          <w:u w:val="single"/>
        </w:rPr>
        <w:t>Policy Article</w:t>
      </w:r>
    </w:p>
    <w:p w14:paraId="25375FFA" w14:textId="4CBC17B6" w:rsidR="00A258C3" w:rsidRDefault="00B65584" w:rsidP="00441B6F">
      <w:pPr>
        <w:pStyle w:val="Author"/>
        <w:spacing w:line="240" w:lineRule="auto"/>
        <w:jc w:val="both"/>
        <w:rPr>
          <w:rFonts w:ascii="Arial" w:hAnsi="Arial" w:cs="Arial"/>
          <w:bCs/>
          <w:iCs/>
          <w:kern w:val="28"/>
          <w:sz w:val="36"/>
        </w:rPr>
      </w:pPr>
      <w:r w:rsidRPr="00B65584">
        <w:rPr>
          <w:rFonts w:ascii="Arial" w:hAnsi="Arial" w:cs="Arial"/>
          <w:bCs/>
          <w:iCs/>
          <w:kern w:val="28"/>
          <w:sz w:val="36"/>
        </w:rPr>
        <w:t>Policy on Integrating Soil Health into Climate and Carbon Market Frameworks: A Pathway to Resilient Food Systems and Verified Carbon Drawdown</w:t>
      </w:r>
    </w:p>
    <w:p w14:paraId="5ACEAA71" w14:textId="77777777" w:rsidR="00115995" w:rsidRPr="00790ADA" w:rsidRDefault="00115995" w:rsidP="00441B6F">
      <w:pPr>
        <w:pStyle w:val="Author"/>
        <w:spacing w:line="240" w:lineRule="auto"/>
        <w:jc w:val="both"/>
        <w:rPr>
          <w:rFonts w:ascii="Arial" w:hAnsi="Arial" w:cs="Arial"/>
          <w:sz w:val="36"/>
        </w:rPr>
      </w:pPr>
    </w:p>
    <w:p w14:paraId="759FC0B9" w14:textId="77777777" w:rsidR="00F01658" w:rsidRDefault="00F01658" w:rsidP="00B65584">
      <w:pPr>
        <w:pStyle w:val="Affiliation"/>
        <w:spacing w:after="0" w:line="240" w:lineRule="auto"/>
        <w:rPr>
          <w:rFonts w:ascii="Arial" w:hAnsi="Arial" w:cs="Arial"/>
        </w:rPr>
      </w:pPr>
    </w:p>
    <w:p w14:paraId="07B93BA2" w14:textId="77777777" w:rsidR="002C57D2" w:rsidRPr="00FB3A86" w:rsidRDefault="002C57D2" w:rsidP="00B65584">
      <w:pPr>
        <w:pStyle w:val="Affiliation"/>
        <w:spacing w:after="0" w:line="240" w:lineRule="auto"/>
        <w:rPr>
          <w:rFonts w:ascii="Arial" w:hAnsi="Arial" w:cs="Arial"/>
        </w:rPr>
      </w:pPr>
    </w:p>
    <w:p w14:paraId="68315B17" w14:textId="77777777" w:rsidR="00B01FCD" w:rsidRPr="00FB3A86" w:rsidRDefault="00000000" w:rsidP="00B65584">
      <w:pPr>
        <w:pStyle w:val="Copyright"/>
        <w:spacing w:after="0" w:line="240" w:lineRule="auto"/>
        <w:jc w:val="right"/>
        <w:rPr>
          <w:rFonts w:ascii="Arial" w:hAnsi="Arial" w:cs="Arial"/>
        </w:rPr>
        <w:sectPr w:rsidR="00B01FCD" w:rsidRPr="00FB3A86" w:rsidSect="00C540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3B939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8065C2"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70663B7" w14:textId="77777777" w:rsidTr="001E44FE">
        <w:tc>
          <w:tcPr>
            <w:tcW w:w="9576" w:type="dxa"/>
            <w:shd w:val="clear" w:color="auto" w:fill="F2F2F2"/>
          </w:tcPr>
          <w:p w14:paraId="00CCAC9B" w14:textId="2A85E1E8" w:rsidR="00505F06" w:rsidRPr="00BA1B01" w:rsidRDefault="00B65584" w:rsidP="00F94903">
            <w:pPr>
              <w:pStyle w:val="Body"/>
              <w:rPr>
                <w:rFonts w:ascii="Arial" w:eastAsia="Calibri" w:hAnsi="Arial" w:cs="Arial"/>
                <w:szCs w:val="22"/>
              </w:rPr>
            </w:pPr>
            <w:r w:rsidRPr="00B65584">
              <w:rPr>
                <w:rFonts w:ascii="Arial" w:eastAsia="Calibri" w:hAnsi="Arial" w:cs="Arial"/>
                <w:szCs w:val="22"/>
              </w:rPr>
              <w:t xml:space="preserve">The climate crisis necessitates urgent and multifaceted strategies for mitigating greenhouse gas (GHG) emissions. While energy transition dominates discourse, the terrestrial biosphere, and agricultural soils in particular, represent a critical and </w:t>
            </w:r>
            <w:proofErr w:type="spellStart"/>
            <w:r w:rsidR="006774C7" w:rsidRPr="00F94903">
              <w:rPr>
                <w:rFonts w:ascii="Arial" w:eastAsia="Calibri" w:hAnsi="Arial" w:cs="Arial"/>
                <w:szCs w:val="22"/>
                <w:highlight w:val="yellow"/>
              </w:rPr>
              <w:t>underutilised</w:t>
            </w:r>
            <w:proofErr w:type="spellEnd"/>
            <w:r w:rsidR="006774C7" w:rsidRPr="00B65584">
              <w:rPr>
                <w:rFonts w:ascii="Arial" w:eastAsia="Calibri" w:hAnsi="Arial" w:cs="Arial"/>
                <w:szCs w:val="22"/>
              </w:rPr>
              <w:t xml:space="preserve"> </w:t>
            </w:r>
            <w:r w:rsidRPr="00B65584">
              <w:rPr>
                <w:rFonts w:ascii="Arial" w:eastAsia="Calibri" w:hAnsi="Arial" w:cs="Arial"/>
                <w:szCs w:val="22"/>
              </w:rPr>
              <w:t xml:space="preserve">sink for atmospheric carbon. </w:t>
            </w:r>
            <w:r w:rsidR="00F718B2">
              <w:rPr>
                <w:rFonts w:ascii="Arial" w:eastAsia="Calibri" w:hAnsi="Arial" w:cs="Arial"/>
                <w:szCs w:val="22"/>
                <w:highlight w:val="yellow"/>
              </w:rPr>
              <w:t>The study aims</w:t>
            </w:r>
            <w:r w:rsidR="00F718B2" w:rsidRPr="00F94903">
              <w:rPr>
                <w:rFonts w:ascii="Arial" w:eastAsia="Calibri" w:hAnsi="Arial" w:cs="Arial"/>
                <w:szCs w:val="22"/>
                <w:highlight w:val="yellow"/>
              </w:rPr>
              <w:t xml:space="preserve"> to explore how integrating soil health practices into climate and carbon market frameworks can enhance food system resilience while ensuring verified carbon sequestration.</w:t>
            </w:r>
            <w:r w:rsidR="00F718B2">
              <w:rPr>
                <w:rFonts w:ascii="Arial" w:eastAsia="Calibri" w:hAnsi="Arial" w:cs="Arial"/>
                <w:szCs w:val="22"/>
                <w:highlight w:val="yellow"/>
              </w:rPr>
              <w:t xml:space="preserve"> </w:t>
            </w:r>
            <w:r w:rsidRPr="00B65584">
              <w:rPr>
                <w:rFonts w:ascii="Arial" w:eastAsia="Calibri" w:hAnsi="Arial" w:cs="Arial"/>
                <w:szCs w:val="22"/>
              </w:rPr>
              <w:t xml:space="preserve">This policy paper argues for the systematic integration of soil health principles into national climate policies and international carbon market frameworks. We detail the scientific rationale behind soil carbon sequestration, highlighting its co-benefits for agricultural resilience, water security, and biodiversity. The paper examines the current challenges within voluntary carbon markets (VCMs), including issues related to measurement, monitoring, reporting, and verification (MMRV), permanence, leakage, and additionality. We present a suite of policy recommendations aimed at governments, standard-setting bodies, and private market participants to overcome these barriers. By adopting a "soil-health-first" approach that values ecosystem services beyond carbon, we can unlock a powerful, natural climate solution that supports both planetary health and agricultural livelihoods. Data from key studies accentuate the significant potential, estimating global soil carbon sequestration capacity at 2-5 Gt </w:t>
            </w:r>
            <w:proofErr w:type="spellStart"/>
            <w:r w:rsidRPr="00B65584">
              <w:rPr>
                <w:rFonts w:ascii="Arial" w:eastAsia="Calibri" w:hAnsi="Arial" w:cs="Arial"/>
                <w:szCs w:val="22"/>
              </w:rPr>
              <w:t>CO</w:t>
            </w:r>
            <w:r w:rsidRPr="00B65584">
              <w:rPr>
                <w:rFonts w:ascii="Cambria Math" w:eastAsia="Calibri" w:hAnsi="Cambria Math" w:cs="Cambria Math"/>
                <w:szCs w:val="22"/>
              </w:rPr>
              <w:t>₂</w:t>
            </w:r>
            <w:r w:rsidRPr="00B65584">
              <w:rPr>
                <w:rFonts w:ascii="Arial" w:eastAsia="Calibri" w:hAnsi="Arial" w:cs="Arial"/>
                <w:szCs w:val="22"/>
              </w:rPr>
              <w:t>e</w:t>
            </w:r>
            <w:proofErr w:type="spellEnd"/>
            <w:r w:rsidRPr="00B65584">
              <w:rPr>
                <w:rFonts w:ascii="Arial" w:eastAsia="Calibri" w:hAnsi="Arial" w:cs="Arial"/>
                <w:szCs w:val="22"/>
              </w:rPr>
              <w:t xml:space="preserve"> per year.</w:t>
            </w:r>
            <w:r w:rsidR="009D643B">
              <w:rPr>
                <w:rFonts w:ascii="Arial" w:eastAsia="Calibri" w:hAnsi="Arial" w:cs="Arial"/>
                <w:szCs w:val="22"/>
              </w:rPr>
              <w:t xml:space="preserve"> </w:t>
            </w:r>
            <w:r w:rsidR="009D643B" w:rsidRPr="00F94903">
              <w:rPr>
                <w:rFonts w:ascii="Arial" w:eastAsia="Calibri" w:hAnsi="Arial" w:cs="Arial"/>
                <w:szCs w:val="22"/>
                <w:highlight w:val="yellow"/>
              </w:rPr>
              <w:t xml:space="preserve">Soil health is not a silver bullet for the climate crisis, but it is a foundational element of any successful strategy to achieve a net-zero future. By adopting the recommendations outlined in this paper, stakeholders can unlock the immense potential of the earth beneath our feet to help </w:t>
            </w:r>
            <w:proofErr w:type="spellStart"/>
            <w:r w:rsidR="006774C7" w:rsidRPr="00F94903">
              <w:rPr>
                <w:rFonts w:ascii="Arial" w:eastAsia="Calibri" w:hAnsi="Arial" w:cs="Arial"/>
                <w:szCs w:val="22"/>
                <w:highlight w:val="yellow"/>
              </w:rPr>
              <w:t>stabilise</w:t>
            </w:r>
            <w:proofErr w:type="spellEnd"/>
            <w:r w:rsidR="009D643B" w:rsidRPr="00F94903">
              <w:rPr>
                <w:rFonts w:ascii="Arial" w:eastAsia="Calibri" w:hAnsi="Arial" w:cs="Arial"/>
                <w:szCs w:val="22"/>
                <w:highlight w:val="yellow"/>
              </w:rPr>
              <w:t xml:space="preserve"> the atmosphere above it. The time to invest in soil health is now.</w:t>
            </w:r>
          </w:p>
        </w:tc>
      </w:tr>
    </w:tbl>
    <w:p w14:paraId="5B2C402B" w14:textId="77777777" w:rsidR="00636EB2" w:rsidRDefault="00636EB2" w:rsidP="00441B6F">
      <w:pPr>
        <w:pStyle w:val="Body"/>
        <w:spacing w:after="0"/>
        <w:rPr>
          <w:rFonts w:ascii="Arial" w:hAnsi="Arial" w:cs="Arial"/>
          <w:i/>
        </w:rPr>
      </w:pPr>
    </w:p>
    <w:p w14:paraId="4BA68B03" w14:textId="77777777" w:rsidR="00790ADA" w:rsidRDefault="00A24E7E" w:rsidP="00441B6F">
      <w:pPr>
        <w:pStyle w:val="Body"/>
        <w:spacing w:after="0"/>
        <w:rPr>
          <w:rFonts w:ascii="Arial" w:hAnsi="Arial" w:cs="Arial"/>
          <w:i/>
        </w:rPr>
      </w:pPr>
      <w:r>
        <w:rPr>
          <w:rFonts w:ascii="Arial" w:hAnsi="Arial" w:cs="Arial"/>
          <w:i/>
        </w:rPr>
        <w:t xml:space="preserve">Keywords: </w:t>
      </w:r>
      <w:r w:rsidR="00B65584" w:rsidRPr="00B65584">
        <w:rPr>
          <w:rFonts w:ascii="Arial" w:hAnsi="Arial" w:cs="Arial"/>
          <w:i/>
        </w:rPr>
        <w:t>Carbon Markets,</w:t>
      </w:r>
      <w:r w:rsidR="00B65584">
        <w:rPr>
          <w:rFonts w:ascii="Arial" w:hAnsi="Arial" w:cs="Arial"/>
          <w:i/>
        </w:rPr>
        <w:t xml:space="preserve"> </w:t>
      </w:r>
      <w:r w:rsidR="00B65584" w:rsidRPr="00B65584">
        <w:rPr>
          <w:rFonts w:ascii="Arial" w:hAnsi="Arial" w:cs="Arial"/>
          <w:i/>
        </w:rPr>
        <w:t>Climate Policy, Regenerative Agriculture, Soil Carbon Sequestration, Soil Health</w:t>
      </w:r>
    </w:p>
    <w:p w14:paraId="4F2FC050" w14:textId="77777777" w:rsidR="00B52896" w:rsidRDefault="00B52896" w:rsidP="00441B6F">
      <w:pPr>
        <w:pStyle w:val="Body"/>
        <w:spacing w:after="0"/>
        <w:rPr>
          <w:rFonts w:ascii="Arial" w:hAnsi="Arial" w:cs="Arial"/>
          <w:i/>
          <w:sz w:val="18"/>
        </w:rPr>
      </w:pPr>
    </w:p>
    <w:p w14:paraId="75F1AF2D" w14:textId="77777777" w:rsidR="0024282C" w:rsidRDefault="0024282C" w:rsidP="00441B6F">
      <w:pPr>
        <w:pStyle w:val="Body"/>
        <w:spacing w:after="0"/>
        <w:rPr>
          <w:rFonts w:ascii="Arial" w:hAnsi="Arial" w:cs="Arial"/>
          <w:i/>
          <w:sz w:val="18"/>
        </w:rPr>
      </w:pPr>
    </w:p>
    <w:p w14:paraId="53DA43B0" w14:textId="77777777" w:rsidR="00505F06" w:rsidRPr="00A24E7E" w:rsidRDefault="00505F06" w:rsidP="00441B6F">
      <w:pPr>
        <w:pStyle w:val="Body"/>
        <w:spacing w:after="0"/>
        <w:rPr>
          <w:rFonts w:ascii="Arial" w:hAnsi="Arial" w:cs="Arial"/>
          <w:i/>
        </w:rPr>
      </w:pPr>
    </w:p>
    <w:p w14:paraId="776397F7" w14:textId="7AAD6D3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2C9E78D" w14:textId="77777777" w:rsidR="00790ADA" w:rsidRPr="00FB3A86" w:rsidRDefault="00790ADA" w:rsidP="00441B6F">
      <w:pPr>
        <w:pStyle w:val="AbstHead"/>
        <w:spacing w:after="0"/>
        <w:jc w:val="both"/>
        <w:rPr>
          <w:rFonts w:ascii="Arial" w:hAnsi="Arial" w:cs="Arial"/>
        </w:rPr>
      </w:pPr>
    </w:p>
    <w:p w14:paraId="56C4D9C6" w14:textId="6D384850" w:rsidR="00B65584" w:rsidRPr="00457596" w:rsidRDefault="00B65584" w:rsidP="00B65584">
      <w:pPr>
        <w:spacing w:after="120"/>
        <w:jc w:val="both"/>
        <w:rPr>
          <w:rFonts w:ascii="Arial" w:hAnsi="Arial" w:cs="Arial"/>
        </w:rPr>
      </w:pPr>
      <w:r w:rsidRPr="00457596">
        <w:rPr>
          <w:rFonts w:ascii="Arial" w:hAnsi="Arial" w:cs="Arial"/>
        </w:rPr>
        <w:t xml:space="preserve">Recent assessments by the Intergovernmental Panel on Climate Change (IPCC) underscore that limiting global warming to 1.5°C above pre-industrial levels necessitates both immediate, substantial reductions in greenhouse gas (GHG) emissions and the removal of billions of tons of historical carbon dioxide from the atmosphere (IPCC, 2022). This dual imperative of mitigation and carbon dioxide removal (CDR) has intensified the search for scalable, cost-effective, and environmentally sustainable strategies. Although technological solutions such as direct air capture are progressing, they remain energy-intensive and costly at scale. In this context, enhancing the natural carbon sequestration capacity of global soils </w:t>
      </w:r>
      <w:r w:rsidRPr="00457596">
        <w:rPr>
          <w:rFonts w:ascii="Arial" w:hAnsi="Arial" w:cs="Arial"/>
        </w:rPr>
        <w:lastRenderedPageBreak/>
        <w:t xml:space="preserve">has re-emerged as a critical yet </w:t>
      </w:r>
      <w:proofErr w:type="spellStart"/>
      <w:r w:rsidR="009D643B" w:rsidRPr="00F94903">
        <w:rPr>
          <w:rFonts w:ascii="Arial" w:hAnsi="Arial" w:cs="Arial"/>
          <w:highlight w:val="yellow"/>
        </w:rPr>
        <w:t>underutilised</w:t>
      </w:r>
      <w:proofErr w:type="spellEnd"/>
      <w:r w:rsidR="009D643B" w:rsidRPr="00457596">
        <w:rPr>
          <w:rFonts w:ascii="Arial" w:hAnsi="Arial" w:cs="Arial"/>
        </w:rPr>
        <w:t xml:space="preserve"> </w:t>
      </w:r>
      <w:r w:rsidRPr="00457596">
        <w:rPr>
          <w:rFonts w:ascii="Arial" w:hAnsi="Arial" w:cs="Arial"/>
        </w:rPr>
        <w:t>opportunity. Soils constitute the largest terrestrial carbon pool, storing more carbon than the atmosphere and vegetation combined, which positions soil management as a central mechanism in the global carbon cycle (Amundson &amp; Biardeau, 2018).</w:t>
      </w:r>
      <w:r w:rsidR="009D643B">
        <w:rPr>
          <w:rFonts w:ascii="Arial" w:hAnsi="Arial" w:cs="Arial"/>
        </w:rPr>
        <w:t xml:space="preserve"> </w:t>
      </w:r>
      <w:r w:rsidR="009D643B" w:rsidRPr="00F94903">
        <w:rPr>
          <w:rFonts w:ascii="Arial" w:hAnsi="Arial" w:cs="Arial"/>
          <w:highlight w:val="yellow"/>
        </w:rPr>
        <w:t xml:space="preserve">However, soil is a significant carbon sink that contributes to </w:t>
      </w:r>
      <w:r w:rsidR="009D643B" w:rsidRPr="00F94903">
        <w:rPr>
          <w:rFonts w:ascii="Arial" w:hAnsi="Arial" w:cs="Arial"/>
          <w:highlight w:val="yellow"/>
        </w:rPr>
        <w:t>combating</w:t>
      </w:r>
      <w:r w:rsidR="009D643B" w:rsidRPr="00F94903">
        <w:rPr>
          <w:rFonts w:ascii="Arial" w:hAnsi="Arial" w:cs="Arial"/>
          <w:highlight w:val="yellow"/>
        </w:rPr>
        <w:t xml:space="preserve"> global warming by trapping significant quantities of carbon from the atmosphere. However, the </w:t>
      </w:r>
      <w:r w:rsidR="009D643B" w:rsidRPr="00F94903">
        <w:rPr>
          <w:rFonts w:ascii="Arial" w:hAnsi="Arial" w:cs="Arial"/>
          <w:highlight w:val="yellow"/>
        </w:rPr>
        <w:t>role</w:t>
      </w:r>
      <w:r w:rsidR="009D643B" w:rsidRPr="00F94903">
        <w:rPr>
          <w:rFonts w:ascii="Arial" w:hAnsi="Arial" w:cs="Arial"/>
          <w:highlight w:val="yellow"/>
        </w:rPr>
        <w:t xml:space="preserve"> soil carbon sequestration plays in achieving the goals of the global climate </w:t>
      </w:r>
      <w:proofErr w:type="spellStart"/>
      <w:r w:rsidR="009D643B" w:rsidRPr="00F94903">
        <w:rPr>
          <w:rFonts w:ascii="Arial" w:hAnsi="Arial" w:cs="Arial"/>
          <w:highlight w:val="yellow"/>
        </w:rPr>
        <w:t>emphasises</w:t>
      </w:r>
      <w:proofErr w:type="spellEnd"/>
      <w:r w:rsidR="009D643B" w:rsidRPr="00F94903">
        <w:rPr>
          <w:rFonts w:ascii="Arial" w:hAnsi="Arial" w:cs="Arial"/>
          <w:highlight w:val="yellow"/>
        </w:rPr>
        <w:t xml:space="preserve"> how crucial it is to lower greenhouse gas (GHG) emissions while improving soil health and production</w:t>
      </w:r>
      <w:r w:rsidR="009D643B">
        <w:rPr>
          <w:rFonts w:ascii="Arial" w:hAnsi="Arial" w:cs="Arial"/>
          <w:highlight w:val="yellow"/>
        </w:rPr>
        <w:t xml:space="preserve"> </w:t>
      </w:r>
      <w:r w:rsidR="009D643B" w:rsidRPr="00F94903">
        <w:rPr>
          <w:rFonts w:ascii="Arial" w:hAnsi="Arial" w:cs="Arial"/>
          <w:highlight w:val="yellow"/>
        </w:rPr>
        <w:t xml:space="preserve">(Kumar </w:t>
      </w:r>
      <w:r w:rsidR="009D643B" w:rsidRPr="00F94903">
        <w:rPr>
          <w:rFonts w:ascii="Arial" w:hAnsi="Arial" w:cs="Arial"/>
          <w:i/>
          <w:iCs/>
          <w:highlight w:val="yellow"/>
        </w:rPr>
        <w:t>et al</w:t>
      </w:r>
      <w:r w:rsidR="009D643B" w:rsidRPr="00F94903">
        <w:rPr>
          <w:rFonts w:ascii="Arial" w:hAnsi="Arial" w:cs="Arial"/>
          <w:highlight w:val="yellow"/>
        </w:rPr>
        <w:t>., 2025).</w:t>
      </w:r>
      <w:r w:rsidR="009D643B" w:rsidRPr="009D643B">
        <w:rPr>
          <w:rFonts w:ascii="Arial" w:hAnsi="Arial" w:cs="Arial"/>
        </w:rPr>
        <w:t xml:space="preserve"> </w:t>
      </w:r>
    </w:p>
    <w:p w14:paraId="58E35AB1" w14:textId="4B219C45" w:rsidR="00B65584" w:rsidRPr="00457596" w:rsidRDefault="00B65584" w:rsidP="00B65584">
      <w:pPr>
        <w:spacing w:after="120"/>
        <w:jc w:val="both"/>
        <w:rPr>
          <w:rFonts w:ascii="Arial" w:hAnsi="Arial" w:cs="Arial"/>
        </w:rPr>
      </w:pPr>
      <w:r w:rsidRPr="00457596">
        <w:rPr>
          <w:rFonts w:ascii="Arial" w:hAnsi="Arial" w:cs="Arial"/>
        </w:rPr>
        <w:t xml:space="preserve">Soil organic carbon (SOC) forms the foundation of soil organic matter, regulating key functions such as nutrient cycling, water infiltration and retention, and structural stability. SOC is fundamental to agricultural productivity and ecosystem health. </w:t>
      </w:r>
      <w:r w:rsidR="00C60A35" w:rsidRPr="00F94903">
        <w:rPr>
          <w:rFonts w:ascii="Arial" w:hAnsi="Arial" w:cs="Arial"/>
          <w:highlight w:val="yellow"/>
        </w:rPr>
        <w:t xml:space="preserve">(SOC) holds a key part </w:t>
      </w:r>
      <w:r w:rsidR="00C60A35" w:rsidRPr="00F94903">
        <w:rPr>
          <w:rFonts w:ascii="Arial" w:hAnsi="Arial" w:cs="Arial"/>
          <w:highlight w:val="yellow"/>
        </w:rPr>
        <w:t>in</w:t>
      </w:r>
      <w:r w:rsidR="00C60A35" w:rsidRPr="00F94903">
        <w:rPr>
          <w:rFonts w:ascii="Arial" w:hAnsi="Arial" w:cs="Arial"/>
          <w:highlight w:val="yellow"/>
        </w:rPr>
        <w:t xml:space="preserve"> the </w:t>
      </w:r>
      <w:r w:rsidR="00C60A35" w:rsidRPr="00F94903">
        <w:rPr>
          <w:rFonts w:ascii="Arial" w:hAnsi="Arial" w:cs="Arial"/>
          <w:highlight w:val="yellow"/>
        </w:rPr>
        <w:t>carbon cycle</w:t>
      </w:r>
      <w:r w:rsidR="00C60A35" w:rsidRPr="00F94903">
        <w:rPr>
          <w:rFonts w:ascii="Arial" w:hAnsi="Arial" w:cs="Arial"/>
          <w:highlight w:val="yellow"/>
        </w:rPr>
        <w:t>, as at a 1 m depth, soils store about 1500 Gt C, being the largest terrestrial carbon pool. Therefore, carbon sequestration could potentially mitigate climate change</w:t>
      </w:r>
      <w:r w:rsidR="00C60A35" w:rsidRPr="00F94903">
        <w:rPr>
          <w:rFonts w:ascii="Arial" w:hAnsi="Arial" w:cs="Arial"/>
          <w:highlight w:val="yellow"/>
        </w:rPr>
        <w:t>,</w:t>
      </w:r>
      <w:r w:rsidR="00C60A35" w:rsidRPr="00F94903">
        <w:rPr>
          <w:rFonts w:ascii="Arial" w:hAnsi="Arial" w:cs="Arial"/>
          <w:highlight w:val="yellow"/>
        </w:rPr>
        <w:t xml:space="preserve"> as highlighted by the “4 per 1000 initiative” at the 21st conference of the parties to the United Nations Framework Convention on Climate Change (COP21)</w:t>
      </w:r>
      <w:r w:rsidR="009D643B" w:rsidRPr="00F94903">
        <w:rPr>
          <w:rFonts w:ascii="Arial" w:hAnsi="Arial" w:cs="Arial"/>
          <w:highlight w:val="yellow"/>
        </w:rPr>
        <w:t>. An</w:t>
      </w:r>
      <w:r w:rsidR="00C60A35" w:rsidRPr="00F94903">
        <w:rPr>
          <w:rFonts w:ascii="Arial" w:hAnsi="Arial" w:cs="Arial"/>
          <w:highlight w:val="yellow"/>
        </w:rPr>
        <w:t xml:space="preserve"> increase of 0.4% per year would be considerably beneficial for </w:t>
      </w:r>
      <w:r w:rsidR="00C60A35" w:rsidRPr="00F94903">
        <w:rPr>
          <w:rFonts w:ascii="Arial" w:hAnsi="Arial" w:cs="Arial"/>
          <w:highlight w:val="yellow"/>
        </w:rPr>
        <w:t xml:space="preserve">the </w:t>
      </w:r>
      <w:r w:rsidR="00C60A35" w:rsidRPr="00F94903">
        <w:rPr>
          <w:rFonts w:ascii="Arial" w:hAnsi="Arial" w:cs="Arial"/>
          <w:highlight w:val="yellow"/>
        </w:rPr>
        <w:t>reduction of GHG emissions</w:t>
      </w:r>
      <w:r w:rsidR="009D643B" w:rsidRPr="00F94903">
        <w:rPr>
          <w:rFonts w:ascii="Arial" w:hAnsi="Arial" w:cs="Arial"/>
          <w:highlight w:val="yellow"/>
        </w:rPr>
        <w:t xml:space="preserve"> </w:t>
      </w:r>
      <w:r w:rsidR="009D643B" w:rsidRPr="00F94903">
        <w:rPr>
          <w:rFonts w:ascii="Arial" w:hAnsi="Arial" w:cs="Arial"/>
          <w:highlight w:val="yellow"/>
        </w:rPr>
        <w:t xml:space="preserve">Angelopoulou </w:t>
      </w:r>
      <w:r w:rsidR="009D643B" w:rsidRPr="00F94903">
        <w:rPr>
          <w:rFonts w:ascii="Arial" w:hAnsi="Arial" w:cs="Arial"/>
          <w:i/>
          <w:iCs/>
          <w:highlight w:val="yellow"/>
        </w:rPr>
        <w:t>et al</w:t>
      </w:r>
      <w:r w:rsidR="009D643B" w:rsidRPr="00F94903">
        <w:rPr>
          <w:rFonts w:ascii="Arial" w:hAnsi="Arial" w:cs="Arial"/>
          <w:highlight w:val="yellow"/>
        </w:rPr>
        <w:t>., 2019</w:t>
      </w:r>
      <w:r w:rsidR="009D643B">
        <w:rPr>
          <w:rFonts w:ascii="Arial" w:hAnsi="Arial" w:cs="Arial"/>
          <w:highlight w:val="yellow"/>
        </w:rPr>
        <w:t xml:space="preserve">; </w:t>
      </w:r>
      <w:r w:rsidR="009D643B" w:rsidRPr="00F94903">
        <w:rPr>
          <w:rFonts w:ascii="Arial" w:hAnsi="Arial" w:cs="Arial"/>
          <w:highlight w:val="yellow"/>
        </w:rPr>
        <w:t xml:space="preserve">Yost &amp; </w:t>
      </w:r>
      <w:proofErr w:type="spellStart"/>
      <w:r w:rsidR="009D643B" w:rsidRPr="00F94903">
        <w:rPr>
          <w:rFonts w:ascii="Arial" w:hAnsi="Arial" w:cs="Arial"/>
          <w:highlight w:val="yellow"/>
        </w:rPr>
        <w:t>Hartemink</w:t>
      </w:r>
      <w:proofErr w:type="spellEnd"/>
      <w:r w:rsidR="009D643B" w:rsidRPr="00F94903">
        <w:rPr>
          <w:rFonts w:ascii="Arial" w:hAnsi="Arial" w:cs="Arial"/>
          <w:highlight w:val="yellow"/>
        </w:rPr>
        <w:t>, 2019)</w:t>
      </w:r>
      <w:r w:rsidR="00C60A35" w:rsidRPr="00F94903">
        <w:rPr>
          <w:rFonts w:ascii="Arial" w:hAnsi="Arial" w:cs="Arial"/>
          <w:highlight w:val="yellow"/>
        </w:rPr>
        <w:t>.</w:t>
      </w:r>
      <w:r w:rsidR="00C60A35">
        <w:rPr>
          <w:rFonts w:ascii="Arial" w:hAnsi="Arial" w:cs="Arial"/>
        </w:rPr>
        <w:t xml:space="preserve"> </w:t>
      </w:r>
      <w:proofErr w:type="spellStart"/>
      <w:r w:rsidRPr="00457596">
        <w:rPr>
          <w:rFonts w:ascii="Arial" w:hAnsi="Arial" w:cs="Arial"/>
        </w:rPr>
        <w:t>However</w:t>
      </w:r>
      <w:proofErr w:type="spellEnd"/>
      <w:r w:rsidRPr="00457596">
        <w:rPr>
          <w:rFonts w:ascii="Arial" w:hAnsi="Arial" w:cs="Arial"/>
        </w:rPr>
        <w:t>, extensive agricultural expansion and prolonged industrial practices, including excessive tillage, monocropping, and heavy reliance on synthetic inputs, have significantly degraded global soils. This degradation has resulted in substantial depletion of SOC stocks, releasing large amounts of CO</w:t>
      </w:r>
      <w:r w:rsidRPr="00457596">
        <w:rPr>
          <w:rFonts w:ascii="Times New Roman" w:hAnsi="Times New Roman" w:cs="Arial"/>
        </w:rPr>
        <w:t>₂</w:t>
      </w:r>
      <w:r w:rsidRPr="00457596">
        <w:rPr>
          <w:rFonts w:ascii="Arial" w:hAnsi="Arial" w:cs="Arial"/>
        </w:rPr>
        <w:t xml:space="preserve"> into the atmosphere and reducing land productivity (Lal, 2004). The resulting carbon debt in global agricultural lands presents a significant opportunity for restoration and serves as a potent natural climate solution. Research indicates that global soils could sequester a considerable portion of annual anthropogenic CO</w:t>
      </w:r>
      <w:r w:rsidRPr="00457596">
        <w:rPr>
          <w:rFonts w:ascii="Times New Roman" w:hAnsi="Times New Roman" w:cs="Arial"/>
        </w:rPr>
        <w:t>₂</w:t>
      </w:r>
      <w:r w:rsidRPr="00457596">
        <w:rPr>
          <w:rFonts w:ascii="Arial" w:hAnsi="Arial" w:cs="Arial"/>
        </w:rPr>
        <w:t xml:space="preserve"> emissions through widespread adoption of improved management practices (Paustian et al., 2016).</w:t>
      </w:r>
    </w:p>
    <w:p w14:paraId="251B295F" w14:textId="77777777" w:rsidR="00B65584" w:rsidRPr="00457596" w:rsidRDefault="00B65584" w:rsidP="00B65584">
      <w:pPr>
        <w:spacing w:after="120"/>
        <w:jc w:val="both"/>
        <w:rPr>
          <w:rFonts w:ascii="Arial" w:hAnsi="Arial" w:cs="Arial"/>
        </w:rPr>
      </w:pPr>
      <w:r w:rsidRPr="00457596">
        <w:rPr>
          <w:rFonts w:ascii="Arial" w:hAnsi="Arial" w:cs="Arial"/>
        </w:rPr>
        <w:t>This paper contends that integrating soil health into the core of climate policy and carbon finance is not merely an optional add-on but an essential strategy for achieving net-zero emissions and building systemic resilience. We define soil health as the continued capacity of soil to function as a vital living ecosystem that sustains plants, animals, and humans (Lehmann et al., 2020). This definition moves beyond a simple chemical-input-output model to encompass the biological complexity and physical structure that underpin a soil's functionality. A soil-health-centric approach offers a synergistic pathway that addresses multiple challenges simultaneously: it mitigates climate change by drawing down atmospheric carbon, adapts to its impacts by creating more resilient agroecosystems buffered against drought and deluge, enhances food security by improving yields and reducing input dependency, and safeguards biodiversity by restoring habitat below and above ground.</w:t>
      </w:r>
    </w:p>
    <w:p w14:paraId="1E0ED8A9" w14:textId="77777777" w:rsidR="00B65584" w:rsidRPr="009B50B8" w:rsidRDefault="00B65584" w:rsidP="00B65584">
      <w:pPr>
        <w:jc w:val="both"/>
        <w:rPr>
          <w:rFonts w:ascii="Arial" w:hAnsi="Arial" w:cs="Arial"/>
        </w:rPr>
      </w:pPr>
    </w:p>
    <w:p w14:paraId="3A9A993F" w14:textId="77777777" w:rsidR="00B65584" w:rsidRPr="009B50B8" w:rsidRDefault="00B65584" w:rsidP="00B65584">
      <w:pPr>
        <w:jc w:val="both"/>
        <w:rPr>
          <w:rFonts w:ascii="Arial" w:hAnsi="Arial" w:cs="Arial"/>
          <w:b/>
          <w:bCs/>
        </w:rPr>
      </w:pPr>
      <w:r w:rsidRPr="009B50B8">
        <w:rPr>
          <w:rFonts w:ascii="Arial" w:hAnsi="Arial" w:cs="Arial"/>
          <w:b/>
          <w:bCs/>
        </w:rPr>
        <w:t xml:space="preserve"> </w:t>
      </w:r>
      <w:r w:rsidRPr="00B65584">
        <w:rPr>
          <w:rFonts w:ascii="Arial" w:hAnsi="Arial" w:cs="Arial"/>
          <w:b/>
          <w:bCs/>
          <w:sz w:val="22"/>
        </w:rPr>
        <w:t>2. THE RATIONALE FOR SOIL-CENTRIC CLIMATE POLICY</w:t>
      </w:r>
    </w:p>
    <w:p w14:paraId="57F5D529" w14:textId="77777777" w:rsidR="00B65584" w:rsidRPr="009B50B8" w:rsidRDefault="00B65584" w:rsidP="00B65584">
      <w:pPr>
        <w:jc w:val="both"/>
        <w:rPr>
          <w:rFonts w:ascii="Arial" w:hAnsi="Arial" w:cs="Arial"/>
        </w:rPr>
      </w:pPr>
      <w:r w:rsidRPr="009B50B8">
        <w:rPr>
          <w:rFonts w:ascii="Arial" w:hAnsi="Arial" w:cs="Arial"/>
        </w:rPr>
        <w:t xml:space="preserve">The case for </w:t>
      </w:r>
      <w:proofErr w:type="spellStart"/>
      <w:r w:rsidRPr="009B50B8">
        <w:rPr>
          <w:rFonts w:ascii="Arial" w:hAnsi="Arial" w:cs="Arial"/>
        </w:rPr>
        <w:t>centring</w:t>
      </w:r>
      <w:proofErr w:type="spellEnd"/>
      <w:r w:rsidRPr="009B50B8">
        <w:rPr>
          <w:rFonts w:ascii="Arial" w:hAnsi="Arial" w:cs="Arial"/>
        </w:rPr>
        <w:t xml:space="preserve"> soil health in climate action is built on a robust body of scientific evidence and encompasses a wide array of interconnected benefits.</w:t>
      </w:r>
    </w:p>
    <w:p w14:paraId="0CFF667B" w14:textId="77777777" w:rsidR="00B65584" w:rsidRPr="009B50B8" w:rsidRDefault="00B65584" w:rsidP="00B65584">
      <w:pPr>
        <w:jc w:val="both"/>
        <w:rPr>
          <w:rFonts w:ascii="Arial" w:hAnsi="Arial" w:cs="Arial"/>
        </w:rPr>
      </w:pPr>
    </w:p>
    <w:p w14:paraId="3D0B3554" w14:textId="77777777" w:rsidR="00B65584" w:rsidRPr="009B50B8" w:rsidRDefault="00B65584" w:rsidP="00B65584">
      <w:pPr>
        <w:jc w:val="both"/>
        <w:rPr>
          <w:rFonts w:ascii="Arial" w:hAnsi="Arial" w:cs="Arial"/>
          <w:b/>
          <w:bCs/>
        </w:rPr>
      </w:pPr>
      <w:r w:rsidRPr="009B50B8">
        <w:rPr>
          <w:rFonts w:ascii="Arial" w:hAnsi="Arial" w:cs="Arial"/>
          <w:b/>
          <w:bCs/>
        </w:rPr>
        <w:t>2.1 THE SCIENCE OF SOIL CARBON SEQUESTRATION</w:t>
      </w:r>
    </w:p>
    <w:p w14:paraId="7209BDA4" w14:textId="77777777" w:rsidR="00B65584" w:rsidRPr="009B50B8" w:rsidRDefault="00B65584" w:rsidP="00B65584">
      <w:pPr>
        <w:jc w:val="both"/>
        <w:rPr>
          <w:rFonts w:ascii="Arial" w:hAnsi="Arial" w:cs="Arial"/>
        </w:rPr>
      </w:pPr>
      <w:r w:rsidRPr="009B50B8">
        <w:rPr>
          <w:rFonts w:ascii="Arial" w:hAnsi="Arial" w:cs="Arial"/>
        </w:rPr>
        <w:t>Soil carbon sequestration is the process of transferring CO</w:t>
      </w:r>
      <w:r w:rsidRPr="009B50B8">
        <w:rPr>
          <w:rFonts w:ascii="Times New Roman" w:hAnsi="Times New Roman" w:cs="Arial"/>
        </w:rPr>
        <w:t>₂</w:t>
      </w:r>
      <w:r w:rsidRPr="009B50B8">
        <w:rPr>
          <w:rFonts w:ascii="Arial" w:hAnsi="Arial" w:cs="Arial"/>
        </w:rPr>
        <w:t xml:space="preserve"> from the atmosphere into the soil through plant residues and other organic solids, where it is stored as soil organic matter. This process is driven by photosynthesis and managed through agricultural practices. Key practices that enhance SOC include:</w:t>
      </w:r>
    </w:p>
    <w:p w14:paraId="7ABD2C85" w14:textId="77777777" w:rsidR="00B65584" w:rsidRPr="009B50B8" w:rsidRDefault="00B65584" w:rsidP="00B65584">
      <w:pPr>
        <w:pStyle w:val="ListParagraph"/>
        <w:numPr>
          <w:ilvl w:val="0"/>
          <w:numId w:val="35"/>
        </w:numPr>
        <w:spacing w:after="0" w:line="240" w:lineRule="auto"/>
        <w:jc w:val="both"/>
        <w:rPr>
          <w:rFonts w:ascii="Arial" w:hAnsi="Arial" w:cs="Arial"/>
          <w:sz w:val="20"/>
          <w:szCs w:val="20"/>
        </w:rPr>
      </w:pPr>
      <w:r w:rsidRPr="009B50B8">
        <w:rPr>
          <w:rFonts w:ascii="Arial" w:hAnsi="Arial" w:cs="Arial"/>
          <w:b/>
          <w:bCs/>
          <w:sz w:val="20"/>
          <w:szCs w:val="20"/>
        </w:rPr>
        <w:t>Cover Cropping</w:t>
      </w:r>
      <w:r w:rsidRPr="009B50B8">
        <w:rPr>
          <w:rFonts w:ascii="Arial" w:hAnsi="Arial" w:cs="Arial"/>
          <w:sz w:val="20"/>
          <w:szCs w:val="20"/>
        </w:rPr>
        <w:t>: Planting crops like clover or rye during off-seasons to protect soil, add organic matter, and fix nitrogen.</w:t>
      </w:r>
    </w:p>
    <w:p w14:paraId="4661D28B" w14:textId="233B0665" w:rsidR="00B65584" w:rsidRPr="009B50B8" w:rsidRDefault="00B65584" w:rsidP="00B65584">
      <w:pPr>
        <w:pStyle w:val="ListParagraph"/>
        <w:numPr>
          <w:ilvl w:val="0"/>
          <w:numId w:val="35"/>
        </w:numPr>
        <w:spacing w:after="0" w:line="240" w:lineRule="auto"/>
        <w:jc w:val="both"/>
        <w:rPr>
          <w:rFonts w:ascii="Arial" w:hAnsi="Arial" w:cs="Arial"/>
          <w:sz w:val="20"/>
          <w:szCs w:val="20"/>
        </w:rPr>
      </w:pPr>
      <w:r w:rsidRPr="009B50B8">
        <w:rPr>
          <w:rFonts w:ascii="Arial" w:hAnsi="Arial" w:cs="Arial"/>
          <w:b/>
          <w:bCs/>
          <w:sz w:val="20"/>
          <w:szCs w:val="20"/>
        </w:rPr>
        <w:t>Reduced or No-Till Farming:</w:t>
      </w:r>
      <w:r w:rsidRPr="009B50B8">
        <w:rPr>
          <w:rFonts w:ascii="Arial" w:hAnsi="Arial" w:cs="Arial"/>
          <w:sz w:val="20"/>
          <w:szCs w:val="20"/>
        </w:rPr>
        <w:t xml:space="preserve"> </w:t>
      </w:r>
      <w:proofErr w:type="spellStart"/>
      <w:r w:rsidR="00F718B2" w:rsidRPr="00F94903">
        <w:rPr>
          <w:rFonts w:ascii="Arial" w:hAnsi="Arial" w:cs="Arial"/>
          <w:sz w:val="20"/>
          <w:szCs w:val="20"/>
          <w:highlight w:val="yellow"/>
        </w:rPr>
        <w:t>Minimising</w:t>
      </w:r>
      <w:proofErr w:type="spellEnd"/>
      <w:r w:rsidR="00F718B2" w:rsidRPr="009B50B8">
        <w:rPr>
          <w:rFonts w:ascii="Arial" w:hAnsi="Arial" w:cs="Arial"/>
          <w:sz w:val="20"/>
          <w:szCs w:val="20"/>
        </w:rPr>
        <w:t xml:space="preserve"> </w:t>
      </w:r>
      <w:r w:rsidRPr="009B50B8">
        <w:rPr>
          <w:rFonts w:ascii="Arial" w:hAnsi="Arial" w:cs="Arial"/>
          <w:sz w:val="20"/>
          <w:szCs w:val="20"/>
        </w:rPr>
        <w:t>soil disturbance to reduce oxidation of SOC and protect soil structure.</w:t>
      </w:r>
    </w:p>
    <w:p w14:paraId="31D6EB73" w14:textId="77777777" w:rsidR="00B65584" w:rsidRPr="009B50B8" w:rsidRDefault="00B65584" w:rsidP="00B65584">
      <w:pPr>
        <w:pStyle w:val="ListParagraph"/>
        <w:numPr>
          <w:ilvl w:val="0"/>
          <w:numId w:val="35"/>
        </w:numPr>
        <w:spacing w:after="0" w:line="240" w:lineRule="auto"/>
        <w:jc w:val="both"/>
        <w:rPr>
          <w:rFonts w:ascii="Arial" w:hAnsi="Arial" w:cs="Arial"/>
          <w:sz w:val="20"/>
          <w:szCs w:val="20"/>
        </w:rPr>
      </w:pPr>
      <w:r w:rsidRPr="009B50B8">
        <w:rPr>
          <w:rFonts w:ascii="Arial" w:hAnsi="Arial" w:cs="Arial"/>
          <w:b/>
          <w:bCs/>
          <w:sz w:val="20"/>
          <w:szCs w:val="20"/>
        </w:rPr>
        <w:lastRenderedPageBreak/>
        <w:t>Diverse Crop Rotations</w:t>
      </w:r>
      <w:r w:rsidRPr="009B50B8">
        <w:rPr>
          <w:rFonts w:ascii="Arial" w:hAnsi="Arial" w:cs="Arial"/>
          <w:sz w:val="20"/>
          <w:szCs w:val="20"/>
        </w:rPr>
        <w:t>: Disrupting pest and disease cycles and adding varied biomass to the soil.</w:t>
      </w:r>
    </w:p>
    <w:p w14:paraId="1D136329" w14:textId="77777777" w:rsidR="00B65584" w:rsidRPr="009B50B8" w:rsidRDefault="00B65584" w:rsidP="00B65584">
      <w:pPr>
        <w:pStyle w:val="ListParagraph"/>
        <w:numPr>
          <w:ilvl w:val="0"/>
          <w:numId w:val="35"/>
        </w:numPr>
        <w:spacing w:after="0" w:line="240" w:lineRule="auto"/>
        <w:jc w:val="both"/>
        <w:rPr>
          <w:rFonts w:ascii="Arial" w:hAnsi="Arial" w:cs="Arial"/>
          <w:sz w:val="20"/>
          <w:szCs w:val="20"/>
        </w:rPr>
      </w:pPr>
      <w:r w:rsidRPr="009B50B8">
        <w:rPr>
          <w:rFonts w:ascii="Arial" w:hAnsi="Arial" w:cs="Arial"/>
          <w:b/>
          <w:bCs/>
          <w:sz w:val="20"/>
          <w:szCs w:val="20"/>
        </w:rPr>
        <w:t>Integrated Nutrient Management</w:t>
      </w:r>
      <w:r w:rsidRPr="009B50B8">
        <w:rPr>
          <w:rFonts w:ascii="Arial" w:hAnsi="Arial" w:cs="Arial"/>
          <w:sz w:val="20"/>
          <w:szCs w:val="20"/>
        </w:rPr>
        <w:t>: Using compost, manure, and biochar to add stable organic matter.</w:t>
      </w:r>
    </w:p>
    <w:p w14:paraId="0BCFE135" w14:textId="77777777" w:rsidR="00B65584" w:rsidRPr="009B50B8" w:rsidRDefault="00B65584" w:rsidP="00B65584">
      <w:pPr>
        <w:pStyle w:val="ListParagraph"/>
        <w:numPr>
          <w:ilvl w:val="0"/>
          <w:numId w:val="35"/>
        </w:numPr>
        <w:spacing w:after="0" w:line="240" w:lineRule="auto"/>
        <w:jc w:val="both"/>
        <w:rPr>
          <w:rFonts w:ascii="Arial" w:hAnsi="Arial" w:cs="Arial"/>
          <w:sz w:val="20"/>
          <w:szCs w:val="20"/>
        </w:rPr>
      </w:pPr>
      <w:r w:rsidRPr="009B50B8">
        <w:rPr>
          <w:rFonts w:ascii="Arial" w:hAnsi="Arial" w:cs="Arial"/>
          <w:b/>
          <w:bCs/>
          <w:sz w:val="20"/>
          <w:szCs w:val="20"/>
        </w:rPr>
        <w:t xml:space="preserve">Agroforestry and </w:t>
      </w:r>
      <w:proofErr w:type="spellStart"/>
      <w:r w:rsidRPr="009B50B8">
        <w:rPr>
          <w:rFonts w:ascii="Arial" w:hAnsi="Arial" w:cs="Arial"/>
          <w:b/>
          <w:bCs/>
          <w:sz w:val="20"/>
          <w:szCs w:val="20"/>
        </w:rPr>
        <w:t>Silvopasture</w:t>
      </w:r>
      <w:proofErr w:type="spellEnd"/>
      <w:r w:rsidRPr="009B50B8">
        <w:rPr>
          <w:rFonts w:ascii="Arial" w:hAnsi="Arial" w:cs="Arial"/>
          <w:sz w:val="20"/>
          <w:szCs w:val="20"/>
        </w:rPr>
        <w:t>: Integrating trees and shrubs into cropping and livestock systems.</w:t>
      </w:r>
    </w:p>
    <w:p w14:paraId="40FF6267" w14:textId="77777777" w:rsidR="00B65584" w:rsidRPr="009B50B8" w:rsidRDefault="00B65584" w:rsidP="00B65584">
      <w:pPr>
        <w:jc w:val="both"/>
        <w:rPr>
          <w:rFonts w:ascii="Arial" w:hAnsi="Arial" w:cs="Arial"/>
        </w:rPr>
      </w:pPr>
    </w:p>
    <w:p w14:paraId="206EF372" w14:textId="77777777" w:rsidR="00B65584" w:rsidRPr="009B50B8" w:rsidRDefault="00B65584" w:rsidP="00B65584">
      <w:pPr>
        <w:jc w:val="both"/>
        <w:rPr>
          <w:rFonts w:ascii="Arial" w:hAnsi="Arial" w:cs="Arial"/>
        </w:rPr>
      </w:pPr>
      <w:r w:rsidRPr="009B50B8">
        <w:rPr>
          <w:rFonts w:ascii="Arial" w:hAnsi="Arial" w:cs="Arial"/>
        </w:rPr>
        <w:t>Research by Paustian et al. (2016) demonstrates that the widespread adoption of these practices could sequester significant amounts of carbon, as shown in Table 1.</w:t>
      </w:r>
    </w:p>
    <w:p w14:paraId="5B7E10B6" w14:textId="77777777" w:rsidR="00B65584" w:rsidRPr="009B50B8" w:rsidRDefault="00B65584" w:rsidP="00B65584">
      <w:pPr>
        <w:jc w:val="both"/>
        <w:rPr>
          <w:rFonts w:ascii="Arial" w:hAnsi="Arial" w:cs="Arial"/>
        </w:rPr>
      </w:pPr>
    </w:p>
    <w:p w14:paraId="0E540E15" w14:textId="77777777" w:rsidR="00B65584" w:rsidRPr="009B50B8" w:rsidRDefault="00B65584" w:rsidP="00B65584">
      <w:pPr>
        <w:jc w:val="both"/>
        <w:rPr>
          <w:rFonts w:ascii="Arial" w:hAnsi="Arial" w:cs="Arial"/>
          <w:b/>
          <w:bCs/>
        </w:rPr>
      </w:pPr>
      <w:r w:rsidRPr="009B50B8">
        <w:rPr>
          <w:rFonts w:ascii="Arial" w:hAnsi="Arial" w:cs="Arial"/>
          <w:b/>
          <w:bCs/>
        </w:rPr>
        <w:t>Table 1: Estimated Global Soil Carbon Sequestration Potential of Agricultural Practices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2546"/>
        <w:gridCol w:w="1955"/>
        <w:gridCol w:w="2239"/>
      </w:tblGrid>
      <w:tr w:rsidR="00B65584" w:rsidRPr="009B50B8" w14:paraId="71DB4543" w14:textId="77777777" w:rsidTr="00266696">
        <w:tc>
          <w:tcPr>
            <w:tcW w:w="0" w:type="auto"/>
            <w:tcBorders>
              <w:top w:val="single" w:sz="4" w:space="0" w:color="auto"/>
              <w:bottom w:val="single" w:sz="4" w:space="0" w:color="auto"/>
            </w:tcBorders>
          </w:tcPr>
          <w:p w14:paraId="49ACE7B0"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Practice</w:t>
            </w:r>
          </w:p>
        </w:tc>
        <w:tc>
          <w:tcPr>
            <w:tcW w:w="0" w:type="auto"/>
            <w:tcBorders>
              <w:top w:val="single" w:sz="4" w:space="0" w:color="auto"/>
              <w:bottom w:val="single" w:sz="4" w:space="0" w:color="auto"/>
            </w:tcBorders>
          </w:tcPr>
          <w:p w14:paraId="09411D4A"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 xml:space="preserve">Sequestration Potential (kg </w:t>
            </w:r>
            <w:proofErr w:type="spellStart"/>
            <w:r w:rsidRPr="009B50B8">
              <w:rPr>
                <w:rFonts w:ascii="Arial" w:hAnsi="Arial" w:cs="Arial"/>
                <w:b/>
                <w:bCs/>
                <w:sz w:val="20"/>
                <w:szCs w:val="20"/>
              </w:rPr>
              <w:t>CO</w:t>
            </w:r>
            <w:r w:rsidRPr="009B50B8">
              <w:rPr>
                <w:rFonts w:ascii="Times New Roman" w:hAnsi="Times New Roman" w:cs="Arial"/>
                <w:b/>
                <w:bCs/>
                <w:sz w:val="20"/>
                <w:szCs w:val="20"/>
              </w:rPr>
              <w:t>₂</w:t>
            </w:r>
            <w:r w:rsidRPr="009B50B8">
              <w:rPr>
                <w:rFonts w:ascii="Arial" w:hAnsi="Arial" w:cs="Arial"/>
                <w:b/>
                <w:bCs/>
                <w:sz w:val="20"/>
                <w:szCs w:val="20"/>
              </w:rPr>
              <w:t>e</w:t>
            </w:r>
            <w:proofErr w:type="spellEnd"/>
            <w:r w:rsidRPr="009B50B8">
              <w:rPr>
                <w:rFonts w:ascii="Arial" w:hAnsi="Arial" w:cs="Arial"/>
                <w:b/>
                <w:bCs/>
                <w:sz w:val="20"/>
                <w:szCs w:val="20"/>
              </w:rPr>
              <w:t>/ha/year)</w:t>
            </w:r>
          </w:p>
        </w:tc>
        <w:tc>
          <w:tcPr>
            <w:tcW w:w="0" w:type="auto"/>
            <w:tcBorders>
              <w:top w:val="single" w:sz="4" w:space="0" w:color="auto"/>
              <w:bottom w:val="single" w:sz="4" w:space="0" w:color="auto"/>
            </w:tcBorders>
          </w:tcPr>
          <w:p w14:paraId="220D44E6"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 xml:space="preserve">Area of Potential Application </w:t>
            </w:r>
          </w:p>
          <w:p w14:paraId="7218FB0D"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(Million ha)</w:t>
            </w:r>
          </w:p>
        </w:tc>
        <w:tc>
          <w:tcPr>
            <w:tcW w:w="0" w:type="auto"/>
            <w:tcBorders>
              <w:top w:val="single" w:sz="4" w:space="0" w:color="auto"/>
              <w:bottom w:val="single" w:sz="4" w:space="0" w:color="auto"/>
            </w:tcBorders>
          </w:tcPr>
          <w:p w14:paraId="43641736"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Notes</w:t>
            </w:r>
          </w:p>
        </w:tc>
      </w:tr>
      <w:tr w:rsidR="00B65584" w:rsidRPr="009B50B8" w14:paraId="5E4D32B5" w14:textId="77777777" w:rsidTr="00266696">
        <w:tc>
          <w:tcPr>
            <w:tcW w:w="0" w:type="auto"/>
            <w:tcBorders>
              <w:top w:val="single" w:sz="4" w:space="0" w:color="auto"/>
            </w:tcBorders>
          </w:tcPr>
          <w:p w14:paraId="03FD0298" w14:textId="77777777" w:rsidR="00B65584" w:rsidRPr="009B50B8" w:rsidRDefault="00B65584" w:rsidP="00BE6283">
            <w:pPr>
              <w:rPr>
                <w:rFonts w:ascii="Arial" w:hAnsi="Arial" w:cs="Arial"/>
                <w:sz w:val="20"/>
                <w:szCs w:val="20"/>
              </w:rPr>
            </w:pPr>
            <w:r w:rsidRPr="009B50B8">
              <w:rPr>
                <w:rFonts w:ascii="Arial" w:hAnsi="Arial" w:cs="Arial"/>
                <w:sz w:val="20"/>
                <w:szCs w:val="20"/>
              </w:rPr>
              <w:t>Cover Cropping</w:t>
            </w:r>
          </w:p>
        </w:tc>
        <w:tc>
          <w:tcPr>
            <w:tcW w:w="0" w:type="auto"/>
            <w:tcBorders>
              <w:top w:val="single" w:sz="4" w:space="0" w:color="auto"/>
            </w:tcBorders>
          </w:tcPr>
          <w:p w14:paraId="1C594063" w14:textId="77777777" w:rsidR="00B65584" w:rsidRPr="009B50B8" w:rsidRDefault="00B65584" w:rsidP="00BE6283">
            <w:pPr>
              <w:rPr>
                <w:rFonts w:ascii="Arial" w:hAnsi="Arial" w:cs="Arial"/>
                <w:b/>
                <w:bCs/>
                <w:sz w:val="20"/>
                <w:szCs w:val="20"/>
              </w:rPr>
            </w:pPr>
            <w:r w:rsidRPr="009B50B8">
              <w:rPr>
                <w:rFonts w:ascii="Arial" w:hAnsi="Arial" w:cs="Arial"/>
                <w:sz w:val="20"/>
                <w:szCs w:val="20"/>
              </w:rPr>
              <w:t>500 - 2,000</w:t>
            </w:r>
          </w:p>
        </w:tc>
        <w:tc>
          <w:tcPr>
            <w:tcW w:w="0" w:type="auto"/>
            <w:tcBorders>
              <w:top w:val="single" w:sz="4" w:space="0" w:color="auto"/>
            </w:tcBorders>
          </w:tcPr>
          <w:p w14:paraId="2707CE2A" w14:textId="77777777" w:rsidR="00B65584" w:rsidRPr="009B50B8" w:rsidRDefault="00B65584" w:rsidP="00BE6283">
            <w:pPr>
              <w:rPr>
                <w:rFonts w:ascii="Arial" w:hAnsi="Arial" w:cs="Arial"/>
                <w:b/>
                <w:bCs/>
                <w:sz w:val="20"/>
                <w:szCs w:val="20"/>
              </w:rPr>
            </w:pPr>
            <w:r w:rsidRPr="009B50B8">
              <w:rPr>
                <w:rFonts w:ascii="Arial" w:hAnsi="Arial" w:cs="Arial"/>
                <w:sz w:val="20"/>
                <w:szCs w:val="20"/>
              </w:rPr>
              <w:t>~200</w:t>
            </w:r>
          </w:p>
        </w:tc>
        <w:tc>
          <w:tcPr>
            <w:tcW w:w="0" w:type="auto"/>
            <w:tcBorders>
              <w:top w:val="single" w:sz="4" w:space="0" w:color="auto"/>
            </w:tcBorders>
          </w:tcPr>
          <w:p w14:paraId="717CDD93" w14:textId="77777777" w:rsidR="00B65584" w:rsidRPr="009B50B8" w:rsidRDefault="00B65584" w:rsidP="00BE6283">
            <w:pPr>
              <w:ind w:right="-298"/>
              <w:rPr>
                <w:rFonts w:ascii="Arial" w:hAnsi="Arial" w:cs="Arial"/>
                <w:b/>
                <w:bCs/>
                <w:sz w:val="20"/>
                <w:szCs w:val="20"/>
              </w:rPr>
            </w:pPr>
            <w:r w:rsidRPr="009B50B8">
              <w:rPr>
                <w:rFonts w:ascii="Arial" w:hAnsi="Arial" w:cs="Arial"/>
                <w:sz w:val="20"/>
                <w:szCs w:val="20"/>
              </w:rPr>
              <w:t>Highly dependent on climate and species</w:t>
            </w:r>
          </w:p>
        </w:tc>
      </w:tr>
      <w:tr w:rsidR="00B65584" w:rsidRPr="009B50B8" w14:paraId="3F1920D5" w14:textId="77777777" w:rsidTr="00266696">
        <w:tc>
          <w:tcPr>
            <w:tcW w:w="0" w:type="auto"/>
          </w:tcPr>
          <w:p w14:paraId="529F2F95" w14:textId="77777777" w:rsidR="00B65584" w:rsidRPr="009B50B8" w:rsidRDefault="00B65584" w:rsidP="00BE6283">
            <w:pPr>
              <w:rPr>
                <w:rFonts w:ascii="Arial" w:hAnsi="Arial" w:cs="Arial"/>
                <w:sz w:val="20"/>
                <w:szCs w:val="20"/>
              </w:rPr>
            </w:pPr>
            <w:r w:rsidRPr="009B50B8">
              <w:rPr>
                <w:rFonts w:ascii="Arial" w:hAnsi="Arial" w:cs="Arial"/>
                <w:sz w:val="20"/>
                <w:szCs w:val="20"/>
              </w:rPr>
              <w:t>No-Till/ Reduced Till</w:t>
            </w:r>
          </w:p>
        </w:tc>
        <w:tc>
          <w:tcPr>
            <w:tcW w:w="0" w:type="auto"/>
          </w:tcPr>
          <w:p w14:paraId="3FF13B33" w14:textId="77777777" w:rsidR="00B65584" w:rsidRPr="009B50B8" w:rsidRDefault="00B65584" w:rsidP="00BE6283">
            <w:pPr>
              <w:rPr>
                <w:rFonts w:ascii="Arial" w:hAnsi="Arial" w:cs="Arial"/>
                <w:b/>
                <w:bCs/>
                <w:sz w:val="20"/>
                <w:szCs w:val="20"/>
              </w:rPr>
            </w:pPr>
            <w:r w:rsidRPr="009B50B8">
              <w:rPr>
                <w:rFonts w:ascii="Arial" w:hAnsi="Arial" w:cs="Arial"/>
                <w:sz w:val="20"/>
                <w:szCs w:val="20"/>
              </w:rPr>
              <w:t>200 - 1,500</w:t>
            </w:r>
          </w:p>
        </w:tc>
        <w:tc>
          <w:tcPr>
            <w:tcW w:w="0" w:type="auto"/>
          </w:tcPr>
          <w:p w14:paraId="2478E5BA" w14:textId="77777777" w:rsidR="00B65584" w:rsidRPr="009B50B8" w:rsidRDefault="00B65584" w:rsidP="00BE6283">
            <w:pPr>
              <w:rPr>
                <w:rFonts w:ascii="Arial" w:hAnsi="Arial" w:cs="Arial"/>
                <w:b/>
                <w:bCs/>
                <w:sz w:val="20"/>
                <w:szCs w:val="20"/>
              </w:rPr>
            </w:pPr>
            <w:r w:rsidRPr="009B50B8">
              <w:rPr>
                <w:rFonts w:ascii="Arial" w:hAnsi="Arial" w:cs="Arial"/>
                <w:sz w:val="20"/>
                <w:szCs w:val="20"/>
              </w:rPr>
              <w:t>~500</w:t>
            </w:r>
          </w:p>
        </w:tc>
        <w:tc>
          <w:tcPr>
            <w:tcW w:w="0" w:type="auto"/>
          </w:tcPr>
          <w:p w14:paraId="4D11CE03" w14:textId="77777777" w:rsidR="00B65584" w:rsidRPr="009B50B8" w:rsidRDefault="00B65584" w:rsidP="00BE6283">
            <w:pPr>
              <w:rPr>
                <w:rFonts w:ascii="Arial" w:hAnsi="Arial" w:cs="Arial"/>
                <w:b/>
                <w:bCs/>
                <w:sz w:val="20"/>
                <w:szCs w:val="20"/>
              </w:rPr>
            </w:pPr>
            <w:r w:rsidRPr="009B50B8">
              <w:rPr>
                <w:rFonts w:ascii="Arial" w:hAnsi="Arial" w:cs="Arial"/>
                <w:sz w:val="20"/>
                <w:szCs w:val="20"/>
              </w:rPr>
              <w:t>Potential high in degraded soils initially</w:t>
            </w:r>
          </w:p>
        </w:tc>
      </w:tr>
      <w:tr w:rsidR="00B65584" w:rsidRPr="009B50B8" w14:paraId="7DDCC1F5" w14:textId="77777777" w:rsidTr="00266696">
        <w:tc>
          <w:tcPr>
            <w:tcW w:w="0" w:type="auto"/>
          </w:tcPr>
          <w:p w14:paraId="420D59C1" w14:textId="77777777" w:rsidR="00B65584" w:rsidRPr="009B50B8" w:rsidRDefault="00B65584" w:rsidP="00BE6283">
            <w:pPr>
              <w:rPr>
                <w:rFonts w:ascii="Arial" w:hAnsi="Arial" w:cs="Arial"/>
                <w:sz w:val="20"/>
                <w:szCs w:val="20"/>
              </w:rPr>
            </w:pPr>
            <w:r w:rsidRPr="009B50B8">
              <w:rPr>
                <w:rFonts w:ascii="Arial" w:hAnsi="Arial" w:cs="Arial"/>
                <w:sz w:val="20"/>
                <w:szCs w:val="20"/>
              </w:rPr>
              <w:t>Agroforestry</w:t>
            </w:r>
          </w:p>
        </w:tc>
        <w:tc>
          <w:tcPr>
            <w:tcW w:w="0" w:type="auto"/>
          </w:tcPr>
          <w:p w14:paraId="15391ACE" w14:textId="77777777" w:rsidR="00B65584" w:rsidRPr="009B50B8" w:rsidRDefault="00B65584" w:rsidP="00BE6283">
            <w:pPr>
              <w:rPr>
                <w:rFonts w:ascii="Arial" w:hAnsi="Arial" w:cs="Arial"/>
                <w:b/>
                <w:bCs/>
                <w:sz w:val="20"/>
                <w:szCs w:val="20"/>
              </w:rPr>
            </w:pPr>
            <w:r w:rsidRPr="009B50B8">
              <w:rPr>
                <w:rFonts w:ascii="Arial" w:hAnsi="Arial" w:cs="Arial"/>
                <w:sz w:val="20"/>
                <w:szCs w:val="20"/>
              </w:rPr>
              <w:t>1,000 - 5,000+</w:t>
            </w:r>
          </w:p>
        </w:tc>
        <w:tc>
          <w:tcPr>
            <w:tcW w:w="0" w:type="auto"/>
          </w:tcPr>
          <w:p w14:paraId="4AC61492" w14:textId="77777777" w:rsidR="00B65584" w:rsidRPr="009B50B8" w:rsidRDefault="00B65584" w:rsidP="00BE6283">
            <w:pPr>
              <w:rPr>
                <w:rFonts w:ascii="Arial" w:hAnsi="Arial" w:cs="Arial"/>
                <w:b/>
                <w:bCs/>
                <w:sz w:val="20"/>
                <w:szCs w:val="20"/>
              </w:rPr>
            </w:pPr>
            <w:r w:rsidRPr="009B50B8">
              <w:rPr>
                <w:rFonts w:ascii="Arial" w:hAnsi="Arial" w:cs="Arial"/>
                <w:sz w:val="20"/>
                <w:szCs w:val="20"/>
              </w:rPr>
              <w:t>~100</w:t>
            </w:r>
          </w:p>
        </w:tc>
        <w:tc>
          <w:tcPr>
            <w:tcW w:w="0" w:type="auto"/>
          </w:tcPr>
          <w:p w14:paraId="2C1006AC" w14:textId="77777777" w:rsidR="00B65584" w:rsidRPr="009B50B8" w:rsidRDefault="00B65584" w:rsidP="00BE6283">
            <w:pPr>
              <w:rPr>
                <w:rFonts w:ascii="Arial" w:hAnsi="Arial" w:cs="Arial"/>
                <w:b/>
                <w:bCs/>
                <w:sz w:val="20"/>
                <w:szCs w:val="20"/>
              </w:rPr>
            </w:pPr>
            <w:r w:rsidRPr="009B50B8">
              <w:rPr>
                <w:rFonts w:ascii="Arial" w:hAnsi="Arial" w:cs="Arial"/>
                <w:sz w:val="20"/>
                <w:szCs w:val="20"/>
              </w:rPr>
              <w:t>High per-hectare rate but limited total area</w:t>
            </w:r>
          </w:p>
        </w:tc>
      </w:tr>
      <w:tr w:rsidR="00B65584" w:rsidRPr="009B50B8" w14:paraId="33191C7C" w14:textId="77777777" w:rsidTr="00266696">
        <w:tc>
          <w:tcPr>
            <w:tcW w:w="0" w:type="auto"/>
          </w:tcPr>
          <w:p w14:paraId="1909CD2A" w14:textId="77777777" w:rsidR="00B65584" w:rsidRPr="009B50B8" w:rsidRDefault="00B65584" w:rsidP="00BE6283">
            <w:pPr>
              <w:rPr>
                <w:rFonts w:ascii="Arial" w:hAnsi="Arial" w:cs="Arial"/>
                <w:sz w:val="20"/>
                <w:szCs w:val="20"/>
              </w:rPr>
            </w:pPr>
            <w:r w:rsidRPr="009B50B8">
              <w:rPr>
                <w:rFonts w:ascii="Arial" w:hAnsi="Arial" w:cs="Arial"/>
                <w:sz w:val="20"/>
                <w:szCs w:val="20"/>
              </w:rPr>
              <w:t>Grazing Management</w:t>
            </w:r>
          </w:p>
        </w:tc>
        <w:tc>
          <w:tcPr>
            <w:tcW w:w="0" w:type="auto"/>
          </w:tcPr>
          <w:p w14:paraId="28109329" w14:textId="77777777" w:rsidR="00B65584" w:rsidRPr="009B50B8" w:rsidRDefault="00B65584" w:rsidP="00BE6283">
            <w:pPr>
              <w:rPr>
                <w:rFonts w:ascii="Arial" w:hAnsi="Arial" w:cs="Arial"/>
                <w:b/>
                <w:bCs/>
                <w:sz w:val="20"/>
                <w:szCs w:val="20"/>
              </w:rPr>
            </w:pPr>
            <w:r w:rsidRPr="009B50B8">
              <w:rPr>
                <w:rFonts w:ascii="Arial" w:hAnsi="Arial" w:cs="Arial"/>
                <w:sz w:val="20"/>
                <w:szCs w:val="20"/>
              </w:rPr>
              <w:t>500 - 2,500</w:t>
            </w:r>
          </w:p>
        </w:tc>
        <w:tc>
          <w:tcPr>
            <w:tcW w:w="0" w:type="auto"/>
          </w:tcPr>
          <w:p w14:paraId="1EEA49A3" w14:textId="77777777" w:rsidR="00B65584" w:rsidRPr="009B50B8" w:rsidRDefault="00B65584" w:rsidP="00BE6283">
            <w:pPr>
              <w:rPr>
                <w:rFonts w:ascii="Arial" w:hAnsi="Arial" w:cs="Arial"/>
                <w:b/>
                <w:bCs/>
                <w:sz w:val="20"/>
                <w:szCs w:val="20"/>
              </w:rPr>
            </w:pPr>
            <w:r w:rsidRPr="009B50B8">
              <w:rPr>
                <w:rFonts w:ascii="Arial" w:hAnsi="Arial" w:cs="Arial"/>
                <w:sz w:val="20"/>
                <w:szCs w:val="20"/>
              </w:rPr>
              <w:t>~3,000 (rangelands)</w:t>
            </w:r>
          </w:p>
        </w:tc>
        <w:tc>
          <w:tcPr>
            <w:tcW w:w="0" w:type="auto"/>
          </w:tcPr>
          <w:p w14:paraId="1D17BF78" w14:textId="77777777" w:rsidR="00B65584" w:rsidRPr="009B50B8" w:rsidRDefault="00B65584" w:rsidP="00BE6283">
            <w:pPr>
              <w:rPr>
                <w:rFonts w:ascii="Arial" w:hAnsi="Arial" w:cs="Arial"/>
                <w:b/>
                <w:bCs/>
                <w:sz w:val="20"/>
                <w:szCs w:val="20"/>
              </w:rPr>
            </w:pPr>
            <w:r w:rsidRPr="009B50B8">
              <w:rPr>
                <w:rFonts w:ascii="Arial" w:hAnsi="Arial" w:cs="Arial"/>
                <w:sz w:val="20"/>
                <w:szCs w:val="20"/>
              </w:rPr>
              <w:t>Improved rotational grazing systems</w:t>
            </w:r>
          </w:p>
        </w:tc>
      </w:tr>
      <w:tr w:rsidR="00B65584" w:rsidRPr="009B50B8" w14:paraId="3E993BD0" w14:textId="77777777" w:rsidTr="00266696">
        <w:tc>
          <w:tcPr>
            <w:tcW w:w="0" w:type="auto"/>
          </w:tcPr>
          <w:p w14:paraId="65669C3C" w14:textId="77777777" w:rsidR="00B65584" w:rsidRPr="009B50B8" w:rsidRDefault="00B65584" w:rsidP="00BE6283">
            <w:pPr>
              <w:rPr>
                <w:rFonts w:ascii="Arial" w:hAnsi="Arial" w:cs="Arial"/>
                <w:sz w:val="20"/>
                <w:szCs w:val="20"/>
              </w:rPr>
            </w:pPr>
            <w:r w:rsidRPr="009B50B8">
              <w:rPr>
                <w:rFonts w:ascii="Arial" w:hAnsi="Arial" w:cs="Arial"/>
                <w:sz w:val="20"/>
                <w:szCs w:val="20"/>
              </w:rPr>
              <w:t>Organic Amendments</w:t>
            </w:r>
          </w:p>
        </w:tc>
        <w:tc>
          <w:tcPr>
            <w:tcW w:w="0" w:type="auto"/>
          </w:tcPr>
          <w:p w14:paraId="2C8485CF" w14:textId="77777777" w:rsidR="00B65584" w:rsidRPr="009B50B8" w:rsidRDefault="00B65584" w:rsidP="00BE6283">
            <w:pPr>
              <w:rPr>
                <w:rFonts w:ascii="Arial" w:hAnsi="Arial" w:cs="Arial"/>
                <w:b/>
                <w:bCs/>
                <w:sz w:val="20"/>
                <w:szCs w:val="20"/>
              </w:rPr>
            </w:pPr>
            <w:r w:rsidRPr="009B50B8">
              <w:rPr>
                <w:rFonts w:ascii="Arial" w:hAnsi="Arial" w:cs="Arial"/>
                <w:sz w:val="20"/>
                <w:szCs w:val="20"/>
              </w:rPr>
              <w:t>1,000 - 4,000</w:t>
            </w:r>
          </w:p>
        </w:tc>
        <w:tc>
          <w:tcPr>
            <w:tcW w:w="0" w:type="auto"/>
          </w:tcPr>
          <w:p w14:paraId="730E3222" w14:textId="77777777" w:rsidR="00B65584" w:rsidRPr="009B50B8" w:rsidRDefault="00B65584" w:rsidP="00BE6283">
            <w:pPr>
              <w:rPr>
                <w:rFonts w:ascii="Arial" w:hAnsi="Arial" w:cs="Arial"/>
                <w:b/>
                <w:bCs/>
                <w:sz w:val="20"/>
                <w:szCs w:val="20"/>
              </w:rPr>
            </w:pPr>
            <w:r w:rsidRPr="009B50B8">
              <w:rPr>
                <w:rFonts w:ascii="Arial" w:hAnsi="Arial" w:cs="Arial"/>
                <w:sz w:val="20"/>
                <w:szCs w:val="20"/>
              </w:rPr>
              <w:t>Varies</w:t>
            </w:r>
          </w:p>
        </w:tc>
        <w:tc>
          <w:tcPr>
            <w:tcW w:w="0" w:type="auto"/>
          </w:tcPr>
          <w:p w14:paraId="02A63DB0" w14:textId="77777777" w:rsidR="00B65584" w:rsidRPr="009B50B8" w:rsidRDefault="00B65584" w:rsidP="00BE6283">
            <w:pPr>
              <w:rPr>
                <w:rFonts w:ascii="Arial" w:hAnsi="Arial" w:cs="Arial"/>
                <w:b/>
                <w:bCs/>
                <w:sz w:val="20"/>
                <w:szCs w:val="20"/>
              </w:rPr>
            </w:pPr>
            <w:r w:rsidRPr="009B50B8">
              <w:rPr>
                <w:rFonts w:ascii="Arial" w:hAnsi="Arial" w:cs="Arial"/>
                <w:sz w:val="20"/>
                <w:szCs w:val="20"/>
              </w:rPr>
              <w:t>Biochar, compost application</w:t>
            </w:r>
          </w:p>
        </w:tc>
      </w:tr>
    </w:tbl>
    <w:p w14:paraId="17988138" w14:textId="77777777" w:rsidR="00B65584" w:rsidRPr="009B50B8" w:rsidRDefault="00B65584" w:rsidP="00B65584">
      <w:pPr>
        <w:tabs>
          <w:tab w:val="num" w:pos="720"/>
        </w:tabs>
        <w:jc w:val="both"/>
        <w:rPr>
          <w:rFonts w:ascii="Arial" w:hAnsi="Arial" w:cs="Arial"/>
        </w:rPr>
      </w:pPr>
      <w:r w:rsidRPr="009B50B8">
        <w:rPr>
          <w:rFonts w:ascii="Arial" w:hAnsi="Arial" w:cs="Arial"/>
          <w:b/>
          <w:bCs/>
        </w:rPr>
        <w:t xml:space="preserve">Sources: </w:t>
      </w:r>
      <w:r w:rsidRPr="009B50B8">
        <w:rPr>
          <w:rFonts w:ascii="Arial" w:hAnsi="Arial" w:cs="Arial"/>
        </w:rPr>
        <w:t>Paustian et al., 2016 &amp; Bossio et al., 2020</w:t>
      </w:r>
    </w:p>
    <w:p w14:paraId="50A205FA" w14:textId="77777777" w:rsidR="00B65584" w:rsidRPr="009B50B8" w:rsidRDefault="00B65584" w:rsidP="00B65584">
      <w:pPr>
        <w:jc w:val="both"/>
        <w:rPr>
          <w:rFonts w:ascii="Arial" w:hAnsi="Arial" w:cs="Arial"/>
        </w:rPr>
      </w:pPr>
    </w:p>
    <w:p w14:paraId="72CC3058" w14:textId="77777777" w:rsidR="00B65584" w:rsidRPr="009B50B8" w:rsidRDefault="00B65584" w:rsidP="00B65584">
      <w:pPr>
        <w:jc w:val="both"/>
        <w:rPr>
          <w:rFonts w:ascii="Arial" w:hAnsi="Arial" w:cs="Arial"/>
          <w:b/>
          <w:bCs/>
        </w:rPr>
      </w:pPr>
      <w:r w:rsidRPr="009B50B8">
        <w:rPr>
          <w:rFonts w:ascii="Arial" w:hAnsi="Arial" w:cs="Arial"/>
          <w:b/>
          <w:bCs/>
        </w:rPr>
        <w:t>2.2 CO-BENEFITS: BEYOND CARBON</w:t>
      </w:r>
    </w:p>
    <w:p w14:paraId="1E6788B9" w14:textId="77777777" w:rsidR="00B65584" w:rsidRPr="009B50B8" w:rsidRDefault="00B65584" w:rsidP="00B65584">
      <w:pPr>
        <w:jc w:val="both"/>
        <w:rPr>
          <w:rFonts w:ascii="Arial" w:hAnsi="Arial" w:cs="Arial"/>
        </w:rPr>
      </w:pPr>
      <w:r w:rsidRPr="009B50B8">
        <w:rPr>
          <w:rFonts w:ascii="Arial" w:hAnsi="Arial" w:cs="Arial"/>
        </w:rPr>
        <w:t>The value of soil health extends far beyond carbon storage. Investing in SOC delivers a multitude of co-benefits that enhance agricultural sustainability and resilience:</w:t>
      </w:r>
    </w:p>
    <w:p w14:paraId="04F4D24A" w14:textId="2A7128BC" w:rsidR="00B65584" w:rsidRPr="009B50B8" w:rsidRDefault="00B65584" w:rsidP="00B65584">
      <w:pPr>
        <w:pStyle w:val="ListParagraph"/>
        <w:numPr>
          <w:ilvl w:val="0"/>
          <w:numId w:val="36"/>
        </w:numPr>
        <w:spacing w:after="0" w:line="240" w:lineRule="auto"/>
        <w:jc w:val="both"/>
        <w:rPr>
          <w:rFonts w:ascii="Arial" w:hAnsi="Arial" w:cs="Arial"/>
          <w:sz w:val="20"/>
          <w:szCs w:val="20"/>
        </w:rPr>
      </w:pPr>
      <w:r w:rsidRPr="009B50B8">
        <w:rPr>
          <w:rFonts w:ascii="Arial" w:hAnsi="Arial" w:cs="Arial"/>
          <w:b/>
          <w:bCs/>
          <w:sz w:val="20"/>
          <w:szCs w:val="20"/>
        </w:rPr>
        <w:t>Enhanced Food and Water Security</w:t>
      </w:r>
      <w:r w:rsidRPr="009B50B8">
        <w:rPr>
          <w:rFonts w:ascii="Arial" w:hAnsi="Arial" w:cs="Arial"/>
          <w:sz w:val="20"/>
          <w:szCs w:val="20"/>
        </w:rPr>
        <w:t xml:space="preserve">: Increased SOC improves soil water infiltration and retention, reducing vulnerability to drought and flood. It also enhances nutrient cycling, reducing the need for synthetic </w:t>
      </w:r>
      <w:proofErr w:type="spellStart"/>
      <w:r w:rsidR="00F718B2" w:rsidRPr="00F94903">
        <w:rPr>
          <w:rFonts w:ascii="Arial" w:hAnsi="Arial" w:cs="Arial"/>
          <w:sz w:val="20"/>
          <w:szCs w:val="20"/>
          <w:highlight w:val="yellow"/>
        </w:rPr>
        <w:t>fertilisers</w:t>
      </w:r>
      <w:proofErr w:type="spellEnd"/>
      <w:r w:rsidR="00F718B2" w:rsidRPr="009B50B8">
        <w:rPr>
          <w:rFonts w:ascii="Arial" w:hAnsi="Arial" w:cs="Arial"/>
          <w:sz w:val="20"/>
          <w:szCs w:val="20"/>
        </w:rPr>
        <w:t xml:space="preserve"> </w:t>
      </w:r>
      <w:r w:rsidRPr="009B50B8">
        <w:rPr>
          <w:rFonts w:ascii="Arial" w:hAnsi="Arial" w:cs="Arial"/>
          <w:sz w:val="20"/>
          <w:szCs w:val="20"/>
        </w:rPr>
        <w:t>and boosting crop yields over the long term (Oldfield et al., 2019).</w:t>
      </w:r>
    </w:p>
    <w:p w14:paraId="3F341363" w14:textId="77777777" w:rsidR="00B65584" w:rsidRPr="009B50B8" w:rsidRDefault="00B65584" w:rsidP="00B65584">
      <w:pPr>
        <w:pStyle w:val="ListParagraph"/>
        <w:numPr>
          <w:ilvl w:val="0"/>
          <w:numId w:val="36"/>
        </w:numPr>
        <w:spacing w:after="0" w:line="240" w:lineRule="auto"/>
        <w:jc w:val="both"/>
        <w:rPr>
          <w:rFonts w:ascii="Arial" w:hAnsi="Arial" w:cs="Arial"/>
          <w:sz w:val="20"/>
          <w:szCs w:val="20"/>
        </w:rPr>
      </w:pPr>
      <w:r w:rsidRPr="009B50B8">
        <w:rPr>
          <w:rFonts w:ascii="Arial" w:hAnsi="Arial" w:cs="Arial"/>
          <w:b/>
          <w:bCs/>
          <w:sz w:val="20"/>
          <w:szCs w:val="20"/>
        </w:rPr>
        <w:t>Biodiversity Conservation</w:t>
      </w:r>
      <w:r w:rsidRPr="009B50B8">
        <w:rPr>
          <w:rFonts w:ascii="Arial" w:hAnsi="Arial" w:cs="Arial"/>
          <w:sz w:val="20"/>
          <w:szCs w:val="20"/>
        </w:rPr>
        <w:t>: Healthy soils are among the most biodiverse ecosystems on Earth, hosting microbes, fungi, and invertebrates that are crucial for ecosystem function.</w:t>
      </w:r>
    </w:p>
    <w:p w14:paraId="4BD880C6" w14:textId="77777777" w:rsidR="00B65584" w:rsidRPr="009B50B8" w:rsidRDefault="00B65584" w:rsidP="00B65584">
      <w:pPr>
        <w:pStyle w:val="ListParagraph"/>
        <w:numPr>
          <w:ilvl w:val="0"/>
          <w:numId w:val="36"/>
        </w:numPr>
        <w:spacing w:after="0" w:line="240" w:lineRule="auto"/>
        <w:jc w:val="both"/>
        <w:rPr>
          <w:rFonts w:ascii="Arial" w:hAnsi="Arial" w:cs="Arial"/>
          <w:sz w:val="20"/>
          <w:szCs w:val="20"/>
        </w:rPr>
      </w:pPr>
      <w:r w:rsidRPr="009B50B8">
        <w:rPr>
          <w:rFonts w:ascii="Arial" w:hAnsi="Arial" w:cs="Arial"/>
          <w:b/>
          <w:bCs/>
          <w:sz w:val="20"/>
          <w:szCs w:val="20"/>
        </w:rPr>
        <w:t>Climate Adaptation and Resilience</w:t>
      </w:r>
      <w:r w:rsidRPr="009B50B8">
        <w:rPr>
          <w:rFonts w:ascii="Arial" w:hAnsi="Arial" w:cs="Arial"/>
          <w:sz w:val="20"/>
          <w:szCs w:val="20"/>
        </w:rPr>
        <w:t>: Farms with high SOC are more resilient to extreme weather events, ensuring more stable food production in a changing climate.</w:t>
      </w:r>
    </w:p>
    <w:p w14:paraId="4BD11487" w14:textId="5234782E" w:rsidR="00B65584" w:rsidRPr="009B50B8" w:rsidRDefault="00B65584" w:rsidP="00B65584">
      <w:pPr>
        <w:pStyle w:val="ListParagraph"/>
        <w:numPr>
          <w:ilvl w:val="0"/>
          <w:numId w:val="36"/>
        </w:numPr>
        <w:spacing w:after="0" w:line="240" w:lineRule="auto"/>
        <w:jc w:val="both"/>
        <w:rPr>
          <w:rFonts w:ascii="Arial" w:hAnsi="Arial" w:cs="Arial"/>
          <w:sz w:val="20"/>
          <w:szCs w:val="20"/>
        </w:rPr>
      </w:pPr>
      <w:r w:rsidRPr="009B50B8">
        <w:rPr>
          <w:rFonts w:ascii="Arial" w:hAnsi="Arial" w:cs="Arial"/>
          <w:b/>
          <w:bCs/>
          <w:sz w:val="20"/>
          <w:szCs w:val="20"/>
        </w:rPr>
        <w:t>Reduced Pollution</w:t>
      </w:r>
      <w:r w:rsidRPr="009B50B8">
        <w:rPr>
          <w:rFonts w:ascii="Arial" w:hAnsi="Arial" w:cs="Arial"/>
          <w:sz w:val="20"/>
          <w:szCs w:val="20"/>
        </w:rPr>
        <w:t xml:space="preserve">: Improved soil structure and nutrient retention reduce runoff of </w:t>
      </w:r>
      <w:proofErr w:type="spellStart"/>
      <w:r w:rsidR="00F718B2" w:rsidRPr="00F94903">
        <w:rPr>
          <w:rFonts w:ascii="Arial" w:hAnsi="Arial" w:cs="Arial"/>
          <w:sz w:val="20"/>
          <w:szCs w:val="20"/>
          <w:highlight w:val="yellow"/>
        </w:rPr>
        <w:t>fertilisers</w:t>
      </w:r>
      <w:proofErr w:type="spellEnd"/>
      <w:r w:rsidR="00F718B2" w:rsidRPr="009B50B8">
        <w:rPr>
          <w:rFonts w:ascii="Arial" w:hAnsi="Arial" w:cs="Arial"/>
          <w:sz w:val="20"/>
          <w:szCs w:val="20"/>
        </w:rPr>
        <w:t xml:space="preserve"> </w:t>
      </w:r>
      <w:r w:rsidRPr="009B50B8">
        <w:rPr>
          <w:rFonts w:ascii="Arial" w:hAnsi="Arial" w:cs="Arial"/>
          <w:sz w:val="20"/>
          <w:szCs w:val="20"/>
        </w:rPr>
        <w:t>and pesticides into waterways, mitigating eutrophication.</w:t>
      </w:r>
    </w:p>
    <w:p w14:paraId="2F0D6EC3" w14:textId="77777777" w:rsidR="00B65584" w:rsidRPr="009B50B8" w:rsidRDefault="00B65584" w:rsidP="00B65584">
      <w:pPr>
        <w:jc w:val="both"/>
        <w:rPr>
          <w:rFonts w:ascii="Arial" w:hAnsi="Arial" w:cs="Arial"/>
        </w:rPr>
      </w:pPr>
      <w:r w:rsidRPr="009B50B8">
        <w:rPr>
          <w:rFonts w:ascii="Arial" w:hAnsi="Arial" w:cs="Arial"/>
        </w:rPr>
        <w:t>The economic value of these co-benefits is substantial. (Sanderman et al., 2017) estimated the annual cost of soil erosion, a direct result of poor soil health, to be over $8 billion in lost productivity in the United States alone.</w:t>
      </w:r>
    </w:p>
    <w:p w14:paraId="315F0203" w14:textId="77777777" w:rsidR="00B65584" w:rsidRPr="009B50B8" w:rsidRDefault="00B65584" w:rsidP="00B65584">
      <w:pPr>
        <w:jc w:val="both"/>
        <w:rPr>
          <w:rFonts w:ascii="Arial" w:hAnsi="Arial" w:cs="Arial"/>
        </w:rPr>
      </w:pPr>
    </w:p>
    <w:p w14:paraId="24DCF865" w14:textId="77777777" w:rsidR="00B65584" w:rsidRPr="009B50B8" w:rsidRDefault="00B65584" w:rsidP="00B65584">
      <w:pPr>
        <w:jc w:val="both"/>
        <w:rPr>
          <w:rFonts w:ascii="Arial" w:hAnsi="Arial" w:cs="Arial"/>
          <w:b/>
          <w:bCs/>
        </w:rPr>
      </w:pPr>
      <w:r w:rsidRPr="009B50B8">
        <w:rPr>
          <w:rFonts w:ascii="Arial" w:hAnsi="Arial" w:cs="Arial"/>
          <w:b/>
          <w:bCs/>
        </w:rPr>
        <w:t xml:space="preserve"> </w:t>
      </w:r>
      <w:r w:rsidRPr="00B65584">
        <w:rPr>
          <w:rFonts w:ascii="Arial" w:hAnsi="Arial" w:cs="Arial"/>
          <w:b/>
          <w:bCs/>
          <w:sz w:val="22"/>
        </w:rPr>
        <w:t>3. CURRENT FRAMEWORKS AND THEIR LIMITATIONS</w:t>
      </w:r>
    </w:p>
    <w:p w14:paraId="4C320339" w14:textId="77777777" w:rsidR="00B65584" w:rsidRPr="009B50B8" w:rsidRDefault="00B65584" w:rsidP="00B65584">
      <w:pPr>
        <w:jc w:val="both"/>
        <w:rPr>
          <w:rFonts w:ascii="Arial" w:hAnsi="Arial" w:cs="Arial"/>
        </w:rPr>
      </w:pPr>
      <w:r w:rsidRPr="009B50B8">
        <w:rPr>
          <w:rFonts w:ascii="Arial" w:hAnsi="Arial" w:cs="Arial"/>
        </w:rPr>
        <w:t>Despite its promise, soil carbon sequestration remains a peripheral component of most major climate and carbon market frameworks.</w:t>
      </w:r>
    </w:p>
    <w:p w14:paraId="35B274F4" w14:textId="77777777" w:rsidR="00B65584" w:rsidRPr="009B50B8" w:rsidRDefault="00B65584" w:rsidP="00B65584">
      <w:pPr>
        <w:jc w:val="both"/>
        <w:rPr>
          <w:rFonts w:ascii="Arial" w:hAnsi="Arial" w:cs="Arial"/>
        </w:rPr>
      </w:pPr>
    </w:p>
    <w:p w14:paraId="1A3D86EA" w14:textId="77777777" w:rsidR="00B65584" w:rsidRPr="009B50B8" w:rsidRDefault="00B65584" w:rsidP="00B65584">
      <w:pPr>
        <w:jc w:val="both"/>
        <w:rPr>
          <w:rFonts w:ascii="Arial" w:hAnsi="Arial" w:cs="Arial"/>
          <w:b/>
          <w:bCs/>
        </w:rPr>
      </w:pPr>
      <w:r w:rsidRPr="009B50B8">
        <w:rPr>
          <w:rFonts w:ascii="Arial" w:hAnsi="Arial" w:cs="Arial"/>
          <w:b/>
          <w:bCs/>
        </w:rPr>
        <w:t>3.1 NATIONAL AND INTERNATIONAL CLIMATE POLICY</w:t>
      </w:r>
    </w:p>
    <w:p w14:paraId="456D836B" w14:textId="41F36C48" w:rsidR="00B65584" w:rsidRPr="009B50B8" w:rsidRDefault="00B65584" w:rsidP="00B65584">
      <w:pPr>
        <w:jc w:val="both"/>
        <w:rPr>
          <w:rFonts w:ascii="Arial" w:hAnsi="Arial" w:cs="Arial"/>
        </w:rPr>
      </w:pPr>
      <w:r w:rsidRPr="009B50B8">
        <w:rPr>
          <w:rFonts w:ascii="Arial" w:hAnsi="Arial" w:cs="Arial"/>
        </w:rPr>
        <w:t xml:space="preserve">Under the UNFCCC, countries submit Nationally Determined Contributions (NDCs). While many NDCs now mention "agriculture" or "land use," few have specific, measurable targets </w:t>
      </w:r>
      <w:r w:rsidRPr="009B50B8">
        <w:rPr>
          <w:rFonts w:ascii="Arial" w:hAnsi="Arial" w:cs="Arial"/>
        </w:rPr>
        <w:lastRenderedPageBreak/>
        <w:t xml:space="preserve">for SOC enhancement. Most focus on emission reductions from livestock or </w:t>
      </w:r>
      <w:proofErr w:type="spellStart"/>
      <w:r w:rsidR="00F718B2" w:rsidRPr="00F94903">
        <w:rPr>
          <w:rFonts w:ascii="Arial" w:hAnsi="Arial" w:cs="Arial"/>
          <w:highlight w:val="yellow"/>
        </w:rPr>
        <w:t>fertiliser</w:t>
      </w:r>
      <w:proofErr w:type="spellEnd"/>
      <w:r w:rsidR="00F718B2" w:rsidRPr="009B50B8">
        <w:rPr>
          <w:rFonts w:ascii="Arial" w:hAnsi="Arial" w:cs="Arial"/>
        </w:rPr>
        <w:t xml:space="preserve"> </w:t>
      </w:r>
      <w:r w:rsidRPr="009B50B8">
        <w:rPr>
          <w:rFonts w:ascii="Arial" w:hAnsi="Arial" w:cs="Arial"/>
        </w:rPr>
        <w:t>use rather than the CDR potential of soils. Integrating specific SOC targets into NDCs, as part of the Agriculture, Forestry, and Other Land Use (AFOLU) sector, is a critical next step.</w:t>
      </w:r>
    </w:p>
    <w:p w14:paraId="1557737E" w14:textId="77777777" w:rsidR="00B65584" w:rsidRPr="009B50B8" w:rsidRDefault="00B65584" w:rsidP="00B65584">
      <w:pPr>
        <w:ind w:firstLine="720"/>
        <w:jc w:val="both"/>
        <w:rPr>
          <w:rFonts w:ascii="Arial" w:hAnsi="Arial" w:cs="Arial"/>
        </w:rPr>
      </w:pPr>
    </w:p>
    <w:p w14:paraId="56F67786" w14:textId="77777777" w:rsidR="00B65584" w:rsidRPr="009B50B8" w:rsidRDefault="00B65584" w:rsidP="00B65584">
      <w:pPr>
        <w:jc w:val="both"/>
        <w:rPr>
          <w:rFonts w:ascii="Arial" w:hAnsi="Arial" w:cs="Arial"/>
          <w:b/>
          <w:bCs/>
        </w:rPr>
      </w:pPr>
      <w:r w:rsidRPr="009B50B8">
        <w:rPr>
          <w:rFonts w:ascii="Arial" w:hAnsi="Arial" w:cs="Arial"/>
          <w:b/>
          <w:bCs/>
        </w:rPr>
        <w:t>3.2 VOLUNTARY CARBON MARKETS (VCMS)</w:t>
      </w:r>
    </w:p>
    <w:p w14:paraId="485425D9" w14:textId="760EDA92" w:rsidR="00B65584" w:rsidRPr="009B50B8" w:rsidRDefault="00B65584" w:rsidP="00B65584">
      <w:pPr>
        <w:jc w:val="both"/>
        <w:rPr>
          <w:rFonts w:ascii="Arial" w:hAnsi="Arial" w:cs="Arial"/>
        </w:rPr>
      </w:pPr>
      <w:r w:rsidRPr="009B50B8">
        <w:rPr>
          <w:rFonts w:ascii="Arial" w:hAnsi="Arial" w:cs="Arial"/>
        </w:rPr>
        <w:t>The VCM has been the primary driver of investment in soil carbon projects to date. Several standards exist, such as Verra’s VM0042 protocol and the Soil Enrichment Protocol under the American Carbon Registry. However, the market remains nascent and fragmented. Table 2 illustrates the growth</w:t>
      </w:r>
      <w:r w:rsidR="00F718B2">
        <w:rPr>
          <w:rFonts w:ascii="Arial" w:hAnsi="Arial" w:cs="Arial"/>
        </w:rPr>
        <w:t>,</w:t>
      </w:r>
      <w:r w:rsidRPr="009B50B8">
        <w:rPr>
          <w:rFonts w:ascii="Arial" w:hAnsi="Arial" w:cs="Arial"/>
        </w:rPr>
        <w:t xml:space="preserve"> but also the minute scale of soil carbon credits relative to the broader market.</w:t>
      </w:r>
    </w:p>
    <w:p w14:paraId="5F3CCB53" w14:textId="77777777" w:rsidR="00B65584" w:rsidRPr="009B50B8" w:rsidRDefault="00B65584" w:rsidP="00B65584">
      <w:pPr>
        <w:jc w:val="both"/>
        <w:rPr>
          <w:rFonts w:ascii="Arial" w:hAnsi="Arial" w:cs="Arial"/>
        </w:rPr>
      </w:pPr>
    </w:p>
    <w:p w14:paraId="3A5112A8" w14:textId="77777777" w:rsidR="00B65584" w:rsidRPr="009B50B8" w:rsidRDefault="00B65584" w:rsidP="00B65584">
      <w:pPr>
        <w:jc w:val="both"/>
        <w:rPr>
          <w:rFonts w:ascii="Arial" w:hAnsi="Arial" w:cs="Arial"/>
          <w:b/>
          <w:bCs/>
        </w:rPr>
      </w:pPr>
      <w:r w:rsidRPr="009B50B8">
        <w:rPr>
          <w:rFonts w:ascii="Arial" w:hAnsi="Arial" w:cs="Arial"/>
          <w:b/>
          <w:bCs/>
        </w:rPr>
        <w:t>Table 2: Voluntary Carbon Market Trends (2019-2023)</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667"/>
        <w:gridCol w:w="728"/>
        <w:gridCol w:w="1217"/>
        <w:gridCol w:w="2438"/>
      </w:tblGrid>
      <w:tr w:rsidR="00B65584" w:rsidRPr="009B50B8" w14:paraId="4E761CFA" w14:textId="77777777" w:rsidTr="00266696">
        <w:tc>
          <w:tcPr>
            <w:tcW w:w="0" w:type="auto"/>
            <w:tcBorders>
              <w:top w:val="single" w:sz="4" w:space="0" w:color="auto"/>
              <w:bottom w:val="single" w:sz="4" w:space="0" w:color="auto"/>
            </w:tcBorders>
            <w:vAlign w:val="center"/>
          </w:tcPr>
          <w:p w14:paraId="53459943"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Metric</w:t>
            </w:r>
          </w:p>
        </w:tc>
        <w:tc>
          <w:tcPr>
            <w:tcW w:w="0" w:type="auto"/>
            <w:tcBorders>
              <w:top w:val="single" w:sz="4" w:space="0" w:color="auto"/>
              <w:bottom w:val="single" w:sz="4" w:space="0" w:color="auto"/>
            </w:tcBorders>
            <w:vAlign w:val="center"/>
          </w:tcPr>
          <w:p w14:paraId="30157E33"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2019</w:t>
            </w:r>
          </w:p>
        </w:tc>
        <w:tc>
          <w:tcPr>
            <w:tcW w:w="0" w:type="auto"/>
            <w:tcBorders>
              <w:top w:val="single" w:sz="4" w:space="0" w:color="auto"/>
              <w:bottom w:val="single" w:sz="4" w:space="0" w:color="auto"/>
            </w:tcBorders>
            <w:vAlign w:val="center"/>
          </w:tcPr>
          <w:p w14:paraId="439742B8"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2021</w:t>
            </w:r>
          </w:p>
        </w:tc>
        <w:tc>
          <w:tcPr>
            <w:tcW w:w="0" w:type="auto"/>
            <w:tcBorders>
              <w:top w:val="single" w:sz="4" w:space="0" w:color="auto"/>
              <w:bottom w:val="single" w:sz="4" w:space="0" w:color="auto"/>
            </w:tcBorders>
            <w:vAlign w:val="center"/>
          </w:tcPr>
          <w:p w14:paraId="1CE75EAB"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2023 (Est.)</w:t>
            </w:r>
          </w:p>
        </w:tc>
        <w:tc>
          <w:tcPr>
            <w:tcW w:w="0" w:type="auto"/>
            <w:tcBorders>
              <w:top w:val="single" w:sz="4" w:space="0" w:color="auto"/>
              <w:bottom w:val="single" w:sz="4" w:space="0" w:color="auto"/>
            </w:tcBorders>
            <w:vAlign w:val="center"/>
          </w:tcPr>
          <w:p w14:paraId="73278715"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Notes</w:t>
            </w:r>
          </w:p>
        </w:tc>
      </w:tr>
      <w:tr w:rsidR="00B65584" w:rsidRPr="009B50B8" w14:paraId="200579EE" w14:textId="77777777" w:rsidTr="00266696">
        <w:tc>
          <w:tcPr>
            <w:tcW w:w="0" w:type="auto"/>
            <w:tcBorders>
              <w:top w:val="single" w:sz="4" w:space="0" w:color="auto"/>
            </w:tcBorders>
            <w:vAlign w:val="center"/>
          </w:tcPr>
          <w:p w14:paraId="24426F79"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Total Credit Retirements (</w:t>
            </w:r>
            <w:proofErr w:type="spellStart"/>
            <w:r w:rsidRPr="009B50B8">
              <w:rPr>
                <w:rFonts w:ascii="Arial" w:hAnsi="Arial" w:cs="Arial"/>
                <w:sz w:val="20"/>
                <w:szCs w:val="20"/>
              </w:rPr>
              <w:t>MtCO</w:t>
            </w:r>
            <w:r w:rsidRPr="009B50B8">
              <w:rPr>
                <w:rFonts w:ascii="Times New Roman" w:hAnsi="Times New Roman" w:cs="Arial"/>
                <w:sz w:val="20"/>
                <w:szCs w:val="20"/>
              </w:rPr>
              <w:t>₂</w:t>
            </w:r>
            <w:r w:rsidRPr="009B50B8">
              <w:rPr>
                <w:rFonts w:ascii="Arial" w:hAnsi="Arial" w:cs="Arial"/>
                <w:sz w:val="20"/>
                <w:szCs w:val="20"/>
              </w:rPr>
              <w:t>e</w:t>
            </w:r>
            <w:proofErr w:type="spellEnd"/>
            <w:r w:rsidRPr="009B50B8">
              <w:rPr>
                <w:rFonts w:ascii="Arial" w:hAnsi="Arial" w:cs="Arial"/>
                <w:sz w:val="20"/>
                <w:szCs w:val="20"/>
              </w:rPr>
              <w:t>)</w:t>
            </w:r>
          </w:p>
        </w:tc>
        <w:tc>
          <w:tcPr>
            <w:tcW w:w="0" w:type="auto"/>
            <w:tcBorders>
              <w:top w:val="single" w:sz="4" w:space="0" w:color="auto"/>
            </w:tcBorders>
            <w:vAlign w:val="center"/>
          </w:tcPr>
          <w:p w14:paraId="23BB47D4"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104</w:t>
            </w:r>
          </w:p>
        </w:tc>
        <w:tc>
          <w:tcPr>
            <w:tcW w:w="0" w:type="auto"/>
            <w:tcBorders>
              <w:top w:val="single" w:sz="4" w:space="0" w:color="auto"/>
            </w:tcBorders>
            <w:vAlign w:val="center"/>
          </w:tcPr>
          <w:p w14:paraId="62BF65CF" w14:textId="77777777" w:rsidR="00B65584" w:rsidRPr="009B50B8" w:rsidRDefault="00B65584" w:rsidP="00BE6283">
            <w:pPr>
              <w:jc w:val="both"/>
              <w:rPr>
                <w:rFonts w:ascii="Arial" w:hAnsi="Arial" w:cs="Arial"/>
                <w:b/>
                <w:bCs/>
                <w:sz w:val="20"/>
                <w:szCs w:val="20"/>
              </w:rPr>
            </w:pPr>
            <w:r w:rsidRPr="009B50B8">
              <w:rPr>
                <w:rFonts w:ascii="Arial" w:hAnsi="Arial" w:cs="Arial"/>
                <w:sz w:val="20"/>
                <w:szCs w:val="20"/>
              </w:rPr>
              <w:t>159</w:t>
            </w:r>
          </w:p>
        </w:tc>
        <w:tc>
          <w:tcPr>
            <w:tcW w:w="0" w:type="auto"/>
            <w:tcBorders>
              <w:top w:val="single" w:sz="4" w:space="0" w:color="auto"/>
            </w:tcBorders>
            <w:vAlign w:val="center"/>
          </w:tcPr>
          <w:p w14:paraId="63B18F36" w14:textId="77777777" w:rsidR="00B65584" w:rsidRPr="009B50B8" w:rsidRDefault="00B65584" w:rsidP="00BE6283">
            <w:pPr>
              <w:jc w:val="both"/>
              <w:rPr>
                <w:rFonts w:ascii="Arial" w:hAnsi="Arial" w:cs="Arial"/>
                <w:b/>
                <w:bCs/>
                <w:sz w:val="20"/>
                <w:szCs w:val="20"/>
              </w:rPr>
            </w:pPr>
            <w:r w:rsidRPr="009B50B8">
              <w:rPr>
                <w:rFonts w:ascii="Arial" w:hAnsi="Arial" w:cs="Arial"/>
                <w:sz w:val="20"/>
                <w:szCs w:val="20"/>
              </w:rPr>
              <w:t>~200</w:t>
            </w:r>
          </w:p>
        </w:tc>
        <w:tc>
          <w:tcPr>
            <w:tcW w:w="0" w:type="auto"/>
            <w:tcBorders>
              <w:top w:val="single" w:sz="4" w:space="0" w:color="auto"/>
            </w:tcBorders>
            <w:vAlign w:val="center"/>
          </w:tcPr>
          <w:p w14:paraId="2DD002BB"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Market growing steadily</w:t>
            </w:r>
          </w:p>
        </w:tc>
      </w:tr>
      <w:tr w:rsidR="00B65584" w:rsidRPr="009B50B8" w14:paraId="2FBAEAF0" w14:textId="77777777" w:rsidTr="00266696">
        <w:tc>
          <w:tcPr>
            <w:tcW w:w="0" w:type="auto"/>
            <w:vAlign w:val="center"/>
          </w:tcPr>
          <w:p w14:paraId="0D236992"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Nature-Based Credit Retirements</w:t>
            </w:r>
          </w:p>
        </w:tc>
        <w:tc>
          <w:tcPr>
            <w:tcW w:w="0" w:type="auto"/>
            <w:vAlign w:val="center"/>
          </w:tcPr>
          <w:p w14:paraId="2295ABCE"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42</w:t>
            </w:r>
          </w:p>
        </w:tc>
        <w:tc>
          <w:tcPr>
            <w:tcW w:w="0" w:type="auto"/>
            <w:vAlign w:val="center"/>
          </w:tcPr>
          <w:p w14:paraId="62ECC64A" w14:textId="77777777" w:rsidR="00B65584" w:rsidRPr="009B50B8" w:rsidRDefault="00B65584" w:rsidP="00BE6283">
            <w:pPr>
              <w:jc w:val="both"/>
              <w:rPr>
                <w:rFonts w:ascii="Arial" w:hAnsi="Arial" w:cs="Arial"/>
                <w:b/>
                <w:bCs/>
                <w:sz w:val="20"/>
                <w:szCs w:val="20"/>
              </w:rPr>
            </w:pPr>
            <w:r w:rsidRPr="009B50B8">
              <w:rPr>
                <w:rFonts w:ascii="Arial" w:hAnsi="Arial" w:cs="Arial"/>
                <w:sz w:val="20"/>
                <w:szCs w:val="20"/>
              </w:rPr>
              <w:t>68</w:t>
            </w:r>
          </w:p>
        </w:tc>
        <w:tc>
          <w:tcPr>
            <w:tcW w:w="0" w:type="auto"/>
            <w:vAlign w:val="center"/>
          </w:tcPr>
          <w:p w14:paraId="307FF786" w14:textId="77777777" w:rsidR="00B65584" w:rsidRPr="009B50B8" w:rsidRDefault="00B65584" w:rsidP="00BE6283">
            <w:pPr>
              <w:jc w:val="both"/>
              <w:rPr>
                <w:rFonts w:ascii="Arial" w:hAnsi="Arial" w:cs="Arial"/>
                <w:b/>
                <w:bCs/>
                <w:sz w:val="20"/>
                <w:szCs w:val="20"/>
              </w:rPr>
            </w:pPr>
            <w:r w:rsidRPr="009B50B8">
              <w:rPr>
                <w:rFonts w:ascii="Arial" w:hAnsi="Arial" w:cs="Arial"/>
                <w:sz w:val="20"/>
                <w:szCs w:val="20"/>
              </w:rPr>
              <w:t>~100</w:t>
            </w:r>
          </w:p>
        </w:tc>
        <w:tc>
          <w:tcPr>
            <w:tcW w:w="0" w:type="auto"/>
            <w:vAlign w:val="center"/>
          </w:tcPr>
          <w:p w14:paraId="3847A613"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~50% of the market</w:t>
            </w:r>
          </w:p>
        </w:tc>
      </w:tr>
      <w:tr w:rsidR="00B65584" w:rsidRPr="009B50B8" w14:paraId="27D00DDB" w14:textId="77777777" w:rsidTr="00266696">
        <w:tc>
          <w:tcPr>
            <w:tcW w:w="0" w:type="auto"/>
            <w:vAlign w:val="center"/>
          </w:tcPr>
          <w:p w14:paraId="30D3D055"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Soil Carbon Credit Retirements</w:t>
            </w:r>
          </w:p>
        </w:tc>
        <w:tc>
          <w:tcPr>
            <w:tcW w:w="0" w:type="auto"/>
            <w:vAlign w:val="center"/>
          </w:tcPr>
          <w:p w14:paraId="48EC09DF"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&lt; 0.5</w:t>
            </w:r>
          </w:p>
        </w:tc>
        <w:tc>
          <w:tcPr>
            <w:tcW w:w="0" w:type="auto"/>
            <w:vAlign w:val="center"/>
          </w:tcPr>
          <w:p w14:paraId="2243844F" w14:textId="77777777" w:rsidR="00B65584" w:rsidRPr="009B50B8" w:rsidRDefault="00B65584" w:rsidP="00BE6283">
            <w:pPr>
              <w:jc w:val="both"/>
              <w:rPr>
                <w:rFonts w:ascii="Arial" w:hAnsi="Arial" w:cs="Arial"/>
                <w:b/>
                <w:bCs/>
                <w:sz w:val="20"/>
                <w:szCs w:val="20"/>
              </w:rPr>
            </w:pPr>
            <w:r w:rsidRPr="009B50B8">
              <w:rPr>
                <w:rFonts w:ascii="Arial" w:hAnsi="Arial" w:cs="Arial"/>
                <w:sz w:val="20"/>
                <w:szCs w:val="20"/>
              </w:rPr>
              <w:t>~1.5</w:t>
            </w:r>
          </w:p>
        </w:tc>
        <w:tc>
          <w:tcPr>
            <w:tcW w:w="0" w:type="auto"/>
            <w:vAlign w:val="center"/>
          </w:tcPr>
          <w:p w14:paraId="13378B71" w14:textId="77777777" w:rsidR="00B65584" w:rsidRPr="009B50B8" w:rsidRDefault="00B65584" w:rsidP="00BE6283">
            <w:pPr>
              <w:jc w:val="both"/>
              <w:rPr>
                <w:rFonts w:ascii="Arial" w:hAnsi="Arial" w:cs="Arial"/>
                <w:b/>
                <w:bCs/>
                <w:sz w:val="20"/>
                <w:szCs w:val="20"/>
              </w:rPr>
            </w:pPr>
            <w:r w:rsidRPr="009B50B8">
              <w:rPr>
                <w:rFonts w:ascii="Arial" w:hAnsi="Arial" w:cs="Arial"/>
                <w:sz w:val="20"/>
                <w:szCs w:val="20"/>
              </w:rPr>
              <w:t>~4-5</w:t>
            </w:r>
          </w:p>
        </w:tc>
        <w:tc>
          <w:tcPr>
            <w:tcW w:w="0" w:type="auto"/>
            <w:vAlign w:val="center"/>
          </w:tcPr>
          <w:p w14:paraId="54ED1F21" w14:textId="77777777" w:rsidR="00B65584" w:rsidRPr="009B50B8" w:rsidRDefault="00B65584" w:rsidP="00BE6283">
            <w:pPr>
              <w:ind w:right="-302"/>
              <w:jc w:val="both"/>
              <w:rPr>
                <w:rFonts w:ascii="Arial" w:hAnsi="Arial" w:cs="Arial"/>
                <w:sz w:val="20"/>
                <w:szCs w:val="20"/>
              </w:rPr>
            </w:pPr>
            <w:r w:rsidRPr="009B50B8">
              <w:rPr>
                <w:rFonts w:ascii="Arial" w:hAnsi="Arial" w:cs="Arial"/>
                <w:sz w:val="20"/>
                <w:szCs w:val="20"/>
              </w:rPr>
              <w:t>Fast growth from a tiny base</w:t>
            </w:r>
          </w:p>
        </w:tc>
      </w:tr>
      <w:tr w:rsidR="00B65584" w:rsidRPr="009B50B8" w14:paraId="7F46F8F0" w14:textId="77777777" w:rsidTr="00266696">
        <w:tc>
          <w:tcPr>
            <w:tcW w:w="0" w:type="auto"/>
            <w:vAlign w:val="center"/>
          </w:tcPr>
          <w:p w14:paraId="73B04E5E"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Avg. Price per Soil Credit ($)</w:t>
            </w:r>
          </w:p>
        </w:tc>
        <w:tc>
          <w:tcPr>
            <w:tcW w:w="0" w:type="auto"/>
            <w:vAlign w:val="center"/>
          </w:tcPr>
          <w:p w14:paraId="4DBB54BF"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$4-6</w:t>
            </w:r>
          </w:p>
        </w:tc>
        <w:tc>
          <w:tcPr>
            <w:tcW w:w="0" w:type="auto"/>
            <w:vAlign w:val="center"/>
          </w:tcPr>
          <w:p w14:paraId="26AF131B" w14:textId="77777777" w:rsidR="00B65584" w:rsidRPr="009B50B8" w:rsidRDefault="00B65584" w:rsidP="00BE6283">
            <w:pPr>
              <w:jc w:val="both"/>
              <w:rPr>
                <w:rFonts w:ascii="Arial" w:hAnsi="Arial" w:cs="Arial"/>
                <w:b/>
                <w:bCs/>
                <w:sz w:val="20"/>
                <w:szCs w:val="20"/>
              </w:rPr>
            </w:pPr>
            <w:r w:rsidRPr="009B50B8">
              <w:rPr>
                <w:rFonts w:ascii="Arial" w:hAnsi="Arial" w:cs="Arial"/>
                <w:sz w:val="20"/>
                <w:szCs w:val="20"/>
              </w:rPr>
              <w:t>$8-12</w:t>
            </w:r>
          </w:p>
        </w:tc>
        <w:tc>
          <w:tcPr>
            <w:tcW w:w="0" w:type="auto"/>
            <w:vAlign w:val="center"/>
          </w:tcPr>
          <w:p w14:paraId="257CC5FB" w14:textId="77777777" w:rsidR="00B65584" w:rsidRPr="009B50B8" w:rsidRDefault="00B65584" w:rsidP="00BE6283">
            <w:pPr>
              <w:jc w:val="both"/>
              <w:rPr>
                <w:rFonts w:ascii="Arial" w:hAnsi="Arial" w:cs="Arial"/>
                <w:b/>
                <w:bCs/>
                <w:sz w:val="20"/>
                <w:szCs w:val="20"/>
              </w:rPr>
            </w:pPr>
            <w:r w:rsidRPr="009B50B8">
              <w:rPr>
                <w:rFonts w:ascii="Arial" w:hAnsi="Arial" w:cs="Arial"/>
                <w:sz w:val="20"/>
                <w:szCs w:val="20"/>
              </w:rPr>
              <w:t>$15-25</w:t>
            </w:r>
          </w:p>
        </w:tc>
        <w:tc>
          <w:tcPr>
            <w:tcW w:w="0" w:type="auto"/>
            <w:vAlign w:val="center"/>
          </w:tcPr>
          <w:p w14:paraId="3EC3F97D" w14:textId="77777777" w:rsidR="00B65584" w:rsidRPr="009B50B8" w:rsidRDefault="00B65584" w:rsidP="00BE6283">
            <w:pPr>
              <w:jc w:val="both"/>
              <w:rPr>
                <w:rFonts w:ascii="Arial" w:hAnsi="Arial" w:cs="Arial"/>
                <w:sz w:val="20"/>
                <w:szCs w:val="20"/>
              </w:rPr>
            </w:pPr>
            <w:r w:rsidRPr="009B50B8">
              <w:rPr>
                <w:rFonts w:ascii="Arial" w:hAnsi="Arial" w:cs="Arial"/>
                <w:sz w:val="20"/>
                <w:szCs w:val="20"/>
              </w:rPr>
              <w:t>Premium for co-benefits</w:t>
            </w:r>
          </w:p>
        </w:tc>
      </w:tr>
    </w:tbl>
    <w:p w14:paraId="60C908CB" w14:textId="328DCB64" w:rsidR="00B65584" w:rsidRPr="009B50B8" w:rsidRDefault="00B65584" w:rsidP="00B65584">
      <w:pPr>
        <w:jc w:val="both"/>
        <w:rPr>
          <w:rFonts w:ascii="Arial" w:hAnsi="Arial" w:cs="Arial"/>
        </w:rPr>
      </w:pPr>
      <w:r w:rsidRPr="009B50B8">
        <w:rPr>
          <w:rFonts w:ascii="Arial" w:hAnsi="Arial" w:cs="Arial"/>
          <w:b/>
          <w:bCs/>
        </w:rPr>
        <w:t>Source</w:t>
      </w:r>
      <w:r w:rsidRPr="009B50B8">
        <w:rPr>
          <w:rFonts w:ascii="Arial" w:hAnsi="Arial" w:cs="Arial"/>
        </w:rPr>
        <w:t xml:space="preserve">: </w:t>
      </w:r>
      <w:proofErr w:type="spellStart"/>
      <w:r w:rsidR="00F718B2" w:rsidRPr="00F94903">
        <w:rPr>
          <w:rFonts w:ascii="Arial" w:hAnsi="Arial" w:cs="Arial"/>
          <w:highlight w:val="yellow"/>
        </w:rPr>
        <w:t>Synthesised</w:t>
      </w:r>
      <w:proofErr w:type="spellEnd"/>
      <w:r w:rsidR="00F718B2" w:rsidRPr="00F94903">
        <w:rPr>
          <w:rFonts w:ascii="Arial" w:hAnsi="Arial" w:cs="Arial"/>
          <w:highlight w:val="yellow"/>
        </w:rPr>
        <w:t xml:space="preserve"> </w:t>
      </w:r>
      <w:r w:rsidRPr="009B50B8">
        <w:rPr>
          <w:rFonts w:ascii="Arial" w:hAnsi="Arial" w:cs="Arial"/>
        </w:rPr>
        <w:t>from Ecosystem Marketplace reports and authors' analysis</w:t>
      </w:r>
    </w:p>
    <w:p w14:paraId="1B634C75" w14:textId="77777777" w:rsidR="00B65584" w:rsidRPr="009B50B8" w:rsidRDefault="00B65584" w:rsidP="00B65584">
      <w:pPr>
        <w:jc w:val="both"/>
        <w:rPr>
          <w:rFonts w:ascii="Arial" w:hAnsi="Arial" w:cs="Arial"/>
        </w:rPr>
      </w:pPr>
    </w:p>
    <w:p w14:paraId="4B78EFE2" w14:textId="77777777" w:rsidR="00B65584" w:rsidRPr="009B50B8" w:rsidRDefault="00B65584" w:rsidP="00B65584">
      <w:pPr>
        <w:jc w:val="both"/>
        <w:rPr>
          <w:rFonts w:ascii="Arial" w:hAnsi="Arial" w:cs="Arial"/>
        </w:rPr>
      </w:pPr>
      <w:r w:rsidRPr="009B50B8">
        <w:rPr>
          <w:rFonts w:ascii="Arial" w:hAnsi="Arial" w:cs="Arial"/>
        </w:rPr>
        <w:t>The price premium for soil carbon credits, as shown in Table 2, often reflects buyer interest in the agricultural co-benefits, not just the carbon itself.</w:t>
      </w:r>
    </w:p>
    <w:p w14:paraId="79978099" w14:textId="77777777" w:rsidR="00B65584" w:rsidRPr="009B50B8" w:rsidRDefault="00B65584" w:rsidP="00B65584">
      <w:pPr>
        <w:jc w:val="both"/>
        <w:rPr>
          <w:rFonts w:ascii="Arial" w:hAnsi="Arial" w:cs="Arial"/>
        </w:rPr>
      </w:pPr>
    </w:p>
    <w:p w14:paraId="442D6312" w14:textId="77777777" w:rsidR="00B65584" w:rsidRPr="009B50B8" w:rsidRDefault="00B65584" w:rsidP="00B65584">
      <w:pPr>
        <w:jc w:val="both"/>
        <w:rPr>
          <w:rFonts w:ascii="Arial" w:hAnsi="Arial" w:cs="Arial"/>
        </w:rPr>
      </w:pPr>
      <w:r w:rsidRPr="009B50B8">
        <w:rPr>
          <w:rFonts w:ascii="Arial" w:hAnsi="Arial" w:cs="Arial"/>
          <w:b/>
          <w:bCs/>
        </w:rPr>
        <w:t>3.3 CASE STUDIES IN SOIL CARBON MANAGEMENT</w:t>
      </w:r>
    </w:p>
    <w:p w14:paraId="1C3E7C30" w14:textId="04C08EE1" w:rsidR="00B65584" w:rsidRPr="009B50B8" w:rsidRDefault="00B65584" w:rsidP="00B65584">
      <w:pPr>
        <w:jc w:val="both"/>
        <w:rPr>
          <w:rFonts w:ascii="Arial" w:hAnsi="Arial" w:cs="Arial"/>
        </w:rPr>
      </w:pPr>
      <w:r w:rsidRPr="009B50B8">
        <w:rPr>
          <w:rFonts w:ascii="Arial" w:hAnsi="Arial" w:cs="Arial"/>
        </w:rPr>
        <w:t xml:space="preserve">The theoretical potential of soil carbon sequestration is being tested and demonstrated in various projects worldwide, which are </w:t>
      </w:r>
      <w:proofErr w:type="spellStart"/>
      <w:r w:rsidR="00F718B2" w:rsidRPr="00F94903">
        <w:rPr>
          <w:rFonts w:ascii="Arial" w:hAnsi="Arial" w:cs="Arial"/>
          <w:highlight w:val="yellow"/>
        </w:rPr>
        <w:t>summarised</w:t>
      </w:r>
      <w:proofErr w:type="spellEnd"/>
      <w:r w:rsidR="00F718B2" w:rsidRPr="00F94903">
        <w:rPr>
          <w:rFonts w:ascii="Arial" w:hAnsi="Arial" w:cs="Arial"/>
          <w:highlight w:val="yellow"/>
        </w:rPr>
        <w:t xml:space="preserve"> </w:t>
      </w:r>
      <w:r w:rsidRPr="009B50B8">
        <w:rPr>
          <w:rFonts w:ascii="Arial" w:hAnsi="Arial" w:cs="Arial"/>
        </w:rPr>
        <w:t>in Table 3. These case studies highlight different models of implementation, financing, and challenges, providing crucial lessons for future scaling.</w:t>
      </w:r>
    </w:p>
    <w:p w14:paraId="242EFE54" w14:textId="77777777" w:rsidR="00B65584" w:rsidRPr="009B50B8" w:rsidRDefault="00B65584" w:rsidP="00B65584">
      <w:pPr>
        <w:ind w:firstLine="720"/>
        <w:jc w:val="both"/>
        <w:rPr>
          <w:rFonts w:ascii="Arial" w:hAnsi="Arial" w:cs="Arial"/>
        </w:rPr>
      </w:pPr>
    </w:p>
    <w:p w14:paraId="39DF9B88" w14:textId="77777777" w:rsidR="00B65584" w:rsidRDefault="00B65584" w:rsidP="00B65584">
      <w:pPr>
        <w:jc w:val="both"/>
        <w:rPr>
          <w:rFonts w:ascii="Arial" w:hAnsi="Arial" w:cs="Arial"/>
          <w:b/>
          <w:bCs/>
        </w:rPr>
      </w:pPr>
      <w:r w:rsidRPr="009B50B8">
        <w:rPr>
          <w:rFonts w:ascii="Arial" w:hAnsi="Arial" w:cs="Arial"/>
          <w:b/>
          <w:bCs/>
        </w:rPr>
        <w:t>3.3.1 GLOBAL CASE STUDY: THE AUSTRALIAN CARBON FARMING INITIATIVE (CFI)</w:t>
      </w:r>
    </w:p>
    <w:p w14:paraId="525E8107" w14:textId="77777777" w:rsidR="00B65584" w:rsidRPr="009B50B8" w:rsidRDefault="00B65584" w:rsidP="00B65584">
      <w:pPr>
        <w:jc w:val="both"/>
        <w:rPr>
          <w:rFonts w:ascii="Arial" w:hAnsi="Arial" w:cs="Arial"/>
        </w:rPr>
      </w:pPr>
      <w:r w:rsidRPr="009B50B8">
        <w:rPr>
          <w:rFonts w:ascii="Arial" w:hAnsi="Arial" w:cs="Arial"/>
        </w:rPr>
        <w:t>Australia's CFI, established by the government in 2011 and now part of the Emissions Reduction Fund (ERF), is one of the world's most advanced legislative frameworks for soil carbon. It provides a methodology for farmers to earn Australian Carbon Credit Units (ACCUs) for sequestering carbon through approved practices like pasture cropping, nutrient management, and grazing management.</w:t>
      </w:r>
    </w:p>
    <w:p w14:paraId="0E88D478" w14:textId="77777777" w:rsidR="00B65584" w:rsidRPr="009B50B8" w:rsidRDefault="00B65584" w:rsidP="00B65584">
      <w:pPr>
        <w:numPr>
          <w:ilvl w:val="0"/>
          <w:numId w:val="31"/>
        </w:numPr>
        <w:jc w:val="both"/>
        <w:rPr>
          <w:rFonts w:ascii="Arial" w:hAnsi="Arial" w:cs="Arial"/>
        </w:rPr>
      </w:pPr>
      <w:r w:rsidRPr="009B50B8">
        <w:rPr>
          <w:rFonts w:ascii="Arial" w:hAnsi="Arial" w:cs="Arial"/>
          <w:b/>
          <w:bCs/>
        </w:rPr>
        <w:t>Location:</w:t>
      </w:r>
      <w:r w:rsidRPr="009B50B8">
        <w:rPr>
          <w:rFonts w:ascii="Arial" w:hAnsi="Arial" w:cs="Arial"/>
        </w:rPr>
        <w:t> Nationwide, Australia.</w:t>
      </w:r>
    </w:p>
    <w:p w14:paraId="324BBACA" w14:textId="77777777" w:rsidR="00B65584" w:rsidRPr="009B50B8" w:rsidRDefault="00B65584" w:rsidP="00B65584">
      <w:pPr>
        <w:numPr>
          <w:ilvl w:val="0"/>
          <w:numId w:val="31"/>
        </w:numPr>
        <w:jc w:val="both"/>
        <w:rPr>
          <w:rFonts w:ascii="Arial" w:hAnsi="Arial" w:cs="Arial"/>
        </w:rPr>
      </w:pPr>
      <w:r w:rsidRPr="009B50B8">
        <w:rPr>
          <w:rFonts w:ascii="Arial" w:hAnsi="Arial" w:cs="Arial"/>
          <w:b/>
          <w:bCs/>
        </w:rPr>
        <w:t>Scale:</w:t>
      </w:r>
      <w:r w:rsidRPr="009B50B8">
        <w:rPr>
          <w:rFonts w:ascii="Arial" w:hAnsi="Arial" w:cs="Arial"/>
        </w:rPr>
        <w:t> Hundreds of projects across millions of hectares of rangeland and agricultural land.</w:t>
      </w:r>
    </w:p>
    <w:p w14:paraId="1E499DE5" w14:textId="77777777" w:rsidR="00B65584" w:rsidRPr="009B50B8" w:rsidRDefault="00B65584" w:rsidP="00B65584">
      <w:pPr>
        <w:numPr>
          <w:ilvl w:val="0"/>
          <w:numId w:val="31"/>
        </w:numPr>
        <w:jc w:val="both"/>
        <w:rPr>
          <w:rFonts w:ascii="Arial" w:hAnsi="Arial" w:cs="Arial"/>
        </w:rPr>
      </w:pPr>
      <w:r w:rsidRPr="009B50B8">
        <w:rPr>
          <w:rFonts w:ascii="Arial" w:hAnsi="Arial" w:cs="Arial"/>
          <w:b/>
          <w:bCs/>
        </w:rPr>
        <w:t>Key Practices:</w:t>
      </w:r>
      <w:r w:rsidRPr="009B50B8">
        <w:rPr>
          <w:rFonts w:ascii="Arial" w:hAnsi="Arial" w:cs="Arial"/>
        </w:rPr>
        <w:t> Adjusted stocking rates, pasture sowing, fire management, and rotational grazing.</w:t>
      </w:r>
    </w:p>
    <w:p w14:paraId="093B0AC0" w14:textId="3224ABD2" w:rsidR="00B65584" w:rsidRPr="009B50B8" w:rsidRDefault="00B65584" w:rsidP="00B65584">
      <w:pPr>
        <w:numPr>
          <w:ilvl w:val="0"/>
          <w:numId w:val="31"/>
        </w:numPr>
        <w:jc w:val="both"/>
        <w:rPr>
          <w:rFonts w:ascii="Arial" w:hAnsi="Arial" w:cs="Arial"/>
        </w:rPr>
      </w:pPr>
      <w:r w:rsidRPr="009B50B8">
        <w:rPr>
          <w:rFonts w:ascii="Arial" w:hAnsi="Arial" w:cs="Arial"/>
          <w:b/>
          <w:bCs/>
        </w:rPr>
        <w:t>Outcomes:</w:t>
      </w:r>
      <w:r w:rsidRPr="009B50B8">
        <w:rPr>
          <w:rFonts w:ascii="Arial" w:hAnsi="Arial" w:cs="Arial"/>
        </w:rPr>
        <w:t xml:space="preserve"> The program has successfully created a new income stream for farmers, making rural properties more financially resilient. A study by de </w:t>
      </w:r>
      <w:proofErr w:type="spellStart"/>
      <w:r w:rsidRPr="009B50B8">
        <w:rPr>
          <w:rFonts w:ascii="Arial" w:hAnsi="Arial" w:cs="Arial"/>
        </w:rPr>
        <w:t>Liocourt</w:t>
      </w:r>
      <w:proofErr w:type="spellEnd"/>
      <w:r w:rsidR="00F718B2">
        <w:rPr>
          <w:rFonts w:ascii="Arial" w:hAnsi="Arial" w:cs="Arial"/>
        </w:rPr>
        <w:t xml:space="preserve"> (</w:t>
      </w:r>
      <w:r w:rsidRPr="009B50B8">
        <w:rPr>
          <w:rFonts w:ascii="Arial" w:hAnsi="Arial" w:cs="Arial"/>
        </w:rPr>
        <w:t>2022) found that participating farms showed increased ground cover and biomass production, indicating improved land health alongside carbon gains.</w:t>
      </w:r>
    </w:p>
    <w:p w14:paraId="39180FD6" w14:textId="77777777" w:rsidR="00B65584" w:rsidRPr="009B50B8" w:rsidRDefault="00B65584" w:rsidP="00B65584">
      <w:pPr>
        <w:numPr>
          <w:ilvl w:val="0"/>
          <w:numId w:val="31"/>
        </w:numPr>
        <w:jc w:val="both"/>
        <w:rPr>
          <w:rFonts w:ascii="Arial" w:hAnsi="Arial" w:cs="Arial"/>
        </w:rPr>
      </w:pPr>
      <w:r w:rsidRPr="009B50B8">
        <w:rPr>
          <w:rFonts w:ascii="Arial" w:hAnsi="Arial" w:cs="Arial"/>
          <w:b/>
          <w:bCs/>
        </w:rPr>
        <w:t>Lessons Learned:</w:t>
      </w:r>
      <w:r w:rsidRPr="009B50B8">
        <w:rPr>
          <w:rFonts w:ascii="Arial" w:hAnsi="Arial" w:cs="Arial"/>
        </w:rPr>
        <w:t> The CFI demonstrates the critical role of government in creating a stable, regulated market. Its robust, science-based methodology has become a global benchmark. However, challenges remain, including the high upfront cost of measurement and the complexity of the application process, which can be a barrier for smaller landowners.</w:t>
      </w:r>
    </w:p>
    <w:p w14:paraId="6B246566" w14:textId="77777777" w:rsidR="00B65584" w:rsidRPr="009B50B8" w:rsidRDefault="00B65584" w:rsidP="00B65584">
      <w:pPr>
        <w:ind w:left="720"/>
        <w:jc w:val="both"/>
        <w:rPr>
          <w:rFonts w:ascii="Arial" w:hAnsi="Arial" w:cs="Arial"/>
        </w:rPr>
      </w:pPr>
    </w:p>
    <w:p w14:paraId="6E52E008" w14:textId="77777777" w:rsidR="00B65584" w:rsidRDefault="00B65584" w:rsidP="00B65584">
      <w:pPr>
        <w:rPr>
          <w:rFonts w:ascii="Arial" w:hAnsi="Arial" w:cs="Arial"/>
          <w:b/>
          <w:bCs/>
        </w:rPr>
      </w:pPr>
      <w:r w:rsidRPr="009B50B8">
        <w:rPr>
          <w:rFonts w:ascii="Arial" w:hAnsi="Arial" w:cs="Arial"/>
          <w:b/>
          <w:bCs/>
        </w:rPr>
        <w:t>3.3.2 GLOBAL CASE STUDY: THE NORI MARKETPLACE (USA)</w:t>
      </w:r>
    </w:p>
    <w:p w14:paraId="7C6974FC" w14:textId="77777777" w:rsidR="00B65584" w:rsidRPr="009B50B8" w:rsidRDefault="00B65584" w:rsidP="00B65584">
      <w:pPr>
        <w:ind w:left="360"/>
        <w:jc w:val="both"/>
        <w:rPr>
          <w:rFonts w:ascii="Arial" w:hAnsi="Arial" w:cs="Arial"/>
        </w:rPr>
      </w:pPr>
      <w:r w:rsidRPr="009B50B8">
        <w:rPr>
          <w:rFonts w:ascii="Arial" w:hAnsi="Arial" w:cs="Arial"/>
        </w:rPr>
        <w:t xml:space="preserve">Nori is a private, for-profit startup that represents a purely market-driven approach. It creates a direct marketplace where farmers can sell carbon removal </w:t>
      </w:r>
      <w:proofErr w:type="spellStart"/>
      <w:r w:rsidRPr="009B50B8">
        <w:rPr>
          <w:rFonts w:ascii="Arial" w:hAnsi="Arial" w:cs="Arial"/>
        </w:rPr>
        <w:t>tonnes</w:t>
      </w:r>
      <w:proofErr w:type="spellEnd"/>
      <w:r w:rsidRPr="009B50B8">
        <w:rPr>
          <w:rFonts w:ascii="Arial" w:hAnsi="Arial" w:cs="Arial"/>
        </w:rPr>
        <w:t xml:space="preserve"> (NRTs) to corporations and individuals seeking to offset their emissions. Nori simplifies the process </w:t>
      </w:r>
      <w:r w:rsidRPr="009B50B8">
        <w:rPr>
          <w:rFonts w:ascii="Arial" w:hAnsi="Arial" w:cs="Arial"/>
        </w:rPr>
        <w:lastRenderedPageBreak/>
        <w:t>by using a specific methodology focused on no-till and cover cropping, and it uses modelling and third-party verification to estimate carbon sequestration.</w:t>
      </w:r>
    </w:p>
    <w:p w14:paraId="74B9DEE8" w14:textId="77777777" w:rsidR="00B65584" w:rsidRPr="009B50B8" w:rsidRDefault="00B65584" w:rsidP="00B65584">
      <w:pPr>
        <w:numPr>
          <w:ilvl w:val="0"/>
          <w:numId w:val="32"/>
        </w:numPr>
        <w:jc w:val="both"/>
        <w:rPr>
          <w:rFonts w:ascii="Arial" w:hAnsi="Arial" w:cs="Arial"/>
        </w:rPr>
      </w:pPr>
      <w:r w:rsidRPr="009B50B8">
        <w:rPr>
          <w:rFonts w:ascii="Arial" w:hAnsi="Arial" w:cs="Arial"/>
          <w:b/>
          <w:bCs/>
        </w:rPr>
        <w:t>Location:</w:t>
      </w:r>
      <w:r w:rsidRPr="009B50B8">
        <w:rPr>
          <w:rFonts w:ascii="Arial" w:hAnsi="Arial" w:cs="Arial"/>
        </w:rPr>
        <w:t> Primarily the United States.</w:t>
      </w:r>
    </w:p>
    <w:p w14:paraId="19A951C3" w14:textId="77777777" w:rsidR="00B65584" w:rsidRPr="009B50B8" w:rsidRDefault="00B65584" w:rsidP="00B65584">
      <w:pPr>
        <w:numPr>
          <w:ilvl w:val="0"/>
          <w:numId w:val="32"/>
        </w:numPr>
        <w:jc w:val="both"/>
        <w:rPr>
          <w:rFonts w:ascii="Arial" w:hAnsi="Arial" w:cs="Arial"/>
        </w:rPr>
      </w:pPr>
      <w:r w:rsidRPr="009B50B8">
        <w:rPr>
          <w:rFonts w:ascii="Arial" w:hAnsi="Arial" w:cs="Arial"/>
          <w:b/>
          <w:bCs/>
        </w:rPr>
        <w:t>Scale:</w:t>
      </w:r>
      <w:r w:rsidRPr="009B50B8">
        <w:rPr>
          <w:rFonts w:ascii="Arial" w:hAnsi="Arial" w:cs="Arial"/>
        </w:rPr>
        <w:t> Dozens of projects, with a focus on the Corn Belt.</w:t>
      </w:r>
    </w:p>
    <w:p w14:paraId="0FB25379" w14:textId="77777777" w:rsidR="00B65584" w:rsidRPr="009B50B8" w:rsidRDefault="00B65584" w:rsidP="00B65584">
      <w:pPr>
        <w:numPr>
          <w:ilvl w:val="0"/>
          <w:numId w:val="32"/>
        </w:numPr>
        <w:jc w:val="both"/>
        <w:rPr>
          <w:rFonts w:ascii="Arial" w:hAnsi="Arial" w:cs="Arial"/>
        </w:rPr>
      </w:pPr>
      <w:r w:rsidRPr="009B50B8">
        <w:rPr>
          <w:rFonts w:ascii="Arial" w:hAnsi="Arial" w:cs="Arial"/>
          <w:b/>
          <w:bCs/>
        </w:rPr>
        <w:t>Key Practices:</w:t>
      </w:r>
      <w:r w:rsidRPr="009B50B8">
        <w:rPr>
          <w:rFonts w:ascii="Arial" w:hAnsi="Arial" w:cs="Arial"/>
        </w:rPr>
        <w:t> Adoption of no-till and cover cropping, verified against a historical baseline.</w:t>
      </w:r>
    </w:p>
    <w:p w14:paraId="4739142F" w14:textId="77777777" w:rsidR="00B65584" w:rsidRPr="009B50B8" w:rsidRDefault="00B65584" w:rsidP="00B65584">
      <w:pPr>
        <w:numPr>
          <w:ilvl w:val="0"/>
          <w:numId w:val="32"/>
        </w:numPr>
        <w:jc w:val="both"/>
        <w:rPr>
          <w:rFonts w:ascii="Arial" w:hAnsi="Arial" w:cs="Arial"/>
        </w:rPr>
      </w:pPr>
      <w:r w:rsidRPr="009B50B8">
        <w:rPr>
          <w:rFonts w:ascii="Arial" w:hAnsi="Arial" w:cs="Arial"/>
          <w:b/>
          <w:bCs/>
        </w:rPr>
        <w:t>Outcomes:</w:t>
      </w:r>
      <w:r w:rsidRPr="009B50B8">
        <w:rPr>
          <w:rFonts w:ascii="Arial" w:hAnsi="Arial" w:cs="Arial"/>
        </w:rPr>
        <w:t> Nori has been successful in attracting corporate buyers interested in transparent, US-based carbon removal. It offers a streamlined process for farmers and uses a reverse auction to set prices.</w:t>
      </w:r>
    </w:p>
    <w:p w14:paraId="73C836FF" w14:textId="77777777" w:rsidR="00B65584" w:rsidRPr="009B50B8" w:rsidRDefault="00B65584" w:rsidP="00B65584">
      <w:pPr>
        <w:numPr>
          <w:ilvl w:val="0"/>
          <w:numId w:val="32"/>
        </w:numPr>
        <w:jc w:val="both"/>
        <w:rPr>
          <w:rFonts w:ascii="Arial" w:hAnsi="Arial" w:cs="Arial"/>
        </w:rPr>
      </w:pPr>
      <w:r w:rsidRPr="009B50B8">
        <w:rPr>
          <w:rFonts w:ascii="Arial" w:hAnsi="Arial" w:cs="Arial"/>
          <w:b/>
          <w:bCs/>
        </w:rPr>
        <w:t>Lessons Learned:</w:t>
      </w:r>
      <w:r w:rsidRPr="009B50B8">
        <w:rPr>
          <w:rFonts w:ascii="Arial" w:hAnsi="Arial" w:cs="Arial"/>
        </w:rPr>
        <w:t xml:space="preserve"> Nori highlights the potential for innovation in the private sector to lower transaction costs and simplify farmer participation. However, its narrow focus on a limited set of practices shows the trade-off between methodological simplicity and the comprehensive adoption of full regenerative systems. Its long-term success depends on maintaining buyer trust and ensuring the scientific </w:t>
      </w:r>
      <w:proofErr w:type="spellStart"/>
      <w:r w:rsidRPr="009B50B8">
        <w:rPr>
          <w:rFonts w:ascii="Arial" w:hAnsi="Arial" w:cs="Arial"/>
        </w:rPr>
        <w:t>rigour</w:t>
      </w:r>
      <w:proofErr w:type="spellEnd"/>
      <w:r w:rsidRPr="009B50B8">
        <w:rPr>
          <w:rFonts w:ascii="Arial" w:hAnsi="Arial" w:cs="Arial"/>
        </w:rPr>
        <w:t xml:space="preserve"> of its modelling approach.</w:t>
      </w:r>
    </w:p>
    <w:p w14:paraId="62F2D25D" w14:textId="77777777" w:rsidR="00B65584" w:rsidRPr="009B50B8" w:rsidRDefault="00B65584" w:rsidP="00B65584">
      <w:pPr>
        <w:ind w:left="720"/>
        <w:jc w:val="both"/>
        <w:rPr>
          <w:rFonts w:ascii="Arial" w:hAnsi="Arial" w:cs="Arial"/>
        </w:rPr>
      </w:pPr>
    </w:p>
    <w:p w14:paraId="187D3233" w14:textId="77777777" w:rsidR="00B65584" w:rsidRDefault="00B65584" w:rsidP="00B65584">
      <w:pPr>
        <w:jc w:val="both"/>
        <w:rPr>
          <w:rFonts w:ascii="Arial" w:hAnsi="Arial" w:cs="Arial"/>
          <w:b/>
          <w:bCs/>
        </w:rPr>
      </w:pPr>
      <w:r w:rsidRPr="009B50B8">
        <w:rPr>
          <w:rFonts w:ascii="Arial" w:hAnsi="Arial" w:cs="Arial"/>
          <w:b/>
          <w:bCs/>
        </w:rPr>
        <w:t>3.3.3 CASE STUDY IN INDIA: THE ZERO BUDGET NATURAL FARMING (ZBNF) PROGRAMME, ANDHRA PRADESH</w:t>
      </w:r>
    </w:p>
    <w:p w14:paraId="15FB7E09" w14:textId="77777777" w:rsidR="00B65584" w:rsidRPr="009B50B8" w:rsidRDefault="00B65584" w:rsidP="00B65584">
      <w:pPr>
        <w:jc w:val="both"/>
        <w:rPr>
          <w:rFonts w:ascii="Arial" w:hAnsi="Arial" w:cs="Arial"/>
        </w:rPr>
      </w:pPr>
    </w:p>
    <w:p w14:paraId="6C1ED8E3" w14:textId="77777777" w:rsidR="00B65584" w:rsidRPr="009B50B8" w:rsidRDefault="00B65584" w:rsidP="00266696">
      <w:pPr>
        <w:jc w:val="both"/>
        <w:rPr>
          <w:rFonts w:ascii="Arial" w:hAnsi="Arial" w:cs="Arial"/>
        </w:rPr>
      </w:pPr>
      <w:r w:rsidRPr="009B50B8">
        <w:rPr>
          <w:rFonts w:ascii="Arial" w:hAnsi="Arial" w:cs="Arial"/>
        </w:rPr>
        <w:t>While not initially designed as a carbon project, Andhra Pradesh's ambitious ZBNF program embodies the principle of enhancing soil health for multiple benefits, including climate resilience. ZBNF promotes the elimination of chemical inputs and relies on traditional practices using locally available cow dung, cow urine, jaggery, and pulse flour to create soil amendments.</w:t>
      </w:r>
    </w:p>
    <w:p w14:paraId="76737073" w14:textId="77777777" w:rsidR="00B65584" w:rsidRPr="009B50B8" w:rsidRDefault="00B65584" w:rsidP="00B65584">
      <w:pPr>
        <w:numPr>
          <w:ilvl w:val="0"/>
          <w:numId w:val="33"/>
        </w:numPr>
        <w:rPr>
          <w:rFonts w:ascii="Arial" w:hAnsi="Arial" w:cs="Arial"/>
        </w:rPr>
      </w:pPr>
      <w:r w:rsidRPr="009B50B8">
        <w:rPr>
          <w:rFonts w:ascii="Arial" w:hAnsi="Arial" w:cs="Arial"/>
          <w:b/>
          <w:bCs/>
        </w:rPr>
        <w:t>Location:</w:t>
      </w:r>
      <w:r w:rsidRPr="009B50B8">
        <w:rPr>
          <w:rFonts w:ascii="Arial" w:hAnsi="Arial" w:cs="Arial"/>
        </w:rPr>
        <w:t> State of Andhra Pradesh, India.</w:t>
      </w:r>
    </w:p>
    <w:p w14:paraId="45ADF2DF" w14:textId="77777777" w:rsidR="00B65584" w:rsidRPr="009B50B8" w:rsidRDefault="00B65584" w:rsidP="00B65584">
      <w:pPr>
        <w:numPr>
          <w:ilvl w:val="0"/>
          <w:numId w:val="33"/>
        </w:numPr>
        <w:rPr>
          <w:rFonts w:ascii="Arial" w:hAnsi="Arial" w:cs="Arial"/>
        </w:rPr>
      </w:pPr>
      <w:r w:rsidRPr="009B50B8">
        <w:rPr>
          <w:rFonts w:ascii="Arial" w:hAnsi="Arial" w:cs="Arial"/>
          <w:b/>
          <w:bCs/>
        </w:rPr>
        <w:t>Scale:</w:t>
      </w:r>
      <w:r w:rsidRPr="009B50B8">
        <w:rPr>
          <w:rFonts w:ascii="Arial" w:hAnsi="Arial" w:cs="Arial"/>
        </w:rPr>
        <w:t> Aimed at reaching 6 million farmers and 8 million hectares of land by 2030.</w:t>
      </w:r>
    </w:p>
    <w:p w14:paraId="3D4B4208" w14:textId="77777777" w:rsidR="00B65584" w:rsidRPr="009B50B8" w:rsidRDefault="00B65584" w:rsidP="00B65584">
      <w:pPr>
        <w:numPr>
          <w:ilvl w:val="0"/>
          <w:numId w:val="33"/>
        </w:numPr>
        <w:rPr>
          <w:rFonts w:ascii="Arial" w:hAnsi="Arial" w:cs="Arial"/>
        </w:rPr>
      </w:pPr>
      <w:r w:rsidRPr="009B50B8">
        <w:rPr>
          <w:rFonts w:ascii="Arial" w:hAnsi="Arial" w:cs="Arial"/>
          <w:b/>
          <w:bCs/>
        </w:rPr>
        <w:t>Key Practices:</w:t>
      </w:r>
      <w:r w:rsidRPr="009B50B8">
        <w:rPr>
          <w:rFonts w:ascii="Arial" w:hAnsi="Arial" w:cs="Arial"/>
        </w:rPr>
        <w:t> Use of </w:t>
      </w:r>
      <w:proofErr w:type="spellStart"/>
      <w:r w:rsidRPr="009B50B8">
        <w:rPr>
          <w:rFonts w:ascii="Arial" w:hAnsi="Arial" w:cs="Arial"/>
          <w:i/>
          <w:iCs/>
        </w:rPr>
        <w:t>Ghanajeevamrutham</w:t>
      </w:r>
      <w:proofErr w:type="spellEnd"/>
      <w:r w:rsidRPr="009B50B8">
        <w:rPr>
          <w:rFonts w:ascii="Arial" w:hAnsi="Arial" w:cs="Arial"/>
        </w:rPr>
        <w:t> (solid inoculant) and </w:t>
      </w:r>
      <w:proofErr w:type="spellStart"/>
      <w:r w:rsidRPr="009B50B8">
        <w:rPr>
          <w:rFonts w:ascii="Arial" w:hAnsi="Arial" w:cs="Arial"/>
          <w:i/>
          <w:iCs/>
        </w:rPr>
        <w:t>Jeevamrutham</w:t>
      </w:r>
      <w:proofErr w:type="spellEnd"/>
      <w:r w:rsidRPr="009B50B8">
        <w:rPr>
          <w:rFonts w:ascii="Arial" w:hAnsi="Arial" w:cs="Arial"/>
        </w:rPr>
        <w:t> (liquid inoculant) for soil fertility, cover cropping, and intercropping.</w:t>
      </w:r>
    </w:p>
    <w:p w14:paraId="0B3111C3" w14:textId="77777777" w:rsidR="00B65584" w:rsidRPr="009B50B8" w:rsidRDefault="00B65584" w:rsidP="00B65584">
      <w:pPr>
        <w:numPr>
          <w:ilvl w:val="0"/>
          <w:numId w:val="33"/>
        </w:numPr>
        <w:rPr>
          <w:rFonts w:ascii="Arial" w:hAnsi="Arial" w:cs="Arial"/>
        </w:rPr>
      </w:pPr>
      <w:r w:rsidRPr="009B50B8">
        <w:rPr>
          <w:rFonts w:ascii="Arial" w:hAnsi="Arial" w:cs="Arial"/>
          <w:b/>
          <w:bCs/>
        </w:rPr>
        <w:t>Outcomes:</w:t>
      </w:r>
      <w:r w:rsidRPr="009B50B8">
        <w:rPr>
          <w:rFonts w:ascii="Arial" w:hAnsi="Arial" w:cs="Arial"/>
        </w:rPr>
        <w:t> Early reports and studies (Khader, 2019) indicate significant reductions in input costs for farmers, improved soil health (increased organic matter and water retention), and more stable yields under climate stress. The program’s primary success is in climate adaptation and farmer economic resilience.</w:t>
      </w:r>
    </w:p>
    <w:p w14:paraId="74832C0B" w14:textId="77777777" w:rsidR="00B65584" w:rsidRPr="009B50B8" w:rsidRDefault="00B65584" w:rsidP="00B65584">
      <w:pPr>
        <w:numPr>
          <w:ilvl w:val="0"/>
          <w:numId w:val="33"/>
        </w:numPr>
        <w:rPr>
          <w:rFonts w:ascii="Arial" w:hAnsi="Arial" w:cs="Arial"/>
        </w:rPr>
      </w:pPr>
      <w:r w:rsidRPr="009B50B8">
        <w:rPr>
          <w:rFonts w:ascii="Arial" w:hAnsi="Arial" w:cs="Arial"/>
          <w:b/>
          <w:bCs/>
        </w:rPr>
        <w:t>Lessons Learned:</w:t>
      </w:r>
      <w:r w:rsidRPr="009B50B8">
        <w:rPr>
          <w:rFonts w:ascii="Arial" w:hAnsi="Arial" w:cs="Arial"/>
        </w:rPr>
        <w:t> The Andhra Pradesh case is a powerful model for a state-led, agroecological transformation. Its potential for carbon sequestration is immense but remains largely unmeasured and unmonetized. It underscores a critical point: policies that promote soil health for immediate farm-level benefits (reduced costs, improved resilience) may achieve faster adoption than those focused solely on the abstract value of carbon. The challenge is to now layer robust MMRV systems onto such large-scale programs to quantify and verify their climate mitigation impact, potentially unlocking carbon finance to support further scaling.</w:t>
      </w:r>
    </w:p>
    <w:p w14:paraId="673DA9C4" w14:textId="77777777" w:rsidR="00B65584" w:rsidRPr="009B50B8" w:rsidRDefault="00B65584" w:rsidP="00B65584">
      <w:pPr>
        <w:ind w:left="720"/>
        <w:rPr>
          <w:rFonts w:ascii="Arial" w:hAnsi="Arial" w:cs="Arial"/>
        </w:rPr>
      </w:pPr>
    </w:p>
    <w:p w14:paraId="43A6A323" w14:textId="77777777" w:rsidR="00B65584" w:rsidRPr="009B50B8" w:rsidRDefault="00B65584" w:rsidP="00B65584">
      <w:pPr>
        <w:rPr>
          <w:rFonts w:ascii="Arial" w:hAnsi="Arial" w:cs="Arial"/>
        </w:rPr>
      </w:pPr>
      <w:r w:rsidRPr="009B50B8">
        <w:rPr>
          <w:rFonts w:ascii="Arial" w:hAnsi="Arial" w:cs="Arial"/>
          <w:b/>
          <w:bCs/>
        </w:rPr>
        <w:t>3.3.4 CASE STUDY IN INDIA: ITC'S SOIL HEALTH MISSION</w:t>
      </w:r>
      <w:r w:rsidRPr="009B50B8">
        <w:rPr>
          <w:rFonts w:ascii="Arial" w:hAnsi="Arial" w:cs="Arial"/>
        </w:rPr>
        <w:br/>
      </w:r>
    </w:p>
    <w:p w14:paraId="6ACD54DF" w14:textId="77777777" w:rsidR="00B65584" w:rsidRPr="009B50B8" w:rsidRDefault="00B65584" w:rsidP="00B65584">
      <w:pPr>
        <w:jc w:val="both"/>
        <w:rPr>
          <w:rFonts w:ascii="Arial" w:hAnsi="Arial" w:cs="Arial"/>
        </w:rPr>
      </w:pPr>
      <w:r w:rsidRPr="009B50B8">
        <w:rPr>
          <w:rFonts w:ascii="Arial" w:hAnsi="Arial" w:cs="Arial"/>
        </w:rPr>
        <w:t>This is an example of a private-sector-led initiative driven by supply chain sustainability. Indian conglomerate ITC Limited, with significant agribusiness interests, launched a mission to improve soil health across its value chain. It provides soil testing, recommends tailored sustainable practices, and offers knowledge transfer to farmers from whom it sources raw materials.</w:t>
      </w:r>
    </w:p>
    <w:p w14:paraId="623DE313" w14:textId="77777777" w:rsidR="00B65584" w:rsidRPr="009B50B8" w:rsidRDefault="00B65584" w:rsidP="00B65584">
      <w:pPr>
        <w:numPr>
          <w:ilvl w:val="0"/>
          <w:numId w:val="34"/>
        </w:numPr>
        <w:jc w:val="both"/>
        <w:rPr>
          <w:rFonts w:ascii="Arial" w:hAnsi="Arial" w:cs="Arial"/>
        </w:rPr>
      </w:pPr>
      <w:r w:rsidRPr="009B50B8">
        <w:rPr>
          <w:rFonts w:ascii="Arial" w:hAnsi="Arial" w:cs="Arial"/>
          <w:b/>
          <w:bCs/>
        </w:rPr>
        <w:t>Location:</w:t>
      </w:r>
      <w:r w:rsidRPr="009B50B8">
        <w:rPr>
          <w:rFonts w:ascii="Arial" w:hAnsi="Arial" w:cs="Arial"/>
        </w:rPr>
        <w:t> Multiple states across India.</w:t>
      </w:r>
    </w:p>
    <w:p w14:paraId="7B3D37AD" w14:textId="77777777" w:rsidR="00B65584" w:rsidRPr="009B50B8" w:rsidRDefault="00B65584" w:rsidP="00B65584">
      <w:pPr>
        <w:numPr>
          <w:ilvl w:val="0"/>
          <w:numId w:val="34"/>
        </w:numPr>
        <w:jc w:val="both"/>
        <w:rPr>
          <w:rFonts w:ascii="Arial" w:hAnsi="Arial" w:cs="Arial"/>
        </w:rPr>
      </w:pPr>
      <w:r w:rsidRPr="009B50B8">
        <w:rPr>
          <w:rFonts w:ascii="Arial" w:hAnsi="Arial" w:cs="Arial"/>
          <w:b/>
          <w:bCs/>
        </w:rPr>
        <w:t>Scale:</w:t>
      </w:r>
      <w:r w:rsidRPr="009B50B8">
        <w:rPr>
          <w:rFonts w:ascii="Arial" w:hAnsi="Arial" w:cs="Arial"/>
        </w:rPr>
        <w:t> Has reached hundreds of thousands of farmers.</w:t>
      </w:r>
    </w:p>
    <w:p w14:paraId="768DD7A3" w14:textId="43E06C68" w:rsidR="00B65584" w:rsidRPr="009B50B8" w:rsidRDefault="00B65584" w:rsidP="00B65584">
      <w:pPr>
        <w:numPr>
          <w:ilvl w:val="0"/>
          <w:numId w:val="34"/>
        </w:numPr>
        <w:jc w:val="both"/>
        <w:rPr>
          <w:rFonts w:ascii="Arial" w:hAnsi="Arial" w:cs="Arial"/>
        </w:rPr>
      </w:pPr>
      <w:r w:rsidRPr="009B50B8">
        <w:rPr>
          <w:rFonts w:ascii="Arial" w:hAnsi="Arial" w:cs="Arial"/>
          <w:b/>
          <w:bCs/>
        </w:rPr>
        <w:t>Key Practices:</w:t>
      </w:r>
      <w:r w:rsidRPr="009B50B8">
        <w:rPr>
          <w:rFonts w:ascii="Arial" w:hAnsi="Arial" w:cs="Arial"/>
        </w:rPr>
        <w:t xml:space="preserve"> Balanced application of </w:t>
      </w:r>
      <w:proofErr w:type="spellStart"/>
      <w:r w:rsidR="00F718B2" w:rsidRPr="00F94903">
        <w:rPr>
          <w:rFonts w:ascii="Arial" w:hAnsi="Arial" w:cs="Arial"/>
          <w:highlight w:val="yellow"/>
        </w:rPr>
        <w:t>fertilisers</w:t>
      </w:r>
      <w:proofErr w:type="spellEnd"/>
      <w:r w:rsidRPr="009B50B8">
        <w:rPr>
          <w:rFonts w:ascii="Arial" w:hAnsi="Arial" w:cs="Arial"/>
        </w:rPr>
        <w:t>, use of organic amendments, and promotion of integrated nutrient management.</w:t>
      </w:r>
    </w:p>
    <w:p w14:paraId="3A9688B8" w14:textId="77777777" w:rsidR="00B65584" w:rsidRPr="009B50B8" w:rsidRDefault="00B65584" w:rsidP="00B65584">
      <w:pPr>
        <w:numPr>
          <w:ilvl w:val="0"/>
          <w:numId w:val="34"/>
        </w:numPr>
        <w:jc w:val="both"/>
        <w:rPr>
          <w:rFonts w:ascii="Arial" w:hAnsi="Arial" w:cs="Arial"/>
        </w:rPr>
      </w:pPr>
      <w:r w:rsidRPr="009B50B8">
        <w:rPr>
          <w:rFonts w:ascii="Arial" w:hAnsi="Arial" w:cs="Arial"/>
          <w:b/>
          <w:bCs/>
        </w:rPr>
        <w:lastRenderedPageBreak/>
        <w:t>Outcomes:</w:t>
      </w:r>
      <w:r w:rsidRPr="009B50B8">
        <w:rPr>
          <w:rFonts w:ascii="Arial" w:hAnsi="Arial" w:cs="Arial"/>
        </w:rPr>
        <w:t> ITC reports increased SOC in project areas, higher farmer productivity, and improved quality of raw materials for its businesses. This creates a direct business case for the corporate investment.</w:t>
      </w:r>
    </w:p>
    <w:p w14:paraId="3C07C21A" w14:textId="13ABB8D0" w:rsidR="00B65584" w:rsidRPr="009B50B8" w:rsidRDefault="00B65584" w:rsidP="00B65584">
      <w:pPr>
        <w:numPr>
          <w:ilvl w:val="0"/>
          <w:numId w:val="34"/>
        </w:numPr>
        <w:jc w:val="both"/>
        <w:rPr>
          <w:rFonts w:ascii="Arial" w:hAnsi="Arial" w:cs="Arial"/>
        </w:rPr>
      </w:pPr>
      <w:r w:rsidRPr="009B50B8">
        <w:rPr>
          <w:rFonts w:ascii="Arial" w:hAnsi="Arial" w:cs="Arial"/>
          <w:b/>
          <w:bCs/>
        </w:rPr>
        <w:t>Lessons Learned:</w:t>
      </w:r>
      <w:r w:rsidRPr="009B50B8">
        <w:rPr>
          <w:rFonts w:ascii="Arial" w:hAnsi="Arial" w:cs="Arial"/>
        </w:rPr>
        <w:t xml:space="preserve"> ITC's model shows how corporate supply chain investments can be a major driver of soil health improvement. It aligns the company's economic interest with environmental sustainability. This approach bypasses the complexities of the carbon market by focusing on the direct agronomic and supply chain benefits of healthy soil. However, like ZBNF, its carbon sequestration outcomes, while likely positive, are not systematically measured or </w:t>
      </w:r>
      <w:proofErr w:type="spellStart"/>
      <w:r w:rsidR="00F718B2" w:rsidRPr="00F94903">
        <w:rPr>
          <w:rFonts w:ascii="Arial" w:hAnsi="Arial" w:cs="Arial"/>
          <w:highlight w:val="yellow"/>
        </w:rPr>
        <w:t>monetised</w:t>
      </w:r>
      <w:proofErr w:type="spellEnd"/>
      <w:r w:rsidR="00F718B2" w:rsidRPr="00F94903">
        <w:rPr>
          <w:rFonts w:ascii="Arial" w:hAnsi="Arial" w:cs="Arial"/>
          <w:highlight w:val="yellow"/>
        </w:rPr>
        <w:t xml:space="preserve"> </w:t>
      </w:r>
      <w:r w:rsidRPr="009B50B8">
        <w:rPr>
          <w:rFonts w:ascii="Arial" w:hAnsi="Arial" w:cs="Arial"/>
        </w:rPr>
        <w:t>as verified credits</w:t>
      </w:r>
    </w:p>
    <w:p w14:paraId="10AE2F52" w14:textId="77777777" w:rsidR="00B65584" w:rsidRPr="009B50B8" w:rsidRDefault="00B65584" w:rsidP="00B65584">
      <w:pPr>
        <w:ind w:left="720"/>
        <w:rPr>
          <w:rFonts w:ascii="Arial" w:hAnsi="Arial" w:cs="Arial"/>
        </w:rPr>
      </w:pPr>
      <w:r w:rsidRPr="009B50B8">
        <w:rPr>
          <w:rFonts w:ascii="Arial" w:hAnsi="Arial" w:cs="Arial"/>
        </w:rPr>
        <w:t>.</w:t>
      </w:r>
    </w:p>
    <w:p w14:paraId="055A2865" w14:textId="77777777" w:rsidR="00B65584" w:rsidRPr="009B50B8" w:rsidRDefault="00B65584" w:rsidP="00B65584">
      <w:pPr>
        <w:rPr>
          <w:rFonts w:ascii="Arial" w:hAnsi="Arial" w:cs="Arial"/>
        </w:rPr>
      </w:pPr>
      <w:r w:rsidRPr="009B50B8">
        <w:rPr>
          <w:rFonts w:ascii="Arial" w:hAnsi="Arial" w:cs="Arial"/>
          <w:b/>
          <w:bCs/>
        </w:rPr>
        <w:t>Table 3: Summary of Soil Carbon Case Studies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715"/>
        <w:gridCol w:w="1825"/>
        <w:gridCol w:w="1337"/>
        <w:gridCol w:w="2472"/>
      </w:tblGrid>
      <w:tr w:rsidR="00B65584" w:rsidRPr="009B50B8" w14:paraId="558FE0D3" w14:textId="77777777" w:rsidTr="00266696">
        <w:trPr>
          <w:trHeight w:val="319"/>
        </w:trPr>
        <w:tc>
          <w:tcPr>
            <w:tcW w:w="0" w:type="auto"/>
            <w:tcBorders>
              <w:top w:val="single" w:sz="4" w:space="0" w:color="auto"/>
              <w:bottom w:val="single" w:sz="4" w:space="0" w:color="auto"/>
            </w:tcBorders>
          </w:tcPr>
          <w:p w14:paraId="6ECC68BB"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Case Study</w:t>
            </w:r>
          </w:p>
        </w:tc>
        <w:tc>
          <w:tcPr>
            <w:tcW w:w="0" w:type="auto"/>
            <w:tcBorders>
              <w:top w:val="single" w:sz="4" w:space="0" w:color="auto"/>
              <w:bottom w:val="single" w:sz="4" w:space="0" w:color="auto"/>
            </w:tcBorders>
          </w:tcPr>
          <w:p w14:paraId="32DAB70F"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Primary Driver</w:t>
            </w:r>
          </w:p>
        </w:tc>
        <w:tc>
          <w:tcPr>
            <w:tcW w:w="0" w:type="auto"/>
            <w:tcBorders>
              <w:top w:val="single" w:sz="4" w:space="0" w:color="auto"/>
              <w:bottom w:val="single" w:sz="4" w:space="0" w:color="auto"/>
            </w:tcBorders>
          </w:tcPr>
          <w:p w14:paraId="0BAD8E4C"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Key Practices</w:t>
            </w:r>
          </w:p>
        </w:tc>
        <w:tc>
          <w:tcPr>
            <w:tcW w:w="0" w:type="auto"/>
            <w:tcBorders>
              <w:top w:val="single" w:sz="4" w:space="0" w:color="auto"/>
              <w:bottom w:val="single" w:sz="4" w:space="0" w:color="auto"/>
            </w:tcBorders>
          </w:tcPr>
          <w:p w14:paraId="1C38B6E7"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Scale</w:t>
            </w:r>
          </w:p>
        </w:tc>
        <w:tc>
          <w:tcPr>
            <w:tcW w:w="0" w:type="auto"/>
            <w:tcBorders>
              <w:top w:val="single" w:sz="4" w:space="0" w:color="auto"/>
              <w:bottom w:val="single" w:sz="4" w:space="0" w:color="auto"/>
            </w:tcBorders>
          </w:tcPr>
          <w:p w14:paraId="46CD85B9"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Key Lesson</w:t>
            </w:r>
          </w:p>
        </w:tc>
      </w:tr>
      <w:tr w:rsidR="00B65584" w:rsidRPr="009B50B8" w14:paraId="4DE9C6C6" w14:textId="77777777" w:rsidTr="00266696">
        <w:trPr>
          <w:trHeight w:val="319"/>
        </w:trPr>
        <w:tc>
          <w:tcPr>
            <w:tcW w:w="0" w:type="auto"/>
            <w:tcBorders>
              <w:top w:val="single" w:sz="4" w:space="0" w:color="auto"/>
            </w:tcBorders>
          </w:tcPr>
          <w:p w14:paraId="0BB0D799" w14:textId="77777777" w:rsidR="00B65584" w:rsidRPr="009B50B8" w:rsidRDefault="00B65584" w:rsidP="00BE6283">
            <w:pPr>
              <w:rPr>
                <w:rFonts w:ascii="Arial" w:hAnsi="Arial" w:cs="Arial"/>
                <w:sz w:val="20"/>
                <w:szCs w:val="20"/>
              </w:rPr>
            </w:pPr>
            <w:r w:rsidRPr="009B50B8">
              <w:rPr>
                <w:rFonts w:ascii="Arial" w:hAnsi="Arial" w:cs="Arial"/>
                <w:sz w:val="20"/>
                <w:szCs w:val="20"/>
              </w:rPr>
              <w:t>Aust. CFI</w:t>
            </w:r>
          </w:p>
        </w:tc>
        <w:tc>
          <w:tcPr>
            <w:tcW w:w="0" w:type="auto"/>
            <w:tcBorders>
              <w:top w:val="single" w:sz="4" w:space="0" w:color="auto"/>
            </w:tcBorders>
          </w:tcPr>
          <w:p w14:paraId="1A4BAD00" w14:textId="77777777" w:rsidR="00B65584" w:rsidRPr="009B50B8" w:rsidRDefault="00B65584" w:rsidP="00BE6283">
            <w:pPr>
              <w:rPr>
                <w:rFonts w:ascii="Arial" w:hAnsi="Arial" w:cs="Arial"/>
                <w:sz w:val="20"/>
                <w:szCs w:val="20"/>
              </w:rPr>
            </w:pPr>
            <w:r w:rsidRPr="009B50B8">
              <w:rPr>
                <w:rFonts w:ascii="Arial" w:hAnsi="Arial" w:cs="Arial"/>
                <w:sz w:val="20"/>
                <w:szCs w:val="20"/>
              </w:rPr>
              <w:t>Government Policy</w:t>
            </w:r>
          </w:p>
        </w:tc>
        <w:tc>
          <w:tcPr>
            <w:tcW w:w="0" w:type="auto"/>
            <w:tcBorders>
              <w:top w:val="single" w:sz="4" w:space="0" w:color="auto"/>
            </w:tcBorders>
          </w:tcPr>
          <w:p w14:paraId="6438971D" w14:textId="77777777" w:rsidR="00B65584" w:rsidRPr="009B50B8" w:rsidRDefault="00B65584" w:rsidP="00BE6283">
            <w:pPr>
              <w:rPr>
                <w:rFonts w:ascii="Arial" w:hAnsi="Arial" w:cs="Arial"/>
                <w:sz w:val="20"/>
                <w:szCs w:val="20"/>
              </w:rPr>
            </w:pPr>
            <w:r w:rsidRPr="009B50B8">
              <w:rPr>
                <w:rFonts w:ascii="Arial" w:hAnsi="Arial" w:cs="Arial"/>
                <w:sz w:val="20"/>
                <w:szCs w:val="20"/>
              </w:rPr>
              <w:t>Grazing Management</w:t>
            </w:r>
          </w:p>
        </w:tc>
        <w:tc>
          <w:tcPr>
            <w:tcW w:w="0" w:type="auto"/>
            <w:tcBorders>
              <w:top w:val="single" w:sz="4" w:space="0" w:color="auto"/>
            </w:tcBorders>
          </w:tcPr>
          <w:p w14:paraId="6A0A23A0" w14:textId="77777777" w:rsidR="00B65584" w:rsidRPr="009B50B8" w:rsidRDefault="00B65584" w:rsidP="00BE6283">
            <w:pPr>
              <w:rPr>
                <w:rFonts w:ascii="Arial" w:hAnsi="Arial" w:cs="Arial"/>
                <w:sz w:val="20"/>
                <w:szCs w:val="20"/>
              </w:rPr>
            </w:pPr>
            <w:r w:rsidRPr="009B50B8">
              <w:rPr>
                <w:rFonts w:ascii="Arial" w:hAnsi="Arial" w:cs="Arial"/>
                <w:sz w:val="20"/>
                <w:szCs w:val="20"/>
              </w:rPr>
              <w:t>National (Millions Ha)</w:t>
            </w:r>
          </w:p>
        </w:tc>
        <w:tc>
          <w:tcPr>
            <w:tcW w:w="0" w:type="auto"/>
            <w:tcBorders>
              <w:top w:val="single" w:sz="4" w:space="0" w:color="auto"/>
            </w:tcBorders>
          </w:tcPr>
          <w:p w14:paraId="2205A724" w14:textId="78DDE551" w:rsidR="00B65584" w:rsidRPr="009B50B8" w:rsidRDefault="00B65584" w:rsidP="00BE6283">
            <w:pPr>
              <w:rPr>
                <w:rFonts w:ascii="Arial" w:hAnsi="Arial" w:cs="Arial"/>
                <w:sz w:val="20"/>
                <w:szCs w:val="20"/>
              </w:rPr>
            </w:pPr>
            <w:r w:rsidRPr="009B50B8">
              <w:rPr>
                <w:rFonts w:ascii="Arial" w:hAnsi="Arial" w:cs="Arial"/>
                <w:sz w:val="20"/>
                <w:szCs w:val="20"/>
              </w:rPr>
              <w:t xml:space="preserve">Robust methodology is key; high costs </w:t>
            </w:r>
            <w:r w:rsidR="00F718B2" w:rsidRPr="00F94903">
              <w:rPr>
                <w:rFonts w:ascii="Arial" w:hAnsi="Arial" w:cs="Arial"/>
                <w:sz w:val="20"/>
                <w:szCs w:val="20"/>
                <w:highlight w:val="yellow"/>
              </w:rPr>
              <w:t xml:space="preserve">are </w:t>
            </w:r>
            <w:r w:rsidRPr="009B50B8">
              <w:rPr>
                <w:rFonts w:ascii="Arial" w:hAnsi="Arial" w:cs="Arial"/>
                <w:sz w:val="20"/>
                <w:szCs w:val="20"/>
              </w:rPr>
              <w:t>a barrier</w:t>
            </w:r>
          </w:p>
        </w:tc>
      </w:tr>
      <w:tr w:rsidR="00B65584" w:rsidRPr="009B50B8" w14:paraId="23CCC7D5" w14:textId="77777777" w:rsidTr="00266696">
        <w:trPr>
          <w:trHeight w:val="307"/>
        </w:trPr>
        <w:tc>
          <w:tcPr>
            <w:tcW w:w="0" w:type="auto"/>
          </w:tcPr>
          <w:p w14:paraId="1C7B8AB3" w14:textId="77777777" w:rsidR="00B65584" w:rsidRPr="009B50B8" w:rsidRDefault="00B65584" w:rsidP="00BE6283">
            <w:pPr>
              <w:rPr>
                <w:rFonts w:ascii="Arial" w:hAnsi="Arial" w:cs="Arial"/>
                <w:sz w:val="20"/>
                <w:szCs w:val="20"/>
              </w:rPr>
            </w:pPr>
            <w:r w:rsidRPr="009B50B8">
              <w:rPr>
                <w:rFonts w:ascii="Arial" w:hAnsi="Arial" w:cs="Arial"/>
                <w:sz w:val="20"/>
                <w:szCs w:val="20"/>
              </w:rPr>
              <w:t>Nori (USA)</w:t>
            </w:r>
          </w:p>
        </w:tc>
        <w:tc>
          <w:tcPr>
            <w:tcW w:w="0" w:type="auto"/>
          </w:tcPr>
          <w:p w14:paraId="4A84B6AA" w14:textId="77777777" w:rsidR="00B65584" w:rsidRPr="009B50B8" w:rsidRDefault="00B65584" w:rsidP="00BE6283">
            <w:pPr>
              <w:rPr>
                <w:rFonts w:ascii="Arial" w:hAnsi="Arial" w:cs="Arial"/>
                <w:sz w:val="20"/>
                <w:szCs w:val="20"/>
              </w:rPr>
            </w:pPr>
            <w:r w:rsidRPr="009B50B8">
              <w:rPr>
                <w:rFonts w:ascii="Arial" w:hAnsi="Arial" w:cs="Arial"/>
                <w:sz w:val="20"/>
                <w:szCs w:val="20"/>
              </w:rPr>
              <w:t>Private Carbon Market</w:t>
            </w:r>
          </w:p>
        </w:tc>
        <w:tc>
          <w:tcPr>
            <w:tcW w:w="0" w:type="auto"/>
          </w:tcPr>
          <w:p w14:paraId="60607617" w14:textId="77777777" w:rsidR="00B65584" w:rsidRPr="009B50B8" w:rsidRDefault="00B65584" w:rsidP="00BE6283">
            <w:pPr>
              <w:rPr>
                <w:rFonts w:ascii="Arial" w:hAnsi="Arial" w:cs="Arial"/>
                <w:sz w:val="20"/>
                <w:szCs w:val="20"/>
              </w:rPr>
            </w:pPr>
            <w:r w:rsidRPr="009B50B8">
              <w:rPr>
                <w:rFonts w:ascii="Arial" w:hAnsi="Arial" w:cs="Arial"/>
                <w:sz w:val="20"/>
                <w:szCs w:val="20"/>
              </w:rPr>
              <w:t>No-Till, Cover Crops</w:t>
            </w:r>
          </w:p>
        </w:tc>
        <w:tc>
          <w:tcPr>
            <w:tcW w:w="0" w:type="auto"/>
          </w:tcPr>
          <w:p w14:paraId="6F9F447E" w14:textId="77777777" w:rsidR="00B65584" w:rsidRPr="009B50B8" w:rsidRDefault="00B65584" w:rsidP="00BE6283">
            <w:pPr>
              <w:rPr>
                <w:rFonts w:ascii="Arial" w:hAnsi="Arial" w:cs="Arial"/>
                <w:sz w:val="20"/>
                <w:szCs w:val="20"/>
              </w:rPr>
            </w:pPr>
            <w:r w:rsidRPr="009B50B8">
              <w:rPr>
                <w:rFonts w:ascii="Arial" w:hAnsi="Arial" w:cs="Arial"/>
                <w:sz w:val="20"/>
                <w:szCs w:val="20"/>
              </w:rPr>
              <w:t>Dozens of Projects</w:t>
            </w:r>
          </w:p>
        </w:tc>
        <w:tc>
          <w:tcPr>
            <w:tcW w:w="0" w:type="auto"/>
          </w:tcPr>
          <w:p w14:paraId="4C138471" w14:textId="77777777" w:rsidR="00B65584" w:rsidRPr="009B50B8" w:rsidRDefault="00B65584" w:rsidP="00BE6283">
            <w:pPr>
              <w:rPr>
                <w:rFonts w:ascii="Arial" w:hAnsi="Arial" w:cs="Arial"/>
                <w:sz w:val="20"/>
                <w:szCs w:val="20"/>
              </w:rPr>
            </w:pPr>
            <w:r w:rsidRPr="009B50B8">
              <w:rPr>
                <w:rFonts w:ascii="Arial" w:hAnsi="Arial" w:cs="Arial"/>
                <w:sz w:val="20"/>
                <w:szCs w:val="20"/>
              </w:rPr>
              <w:t>Private innovation can simplify access</w:t>
            </w:r>
          </w:p>
        </w:tc>
      </w:tr>
      <w:tr w:rsidR="00B65584" w:rsidRPr="009B50B8" w14:paraId="47054D92" w14:textId="77777777" w:rsidTr="00266696">
        <w:trPr>
          <w:trHeight w:val="319"/>
        </w:trPr>
        <w:tc>
          <w:tcPr>
            <w:tcW w:w="0" w:type="auto"/>
          </w:tcPr>
          <w:p w14:paraId="021AF59F" w14:textId="77777777" w:rsidR="00B65584" w:rsidRPr="009B50B8" w:rsidRDefault="00B65584" w:rsidP="00BE6283">
            <w:pPr>
              <w:rPr>
                <w:rFonts w:ascii="Arial" w:hAnsi="Arial" w:cs="Arial"/>
                <w:sz w:val="20"/>
                <w:szCs w:val="20"/>
              </w:rPr>
            </w:pPr>
            <w:r w:rsidRPr="009B50B8">
              <w:rPr>
                <w:rFonts w:ascii="Arial" w:hAnsi="Arial" w:cs="Arial"/>
                <w:sz w:val="20"/>
                <w:szCs w:val="20"/>
              </w:rPr>
              <w:t>AP ZBNF (India)</w:t>
            </w:r>
          </w:p>
        </w:tc>
        <w:tc>
          <w:tcPr>
            <w:tcW w:w="0" w:type="auto"/>
          </w:tcPr>
          <w:p w14:paraId="5F4D93ED" w14:textId="77777777" w:rsidR="00B65584" w:rsidRPr="009B50B8" w:rsidRDefault="00B65584" w:rsidP="00BE6283">
            <w:pPr>
              <w:rPr>
                <w:rFonts w:ascii="Arial" w:hAnsi="Arial" w:cs="Arial"/>
                <w:sz w:val="20"/>
                <w:szCs w:val="20"/>
              </w:rPr>
            </w:pPr>
            <w:r w:rsidRPr="009B50B8">
              <w:rPr>
                <w:rFonts w:ascii="Arial" w:hAnsi="Arial" w:cs="Arial"/>
                <w:sz w:val="20"/>
                <w:szCs w:val="20"/>
              </w:rPr>
              <w:t>State Gov. &amp; Agroecology</w:t>
            </w:r>
          </w:p>
        </w:tc>
        <w:tc>
          <w:tcPr>
            <w:tcW w:w="0" w:type="auto"/>
          </w:tcPr>
          <w:p w14:paraId="3E30C9A9" w14:textId="77777777" w:rsidR="00B65584" w:rsidRPr="009B50B8" w:rsidRDefault="00B65584" w:rsidP="00BE6283">
            <w:pPr>
              <w:rPr>
                <w:rFonts w:ascii="Arial" w:hAnsi="Arial" w:cs="Arial"/>
                <w:sz w:val="20"/>
                <w:szCs w:val="20"/>
              </w:rPr>
            </w:pPr>
            <w:r w:rsidRPr="009B50B8">
              <w:rPr>
                <w:rFonts w:ascii="Arial" w:hAnsi="Arial" w:cs="Arial"/>
                <w:sz w:val="20"/>
                <w:szCs w:val="20"/>
              </w:rPr>
              <w:t>Natural Inputs, Intercropping</w:t>
            </w:r>
          </w:p>
        </w:tc>
        <w:tc>
          <w:tcPr>
            <w:tcW w:w="0" w:type="auto"/>
          </w:tcPr>
          <w:p w14:paraId="70B52BB6" w14:textId="77777777" w:rsidR="00B65584" w:rsidRPr="009B50B8" w:rsidRDefault="00B65584" w:rsidP="00BE6283">
            <w:pPr>
              <w:rPr>
                <w:rFonts w:ascii="Arial" w:hAnsi="Arial" w:cs="Arial"/>
                <w:sz w:val="20"/>
                <w:szCs w:val="20"/>
              </w:rPr>
            </w:pPr>
            <w:r w:rsidRPr="009B50B8">
              <w:rPr>
                <w:rFonts w:ascii="Arial" w:hAnsi="Arial" w:cs="Arial"/>
                <w:sz w:val="20"/>
                <w:szCs w:val="20"/>
              </w:rPr>
              <w:t>Millions of Farmers</w:t>
            </w:r>
          </w:p>
        </w:tc>
        <w:tc>
          <w:tcPr>
            <w:tcW w:w="0" w:type="auto"/>
          </w:tcPr>
          <w:p w14:paraId="715AE4B8" w14:textId="77777777" w:rsidR="00B65584" w:rsidRPr="009B50B8" w:rsidRDefault="00B65584" w:rsidP="00BE6283">
            <w:pPr>
              <w:rPr>
                <w:rFonts w:ascii="Arial" w:hAnsi="Arial" w:cs="Arial"/>
                <w:sz w:val="20"/>
                <w:szCs w:val="20"/>
              </w:rPr>
            </w:pPr>
            <w:r w:rsidRPr="009B50B8">
              <w:rPr>
                <w:rFonts w:ascii="Arial" w:hAnsi="Arial" w:cs="Arial"/>
                <w:sz w:val="20"/>
                <w:szCs w:val="20"/>
              </w:rPr>
              <w:t>Focus on farmer economics drives adoption</w:t>
            </w:r>
          </w:p>
        </w:tc>
      </w:tr>
      <w:tr w:rsidR="00B65584" w:rsidRPr="009B50B8" w14:paraId="6926E6CE" w14:textId="77777777" w:rsidTr="00266696">
        <w:trPr>
          <w:trHeight w:val="319"/>
        </w:trPr>
        <w:tc>
          <w:tcPr>
            <w:tcW w:w="0" w:type="auto"/>
          </w:tcPr>
          <w:p w14:paraId="317DB514" w14:textId="77777777" w:rsidR="00B65584" w:rsidRPr="009B50B8" w:rsidRDefault="00B65584" w:rsidP="00BE6283">
            <w:pPr>
              <w:rPr>
                <w:rFonts w:ascii="Arial" w:hAnsi="Arial" w:cs="Arial"/>
                <w:sz w:val="20"/>
                <w:szCs w:val="20"/>
              </w:rPr>
            </w:pPr>
            <w:r w:rsidRPr="009B50B8">
              <w:rPr>
                <w:rFonts w:ascii="Arial" w:hAnsi="Arial" w:cs="Arial"/>
                <w:sz w:val="20"/>
                <w:szCs w:val="20"/>
              </w:rPr>
              <w:t>ITC (India)</w:t>
            </w:r>
          </w:p>
        </w:tc>
        <w:tc>
          <w:tcPr>
            <w:tcW w:w="0" w:type="auto"/>
          </w:tcPr>
          <w:p w14:paraId="3E988E57" w14:textId="77777777" w:rsidR="00B65584" w:rsidRPr="009B50B8" w:rsidRDefault="00B65584" w:rsidP="00BE6283">
            <w:pPr>
              <w:rPr>
                <w:rFonts w:ascii="Arial" w:hAnsi="Arial" w:cs="Arial"/>
                <w:sz w:val="20"/>
                <w:szCs w:val="20"/>
              </w:rPr>
            </w:pPr>
            <w:r w:rsidRPr="009B50B8">
              <w:rPr>
                <w:rFonts w:ascii="Arial" w:hAnsi="Arial" w:cs="Arial"/>
                <w:sz w:val="20"/>
                <w:szCs w:val="20"/>
              </w:rPr>
              <w:t>Corporate Supply Chain</w:t>
            </w:r>
          </w:p>
        </w:tc>
        <w:tc>
          <w:tcPr>
            <w:tcW w:w="0" w:type="auto"/>
          </w:tcPr>
          <w:p w14:paraId="7D9983C8" w14:textId="77777777" w:rsidR="00B65584" w:rsidRPr="009B50B8" w:rsidRDefault="00B65584" w:rsidP="00BE6283">
            <w:pPr>
              <w:rPr>
                <w:rFonts w:ascii="Arial" w:hAnsi="Arial" w:cs="Arial"/>
                <w:sz w:val="20"/>
                <w:szCs w:val="20"/>
              </w:rPr>
            </w:pPr>
            <w:r w:rsidRPr="009B50B8">
              <w:rPr>
                <w:rFonts w:ascii="Arial" w:hAnsi="Arial" w:cs="Arial"/>
                <w:sz w:val="20"/>
                <w:szCs w:val="20"/>
              </w:rPr>
              <w:t>Soil Testing, Nutrient Mgmt.</w:t>
            </w:r>
          </w:p>
        </w:tc>
        <w:tc>
          <w:tcPr>
            <w:tcW w:w="0" w:type="auto"/>
          </w:tcPr>
          <w:p w14:paraId="05618A3E" w14:textId="77777777" w:rsidR="00B65584" w:rsidRPr="009B50B8" w:rsidRDefault="00B65584" w:rsidP="00BE6283">
            <w:pPr>
              <w:rPr>
                <w:rFonts w:ascii="Arial" w:hAnsi="Arial" w:cs="Arial"/>
                <w:sz w:val="20"/>
                <w:szCs w:val="20"/>
              </w:rPr>
            </w:pPr>
            <w:r w:rsidRPr="009B50B8">
              <w:rPr>
                <w:rFonts w:ascii="Arial" w:hAnsi="Arial" w:cs="Arial"/>
                <w:sz w:val="20"/>
                <w:szCs w:val="20"/>
              </w:rPr>
              <w:t>~1 million Acres</w:t>
            </w:r>
          </w:p>
        </w:tc>
        <w:tc>
          <w:tcPr>
            <w:tcW w:w="0" w:type="auto"/>
          </w:tcPr>
          <w:p w14:paraId="0A01264C" w14:textId="77777777" w:rsidR="00B65584" w:rsidRPr="009B50B8" w:rsidRDefault="00B65584" w:rsidP="00BE6283">
            <w:pPr>
              <w:rPr>
                <w:rFonts w:ascii="Arial" w:hAnsi="Arial" w:cs="Arial"/>
                <w:sz w:val="20"/>
                <w:szCs w:val="20"/>
              </w:rPr>
            </w:pPr>
            <w:r w:rsidRPr="009B50B8">
              <w:rPr>
                <w:rFonts w:ascii="Arial" w:hAnsi="Arial" w:cs="Arial"/>
                <w:sz w:val="20"/>
                <w:szCs w:val="20"/>
              </w:rPr>
              <w:t>Supply chain sustainability is a powerful driver</w:t>
            </w:r>
          </w:p>
        </w:tc>
      </w:tr>
    </w:tbl>
    <w:p w14:paraId="14716BB1" w14:textId="77777777" w:rsidR="00B65584" w:rsidRPr="009B50B8" w:rsidRDefault="00B65584" w:rsidP="00B65584">
      <w:pPr>
        <w:jc w:val="both"/>
        <w:rPr>
          <w:rFonts w:ascii="Arial" w:hAnsi="Arial" w:cs="Arial"/>
        </w:rPr>
      </w:pPr>
    </w:p>
    <w:p w14:paraId="5E3D2CA2" w14:textId="77777777" w:rsidR="00B65584" w:rsidRPr="009B50B8" w:rsidRDefault="00B65584" w:rsidP="00B65584">
      <w:pPr>
        <w:jc w:val="both"/>
        <w:rPr>
          <w:rFonts w:ascii="Arial" w:hAnsi="Arial" w:cs="Arial"/>
          <w:b/>
          <w:bCs/>
        </w:rPr>
      </w:pPr>
      <w:r w:rsidRPr="009B50B8">
        <w:rPr>
          <w:rFonts w:ascii="Arial" w:hAnsi="Arial" w:cs="Arial"/>
          <w:b/>
          <w:bCs/>
        </w:rPr>
        <w:t xml:space="preserve"> </w:t>
      </w:r>
      <w:r w:rsidRPr="00B65584">
        <w:rPr>
          <w:rFonts w:ascii="Arial" w:hAnsi="Arial" w:cs="Arial"/>
          <w:b/>
          <w:bCs/>
          <w:sz w:val="22"/>
        </w:rPr>
        <w:t>4. KEY CHALLENGES TO INTEGRATION</w:t>
      </w:r>
    </w:p>
    <w:p w14:paraId="6BE619B1" w14:textId="77777777" w:rsidR="00B65584" w:rsidRPr="009B50B8" w:rsidRDefault="00B65584" w:rsidP="00B65584">
      <w:pPr>
        <w:jc w:val="both"/>
        <w:rPr>
          <w:rFonts w:ascii="Arial" w:hAnsi="Arial" w:cs="Arial"/>
        </w:rPr>
      </w:pPr>
      <w:r w:rsidRPr="009B50B8">
        <w:rPr>
          <w:rFonts w:ascii="Arial" w:hAnsi="Arial" w:cs="Arial"/>
        </w:rPr>
        <w:t>Scaling soil carbon programs faces significant technical, economic, and methodological hurdles.</w:t>
      </w:r>
    </w:p>
    <w:p w14:paraId="75748925" w14:textId="77777777" w:rsidR="00B65584" w:rsidRPr="009B50B8" w:rsidRDefault="00B65584" w:rsidP="00B65584">
      <w:pPr>
        <w:jc w:val="both"/>
        <w:rPr>
          <w:rFonts w:ascii="Arial" w:hAnsi="Arial" w:cs="Arial"/>
        </w:rPr>
      </w:pPr>
    </w:p>
    <w:p w14:paraId="12BE355F" w14:textId="77777777" w:rsidR="00B65584" w:rsidRPr="009B50B8" w:rsidRDefault="00B65584" w:rsidP="00B65584">
      <w:pPr>
        <w:jc w:val="both"/>
        <w:rPr>
          <w:rFonts w:ascii="Arial" w:hAnsi="Arial" w:cs="Arial"/>
          <w:b/>
          <w:bCs/>
        </w:rPr>
      </w:pPr>
      <w:r w:rsidRPr="009B50B8">
        <w:rPr>
          <w:rFonts w:ascii="Arial" w:hAnsi="Arial" w:cs="Arial"/>
          <w:b/>
          <w:bCs/>
        </w:rPr>
        <w:t>4.1 MEASUREMENT, MONITORING, REPORTING, AND VERIFICATION (MMRV)</w:t>
      </w:r>
    </w:p>
    <w:p w14:paraId="26124AC4" w14:textId="77777777" w:rsidR="00B65584" w:rsidRPr="009B50B8" w:rsidRDefault="00B65584" w:rsidP="00B65584">
      <w:pPr>
        <w:jc w:val="both"/>
        <w:rPr>
          <w:rFonts w:ascii="Arial" w:hAnsi="Arial" w:cs="Arial"/>
        </w:rPr>
      </w:pPr>
      <w:r w:rsidRPr="009B50B8">
        <w:rPr>
          <w:rFonts w:ascii="Arial" w:hAnsi="Arial" w:cs="Arial"/>
        </w:rPr>
        <w:t>The single greatest challenge is accurate, cost-effective MMRV. Traditional SOC measurement requires repeated soil sampling and laboratory analysis, which is expensive, time-consuming, and destructive. Remote sensing and modelling offer promise but are not yet sufficiently accurate on their own for high-value carbon credits. (</w:t>
      </w:r>
      <w:proofErr w:type="spellStart"/>
      <w:r w:rsidRPr="009B50B8">
        <w:rPr>
          <w:rFonts w:ascii="Arial" w:hAnsi="Arial" w:cs="Arial"/>
        </w:rPr>
        <w:t>Lobry</w:t>
      </w:r>
      <w:proofErr w:type="spellEnd"/>
      <w:r w:rsidRPr="009B50B8">
        <w:rPr>
          <w:rFonts w:ascii="Arial" w:hAnsi="Arial" w:cs="Arial"/>
        </w:rPr>
        <w:t xml:space="preserve"> de Bruin &amp; Hedley, 2021) are among many researchers developing new technologies, including in-field sensors and sophisticated ecosystem models, to lower MMRV costs.</w:t>
      </w:r>
    </w:p>
    <w:p w14:paraId="26CAFF19" w14:textId="77777777" w:rsidR="00B65584" w:rsidRPr="009B50B8" w:rsidRDefault="00B65584" w:rsidP="00B65584">
      <w:pPr>
        <w:jc w:val="both"/>
        <w:rPr>
          <w:rFonts w:ascii="Arial" w:hAnsi="Arial" w:cs="Arial"/>
        </w:rPr>
      </w:pPr>
    </w:p>
    <w:p w14:paraId="54A916E8" w14:textId="77777777" w:rsidR="00B65584" w:rsidRPr="009B50B8" w:rsidRDefault="00B65584" w:rsidP="00B65584">
      <w:pPr>
        <w:jc w:val="both"/>
        <w:rPr>
          <w:rFonts w:ascii="Arial" w:hAnsi="Arial" w:cs="Arial"/>
          <w:b/>
          <w:bCs/>
        </w:rPr>
      </w:pPr>
      <w:r w:rsidRPr="009B50B8">
        <w:rPr>
          <w:rFonts w:ascii="Arial" w:hAnsi="Arial" w:cs="Arial"/>
          <w:b/>
          <w:bCs/>
        </w:rPr>
        <w:t>4.2 PERMANENCE</w:t>
      </w:r>
    </w:p>
    <w:p w14:paraId="75E09E4A" w14:textId="3DDDADAC" w:rsidR="00B65584" w:rsidRPr="009B50B8" w:rsidRDefault="00B65584" w:rsidP="00B65584">
      <w:pPr>
        <w:jc w:val="both"/>
        <w:rPr>
          <w:rFonts w:ascii="Arial" w:hAnsi="Arial" w:cs="Arial"/>
        </w:rPr>
      </w:pPr>
      <w:r w:rsidRPr="009B50B8">
        <w:rPr>
          <w:rFonts w:ascii="Arial" w:hAnsi="Arial" w:cs="Arial"/>
        </w:rPr>
        <w:t>Permanence refers to the durability of carbon stored in soil. A credit representing one ton of sequestered CO</w:t>
      </w:r>
      <w:r w:rsidRPr="009B50B8">
        <w:rPr>
          <w:rFonts w:ascii="Times New Roman" w:hAnsi="Times New Roman" w:cs="Arial"/>
        </w:rPr>
        <w:t>₂</w:t>
      </w:r>
      <w:r w:rsidRPr="009B50B8">
        <w:rPr>
          <w:rFonts w:ascii="Arial" w:hAnsi="Arial" w:cs="Arial"/>
        </w:rPr>
        <w:t xml:space="preserve"> is meant to be permanent, but SOC can be re-released due to a change in management practice, a natural disaster like a wildfire, or the impacts of climate change itself (e.g., warming temperatures accelerating decomposition). Guaranteeing permanence over a 100-year timescale is inherently difficult. Carbon markets address this through buffer pools (where a percentage of credits </w:t>
      </w:r>
      <w:r w:rsidR="00F718B2" w:rsidRPr="00F94903">
        <w:rPr>
          <w:rFonts w:ascii="Arial" w:hAnsi="Arial" w:cs="Arial"/>
          <w:highlight w:val="yellow"/>
        </w:rPr>
        <w:t>is</w:t>
      </w:r>
      <w:r w:rsidR="00F718B2" w:rsidRPr="009B50B8">
        <w:rPr>
          <w:rFonts w:ascii="Arial" w:hAnsi="Arial" w:cs="Arial"/>
        </w:rPr>
        <w:t xml:space="preserve"> </w:t>
      </w:r>
      <w:r w:rsidRPr="009B50B8">
        <w:rPr>
          <w:rFonts w:ascii="Arial" w:hAnsi="Arial" w:cs="Arial"/>
        </w:rPr>
        <w:t>withheld to ensure against reversals) and temporary crediting mechanisms, but these solutions are imperfect.</w:t>
      </w:r>
    </w:p>
    <w:p w14:paraId="45257F2F" w14:textId="77777777" w:rsidR="00B65584" w:rsidRPr="009B50B8" w:rsidRDefault="00B65584" w:rsidP="00B65584">
      <w:pPr>
        <w:jc w:val="both"/>
        <w:rPr>
          <w:rFonts w:ascii="Arial" w:hAnsi="Arial" w:cs="Arial"/>
        </w:rPr>
      </w:pPr>
    </w:p>
    <w:p w14:paraId="4A8D031E" w14:textId="77777777" w:rsidR="00B65584" w:rsidRPr="009B50B8" w:rsidRDefault="00B65584" w:rsidP="00B65584">
      <w:pPr>
        <w:jc w:val="both"/>
        <w:rPr>
          <w:rFonts w:ascii="Arial" w:hAnsi="Arial" w:cs="Arial"/>
          <w:b/>
          <w:bCs/>
        </w:rPr>
      </w:pPr>
      <w:r w:rsidRPr="009B50B8">
        <w:rPr>
          <w:rFonts w:ascii="Arial" w:hAnsi="Arial" w:cs="Arial"/>
          <w:b/>
          <w:bCs/>
        </w:rPr>
        <w:t>4.3 ADDITIONALITY AND BASELINES</w:t>
      </w:r>
    </w:p>
    <w:p w14:paraId="1EBD75F5" w14:textId="77777777" w:rsidR="00B65584" w:rsidRPr="009B50B8" w:rsidRDefault="00B65584" w:rsidP="00B65584">
      <w:pPr>
        <w:jc w:val="both"/>
        <w:rPr>
          <w:rFonts w:ascii="Arial" w:hAnsi="Arial" w:cs="Arial"/>
        </w:rPr>
      </w:pPr>
      <w:r w:rsidRPr="009B50B8">
        <w:rPr>
          <w:rFonts w:ascii="Arial" w:hAnsi="Arial" w:cs="Arial"/>
        </w:rPr>
        <w:t>A core principle of carbon markets is that credited reductions must be "additional" – they would not have occurred without the incentive of carbon finance. Establishing a counterfactual baseline for a farm's business-as-usual practices is challenging and can lead to crediting for activities that were going to happen anyway. The dynamic nature of farming systems adds to this complexity.</w:t>
      </w:r>
    </w:p>
    <w:p w14:paraId="65630C99" w14:textId="77777777" w:rsidR="00B65584" w:rsidRPr="009B50B8" w:rsidRDefault="00B65584" w:rsidP="00B65584">
      <w:pPr>
        <w:jc w:val="both"/>
        <w:rPr>
          <w:rFonts w:ascii="Arial" w:hAnsi="Arial" w:cs="Arial"/>
        </w:rPr>
      </w:pPr>
    </w:p>
    <w:p w14:paraId="23E72632" w14:textId="77777777" w:rsidR="00B65584" w:rsidRPr="009B50B8" w:rsidRDefault="00B65584" w:rsidP="00B65584">
      <w:pPr>
        <w:jc w:val="both"/>
        <w:rPr>
          <w:rFonts w:ascii="Arial" w:hAnsi="Arial" w:cs="Arial"/>
          <w:b/>
          <w:bCs/>
        </w:rPr>
      </w:pPr>
      <w:r w:rsidRPr="009B50B8">
        <w:rPr>
          <w:rFonts w:ascii="Arial" w:hAnsi="Arial" w:cs="Arial"/>
          <w:b/>
          <w:bCs/>
        </w:rPr>
        <w:lastRenderedPageBreak/>
        <w:t>4.4 LEAKAGE</w:t>
      </w:r>
    </w:p>
    <w:p w14:paraId="75B1131E" w14:textId="77777777" w:rsidR="00B65584" w:rsidRPr="009B50B8" w:rsidRDefault="00B65584" w:rsidP="00B65584">
      <w:pPr>
        <w:jc w:val="both"/>
        <w:rPr>
          <w:rFonts w:ascii="Arial" w:hAnsi="Arial" w:cs="Arial"/>
        </w:rPr>
      </w:pPr>
      <w:r w:rsidRPr="009B50B8">
        <w:rPr>
          <w:rFonts w:ascii="Arial" w:hAnsi="Arial" w:cs="Arial"/>
        </w:rPr>
        <w:t>Leakage occurs when a project’s activities simply displace emissions to another location. For example, a project that reduces livestock stocking density to allow for grassland recovery might cause the farmer to sell those animals to another operation that overstocks its land, resulting in no net emission reduction.</w:t>
      </w:r>
    </w:p>
    <w:p w14:paraId="253766A1" w14:textId="77777777" w:rsidR="00B65584" w:rsidRPr="009B50B8" w:rsidRDefault="00B65584" w:rsidP="00B65584">
      <w:pPr>
        <w:jc w:val="both"/>
        <w:rPr>
          <w:rFonts w:ascii="Arial" w:hAnsi="Arial" w:cs="Arial"/>
        </w:rPr>
      </w:pPr>
    </w:p>
    <w:p w14:paraId="5968E45C" w14:textId="77777777" w:rsidR="00B65584" w:rsidRPr="009B50B8" w:rsidRDefault="00B65584" w:rsidP="00B65584">
      <w:pPr>
        <w:jc w:val="both"/>
        <w:rPr>
          <w:rFonts w:ascii="Arial" w:hAnsi="Arial" w:cs="Arial"/>
          <w:b/>
          <w:bCs/>
        </w:rPr>
      </w:pPr>
      <w:r w:rsidRPr="009B50B8">
        <w:rPr>
          <w:rFonts w:ascii="Arial" w:hAnsi="Arial" w:cs="Arial"/>
          <w:b/>
          <w:bCs/>
        </w:rPr>
        <w:t>4.5 ECONOMIC AND BEHAVIOURAL BARRIERS</w:t>
      </w:r>
    </w:p>
    <w:p w14:paraId="280D8E44" w14:textId="77777777" w:rsidR="00B65584" w:rsidRPr="009B50B8" w:rsidRDefault="00B65584" w:rsidP="00B65584">
      <w:pPr>
        <w:jc w:val="both"/>
        <w:rPr>
          <w:rFonts w:ascii="Arial" w:hAnsi="Arial" w:cs="Arial"/>
        </w:rPr>
      </w:pPr>
      <w:r w:rsidRPr="009B50B8">
        <w:rPr>
          <w:rFonts w:ascii="Arial" w:hAnsi="Arial" w:cs="Arial"/>
        </w:rPr>
        <w:t>Transitioning to regenerative practices often involves upfront costs (e.g., for new equipment), a temporary dip in yields during the transition period, and a steep learning curve for farmers. Without sufficient financial and technical support, farmer adoption will remain low. Table 4 outlines typical barriers and enabling factors for farmers.</w:t>
      </w:r>
    </w:p>
    <w:p w14:paraId="2B178F4F" w14:textId="77777777" w:rsidR="00B65584" w:rsidRPr="009B50B8" w:rsidRDefault="00B65584" w:rsidP="00B65584">
      <w:pPr>
        <w:jc w:val="both"/>
        <w:rPr>
          <w:rFonts w:ascii="Arial" w:hAnsi="Arial" w:cs="Arial"/>
        </w:rPr>
      </w:pPr>
    </w:p>
    <w:p w14:paraId="41E1A3EA" w14:textId="77777777" w:rsidR="00B65584" w:rsidRPr="009B50B8" w:rsidRDefault="00B65584" w:rsidP="00B65584">
      <w:pPr>
        <w:jc w:val="both"/>
        <w:rPr>
          <w:rFonts w:ascii="Arial" w:hAnsi="Arial" w:cs="Arial"/>
          <w:b/>
          <w:bCs/>
        </w:rPr>
      </w:pPr>
      <w:r w:rsidRPr="009B50B8">
        <w:rPr>
          <w:rFonts w:ascii="Arial" w:hAnsi="Arial" w:cs="Arial"/>
          <w:b/>
          <w:bCs/>
        </w:rPr>
        <w:t>Table 4: Farmer Adoption Barriers and Enablers for Soil Health Practices Barriers to Soil Carbon Sequestration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3111"/>
        <w:gridCol w:w="3637"/>
      </w:tblGrid>
      <w:tr w:rsidR="00B65584" w:rsidRPr="009B50B8" w14:paraId="79BB8D35" w14:textId="77777777" w:rsidTr="00266696">
        <w:trPr>
          <w:trHeight w:val="319"/>
        </w:trPr>
        <w:tc>
          <w:tcPr>
            <w:tcW w:w="0" w:type="auto"/>
            <w:tcBorders>
              <w:top w:val="single" w:sz="4" w:space="0" w:color="auto"/>
              <w:bottom w:val="single" w:sz="4" w:space="0" w:color="auto"/>
            </w:tcBorders>
            <w:vAlign w:val="center"/>
          </w:tcPr>
          <w:p w14:paraId="085A1629"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Barrier</w:t>
            </w:r>
          </w:p>
        </w:tc>
        <w:tc>
          <w:tcPr>
            <w:tcW w:w="0" w:type="auto"/>
            <w:tcBorders>
              <w:top w:val="single" w:sz="4" w:space="0" w:color="auto"/>
              <w:bottom w:val="single" w:sz="4" w:space="0" w:color="auto"/>
            </w:tcBorders>
            <w:vAlign w:val="center"/>
          </w:tcPr>
          <w:p w14:paraId="0310E7AF"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Description</w:t>
            </w:r>
          </w:p>
        </w:tc>
        <w:tc>
          <w:tcPr>
            <w:tcW w:w="0" w:type="auto"/>
            <w:tcBorders>
              <w:top w:val="single" w:sz="4" w:space="0" w:color="auto"/>
              <w:bottom w:val="single" w:sz="4" w:space="0" w:color="auto"/>
            </w:tcBorders>
            <w:vAlign w:val="center"/>
          </w:tcPr>
          <w:p w14:paraId="3A94CE4F"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Potential Enabler</w:t>
            </w:r>
          </w:p>
        </w:tc>
      </w:tr>
      <w:tr w:rsidR="00B65584" w:rsidRPr="009B50B8" w14:paraId="1ACA8D3C" w14:textId="77777777" w:rsidTr="00266696">
        <w:trPr>
          <w:trHeight w:val="319"/>
        </w:trPr>
        <w:tc>
          <w:tcPr>
            <w:tcW w:w="0" w:type="auto"/>
            <w:tcBorders>
              <w:top w:val="single" w:sz="4" w:space="0" w:color="auto"/>
            </w:tcBorders>
          </w:tcPr>
          <w:p w14:paraId="2B25194D" w14:textId="77777777" w:rsidR="00B65584" w:rsidRPr="009B50B8" w:rsidRDefault="00B65584" w:rsidP="00BE6283">
            <w:pPr>
              <w:rPr>
                <w:rFonts w:ascii="Arial" w:hAnsi="Arial" w:cs="Arial"/>
                <w:sz w:val="20"/>
                <w:szCs w:val="20"/>
              </w:rPr>
            </w:pPr>
            <w:r w:rsidRPr="009B50B8">
              <w:rPr>
                <w:rFonts w:ascii="Arial" w:hAnsi="Arial" w:cs="Arial"/>
                <w:sz w:val="20"/>
                <w:szCs w:val="20"/>
              </w:rPr>
              <w:t>Economic Risk</w:t>
            </w:r>
          </w:p>
        </w:tc>
        <w:tc>
          <w:tcPr>
            <w:tcW w:w="0" w:type="auto"/>
            <w:tcBorders>
              <w:top w:val="single" w:sz="4" w:space="0" w:color="auto"/>
            </w:tcBorders>
          </w:tcPr>
          <w:p w14:paraId="494859F1" w14:textId="77777777" w:rsidR="00B65584" w:rsidRPr="009B50B8" w:rsidRDefault="00B65584" w:rsidP="00BE6283">
            <w:pPr>
              <w:rPr>
                <w:rFonts w:ascii="Arial" w:hAnsi="Arial" w:cs="Arial"/>
                <w:sz w:val="20"/>
                <w:szCs w:val="20"/>
              </w:rPr>
            </w:pPr>
            <w:r w:rsidRPr="009B50B8">
              <w:rPr>
                <w:rFonts w:ascii="Arial" w:hAnsi="Arial" w:cs="Arial"/>
                <w:sz w:val="20"/>
                <w:szCs w:val="20"/>
              </w:rPr>
              <w:t>High upfront cost &amp; uncertain ROI</w:t>
            </w:r>
          </w:p>
        </w:tc>
        <w:tc>
          <w:tcPr>
            <w:tcW w:w="0" w:type="auto"/>
            <w:tcBorders>
              <w:top w:val="single" w:sz="4" w:space="0" w:color="auto"/>
            </w:tcBorders>
          </w:tcPr>
          <w:p w14:paraId="77AF4A83" w14:textId="77777777" w:rsidR="00B65584" w:rsidRPr="009B50B8" w:rsidRDefault="00B65584" w:rsidP="00BE6283">
            <w:pPr>
              <w:rPr>
                <w:rFonts w:ascii="Arial" w:hAnsi="Arial" w:cs="Arial"/>
                <w:sz w:val="20"/>
                <w:szCs w:val="20"/>
              </w:rPr>
            </w:pPr>
            <w:r w:rsidRPr="009B50B8">
              <w:rPr>
                <w:rFonts w:ascii="Arial" w:hAnsi="Arial" w:cs="Arial"/>
                <w:sz w:val="20"/>
                <w:szCs w:val="20"/>
              </w:rPr>
              <w:t>Carbon payments, cost-share programs, and premium markets</w:t>
            </w:r>
          </w:p>
        </w:tc>
      </w:tr>
      <w:tr w:rsidR="00B65584" w:rsidRPr="009B50B8" w14:paraId="2806E534" w14:textId="77777777" w:rsidTr="00266696">
        <w:trPr>
          <w:trHeight w:val="307"/>
        </w:trPr>
        <w:tc>
          <w:tcPr>
            <w:tcW w:w="0" w:type="auto"/>
          </w:tcPr>
          <w:p w14:paraId="67990432" w14:textId="77777777" w:rsidR="00B65584" w:rsidRPr="009B50B8" w:rsidRDefault="00B65584" w:rsidP="00BE6283">
            <w:pPr>
              <w:rPr>
                <w:rFonts w:ascii="Arial" w:hAnsi="Arial" w:cs="Arial"/>
                <w:sz w:val="20"/>
                <w:szCs w:val="20"/>
              </w:rPr>
            </w:pPr>
            <w:r w:rsidRPr="009B50B8">
              <w:rPr>
                <w:rFonts w:ascii="Arial" w:hAnsi="Arial" w:cs="Arial"/>
                <w:sz w:val="20"/>
                <w:szCs w:val="20"/>
              </w:rPr>
              <w:t>Knowledge Gap</w:t>
            </w:r>
          </w:p>
        </w:tc>
        <w:tc>
          <w:tcPr>
            <w:tcW w:w="0" w:type="auto"/>
          </w:tcPr>
          <w:p w14:paraId="7442E45A" w14:textId="77777777" w:rsidR="00B65584" w:rsidRPr="009B50B8" w:rsidRDefault="00B65584" w:rsidP="00BE6283">
            <w:pPr>
              <w:rPr>
                <w:rFonts w:ascii="Arial" w:hAnsi="Arial" w:cs="Arial"/>
                <w:sz w:val="20"/>
                <w:szCs w:val="20"/>
              </w:rPr>
            </w:pPr>
            <w:r w:rsidRPr="009B50B8">
              <w:rPr>
                <w:rFonts w:ascii="Arial" w:hAnsi="Arial" w:cs="Arial"/>
                <w:sz w:val="20"/>
                <w:szCs w:val="20"/>
              </w:rPr>
              <w:t>Lack of know-how for new practices</w:t>
            </w:r>
          </w:p>
        </w:tc>
        <w:tc>
          <w:tcPr>
            <w:tcW w:w="0" w:type="auto"/>
          </w:tcPr>
          <w:p w14:paraId="453F4A01" w14:textId="77777777" w:rsidR="00B65584" w:rsidRPr="009B50B8" w:rsidRDefault="00B65584" w:rsidP="00BE6283">
            <w:pPr>
              <w:rPr>
                <w:rFonts w:ascii="Arial" w:hAnsi="Arial" w:cs="Arial"/>
                <w:sz w:val="20"/>
                <w:szCs w:val="20"/>
              </w:rPr>
            </w:pPr>
            <w:r w:rsidRPr="009B50B8">
              <w:rPr>
                <w:rFonts w:ascii="Arial" w:hAnsi="Arial" w:cs="Arial"/>
                <w:sz w:val="20"/>
                <w:szCs w:val="20"/>
              </w:rPr>
              <w:t>Technical assistance, peer-to-peer learning networks</w:t>
            </w:r>
          </w:p>
        </w:tc>
      </w:tr>
      <w:tr w:rsidR="00B65584" w:rsidRPr="009B50B8" w14:paraId="5C978DE9" w14:textId="77777777" w:rsidTr="00266696">
        <w:trPr>
          <w:trHeight w:val="319"/>
        </w:trPr>
        <w:tc>
          <w:tcPr>
            <w:tcW w:w="0" w:type="auto"/>
          </w:tcPr>
          <w:p w14:paraId="2B93B164" w14:textId="77777777" w:rsidR="00B65584" w:rsidRPr="009B50B8" w:rsidRDefault="00B65584" w:rsidP="00BE6283">
            <w:pPr>
              <w:rPr>
                <w:rFonts w:ascii="Arial" w:hAnsi="Arial" w:cs="Arial"/>
                <w:sz w:val="20"/>
                <w:szCs w:val="20"/>
              </w:rPr>
            </w:pPr>
            <w:r w:rsidRPr="009B50B8">
              <w:rPr>
                <w:rFonts w:ascii="Arial" w:hAnsi="Arial" w:cs="Arial"/>
                <w:sz w:val="20"/>
                <w:szCs w:val="20"/>
              </w:rPr>
              <w:t>Cultural Norms</w:t>
            </w:r>
          </w:p>
        </w:tc>
        <w:tc>
          <w:tcPr>
            <w:tcW w:w="0" w:type="auto"/>
          </w:tcPr>
          <w:p w14:paraId="5C091754" w14:textId="77777777" w:rsidR="00B65584" w:rsidRPr="009B50B8" w:rsidRDefault="00B65584" w:rsidP="00BE6283">
            <w:pPr>
              <w:rPr>
                <w:rFonts w:ascii="Arial" w:hAnsi="Arial" w:cs="Arial"/>
                <w:sz w:val="20"/>
                <w:szCs w:val="20"/>
              </w:rPr>
            </w:pPr>
            <w:r w:rsidRPr="009B50B8">
              <w:rPr>
                <w:rFonts w:ascii="Arial" w:hAnsi="Arial" w:cs="Arial"/>
                <w:sz w:val="20"/>
                <w:szCs w:val="20"/>
              </w:rPr>
              <w:t>Deeply ingrained traditional practices</w:t>
            </w:r>
          </w:p>
        </w:tc>
        <w:tc>
          <w:tcPr>
            <w:tcW w:w="0" w:type="auto"/>
          </w:tcPr>
          <w:p w14:paraId="63D0CEB9" w14:textId="77777777" w:rsidR="00B65584" w:rsidRPr="009B50B8" w:rsidRDefault="00B65584" w:rsidP="00BE6283">
            <w:pPr>
              <w:rPr>
                <w:rFonts w:ascii="Arial" w:hAnsi="Arial" w:cs="Arial"/>
                <w:sz w:val="20"/>
                <w:szCs w:val="20"/>
              </w:rPr>
            </w:pPr>
            <w:r w:rsidRPr="009B50B8">
              <w:rPr>
                <w:rFonts w:ascii="Arial" w:hAnsi="Arial" w:cs="Arial"/>
                <w:sz w:val="20"/>
                <w:szCs w:val="20"/>
              </w:rPr>
              <w:t>Demonstrations, champion farmers, and changing education</w:t>
            </w:r>
          </w:p>
        </w:tc>
      </w:tr>
      <w:tr w:rsidR="00B65584" w:rsidRPr="009B50B8" w14:paraId="27D2CF0B" w14:textId="77777777" w:rsidTr="00266696">
        <w:trPr>
          <w:trHeight w:val="319"/>
        </w:trPr>
        <w:tc>
          <w:tcPr>
            <w:tcW w:w="0" w:type="auto"/>
          </w:tcPr>
          <w:p w14:paraId="3D2C0367" w14:textId="77777777" w:rsidR="00B65584" w:rsidRPr="009B50B8" w:rsidRDefault="00B65584" w:rsidP="00BE6283">
            <w:pPr>
              <w:rPr>
                <w:rFonts w:ascii="Arial" w:hAnsi="Arial" w:cs="Arial"/>
                <w:sz w:val="20"/>
                <w:szCs w:val="20"/>
              </w:rPr>
            </w:pPr>
            <w:r w:rsidRPr="009B50B8">
              <w:rPr>
                <w:rFonts w:ascii="Arial" w:hAnsi="Arial" w:cs="Arial"/>
                <w:sz w:val="20"/>
                <w:szCs w:val="20"/>
              </w:rPr>
              <w:t>Land Tenure</w:t>
            </w:r>
          </w:p>
        </w:tc>
        <w:tc>
          <w:tcPr>
            <w:tcW w:w="0" w:type="auto"/>
          </w:tcPr>
          <w:p w14:paraId="5C8B6580" w14:textId="7C5C7C78" w:rsidR="00B65584" w:rsidRPr="009B50B8" w:rsidRDefault="00B65584" w:rsidP="00BE6283">
            <w:pPr>
              <w:rPr>
                <w:rFonts w:ascii="Arial" w:hAnsi="Arial" w:cs="Arial"/>
                <w:sz w:val="20"/>
                <w:szCs w:val="20"/>
              </w:rPr>
            </w:pPr>
            <w:r w:rsidRPr="009B50B8">
              <w:rPr>
                <w:rFonts w:ascii="Arial" w:hAnsi="Arial" w:cs="Arial"/>
                <w:sz w:val="20"/>
                <w:szCs w:val="20"/>
              </w:rPr>
              <w:t xml:space="preserve">Short-term leases </w:t>
            </w:r>
            <w:proofErr w:type="spellStart"/>
            <w:r w:rsidR="00F718B2" w:rsidRPr="00F94903">
              <w:rPr>
                <w:rFonts w:ascii="Arial" w:hAnsi="Arial" w:cs="Arial"/>
                <w:sz w:val="20"/>
                <w:szCs w:val="20"/>
                <w:highlight w:val="yellow"/>
              </w:rPr>
              <w:t>disincentivise</w:t>
            </w:r>
            <w:proofErr w:type="spellEnd"/>
            <w:r w:rsidR="00F718B2" w:rsidRPr="00F94903">
              <w:rPr>
                <w:rFonts w:ascii="Arial" w:hAnsi="Arial" w:cs="Arial"/>
                <w:sz w:val="20"/>
                <w:szCs w:val="20"/>
                <w:highlight w:val="yellow"/>
              </w:rPr>
              <w:t xml:space="preserve"> </w:t>
            </w:r>
            <w:r w:rsidRPr="009B50B8">
              <w:rPr>
                <w:rFonts w:ascii="Arial" w:hAnsi="Arial" w:cs="Arial"/>
                <w:sz w:val="20"/>
                <w:szCs w:val="20"/>
              </w:rPr>
              <w:t>long-term investment</w:t>
            </w:r>
          </w:p>
        </w:tc>
        <w:tc>
          <w:tcPr>
            <w:tcW w:w="0" w:type="auto"/>
          </w:tcPr>
          <w:p w14:paraId="6AC1CC98" w14:textId="77777777" w:rsidR="00B65584" w:rsidRPr="009B50B8" w:rsidRDefault="00B65584" w:rsidP="00BE6283">
            <w:pPr>
              <w:rPr>
                <w:rFonts w:ascii="Arial" w:hAnsi="Arial" w:cs="Arial"/>
                <w:sz w:val="20"/>
                <w:szCs w:val="20"/>
              </w:rPr>
            </w:pPr>
            <w:r w:rsidRPr="009B50B8">
              <w:rPr>
                <w:rFonts w:ascii="Arial" w:hAnsi="Arial" w:cs="Arial"/>
                <w:sz w:val="20"/>
                <w:szCs w:val="20"/>
              </w:rPr>
              <w:t>Longer leases, landowner-tenant agreements on soil health</w:t>
            </w:r>
          </w:p>
        </w:tc>
      </w:tr>
      <w:tr w:rsidR="00B65584" w:rsidRPr="009B50B8" w14:paraId="359B9981" w14:textId="77777777" w:rsidTr="00266696">
        <w:trPr>
          <w:trHeight w:val="319"/>
        </w:trPr>
        <w:tc>
          <w:tcPr>
            <w:tcW w:w="0" w:type="auto"/>
          </w:tcPr>
          <w:p w14:paraId="5D5D9B15" w14:textId="77777777" w:rsidR="00B65584" w:rsidRPr="009B50B8" w:rsidRDefault="00B65584" w:rsidP="00BE6283">
            <w:pPr>
              <w:rPr>
                <w:rFonts w:ascii="Arial" w:hAnsi="Arial" w:cs="Arial"/>
                <w:sz w:val="20"/>
                <w:szCs w:val="20"/>
              </w:rPr>
            </w:pPr>
            <w:r w:rsidRPr="009B50B8">
              <w:rPr>
                <w:rFonts w:ascii="Arial" w:hAnsi="Arial" w:cs="Arial"/>
                <w:sz w:val="20"/>
                <w:szCs w:val="20"/>
              </w:rPr>
              <w:t>Policy Disincentives</w:t>
            </w:r>
          </w:p>
        </w:tc>
        <w:tc>
          <w:tcPr>
            <w:tcW w:w="0" w:type="auto"/>
          </w:tcPr>
          <w:p w14:paraId="6B135668" w14:textId="031FF166" w:rsidR="00B65584" w:rsidRPr="009B50B8" w:rsidRDefault="00B65584" w:rsidP="00BE6283">
            <w:pPr>
              <w:rPr>
                <w:rFonts w:ascii="Arial" w:hAnsi="Arial" w:cs="Arial"/>
                <w:sz w:val="20"/>
                <w:szCs w:val="20"/>
              </w:rPr>
            </w:pPr>
            <w:r w:rsidRPr="009B50B8">
              <w:rPr>
                <w:rFonts w:ascii="Arial" w:hAnsi="Arial" w:cs="Arial"/>
                <w:sz w:val="20"/>
                <w:szCs w:val="20"/>
              </w:rPr>
              <w:t xml:space="preserve">Crop insurance or subsidies </w:t>
            </w:r>
            <w:proofErr w:type="spellStart"/>
            <w:r w:rsidR="00F718B2" w:rsidRPr="00F94903">
              <w:rPr>
                <w:rFonts w:ascii="Arial" w:hAnsi="Arial" w:cs="Arial"/>
                <w:sz w:val="20"/>
                <w:szCs w:val="20"/>
                <w:highlight w:val="yellow"/>
              </w:rPr>
              <w:t>favouring</w:t>
            </w:r>
            <w:proofErr w:type="spellEnd"/>
            <w:r w:rsidR="00F718B2" w:rsidRPr="00F94903">
              <w:rPr>
                <w:rFonts w:ascii="Arial" w:hAnsi="Arial" w:cs="Arial"/>
                <w:sz w:val="20"/>
                <w:szCs w:val="20"/>
                <w:highlight w:val="yellow"/>
              </w:rPr>
              <w:t xml:space="preserve"> </w:t>
            </w:r>
            <w:r w:rsidRPr="009B50B8">
              <w:rPr>
                <w:rFonts w:ascii="Arial" w:hAnsi="Arial" w:cs="Arial"/>
                <w:sz w:val="20"/>
                <w:szCs w:val="20"/>
              </w:rPr>
              <w:t>monocultures</w:t>
            </w:r>
          </w:p>
        </w:tc>
        <w:tc>
          <w:tcPr>
            <w:tcW w:w="0" w:type="auto"/>
          </w:tcPr>
          <w:p w14:paraId="5FE6D58E" w14:textId="77777777" w:rsidR="00B65584" w:rsidRPr="009B50B8" w:rsidRDefault="00B65584" w:rsidP="00BE6283">
            <w:pPr>
              <w:rPr>
                <w:rFonts w:ascii="Arial" w:hAnsi="Arial" w:cs="Arial"/>
                <w:sz w:val="20"/>
                <w:szCs w:val="20"/>
              </w:rPr>
            </w:pPr>
            <w:r w:rsidRPr="009B50B8">
              <w:rPr>
                <w:rFonts w:ascii="Arial" w:hAnsi="Arial" w:cs="Arial"/>
                <w:sz w:val="20"/>
                <w:szCs w:val="20"/>
              </w:rPr>
              <w:t>Policy reform to support regenerative systems</w:t>
            </w:r>
          </w:p>
        </w:tc>
      </w:tr>
    </w:tbl>
    <w:p w14:paraId="2D5CB970" w14:textId="77777777" w:rsidR="00B65584" w:rsidRPr="009B50B8" w:rsidRDefault="00B65584" w:rsidP="00B65584">
      <w:pPr>
        <w:jc w:val="both"/>
        <w:rPr>
          <w:rFonts w:ascii="Arial" w:hAnsi="Arial" w:cs="Arial"/>
        </w:rPr>
      </w:pPr>
      <w:r w:rsidRPr="009B50B8">
        <w:rPr>
          <w:rFonts w:ascii="Arial" w:hAnsi="Arial" w:cs="Arial"/>
        </w:rPr>
        <w:t>Source: Authors' synthesis based on (Prokopy et al., 2019)</w:t>
      </w:r>
    </w:p>
    <w:p w14:paraId="5942D3C7" w14:textId="77777777" w:rsidR="00B65584" w:rsidRPr="009B50B8" w:rsidRDefault="00B65584" w:rsidP="00B65584">
      <w:pPr>
        <w:jc w:val="both"/>
        <w:rPr>
          <w:rFonts w:ascii="Arial" w:hAnsi="Arial" w:cs="Arial"/>
        </w:rPr>
      </w:pPr>
    </w:p>
    <w:p w14:paraId="73C36E2E" w14:textId="77777777" w:rsidR="00B65584" w:rsidRPr="00B65584" w:rsidRDefault="00B65584" w:rsidP="00B65584">
      <w:pPr>
        <w:jc w:val="both"/>
        <w:rPr>
          <w:rFonts w:ascii="Arial" w:hAnsi="Arial" w:cs="Arial"/>
          <w:b/>
          <w:bCs/>
          <w:sz w:val="22"/>
        </w:rPr>
      </w:pPr>
      <w:r w:rsidRPr="00B65584">
        <w:rPr>
          <w:rFonts w:ascii="Arial" w:hAnsi="Arial" w:cs="Arial"/>
          <w:b/>
          <w:bCs/>
          <w:sz w:val="22"/>
        </w:rPr>
        <w:t xml:space="preserve"> 5. POLICY RECOMMENDATIONS</w:t>
      </w:r>
    </w:p>
    <w:p w14:paraId="2B66C257" w14:textId="77777777" w:rsidR="00B65584" w:rsidRPr="009B50B8" w:rsidRDefault="00B65584" w:rsidP="00B65584">
      <w:pPr>
        <w:jc w:val="both"/>
        <w:rPr>
          <w:rFonts w:ascii="Arial" w:hAnsi="Arial" w:cs="Arial"/>
        </w:rPr>
      </w:pPr>
      <w:r w:rsidRPr="009B50B8">
        <w:rPr>
          <w:rFonts w:ascii="Arial" w:hAnsi="Arial" w:cs="Arial"/>
        </w:rPr>
        <w:t>To overcome these challenges and fully integrate soil health into climate frameworks, we propose the following multi-stakeholder actions:</w:t>
      </w:r>
    </w:p>
    <w:p w14:paraId="203A3F2D" w14:textId="77777777" w:rsidR="00B65584" w:rsidRPr="009B50B8" w:rsidRDefault="00B65584" w:rsidP="00B65584">
      <w:pPr>
        <w:jc w:val="both"/>
        <w:rPr>
          <w:rFonts w:ascii="Arial" w:hAnsi="Arial" w:cs="Arial"/>
        </w:rPr>
      </w:pPr>
    </w:p>
    <w:p w14:paraId="75966455" w14:textId="77777777" w:rsidR="00B65584" w:rsidRPr="00B65584" w:rsidRDefault="00B65584" w:rsidP="00B65584">
      <w:pPr>
        <w:jc w:val="both"/>
        <w:rPr>
          <w:rFonts w:ascii="Arial" w:hAnsi="Arial" w:cs="Arial"/>
          <w:b/>
          <w:bCs/>
          <w:sz w:val="22"/>
        </w:rPr>
      </w:pPr>
      <w:r w:rsidRPr="00B65584">
        <w:rPr>
          <w:rFonts w:ascii="Arial" w:hAnsi="Arial" w:cs="Arial"/>
          <w:b/>
          <w:bCs/>
        </w:rPr>
        <w:t>5.1 FOR GOVERNMENTS AND POLICYMAKERS:</w:t>
      </w:r>
    </w:p>
    <w:p w14:paraId="2593F98E" w14:textId="77777777" w:rsidR="00B65584" w:rsidRPr="009B50B8" w:rsidRDefault="00B65584" w:rsidP="00B65584">
      <w:pPr>
        <w:ind w:left="270" w:hanging="270"/>
        <w:jc w:val="both"/>
        <w:rPr>
          <w:rFonts w:ascii="Arial" w:hAnsi="Arial" w:cs="Arial"/>
        </w:rPr>
      </w:pPr>
      <w:r w:rsidRPr="009B50B8">
        <w:rPr>
          <w:rFonts w:ascii="Arial" w:hAnsi="Arial" w:cs="Arial"/>
        </w:rPr>
        <w:t xml:space="preserve">1.  </w:t>
      </w:r>
      <w:r w:rsidRPr="009B50B8">
        <w:rPr>
          <w:rFonts w:ascii="Arial" w:hAnsi="Arial" w:cs="Arial"/>
          <w:b/>
          <w:bCs/>
        </w:rPr>
        <w:t>Integrate Soil Health into NDCs</w:t>
      </w:r>
      <w:r w:rsidRPr="009B50B8">
        <w:rPr>
          <w:rFonts w:ascii="Arial" w:hAnsi="Arial" w:cs="Arial"/>
        </w:rPr>
        <w:t>: Nations should set specific, quantifiable targets for SOC increase in their AFOLU sectors and outline clear policy pathways to achieve them.</w:t>
      </w:r>
    </w:p>
    <w:p w14:paraId="38D98CFC" w14:textId="77777777" w:rsidR="00B65584" w:rsidRPr="009B50B8" w:rsidRDefault="00B65584" w:rsidP="00B65584">
      <w:pPr>
        <w:ind w:left="270" w:hanging="270"/>
        <w:jc w:val="both"/>
        <w:rPr>
          <w:rFonts w:ascii="Arial" w:hAnsi="Arial" w:cs="Arial"/>
        </w:rPr>
      </w:pPr>
      <w:r w:rsidRPr="009B50B8">
        <w:rPr>
          <w:rFonts w:ascii="Arial" w:hAnsi="Arial" w:cs="Arial"/>
        </w:rPr>
        <w:t xml:space="preserve">2.  </w:t>
      </w:r>
      <w:r w:rsidRPr="009B50B8">
        <w:rPr>
          <w:rFonts w:ascii="Arial" w:hAnsi="Arial" w:cs="Arial"/>
          <w:b/>
          <w:bCs/>
        </w:rPr>
        <w:t>Reform Agricultural Subsidies</w:t>
      </w:r>
      <w:r w:rsidRPr="009B50B8">
        <w:rPr>
          <w:rFonts w:ascii="Arial" w:hAnsi="Arial" w:cs="Arial"/>
        </w:rPr>
        <w:t>: Shift public subsidies and incentives away from practices that degrade soils and towards those that build SOC and deliver ecosystem services. This is a powerful lever for change.</w:t>
      </w:r>
    </w:p>
    <w:p w14:paraId="0D027591" w14:textId="77777777" w:rsidR="00B65584" w:rsidRPr="009B50B8" w:rsidRDefault="00B65584" w:rsidP="00B65584">
      <w:pPr>
        <w:ind w:left="270" w:hanging="270"/>
        <w:jc w:val="both"/>
        <w:rPr>
          <w:rFonts w:ascii="Arial" w:hAnsi="Arial" w:cs="Arial"/>
        </w:rPr>
      </w:pPr>
      <w:r w:rsidRPr="009B50B8">
        <w:rPr>
          <w:rFonts w:ascii="Arial" w:hAnsi="Arial" w:cs="Arial"/>
        </w:rPr>
        <w:t xml:space="preserve">3.  </w:t>
      </w:r>
      <w:r w:rsidRPr="009B50B8">
        <w:rPr>
          <w:rFonts w:ascii="Arial" w:hAnsi="Arial" w:cs="Arial"/>
          <w:b/>
          <w:bCs/>
        </w:rPr>
        <w:t>Fund Public Research and Development</w:t>
      </w:r>
      <w:r w:rsidRPr="009B50B8">
        <w:rPr>
          <w:rFonts w:ascii="Arial" w:hAnsi="Arial" w:cs="Arial"/>
        </w:rPr>
        <w:t>: Significantly increase public investment in MMRV R&amp;D, including remote sensing, soil spectroscopy, and process-based models, to lower the cost of verification.</w:t>
      </w:r>
    </w:p>
    <w:p w14:paraId="3265033C" w14:textId="77777777" w:rsidR="00B65584" w:rsidRPr="009B50B8" w:rsidRDefault="00B65584" w:rsidP="00B65584">
      <w:pPr>
        <w:ind w:left="270" w:hanging="270"/>
        <w:jc w:val="both"/>
        <w:rPr>
          <w:rFonts w:ascii="Arial" w:hAnsi="Arial" w:cs="Arial"/>
        </w:rPr>
      </w:pPr>
      <w:r w:rsidRPr="009B50B8">
        <w:rPr>
          <w:rFonts w:ascii="Arial" w:hAnsi="Arial" w:cs="Arial"/>
        </w:rPr>
        <w:t xml:space="preserve">4.  </w:t>
      </w:r>
      <w:r w:rsidRPr="009B50B8">
        <w:rPr>
          <w:rFonts w:ascii="Arial" w:hAnsi="Arial" w:cs="Arial"/>
          <w:b/>
          <w:bCs/>
        </w:rPr>
        <w:t>Develop National Soil Carbon Inventories</w:t>
      </w:r>
      <w:r w:rsidRPr="009B50B8">
        <w:rPr>
          <w:rFonts w:ascii="Arial" w:hAnsi="Arial" w:cs="Arial"/>
        </w:rPr>
        <w:t>: Establish robust, long-term monitoring networks to track changes in SOC stocks at regional and national levels, providing data to validate models and inform policy.</w:t>
      </w:r>
    </w:p>
    <w:p w14:paraId="6839DA2E" w14:textId="77777777" w:rsidR="00B65584" w:rsidRPr="009B50B8" w:rsidRDefault="00B65584" w:rsidP="00B65584">
      <w:pPr>
        <w:jc w:val="both"/>
        <w:rPr>
          <w:rFonts w:ascii="Arial" w:hAnsi="Arial" w:cs="Arial"/>
        </w:rPr>
      </w:pPr>
    </w:p>
    <w:p w14:paraId="0E73F832" w14:textId="77777777" w:rsidR="00B65584" w:rsidRPr="00B65584" w:rsidRDefault="00B65584" w:rsidP="00B65584">
      <w:pPr>
        <w:jc w:val="both"/>
        <w:rPr>
          <w:rFonts w:ascii="Arial" w:hAnsi="Arial" w:cs="Arial"/>
          <w:b/>
          <w:bCs/>
        </w:rPr>
      </w:pPr>
      <w:r w:rsidRPr="00B65584">
        <w:rPr>
          <w:rFonts w:ascii="Arial" w:hAnsi="Arial" w:cs="Arial"/>
          <w:b/>
          <w:bCs/>
        </w:rPr>
        <w:t>5.2 FOR CARBON MARKET STANDARDS AND REGISTRIES:</w:t>
      </w:r>
    </w:p>
    <w:p w14:paraId="120555B5" w14:textId="0EE72D0A" w:rsidR="00B65584" w:rsidRPr="009B50B8" w:rsidRDefault="00B65584" w:rsidP="00B65584">
      <w:pPr>
        <w:ind w:left="450" w:hanging="450"/>
        <w:jc w:val="both"/>
        <w:rPr>
          <w:rFonts w:ascii="Arial" w:hAnsi="Arial" w:cs="Arial"/>
        </w:rPr>
      </w:pPr>
      <w:r w:rsidRPr="009B50B8">
        <w:rPr>
          <w:rFonts w:ascii="Arial" w:hAnsi="Arial" w:cs="Arial"/>
        </w:rPr>
        <w:t xml:space="preserve">1. </w:t>
      </w:r>
      <w:proofErr w:type="spellStart"/>
      <w:r w:rsidR="00F718B2" w:rsidRPr="00F94903">
        <w:rPr>
          <w:rFonts w:ascii="Arial" w:hAnsi="Arial" w:cs="Arial"/>
          <w:highlight w:val="yellow"/>
        </w:rPr>
        <w:t>Standardise</w:t>
      </w:r>
      <w:proofErr w:type="spellEnd"/>
      <w:r w:rsidRPr="00F94903">
        <w:rPr>
          <w:rFonts w:ascii="Arial" w:hAnsi="Arial" w:cs="Arial"/>
          <w:b/>
          <w:bCs/>
          <w:highlight w:val="yellow"/>
        </w:rPr>
        <w:t xml:space="preserve"> </w:t>
      </w:r>
      <w:r w:rsidRPr="009B50B8">
        <w:rPr>
          <w:rFonts w:ascii="Arial" w:hAnsi="Arial" w:cs="Arial"/>
          <w:b/>
          <w:bCs/>
        </w:rPr>
        <w:t>Methodologies</w:t>
      </w:r>
      <w:r w:rsidRPr="009B50B8">
        <w:rPr>
          <w:rFonts w:ascii="Arial" w:hAnsi="Arial" w:cs="Arial"/>
        </w:rPr>
        <w:t xml:space="preserve">: </w:t>
      </w:r>
      <w:proofErr w:type="spellStart"/>
      <w:r w:rsidR="00F718B2" w:rsidRPr="00F94903">
        <w:rPr>
          <w:rFonts w:ascii="Arial" w:hAnsi="Arial" w:cs="Arial"/>
          <w:highlight w:val="yellow"/>
        </w:rPr>
        <w:t>Harmonise</w:t>
      </w:r>
      <w:proofErr w:type="spellEnd"/>
      <w:r w:rsidR="00F718B2" w:rsidRPr="00F94903">
        <w:rPr>
          <w:rFonts w:ascii="Arial" w:hAnsi="Arial" w:cs="Arial"/>
          <w:highlight w:val="yellow"/>
        </w:rPr>
        <w:t xml:space="preserve"> </w:t>
      </w:r>
      <w:r w:rsidRPr="009B50B8">
        <w:rPr>
          <w:rFonts w:ascii="Arial" w:hAnsi="Arial" w:cs="Arial"/>
        </w:rPr>
        <w:t>protocols for baseline setting, accounting, and MMRV across major standards to reduce complexity and increase market integrity. This includes developing tiered approaches that use advanced tech for large areas and sampling for smaller projects.</w:t>
      </w:r>
    </w:p>
    <w:p w14:paraId="71B5B56D" w14:textId="77777777" w:rsidR="00B65584" w:rsidRPr="009B50B8" w:rsidRDefault="00B65584" w:rsidP="00B65584">
      <w:pPr>
        <w:ind w:left="450" w:hanging="450"/>
        <w:jc w:val="both"/>
        <w:rPr>
          <w:rFonts w:ascii="Arial" w:hAnsi="Arial" w:cs="Arial"/>
        </w:rPr>
      </w:pPr>
      <w:r w:rsidRPr="009B50B8">
        <w:rPr>
          <w:rFonts w:ascii="Arial" w:hAnsi="Arial" w:cs="Arial"/>
        </w:rPr>
        <w:t xml:space="preserve">2.  </w:t>
      </w:r>
      <w:r w:rsidRPr="009B50B8">
        <w:rPr>
          <w:rFonts w:ascii="Arial" w:hAnsi="Arial" w:cs="Arial"/>
          <w:b/>
          <w:bCs/>
        </w:rPr>
        <w:t>Innovate on Permanence Mechanisms</w:t>
      </w:r>
      <w:r w:rsidRPr="009B50B8">
        <w:rPr>
          <w:rFonts w:ascii="Arial" w:hAnsi="Arial" w:cs="Arial"/>
        </w:rPr>
        <w:t>: Develop and test new insurance and financial instruments to better manage reversal risks, moving beyond a one-size-fits-all buffer pool.</w:t>
      </w:r>
    </w:p>
    <w:p w14:paraId="62FE0B09" w14:textId="7DAF1E08" w:rsidR="00B65584" w:rsidRPr="009B50B8" w:rsidRDefault="00B65584" w:rsidP="00B65584">
      <w:pPr>
        <w:ind w:left="450" w:hanging="450"/>
        <w:jc w:val="both"/>
        <w:rPr>
          <w:rFonts w:ascii="Arial" w:hAnsi="Arial" w:cs="Arial"/>
        </w:rPr>
      </w:pPr>
      <w:r w:rsidRPr="009B50B8">
        <w:rPr>
          <w:rFonts w:ascii="Arial" w:hAnsi="Arial" w:cs="Arial"/>
        </w:rPr>
        <w:lastRenderedPageBreak/>
        <w:t xml:space="preserve">3.  </w:t>
      </w:r>
      <w:r w:rsidRPr="009B50B8">
        <w:rPr>
          <w:rFonts w:ascii="Arial" w:hAnsi="Arial" w:cs="Arial"/>
          <w:b/>
          <w:bCs/>
        </w:rPr>
        <w:t>Value Co-Benefits</w:t>
      </w:r>
      <w:r w:rsidRPr="009B50B8">
        <w:rPr>
          <w:rFonts w:ascii="Arial" w:hAnsi="Arial" w:cs="Arial"/>
        </w:rPr>
        <w:t xml:space="preserve">: Create mechanisms to </w:t>
      </w:r>
      <w:proofErr w:type="spellStart"/>
      <w:r w:rsidR="00F718B2" w:rsidRPr="00F94903">
        <w:rPr>
          <w:rFonts w:ascii="Arial" w:hAnsi="Arial" w:cs="Arial"/>
          <w:highlight w:val="yellow"/>
        </w:rPr>
        <w:t>monetise</w:t>
      </w:r>
      <w:proofErr w:type="spellEnd"/>
      <w:r w:rsidR="00F718B2" w:rsidRPr="00F94903">
        <w:rPr>
          <w:rFonts w:ascii="Arial" w:hAnsi="Arial" w:cs="Arial"/>
          <w:highlight w:val="yellow"/>
        </w:rPr>
        <w:t xml:space="preserve"> </w:t>
      </w:r>
      <w:r w:rsidRPr="009B50B8">
        <w:rPr>
          <w:rFonts w:ascii="Arial" w:hAnsi="Arial" w:cs="Arial"/>
        </w:rPr>
        <w:t xml:space="preserve">or formally </w:t>
      </w:r>
      <w:proofErr w:type="spellStart"/>
      <w:r w:rsidR="00F718B2" w:rsidRPr="00F94903">
        <w:rPr>
          <w:rFonts w:ascii="Arial" w:hAnsi="Arial" w:cs="Arial"/>
          <w:highlight w:val="yellow"/>
        </w:rPr>
        <w:t>recognise</w:t>
      </w:r>
      <w:proofErr w:type="spellEnd"/>
      <w:r w:rsidR="00F718B2" w:rsidRPr="00F94903">
        <w:rPr>
          <w:rFonts w:ascii="Arial" w:hAnsi="Arial" w:cs="Arial"/>
          <w:highlight w:val="yellow"/>
        </w:rPr>
        <w:t xml:space="preserve"> </w:t>
      </w:r>
      <w:r w:rsidRPr="009B50B8">
        <w:rPr>
          <w:rFonts w:ascii="Arial" w:hAnsi="Arial" w:cs="Arial"/>
        </w:rPr>
        <w:t>the water, biodiversity, and social co-benefits of soil health projects, allowing farmers to capture more value. This could involve bundling credits or creating new ecosystem service certificates.</w:t>
      </w:r>
    </w:p>
    <w:p w14:paraId="46FA3C99" w14:textId="77777777" w:rsidR="00B65584" w:rsidRPr="009B50B8" w:rsidRDefault="00B65584" w:rsidP="00B65584">
      <w:pPr>
        <w:jc w:val="both"/>
        <w:rPr>
          <w:rFonts w:ascii="Arial" w:hAnsi="Arial" w:cs="Arial"/>
        </w:rPr>
      </w:pPr>
    </w:p>
    <w:p w14:paraId="08F39BBE" w14:textId="77777777" w:rsidR="00B65584" w:rsidRPr="00B65584" w:rsidRDefault="00B65584" w:rsidP="00B65584">
      <w:pPr>
        <w:jc w:val="both"/>
        <w:rPr>
          <w:rFonts w:ascii="Arial" w:hAnsi="Arial" w:cs="Arial"/>
          <w:b/>
          <w:bCs/>
        </w:rPr>
      </w:pPr>
      <w:r w:rsidRPr="00B65584">
        <w:rPr>
          <w:rFonts w:ascii="Arial" w:hAnsi="Arial" w:cs="Arial"/>
          <w:b/>
          <w:bCs/>
        </w:rPr>
        <w:t>5.3 FOR CORPORATE AND FINANCIAL ACTORS:</w:t>
      </w:r>
    </w:p>
    <w:p w14:paraId="04AA798E" w14:textId="77777777" w:rsidR="00B65584" w:rsidRPr="009B50B8" w:rsidRDefault="00B65584" w:rsidP="00B65584">
      <w:pPr>
        <w:ind w:left="270" w:hanging="270"/>
        <w:jc w:val="both"/>
        <w:rPr>
          <w:rFonts w:ascii="Arial" w:hAnsi="Arial" w:cs="Arial"/>
        </w:rPr>
      </w:pPr>
      <w:r w:rsidRPr="009B50B8">
        <w:rPr>
          <w:rFonts w:ascii="Arial" w:hAnsi="Arial" w:cs="Arial"/>
        </w:rPr>
        <w:t xml:space="preserve">1.  </w:t>
      </w:r>
      <w:r w:rsidRPr="009B50B8">
        <w:rPr>
          <w:rFonts w:ascii="Arial" w:hAnsi="Arial" w:cs="Arial"/>
          <w:b/>
          <w:bCs/>
        </w:rPr>
        <w:t>Adopt Beyond-Value-Chain Mitigation (BVCM):</w:t>
      </w:r>
      <w:r w:rsidRPr="009B50B8">
        <w:rPr>
          <w:rFonts w:ascii="Arial" w:hAnsi="Arial" w:cs="Arial"/>
        </w:rPr>
        <w:t xml:space="preserve"> Corporations should invest in high-quality soil carbon projects as part of their comprehensive climate strategies, following guidelines from initiatives like the Science Based Targets initiative (SBTi) for BVCM.</w:t>
      </w:r>
    </w:p>
    <w:p w14:paraId="1B05F289" w14:textId="77777777" w:rsidR="00B65584" w:rsidRPr="009B50B8" w:rsidRDefault="00B65584" w:rsidP="00B65584">
      <w:pPr>
        <w:ind w:left="270" w:hanging="270"/>
        <w:jc w:val="both"/>
        <w:rPr>
          <w:rFonts w:ascii="Arial" w:hAnsi="Arial" w:cs="Arial"/>
        </w:rPr>
      </w:pPr>
      <w:r w:rsidRPr="009B50B8">
        <w:rPr>
          <w:rFonts w:ascii="Arial" w:hAnsi="Arial" w:cs="Arial"/>
        </w:rPr>
        <w:t xml:space="preserve">2.  </w:t>
      </w:r>
      <w:r w:rsidRPr="009B50B8">
        <w:rPr>
          <w:rFonts w:ascii="Arial" w:hAnsi="Arial" w:cs="Arial"/>
          <w:b/>
          <w:bCs/>
        </w:rPr>
        <w:t>Offer Transition Finance</w:t>
      </w:r>
      <w:r w:rsidRPr="009B50B8">
        <w:rPr>
          <w:rFonts w:ascii="Arial" w:hAnsi="Arial" w:cs="Arial"/>
        </w:rPr>
        <w:t xml:space="preserve">: Banks and impact investors should develop loan products with </w:t>
      </w:r>
      <w:proofErr w:type="spellStart"/>
      <w:r w:rsidRPr="009B50B8">
        <w:rPr>
          <w:rFonts w:ascii="Arial" w:hAnsi="Arial" w:cs="Arial"/>
        </w:rPr>
        <w:t>favourable</w:t>
      </w:r>
      <w:proofErr w:type="spellEnd"/>
      <w:r w:rsidRPr="009B50B8">
        <w:rPr>
          <w:rFonts w:ascii="Arial" w:hAnsi="Arial" w:cs="Arial"/>
        </w:rPr>
        <w:t xml:space="preserve"> terms for farmers transitioning to regenerative practices, using future carbon credit revenue as collateral.</w:t>
      </w:r>
    </w:p>
    <w:p w14:paraId="4E364337" w14:textId="77777777" w:rsidR="00B65584" w:rsidRPr="009B50B8" w:rsidRDefault="00B65584" w:rsidP="00B65584">
      <w:pPr>
        <w:ind w:left="270" w:hanging="270"/>
        <w:jc w:val="both"/>
        <w:rPr>
          <w:rFonts w:ascii="Arial" w:hAnsi="Arial" w:cs="Arial"/>
        </w:rPr>
      </w:pPr>
      <w:r w:rsidRPr="009B50B8">
        <w:rPr>
          <w:rFonts w:ascii="Arial" w:hAnsi="Arial" w:cs="Arial"/>
        </w:rPr>
        <w:t xml:space="preserve">3.  </w:t>
      </w:r>
      <w:r w:rsidRPr="009B50B8">
        <w:rPr>
          <w:rFonts w:ascii="Arial" w:hAnsi="Arial" w:cs="Arial"/>
          <w:b/>
          <w:bCs/>
        </w:rPr>
        <w:t>Engage in Pre-Competitive Collaboration</w:t>
      </w:r>
      <w:r w:rsidRPr="009B50B8">
        <w:rPr>
          <w:rFonts w:ascii="Arial" w:hAnsi="Arial" w:cs="Arial"/>
        </w:rPr>
        <w:t>: Companies within agricultural supply chains should collaborate on pre-competitive initiatives to develop shared standards and pool resources for funding the transition to regenerative agriculture among their suppliers.</w:t>
      </w:r>
    </w:p>
    <w:p w14:paraId="12BD7FD5" w14:textId="77777777" w:rsidR="00B65584" w:rsidRPr="009B50B8" w:rsidRDefault="00B65584" w:rsidP="00B65584">
      <w:pPr>
        <w:jc w:val="both"/>
        <w:rPr>
          <w:rFonts w:ascii="Arial" w:hAnsi="Arial" w:cs="Arial"/>
        </w:rPr>
      </w:pPr>
    </w:p>
    <w:p w14:paraId="0ADDC29C" w14:textId="1C091FCB" w:rsidR="00B65584" w:rsidRPr="009B50B8" w:rsidRDefault="00B65584" w:rsidP="00B65584">
      <w:pPr>
        <w:jc w:val="both"/>
        <w:rPr>
          <w:rFonts w:ascii="Arial" w:hAnsi="Arial" w:cs="Arial"/>
        </w:rPr>
      </w:pPr>
      <w:r w:rsidRPr="009B50B8">
        <w:rPr>
          <w:rFonts w:ascii="Arial" w:hAnsi="Arial" w:cs="Arial"/>
        </w:rPr>
        <w:t xml:space="preserve">The potential impact of a concerted policy effort is significant, as modelled in Table </w:t>
      </w:r>
      <w:r w:rsidR="00B64547">
        <w:rPr>
          <w:rFonts w:ascii="Arial" w:hAnsi="Arial" w:cs="Arial"/>
        </w:rPr>
        <w:t>5</w:t>
      </w:r>
      <w:r w:rsidRPr="009B50B8">
        <w:rPr>
          <w:rFonts w:ascii="Arial" w:hAnsi="Arial" w:cs="Arial"/>
        </w:rPr>
        <w:t>.</w:t>
      </w:r>
    </w:p>
    <w:p w14:paraId="787F7EEF" w14:textId="77777777" w:rsidR="00B65584" w:rsidRPr="009B50B8" w:rsidRDefault="00B65584" w:rsidP="00B65584">
      <w:pPr>
        <w:jc w:val="both"/>
        <w:rPr>
          <w:rFonts w:ascii="Arial" w:hAnsi="Arial" w:cs="Arial"/>
        </w:rPr>
      </w:pPr>
    </w:p>
    <w:p w14:paraId="4E3593BB" w14:textId="5217809C" w:rsidR="00B65584" w:rsidRPr="009B50B8" w:rsidRDefault="00B65584" w:rsidP="00B65584">
      <w:pPr>
        <w:jc w:val="both"/>
        <w:rPr>
          <w:rFonts w:ascii="Arial" w:hAnsi="Arial" w:cs="Arial"/>
        </w:rPr>
      </w:pPr>
      <w:r w:rsidRPr="009B50B8">
        <w:rPr>
          <w:rFonts w:ascii="Arial" w:hAnsi="Arial" w:cs="Arial"/>
        </w:rPr>
        <w:t xml:space="preserve">Table </w:t>
      </w:r>
      <w:r w:rsidR="00B64547">
        <w:rPr>
          <w:rFonts w:ascii="Arial" w:hAnsi="Arial" w:cs="Arial"/>
        </w:rPr>
        <w:t>5</w:t>
      </w:r>
      <w:r w:rsidRPr="009B50B8">
        <w:rPr>
          <w:rFonts w:ascii="Arial" w:hAnsi="Arial" w:cs="Arial"/>
        </w:rPr>
        <w:t>: Projected Impact of Aggressive Policy Support for Soil Health (2030)</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2230"/>
        <w:gridCol w:w="2514"/>
        <w:gridCol w:w="2050"/>
      </w:tblGrid>
      <w:tr w:rsidR="00B65584" w:rsidRPr="009B50B8" w14:paraId="7F3E15C0" w14:textId="77777777" w:rsidTr="00266696">
        <w:trPr>
          <w:trHeight w:val="331"/>
        </w:trPr>
        <w:tc>
          <w:tcPr>
            <w:tcW w:w="0" w:type="auto"/>
            <w:tcBorders>
              <w:top w:val="single" w:sz="4" w:space="0" w:color="auto"/>
              <w:bottom w:val="single" w:sz="4" w:space="0" w:color="auto"/>
            </w:tcBorders>
          </w:tcPr>
          <w:p w14:paraId="78713EFA"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Scenario</w:t>
            </w:r>
          </w:p>
        </w:tc>
        <w:tc>
          <w:tcPr>
            <w:tcW w:w="0" w:type="auto"/>
            <w:tcBorders>
              <w:top w:val="single" w:sz="4" w:space="0" w:color="auto"/>
              <w:bottom w:val="single" w:sz="4" w:space="0" w:color="auto"/>
            </w:tcBorders>
          </w:tcPr>
          <w:p w14:paraId="2B89F90E"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 xml:space="preserve">Estimated Sequestration (Mt </w:t>
            </w:r>
            <w:proofErr w:type="spellStart"/>
            <w:r w:rsidRPr="009B50B8">
              <w:rPr>
                <w:rFonts w:ascii="Arial" w:hAnsi="Arial" w:cs="Arial"/>
                <w:b/>
                <w:bCs/>
                <w:sz w:val="20"/>
                <w:szCs w:val="20"/>
              </w:rPr>
              <w:t>CO</w:t>
            </w:r>
            <w:r w:rsidRPr="009B50B8">
              <w:rPr>
                <w:rFonts w:ascii="Times New Roman" w:hAnsi="Times New Roman" w:cs="Arial"/>
                <w:b/>
                <w:bCs/>
                <w:sz w:val="20"/>
                <w:szCs w:val="20"/>
              </w:rPr>
              <w:t>₂</w:t>
            </w:r>
            <w:r w:rsidRPr="009B50B8">
              <w:rPr>
                <w:rFonts w:ascii="Arial" w:hAnsi="Arial" w:cs="Arial"/>
                <w:b/>
                <w:bCs/>
                <w:sz w:val="20"/>
                <w:szCs w:val="20"/>
              </w:rPr>
              <w:t>e</w:t>
            </w:r>
            <w:proofErr w:type="spellEnd"/>
            <w:r w:rsidRPr="009B50B8">
              <w:rPr>
                <w:rFonts w:ascii="Arial" w:hAnsi="Arial" w:cs="Arial"/>
                <w:b/>
                <w:bCs/>
                <w:sz w:val="20"/>
                <w:szCs w:val="20"/>
              </w:rPr>
              <w:t>/yr)</w:t>
            </w:r>
          </w:p>
        </w:tc>
        <w:tc>
          <w:tcPr>
            <w:tcW w:w="0" w:type="auto"/>
            <w:tcBorders>
              <w:top w:val="single" w:sz="4" w:space="0" w:color="auto"/>
              <w:bottom w:val="single" w:sz="4" w:space="0" w:color="auto"/>
            </w:tcBorders>
          </w:tcPr>
          <w:p w14:paraId="672447DB"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Agricultural Area Under Practice (M ha)</w:t>
            </w:r>
          </w:p>
        </w:tc>
        <w:tc>
          <w:tcPr>
            <w:tcW w:w="0" w:type="auto"/>
            <w:tcBorders>
              <w:top w:val="single" w:sz="4" w:space="0" w:color="auto"/>
              <w:bottom w:val="single" w:sz="4" w:space="0" w:color="auto"/>
            </w:tcBorders>
          </w:tcPr>
          <w:p w14:paraId="75E5781E" w14:textId="77777777" w:rsidR="00B65584" w:rsidRPr="009B50B8" w:rsidRDefault="00B65584" w:rsidP="00BE6283">
            <w:pPr>
              <w:rPr>
                <w:rFonts w:ascii="Arial" w:hAnsi="Arial" w:cs="Arial"/>
                <w:b/>
                <w:bCs/>
                <w:sz w:val="20"/>
                <w:szCs w:val="20"/>
              </w:rPr>
            </w:pPr>
            <w:r w:rsidRPr="009B50B8">
              <w:rPr>
                <w:rFonts w:ascii="Arial" w:hAnsi="Arial" w:cs="Arial"/>
                <w:b/>
                <w:bCs/>
                <w:sz w:val="20"/>
                <w:szCs w:val="20"/>
              </w:rPr>
              <w:t>Estimated Annual Investment Needed</w:t>
            </w:r>
          </w:p>
        </w:tc>
      </w:tr>
      <w:tr w:rsidR="00B65584" w:rsidRPr="009B50B8" w14:paraId="0336E356" w14:textId="77777777" w:rsidTr="00266696">
        <w:trPr>
          <w:trHeight w:val="331"/>
        </w:trPr>
        <w:tc>
          <w:tcPr>
            <w:tcW w:w="0" w:type="auto"/>
            <w:tcBorders>
              <w:top w:val="single" w:sz="4" w:space="0" w:color="auto"/>
            </w:tcBorders>
          </w:tcPr>
          <w:p w14:paraId="0BD55486" w14:textId="77777777" w:rsidR="00B65584" w:rsidRPr="009B50B8" w:rsidRDefault="00B65584" w:rsidP="00BE6283">
            <w:pPr>
              <w:rPr>
                <w:rFonts w:ascii="Arial" w:hAnsi="Arial" w:cs="Arial"/>
                <w:sz w:val="20"/>
                <w:szCs w:val="20"/>
              </w:rPr>
            </w:pPr>
            <w:r w:rsidRPr="009B50B8">
              <w:rPr>
                <w:rFonts w:ascii="Arial" w:hAnsi="Arial" w:cs="Arial"/>
                <w:b/>
                <w:bCs/>
                <w:sz w:val="20"/>
                <w:szCs w:val="20"/>
              </w:rPr>
              <w:t>Business-as-Usual</w:t>
            </w:r>
          </w:p>
        </w:tc>
        <w:tc>
          <w:tcPr>
            <w:tcW w:w="0" w:type="auto"/>
            <w:tcBorders>
              <w:top w:val="single" w:sz="4" w:space="0" w:color="auto"/>
            </w:tcBorders>
          </w:tcPr>
          <w:p w14:paraId="12185034" w14:textId="77777777" w:rsidR="00B65584" w:rsidRPr="009B50B8" w:rsidRDefault="00B65584" w:rsidP="00BE6283">
            <w:pPr>
              <w:rPr>
                <w:rFonts w:ascii="Arial" w:hAnsi="Arial" w:cs="Arial"/>
                <w:sz w:val="20"/>
                <w:szCs w:val="20"/>
              </w:rPr>
            </w:pPr>
            <w:r w:rsidRPr="009B50B8">
              <w:rPr>
                <w:rFonts w:ascii="Arial" w:hAnsi="Arial" w:cs="Arial"/>
                <w:sz w:val="20"/>
                <w:szCs w:val="20"/>
              </w:rPr>
              <w:t>~500</w:t>
            </w:r>
          </w:p>
        </w:tc>
        <w:tc>
          <w:tcPr>
            <w:tcW w:w="0" w:type="auto"/>
            <w:tcBorders>
              <w:top w:val="single" w:sz="4" w:space="0" w:color="auto"/>
            </w:tcBorders>
          </w:tcPr>
          <w:p w14:paraId="49C9A538" w14:textId="77777777" w:rsidR="00B65584" w:rsidRPr="009B50B8" w:rsidRDefault="00B65584" w:rsidP="00BE6283">
            <w:pPr>
              <w:rPr>
                <w:rFonts w:ascii="Arial" w:hAnsi="Arial" w:cs="Arial"/>
                <w:sz w:val="20"/>
                <w:szCs w:val="20"/>
              </w:rPr>
            </w:pPr>
            <w:r w:rsidRPr="009B50B8">
              <w:rPr>
                <w:rFonts w:ascii="Arial" w:hAnsi="Arial" w:cs="Arial"/>
                <w:sz w:val="20"/>
                <w:szCs w:val="20"/>
              </w:rPr>
              <w:t>~100</w:t>
            </w:r>
          </w:p>
        </w:tc>
        <w:tc>
          <w:tcPr>
            <w:tcW w:w="0" w:type="auto"/>
            <w:tcBorders>
              <w:top w:val="single" w:sz="4" w:space="0" w:color="auto"/>
            </w:tcBorders>
          </w:tcPr>
          <w:p w14:paraId="57D43660" w14:textId="77777777" w:rsidR="00B65584" w:rsidRPr="009B50B8" w:rsidRDefault="00B65584" w:rsidP="00BE6283">
            <w:pPr>
              <w:rPr>
                <w:rFonts w:ascii="Arial" w:hAnsi="Arial" w:cs="Arial"/>
                <w:sz w:val="20"/>
                <w:szCs w:val="20"/>
              </w:rPr>
            </w:pPr>
            <w:r w:rsidRPr="009B50B8">
              <w:rPr>
                <w:rFonts w:ascii="Arial" w:hAnsi="Arial" w:cs="Arial"/>
                <w:sz w:val="20"/>
                <w:szCs w:val="20"/>
              </w:rPr>
              <w:t>~$5 Billion</w:t>
            </w:r>
          </w:p>
        </w:tc>
      </w:tr>
      <w:tr w:rsidR="00B65584" w:rsidRPr="009B50B8" w14:paraId="71CC48FC" w14:textId="77777777" w:rsidTr="00266696">
        <w:trPr>
          <w:trHeight w:val="318"/>
        </w:trPr>
        <w:tc>
          <w:tcPr>
            <w:tcW w:w="0" w:type="auto"/>
          </w:tcPr>
          <w:p w14:paraId="6BBC0147" w14:textId="77777777" w:rsidR="00B65584" w:rsidRPr="009B50B8" w:rsidRDefault="00B65584" w:rsidP="00BE6283">
            <w:pPr>
              <w:rPr>
                <w:rFonts w:ascii="Arial" w:hAnsi="Arial" w:cs="Arial"/>
                <w:sz w:val="20"/>
                <w:szCs w:val="20"/>
              </w:rPr>
            </w:pPr>
            <w:r w:rsidRPr="009B50B8">
              <w:rPr>
                <w:rFonts w:ascii="Arial" w:hAnsi="Arial" w:cs="Arial"/>
                <w:b/>
                <w:bCs/>
                <w:sz w:val="20"/>
                <w:szCs w:val="20"/>
              </w:rPr>
              <w:t>Ambitious Policy Action</w:t>
            </w:r>
          </w:p>
        </w:tc>
        <w:tc>
          <w:tcPr>
            <w:tcW w:w="0" w:type="auto"/>
          </w:tcPr>
          <w:p w14:paraId="2689F2FD" w14:textId="77777777" w:rsidR="00B65584" w:rsidRPr="009B50B8" w:rsidRDefault="00B65584" w:rsidP="00BE6283">
            <w:pPr>
              <w:rPr>
                <w:rFonts w:ascii="Arial" w:hAnsi="Arial" w:cs="Arial"/>
                <w:sz w:val="20"/>
                <w:szCs w:val="20"/>
              </w:rPr>
            </w:pPr>
            <w:r w:rsidRPr="009B50B8">
              <w:rPr>
                <w:rFonts w:ascii="Arial" w:hAnsi="Arial" w:cs="Arial"/>
                <w:sz w:val="20"/>
                <w:szCs w:val="20"/>
              </w:rPr>
              <w:t>~1,500 - 2,000</w:t>
            </w:r>
          </w:p>
        </w:tc>
        <w:tc>
          <w:tcPr>
            <w:tcW w:w="0" w:type="auto"/>
          </w:tcPr>
          <w:p w14:paraId="153B9793" w14:textId="77777777" w:rsidR="00B65584" w:rsidRPr="009B50B8" w:rsidRDefault="00B65584" w:rsidP="00BE6283">
            <w:pPr>
              <w:rPr>
                <w:rFonts w:ascii="Arial" w:hAnsi="Arial" w:cs="Arial"/>
                <w:sz w:val="20"/>
                <w:szCs w:val="20"/>
              </w:rPr>
            </w:pPr>
            <w:r w:rsidRPr="009B50B8">
              <w:rPr>
                <w:rFonts w:ascii="Arial" w:hAnsi="Arial" w:cs="Arial"/>
                <w:sz w:val="20"/>
                <w:szCs w:val="20"/>
              </w:rPr>
              <w:t>~400</w:t>
            </w:r>
          </w:p>
        </w:tc>
        <w:tc>
          <w:tcPr>
            <w:tcW w:w="0" w:type="auto"/>
          </w:tcPr>
          <w:p w14:paraId="2A3296B4" w14:textId="77777777" w:rsidR="00B65584" w:rsidRPr="009B50B8" w:rsidRDefault="00B65584" w:rsidP="00BE6283">
            <w:pPr>
              <w:rPr>
                <w:rFonts w:ascii="Arial" w:hAnsi="Arial" w:cs="Arial"/>
                <w:sz w:val="20"/>
                <w:szCs w:val="20"/>
              </w:rPr>
            </w:pPr>
            <w:r w:rsidRPr="009B50B8">
              <w:rPr>
                <w:rFonts w:ascii="Arial" w:hAnsi="Arial" w:cs="Arial"/>
                <w:sz w:val="20"/>
                <w:szCs w:val="20"/>
              </w:rPr>
              <w:t>~$25 - $40 Billion</w:t>
            </w:r>
          </w:p>
        </w:tc>
      </w:tr>
      <w:tr w:rsidR="00B65584" w:rsidRPr="009B50B8" w14:paraId="5853BCFE" w14:textId="77777777" w:rsidTr="00266696">
        <w:trPr>
          <w:trHeight w:val="331"/>
        </w:trPr>
        <w:tc>
          <w:tcPr>
            <w:tcW w:w="0" w:type="auto"/>
          </w:tcPr>
          <w:p w14:paraId="4518E455" w14:textId="77777777" w:rsidR="00B65584" w:rsidRPr="009B50B8" w:rsidRDefault="00B65584" w:rsidP="00BE6283">
            <w:pPr>
              <w:rPr>
                <w:rFonts w:ascii="Arial" w:hAnsi="Arial" w:cs="Arial"/>
                <w:sz w:val="20"/>
                <w:szCs w:val="20"/>
              </w:rPr>
            </w:pPr>
            <w:r w:rsidRPr="009B50B8">
              <w:rPr>
                <w:rFonts w:ascii="Arial" w:hAnsi="Arial" w:cs="Arial"/>
                <w:b/>
                <w:bCs/>
                <w:sz w:val="20"/>
                <w:szCs w:val="20"/>
              </w:rPr>
              <w:t>Key Drivers of Difference</w:t>
            </w:r>
          </w:p>
        </w:tc>
        <w:tc>
          <w:tcPr>
            <w:tcW w:w="0" w:type="auto"/>
          </w:tcPr>
          <w:p w14:paraId="66FC6339" w14:textId="77777777" w:rsidR="00B65584" w:rsidRPr="009B50B8" w:rsidRDefault="00B65584" w:rsidP="00BE6283">
            <w:pPr>
              <w:rPr>
                <w:rFonts w:ascii="Arial" w:hAnsi="Arial" w:cs="Arial"/>
                <w:sz w:val="20"/>
                <w:szCs w:val="20"/>
              </w:rPr>
            </w:pPr>
          </w:p>
        </w:tc>
        <w:tc>
          <w:tcPr>
            <w:tcW w:w="0" w:type="auto"/>
          </w:tcPr>
          <w:p w14:paraId="7B777372" w14:textId="77777777" w:rsidR="00B65584" w:rsidRPr="009B50B8" w:rsidRDefault="00B65584" w:rsidP="00BE6283">
            <w:pPr>
              <w:rPr>
                <w:rFonts w:ascii="Arial" w:hAnsi="Arial" w:cs="Arial"/>
                <w:sz w:val="20"/>
                <w:szCs w:val="20"/>
              </w:rPr>
            </w:pPr>
            <w:r w:rsidRPr="009B50B8">
              <w:rPr>
                <w:rFonts w:ascii="Arial" w:hAnsi="Arial" w:cs="Arial"/>
                <w:sz w:val="20"/>
                <w:szCs w:val="20"/>
              </w:rPr>
              <w:t>Advanced MMRV, full subsidy reform, high carbon price</w:t>
            </w:r>
          </w:p>
        </w:tc>
        <w:tc>
          <w:tcPr>
            <w:tcW w:w="0" w:type="auto"/>
          </w:tcPr>
          <w:p w14:paraId="3094D247" w14:textId="77777777" w:rsidR="00B65584" w:rsidRPr="009B50B8" w:rsidRDefault="00B65584" w:rsidP="00BE6283">
            <w:pPr>
              <w:rPr>
                <w:rFonts w:ascii="Arial" w:hAnsi="Arial" w:cs="Arial"/>
                <w:sz w:val="20"/>
                <w:szCs w:val="20"/>
              </w:rPr>
            </w:pPr>
            <w:r w:rsidRPr="009B50B8">
              <w:rPr>
                <w:rFonts w:ascii="Arial" w:hAnsi="Arial" w:cs="Arial"/>
                <w:sz w:val="20"/>
                <w:szCs w:val="20"/>
              </w:rPr>
              <w:t>Blended public-private finance</w:t>
            </w:r>
          </w:p>
        </w:tc>
      </w:tr>
    </w:tbl>
    <w:p w14:paraId="1F8635E4" w14:textId="77777777" w:rsidR="00B65584" w:rsidRPr="009B50B8" w:rsidRDefault="00B65584" w:rsidP="00B65584">
      <w:pPr>
        <w:jc w:val="both"/>
        <w:rPr>
          <w:rFonts w:ascii="Arial" w:hAnsi="Arial" w:cs="Arial"/>
        </w:rPr>
      </w:pPr>
      <w:r w:rsidRPr="009B50B8">
        <w:rPr>
          <w:rFonts w:ascii="Arial" w:hAnsi="Arial" w:cs="Arial"/>
        </w:rPr>
        <w:t>Source: Authors' projection based on (Bossio et al., 2020; Fuss et al., 2018)</w:t>
      </w:r>
    </w:p>
    <w:p w14:paraId="7ACE2897" w14:textId="77777777" w:rsidR="00B65584" w:rsidRPr="009B50B8" w:rsidRDefault="00B65584" w:rsidP="00B65584">
      <w:pPr>
        <w:jc w:val="both"/>
        <w:rPr>
          <w:rFonts w:ascii="Arial" w:hAnsi="Arial" w:cs="Arial"/>
        </w:rPr>
      </w:pPr>
    </w:p>
    <w:p w14:paraId="51F834F8" w14:textId="77777777" w:rsidR="00B65584" w:rsidRPr="009B50B8" w:rsidRDefault="00B65584" w:rsidP="00B65584">
      <w:pPr>
        <w:jc w:val="both"/>
        <w:rPr>
          <w:rFonts w:ascii="Arial" w:hAnsi="Arial" w:cs="Arial"/>
          <w:b/>
          <w:bCs/>
        </w:rPr>
      </w:pPr>
      <w:r w:rsidRPr="009B50B8">
        <w:rPr>
          <w:rFonts w:ascii="Arial" w:hAnsi="Arial" w:cs="Arial"/>
          <w:b/>
          <w:bCs/>
        </w:rPr>
        <w:t xml:space="preserve"> </w:t>
      </w:r>
      <w:r w:rsidRPr="00B65584">
        <w:rPr>
          <w:rFonts w:ascii="Arial" w:hAnsi="Arial" w:cs="Arial"/>
          <w:b/>
          <w:bCs/>
          <w:sz w:val="22"/>
        </w:rPr>
        <w:t>6. CONCLUSION</w:t>
      </w:r>
    </w:p>
    <w:p w14:paraId="3A1501B5" w14:textId="42200554" w:rsidR="00B65584" w:rsidRPr="009B50B8" w:rsidRDefault="00B65584" w:rsidP="00B65584">
      <w:pPr>
        <w:jc w:val="both"/>
        <w:rPr>
          <w:rFonts w:ascii="Arial" w:hAnsi="Arial" w:cs="Arial"/>
        </w:rPr>
      </w:pPr>
      <w:r w:rsidRPr="009B50B8">
        <w:rPr>
          <w:rFonts w:ascii="Arial" w:hAnsi="Arial" w:cs="Arial"/>
        </w:rPr>
        <w:t xml:space="preserve">Soil health is not a silver bullet for the climate crisis, but it is a foundational element of any successful strategy to achieve a net-zero future. The integration of soil carbon sequestration into climate and carbon market frameworks offers a rare triple dividend: mitigating climate change, enhancing global food and water security, and restoring biodiversity. The path forward requires breaking down silos. Climate policymakers must engage deeply with agricultural experts. Carbon market architects must work with soil scientists to build rigorous, cost-effective, and fair systems. Most importantly, farmers must be </w:t>
      </w:r>
      <w:proofErr w:type="spellStart"/>
      <w:r w:rsidRPr="009B50B8">
        <w:rPr>
          <w:rFonts w:ascii="Arial" w:hAnsi="Arial" w:cs="Arial"/>
        </w:rPr>
        <w:t>centred</w:t>
      </w:r>
      <w:proofErr w:type="spellEnd"/>
      <w:r w:rsidRPr="009B50B8">
        <w:rPr>
          <w:rFonts w:ascii="Arial" w:hAnsi="Arial" w:cs="Arial"/>
        </w:rPr>
        <w:t xml:space="preserve"> as partners and protagonists in this transition, fairly compensated for their role as stewards of a global common. The barriers MMRV, permanence, and additionality are significant but not insurmountable. There are technical and methodological problems that can be solved through targeted research, policy innovation, and collaborative will. By adopting the recommendations outlined in this paper, stakeholders can unlock the immense potential of the earth beneath our feet to help </w:t>
      </w:r>
      <w:proofErr w:type="spellStart"/>
      <w:r w:rsidR="00F718B2" w:rsidRPr="00F94903">
        <w:rPr>
          <w:rFonts w:ascii="Arial" w:hAnsi="Arial" w:cs="Arial"/>
          <w:highlight w:val="yellow"/>
        </w:rPr>
        <w:t>stabilise</w:t>
      </w:r>
      <w:proofErr w:type="spellEnd"/>
      <w:r w:rsidR="00F718B2" w:rsidRPr="009B50B8">
        <w:rPr>
          <w:rFonts w:ascii="Arial" w:hAnsi="Arial" w:cs="Arial"/>
        </w:rPr>
        <w:t xml:space="preserve"> </w:t>
      </w:r>
      <w:r w:rsidRPr="009B50B8">
        <w:rPr>
          <w:rFonts w:ascii="Arial" w:hAnsi="Arial" w:cs="Arial"/>
        </w:rPr>
        <w:t>the atmosphere above it. The time to invest in soil health is now.</w:t>
      </w:r>
    </w:p>
    <w:p w14:paraId="52EF6102" w14:textId="77777777" w:rsidR="00790ADA" w:rsidRPr="00FB3A86" w:rsidRDefault="00790ADA" w:rsidP="00441B6F">
      <w:pPr>
        <w:pStyle w:val="Body"/>
        <w:spacing w:after="0"/>
        <w:rPr>
          <w:rFonts w:ascii="Arial" w:hAnsi="Arial" w:cs="Arial"/>
        </w:rPr>
      </w:pPr>
    </w:p>
    <w:p w14:paraId="118724A3" w14:textId="5CC55189" w:rsidR="00743767" w:rsidRDefault="00743767" w:rsidP="00441B6F">
      <w:pPr>
        <w:pStyle w:val="ReferHead"/>
        <w:spacing w:after="0"/>
        <w:jc w:val="both"/>
        <w:rPr>
          <w:rFonts w:ascii="Arial" w:hAnsi="Arial" w:cs="Arial"/>
          <w:b w:val="0"/>
          <w:caps w:val="0"/>
          <w:sz w:val="20"/>
        </w:rPr>
      </w:pPr>
    </w:p>
    <w:p w14:paraId="18D5E7A3" w14:textId="77777777" w:rsidR="00C5409C" w:rsidRDefault="00C5409C" w:rsidP="00441B6F">
      <w:pPr>
        <w:pStyle w:val="ReferHead"/>
        <w:spacing w:after="0"/>
        <w:jc w:val="both"/>
        <w:rPr>
          <w:rFonts w:ascii="Arial" w:hAnsi="Arial" w:cs="Arial"/>
          <w:b w:val="0"/>
          <w:caps w:val="0"/>
          <w:sz w:val="20"/>
        </w:rPr>
      </w:pPr>
    </w:p>
    <w:p w14:paraId="458636BF" w14:textId="77777777" w:rsidR="00743767" w:rsidRPr="00743767" w:rsidRDefault="00743767" w:rsidP="00743767">
      <w:pPr>
        <w:pStyle w:val="ReferHead"/>
        <w:jc w:val="both"/>
        <w:rPr>
          <w:rFonts w:ascii="Arial" w:hAnsi="Arial" w:cs="Arial"/>
          <w:b w:val="0"/>
          <w:caps w:val="0"/>
          <w:sz w:val="20"/>
        </w:rPr>
      </w:pPr>
      <w:r w:rsidRPr="00743767">
        <w:rPr>
          <w:rFonts w:ascii="Arial" w:hAnsi="Arial" w:cs="Arial"/>
          <w:b w:val="0"/>
          <w:caps w:val="0"/>
          <w:sz w:val="20"/>
        </w:rPr>
        <w:t>COMPETING INTERESTS DISCLAIMER:</w:t>
      </w:r>
    </w:p>
    <w:p w14:paraId="77A01CBB" w14:textId="48EF2084" w:rsidR="00743767" w:rsidRPr="008E41BE" w:rsidRDefault="00743767" w:rsidP="00743767">
      <w:pPr>
        <w:pStyle w:val="ReferHead"/>
        <w:spacing w:after="0"/>
        <w:jc w:val="both"/>
        <w:rPr>
          <w:rFonts w:ascii="Arial" w:hAnsi="Arial" w:cs="Arial"/>
          <w:b w:val="0"/>
          <w:caps w:val="0"/>
          <w:sz w:val="20"/>
        </w:rPr>
      </w:pPr>
      <w:r w:rsidRPr="00743767">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4E93FEB" w14:textId="77777777" w:rsidR="002B685A" w:rsidRDefault="002B685A" w:rsidP="00441B6F">
      <w:pPr>
        <w:pStyle w:val="ReferHead"/>
        <w:spacing w:after="0"/>
        <w:jc w:val="both"/>
        <w:rPr>
          <w:rFonts w:ascii="Arial" w:hAnsi="Arial" w:cs="Arial"/>
          <w:b w:val="0"/>
          <w:caps w:val="0"/>
          <w:sz w:val="20"/>
        </w:rPr>
      </w:pPr>
    </w:p>
    <w:p w14:paraId="088E8344" w14:textId="77777777" w:rsidR="00A97102" w:rsidRPr="009C5487" w:rsidRDefault="00A97102" w:rsidP="00A97102">
      <w:pPr>
        <w:rPr>
          <w:rFonts w:ascii="Calibri" w:eastAsia="Calibri" w:hAnsi="Calibri"/>
          <w:kern w:val="2"/>
          <w:highlight w:val="yellow"/>
        </w:rPr>
      </w:pPr>
      <w:bookmarkStart w:id="0" w:name="_Hlk197682619"/>
      <w:bookmarkStart w:id="1" w:name="_Hlk180402183"/>
      <w:bookmarkStart w:id="2" w:name="_Hlk183680988"/>
      <w:bookmarkStart w:id="3" w:name="_Hlk197351200"/>
      <w:r w:rsidRPr="009C5487">
        <w:rPr>
          <w:rFonts w:ascii="Calibri" w:eastAsia="Calibri" w:hAnsi="Calibri"/>
          <w:kern w:val="2"/>
          <w:highlight w:val="yellow"/>
        </w:rPr>
        <w:t>Disclaimer (Artificial intelligence)</w:t>
      </w:r>
    </w:p>
    <w:p w14:paraId="5E4E83F2" w14:textId="77777777" w:rsidR="00A97102" w:rsidRPr="009C5487" w:rsidRDefault="00A97102" w:rsidP="00A97102">
      <w:pPr>
        <w:rPr>
          <w:rFonts w:ascii="Calibri" w:eastAsia="Calibri" w:hAnsi="Calibri"/>
          <w:kern w:val="2"/>
          <w:highlight w:val="yellow"/>
        </w:rPr>
      </w:pPr>
      <w:r w:rsidRPr="009C5487">
        <w:rPr>
          <w:rFonts w:ascii="Calibri" w:eastAsia="Calibri" w:hAnsi="Calibri"/>
          <w:kern w:val="2"/>
          <w:highlight w:val="yellow"/>
        </w:rPr>
        <w:t xml:space="preserve">Option 1: </w:t>
      </w:r>
    </w:p>
    <w:p w14:paraId="0528B641" w14:textId="77777777" w:rsidR="00A97102" w:rsidRPr="009C5487" w:rsidRDefault="00A97102" w:rsidP="00A97102">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5E49F34" w14:textId="77777777" w:rsidR="00A97102" w:rsidRPr="009C5487" w:rsidRDefault="00A97102" w:rsidP="00A97102">
      <w:pPr>
        <w:rPr>
          <w:rFonts w:ascii="Calibri" w:eastAsia="Calibri" w:hAnsi="Calibri"/>
          <w:kern w:val="2"/>
          <w:highlight w:val="yellow"/>
        </w:rPr>
      </w:pPr>
      <w:r w:rsidRPr="009C5487">
        <w:rPr>
          <w:rFonts w:ascii="Calibri" w:eastAsia="Calibri" w:hAnsi="Calibri"/>
          <w:kern w:val="2"/>
          <w:highlight w:val="yellow"/>
        </w:rPr>
        <w:t xml:space="preserve">Option 2: </w:t>
      </w:r>
    </w:p>
    <w:p w14:paraId="2EBC3B39" w14:textId="77777777" w:rsidR="00A97102" w:rsidRPr="009C5487" w:rsidRDefault="00A97102" w:rsidP="00A97102">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38CF6E" w14:textId="77777777" w:rsidR="00A97102" w:rsidRPr="009C5487" w:rsidRDefault="00A97102" w:rsidP="00A97102">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4C7A5AA5" w14:textId="77777777" w:rsidR="00A97102" w:rsidRPr="009C5487" w:rsidRDefault="00A97102" w:rsidP="00A97102">
      <w:pPr>
        <w:rPr>
          <w:rFonts w:ascii="Calibri" w:eastAsia="Calibri" w:hAnsi="Calibri"/>
          <w:kern w:val="2"/>
          <w:highlight w:val="yellow"/>
        </w:rPr>
      </w:pPr>
      <w:r w:rsidRPr="009C5487">
        <w:rPr>
          <w:rFonts w:ascii="Calibri" w:eastAsia="Calibri" w:hAnsi="Calibri"/>
          <w:kern w:val="2"/>
          <w:highlight w:val="yellow"/>
        </w:rPr>
        <w:t>1.</w:t>
      </w:r>
    </w:p>
    <w:p w14:paraId="0CF441D0" w14:textId="77777777" w:rsidR="00A97102" w:rsidRPr="009C5487" w:rsidRDefault="00A97102" w:rsidP="00A97102">
      <w:pPr>
        <w:rPr>
          <w:rFonts w:ascii="Calibri" w:eastAsia="Calibri" w:hAnsi="Calibri"/>
          <w:kern w:val="2"/>
          <w:highlight w:val="yellow"/>
        </w:rPr>
      </w:pPr>
      <w:r w:rsidRPr="009C5487">
        <w:rPr>
          <w:rFonts w:ascii="Calibri" w:eastAsia="Calibri" w:hAnsi="Calibri"/>
          <w:kern w:val="2"/>
          <w:highlight w:val="yellow"/>
        </w:rPr>
        <w:t>2.</w:t>
      </w:r>
    </w:p>
    <w:p w14:paraId="118D822F" w14:textId="77777777" w:rsidR="00A97102" w:rsidRPr="00F870EF" w:rsidRDefault="00A97102" w:rsidP="00A97102">
      <w:pPr>
        <w:rPr>
          <w:rFonts w:ascii="Calibri" w:eastAsia="Calibri" w:hAnsi="Calibri"/>
          <w:kern w:val="2"/>
        </w:rPr>
      </w:pPr>
      <w:bookmarkStart w:id="4" w:name="_Hlk197682629"/>
      <w:bookmarkEnd w:id="0"/>
      <w:r w:rsidRPr="009C5487">
        <w:rPr>
          <w:rFonts w:ascii="Calibri" w:eastAsia="Calibri" w:hAnsi="Calibri"/>
          <w:kern w:val="2"/>
          <w:highlight w:val="yellow"/>
        </w:rPr>
        <w:t>3.</w:t>
      </w:r>
      <w:bookmarkStart w:id="5" w:name="_Hlk187485061"/>
      <w:bookmarkEnd w:id="1"/>
      <w:bookmarkEnd w:id="2"/>
      <w:bookmarkEnd w:id="4"/>
    </w:p>
    <w:bookmarkEnd w:id="3"/>
    <w:bookmarkEnd w:id="5"/>
    <w:p w14:paraId="760655F1" w14:textId="77777777" w:rsidR="003A7B2A" w:rsidRDefault="003A7B2A" w:rsidP="00441B6F">
      <w:pPr>
        <w:pStyle w:val="ReferHead"/>
        <w:spacing w:after="0"/>
        <w:jc w:val="both"/>
        <w:rPr>
          <w:rFonts w:ascii="Arial" w:hAnsi="Arial" w:cs="Arial"/>
        </w:rPr>
      </w:pPr>
    </w:p>
    <w:p w14:paraId="09248CAD" w14:textId="77777777" w:rsidR="003A7B2A" w:rsidRDefault="003A7B2A" w:rsidP="00441B6F">
      <w:pPr>
        <w:pStyle w:val="ReferHead"/>
        <w:spacing w:after="0"/>
        <w:jc w:val="both"/>
        <w:rPr>
          <w:rFonts w:ascii="Arial" w:hAnsi="Arial" w:cs="Arial"/>
        </w:rPr>
      </w:pPr>
    </w:p>
    <w:p w14:paraId="4345E2FA" w14:textId="14BD56D6" w:rsidR="00B01FCD" w:rsidRDefault="00B01FCD" w:rsidP="00441B6F">
      <w:pPr>
        <w:pStyle w:val="ReferHead"/>
        <w:spacing w:after="0"/>
        <w:jc w:val="both"/>
        <w:rPr>
          <w:rFonts w:ascii="Arial" w:hAnsi="Arial" w:cs="Arial"/>
        </w:rPr>
      </w:pPr>
      <w:r w:rsidRPr="00FB3A86">
        <w:rPr>
          <w:rFonts w:ascii="Arial" w:hAnsi="Arial" w:cs="Arial"/>
        </w:rPr>
        <w:t>References</w:t>
      </w:r>
    </w:p>
    <w:p w14:paraId="6B216B08" w14:textId="77777777" w:rsidR="00790ADA" w:rsidRPr="00FB3A86" w:rsidRDefault="00790ADA" w:rsidP="00441B6F">
      <w:pPr>
        <w:pStyle w:val="ReferHead"/>
        <w:spacing w:after="0"/>
        <w:jc w:val="both"/>
        <w:rPr>
          <w:rFonts w:ascii="Arial" w:hAnsi="Arial" w:cs="Arial"/>
        </w:rPr>
      </w:pPr>
    </w:p>
    <w:p w14:paraId="10B4D2FC" w14:textId="2977EF6F" w:rsidR="005D3CD5" w:rsidRPr="00743767" w:rsidRDefault="005D3CD5" w:rsidP="00743767">
      <w:pPr>
        <w:pStyle w:val="ListParagraph"/>
        <w:numPr>
          <w:ilvl w:val="0"/>
          <w:numId w:val="37"/>
        </w:numPr>
        <w:rPr>
          <w:rFonts w:ascii="Arial" w:hAnsi="Arial" w:cs="Arial"/>
        </w:rPr>
      </w:pPr>
      <w:r w:rsidRPr="00743767">
        <w:rPr>
          <w:rFonts w:ascii="Arial" w:hAnsi="Arial" w:cs="Arial"/>
        </w:rPr>
        <w:t xml:space="preserve">IPCC, 2022. Available online: </w:t>
      </w:r>
      <w:hyperlink r:id="rId14" w:history="1">
        <w:r w:rsidRPr="00743767">
          <w:rPr>
            <w:rStyle w:val="Hyperlink"/>
            <w:rFonts w:ascii="Arial" w:hAnsi="Arial" w:cs="Arial"/>
          </w:rPr>
          <w:t>https://www.ipcc.ch/report/ar6/wg2/</w:t>
        </w:r>
      </w:hyperlink>
      <w:r w:rsidRPr="00743767">
        <w:rPr>
          <w:rFonts w:ascii="Arial" w:hAnsi="Arial" w:cs="Arial"/>
        </w:rPr>
        <w:t xml:space="preserve"> </w:t>
      </w:r>
    </w:p>
    <w:p w14:paraId="79294C76" w14:textId="77777777" w:rsidR="005D3CD5" w:rsidRDefault="005D3CD5" w:rsidP="005D3CD5">
      <w:pPr>
        <w:rPr>
          <w:rFonts w:ascii="Arial" w:hAnsi="Arial" w:cs="Arial"/>
        </w:rPr>
      </w:pPr>
    </w:p>
    <w:p w14:paraId="040ECCCA" w14:textId="724D61F3" w:rsidR="005D3CD5" w:rsidRPr="00743767" w:rsidRDefault="005D3CD5" w:rsidP="00743767">
      <w:pPr>
        <w:pStyle w:val="ListParagraph"/>
        <w:numPr>
          <w:ilvl w:val="0"/>
          <w:numId w:val="37"/>
        </w:numPr>
        <w:rPr>
          <w:rFonts w:ascii="Arial" w:hAnsi="Arial" w:cs="Arial"/>
          <w:color w:val="222222"/>
          <w:shd w:val="clear" w:color="auto" w:fill="FFFFFF"/>
        </w:rPr>
      </w:pPr>
      <w:r w:rsidRPr="00743767">
        <w:rPr>
          <w:rFonts w:ascii="Arial" w:hAnsi="Arial" w:cs="Arial"/>
          <w:color w:val="222222"/>
          <w:shd w:val="clear" w:color="auto" w:fill="FFFFFF"/>
        </w:rPr>
        <w:t xml:space="preserve">Amundson, R., &amp; </w:t>
      </w:r>
      <w:proofErr w:type="spellStart"/>
      <w:r w:rsidRPr="00743767">
        <w:rPr>
          <w:rFonts w:ascii="Arial" w:hAnsi="Arial" w:cs="Arial"/>
          <w:color w:val="222222"/>
          <w:shd w:val="clear" w:color="auto" w:fill="FFFFFF"/>
        </w:rPr>
        <w:t>Biardeau</w:t>
      </w:r>
      <w:proofErr w:type="spellEnd"/>
      <w:r w:rsidRPr="00743767">
        <w:rPr>
          <w:rFonts w:ascii="Arial" w:hAnsi="Arial" w:cs="Arial"/>
          <w:color w:val="222222"/>
          <w:shd w:val="clear" w:color="auto" w:fill="FFFFFF"/>
        </w:rPr>
        <w:t>, L. (2018). Soil carbon sequestration is an elusive climate mitigation tool. </w:t>
      </w:r>
      <w:r w:rsidRPr="00743767">
        <w:rPr>
          <w:rFonts w:ascii="Arial" w:hAnsi="Arial" w:cs="Arial"/>
          <w:i/>
          <w:iCs/>
          <w:color w:val="222222"/>
          <w:shd w:val="clear" w:color="auto" w:fill="FFFFFF"/>
        </w:rPr>
        <w:t>Proceedings of the National Academy of Sciences</w:t>
      </w:r>
      <w:r w:rsidRPr="00743767">
        <w:rPr>
          <w:rFonts w:ascii="Arial" w:hAnsi="Arial" w:cs="Arial"/>
          <w:color w:val="222222"/>
          <w:shd w:val="clear" w:color="auto" w:fill="FFFFFF"/>
        </w:rPr>
        <w:t>, </w:t>
      </w:r>
      <w:r w:rsidRPr="00743767">
        <w:rPr>
          <w:rFonts w:ascii="Arial" w:hAnsi="Arial" w:cs="Arial"/>
          <w:i/>
          <w:iCs/>
          <w:color w:val="222222"/>
          <w:shd w:val="clear" w:color="auto" w:fill="FFFFFF"/>
        </w:rPr>
        <w:t>115</w:t>
      </w:r>
      <w:r w:rsidRPr="00743767">
        <w:rPr>
          <w:rFonts w:ascii="Arial" w:hAnsi="Arial" w:cs="Arial"/>
          <w:color w:val="222222"/>
          <w:shd w:val="clear" w:color="auto" w:fill="FFFFFF"/>
        </w:rPr>
        <w:t>(46), 11652-11656.</w:t>
      </w:r>
    </w:p>
    <w:p w14:paraId="1DB38CBC" w14:textId="77777777" w:rsidR="005D3CD5" w:rsidRDefault="005D3CD5" w:rsidP="005D3CD5">
      <w:pPr>
        <w:rPr>
          <w:rFonts w:ascii="Arial" w:hAnsi="Arial" w:cs="Arial"/>
          <w:color w:val="222222"/>
          <w:shd w:val="clear" w:color="auto" w:fill="FFFFFF"/>
        </w:rPr>
      </w:pPr>
    </w:p>
    <w:p w14:paraId="46D3208C" w14:textId="68C86C09" w:rsidR="005D3CD5" w:rsidRPr="00743767" w:rsidRDefault="005D3CD5" w:rsidP="00743767">
      <w:pPr>
        <w:pStyle w:val="ListParagraph"/>
        <w:numPr>
          <w:ilvl w:val="0"/>
          <w:numId w:val="37"/>
        </w:numPr>
        <w:rPr>
          <w:rFonts w:ascii="Arial" w:hAnsi="Arial" w:cs="Arial"/>
          <w:color w:val="222222"/>
          <w:shd w:val="clear" w:color="auto" w:fill="FFFFFF"/>
        </w:rPr>
      </w:pPr>
      <w:r w:rsidRPr="00743767">
        <w:rPr>
          <w:rFonts w:ascii="Arial" w:hAnsi="Arial" w:cs="Arial"/>
          <w:color w:val="222222"/>
          <w:shd w:val="clear" w:color="auto" w:fill="FFFFFF"/>
        </w:rPr>
        <w:t>Lal, R. (2004). Soil carbon sequestration impacts on global climate change and food security. </w:t>
      </w:r>
      <w:r w:rsidRPr="00743767">
        <w:rPr>
          <w:rFonts w:ascii="Arial" w:hAnsi="Arial" w:cs="Arial"/>
          <w:i/>
          <w:iCs/>
          <w:color w:val="222222"/>
          <w:shd w:val="clear" w:color="auto" w:fill="FFFFFF"/>
        </w:rPr>
        <w:t>science</w:t>
      </w:r>
      <w:r w:rsidRPr="00743767">
        <w:rPr>
          <w:rFonts w:ascii="Arial" w:hAnsi="Arial" w:cs="Arial"/>
          <w:color w:val="222222"/>
          <w:shd w:val="clear" w:color="auto" w:fill="FFFFFF"/>
        </w:rPr>
        <w:t>, </w:t>
      </w:r>
      <w:r w:rsidRPr="00743767">
        <w:rPr>
          <w:rFonts w:ascii="Arial" w:hAnsi="Arial" w:cs="Arial"/>
          <w:i/>
          <w:iCs/>
          <w:color w:val="222222"/>
          <w:shd w:val="clear" w:color="auto" w:fill="FFFFFF"/>
        </w:rPr>
        <w:t>304</w:t>
      </w:r>
      <w:r w:rsidRPr="00743767">
        <w:rPr>
          <w:rFonts w:ascii="Arial" w:hAnsi="Arial" w:cs="Arial"/>
          <w:color w:val="222222"/>
          <w:shd w:val="clear" w:color="auto" w:fill="FFFFFF"/>
        </w:rPr>
        <w:t>(5677), 1623-1627.</w:t>
      </w:r>
    </w:p>
    <w:p w14:paraId="6BE57985" w14:textId="77777777" w:rsidR="005D3CD5" w:rsidRDefault="005D3CD5" w:rsidP="005D3CD5">
      <w:pPr>
        <w:rPr>
          <w:rFonts w:ascii="Arial" w:hAnsi="Arial" w:cs="Arial"/>
          <w:color w:val="222222"/>
          <w:shd w:val="clear" w:color="auto" w:fill="FFFFFF"/>
        </w:rPr>
      </w:pPr>
    </w:p>
    <w:p w14:paraId="2C94796C" w14:textId="4192E9F9" w:rsidR="005D3CD5" w:rsidRPr="00743767" w:rsidRDefault="005D3CD5" w:rsidP="00743767">
      <w:pPr>
        <w:pStyle w:val="ListParagraph"/>
        <w:numPr>
          <w:ilvl w:val="0"/>
          <w:numId w:val="37"/>
        </w:numPr>
        <w:rPr>
          <w:rFonts w:ascii="Arial" w:hAnsi="Arial" w:cs="Arial"/>
          <w:color w:val="222222"/>
          <w:shd w:val="clear" w:color="auto" w:fill="FFFFFF"/>
        </w:rPr>
      </w:pPr>
      <w:r w:rsidRPr="00743767">
        <w:rPr>
          <w:rFonts w:ascii="Arial" w:hAnsi="Arial" w:cs="Arial"/>
          <w:color w:val="222222"/>
          <w:shd w:val="clear" w:color="auto" w:fill="FFFFFF"/>
        </w:rPr>
        <w:t>Paustian, K., Lehmann, J., Ogle, S., Reay, D., Robertson, G. P., &amp; Smith, P. (2016). Climate-smart soils. </w:t>
      </w:r>
      <w:r w:rsidRPr="00743767">
        <w:rPr>
          <w:rFonts w:ascii="Arial" w:hAnsi="Arial" w:cs="Arial"/>
          <w:i/>
          <w:iCs/>
          <w:color w:val="222222"/>
          <w:shd w:val="clear" w:color="auto" w:fill="FFFFFF"/>
        </w:rPr>
        <w:t>Nature</w:t>
      </w:r>
      <w:r w:rsidRPr="00743767">
        <w:rPr>
          <w:rFonts w:ascii="Arial" w:hAnsi="Arial" w:cs="Arial"/>
          <w:color w:val="222222"/>
          <w:shd w:val="clear" w:color="auto" w:fill="FFFFFF"/>
        </w:rPr>
        <w:t>, </w:t>
      </w:r>
      <w:r w:rsidRPr="00743767">
        <w:rPr>
          <w:rFonts w:ascii="Arial" w:hAnsi="Arial" w:cs="Arial"/>
          <w:i/>
          <w:iCs/>
          <w:color w:val="222222"/>
          <w:shd w:val="clear" w:color="auto" w:fill="FFFFFF"/>
        </w:rPr>
        <w:t>532</w:t>
      </w:r>
      <w:r w:rsidRPr="00743767">
        <w:rPr>
          <w:rFonts w:ascii="Arial" w:hAnsi="Arial" w:cs="Arial"/>
          <w:color w:val="222222"/>
          <w:shd w:val="clear" w:color="auto" w:fill="FFFFFF"/>
        </w:rPr>
        <w:t>(7597), 49-57.</w:t>
      </w:r>
    </w:p>
    <w:p w14:paraId="3C26D54A" w14:textId="77777777" w:rsidR="005D3CD5" w:rsidRDefault="005D3CD5" w:rsidP="005D3CD5">
      <w:pPr>
        <w:rPr>
          <w:rFonts w:ascii="Arial" w:hAnsi="Arial" w:cs="Arial"/>
          <w:color w:val="222222"/>
          <w:shd w:val="clear" w:color="auto" w:fill="FFFFFF"/>
        </w:rPr>
      </w:pPr>
    </w:p>
    <w:p w14:paraId="5702E08D" w14:textId="1A1A92D2" w:rsidR="005D3CD5" w:rsidRPr="00743767" w:rsidRDefault="005D3CD5" w:rsidP="00743767">
      <w:pPr>
        <w:pStyle w:val="ListParagraph"/>
        <w:numPr>
          <w:ilvl w:val="0"/>
          <w:numId w:val="37"/>
        </w:numPr>
        <w:rPr>
          <w:rFonts w:ascii="Arial" w:hAnsi="Arial" w:cs="Arial"/>
          <w:color w:val="222222"/>
          <w:shd w:val="clear" w:color="auto" w:fill="FFFFFF"/>
        </w:rPr>
      </w:pPr>
      <w:r w:rsidRPr="00743767">
        <w:rPr>
          <w:rFonts w:ascii="Arial" w:hAnsi="Arial" w:cs="Arial"/>
          <w:color w:val="222222"/>
          <w:shd w:val="clear" w:color="auto" w:fill="FFFFFF"/>
        </w:rPr>
        <w:t>Lehmann, J., Bossio, D. A., Kögel-</w:t>
      </w:r>
      <w:proofErr w:type="spellStart"/>
      <w:r w:rsidRPr="00743767">
        <w:rPr>
          <w:rFonts w:ascii="Arial" w:hAnsi="Arial" w:cs="Arial"/>
          <w:color w:val="222222"/>
          <w:shd w:val="clear" w:color="auto" w:fill="FFFFFF"/>
        </w:rPr>
        <w:t>Knabner</w:t>
      </w:r>
      <w:proofErr w:type="spellEnd"/>
      <w:r w:rsidRPr="00743767">
        <w:rPr>
          <w:rFonts w:ascii="Arial" w:hAnsi="Arial" w:cs="Arial"/>
          <w:color w:val="222222"/>
          <w:shd w:val="clear" w:color="auto" w:fill="FFFFFF"/>
        </w:rPr>
        <w:t xml:space="preserve">, I., &amp; </w:t>
      </w:r>
      <w:proofErr w:type="spellStart"/>
      <w:r w:rsidRPr="00743767">
        <w:rPr>
          <w:rFonts w:ascii="Arial" w:hAnsi="Arial" w:cs="Arial"/>
          <w:color w:val="222222"/>
          <w:shd w:val="clear" w:color="auto" w:fill="FFFFFF"/>
        </w:rPr>
        <w:t>Rillig</w:t>
      </w:r>
      <w:proofErr w:type="spellEnd"/>
      <w:r w:rsidRPr="00743767">
        <w:rPr>
          <w:rFonts w:ascii="Arial" w:hAnsi="Arial" w:cs="Arial"/>
          <w:color w:val="222222"/>
          <w:shd w:val="clear" w:color="auto" w:fill="FFFFFF"/>
        </w:rPr>
        <w:t>, M. C. (2020). The concept and future prospects of soil health. </w:t>
      </w:r>
      <w:r w:rsidRPr="00743767">
        <w:rPr>
          <w:rFonts w:ascii="Arial" w:hAnsi="Arial" w:cs="Arial"/>
          <w:i/>
          <w:iCs/>
          <w:color w:val="222222"/>
          <w:shd w:val="clear" w:color="auto" w:fill="FFFFFF"/>
        </w:rPr>
        <w:t>Nature Reviews Earth &amp; Environment</w:t>
      </w:r>
      <w:r w:rsidRPr="00743767">
        <w:rPr>
          <w:rFonts w:ascii="Arial" w:hAnsi="Arial" w:cs="Arial"/>
          <w:color w:val="222222"/>
          <w:shd w:val="clear" w:color="auto" w:fill="FFFFFF"/>
        </w:rPr>
        <w:t>, </w:t>
      </w:r>
      <w:r w:rsidRPr="00743767">
        <w:rPr>
          <w:rFonts w:ascii="Arial" w:hAnsi="Arial" w:cs="Arial"/>
          <w:i/>
          <w:iCs/>
          <w:color w:val="222222"/>
          <w:shd w:val="clear" w:color="auto" w:fill="FFFFFF"/>
        </w:rPr>
        <w:t>1</w:t>
      </w:r>
      <w:r w:rsidRPr="00743767">
        <w:rPr>
          <w:rFonts w:ascii="Arial" w:hAnsi="Arial" w:cs="Arial"/>
          <w:color w:val="222222"/>
          <w:shd w:val="clear" w:color="auto" w:fill="FFFFFF"/>
        </w:rPr>
        <w:t>(10), 544-553.</w:t>
      </w:r>
    </w:p>
    <w:p w14:paraId="087F4581" w14:textId="77777777" w:rsidR="005D3CD5" w:rsidRDefault="005D3CD5" w:rsidP="005D3CD5">
      <w:pPr>
        <w:rPr>
          <w:rFonts w:ascii="Arial" w:hAnsi="Arial" w:cs="Arial"/>
          <w:color w:val="222222"/>
          <w:shd w:val="clear" w:color="auto" w:fill="FFFFFF"/>
        </w:rPr>
      </w:pPr>
    </w:p>
    <w:p w14:paraId="246D6388" w14:textId="2E880630" w:rsidR="005D3CD5" w:rsidRPr="00743767" w:rsidRDefault="005D3CD5" w:rsidP="00743767">
      <w:pPr>
        <w:pStyle w:val="ListParagraph"/>
        <w:numPr>
          <w:ilvl w:val="0"/>
          <w:numId w:val="37"/>
        </w:numPr>
        <w:rPr>
          <w:rFonts w:ascii="Arial" w:hAnsi="Arial" w:cs="Arial"/>
          <w:color w:val="222222"/>
          <w:shd w:val="clear" w:color="auto" w:fill="FFFFFF"/>
        </w:rPr>
      </w:pPr>
      <w:r w:rsidRPr="00743767">
        <w:rPr>
          <w:rFonts w:ascii="Arial" w:hAnsi="Arial" w:cs="Arial"/>
          <w:color w:val="222222"/>
          <w:shd w:val="clear" w:color="auto" w:fill="FFFFFF"/>
        </w:rPr>
        <w:t>Oldfield, E. E., Bradford, M. A., &amp; Wood, S. A. (2019). Global meta-analysis of the relationship between soil organic matter and crop yields. </w:t>
      </w:r>
      <w:r w:rsidRPr="00743767">
        <w:rPr>
          <w:rFonts w:ascii="Arial" w:hAnsi="Arial" w:cs="Arial"/>
          <w:i/>
          <w:iCs/>
          <w:color w:val="222222"/>
          <w:shd w:val="clear" w:color="auto" w:fill="FFFFFF"/>
        </w:rPr>
        <w:t>Soil</w:t>
      </w:r>
      <w:r w:rsidRPr="00743767">
        <w:rPr>
          <w:rFonts w:ascii="Arial" w:hAnsi="Arial" w:cs="Arial"/>
          <w:color w:val="222222"/>
          <w:shd w:val="clear" w:color="auto" w:fill="FFFFFF"/>
        </w:rPr>
        <w:t>, </w:t>
      </w:r>
      <w:r w:rsidRPr="00743767">
        <w:rPr>
          <w:rFonts w:ascii="Arial" w:hAnsi="Arial" w:cs="Arial"/>
          <w:i/>
          <w:iCs/>
          <w:color w:val="222222"/>
          <w:shd w:val="clear" w:color="auto" w:fill="FFFFFF"/>
        </w:rPr>
        <w:t>5</w:t>
      </w:r>
      <w:r w:rsidRPr="00743767">
        <w:rPr>
          <w:rFonts w:ascii="Arial" w:hAnsi="Arial" w:cs="Arial"/>
          <w:color w:val="222222"/>
          <w:shd w:val="clear" w:color="auto" w:fill="FFFFFF"/>
        </w:rPr>
        <w:t>(1), 15-32.</w:t>
      </w:r>
    </w:p>
    <w:p w14:paraId="336239E1" w14:textId="49CF36FD" w:rsidR="005D3CD5" w:rsidRDefault="005D3CD5" w:rsidP="005D3CD5"/>
    <w:p w14:paraId="2D7D516B" w14:textId="2ABEAB9F" w:rsidR="005D3CD5" w:rsidRPr="00743767" w:rsidRDefault="005D3CD5" w:rsidP="00743767">
      <w:pPr>
        <w:pStyle w:val="ListParagraph"/>
        <w:numPr>
          <w:ilvl w:val="0"/>
          <w:numId w:val="37"/>
        </w:numPr>
        <w:rPr>
          <w:rFonts w:ascii="Arial" w:hAnsi="Arial" w:cs="Arial"/>
          <w:color w:val="222222"/>
          <w:shd w:val="clear" w:color="auto" w:fill="FFFFFF"/>
        </w:rPr>
      </w:pPr>
      <w:proofErr w:type="spellStart"/>
      <w:r w:rsidRPr="00743767">
        <w:rPr>
          <w:rFonts w:ascii="Arial" w:hAnsi="Arial" w:cs="Arial"/>
          <w:color w:val="222222"/>
          <w:shd w:val="clear" w:color="auto" w:fill="FFFFFF"/>
        </w:rPr>
        <w:t>Verschuuren</w:t>
      </w:r>
      <w:proofErr w:type="spellEnd"/>
      <w:r w:rsidRPr="00743767">
        <w:rPr>
          <w:rFonts w:ascii="Arial" w:hAnsi="Arial" w:cs="Arial"/>
          <w:color w:val="222222"/>
          <w:shd w:val="clear" w:color="auto" w:fill="FFFFFF"/>
        </w:rPr>
        <w:t>, J. (2018). Towards an EU regulatory framework for climate-smart agriculture: the example of soil carbon sequestration. </w:t>
      </w:r>
      <w:r w:rsidRPr="00743767">
        <w:rPr>
          <w:rFonts w:ascii="Arial" w:hAnsi="Arial" w:cs="Arial"/>
          <w:i/>
          <w:iCs/>
          <w:color w:val="222222"/>
          <w:shd w:val="clear" w:color="auto" w:fill="FFFFFF"/>
        </w:rPr>
        <w:t>Transnational Environmental Law</w:t>
      </w:r>
      <w:r w:rsidRPr="00743767">
        <w:rPr>
          <w:rFonts w:ascii="Arial" w:hAnsi="Arial" w:cs="Arial"/>
          <w:color w:val="222222"/>
          <w:shd w:val="clear" w:color="auto" w:fill="FFFFFF"/>
        </w:rPr>
        <w:t>, </w:t>
      </w:r>
      <w:r w:rsidRPr="00743767">
        <w:rPr>
          <w:rFonts w:ascii="Arial" w:hAnsi="Arial" w:cs="Arial"/>
          <w:i/>
          <w:iCs/>
          <w:color w:val="222222"/>
          <w:shd w:val="clear" w:color="auto" w:fill="FFFFFF"/>
        </w:rPr>
        <w:t>7</w:t>
      </w:r>
      <w:r w:rsidRPr="00743767">
        <w:rPr>
          <w:rFonts w:ascii="Arial" w:hAnsi="Arial" w:cs="Arial"/>
          <w:color w:val="222222"/>
          <w:shd w:val="clear" w:color="auto" w:fill="FFFFFF"/>
        </w:rPr>
        <w:t>(2), 301-322.</w:t>
      </w:r>
    </w:p>
    <w:p w14:paraId="6FCAC315" w14:textId="1D55F5B7" w:rsidR="005D3CD5" w:rsidRDefault="005D3CD5" w:rsidP="005D3CD5"/>
    <w:p w14:paraId="05C0211C" w14:textId="1255C32D" w:rsidR="005D3CD5" w:rsidRPr="00743767" w:rsidRDefault="005D3CD5" w:rsidP="00743767">
      <w:pPr>
        <w:pStyle w:val="ListParagraph"/>
        <w:numPr>
          <w:ilvl w:val="0"/>
          <w:numId w:val="37"/>
        </w:numPr>
        <w:rPr>
          <w:rFonts w:ascii="Arial" w:hAnsi="Arial" w:cs="Arial"/>
          <w:color w:val="222222"/>
          <w:shd w:val="clear" w:color="auto" w:fill="FFFFFF"/>
        </w:rPr>
      </w:pPr>
      <w:r w:rsidRPr="00743767">
        <w:rPr>
          <w:rFonts w:ascii="Arial" w:hAnsi="Arial" w:cs="Arial"/>
          <w:color w:val="222222"/>
          <w:shd w:val="clear" w:color="auto" w:fill="FFFFFF"/>
        </w:rPr>
        <w:t>Depietri, A. (2025). The Sustainable Use of Healthy Soil as a Cornerstone of the One Health Approach: An Analysis of European Public Strategies and Market-Based Environmental Protection Tools. In </w:t>
      </w:r>
      <w:r w:rsidRPr="00743767">
        <w:rPr>
          <w:rFonts w:ascii="Arial" w:hAnsi="Arial" w:cs="Arial"/>
          <w:i/>
          <w:iCs/>
          <w:color w:val="222222"/>
          <w:shd w:val="clear" w:color="auto" w:fill="FFFFFF"/>
        </w:rPr>
        <w:t xml:space="preserve">Planetary Health-Laws, Policies and Science on </w:t>
      </w:r>
      <w:proofErr w:type="spellStart"/>
      <w:r w:rsidRPr="00743767">
        <w:rPr>
          <w:rFonts w:ascii="Arial" w:hAnsi="Arial" w:cs="Arial"/>
          <w:i/>
          <w:iCs/>
          <w:color w:val="222222"/>
          <w:shd w:val="clear" w:color="auto" w:fill="FFFFFF"/>
        </w:rPr>
        <w:t>the'One</w:t>
      </w:r>
      <w:proofErr w:type="spellEnd"/>
      <w:r w:rsidRPr="00743767">
        <w:rPr>
          <w:rFonts w:ascii="Arial" w:hAnsi="Arial" w:cs="Arial"/>
          <w:i/>
          <w:iCs/>
          <w:color w:val="222222"/>
          <w:shd w:val="clear" w:color="auto" w:fill="FFFFFF"/>
        </w:rPr>
        <w:t xml:space="preserve"> </w:t>
      </w:r>
      <w:proofErr w:type="spellStart"/>
      <w:r w:rsidRPr="00743767">
        <w:rPr>
          <w:rFonts w:ascii="Arial" w:hAnsi="Arial" w:cs="Arial"/>
          <w:i/>
          <w:iCs/>
          <w:color w:val="222222"/>
          <w:shd w:val="clear" w:color="auto" w:fill="FFFFFF"/>
        </w:rPr>
        <w:t>Health'Approach</w:t>
      </w:r>
      <w:proofErr w:type="spellEnd"/>
      <w:r w:rsidRPr="00743767">
        <w:rPr>
          <w:rFonts w:ascii="Arial" w:hAnsi="Arial" w:cs="Arial"/>
          <w:color w:val="222222"/>
          <w:shd w:val="clear" w:color="auto" w:fill="FFFFFF"/>
        </w:rPr>
        <w:t> (pp. 19-41). Cham: Springer Nature Switzerland.</w:t>
      </w:r>
    </w:p>
    <w:p w14:paraId="7F2D4F1D" w14:textId="7D7899EA" w:rsidR="005D3CD5" w:rsidRDefault="005D3CD5" w:rsidP="005D3CD5"/>
    <w:p w14:paraId="16B5A0D1" w14:textId="0F1CB017" w:rsidR="005D3CD5" w:rsidRPr="00743767" w:rsidRDefault="005D3CD5" w:rsidP="00743767">
      <w:pPr>
        <w:pStyle w:val="ListParagraph"/>
        <w:numPr>
          <w:ilvl w:val="0"/>
          <w:numId w:val="37"/>
        </w:numPr>
        <w:rPr>
          <w:rFonts w:ascii="Arial" w:hAnsi="Arial" w:cs="Arial"/>
          <w:color w:val="222222"/>
          <w:shd w:val="clear" w:color="auto" w:fill="FFFFFF"/>
        </w:rPr>
      </w:pPr>
      <w:r w:rsidRPr="00743767">
        <w:rPr>
          <w:rFonts w:ascii="Arial" w:hAnsi="Arial" w:cs="Arial"/>
          <w:color w:val="222222"/>
          <w:shd w:val="clear" w:color="auto" w:fill="FFFFFF"/>
        </w:rPr>
        <w:t xml:space="preserve">Cerri, C. E. P., Mello, F. F. D. C., Renteria, N. B., &amp; Cherubin, M. R. (2024). Public Policies and Initiatives to Promote Soil Health and Carbon Sequestration in B </w:t>
      </w:r>
      <w:proofErr w:type="spellStart"/>
      <w:r w:rsidRPr="00743767">
        <w:rPr>
          <w:rFonts w:ascii="Arial" w:hAnsi="Arial" w:cs="Arial"/>
          <w:color w:val="222222"/>
          <w:shd w:val="clear" w:color="auto" w:fill="FFFFFF"/>
        </w:rPr>
        <w:t>razil</w:t>
      </w:r>
      <w:proofErr w:type="spellEnd"/>
      <w:r w:rsidRPr="00743767">
        <w:rPr>
          <w:rFonts w:ascii="Arial" w:hAnsi="Arial" w:cs="Arial"/>
          <w:color w:val="222222"/>
          <w:shd w:val="clear" w:color="auto" w:fill="FFFFFF"/>
        </w:rPr>
        <w:t>. </w:t>
      </w:r>
      <w:r w:rsidRPr="00743767">
        <w:rPr>
          <w:rFonts w:ascii="Arial" w:hAnsi="Arial" w:cs="Arial"/>
          <w:i/>
          <w:iCs/>
          <w:color w:val="222222"/>
          <w:shd w:val="clear" w:color="auto" w:fill="FFFFFF"/>
        </w:rPr>
        <w:t>Soil Health Series: Volume 3 Soil Health and Sustainable Agriculture in Brazil</w:t>
      </w:r>
      <w:r w:rsidRPr="00743767">
        <w:rPr>
          <w:rFonts w:ascii="Arial" w:hAnsi="Arial" w:cs="Arial"/>
          <w:color w:val="222222"/>
          <w:shd w:val="clear" w:color="auto" w:fill="FFFFFF"/>
        </w:rPr>
        <w:t>, 375-401.</w:t>
      </w:r>
    </w:p>
    <w:p w14:paraId="5A9C18C1" w14:textId="3B7510DE" w:rsidR="005D3CD5" w:rsidRDefault="005D3CD5" w:rsidP="005D3CD5"/>
    <w:p w14:paraId="1514DF34" w14:textId="13BF3802" w:rsidR="005D3CD5" w:rsidRPr="00F94903" w:rsidRDefault="005D3CD5" w:rsidP="00743767">
      <w:pPr>
        <w:pStyle w:val="ListParagraph"/>
        <w:numPr>
          <w:ilvl w:val="0"/>
          <w:numId w:val="37"/>
        </w:numPr>
      </w:pPr>
      <w:proofErr w:type="spellStart"/>
      <w:r w:rsidRPr="00743767">
        <w:rPr>
          <w:rFonts w:ascii="Arial" w:hAnsi="Arial" w:cs="Arial"/>
          <w:color w:val="222222"/>
          <w:shd w:val="clear" w:color="auto" w:fill="FFFFFF"/>
        </w:rPr>
        <w:t>Laktuka</w:t>
      </w:r>
      <w:proofErr w:type="spellEnd"/>
      <w:r w:rsidRPr="00743767">
        <w:rPr>
          <w:rFonts w:ascii="Arial" w:hAnsi="Arial" w:cs="Arial"/>
          <w:color w:val="222222"/>
          <w:shd w:val="clear" w:color="auto" w:fill="FFFFFF"/>
        </w:rPr>
        <w:t xml:space="preserve">, K., </w:t>
      </w:r>
      <w:proofErr w:type="spellStart"/>
      <w:r w:rsidRPr="00743767">
        <w:rPr>
          <w:rFonts w:ascii="Arial" w:hAnsi="Arial" w:cs="Arial"/>
          <w:color w:val="222222"/>
          <w:shd w:val="clear" w:color="auto" w:fill="FFFFFF"/>
        </w:rPr>
        <w:t>Luksta</w:t>
      </w:r>
      <w:proofErr w:type="spellEnd"/>
      <w:r w:rsidRPr="00743767">
        <w:rPr>
          <w:rFonts w:ascii="Arial" w:hAnsi="Arial" w:cs="Arial"/>
          <w:color w:val="222222"/>
          <w:shd w:val="clear" w:color="auto" w:fill="FFFFFF"/>
        </w:rPr>
        <w:t xml:space="preserve">, I., &amp; </w:t>
      </w:r>
      <w:proofErr w:type="spellStart"/>
      <w:r w:rsidRPr="00743767">
        <w:rPr>
          <w:rFonts w:ascii="Arial" w:hAnsi="Arial" w:cs="Arial"/>
          <w:color w:val="222222"/>
          <w:shd w:val="clear" w:color="auto" w:fill="FFFFFF"/>
        </w:rPr>
        <w:t>Blumberga</w:t>
      </w:r>
      <w:proofErr w:type="spellEnd"/>
      <w:r w:rsidRPr="00743767">
        <w:rPr>
          <w:rFonts w:ascii="Arial" w:hAnsi="Arial" w:cs="Arial"/>
          <w:color w:val="222222"/>
          <w:shd w:val="clear" w:color="auto" w:fill="FFFFFF"/>
        </w:rPr>
        <w:t>, D. (2025). Policy Coherence of the EU Carbon Removal Certification Framework: Integration of Carbon Farming in Climate and Agricultural Policy. </w:t>
      </w:r>
      <w:r w:rsidRPr="00743767">
        <w:rPr>
          <w:rFonts w:ascii="Arial" w:hAnsi="Arial" w:cs="Arial"/>
          <w:i/>
          <w:iCs/>
          <w:color w:val="222222"/>
          <w:shd w:val="clear" w:color="auto" w:fill="FFFFFF"/>
        </w:rPr>
        <w:t xml:space="preserve">Rigas </w:t>
      </w:r>
      <w:proofErr w:type="spellStart"/>
      <w:r w:rsidRPr="00743767">
        <w:rPr>
          <w:rFonts w:ascii="Arial" w:hAnsi="Arial" w:cs="Arial"/>
          <w:i/>
          <w:iCs/>
          <w:color w:val="222222"/>
          <w:shd w:val="clear" w:color="auto" w:fill="FFFFFF"/>
        </w:rPr>
        <w:t>Tehniskas</w:t>
      </w:r>
      <w:proofErr w:type="spellEnd"/>
      <w:r w:rsidRPr="00743767">
        <w:rPr>
          <w:rFonts w:ascii="Arial" w:hAnsi="Arial" w:cs="Arial"/>
          <w:i/>
          <w:iCs/>
          <w:color w:val="222222"/>
          <w:shd w:val="clear" w:color="auto" w:fill="FFFFFF"/>
        </w:rPr>
        <w:t xml:space="preserve"> Universitates </w:t>
      </w:r>
      <w:proofErr w:type="spellStart"/>
      <w:r w:rsidRPr="00743767">
        <w:rPr>
          <w:rFonts w:ascii="Arial" w:hAnsi="Arial" w:cs="Arial"/>
          <w:i/>
          <w:iCs/>
          <w:color w:val="222222"/>
          <w:shd w:val="clear" w:color="auto" w:fill="FFFFFF"/>
        </w:rPr>
        <w:t>Zinatniskie</w:t>
      </w:r>
      <w:proofErr w:type="spellEnd"/>
      <w:r w:rsidRPr="00743767">
        <w:rPr>
          <w:rFonts w:ascii="Arial" w:hAnsi="Arial" w:cs="Arial"/>
          <w:i/>
          <w:iCs/>
          <w:color w:val="222222"/>
          <w:shd w:val="clear" w:color="auto" w:fill="FFFFFF"/>
        </w:rPr>
        <w:t xml:space="preserve"> </w:t>
      </w:r>
      <w:proofErr w:type="spellStart"/>
      <w:r w:rsidRPr="00743767">
        <w:rPr>
          <w:rFonts w:ascii="Arial" w:hAnsi="Arial" w:cs="Arial"/>
          <w:i/>
          <w:iCs/>
          <w:color w:val="222222"/>
          <w:shd w:val="clear" w:color="auto" w:fill="FFFFFF"/>
        </w:rPr>
        <w:t>Raksti</w:t>
      </w:r>
      <w:proofErr w:type="spellEnd"/>
      <w:r w:rsidRPr="00743767">
        <w:rPr>
          <w:rFonts w:ascii="Arial" w:hAnsi="Arial" w:cs="Arial"/>
          <w:color w:val="222222"/>
          <w:shd w:val="clear" w:color="auto" w:fill="FFFFFF"/>
        </w:rPr>
        <w:t>, </w:t>
      </w:r>
      <w:r w:rsidRPr="00743767">
        <w:rPr>
          <w:rFonts w:ascii="Arial" w:hAnsi="Arial" w:cs="Arial"/>
          <w:i/>
          <w:iCs/>
          <w:color w:val="222222"/>
          <w:shd w:val="clear" w:color="auto" w:fill="FFFFFF"/>
        </w:rPr>
        <w:t>29</w:t>
      </w:r>
      <w:r w:rsidRPr="00743767">
        <w:rPr>
          <w:rFonts w:ascii="Arial" w:hAnsi="Arial" w:cs="Arial"/>
          <w:color w:val="222222"/>
          <w:shd w:val="clear" w:color="auto" w:fill="FFFFFF"/>
        </w:rPr>
        <w:t>(1), 658-684.</w:t>
      </w:r>
    </w:p>
    <w:p w14:paraId="6408A10C" w14:textId="77777777" w:rsidR="009D643B" w:rsidRDefault="009D643B" w:rsidP="00F94903">
      <w:pPr>
        <w:pStyle w:val="ListParagraph"/>
      </w:pPr>
    </w:p>
    <w:p w14:paraId="4188BA74" w14:textId="61793B0F" w:rsidR="009D643B" w:rsidRPr="009D643B" w:rsidRDefault="009D643B" w:rsidP="00F94903">
      <w:pPr>
        <w:pStyle w:val="ListParagraph"/>
        <w:rPr>
          <w:highlight w:val="yellow"/>
        </w:rPr>
      </w:pPr>
      <w:r w:rsidRPr="00F94903">
        <w:rPr>
          <w:highlight w:val="yellow"/>
        </w:rPr>
        <w:t xml:space="preserve">11. </w:t>
      </w:r>
      <w:r w:rsidRPr="00F94903">
        <w:rPr>
          <w:highlight w:val="yellow"/>
        </w:rPr>
        <w:t xml:space="preserve">Angelopoulou, T., </w:t>
      </w:r>
      <w:proofErr w:type="spellStart"/>
      <w:r w:rsidRPr="00F94903">
        <w:rPr>
          <w:highlight w:val="yellow"/>
        </w:rPr>
        <w:t>Tziolas</w:t>
      </w:r>
      <w:proofErr w:type="spellEnd"/>
      <w:r w:rsidRPr="00F94903">
        <w:rPr>
          <w:highlight w:val="yellow"/>
        </w:rPr>
        <w:t xml:space="preserve">, N., </w:t>
      </w:r>
      <w:proofErr w:type="spellStart"/>
      <w:r w:rsidRPr="00F94903">
        <w:rPr>
          <w:highlight w:val="yellow"/>
        </w:rPr>
        <w:t>Balafoutis</w:t>
      </w:r>
      <w:proofErr w:type="spellEnd"/>
      <w:r w:rsidRPr="00F94903">
        <w:rPr>
          <w:highlight w:val="yellow"/>
        </w:rPr>
        <w:t xml:space="preserve">, A., </w:t>
      </w:r>
      <w:proofErr w:type="spellStart"/>
      <w:r w:rsidRPr="00F94903">
        <w:rPr>
          <w:highlight w:val="yellow"/>
        </w:rPr>
        <w:t>Zalidis</w:t>
      </w:r>
      <w:proofErr w:type="spellEnd"/>
      <w:r w:rsidRPr="00F94903">
        <w:rPr>
          <w:highlight w:val="yellow"/>
        </w:rPr>
        <w:t xml:space="preserve">, G., &amp; </w:t>
      </w:r>
      <w:proofErr w:type="spellStart"/>
      <w:r w:rsidRPr="00F94903">
        <w:rPr>
          <w:highlight w:val="yellow"/>
        </w:rPr>
        <w:t>Bochtis</w:t>
      </w:r>
      <w:proofErr w:type="spellEnd"/>
      <w:r w:rsidRPr="00F94903">
        <w:rPr>
          <w:highlight w:val="yellow"/>
        </w:rPr>
        <w:t>, D. (2019). Remote sensing techniques for soil organic carbon estimation: A review. Remote Sensing, 11(6), 676.</w:t>
      </w:r>
      <w:r w:rsidRPr="00F94903">
        <w:rPr>
          <w:highlight w:val="yellow"/>
        </w:rPr>
        <w:t xml:space="preserve">   </w:t>
      </w:r>
    </w:p>
    <w:p w14:paraId="2886416D" w14:textId="6F077A4F" w:rsidR="009D643B" w:rsidRDefault="009D643B" w:rsidP="009D643B">
      <w:pPr>
        <w:pStyle w:val="ListParagraph"/>
        <w:spacing w:after="0"/>
      </w:pPr>
      <w:r>
        <w:rPr>
          <w:highlight w:val="yellow"/>
        </w:rPr>
        <w:t xml:space="preserve">12. </w:t>
      </w:r>
      <w:r w:rsidRPr="00F94903">
        <w:rPr>
          <w:highlight w:val="yellow"/>
        </w:rPr>
        <w:t xml:space="preserve">Yost, J. L., &amp; </w:t>
      </w:r>
      <w:proofErr w:type="spellStart"/>
      <w:r w:rsidRPr="00F94903">
        <w:rPr>
          <w:highlight w:val="yellow"/>
        </w:rPr>
        <w:t>Hartemink</w:t>
      </w:r>
      <w:proofErr w:type="spellEnd"/>
      <w:r w:rsidRPr="00F94903">
        <w:rPr>
          <w:highlight w:val="yellow"/>
        </w:rPr>
        <w:t>, A. E. (2019). Soil organic carbon in sandy soils: A review. Advances in agronomy, 158, 217-310.</w:t>
      </w:r>
      <w:r>
        <w:t xml:space="preserve">   </w:t>
      </w:r>
    </w:p>
    <w:p w14:paraId="6BF8B9B9" w14:textId="77777777" w:rsidR="009D643B" w:rsidRDefault="009D643B" w:rsidP="009D643B">
      <w:pPr>
        <w:pStyle w:val="ListParagraph"/>
        <w:spacing w:after="0"/>
      </w:pPr>
    </w:p>
    <w:p w14:paraId="68B5C0EE" w14:textId="1D0B52C1" w:rsidR="009D643B" w:rsidRPr="00F94903" w:rsidRDefault="009D643B" w:rsidP="00F94903">
      <w:pPr>
        <w:pStyle w:val="ListParagraph"/>
        <w:spacing w:after="0"/>
        <w:rPr>
          <w:highlight w:val="yellow"/>
        </w:rPr>
      </w:pPr>
      <w:r w:rsidRPr="00F94903">
        <w:rPr>
          <w:highlight w:val="yellow"/>
        </w:rPr>
        <w:t xml:space="preserve">13. </w:t>
      </w:r>
      <w:r w:rsidRPr="00F94903">
        <w:rPr>
          <w:highlight w:val="yellow"/>
        </w:rPr>
        <w:t>Kumar, S., Jaswal, R., &amp; Narwal, K. (2025). Law and policy pathways for global soil carbon sequestration in agroecosystems to ensure zero carbon emission. In Agriculture Toward Net Zero Emissions (pp. 83-97). Academic Press.</w:t>
      </w:r>
      <w:r w:rsidRPr="00F94903">
        <w:rPr>
          <w:highlight w:val="yellow"/>
        </w:rPr>
        <w:t xml:space="preserve">   </w:t>
      </w:r>
    </w:p>
    <w:p w14:paraId="1993E048" w14:textId="77777777" w:rsidR="00284C4C" w:rsidRPr="009D643B" w:rsidRDefault="00284C4C" w:rsidP="009D643B">
      <w:pPr>
        <w:pStyle w:val="Body"/>
        <w:spacing w:after="0"/>
        <w:rPr>
          <w:rFonts w:ascii="Arial" w:hAnsi="Arial" w:cs="Arial"/>
          <w:i/>
          <w:u w:val="single"/>
        </w:rPr>
      </w:pPr>
    </w:p>
    <w:sectPr w:rsidR="00284C4C" w:rsidRPr="009D643B" w:rsidSect="00C5409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231C7" w14:textId="77777777" w:rsidR="008C3E73" w:rsidRDefault="008C3E73" w:rsidP="00C37E61">
      <w:r>
        <w:separator/>
      </w:r>
    </w:p>
  </w:endnote>
  <w:endnote w:type="continuationSeparator" w:id="0">
    <w:p w14:paraId="6854F706" w14:textId="77777777" w:rsidR="008C3E73" w:rsidRDefault="008C3E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A912" w14:textId="77777777" w:rsidR="00C5409C" w:rsidRDefault="00C54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2501" w14:textId="77777777" w:rsidR="00C5409C" w:rsidRDefault="00C540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FBC0" w14:textId="77777777" w:rsidR="009E048A" w:rsidRDefault="009E048A">
    <w:pPr>
      <w:pStyle w:val="Footer"/>
      <w:rPr>
        <w:rFonts w:ascii="Arial" w:hAnsi="Arial" w:cs="Arial"/>
        <w:sz w:val="16"/>
      </w:rPr>
    </w:pPr>
  </w:p>
  <w:p w14:paraId="4606E23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12166A6" w14:textId="77777777" w:rsidR="009E048A" w:rsidRDefault="009E048A">
    <w:pPr>
      <w:pStyle w:val="Footer"/>
      <w:rPr>
        <w:rFonts w:ascii="Arial" w:hAnsi="Arial" w:cs="Arial"/>
        <w:sz w:val="16"/>
      </w:rPr>
    </w:pPr>
  </w:p>
  <w:p w14:paraId="496B9BC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17538" w14:textId="77777777" w:rsidR="008C3E73" w:rsidRDefault="008C3E73" w:rsidP="00C37E61">
      <w:r>
        <w:separator/>
      </w:r>
    </w:p>
  </w:footnote>
  <w:footnote w:type="continuationSeparator" w:id="0">
    <w:p w14:paraId="70745BDE" w14:textId="77777777" w:rsidR="008C3E73" w:rsidRDefault="008C3E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18D7" w14:textId="6A1E7FC4" w:rsidR="00C5409C" w:rsidRDefault="00000000">
    <w:pPr>
      <w:pStyle w:val="Header"/>
    </w:pPr>
    <w:r>
      <w:rPr>
        <w:noProof/>
      </w:rPr>
      <w:pict w14:anchorId="62CCE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6187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BD4D" w14:textId="0B990303" w:rsidR="00C5409C" w:rsidRDefault="00000000">
    <w:pPr>
      <w:pStyle w:val="Header"/>
    </w:pPr>
    <w:r>
      <w:rPr>
        <w:noProof/>
      </w:rPr>
      <w:pict w14:anchorId="1335A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6187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201B" w14:textId="36151213" w:rsidR="00296529" w:rsidRPr="00296529" w:rsidRDefault="00000000" w:rsidP="00296529">
    <w:pPr>
      <w:ind w:left="2160"/>
      <w:jc w:val="center"/>
      <w:rPr>
        <w:rFonts w:ascii="Times New Roman" w:eastAsia="Calibri" w:hAnsi="Times New Roman"/>
        <w:i/>
        <w:sz w:val="18"/>
        <w:szCs w:val="22"/>
      </w:rPr>
    </w:pPr>
    <w:r>
      <w:rPr>
        <w:noProof/>
      </w:rPr>
      <w:pict w14:anchorId="666E7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6187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348F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67F2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CBFC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97A1D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29C4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660557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966E56"/>
    <w:multiLevelType w:val="multilevel"/>
    <w:tmpl w:val="3288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970C53"/>
    <w:multiLevelType w:val="hybridMultilevel"/>
    <w:tmpl w:val="EA4E646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0A3D70"/>
    <w:multiLevelType w:val="multilevel"/>
    <w:tmpl w:val="7C5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6D30AC4"/>
    <w:multiLevelType w:val="hybridMultilevel"/>
    <w:tmpl w:val="4D2E6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C25DD"/>
    <w:multiLevelType w:val="hybridMultilevel"/>
    <w:tmpl w:val="8998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2191DDE"/>
    <w:multiLevelType w:val="multilevel"/>
    <w:tmpl w:val="2262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B5762"/>
    <w:multiLevelType w:val="multilevel"/>
    <w:tmpl w:val="03C0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318525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01459929">
    <w:abstractNumId w:val="19"/>
  </w:num>
  <w:num w:numId="3" w16cid:durableId="1051074307">
    <w:abstractNumId w:val="30"/>
  </w:num>
  <w:num w:numId="4" w16cid:durableId="201761478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89704323">
    <w:abstractNumId w:val="9"/>
  </w:num>
  <w:num w:numId="6" w16cid:durableId="1527062664">
    <w:abstractNumId w:val="8"/>
  </w:num>
  <w:num w:numId="7" w16cid:durableId="1905532197">
    <w:abstractNumId w:val="1"/>
  </w:num>
  <w:num w:numId="8" w16cid:durableId="1227766173">
    <w:abstractNumId w:val="15"/>
  </w:num>
  <w:num w:numId="9" w16cid:durableId="1849638956">
    <w:abstractNumId w:val="32"/>
  </w:num>
  <w:num w:numId="10" w16cid:durableId="560867245">
    <w:abstractNumId w:val="2"/>
  </w:num>
  <w:num w:numId="11" w16cid:durableId="1093361026">
    <w:abstractNumId w:val="25"/>
  </w:num>
  <w:num w:numId="12" w16cid:durableId="1911690765">
    <w:abstractNumId w:val="4"/>
  </w:num>
  <w:num w:numId="13" w16cid:durableId="2102750895">
    <w:abstractNumId w:val="22"/>
  </w:num>
  <w:num w:numId="14" w16cid:durableId="1498304933">
    <w:abstractNumId w:val="10"/>
  </w:num>
  <w:num w:numId="15" w16cid:durableId="1381593561">
    <w:abstractNumId w:val="28"/>
  </w:num>
  <w:num w:numId="16" w16cid:durableId="1227105961">
    <w:abstractNumId w:val="6"/>
  </w:num>
  <w:num w:numId="17" w16cid:durableId="1143540683">
    <w:abstractNumId w:val="29"/>
  </w:num>
  <w:num w:numId="18" w16cid:durableId="748238799">
    <w:abstractNumId w:val="17"/>
  </w:num>
  <w:num w:numId="19" w16cid:durableId="1096049545">
    <w:abstractNumId w:val="35"/>
  </w:num>
  <w:num w:numId="20" w16cid:durableId="1385836279">
    <w:abstractNumId w:val="14"/>
  </w:num>
  <w:num w:numId="21" w16cid:durableId="715786480">
    <w:abstractNumId w:val="11"/>
  </w:num>
  <w:num w:numId="22" w16cid:durableId="1501578150">
    <w:abstractNumId w:val="16"/>
  </w:num>
  <w:num w:numId="23" w16cid:durableId="893925918">
    <w:abstractNumId w:val="26"/>
  </w:num>
  <w:num w:numId="24" w16cid:durableId="1310983247">
    <w:abstractNumId w:val="33"/>
  </w:num>
  <w:num w:numId="25" w16cid:durableId="871263194">
    <w:abstractNumId w:val="5"/>
  </w:num>
  <w:num w:numId="26" w16cid:durableId="782921919">
    <w:abstractNumId w:val="20"/>
  </w:num>
  <w:num w:numId="27" w16cid:durableId="1957172072">
    <w:abstractNumId w:val="27"/>
  </w:num>
  <w:num w:numId="28" w16cid:durableId="1250387567">
    <w:abstractNumId w:val="34"/>
  </w:num>
  <w:num w:numId="29" w16cid:durableId="2113160855">
    <w:abstractNumId w:val="31"/>
  </w:num>
  <w:num w:numId="30" w16cid:durableId="852958662">
    <w:abstractNumId w:val="12"/>
  </w:num>
  <w:num w:numId="31" w16cid:durableId="2015183084">
    <w:abstractNumId w:val="23"/>
  </w:num>
  <w:num w:numId="32" w16cid:durableId="824584674">
    <w:abstractNumId w:val="3"/>
  </w:num>
  <w:num w:numId="33" w16cid:durableId="1960531996">
    <w:abstractNumId w:val="13"/>
  </w:num>
  <w:num w:numId="34" w16cid:durableId="1956399590">
    <w:abstractNumId w:val="24"/>
  </w:num>
  <w:num w:numId="35" w16cid:durableId="1380088148">
    <w:abstractNumId w:val="7"/>
  </w:num>
  <w:num w:numId="36" w16cid:durableId="1204443405">
    <w:abstractNumId w:val="21"/>
  </w:num>
  <w:num w:numId="37" w16cid:durableId="1075977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AciS1NLSwMzM0MDEyUdpeDU4uLM/DyQAsNaAB89gUAsAAAA"/>
  </w:docVars>
  <w:rsids>
    <w:rsidRoot w:val="00AA6219"/>
    <w:rsid w:val="00000F8F"/>
    <w:rsid w:val="00030174"/>
    <w:rsid w:val="0004579C"/>
    <w:rsid w:val="0005448D"/>
    <w:rsid w:val="000A47FA"/>
    <w:rsid w:val="000A65D3"/>
    <w:rsid w:val="000B1E33"/>
    <w:rsid w:val="000D689F"/>
    <w:rsid w:val="000E7B7B"/>
    <w:rsid w:val="000E7D62"/>
    <w:rsid w:val="00103357"/>
    <w:rsid w:val="00115995"/>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766B"/>
    <w:rsid w:val="00200595"/>
    <w:rsid w:val="00204835"/>
    <w:rsid w:val="00231920"/>
    <w:rsid w:val="0023195C"/>
    <w:rsid w:val="0024282C"/>
    <w:rsid w:val="002460DC"/>
    <w:rsid w:val="00250985"/>
    <w:rsid w:val="002556F6"/>
    <w:rsid w:val="00266696"/>
    <w:rsid w:val="00283105"/>
    <w:rsid w:val="00284C4C"/>
    <w:rsid w:val="00287E68"/>
    <w:rsid w:val="00296529"/>
    <w:rsid w:val="002A4617"/>
    <w:rsid w:val="002B27FB"/>
    <w:rsid w:val="002B685A"/>
    <w:rsid w:val="002C57D2"/>
    <w:rsid w:val="002E0D56"/>
    <w:rsid w:val="002E4F16"/>
    <w:rsid w:val="00315186"/>
    <w:rsid w:val="0033343E"/>
    <w:rsid w:val="003512C2"/>
    <w:rsid w:val="003661D1"/>
    <w:rsid w:val="00371FB6"/>
    <w:rsid w:val="003763C1"/>
    <w:rsid w:val="00376BBE"/>
    <w:rsid w:val="0039224F"/>
    <w:rsid w:val="003A43A4"/>
    <w:rsid w:val="003A7B2A"/>
    <w:rsid w:val="003A7E18"/>
    <w:rsid w:val="003C4C86"/>
    <w:rsid w:val="003C6258"/>
    <w:rsid w:val="003E2904"/>
    <w:rsid w:val="00401927"/>
    <w:rsid w:val="0041027F"/>
    <w:rsid w:val="00412475"/>
    <w:rsid w:val="00423095"/>
    <w:rsid w:val="00423789"/>
    <w:rsid w:val="00437D6D"/>
    <w:rsid w:val="00440F43"/>
    <w:rsid w:val="00441B6F"/>
    <w:rsid w:val="00446221"/>
    <w:rsid w:val="00450E62"/>
    <w:rsid w:val="004539DB"/>
    <w:rsid w:val="00463C1F"/>
    <w:rsid w:val="00471A80"/>
    <w:rsid w:val="00477753"/>
    <w:rsid w:val="004D305E"/>
    <w:rsid w:val="004D4277"/>
    <w:rsid w:val="00502516"/>
    <w:rsid w:val="00505F06"/>
    <w:rsid w:val="00506828"/>
    <w:rsid w:val="0053056E"/>
    <w:rsid w:val="00554FDA"/>
    <w:rsid w:val="005C784C"/>
    <w:rsid w:val="005D17F6"/>
    <w:rsid w:val="005D3CD5"/>
    <w:rsid w:val="005E5539"/>
    <w:rsid w:val="005E57B8"/>
    <w:rsid w:val="00602BF5"/>
    <w:rsid w:val="006038F3"/>
    <w:rsid w:val="00617FDD"/>
    <w:rsid w:val="00633614"/>
    <w:rsid w:val="00633F68"/>
    <w:rsid w:val="00636EB2"/>
    <w:rsid w:val="006375B8"/>
    <w:rsid w:val="0066510A"/>
    <w:rsid w:val="00673F9F"/>
    <w:rsid w:val="006774C7"/>
    <w:rsid w:val="00686953"/>
    <w:rsid w:val="00687DEA"/>
    <w:rsid w:val="00687E67"/>
    <w:rsid w:val="006967F7"/>
    <w:rsid w:val="006A250C"/>
    <w:rsid w:val="006B21D3"/>
    <w:rsid w:val="006B57D0"/>
    <w:rsid w:val="006C1AC7"/>
    <w:rsid w:val="006D30FF"/>
    <w:rsid w:val="006D6940"/>
    <w:rsid w:val="006F11EC"/>
    <w:rsid w:val="0070082C"/>
    <w:rsid w:val="007369E6"/>
    <w:rsid w:val="00737C90"/>
    <w:rsid w:val="00743767"/>
    <w:rsid w:val="00746E59"/>
    <w:rsid w:val="00754C9A"/>
    <w:rsid w:val="0075599A"/>
    <w:rsid w:val="00761D52"/>
    <w:rsid w:val="0077749E"/>
    <w:rsid w:val="00790ADA"/>
    <w:rsid w:val="007D2288"/>
    <w:rsid w:val="007E088F"/>
    <w:rsid w:val="007F7B32"/>
    <w:rsid w:val="00804BC2"/>
    <w:rsid w:val="0081431A"/>
    <w:rsid w:val="0083216F"/>
    <w:rsid w:val="00837861"/>
    <w:rsid w:val="00860000"/>
    <w:rsid w:val="00863BD3"/>
    <w:rsid w:val="008641ED"/>
    <w:rsid w:val="00866D66"/>
    <w:rsid w:val="008671C6"/>
    <w:rsid w:val="00875803"/>
    <w:rsid w:val="008B459E"/>
    <w:rsid w:val="008C3E73"/>
    <w:rsid w:val="008E13AE"/>
    <w:rsid w:val="008E1506"/>
    <w:rsid w:val="008E41BE"/>
    <w:rsid w:val="008E710C"/>
    <w:rsid w:val="008F69D6"/>
    <w:rsid w:val="00902823"/>
    <w:rsid w:val="00915CA6"/>
    <w:rsid w:val="00927834"/>
    <w:rsid w:val="009500A6"/>
    <w:rsid w:val="00957C18"/>
    <w:rsid w:val="009659BA"/>
    <w:rsid w:val="00983040"/>
    <w:rsid w:val="009922FA"/>
    <w:rsid w:val="009B3FB9"/>
    <w:rsid w:val="009C2465"/>
    <w:rsid w:val="009D2823"/>
    <w:rsid w:val="009D35A0"/>
    <w:rsid w:val="009D643B"/>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2B28"/>
    <w:rsid w:val="00A94063"/>
    <w:rsid w:val="00A97102"/>
    <w:rsid w:val="00AA6219"/>
    <w:rsid w:val="00AA74E0"/>
    <w:rsid w:val="00AB703F"/>
    <w:rsid w:val="00AC6BB8"/>
    <w:rsid w:val="00AE008F"/>
    <w:rsid w:val="00B01FCD"/>
    <w:rsid w:val="00B1776C"/>
    <w:rsid w:val="00B52583"/>
    <w:rsid w:val="00B52896"/>
    <w:rsid w:val="00B64547"/>
    <w:rsid w:val="00B65584"/>
    <w:rsid w:val="00B95236"/>
    <w:rsid w:val="00B96BD9"/>
    <w:rsid w:val="00BA1B01"/>
    <w:rsid w:val="00BA2641"/>
    <w:rsid w:val="00BB20EA"/>
    <w:rsid w:val="00BB37AA"/>
    <w:rsid w:val="00BC53A0"/>
    <w:rsid w:val="00BE62AD"/>
    <w:rsid w:val="00BF121F"/>
    <w:rsid w:val="00BF1F80"/>
    <w:rsid w:val="00C166EF"/>
    <w:rsid w:val="00C17EB0"/>
    <w:rsid w:val="00C27F5F"/>
    <w:rsid w:val="00C30A0F"/>
    <w:rsid w:val="00C30F65"/>
    <w:rsid w:val="00C37E61"/>
    <w:rsid w:val="00C5409C"/>
    <w:rsid w:val="00C60A35"/>
    <w:rsid w:val="00C70F1B"/>
    <w:rsid w:val="00C71A47"/>
    <w:rsid w:val="00C7464C"/>
    <w:rsid w:val="00C85588"/>
    <w:rsid w:val="00CD6755"/>
    <w:rsid w:val="00CD6856"/>
    <w:rsid w:val="00CE0089"/>
    <w:rsid w:val="00CE793C"/>
    <w:rsid w:val="00CF193C"/>
    <w:rsid w:val="00D173F1"/>
    <w:rsid w:val="00D54A71"/>
    <w:rsid w:val="00D67165"/>
    <w:rsid w:val="00D74CB0"/>
    <w:rsid w:val="00D8295D"/>
    <w:rsid w:val="00DC2A65"/>
    <w:rsid w:val="00DE15F0"/>
    <w:rsid w:val="00DE5663"/>
    <w:rsid w:val="00DE78AA"/>
    <w:rsid w:val="00DF1931"/>
    <w:rsid w:val="00E053D0"/>
    <w:rsid w:val="00E15994"/>
    <w:rsid w:val="00E3114E"/>
    <w:rsid w:val="00E31A70"/>
    <w:rsid w:val="00E35B02"/>
    <w:rsid w:val="00E368FA"/>
    <w:rsid w:val="00E5663B"/>
    <w:rsid w:val="00E66496"/>
    <w:rsid w:val="00E66B35"/>
    <w:rsid w:val="00E66E10"/>
    <w:rsid w:val="00E769F6"/>
    <w:rsid w:val="00E8407C"/>
    <w:rsid w:val="00E84F3C"/>
    <w:rsid w:val="00EA012C"/>
    <w:rsid w:val="00EB43CE"/>
    <w:rsid w:val="00EC6A55"/>
    <w:rsid w:val="00ED0288"/>
    <w:rsid w:val="00EE52CB"/>
    <w:rsid w:val="00EF581D"/>
    <w:rsid w:val="00EF7FD8"/>
    <w:rsid w:val="00F01658"/>
    <w:rsid w:val="00F06F59"/>
    <w:rsid w:val="00F17988"/>
    <w:rsid w:val="00F469F0"/>
    <w:rsid w:val="00F53273"/>
    <w:rsid w:val="00F718B2"/>
    <w:rsid w:val="00F755E4"/>
    <w:rsid w:val="00F77D02"/>
    <w:rsid w:val="00F9490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134486C"/>
  <w15:docId w15:val="{5CE7FD63-3BC0-45F1-A6CF-0AB09225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65584"/>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F01658"/>
    <w:rPr>
      <w:color w:val="605E5C"/>
      <w:shd w:val="clear" w:color="auto" w:fill="E1DFDD"/>
    </w:rPr>
  </w:style>
  <w:style w:type="paragraph" w:styleId="Revision">
    <w:name w:val="Revision"/>
    <w:hidden/>
    <w:uiPriority w:val="99"/>
    <w:semiHidden/>
    <w:rsid w:val="00C60A3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pcc.ch/report/ar6/wg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1AF7F-181A-462C-906C-13C483F0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10</Pages>
  <Words>4044</Words>
  <Characters>24349</Characters>
  <Application>Microsoft Office Word</Application>
  <DocSecurity>0</DocSecurity>
  <Lines>608</Lines>
  <Paragraphs>275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28118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37</cp:revision>
  <cp:lastPrinted>1999-07-06T11:00:00Z</cp:lastPrinted>
  <dcterms:created xsi:type="dcterms:W3CDTF">2014-10-25T14:34:00Z</dcterms:created>
  <dcterms:modified xsi:type="dcterms:W3CDTF">2025-11-12T09:03:00Z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4e0fe84d-462e-49bd-8e64-726c266868db</vt:lpwstr>
  </property>
</Properties>
</file>