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5F05F5" w14:textId="77777777" w:rsidR="001F2A82" w:rsidRDefault="001F2A82" w:rsidP="0003605B">
      <w:pPr>
        <w:rPr>
          <w:rFonts w:ascii="Arial" w:hAnsi="Arial" w:cs="Arial"/>
          <w:b/>
          <w:sz w:val="28"/>
          <w:szCs w:val="28"/>
        </w:rPr>
      </w:pPr>
      <w:bookmarkStart w:id="0" w:name="_GoBack"/>
      <w:bookmarkEnd w:id="0"/>
    </w:p>
    <w:p w14:paraId="13688BFA" w14:textId="23A62ED2" w:rsidR="0003605B" w:rsidRDefault="0003605B" w:rsidP="0003605B">
      <w:pPr>
        <w:rPr>
          <w:rFonts w:ascii="Arial" w:hAnsi="Arial" w:cs="Arial"/>
          <w:b/>
          <w:sz w:val="28"/>
          <w:szCs w:val="28"/>
        </w:rPr>
      </w:pPr>
      <w:r w:rsidRPr="0003605B">
        <w:rPr>
          <w:rFonts w:ascii="Arial" w:hAnsi="Arial" w:cs="Arial"/>
          <w:b/>
          <w:sz w:val="28"/>
          <w:szCs w:val="28"/>
        </w:rPr>
        <w:t>Antibiotic Resistance in Marine and Coastal Environments: A Systematic Review</w:t>
      </w:r>
    </w:p>
    <w:p w14:paraId="4F56D638" w14:textId="77777777" w:rsidR="001657AA" w:rsidRPr="0003605B" w:rsidRDefault="001657AA" w:rsidP="0003605B">
      <w:pPr>
        <w:rPr>
          <w:rFonts w:ascii="Arial" w:hAnsi="Arial" w:cs="Arial"/>
          <w:b/>
          <w:sz w:val="28"/>
          <w:szCs w:val="28"/>
        </w:rPr>
      </w:pPr>
    </w:p>
    <w:p w14:paraId="437292F7" w14:textId="77777777" w:rsidR="00E84324" w:rsidRDefault="00E84324" w:rsidP="0003605B">
      <w:pPr>
        <w:spacing w:line="240" w:lineRule="auto"/>
        <w:rPr>
          <w:rFonts w:ascii="Arial" w:hAnsi="Arial" w:cs="Arial"/>
          <w:b/>
          <w:sz w:val="20"/>
          <w:szCs w:val="20"/>
        </w:rPr>
      </w:pPr>
    </w:p>
    <w:p w14:paraId="61014B56" w14:textId="77777777" w:rsidR="00965773" w:rsidRPr="00E012AE" w:rsidRDefault="00965773" w:rsidP="00965773">
      <w:pPr>
        <w:spacing w:line="480" w:lineRule="auto"/>
        <w:rPr>
          <w:rFonts w:ascii="Arial" w:hAnsi="Arial" w:cs="Arial"/>
          <w:b/>
          <w:sz w:val="24"/>
          <w:szCs w:val="24"/>
        </w:rPr>
      </w:pPr>
      <w:r w:rsidRPr="00E012AE">
        <w:rPr>
          <w:rFonts w:ascii="Arial" w:hAnsi="Arial" w:cs="Arial"/>
          <w:b/>
          <w:sz w:val="24"/>
          <w:szCs w:val="24"/>
        </w:rPr>
        <w:t>ABSTRACT</w:t>
      </w:r>
    </w:p>
    <w:tbl>
      <w:tblPr>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281"/>
      </w:tblGrid>
      <w:tr w:rsidR="002C777E" w:rsidRPr="00124EA4" w14:paraId="621E475E" w14:textId="77777777" w:rsidTr="002C777E">
        <w:trPr>
          <w:trHeight w:val="4001"/>
        </w:trPr>
        <w:tc>
          <w:tcPr>
            <w:tcW w:w="9281" w:type="dxa"/>
            <w:shd w:val="clear" w:color="auto" w:fill="F2F2F2"/>
          </w:tcPr>
          <w:p w14:paraId="09B41243" w14:textId="77777777" w:rsidR="002C777E" w:rsidRPr="006E70B6" w:rsidRDefault="002C777E" w:rsidP="00ED16E9">
            <w:pPr>
              <w:jc w:val="both"/>
              <w:rPr>
                <w:rFonts w:ascii="Arial" w:eastAsia="Calibri" w:hAnsi="Arial" w:cs="Arial"/>
              </w:rPr>
            </w:pPr>
          </w:p>
          <w:p w14:paraId="5C2D5D05" w14:textId="10627A19" w:rsidR="002C777E" w:rsidRDefault="002C777E" w:rsidP="00AC3C8B">
            <w:pPr>
              <w:jc w:val="both"/>
              <w:rPr>
                <w:rFonts w:ascii="Arial" w:eastAsia="Calibri" w:hAnsi="Arial" w:cs="Arial"/>
                <w:lang w:val="en-US"/>
              </w:rPr>
            </w:pPr>
            <w:r w:rsidRPr="00124EA4">
              <w:rPr>
                <w:b/>
              </w:rPr>
              <w:t> </w:t>
            </w:r>
            <w:r w:rsidRPr="003A34F5">
              <w:rPr>
                <w:rFonts w:ascii="Arial" w:eastAsia="Calibri" w:hAnsi="Arial" w:cs="Arial"/>
                <w:lang w:val="en-US"/>
              </w:rPr>
              <w:t>Antibiotic resistance (AR) dissemination in marine and coastal environments is recognized as a major and growing threat for ecological equilibrium and human health.</w:t>
            </w:r>
            <w:r w:rsidR="000575DD">
              <w:t xml:space="preserve"> </w:t>
            </w:r>
            <w:r w:rsidR="000575DD" w:rsidRPr="000575DD">
              <w:rPr>
                <w:rFonts w:ascii="Arial" w:eastAsia="Calibri" w:hAnsi="Arial" w:cs="Arial"/>
                <w:lang w:val="en-US"/>
              </w:rPr>
              <w:t>These aquatic environments, once considered relatively pristine, are now</w:t>
            </w:r>
            <w:r w:rsidR="000575DD">
              <w:rPr>
                <w:rFonts w:ascii="Arial" w:eastAsia="Calibri" w:hAnsi="Arial" w:cs="Arial"/>
                <w:lang w:val="en-US"/>
              </w:rPr>
              <w:t xml:space="preserve"> recognized as major reservoirs </w:t>
            </w:r>
            <w:r w:rsidRPr="003A34F5">
              <w:rPr>
                <w:rFonts w:ascii="Arial" w:eastAsia="Calibri" w:hAnsi="Arial" w:cs="Arial"/>
                <w:lang w:val="en-US"/>
              </w:rPr>
              <w:t>of antibiotic resistance genes (ARGs) and antibiotic-resistant bacteria (ARB). This review integrates research from 2010 to 2025 in order to give a full picture of the current understa</w:t>
            </w:r>
            <w:r w:rsidR="00AC3C8B">
              <w:rPr>
                <w:rFonts w:ascii="Arial" w:eastAsia="Calibri" w:hAnsi="Arial" w:cs="Arial"/>
                <w:lang w:val="en-US"/>
              </w:rPr>
              <w:t>nding of this fundamental issue. The</w:t>
            </w:r>
            <w:r w:rsidR="004B5381">
              <w:rPr>
                <w:rFonts w:ascii="Arial" w:eastAsia="Calibri" w:hAnsi="Arial" w:cs="Arial"/>
                <w:lang w:val="en-US"/>
              </w:rPr>
              <w:t xml:space="preserve"> current study</w:t>
            </w:r>
            <w:r w:rsidR="004B5381" w:rsidRPr="00AC3C8B">
              <w:rPr>
                <w:rFonts w:ascii="Arial" w:eastAsia="Calibri" w:hAnsi="Arial" w:cs="Arial"/>
                <w:lang w:val="en-US"/>
              </w:rPr>
              <w:t xml:space="preserve"> </w:t>
            </w:r>
            <w:r w:rsidR="004B5381">
              <w:rPr>
                <w:rFonts w:ascii="Arial" w:eastAsia="Calibri" w:hAnsi="Arial" w:cs="Arial"/>
                <w:lang w:val="en-US"/>
              </w:rPr>
              <w:t>examined</w:t>
            </w:r>
            <w:r w:rsidR="00AC3C8B" w:rsidRPr="00AC3C8B">
              <w:rPr>
                <w:rFonts w:ascii="Arial" w:eastAsia="Calibri" w:hAnsi="Arial" w:cs="Arial"/>
                <w:lang w:val="en-US"/>
              </w:rPr>
              <w:t xml:space="preserve"> the major contributors to antimicrobial resistance, including effluent from wastewater treatment plants, agricultural and aquaculture runoff, an</w:t>
            </w:r>
            <w:r w:rsidR="00AC3C8B">
              <w:rPr>
                <w:rFonts w:ascii="Arial" w:eastAsia="Calibri" w:hAnsi="Arial" w:cs="Arial"/>
                <w:lang w:val="en-US"/>
              </w:rPr>
              <w:t xml:space="preserve">d widespread plastic </w:t>
            </w:r>
            <w:r w:rsidR="004B5381">
              <w:rPr>
                <w:rFonts w:ascii="Arial" w:eastAsia="Calibri" w:hAnsi="Arial" w:cs="Arial"/>
                <w:lang w:val="en-US"/>
              </w:rPr>
              <w:t>pollution.</w:t>
            </w:r>
            <w:r w:rsidR="004B5381" w:rsidRPr="00AC3C8B">
              <w:rPr>
                <w:rFonts w:ascii="Arial" w:eastAsia="Calibri" w:hAnsi="Arial" w:cs="Arial"/>
                <w:lang w:val="en-US"/>
              </w:rPr>
              <w:t xml:space="preserve"> Together</w:t>
            </w:r>
            <w:r w:rsidR="00AC3C8B" w:rsidRPr="00AC3C8B">
              <w:rPr>
                <w:rFonts w:ascii="Arial" w:eastAsia="Calibri" w:hAnsi="Arial" w:cs="Arial"/>
                <w:lang w:val="en-US"/>
              </w:rPr>
              <w:t>, these sources create strong environmental pressures that promote the spread of resistance.</w:t>
            </w:r>
            <w:r w:rsidRPr="003A34F5">
              <w:rPr>
                <w:rFonts w:ascii="Arial" w:eastAsia="Calibri" w:hAnsi="Arial" w:cs="Arial"/>
                <w:lang w:val="en-US"/>
              </w:rPr>
              <w:t xml:space="preserve"> The paper connects the basic principles of resistance dissemination with horizontal gene transfer (HGT) mediated by mobile genetic elements (MGEs) in microbial communities, </w:t>
            </w:r>
            <w:r w:rsidR="00807B36">
              <w:rPr>
                <w:rFonts w:ascii="Arial" w:eastAsia="Calibri" w:hAnsi="Arial" w:cs="Arial"/>
                <w:lang w:val="en-US"/>
              </w:rPr>
              <w:t>particularly within biofilms. The</w:t>
            </w:r>
            <w:r w:rsidR="00EE13E6">
              <w:rPr>
                <w:rFonts w:ascii="Arial" w:eastAsia="Calibri" w:hAnsi="Arial" w:cs="Arial"/>
                <w:lang w:val="en-US"/>
              </w:rPr>
              <w:t xml:space="preserve"> study</w:t>
            </w:r>
            <w:r w:rsidR="00EE13E6" w:rsidRPr="003A34F5">
              <w:rPr>
                <w:rFonts w:ascii="Arial" w:eastAsia="Calibri" w:hAnsi="Arial" w:cs="Arial"/>
                <w:lang w:val="en-US"/>
              </w:rPr>
              <w:t xml:space="preserve"> also delves</w:t>
            </w:r>
            <w:r w:rsidRPr="003A34F5">
              <w:rPr>
                <w:rFonts w:ascii="Arial" w:eastAsia="Calibri" w:hAnsi="Arial" w:cs="Arial"/>
                <w:lang w:val="en-US"/>
              </w:rPr>
              <w:t xml:space="preserve"> into the imp</w:t>
            </w:r>
            <w:r w:rsidR="00EE13E6">
              <w:rPr>
                <w:rFonts w:ascii="Arial" w:eastAsia="Calibri" w:hAnsi="Arial" w:cs="Arial"/>
                <w:lang w:val="en-US"/>
              </w:rPr>
              <w:t>ortant environmental pressures</w:t>
            </w:r>
            <w:r w:rsidRPr="003A34F5">
              <w:rPr>
                <w:rFonts w:ascii="Arial" w:eastAsia="Calibri" w:hAnsi="Arial" w:cs="Arial"/>
                <w:lang w:val="en-US"/>
              </w:rPr>
              <w:t xml:space="preserve"> including climate change and polluti</w:t>
            </w:r>
            <w:r w:rsidR="00004A22">
              <w:rPr>
                <w:rFonts w:ascii="Arial" w:eastAsia="Calibri" w:hAnsi="Arial" w:cs="Arial"/>
                <w:lang w:val="en-US"/>
              </w:rPr>
              <w:t>on</w:t>
            </w:r>
            <w:r w:rsidR="000575DD">
              <w:rPr>
                <w:rFonts w:ascii="Arial" w:eastAsia="Calibri" w:hAnsi="Arial" w:cs="Arial"/>
                <w:lang w:val="en-US"/>
              </w:rPr>
              <w:t xml:space="preserve"> gradients </w:t>
            </w:r>
            <w:r w:rsidRPr="003A34F5">
              <w:rPr>
                <w:rFonts w:ascii="Arial" w:eastAsia="Calibri" w:hAnsi="Arial" w:cs="Arial"/>
                <w:lang w:val="en-US"/>
              </w:rPr>
              <w:t>that intensify the selection of ARGs and contrib</w:t>
            </w:r>
            <w:r w:rsidR="00807B36">
              <w:rPr>
                <w:rFonts w:ascii="Arial" w:eastAsia="Calibri" w:hAnsi="Arial" w:cs="Arial"/>
                <w:lang w:val="en-US"/>
              </w:rPr>
              <w:t xml:space="preserve">ute to their spread. The </w:t>
            </w:r>
            <w:r w:rsidR="00F0094E">
              <w:rPr>
                <w:rFonts w:ascii="Arial" w:eastAsia="Calibri" w:hAnsi="Arial" w:cs="Arial"/>
                <w:lang w:val="en-US"/>
              </w:rPr>
              <w:t>public</w:t>
            </w:r>
            <w:r w:rsidR="00F0094E" w:rsidRPr="003A34F5">
              <w:rPr>
                <w:rFonts w:ascii="Arial" w:eastAsia="Calibri" w:hAnsi="Arial" w:cs="Arial"/>
                <w:lang w:val="en-US"/>
              </w:rPr>
              <w:t xml:space="preserve"> health</w:t>
            </w:r>
            <w:r w:rsidRPr="003A34F5">
              <w:rPr>
                <w:rFonts w:ascii="Arial" w:eastAsia="Calibri" w:hAnsi="Arial" w:cs="Arial"/>
                <w:lang w:val="en-US"/>
              </w:rPr>
              <w:t xml:space="preserve"> implications are described in the context of the One Health approach, taking into account both exposure via consumption of contaminated seafood and recreational water </w:t>
            </w:r>
            <w:r w:rsidR="00EE13E6" w:rsidRPr="003A34F5">
              <w:rPr>
                <w:rFonts w:ascii="Arial" w:eastAsia="Calibri" w:hAnsi="Arial" w:cs="Arial"/>
                <w:lang w:val="en-US"/>
              </w:rPr>
              <w:t>activities.</w:t>
            </w:r>
            <w:r w:rsidR="004B5381">
              <w:rPr>
                <w:rFonts w:ascii="Arial" w:eastAsia="Calibri" w:hAnsi="Arial" w:cs="Arial"/>
                <w:lang w:val="en-US"/>
              </w:rPr>
              <w:t xml:space="preserve"> The article also</w:t>
            </w:r>
            <w:r w:rsidR="00EE13E6" w:rsidRPr="00EE13E6">
              <w:rPr>
                <w:rFonts w:ascii="Arial" w:eastAsia="Calibri" w:hAnsi="Arial" w:cs="Arial"/>
                <w:lang w:val="en-US"/>
              </w:rPr>
              <w:t xml:space="preserve"> describes the techniques used to monitor and detect resistant organisms in marine systems, starting from simple culture-based methods and extending to advanced molecular tools such as quantitative PCR and metagenomics.</w:t>
            </w:r>
            <w:r w:rsidR="00F0094E">
              <w:t xml:space="preserve"> </w:t>
            </w:r>
            <w:r w:rsidR="00F0094E" w:rsidRPr="00F0094E">
              <w:rPr>
                <w:rFonts w:ascii="Arial" w:eastAsia="Calibri" w:hAnsi="Arial" w:cs="Arial"/>
                <w:lang w:val="en-US"/>
              </w:rPr>
              <w:t>The overall evidence shows that marine and coastal environments have become significant reservoirs of antibiotic resistance, driven by human activities and intensified by climate and pollution pressures.</w:t>
            </w:r>
            <w:r w:rsidR="004B5381">
              <w:rPr>
                <w:rFonts w:ascii="Arial" w:eastAsia="Calibri" w:hAnsi="Arial" w:cs="Arial"/>
                <w:lang w:val="en-US"/>
              </w:rPr>
              <w:t xml:space="preserve"> The</w:t>
            </w:r>
            <w:r w:rsidR="000575DD">
              <w:rPr>
                <w:rFonts w:ascii="Arial" w:eastAsia="Calibri" w:hAnsi="Arial" w:cs="Arial"/>
                <w:lang w:val="en-US"/>
              </w:rPr>
              <w:t xml:space="preserve"> article highlights</w:t>
            </w:r>
            <w:r w:rsidRPr="003A34F5">
              <w:rPr>
                <w:rFonts w:ascii="Arial" w:eastAsia="Calibri" w:hAnsi="Arial" w:cs="Arial"/>
                <w:lang w:val="en-US"/>
              </w:rPr>
              <w:t xml:space="preserve"> the intricate relationships between anthropogenic pressures, microbial evolution and antibiotic resistance in the marine environment and emphasizes the pressing</w:t>
            </w:r>
            <w:r w:rsidR="000575DD">
              <w:t xml:space="preserve"> </w:t>
            </w:r>
            <w:r w:rsidR="000575DD" w:rsidRPr="000575DD">
              <w:rPr>
                <w:rFonts w:ascii="Arial" w:eastAsia="Calibri" w:hAnsi="Arial" w:cs="Arial"/>
                <w:lang w:val="en-US"/>
              </w:rPr>
              <w:t xml:space="preserve"> need for coordinated global mitigation measures</w:t>
            </w:r>
            <w:r w:rsidRPr="003A34F5">
              <w:rPr>
                <w:rFonts w:ascii="Arial" w:eastAsia="Calibri" w:hAnsi="Arial" w:cs="Arial"/>
                <w:lang w:val="en-US"/>
              </w:rPr>
              <w:t xml:space="preserve"> </w:t>
            </w:r>
          </w:p>
          <w:p w14:paraId="29085CF4" w14:textId="40E2B7E9" w:rsidR="00CD0ACB" w:rsidRDefault="00CD0ACB" w:rsidP="00ED16E9">
            <w:pPr>
              <w:jc w:val="both"/>
              <w:rPr>
                <w:rFonts w:ascii="Arial" w:eastAsia="Calibri" w:hAnsi="Arial" w:cs="Arial"/>
                <w:lang w:val="en-US"/>
              </w:rPr>
            </w:pPr>
          </w:p>
          <w:p w14:paraId="54B6331F" w14:textId="6CD3FF0E" w:rsidR="00CD0ACB" w:rsidRDefault="00CD0ACB" w:rsidP="00ED16E9">
            <w:pPr>
              <w:jc w:val="both"/>
              <w:rPr>
                <w:rFonts w:ascii="Arial" w:eastAsia="Calibri" w:hAnsi="Arial" w:cs="Arial"/>
                <w:lang w:val="en-US"/>
              </w:rPr>
            </w:pPr>
          </w:p>
          <w:p w14:paraId="1BECB147" w14:textId="6259A790" w:rsidR="00CD0ACB" w:rsidRDefault="00CD0ACB" w:rsidP="00ED16E9">
            <w:pPr>
              <w:jc w:val="both"/>
              <w:rPr>
                <w:rFonts w:ascii="Arial" w:eastAsia="Calibri" w:hAnsi="Arial" w:cs="Arial"/>
                <w:lang w:val="en-US"/>
              </w:rPr>
            </w:pPr>
          </w:p>
          <w:p w14:paraId="247E370D" w14:textId="1912AB3E" w:rsidR="00CD0ACB" w:rsidRDefault="00CD0ACB" w:rsidP="00ED16E9">
            <w:pPr>
              <w:jc w:val="both"/>
              <w:rPr>
                <w:rFonts w:ascii="Arial" w:eastAsia="Calibri" w:hAnsi="Arial" w:cs="Arial"/>
                <w:lang w:val="en-US"/>
              </w:rPr>
            </w:pPr>
          </w:p>
          <w:p w14:paraId="7C4021DE" w14:textId="43603244" w:rsidR="00CD0ACB" w:rsidRDefault="00CD0ACB" w:rsidP="00ED16E9">
            <w:pPr>
              <w:jc w:val="both"/>
              <w:rPr>
                <w:rFonts w:ascii="Arial" w:eastAsia="Calibri" w:hAnsi="Arial" w:cs="Arial"/>
                <w:lang w:val="en-US"/>
              </w:rPr>
            </w:pPr>
          </w:p>
          <w:p w14:paraId="5C7534D7" w14:textId="77777777" w:rsidR="00CD0ACB" w:rsidRDefault="00CD0ACB" w:rsidP="00ED16E9">
            <w:pPr>
              <w:jc w:val="both"/>
              <w:rPr>
                <w:rFonts w:ascii="Arial" w:eastAsia="Calibri" w:hAnsi="Arial" w:cs="Arial"/>
                <w:lang w:val="en-US"/>
              </w:rPr>
            </w:pPr>
          </w:p>
          <w:p w14:paraId="535669FF" w14:textId="77777777" w:rsidR="002C777E" w:rsidRPr="003A34F5" w:rsidRDefault="002C777E" w:rsidP="00ED16E9">
            <w:pPr>
              <w:jc w:val="both"/>
              <w:rPr>
                <w:rFonts w:ascii="Arial" w:eastAsia="Calibri" w:hAnsi="Arial" w:cs="Arial"/>
                <w:b/>
                <w:lang w:val="en-US"/>
              </w:rPr>
            </w:pPr>
            <w:r w:rsidRPr="003A34F5">
              <w:rPr>
                <w:rFonts w:ascii="Arial" w:eastAsia="Calibri" w:hAnsi="Arial" w:cs="Arial"/>
                <w:b/>
                <w:lang w:val="en-US"/>
              </w:rPr>
              <w:lastRenderedPageBreak/>
              <w:t>Graphical Abstract</w:t>
            </w:r>
          </w:p>
          <w:p w14:paraId="352D4C08" w14:textId="77777777" w:rsidR="002C777E" w:rsidRPr="003A34F5" w:rsidRDefault="002C777E" w:rsidP="00ED16E9">
            <w:pPr>
              <w:jc w:val="both"/>
              <w:rPr>
                <w:rFonts w:ascii="Arial" w:eastAsia="Calibri" w:hAnsi="Arial" w:cs="Arial"/>
                <w:b/>
                <w:lang w:val="en-US"/>
              </w:rPr>
            </w:pPr>
          </w:p>
          <w:p w14:paraId="25CA9411" w14:textId="77777777" w:rsidR="002C777E" w:rsidRDefault="002C777E" w:rsidP="00ED16E9">
            <w:pPr>
              <w:jc w:val="both"/>
              <w:rPr>
                <w:rFonts w:ascii="Arial" w:eastAsia="Calibri" w:hAnsi="Arial" w:cs="Arial"/>
                <w:lang w:val="en-US"/>
              </w:rPr>
            </w:pPr>
          </w:p>
          <w:p w14:paraId="679F1CC0" w14:textId="77777777" w:rsidR="002C777E" w:rsidRDefault="002C777E" w:rsidP="00ED16E9">
            <w:pPr>
              <w:jc w:val="center"/>
              <w:rPr>
                <w:rFonts w:ascii="Arial" w:eastAsia="Calibri" w:hAnsi="Arial" w:cs="Arial"/>
                <w:lang w:val="en-US"/>
              </w:rPr>
            </w:pPr>
            <w:r>
              <w:rPr>
                <w:rFonts w:ascii="Arial" w:eastAsia="Calibri" w:hAnsi="Arial" w:cs="Arial"/>
                <w:noProof/>
                <w:lang w:eastAsia="en-IN"/>
              </w:rPr>
              <w:drawing>
                <wp:inline distT="0" distB="0" distL="0" distR="0" wp14:anchorId="6EBB4C4C" wp14:editId="226AEF8E">
                  <wp:extent cx="3736975" cy="24872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6975" cy="2487295"/>
                          </a:xfrm>
                          <a:prstGeom prst="rect">
                            <a:avLst/>
                          </a:prstGeom>
                          <a:noFill/>
                        </pic:spPr>
                      </pic:pic>
                    </a:graphicData>
                  </a:graphic>
                </wp:inline>
              </w:drawing>
            </w:r>
          </w:p>
          <w:p w14:paraId="5E1EE404" w14:textId="77777777" w:rsidR="002C777E" w:rsidRPr="00124EA4" w:rsidRDefault="002C777E" w:rsidP="00ED16E9">
            <w:pPr>
              <w:jc w:val="both"/>
              <w:rPr>
                <w:rFonts w:ascii="Arial" w:eastAsia="Calibri" w:hAnsi="Arial" w:cs="Arial"/>
                <w:lang w:val="en-US"/>
              </w:rPr>
            </w:pPr>
          </w:p>
        </w:tc>
      </w:tr>
    </w:tbl>
    <w:p w14:paraId="3EA4B9CA" w14:textId="77777777" w:rsidR="00473D71" w:rsidRDefault="00473D71" w:rsidP="00473D71">
      <w:pPr>
        <w:spacing w:line="480" w:lineRule="auto"/>
        <w:rPr>
          <w:rFonts w:ascii="Arial" w:hAnsi="Arial" w:cs="Arial"/>
          <w:b/>
          <w:sz w:val="24"/>
          <w:szCs w:val="24"/>
        </w:rPr>
      </w:pPr>
    </w:p>
    <w:p w14:paraId="50784FA7" w14:textId="5A3D26AF" w:rsidR="00E012AE" w:rsidRPr="00473D71" w:rsidRDefault="000E1E29" w:rsidP="00473D71">
      <w:pPr>
        <w:spacing w:line="480" w:lineRule="auto"/>
        <w:rPr>
          <w:rFonts w:ascii="Arial" w:hAnsi="Arial" w:cs="Arial"/>
          <w:b/>
          <w:sz w:val="20"/>
          <w:szCs w:val="20"/>
        </w:rPr>
      </w:pPr>
      <w:r>
        <w:rPr>
          <w:rFonts w:ascii="Arial" w:hAnsi="Arial" w:cs="Arial"/>
          <w:b/>
          <w:sz w:val="20"/>
          <w:szCs w:val="20"/>
        </w:rPr>
        <w:t xml:space="preserve">Key words- </w:t>
      </w:r>
      <w:r w:rsidR="00473D71" w:rsidRPr="000E1E29">
        <w:rPr>
          <w:rFonts w:ascii="Arial" w:hAnsi="Arial" w:cs="Arial"/>
          <w:sz w:val="20"/>
          <w:szCs w:val="20"/>
        </w:rPr>
        <w:t>Antibiotic Resistance,</w:t>
      </w:r>
      <w:r w:rsidR="003E1D56" w:rsidRPr="003E1D56">
        <w:t xml:space="preserve"> </w:t>
      </w:r>
      <w:r w:rsidR="003E1D56" w:rsidRPr="003E1D56">
        <w:rPr>
          <w:rFonts w:ascii="Arial" w:hAnsi="Arial" w:cs="Arial"/>
          <w:sz w:val="20"/>
          <w:szCs w:val="20"/>
        </w:rPr>
        <w:t>Antibiotic Resistance Genes (ARGs</w:t>
      </w:r>
      <w:r w:rsidR="003E1D56">
        <w:rPr>
          <w:rFonts w:ascii="Arial" w:hAnsi="Arial" w:cs="Arial"/>
          <w:sz w:val="20"/>
          <w:szCs w:val="20"/>
        </w:rPr>
        <w:t>)</w:t>
      </w:r>
      <w:r w:rsidR="003E1D56" w:rsidRPr="003E1D56">
        <w:t xml:space="preserve"> </w:t>
      </w:r>
      <w:r w:rsidR="003E1D56" w:rsidRPr="003E1D56">
        <w:rPr>
          <w:rFonts w:ascii="Arial" w:hAnsi="Arial" w:cs="Arial"/>
          <w:sz w:val="20"/>
          <w:szCs w:val="20"/>
        </w:rPr>
        <w:t>Horizontal Gene Transfer (HGT)</w:t>
      </w:r>
      <w:r w:rsidR="0018225B" w:rsidRPr="003E1D56">
        <w:rPr>
          <w:rFonts w:ascii="Arial" w:hAnsi="Arial" w:cs="Arial"/>
          <w:sz w:val="20"/>
          <w:szCs w:val="20"/>
        </w:rPr>
        <w:t xml:space="preserve">, </w:t>
      </w:r>
      <w:r w:rsidR="0018225B" w:rsidRPr="000E1E29">
        <w:rPr>
          <w:rFonts w:ascii="Arial" w:hAnsi="Arial" w:cs="Arial"/>
          <w:sz w:val="20"/>
          <w:szCs w:val="20"/>
        </w:rPr>
        <w:t>Marine</w:t>
      </w:r>
      <w:r w:rsidR="00473D71" w:rsidRPr="000E1E29">
        <w:rPr>
          <w:rFonts w:ascii="Arial" w:hAnsi="Arial" w:cs="Arial"/>
          <w:sz w:val="20"/>
          <w:szCs w:val="20"/>
        </w:rPr>
        <w:t xml:space="preserve"> Environment,</w:t>
      </w:r>
      <w:r w:rsidR="003E1D56" w:rsidRPr="003E1D56">
        <w:t xml:space="preserve"> </w:t>
      </w:r>
      <w:r w:rsidR="003E1D56" w:rsidRPr="003E1D56">
        <w:rPr>
          <w:rFonts w:ascii="Arial" w:hAnsi="Arial" w:cs="Arial"/>
          <w:sz w:val="20"/>
          <w:szCs w:val="20"/>
        </w:rPr>
        <w:t>Microplastics, One Health</w:t>
      </w:r>
      <w:r w:rsidR="0018225B">
        <w:rPr>
          <w:rFonts w:ascii="Arial" w:hAnsi="Arial" w:cs="Arial"/>
          <w:sz w:val="20"/>
          <w:szCs w:val="20"/>
        </w:rPr>
        <w:t>,</w:t>
      </w:r>
      <w:r w:rsidR="003E1D56" w:rsidRPr="003E1D56">
        <w:t xml:space="preserve"> </w:t>
      </w:r>
      <w:r w:rsidR="003E1D56" w:rsidRPr="003E1D56">
        <w:rPr>
          <w:rFonts w:ascii="Arial" w:hAnsi="Arial" w:cs="Arial"/>
          <w:sz w:val="20"/>
          <w:szCs w:val="20"/>
        </w:rPr>
        <w:t>Wastewater</w:t>
      </w:r>
    </w:p>
    <w:p w14:paraId="32948845" w14:textId="77777777" w:rsidR="00965773" w:rsidRPr="00E012AE" w:rsidRDefault="00E012AE" w:rsidP="00E012AE">
      <w:pPr>
        <w:spacing w:line="480" w:lineRule="auto"/>
        <w:rPr>
          <w:rFonts w:ascii="Arial" w:hAnsi="Arial" w:cs="Arial"/>
          <w:b/>
          <w:sz w:val="24"/>
          <w:szCs w:val="24"/>
        </w:rPr>
      </w:pPr>
      <w:r w:rsidRPr="00E012AE">
        <w:rPr>
          <w:rFonts w:ascii="Arial" w:hAnsi="Arial" w:cs="Arial"/>
          <w:b/>
          <w:sz w:val="24"/>
          <w:szCs w:val="24"/>
        </w:rPr>
        <w:t>1. INTRODUCTION</w:t>
      </w:r>
    </w:p>
    <w:p w14:paraId="073C874D" w14:textId="54A5860A" w:rsidR="002C777E" w:rsidRPr="002C777E" w:rsidRDefault="002C777E" w:rsidP="002C777E">
      <w:pPr>
        <w:spacing w:line="480" w:lineRule="auto"/>
        <w:jc w:val="both"/>
        <w:rPr>
          <w:rFonts w:ascii="Times New Roman" w:hAnsi="Times New Roman" w:cs="Times New Roman"/>
          <w:sz w:val="24"/>
          <w:szCs w:val="24"/>
        </w:rPr>
      </w:pPr>
      <w:r w:rsidRPr="002C777E">
        <w:rPr>
          <w:rFonts w:ascii="Times New Roman" w:hAnsi="Times New Roman" w:cs="Times New Roman"/>
          <w:sz w:val="24"/>
          <w:szCs w:val="24"/>
        </w:rPr>
        <w:t>The advent of antibiotics during the 20</w:t>
      </w:r>
      <w:r w:rsidR="00311185" w:rsidRPr="003E1D56">
        <w:rPr>
          <w:rFonts w:ascii="Times New Roman" w:hAnsi="Times New Roman" w:cs="Times New Roman"/>
          <w:sz w:val="24"/>
          <w:szCs w:val="24"/>
          <w:vertAlign w:val="superscript"/>
        </w:rPr>
        <w:t>th</w:t>
      </w:r>
      <w:r w:rsidR="00311185">
        <w:rPr>
          <w:rFonts w:ascii="Times New Roman" w:hAnsi="Times New Roman" w:cs="Times New Roman"/>
          <w:sz w:val="24"/>
          <w:szCs w:val="24"/>
        </w:rPr>
        <w:t xml:space="preserve"> </w:t>
      </w:r>
      <w:r w:rsidRPr="002C777E">
        <w:rPr>
          <w:rFonts w:ascii="Times New Roman" w:hAnsi="Times New Roman" w:cs="Times New Roman"/>
          <w:sz w:val="24"/>
          <w:szCs w:val="24"/>
        </w:rPr>
        <w:t>century revolutionized medicine; however, their indiscriminate use in many settings has led to a global rise in antibiotic resistance among pathogenic bacteria, the latter of which represents one out of 10 threats to humanity according to the World Health Organization. Although much of the early attention was given to clinical settings, the environmental aspect of antibiotic resistance is now recognized as a major factor contributing to the crisis (Velaz</w:t>
      </w:r>
      <w:r w:rsidR="00E9747F">
        <w:rPr>
          <w:rFonts w:ascii="Times New Roman" w:hAnsi="Times New Roman" w:cs="Times New Roman"/>
          <w:sz w:val="24"/>
          <w:szCs w:val="24"/>
        </w:rPr>
        <w:t>quez-Meza et al., 2022). It</w:t>
      </w:r>
      <w:r w:rsidRPr="002C777E">
        <w:rPr>
          <w:rFonts w:ascii="Times New Roman" w:hAnsi="Times New Roman" w:cs="Times New Roman"/>
          <w:sz w:val="24"/>
          <w:szCs w:val="24"/>
        </w:rPr>
        <w:t xml:space="preserve"> can</w:t>
      </w:r>
      <w:r w:rsidR="00E9747F">
        <w:rPr>
          <w:rFonts w:ascii="Times New Roman" w:hAnsi="Times New Roman" w:cs="Times New Roman"/>
          <w:sz w:val="24"/>
          <w:szCs w:val="24"/>
        </w:rPr>
        <w:t xml:space="preserve"> also</w:t>
      </w:r>
      <w:r w:rsidRPr="002C777E">
        <w:rPr>
          <w:rFonts w:ascii="Times New Roman" w:hAnsi="Times New Roman" w:cs="Times New Roman"/>
          <w:sz w:val="24"/>
          <w:szCs w:val="24"/>
        </w:rPr>
        <w:t xml:space="preserve"> make a significant contribution to the pool of antibiotic resistance genes (ARGs) and their host, the antibiotic‐resistant bacteria </w:t>
      </w:r>
      <w:r w:rsidR="00E9747F">
        <w:rPr>
          <w:rFonts w:ascii="Times New Roman" w:hAnsi="Times New Roman" w:cs="Times New Roman"/>
          <w:sz w:val="24"/>
          <w:szCs w:val="24"/>
        </w:rPr>
        <w:t>(ARB), as well as transfer points</w:t>
      </w:r>
      <w:r w:rsidRPr="002C777E">
        <w:rPr>
          <w:rFonts w:ascii="Times New Roman" w:hAnsi="Times New Roman" w:cs="Times New Roman"/>
          <w:sz w:val="24"/>
          <w:szCs w:val="24"/>
        </w:rPr>
        <w:t xml:space="preserve"> for ARGs exchange in marine and coastal ecosystems (Hatosy &amp; Martiny, 2015; Hagan, 2024). These environments, when </w:t>
      </w:r>
      <w:r w:rsidRPr="002C777E">
        <w:rPr>
          <w:rFonts w:ascii="Times New Roman" w:hAnsi="Times New Roman" w:cs="Times New Roman"/>
          <w:sz w:val="24"/>
          <w:szCs w:val="24"/>
        </w:rPr>
        <w:lastRenderedPageBreak/>
        <w:t>polluted by anthropogenic contaminants such as antibiotic residues, resistant bacteria and their genes, provide selective forces that facilitate the evolution of resistance and its spreading on a worldwide scale (Amarasiri et al., 2020).</w:t>
      </w:r>
    </w:p>
    <w:p w14:paraId="23C0AEBA" w14:textId="75F16ABC" w:rsidR="002C777E" w:rsidRPr="002C777E" w:rsidRDefault="00E9747F" w:rsidP="00E9747F">
      <w:pPr>
        <w:spacing w:line="480" w:lineRule="auto"/>
        <w:ind w:firstLine="720"/>
        <w:jc w:val="both"/>
        <w:rPr>
          <w:rFonts w:ascii="Times New Roman" w:hAnsi="Times New Roman" w:cs="Times New Roman"/>
          <w:sz w:val="24"/>
          <w:szCs w:val="24"/>
        </w:rPr>
      </w:pPr>
      <w:r w:rsidRPr="00E9747F">
        <w:rPr>
          <w:rFonts w:ascii="Times New Roman" w:hAnsi="Times New Roman" w:cs="Times New Roman"/>
          <w:sz w:val="24"/>
          <w:szCs w:val="24"/>
        </w:rPr>
        <w:t>This review examines the grow</w:t>
      </w:r>
      <w:r>
        <w:rPr>
          <w:rFonts w:ascii="Times New Roman" w:hAnsi="Times New Roman" w:cs="Times New Roman"/>
          <w:sz w:val="24"/>
          <w:szCs w:val="24"/>
        </w:rPr>
        <w:t xml:space="preserve">th </w:t>
      </w:r>
      <w:r w:rsidR="002C777E" w:rsidRPr="002C777E">
        <w:rPr>
          <w:rFonts w:ascii="Times New Roman" w:hAnsi="Times New Roman" w:cs="Times New Roman"/>
          <w:sz w:val="24"/>
          <w:szCs w:val="24"/>
        </w:rPr>
        <w:t>of research on understanding the dimensions and scale of this problem. Previous studies have confirmed that ARGs were widely distributed in different marine components, ranging from coastal sediments to the deep ocean (Chen et al., 2013). Remarkably, even pristine</w:t>
      </w:r>
      <w:r w:rsidR="00157E6E">
        <w:rPr>
          <w:rFonts w:ascii="Times New Roman" w:hAnsi="Times New Roman" w:cs="Times New Roman"/>
          <w:sz w:val="24"/>
          <w:szCs w:val="24"/>
        </w:rPr>
        <w:t>,</w:t>
      </w:r>
      <w:r w:rsidR="002C777E" w:rsidRPr="002C777E">
        <w:rPr>
          <w:rFonts w:ascii="Times New Roman" w:hAnsi="Times New Roman" w:cs="Times New Roman"/>
          <w:sz w:val="24"/>
          <w:szCs w:val="24"/>
        </w:rPr>
        <w:t xml:space="preserve"> </w:t>
      </w:r>
      <w:r w:rsidR="00157E6E">
        <w:rPr>
          <w:rFonts w:ascii="Times New Roman" w:hAnsi="Times New Roman" w:cs="Times New Roman"/>
          <w:sz w:val="24"/>
          <w:szCs w:val="24"/>
        </w:rPr>
        <w:t>low-</w:t>
      </w:r>
      <w:r w:rsidR="002C777E" w:rsidRPr="002C777E">
        <w:rPr>
          <w:rFonts w:ascii="Times New Roman" w:hAnsi="Times New Roman" w:cs="Times New Roman"/>
          <w:sz w:val="24"/>
          <w:szCs w:val="24"/>
        </w:rPr>
        <w:t>impacted marine ecosystems have been shown to contain very distant homologs of resistance genes indicating a complex evolutionary history (Fonseca et al., 2018). Further work has clarified the intricate ways in which re</w:t>
      </w:r>
      <w:r w:rsidR="00E012AE">
        <w:rPr>
          <w:rFonts w:ascii="Times New Roman" w:hAnsi="Times New Roman" w:cs="Times New Roman"/>
          <w:sz w:val="24"/>
          <w:szCs w:val="24"/>
        </w:rPr>
        <w:t>sistance disseminates.</w:t>
      </w:r>
      <w:r w:rsidR="008B4A67" w:rsidRPr="008B4A67">
        <w:t xml:space="preserve"> </w:t>
      </w:r>
      <w:r w:rsidR="008B4A67" w:rsidRPr="008B4A67">
        <w:rPr>
          <w:rFonts w:ascii="Times New Roman" w:hAnsi="Times New Roman" w:cs="Times New Roman"/>
          <w:sz w:val="24"/>
          <w:szCs w:val="24"/>
        </w:rPr>
        <w:t>Wastewater treatment plants (WWTPs) play an important role in sanitation. However, they have also been identified as major point sources that release large amounts of mucilage into waterways</w:t>
      </w:r>
      <w:r w:rsidR="005327F2">
        <w:rPr>
          <w:rFonts w:ascii="Times New Roman" w:hAnsi="Times New Roman" w:cs="Times New Roman"/>
          <w:sz w:val="24"/>
          <w:szCs w:val="24"/>
        </w:rPr>
        <w:t>.</w:t>
      </w:r>
      <w:r w:rsidR="008B4A67" w:rsidRPr="008B4A67">
        <w:rPr>
          <w:rFonts w:ascii="Times New Roman" w:hAnsi="Times New Roman" w:cs="Times New Roman"/>
          <w:sz w:val="24"/>
          <w:szCs w:val="24"/>
        </w:rPr>
        <w:t xml:space="preserve"> </w:t>
      </w:r>
      <w:r w:rsidR="002C777E" w:rsidRPr="002C777E">
        <w:rPr>
          <w:rFonts w:ascii="Times New Roman" w:hAnsi="Times New Roman" w:cs="Times New Roman"/>
          <w:sz w:val="24"/>
          <w:szCs w:val="24"/>
        </w:rPr>
        <w:t>Also, the growing intensity of aquaculture, which in many instances depends on antibiotic use for disease prophylaxis (Adenaya et al, 2023; Schar et al., 2021), is a major driver of local resistance burdens in coastal areas. The pervasive presence of microplastics in marine organisms has opened a new vector, thus offering surfaces to microbial colonization and forming floating mobile hotspots for horizontal transfer of genes (Liu et al., 2025).</w:t>
      </w:r>
    </w:p>
    <w:p w14:paraId="06CD3585" w14:textId="55C9827E" w:rsidR="00D5344F" w:rsidRDefault="002C777E" w:rsidP="00977F51">
      <w:pPr>
        <w:spacing w:line="480" w:lineRule="auto"/>
        <w:ind w:firstLine="720"/>
        <w:jc w:val="both"/>
        <w:rPr>
          <w:rFonts w:ascii="Times New Roman" w:hAnsi="Times New Roman" w:cs="Times New Roman"/>
          <w:sz w:val="24"/>
          <w:szCs w:val="24"/>
        </w:rPr>
      </w:pPr>
      <w:r w:rsidRPr="002C777E">
        <w:rPr>
          <w:rFonts w:ascii="Times New Roman" w:hAnsi="Times New Roman" w:cs="Times New Roman"/>
          <w:sz w:val="24"/>
          <w:szCs w:val="24"/>
        </w:rPr>
        <w:t>The present article is an attempt to amalgamate the vast scientific knowledge gained in last one and half decades concerning the antibiotic resistance of marine and coastal environment.</w:t>
      </w:r>
      <w:r w:rsidR="00450186" w:rsidRPr="00450186">
        <w:t xml:space="preserve"> </w:t>
      </w:r>
      <w:r w:rsidR="00450186" w:rsidRPr="00450186">
        <w:rPr>
          <w:rFonts w:ascii="Times New Roman" w:hAnsi="Times New Roman" w:cs="Times New Roman"/>
          <w:sz w:val="24"/>
          <w:szCs w:val="24"/>
        </w:rPr>
        <w:t>The review describes the distribution and diversity of antibiotic-resistance genes (ARGs). It also explains the major factors that drive their spread and support the survival of resistant bacteria in the environment. The public health implications of these genes are also highlighted.</w:t>
      </w:r>
      <w:r w:rsidR="00450186" w:rsidRPr="00450186">
        <w:t xml:space="preserve"> </w:t>
      </w:r>
      <w:r w:rsidR="00450186" w:rsidRPr="00450186">
        <w:rPr>
          <w:rFonts w:ascii="Times New Roman" w:hAnsi="Times New Roman" w:cs="Times New Roman"/>
          <w:sz w:val="24"/>
          <w:szCs w:val="24"/>
        </w:rPr>
        <w:t>Research has grown from simple discoveries to more detailed studies. These studies help us understand antibiotic resistance in the oceans. They also show the main problems and the steps needed to control this “silent pandemic.”</w:t>
      </w:r>
    </w:p>
    <w:p w14:paraId="7176129A" w14:textId="098AEDA9" w:rsidR="00965773" w:rsidRPr="00E012AE" w:rsidRDefault="002C777E" w:rsidP="00E012AE">
      <w:pPr>
        <w:spacing w:line="480" w:lineRule="auto"/>
        <w:jc w:val="both"/>
        <w:rPr>
          <w:rFonts w:ascii="Arial" w:hAnsi="Arial" w:cs="Arial"/>
          <w:b/>
          <w:sz w:val="24"/>
          <w:szCs w:val="24"/>
        </w:rPr>
      </w:pPr>
      <w:r w:rsidRPr="002C777E">
        <w:rPr>
          <w:rFonts w:ascii="Times New Roman" w:hAnsi="Times New Roman" w:cs="Times New Roman"/>
          <w:sz w:val="24"/>
          <w:szCs w:val="24"/>
        </w:rPr>
        <w:lastRenderedPageBreak/>
        <w:t>.</w:t>
      </w:r>
      <w:r w:rsidR="00E012AE" w:rsidRPr="00E012AE">
        <w:rPr>
          <w:rFonts w:ascii="Arial" w:hAnsi="Arial" w:cs="Arial"/>
          <w:b/>
          <w:sz w:val="24"/>
          <w:szCs w:val="24"/>
        </w:rPr>
        <w:t>2. METHODOLOGY</w:t>
      </w:r>
    </w:p>
    <w:p w14:paraId="59B493A8" w14:textId="6AF67179" w:rsidR="00E012AE" w:rsidRPr="00E012AE" w:rsidRDefault="00E012AE" w:rsidP="00286387">
      <w:pPr>
        <w:spacing w:line="480" w:lineRule="auto"/>
        <w:ind w:firstLine="720"/>
        <w:jc w:val="both"/>
        <w:rPr>
          <w:rFonts w:ascii="Times New Roman" w:hAnsi="Times New Roman" w:cs="Times New Roman"/>
          <w:sz w:val="24"/>
          <w:szCs w:val="24"/>
        </w:rPr>
      </w:pPr>
      <w:r w:rsidRPr="00E012AE">
        <w:rPr>
          <w:rFonts w:ascii="Times New Roman" w:hAnsi="Times New Roman" w:cs="Times New Roman"/>
          <w:sz w:val="24"/>
          <w:szCs w:val="24"/>
        </w:rPr>
        <w:t>In a manner befitting for an interdisciplinary journal, this review offers an integrated account of the available set of published scientific literature on antibiotic resistance in marine and coastal systems between January 2010 to October 2025. An electronic literature search was performed to obtain pertinent peer-reviewed articles, reviews and reports. The methodology was intended to be systematic and replicable, providing an objective and complete snapshot of where research in the field currently stands. The literature search was conducted in key electronic databases including PubMed, Scopus, Web of Science and Google Scholar. The search was intended to include all studies related to antibiotics resistance in the marine environment. The search strategy was performed using combination of appropriate keywords and MeSH (Medical Subject Headings) terms. Only original research (peer-reviewed), review articles, and reports of well-known scientific societies were taken into account. Conference abstracts, non</w:t>
      </w:r>
      <w:r w:rsidR="001F3735">
        <w:rPr>
          <w:rFonts w:ascii="Times New Roman" w:hAnsi="Times New Roman" w:cs="Times New Roman"/>
          <w:sz w:val="24"/>
          <w:szCs w:val="24"/>
        </w:rPr>
        <w:t>-</w:t>
      </w:r>
      <w:r w:rsidRPr="00E012AE">
        <w:rPr>
          <w:rFonts w:ascii="Times New Roman" w:hAnsi="Times New Roman" w:cs="Times New Roman"/>
          <w:sz w:val="24"/>
          <w:szCs w:val="24"/>
        </w:rPr>
        <w:t>systematic reviews or editorials, and non–peer-reviewed studies were not considered. The literature review was restricted to articles in English. We limited the search to studies published between January 1, 2010, and October 31, 2025, for an emphasis on the most recent decade and a half of research. Articles had to be related specifically with the subject of antibiotic resistance in marine or coast environments. Studies restricted to freshwater, terrestrial or clinical environments in the absence of any specific connection with the marine habitat were not included, but comparative studies from freshwater systems contributed important background and reference (Zhang et al., 2018; Wang et al., 2020).</w:t>
      </w:r>
    </w:p>
    <w:p w14:paraId="7F917BA7" w14:textId="77777777" w:rsidR="00E012AE" w:rsidRDefault="00E012AE" w:rsidP="00E012AE">
      <w:pPr>
        <w:spacing w:line="480" w:lineRule="auto"/>
        <w:ind w:firstLine="720"/>
        <w:jc w:val="both"/>
        <w:rPr>
          <w:rFonts w:ascii="Times New Roman" w:hAnsi="Times New Roman" w:cs="Times New Roman"/>
          <w:sz w:val="24"/>
          <w:szCs w:val="24"/>
        </w:rPr>
      </w:pPr>
      <w:r w:rsidRPr="00E012AE">
        <w:rPr>
          <w:rFonts w:ascii="Times New Roman" w:hAnsi="Times New Roman" w:cs="Times New Roman"/>
          <w:sz w:val="24"/>
          <w:szCs w:val="24"/>
        </w:rPr>
        <w:t xml:space="preserve">The information in the chosen studies were entered into data extraction form and sequentially categorized by theme. The geographical location of each study and nature of marine environment (e.g., sediment, water column, biota) in which antibiotic resistance was investigated were extracted along with the described types of sources for AR, resistance </w:t>
      </w:r>
      <w:r w:rsidRPr="00E012AE">
        <w:rPr>
          <w:rFonts w:ascii="Times New Roman" w:hAnsi="Times New Roman" w:cs="Times New Roman"/>
          <w:sz w:val="24"/>
          <w:szCs w:val="24"/>
        </w:rPr>
        <w:lastRenderedPageBreak/>
        <w:t>genes and bacteria identified, methodologies employed (e.g., qPCR, metagenomics), and main findings. The information abstracted was further summarized and organized in the following sections such as resistance sources, modes of transfer, environmental factors driving ARGs, health-associated factors, monitoring techniques. The synthesis sought to determine dominant trends, gaps in knowledge and areas open to scientific consensus.</w:t>
      </w:r>
    </w:p>
    <w:p w14:paraId="0B41BDE4" w14:textId="7EA75B2E" w:rsidR="00965773" w:rsidRDefault="00E012AE" w:rsidP="00E012AE">
      <w:pPr>
        <w:spacing w:line="480" w:lineRule="auto"/>
        <w:jc w:val="both"/>
        <w:rPr>
          <w:rFonts w:ascii="Arial" w:hAnsi="Arial" w:cs="Arial"/>
          <w:b/>
          <w:sz w:val="24"/>
          <w:szCs w:val="24"/>
        </w:rPr>
      </w:pPr>
      <w:r>
        <w:rPr>
          <w:rFonts w:ascii="Arial" w:hAnsi="Arial" w:cs="Arial"/>
          <w:b/>
          <w:sz w:val="24"/>
          <w:szCs w:val="24"/>
        </w:rPr>
        <w:t xml:space="preserve">3. </w:t>
      </w:r>
      <w:r w:rsidR="00965773" w:rsidRPr="00E012AE">
        <w:rPr>
          <w:rFonts w:ascii="Arial" w:hAnsi="Arial" w:cs="Arial"/>
          <w:b/>
          <w:sz w:val="24"/>
          <w:szCs w:val="24"/>
        </w:rPr>
        <w:t>PRINCIPAL SOURCES OF ANTIBIOTIC RE</w:t>
      </w:r>
      <w:r w:rsidRPr="00E012AE">
        <w:rPr>
          <w:rFonts w:ascii="Arial" w:hAnsi="Arial" w:cs="Arial"/>
          <w:b/>
          <w:sz w:val="24"/>
          <w:szCs w:val="24"/>
        </w:rPr>
        <w:t>SISTANCE IN MARIN</w:t>
      </w:r>
      <w:r w:rsidR="001F3735">
        <w:rPr>
          <w:rFonts w:ascii="Arial" w:hAnsi="Arial" w:cs="Arial"/>
          <w:b/>
          <w:sz w:val="24"/>
          <w:szCs w:val="24"/>
        </w:rPr>
        <w:t>E</w:t>
      </w:r>
      <w:r w:rsidRPr="00E012AE">
        <w:rPr>
          <w:rFonts w:ascii="Arial" w:hAnsi="Arial" w:cs="Arial"/>
          <w:b/>
          <w:sz w:val="24"/>
          <w:szCs w:val="24"/>
        </w:rPr>
        <w:t xml:space="preserve"> </w:t>
      </w:r>
      <w:r w:rsidR="00965773" w:rsidRPr="00E012AE">
        <w:rPr>
          <w:rFonts w:ascii="Arial" w:hAnsi="Arial" w:cs="Arial"/>
          <w:b/>
          <w:sz w:val="24"/>
          <w:szCs w:val="24"/>
        </w:rPr>
        <w:t>ENVIRONMENTS</w:t>
      </w:r>
    </w:p>
    <w:p w14:paraId="741E8FFE" w14:textId="7F35A8F7" w:rsidR="00CA5749" w:rsidRPr="00E012AE" w:rsidRDefault="00E012AE" w:rsidP="00CA5749">
      <w:pPr>
        <w:spacing w:line="480" w:lineRule="auto"/>
        <w:ind w:firstLine="720"/>
        <w:jc w:val="both"/>
        <w:rPr>
          <w:rFonts w:ascii="Times New Roman" w:hAnsi="Times New Roman" w:cs="Times New Roman"/>
          <w:sz w:val="24"/>
          <w:szCs w:val="24"/>
        </w:rPr>
      </w:pPr>
      <w:r w:rsidRPr="00E012AE">
        <w:rPr>
          <w:rFonts w:ascii="Times New Roman" w:hAnsi="Times New Roman" w:cs="Times New Roman"/>
          <w:sz w:val="24"/>
          <w:szCs w:val="24"/>
        </w:rPr>
        <w:t>The presence of ARGs in marine and coastal ecosystems is not a natural phenomenon, but rather the result of huma</w:t>
      </w:r>
      <w:r w:rsidR="00450186">
        <w:rPr>
          <w:rFonts w:ascii="Times New Roman" w:hAnsi="Times New Roman" w:cs="Times New Roman"/>
          <w:sz w:val="24"/>
          <w:szCs w:val="24"/>
        </w:rPr>
        <w:t xml:space="preserve">n activities. There are </w:t>
      </w:r>
      <w:r w:rsidRPr="00E012AE">
        <w:rPr>
          <w:rFonts w:ascii="Times New Roman" w:hAnsi="Times New Roman" w:cs="Times New Roman"/>
          <w:sz w:val="24"/>
          <w:szCs w:val="24"/>
        </w:rPr>
        <w:t xml:space="preserve"> several major mechanisms for the introduction of antibiotic residues, ARB, and ARGs into marine ecosystems causing a web of contamination. An insight into these sources is essential to identifying a</w:t>
      </w:r>
      <w:r w:rsidR="00CA5749">
        <w:rPr>
          <w:rFonts w:ascii="Times New Roman" w:hAnsi="Times New Roman" w:cs="Times New Roman"/>
          <w:sz w:val="24"/>
          <w:szCs w:val="24"/>
        </w:rPr>
        <w:t>ppropriate mitigation measures</w:t>
      </w:r>
      <w:r w:rsidR="00F54167">
        <w:rPr>
          <w:rFonts w:ascii="Times New Roman" w:hAnsi="Times New Roman" w:cs="Times New Roman"/>
          <w:sz w:val="24"/>
          <w:szCs w:val="24"/>
        </w:rPr>
        <w:t xml:space="preserve"> (Table-1).</w:t>
      </w:r>
    </w:p>
    <w:p w14:paraId="5386FE01" w14:textId="77777777" w:rsidR="00E012AE" w:rsidRPr="008957CB" w:rsidRDefault="008957CB" w:rsidP="00E012AE">
      <w:pPr>
        <w:spacing w:line="480" w:lineRule="auto"/>
        <w:jc w:val="both"/>
        <w:rPr>
          <w:rFonts w:ascii="Arial" w:hAnsi="Arial" w:cs="Arial"/>
          <w:b/>
          <w:sz w:val="24"/>
          <w:szCs w:val="24"/>
        </w:rPr>
      </w:pPr>
      <w:r w:rsidRPr="008957CB">
        <w:rPr>
          <w:rFonts w:ascii="Arial" w:hAnsi="Arial" w:cs="Arial"/>
          <w:b/>
          <w:sz w:val="24"/>
          <w:szCs w:val="24"/>
        </w:rPr>
        <w:t>3</w:t>
      </w:r>
      <w:r w:rsidR="00E012AE" w:rsidRPr="008957CB">
        <w:rPr>
          <w:rFonts w:ascii="Arial" w:hAnsi="Arial" w:cs="Arial"/>
          <w:b/>
          <w:sz w:val="24"/>
          <w:szCs w:val="24"/>
        </w:rPr>
        <w:t>.1. Wastewater Treatment Plants (WWTPs)</w:t>
      </w:r>
    </w:p>
    <w:p w14:paraId="7CCB5A94" w14:textId="0D5E3DB9" w:rsidR="00E012AE" w:rsidRPr="00E012AE" w:rsidRDefault="00E012AE" w:rsidP="008957CB">
      <w:pPr>
        <w:spacing w:line="480" w:lineRule="auto"/>
        <w:ind w:firstLine="720"/>
        <w:jc w:val="both"/>
        <w:rPr>
          <w:rFonts w:ascii="Times New Roman" w:hAnsi="Times New Roman" w:cs="Times New Roman"/>
          <w:sz w:val="24"/>
          <w:szCs w:val="24"/>
        </w:rPr>
      </w:pPr>
      <w:r w:rsidRPr="00E012AE">
        <w:rPr>
          <w:rFonts w:ascii="Times New Roman" w:hAnsi="Times New Roman" w:cs="Times New Roman"/>
          <w:sz w:val="24"/>
          <w:szCs w:val="24"/>
        </w:rPr>
        <w:t xml:space="preserve">Wastewater treatment plants (WWTPs) have been consistently identified as the most important point sources for the release of ARGs and ARB to aquatic environments (Su et al., 2020; La Rosa et al., 2025). These installations treat sewage water from cities and industries (both of them loaded with antibiotics that people and animals consume) in addition to supporting a dense mixture of diverse bacteria, some of it pathogenic. Despite the fact that WWTPs are designed to degrade organic matter (OM) and remove pathogens, conditions within these facilities can facilitate the selection and transfer of ARGs, especially in activated sludge systems. The high bacterial density and the existence of these sub-inhibitory concentrations of antibiotics (and other selective agents such as heavy metals), further support HGT, resulting in the dissemination of resistance (Brown et al., 2024). </w:t>
      </w:r>
      <w:r w:rsidR="00450186" w:rsidRPr="00E012AE">
        <w:rPr>
          <w:rFonts w:ascii="Times New Roman" w:hAnsi="Times New Roman" w:cs="Times New Roman"/>
          <w:sz w:val="24"/>
          <w:szCs w:val="24"/>
        </w:rPr>
        <w:t>Thereafter</w:t>
      </w:r>
      <w:r w:rsidRPr="00E012AE">
        <w:rPr>
          <w:rFonts w:ascii="Times New Roman" w:hAnsi="Times New Roman" w:cs="Times New Roman"/>
          <w:sz w:val="24"/>
          <w:szCs w:val="24"/>
        </w:rPr>
        <w:t>,</w:t>
      </w:r>
      <w:r w:rsidR="007C5F19">
        <w:rPr>
          <w:rFonts w:ascii="Times New Roman" w:hAnsi="Times New Roman" w:cs="Times New Roman"/>
          <w:sz w:val="24"/>
          <w:szCs w:val="24"/>
        </w:rPr>
        <w:t xml:space="preserve"> treated effluent is also a hots</w:t>
      </w:r>
      <w:r w:rsidRPr="00E012AE">
        <w:rPr>
          <w:rFonts w:ascii="Times New Roman" w:hAnsi="Times New Roman" w:cs="Times New Roman"/>
          <w:sz w:val="24"/>
          <w:szCs w:val="24"/>
        </w:rPr>
        <w:t>pot of ARGs and MDR bacteria in addition to conveying directly  </w:t>
      </w:r>
      <w:r w:rsidRPr="00E012AE">
        <w:rPr>
          <w:rFonts w:ascii="Times New Roman" w:hAnsi="Times New Roman" w:cs="Times New Roman"/>
          <w:sz w:val="24"/>
          <w:szCs w:val="24"/>
        </w:rPr>
        <w:lastRenderedPageBreak/>
        <w:t>into rivers, estuaries and coastal waters (Garcia-Torné et al., 2025; Lee et al., 2023). Clear</w:t>
      </w:r>
      <w:r w:rsidR="00450186">
        <w:rPr>
          <w:rFonts w:ascii="Times New Roman" w:hAnsi="Times New Roman" w:cs="Times New Roman"/>
          <w:sz w:val="24"/>
          <w:szCs w:val="24"/>
        </w:rPr>
        <w:t>ly, studies have shown a decreasing</w:t>
      </w:r>
      <w:r w:rsidRPr="00E012AE">
        <w:rPr>
          <w:rFonts w:ascii="Times New Roman" w:hAnsi="Times New Roman" w:cs="Times New Roman"/>
          <w:sz w:val="24"/>
          <w:szCs w:val="24"/>
        </w:rPr>
        <w:t xml:space="preserve"> gradient of ARGs from the potential source points, namely WWTP outfalls characterized by high concentration, to the further distances in receiving marine environment (Su et al., 2020). Identification of new genes in wastewater treatment plants and associated coastal ecosystems has also shown the importance of WWTP as a reservoir o</w:t>
      </w:r>
      <w:r w:rsidR="006B7C4B">
        <w:rPr>
          <w:rFonts w:ascii="Times New Roman" w:hAnsi="Times New Roman" w:cs="Times New Roman"/>
          <w:sz w:val="24"/>
          <w:szCs w:val="24"/>
        </w:rPr>
        <w:t>f</w:t>
      </w:r>
      <w:r w:rsidRPr="00E012AE">
        <w:rPr>
          <w:rFonts w:ascii="Times New Roman" w:hAnsi="Times New Roman" w:cs="Times New Roman"/>
          <w:sz w:val="24"/>
          <w:szCs w:val="24"/>
        </w:rPr>
        <w:t xml:space="preserve"> resistance </w:t>
      </w:r>
      <w:r>
        <w:rPr>
          <w:rFonts w:ascii="Times New Roman" w:hAnsi="Times New Roman" w:cs="Times New Roman"/>
          <w:sz w:val="24"/>
          <w:szCs w:val="24"/>
        </w:rPr>
        <w:t>factors (Uyaguari et al, 2011).</w:t>
      </w:r>
    </w:p>
    <w:p w14:paraId="205EE763" w14:textId="77777777" w:rsidR="00E012AE" w:rsidRPr="008957CB" w:rsidRDefault="008957CB" w:rsidP="00E012AE">
      <w:pPr>
        <w:spacing w:line="480" w:lineRule="auto"/>
        <w:jc w:val="both"/>
        <w:rPr>
          <w:rFonts w:ascii="Arial" w:hAnsi="Arial" w:cs="Arial"/>
          <w:b/>
          <w:sz w:val="24"/>
          <w:szCs w:val="24"/>
        </w:rPr>
      </w:pPr>
      <w:r w:rsidRPr="008957CB">
        <w:rPr>
          <w:rFonts w:ascii="Arial" w:hAnsi="Arial" w:cs="Arial"/>
          <w:b/>
          <w:sz w:val="24"/>
          <w:szCs w:val="24"/>
        </w:rPr>
        <w:t>3</w:t>
      </w:r>
      <w:r w:rsidR="00E012AE" w:rsidRPr="008957CB">
        <w:rPr>
          <w:rFonts w:ascii="Arial" w:hAnsi="Arial" w:cs="Arial"/>
          <w:b/>
          <w:sz w:val="24"/>
          <w:szCs w:val="24"/>
        </w:rPr>
        <w:t>.2. Aquaculture and Agriculture</w:t>
      </w:r>
    </w:p>
    <w:p w14:paraId="73DF921C" w14:textId="5618C0DF" w:rsidR="00E012AE" w:rsidRPr="00E012AE" w:rsidRDefault="00E012AE" w:rsidP="008957CB">
      <w:pPr>
        <w:spacing w:line="480" w:lineRule="auto"/>
        <w:ind w:firstLine="720"/>
        <w:jc w:val="both"/>
        <w:rPr>
          <w:rFonts w:ascii="Times New Roman" w:hAnsi="Times New Roman" w:cs="Times New Roman"/>
          <w:sz w:val="24"/>
          <w:szCs w:val="24"/>
        </w:rPr>
      </w:pPr>
      <w:r w:rsidRPr="00E012AE">
        <w:rPr>
          <w:rFonts w:ascii="Times New Roman" w:hAnsi="Times New Roman" w:cs="Times New Roman"/>
          <w:sz w:val="24"/>
          <w:szCs w:val="24"/>
        </w:rPr>
        <w:t>Another significant source of antibiotic resistance in coastal areas is the aquaculture industry, which has grown quickly to satisfy worldwide demand for fish. Antibiotics are widely used in aquaculture for therapeutic and prophylactic purposes as a measure to control bacterial diseases under crowded conditions of fish and shrimp (Mohammed et al., 2013). A large amount of the antibiotics u</w:t>
      </w:r>
      <w:r w:rsidR="006359D1">
        <w:rPr>
          <w:rFonts w:ascii="Times New Roman" w:hAnsi="Times New Roman" w:cs="Times New Roman"/>
          <w:sz w:val="24"/>
          <w:szCs w:val="24"/>
        </w:rPr>
        <w:t>sed in food animal production are</w:t>
      </w:r>
      <w:r w:rsidRPr="00E012AE">
        <w:rPr>
          <w:rFonts w:ascii="Times New Roman" w:hAnsi="Times New Roman" w:cs="Times New Roman"/>
          <w:sz w:val="24"/>
          <w:szCs w:val="24"/>
        </w:rPr>
        <w:t xml:space="preserve"> only partially metabolized and escapes into surrounding water and sediments along with resistant bacteria extruded from farmed animals (Adenaya, et al 2023; Jang et al., 2018). This direct transfer of selective agents and resistant bacteria is known to modulate the local marine resistome. For example, research on salmon farming has clearly demonstrated a direct association between the use of antibiotics in farms and a rise in ARGs within local marine sediments and the bacterial communities present (Chávez et al., 2022; Schar et al., 2021). It has also been reported that aquaculture can </w:t>
      </w:r>
      <w:r w:rsidR="005327F2" w:rsidRPr="00E012AE">
        <w:rPr>
          <w:rFonts w:ascii="Times New Roman" w:hAnsi="Times New Roman" w:cs="Times New Roman"/>
          <w:sz w:val="24"/>
          <w:szCs w:val="24"/>
        </w:rPr>
        <w:t>favour</w:t>
      </w:r>
      <w:r w:rsidRPr="00E012AE">
        <w:rPr>
          <w:rFonts w:ascii="Times New Roman" w:hAnsi="Times New Roman" w:cs="Times New Roman"/>
          <w:sz w:val="24"/>
          <w:szCs w:val="24"/>
        </w:rPr>
        <w:t xml:space="preserve"> the occurrence and dissemination of antibiotic-resistant bacteria as </w:t>
      </w:r>
      <w:r w:rsidRPr="007C5F19">
        <w:rPr>
          <w:rFonts w:ascii="Times New Roman" w:hAnsi="Times New Roman" w:cs="Times New Roman"/>
          <w:i/>
          <w:sz w:val="24"/>
          <w:szCs w:val="24"/>
        </w:rPr>
        <w:t xml:space="preserve">Enterococci </w:t>
      </w:r>
      <w:r w:rsidRPr="00E012AE">
        <w:rPr>
          <w:rFonts w:ascii="Times New Roman" w:hAnsi="Times New Roman" w:cs="Times New Roman"/>
          <w:sz w:val="24"/>
          <w:szCs w:val="24"/>
        </w:rPr>
        <w:t>in marine sediment (Di Cesare et al., 2013).</w:t>
      </w:r>
    </w:p>
    <w:p w14:paraId="62F53182" w14:textId="5062A92D" w:rsidR="00E012AE" w:rsidRDefault="00E012AE" w:rsidP="008957CB">
      <w:pPr>
        <w:spacing w:line="480" w:lineRule="auto"/>
        <w:ind w:firstLine="720"/>
        <w:jc w:val="both"/>
        <w:rPr>
          <w:rFonts w:ascii="Times New Roman" w:hAnsi="Times New Roman" w:cs="Times New Roman"/>
          <w:sz w:val="24"/>
          <w:szCs w:val="24"/>
        </w:rPr>
      </w:pPr>
      <w:r w:rsidRPr="00E012AE">
        <w:rPr>
          <w:rFonts w:ascii="Times New Roman" w:hAnsi="Times New Roman" w:cs="Times New Roman"/>
          <w:sz w:val="24"/>
          <w:szCs w:val="24"/>
        </w:rPr>
        <w:t>Regional investigations have reported the worrisome trends in antimicrobial resistance of different aquaculture ecosystems. Antibiotic resistance has also  been found</w:t>
      </w:r>
      <w:r w:rsidR="00B02A75">
        <w:rPr>
          <w:rFonts w:ascii="Times New Roman" w:hAnsi="Times New Roman" w:cs="Times New Roman"/>
          <w:sz w:val="24"/>
          <w:szCs w:val="24"/>
        </w:rPr>
        <w:t xml:space="preserve"> to have </w:t>
      </w:r>
      <w:r w:rsidR="00B02A75" w:rsidRPr="00E012AE">
        <w:rPr>
          <w:rFonts w:ascii="Times New Roman" w:hAnsi="Times New Roman" w:cs="Times New Roman"/>
          <w:sz w:val="24"/>
          <w:szCs w:val="24"/>
        </w:rPr>
        <w:t>spread</w:t>
      </w:r>
      <w:r w:rsidRPr="00E012AE">
        <w:rPr>
          <w:rFonts w:ascii="Times New Roman" w:hAnsi="Times New Roman" w:cs="Times New Roman"/>
          <w:sz w:val="24"/>
          <w:szCs w:val="24"/>
        </w:rPr>
        <w:t xml:space="preserve"> in Asian aquaculture zones, such as in sea bass breeding areas (Lin et al., 2023) and mariculture ponds, where quinolone resistance genes are transmitted across species </w:t>
      </w:r>
      <w:r w:rsidRPr="00E012AE">
        <w:rPr>
          <w:rFonts w:ascii="Times New Roman" w:hAnsi="Times New Roman" w:cs="Times New Roman"/>
          <w:sz w:val="24"/>
          <w:szCs w:val="24"/>
        </w:rPr>
        <w:lastRenderedPageBreak/>
        <w:t>barriers and environments (He et al., 2025). The composition of bacterial communities and the abundance of sulfonamide resistance genes have also been affected by integrated multi-trophic aquaculture systems (Ying et al., 2018). Agricultural discharge is also a source of the antibiotic residues and resistant bacteria induced by livestock manure, discharging into rivers that are finally flown into coastal areas with enhanced levels of ARGs (Gao et al., 2012).</w:t>
      </w:r>
    </w:p>
    <w:p w14:paraId="73793372" w14:textId="77777777" w:rsidR="00AC0F5A" w:rsidRPr="00AC0F5A" w:rsidRDefault="00AC0F5A" w:rsidP="00AC0F5A">
      <w:pPr>
        <w:pStyle w:val="MdHeading1"/>
        <w:jc w:val="center"/>
        <w:rPr>
          <w:sz w:val="20"/>
          <w:szCs w:val="20"/>
        </w:rPr>
      </w:pPr>
      <w:r>
        <w:rPr>
          <w:sz w:val="20"/>
          <w:szCs w:val="20"/>
        </w:rPr>
        <w:t>Table</w:t>
      </w:r>
      <w:r w:rsidR="00461610">
        <w:rPr>
          <w:sz w:val="20"/>
          <w:szCs w:val="20"/>
        </w:rPr>
        <w:t xml:space="preserve"> 1</w:t>
      </w:r>
      <w:r>
        <w:rPr>
          <w:sz w:val="20"/>
          <w:szCs w:val="20"/>
        </w:rPr>
        <w:t xml:space="preserve">: </w:t>
      </w:r>
      <w:r w:rsidRPr="00AC0F5A">
        <w:rPr>
          <w:sz w:val="20"/>
          <w:szCs w:val="20"/>
        </w:rPr>
        <w:t xml:space="preserve"> Summary of Major Sources of Marine Antibiotic Resistance</w:t>
      </w:r>
    </w:p>
    <w:tbl>
      <w:tblPr>
        <w:tblW w:w="5000" w:type="pct"/>
        <w:tblInd w:w="110" w:type="dxa"/>
        <w:tblBorders>
          <w:insideH w:val="single" w:sz="2" w:space="0" w:color="E1E4E8"/>
          <w:insideV w:val="single" w:sz="2" w:space="0" w:color="F6F8FA"/>
        </w:tblBorders>
        <w:tblCellMar>
          <w:left w:w="10" w:type="dxa"/>
          <w:right w:w="10" w:type="dxa"/>
        </w:tblCellMar>
        <w:tblLook w:val="0000" w:firstRow="0" w:lastRow="0" w:firstColumn="0" w:lastColumn="0" w:noHBand="0" w:noVBand="0"/>
      </w:tblPr>
      <w:tblGrid>
        <w:gridCol w:w="1775"/>
        <w:gridCol w:w="2352"/>
        <w:gridCol w:w="2723"/>
        <w:gridCol w:w="2416"/>
      </w:tblGrid>
      <w:tr w:rsidR="00463F25" w:rsidRPr="00463F25" w14:paraId="55583D71" w14:textId="77777777" w:rsidTr="00ED16E9">
        <w:trPr>
          <w:cantSplit/>
          <w:trHeight w:val="720"/>
          <w:tblHeader/>
        </w:trPr>
        <w:tc>
          <w:tcPr>
            <w:tcW w:w="0" w:type="auto"/>
            <w:tcBorders>
              <w:top w:val="single" w:sz="4" w:space="0" w:color="auto"/>
              <w:bottom w:val="single" w:sz="4" w:space="0" w:color="auto"/>
            </w:tcBorders>
            <w:tcMar>
              <w:top w:w="100" w:type="dxa"/>
              <w:left w:w="120" w:type="dxa"/>
              <w:bottom w:w="100" w:type="dxa"/>
              <w:right w:w="120" w:type="dxa"/>
            </w:tcMar>
            <w:vAlign w:val="center"/>
          </w:tcPr>
          <w:p w14:paraId="0BB799D9" w14:textId="77777777" w:rsidR="00463F25" w:rsidRPr="00463F25" w:rsidRDefault="00463F25" w:rsidP="00463F25">
            <w:pPr>
              <w:spacing w:before="60" w:after="60" w:line="240" w:lineRule="auto"/>
              <w:rPr>
                <w:rFonts w:ascii="Times New Roman" w:eastAsia="Times New Roman" w:hAnsi="Times New Roman" w:cs="Times New Roman"/>
                <w:b/>
                <w:bCs/>
                <w:lang w:eastAsia="en-IN"/>
              </w:rPr>
            </w:pPr>
            <w:r w:rsidRPr="00463F25">
              <w:rPr>
                <w:rFonts w:ascii="Times New Roman" w:eastAsia="Times New Roman" w:hAnsi="Times New Roman" w:cs="Times New Roman"/>
                <w:b/>
                <w:bCs/>
                <w:lang w:eastAsia="en-IN"/>
              </w:rPr>
              <w:t>Source</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1D95D002" w14:textId="77777777" w:rsidR="00463F25" w:rsidRPr="00463F25" w:rsidRDefault="00463F25" w:rsidP="00463F25">
            <w:pPr>
              <w:spacing w:before="60" w:after="60" w:line="240" w:lineRule="auto"/>
              <w:rPr>
                <w:rFonts w:ascii="Times New Roman" w:eastAsia="Times New Roman" w:hAnsi="Times New Roman" w:cs="Times New Roman"/>
                <w:b/>
                <w:bCs/>
                <w:lang w:eastAsia="en-IN"/>
              </w:rPr>
            </w:pPr>
            <w:r w:rsidRPr="00463F25">
              <w:rPr>
                <w:rFonts w:ascii="Times New Roman" w:eastAsia="Times New Roman" w:hAnsi="Times New Roman" w:cs="Times New Roman"/>
                <w:b/>
                <w:bCs/>
                <w:lang w:eastAsia="en-IN"/>
              </w:rPr>
              <w:t>Primary Contribution</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17599CB8" w14:textId="77777777" w:rsidR="00463F25" w:rsidRPr="00463F25" w:rsidRDefault="00463F25" w:rsidP="00463F25">
            <w:pPr>
              <w:spacing w:before="60" w:after="60" w:line="240" w:lineRule="auto"/>
              <w:rPr>
                <w:rFonts w:ascii="Times New Roman" w:eastAsia="Times New Roman" w:hAnsi="Times New Roman" w:cs="Times New Roman"/>
                <w:b/>
                <w:bCs/>
                <w:lang w:eastAsia="en-IN"/>
              </w:rPr>
            </w:pPr>
            <w:r w:rsidRPr="00463F25">
              <w:rPr>
                <w:rFonts w:ascii="Times New Roman" w:eastAsia="Times New Roman" w:hAnsi="Times New Roman" w:cs="Times New Roman"/>
                <w:b/>
                <w:bCs/>
                <w:lang w:eastAsia="en-IN"/>
              </w:rPr>
              <w:t>Key Impact/Mechanism</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63DDF6F7" w14:textId="77777777" w:rsidR="00463F25" w:rsidRPr="00463F25" w:rsidRDefault="00463F25" w:rsidP="00463F25">
            <w:pPr>
              <w:spacing w:before="60" w:after="60" w:line="240" w:lineRule="auto"/>
              <w:rPr>
                <w:rFonts w:ascii="Times New Roman" w:eastAsia="Times New Roman" w:hAnsi="Times New Roman" w:cs="Times New Roman"/>
                <w:b/>
                <w:bCs/>
                <w:lang w:eastAsia="en-IN"/>
              </w:rPr>
            </w:pPr>
            <w:r w:rsidRPr="00463F25">
              <w:rPr>
                <w:rFonts w:ascii="Times New Roman" w:eastAsia="Times New Roman" w:hAnsi="Times New Roman" w:cs="Times New Roman"/>
                <w:b/>
                <w:bCs/>
                <w:lang w:eastAsia="en-IN"/>
              </w:rPr>
              <w:t>Significance</w:t>
            </w:r>
          </w:p>
        </w:tc>
      </w:tr>
      <w:tr w:rsidR="00463F25" w:rsidRPr="00463F25" w14:paraId="4D02DBD4" w14:textId="77777777" w:rsidTr="00ED16E9">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3539FE7B" w14:textId="77777777" w:rsidR="00463F25" w:rsidRPr="00463F25" w:rsidRDefault="00463F25" w:rsidP="00463F25">
            <w:pPr>
              <w:spacing w:before="40" w:after="40" w:line="240" w:lineRule="auto"/>
              <w:rPr>
                <w:rFonts w:ascii="Times New Roman" w:eastAsia="Times New Roman" w:hAnsi="Times New Roman" w:cs="Times New Roman"/>
                <w:sz w:val="20"/>
                <w:szCs w:val="20"/>
                <w:lang w:eastAsia="en-IN"/>
              </w:rPr>
            </w:pPr>
            <w:r w:rsidRPr="00463F25">
              <w:rPr>
                <w:rFonts w:ascii="Times New Roman" w:eastAsia="Times New Roman" w:hAnsi="Times New Roman" w:cs="Times New Roman"/>
                <w:b/>
                <w:bCs/>
                <w:sz w:val="20"/>
                <w:szCs w:val="20"/>
                <w:lang w:eastAsia="en-IN"/>
              </w:rPr>
              <w:t>Wastewater Plants (WWTPs)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CE473C7" w14:textId="77777777" w:rsidR="00463F25" w:rsidRPr="00463F25" w:rsidRDefault="00463F25" w:rsidP="00463F25">
            <w:pPr>
              <w:spacing w:before="40" w:after="40" w:line="240" w:lineRule="auto"/>
              <w:rPr>
                <w:rFonts w:ascii="Times New Roman" w:eastAsia="Times New Roman" w:hAnsi="Times New Roman" w:cs="Times New Roman"/>
                <w:sz w:val="20"/>
                <w:szCs w:val="20"/>
                <w:lang w:eastAsia="en-IN"/>
              </w:rPr>
            </w:pPr>
            <w:r w:rsidRPr="00463F25">
              <w:rPr>
                <w:rFonts w:ascii="Times New Roman" w:eastAsia="Times New Roman" w:hAnsi="Times New Roman" w:cs="Times New Roman"/>
                <w:sz w:val="20"/>
                <w:szCs w:val="20"/>
                <w:lang w:eastAsia="en-IN"/>
              </w:rPr>
              <w:t>High load of ARGs, ARB, and antibiotic residues.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33A4A86" w14:textId="77777777" w:rsidR="00463F25" w:rsidRPr="00463F25" w:rsidRDefault="00463F25" w:rsidP="00463F25">
            <w:pPr>
              <w:spacing w:before="40" w:after="40" w:line="240" w:lineRule="auto"/>
              <w:rPr>
                <w:rFonts w:ascii="Times New Roman" w:eastAsia="Times New Roman" w:hAnsi="Times New Roman" w:cs="Times New Roman"/>
                <w:sz w:val="20"/>
                <w:szCs w:val="20"/>
                <w:lang w:eastAsia="en-IN"/>
              </w:rPr>
            </w:pPr>
            <w:r w:rsidRPr="00463F25">
              <w:rPr>
                <w:rFonts w:ascii="Times New Roman" w:eastAsia="Times New Roman" w:hAnsi="Times New Roman" w:cs="Times New Roman"/>
                <w:sz w:val="20"/>
                <w:szCs w:val="20"/>
                <w:lang w:eastAsia="en-IN"/>
              </w:rPr>
              <w:t>Creates ideal conditions for HGT; direct discharge.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E49B71E" w14:textId="77777777" w:rsidR="00463F25" w:rsidRPr="00463F25" w:rsidRDefault="00463F25" w:rsidP="00463F25">
            <w:pPr>
              <w:spacing w:before="40" w:after="40" w:line="240" w:lineRule="auto"/>
              <w:rPr>
                <w:rFonts w:ascii="Times New Roman" w:eastAsia="Times New Roman" w:hAnsi="Times New Roman" w:cs="Times New Roman"/>
                <w:sz w:val="20"/>
                <w:szCs w:val="20"/>
                <w:lang w:eastAsia="en-IN"/>
              </w:rPr>
            </w:pPr>
            <w:r w:rsidRPr="00463F25">
              <w:rPr>
                <w:rFonts w:ascii="Times New Roman" w:eastAsia="Times New Roman" w:hAnsi="Times New Roman" w:cs="Times New Roman"/>
                <w:sz w:val="20"/>
                <w:szCs w:val="20"/>
                <w:lang w:eastAsia="en-IN"/>
              </w:rPr>
              <w:t>Considered the most significant point source of ARGs.</w:t>
            </w:r>
          </w:p>
        </w:tc>
      </w:tr>
      <w:tr w:rsidR="00463F25" w:rsidRPr="00463F25" w14:paraId="3285792C" w14:textId="77777777" w:rsidTr="00ED16E9">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01B83D5E" w14:textId="77777777" w:rsidR="00463F25" w:rsidRPr="00463F25" w:rsidRDefault="00463F25" w:rsidP="00463F25">
            <w:pPr>
              <w:spacing w:before="40" w:after="40" w:line="240" w:lineRule="auto"/>
              <w:rPr>
                <w:rFonts w:ascii="Times New Roman" w:eastAsia="Times New Roman" w:hAnsi="Times New Roman" w:cs="Times New Roman"/>
                <w:sz w:val="20"/>
                <w:szCs w:val="20"/>
                <w:lang w:eastAsia="en-IN"/>
              </w:rPr>
            </w:pPr>
            <w:r w:rsidRPr="00463F25">
              <w:rPr>
                <w:rFonts w:ascii="Times New Roman" w:eastAsia="Times New Roman" w:hAnsi="Times New Roman" w:cs="Times New Roman"/>
                <w:b/>
                <w:bCs/>
                <w:sz w:val="20"/>
                <w:szCs w:val="20"/>
                <w:lang w:eastAsia="en-IN"/>
              </w:rPr>
              <w:t>Aquaculture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4170177" w14:textId="77777777" w:rsidR="00463F25" w:rsidRPr="00463F25" w:rsidRDefault="00463F25" w:rsidP="00463F25">
            <w:pPr>
              <w:spacing w:before="40" w:after="40" w:line="240" w:lineRule="auto"/>
              <w:rPr>
                <w:rFonts w:ascii="Times New Roman" w:eastAsia="Times New Roman" w:hAnsi="Times New Roman" w:cs="Times New Roman"/>
                <w:sz w:val="20"/>
                <w:szCs w:val="20"/>
                <w:lang w:eastAsia="en-IN"/>
              </w:rPr>
            </w:pPr>
            <w:r w:rsidRPr="00463F25">
              <w:rPr>
                <w:rFonts w:ascii="Times New Roman" w:eastAsia="Times New Roman" w:hAnsi="Times New Roman" w:cs="Times New Roman"/>
                <w:sz w:val="20"/>
                <w:szCs w:val="20"/>
                <w:lang w:eastAsia="en-IN"/>
              </w:rPr>
              <w:t>Unmetabolized antibiotics and resistant bacteria.</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19FDC31" w14:textId="77777777" w:rsidR="00463F25" w:rsidRPr="00463F25" w:rsidRDefault="00463F25" w:rsidP="00463F25">
            <w:pPr>
              <w:spacing w:before="40" w:after="40" w:line="240" w:lineRule="auto"/>
              <w:rPr>
                <w:rFonts w:ascii="Times New Roman" w:eastAsia="Times New Roman" w:hAnsi="Times New Roman" w:cs="Times New Roman"/>
                <w:sz w:val="20"/>
                <w:szCs w:val="20"/>
                <w:lang w:eastAsia="en-IN"/>
              </w:rPr>
            </w:pPr>
            <w:r w:rsidRPr="00463F25">
              <w:rPr>
                <w:rFonts w:ascii="Times New Roman" w:eastAsia="Times New Roman" w:hAnsi="Times New Roman" w:cs="Times New Roman"/>
                <w:sz w:val="20"/>
                <w:szCs w:val="20"/>
                <w:lang w:eastAsia="en-IN"/>
              </w:rPr>
              <w:t>Alters local resistome in coastal zones.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CCF29DA" w14:textId="77777777" w:rsidR="00463F25" w:rsidRPr="00463F25" w:rsidRDefault="00463F25" w:rsidP="00463F25">
            <w:pPr>
              <w:spacing w:before="40" w:after="40" w:line="240" w:lineRule="auto"/>
              <w:rPr>
                <w:rFonts w:ascii="Times New Roman" w:eastAsia="Times New Roman" w:hAnsi="Times New Roman" w:cs="Times New Roman"/>
                <w:sz w:val="20"/>
                <w:szCs w:val="20"/>
                <w:lang w:eastAsia="en-IN"/>
              </w:rPr>
            </w:pPr>
            <w:r w:rsidRPr="00463F25">
              <w:rPr>
                <w:rFonts w:ascii="Times New Roman" w:eastAsia="Times New Roman" w:hAnsi="Times New Roman" w:cs="Times New Roman"/>
                <w:sz w:val="20"/>
                <w:szCs w:val="20"/>
                <w:lang w:eastAsia="en-IN"/>
              </w:rPr>
              <w:t>A major contributor in seafood production areas.</w:t>
            </w:r>
          </w:p>
        </w:tc>
      </w:tr>
      <w:tr w:rsidR="00463F25" w:rsidRPr="00463F25" w14:paraId="1F2D5DCF" w14:textId="77777777" w:rsidTr="00ED16E9">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458652E4" w14:textId="77777777" w:rsidR="00463F25" w:rsidRPr="00463F25" w:rsidRDefault="00463F25" w:rsidP="00463F25">
            <w:pPr>
              <w:spacing w:before="40" w:after="40" w:line="240" w:lineRule="auto"/>
              <w:rPr>
                <w:rFonts w:ascii="Times New Roman" w:eastAsia="Times New Roman" w:hAnsi="Times New Roman" w:cs="Times New Roman"/>
                <w:sz w:val="20"/>
                <w:szCs w:val="20"/>
                <w:lang w:eastAsia="en-IN"/>
              </w:rPr>
            </w:pPr>
            <w:r w:rsidRPr="00463F25">
              <w:rPr>
                <w:rFonts w:ascii="Times New Roman" w:eastAsia="Times New Roman" w:hAnsi="Times New Roman" w:cs="Times New Roman"/>
                <w:b/>
                <w:bCs/>
                <w:sz w:val="20"/>
                <w:szCs w:val="20"/>
                <w:lang w:eastAsia="en-IN"/>
              </w:rPr>
              <w:t>Agricultural Runoff</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D26E0B9" w14:textId="77777777" w:rsidR="00463F25" w:rsidRPr="00463F25" w:rsidRDefault="00463F25" w:rsidP="00463F25">
            <w:pPr>
              <w:spacing w:before="40" w:after="40" w:line="240" w:lineRule="auto"/>
              <w:rPr>
                <w:rFonts w:ascii="Times New Roman" w:eastAsia="Times New Roman" w:hAnsi="Times New Roman" w:cs="Times New Roman"/>
                <w:sz w:val="20"/>
                <w:szCs w:val="20"/>
                <w:lang w:eastAsia="en-IN"/>
              </w:rPr>
            </w:pPr>
            <w:r w:rsidRPr="00463F25">
              <w:rPr>
                <w:rFonts w:ascii="Times New Roman" w:eastAsia="Times New Roman" w:hAnsi="Times New Roman" w:cs="Times New Roman"/>
                <w:sz w:val="20"/>
                <w:szCs w:val="20"/>
                <w:lang w:eastAsia="en-IN"/>
              </w:rPr>
              <w:t>Antibiotic residues and resistant bacteria from manure.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78808A0" w14:textId="77777777" w:rsidR="00463F25" w:rsidRPr="00463F25" w:rsidRDefault="00463F25" w:rsidP="00463F25">
            <w:pPr>
              <w:spacing w:before="40" w:after="40" w:line="240" w:lineRule="auto"/>
              <w:rPr>
                <w:rFonts w:ascii="Times New Roman" w:eastAsia="Times New Roman" w:hAnsi="Times New Roman" w:cs="Times New Roman"/>
                <w:sz w:val="20"/>
                <w:szCs w:val="20"/>
                <w:lang w:eastAsia="en-IN"/>
              </w:rPr>
            </w:pPr>
            <w:r w:rsidRPr="00463F25">
              <w:rPr>
                <w:rFonts w:ascii="Times New Roman" w:eastAsia="Times New Roman" w:hAnsi="Times New Roman" w:cs="Times New Roman"/>
                <w:sz w:val="20"/>
                <w:szCs w:val="20"/>
                <w:lang w:eastAsia="en-IN"/>
              </w:rPr>
              <w:t>Contaminates rivers that flow into coastal waters.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8BFBFC9" w14:textId="77777777" w:rsidR="00463F25" w:rsidRPr="00463F25" w:rsidRDefault="00463F25" w:rsidP="00463F25">
            <w:pPr>
              <w:spacing w:before="40" w:after="40" w:line="240" w:lineRule="auto"/>
              <w:rPr>
                <w:rFonts w:ascii="Times New Roman" w:eastAsia="Times New Roman" w:hAnsi="Times New Roman" w:cs="Times New Roman"/>
                <w:sz w:val="20"/>
                <w:szCs w:val="20"/>
                <w:lang w:eastAsia="en-IN"/>
              </w:rPr>
            </w:pPr>
            <w:r w:rsidRPr="00463F25">
              <w:rPr>
                <w:rFonts w:ascii="Times New Roman" w:eastAsia="Times New Roman" w:hAnsi="Times New Roman" w:cs="Times New Roman"/>
                <w:sz w:val="20"/>
                <w:szCs w:val="20"/>
                <w:lang w:eastAsia="en-IN"/>
              </w:rPr>
              <w:t>A major non-point source of environmental contamination.</w:t>
            </w:r>
          </w:p>
        </w:tc>
      </w:tr>
      <w:tr w:rsidR="00463F25" w:rsidRPr="00463F25" w14:paraId="2FBA5B3F" w14:textId="77777777" w:rsidTr="00ED16E9">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2A74953C" w14:textId="77777777" w:rsidR="00463F25" w:rsidRPr="00463F25" w:rsidRDefault="00463F25" w:rsidP="00463F25">
            <w:pPr>
              <w:spacing w:before="40" w:after="40" w:line="240" w:lineRule="auto"/>
              <w:rPr>
                <w:rFonts w:ascii="Times New Roman" w:eastAsia="Times New Roman" w:hAnsi="Times New Roman" w:cs="Times New Roman"/>
                <w:sz w:val="20"/>
                <w:szCs w:val="20"/>
                <w:lang w:eastAsia="en-IN"/>
              </w:rPr>
            </w:pPr>
            <w:r w:rsidRPr="00463F25">
              <w:rPr>
                <w:rFonts w:ascii="Times New Roman" w:eastAsia="Times New Roman" w:hAnsi="Times New Roman" w:cs="Times New Roman"/>
                <w:b/>
                <w:bCs/>
                <w:sz w:val="20"/>
                <w:szCs w:val="20"/>
                <w:lang w:eastAsia="en-IN"/>
              </w:rPr>
              <w:t>Microplastics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58DD9C4" w14:textId="77777777" w:rsidR="00463F25" w:rsidRPr="00463F25" w:rsidRDefault="00463F25" w:rsidP="00463F25">
            <w:pPr>
              <w:spacing w:before="40" w:after="40" w:line="240" w:lineRule="auto"/>
              <w:rPr>
                <w:rFonts w:ascii="Times New Roman" w:eastAsia="Times New Roman" w:hAnsi="Times New Roman" w:cs="Times New Roman"/>
                <w:sz w:val="20"/>
                <w:szCs w:val="20"/>
                <w:lang w:eastAsia="en-IN"/>
              </w:rPr>
            </w:pPr>
            <w:r w:rsidRPr="00463F25">
              <w:rPr>
                <w:rFonts w:ascii="Times New Roman" w:eastAsia="Times New Roman" w:hAnsi="Times New Roman" w:cs="Times New Roman"/>
                <w:sz w:val="20"/>
                <w:szCs w:val="20"/>
                <w:lang w:eastAsia="en-IN"/>
              </w:rPr>
              <w:t>Provide surfaces for microbial colonization.</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DE80C2B" w14:textId="77777777" w:rsidR="00463F25" w:rsidRPr="00463F25" w:rsidRDefault="00463F25" w:rsidP="00463F25">
            <w:pPr>
              <w:spacing w:before="40" w:after="40" w:line="240" w:lineRule="auto"/>
              <w:rPr>
                <w:rFonts w:ascii="Times New Roman" w:eastAsia="Times New Roman" w:hAnsi="Times New Roman" w:cs="Times New Roman"/>
                <w:sz w:val="20"/>
                <w:szCs w:val="20"/>
                <w:lang w:eastAsia="en-IN"/>
              </w:rPr>
            </w:pPr>
            <w:r w:rsidRPr="00463F25">
              <w:rPr>
                <w:rFonts w:ascii="Times New Roman" w:eastAsia="Times New Roman" w:hAnsi="Times New Roman" w:cs="Times New Roman"/>
                <w:sz w:val="20"/>
                <w:szCs w:val="20"/>
                <w:lang w:eastAsia="en-IN"/>
              </w:rPr>
              <w:t>Act as vectors for ARB transport; hotspots for HGT.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A27B0E8" w14:textId="77777777" w:rsidR="00463F25" w:rsidRPr="00463F25" w:rsidRDefault="00463F25" w:rsidP="00463F25">
            <w:pPr>
              <w:spacing w:before="40" w:after="40" w:line="240" w:lineRule="auto"/>
              <w:rPr>
                <w:rFonts w:ascii="Times New Roman" w:eastAsia="Times New Roman" w:hAnsi="Times New Roman" w:cs="Times New Roman"/>
                <w:sz w:val="20"/>
                <w:szCs w:val="20"/>
                <w:lang w:eastAsia="en-IN"/>
              </w:rPr>
            </w:pPr>
            <w:r w:rsidRPr="00463F25">
              <w:rPr>
                <w:rFonts w:ascii="Times New Roman" w:eastAsia="Times New Roman" w:hAnsi="Times New Roman" w:cs="Times New Roman"/>
                <w:sz w:val="20"/>
                <w:szCs w:val="20"/>
                <w:lang w:eastAsia="en-IN"/>
              </w:rPr>
              <w:t>A novel and globally pervasive vector for ARG spread.</w:t>
            </w:r>
          </w:p>
        </w:tc>
      </w:tr>
    </w:tbl>
    <w:p w14:paraId="1B4B44C0" w14:textId="77777777" w:rsidR="00463F25" w:rsidRPr="00E012AE" w:rsidRDefault="00463F25" w:rsidP="00463F25">
      <w:pPr>
        <w:spacing w:line="480" w:lineRule="auto"/>
        <w:jc w:val="both"/>
        <w:rPr>
          <w:rFonts w:ascii="Times New Roman" w:hAnsi="Times New Roman" w:cs="Times New Roman"/>
          <w:sz w:val="24"/>
          <w:szCs w:val="24"/>
        </w:rPr>
      </w:pPr>
    </w:p>
    <w:p w14:paraId="31992A74" w14:textId="77777777" w:rsidR="00965773" w:rsidRDefault="00833B56" w:rsidP="00965773">
      <w:pPr>
        <w:spacing w:line="480" w:lineRule="auto"/>
        <w:rPr>
          <w:rFonts w:ascii="Arial" w:hAnsi="Arial" w:cs="Arial"/>
          <w:b/>
          <w:sz w:val="24"/>
          <w:szCs w:val="24"/>
        </w:rPr>
      </w:pPr>
      <w:r>
        <w:rPr>
          <w:rFonts w:ascii="Arial" w:hAnsi="Arial" w:cs="Arial"/>
          <w:b/>
          <w:sz w:val="24"/>
          <w:szCs w:val="24"/>
        </w:rPr>
        <w:t>3</w:t>
      </w:r>
      <w:r w:rsidR="00965773" w:rsidRPr="008957CB">
        <w:rPr>
          <w:rFonts w:ascii="Arial" w:hAnsi="Arial" w:cs="Arial"/>
          <w:b/>
          <w:sz w:val="24"/>
          <w:szCs w:val="24"/>
        </w:rPr>
        <w:t>.3. Microplastics as Vectors</w:t>
      </w:r>
    </w:p>
    <w:p w14:paraId="5BFE8087" w14:textId="224BD21D" w:rsidR="008957CB" w:rsidRDefault="008957CB" w:rsidP="008957CB">
      <w:pPr>
        <w:spacing w:line="480" w:lineRule="auto"/>
        <w:ind w:firstLine="720"/>
        <w:jc w:val="both"/>
        <w:rPr>
          <w:rFonts w:ascii="Times New Roman" w:hAnsi="Times New Roman" w:cs="Times New Roman"/>
          <w:sz w:val="24"/>
          <w:szCs w:val="24"/>
        </w:rPr>
      </w:pPr>
      <w:r w:rsidRPr="008957CB">
        <w:rPr>
          <w:rFonts w:ascii="Times New Roman" w:hAnsi="Times New Roman" w:cs="Times New Roman"/>
          <w:sz w:val="24"/>
          <w:szCs w:val="24"/>
        </w:rPr>
        <w:t xml:space="preserve">Widespread plastic pollution in the world's oceans has emerged as a new and powerful mechanism for the transport and spread of antibiotic resistance. Microplastics (MPs), fragments of plastic &lt;5 mm, present a durable surface for microbial attachment and facilitate the assembly of biofilm communities called "plastisphere" (Liu et al., 2025). These biofilms accumulate bacteria from </w:t>
      </w:r>
      <w:r w:rsidR="00D5344F" w:rsidRPr="008957CB">
        <w:rPr>
          <w:rFonts w:ascii="Times New Roman" w:hAnsi="Times New Roman" w:cs="Times New Roman"/>
          <w:sz w:val="24"/>
          <w:szCs w:val="24"/>
        </w:rPr>
        <w:t>the water</w:t>
      </w:r>
      <w:r w:rsidRPr="008957CB">
        <w:rPr>
          <w:rFonts w:ascii="Times New Roman" w:hAnsi="Times New Roman" w:cs="Times New Roman"/>
          <w:sz w:val="24"/>
          <w:szCs w:val="24"/>
        </w:rPr>
        <w:t> column, forming a hig</w:t>
      </w:r>
      <w:r w:rsidR="006359D1">
        <w:rPr>
          <w:rFonts w:ascii="Times New Roman" w:hAnsi="Times New Roman" w:cs="Times New Roman"/>
          <w:sz w:val="24"/>
          <w:szCs w:val="24"/>
        </w:rPr>
        <w:t>h-density micro</w:t>
      </w:r>
      <w:r w:rsidR="00833C6D">
        <w:rPr>
          <w:rFonts w:ascii="Times New Roman" w:hAnsi="Times New Roman" w:cs="Times New Roman"/>
          <w:sz w:val="24"/>
          <w:szCs w:val="24"/>
        </w:rPr>
        <w:t>-</w:t>
      </w:r>
      <w:r w:rsidR="006359D1">
        <w:rPr>
          <w:rFonts w:ascii="Times New Roman" w:hAnsi="Times New Roman" w:cs="Times New Roman"/>
          <w:sz w:val="24"/>
          <w:szCs w:val="24"/>
        </w:rPr>
        <w:t>environment</w:t>
      </w:r>
      <w:r w:rsidR="005327F2">
        <w:rPr>
          <w:rFonts w:ascii="Times New Roman" w:hAnsi="Times New Roman" w:cs="Times New Roman"/>
          <w:sz w:val="24"/>
          <w:szCs w:val="24"/>
        </w:rPr>
        <w:t xml:space="preserve"> that promotes horizontal gene transfer</w:t>
      </w:r>
      <w:r w:rsidR="00320DA4" w:rsidRPr="00320DA4">
        <w:t xml:space="preserve"> </w:t>
      </w:r>
      <w:r w:rsidR="00320DA4" w:rsidRPr="00320DA4">
        <w:rPr>
          <w:rFonts w:ascii="Times New Roman" w:hAnsi="Times New Roman" w:cs="Times New Roman"/>
          <w:sz w:val="24"/>
          <w:szCs w:val="24"/>
        </w:rPr>
        <w:t>(Figure-1).</w:t>
      </w:r>
      <w:r w:rsidRPr="008957CB">
        <w:rPr>
          <w:rFonts w:ascii="Times New Roman" w:hAnsi="Times New Roman" w:cs="Times New Roman"/>
          <w:sz w:val="24"/>
          <w:szCs w:val="24"/>
        </w:rPr>
        <w:t xml:space="preserve"> It has been proved that ARGs and potential pathogens are more enriched in the plastisphere than the surrounding seawater (Guo et al., 2020; Siddique et al., 2025). Due to their persistence and high buoyancy, </w:t>
      </w:r>
      <w:r w:rsidRPr="008957CB">
        <w:rPr>
          <w:rFonts w:ascii="Times New Roman" w:hAnsi="Times New Roman" w:cs="Times New Roman"/>
          <w:sz w:val="24"/>
          <w:szCs w:val="24"/>
        </w:rPr>
        <w:lastRenderedPageBreak/>
        <w:t>microplastics have the potential to travel long distances and act as rafts carrying ARB and ARGs across a range of marine environments spanning from coastal waters out to open oceanic gyres, thereby contributing to global dissemination of antibiotic resistance (Ahmad et al., 2024). Presence of MPs has been experimentally demonstrated to enhance ARB abundance in fresh water ecosystems (Cholewińska et al., 2025) and evidence also found that microplastics increase the prevalence of ARGs in mariculture sediments by enriching ho</w:t>
      </w:r>
      <w:r w:rsidR="005327F2">
        <w:rPr>
          <w:rFonts w:ascii="Times New Roman" w:hAnsi="Times New Roman" w:cs="Times New Roman"/>
          <w:sz w:val="24"/>
          <w:szCs w:val="24"/>
        </w:rPr>
        <w:t>st bacteria and facilitating horizontal gene transfer</w:t>
      </w:r>
      <w:r w:rsidR="00320DA4">
        <w:rPr>
          <w:rFonts w:ascii="Times New Roman" w:hAnsi="Times New Roman" w:cs="Times New Roman"/>
          <w:sz w:val="24"/>
          <w:szCs w:val="24"/>
        </w:rPr>
        <w:t xml:space="preserve"> (Liu et al., 2025). </w:t>
      </w:r>
    </w:p>
    <w:p w14:paraId="4D959375" w14:textId="77777777" w:rsidR="00965773" w:rsidRDefault="00833B56" w:rsidP="008957CB">
      <w:pPr>
        <w:spacing w:line="480" w:lineRule="auto"/>
        <w:jc w:val="both"/>
        <w:rPr>
          <w:rFonts w:ascii="Arial" w:hAnsi="Arial" w:cs="Arial"/>
          <w:b/>
          <w:sz w:val="24"/>
          <w:szCs w:val="24"/>
        </w:rPr>
      </w:pPr>
      <w:r>
        <w:rPr>
          <w:rFonts w:ascii="Arial" w:hAnsi="Arial" w:cs="Arial"/>
          <w:b/>
          <w:sz w:val="24"/>
          <w:szCs w:val="24"/>
        </w:rPr>
        <w:t>3</w:t>
      </w:r>
      <w:r w:rsidR="00965773" w:rsidRPr="008957CB">
        <w:rPr>
          <w:rFonts w:ascii="Arial" w:hAnsi="Arial" w:cs="Arial"/>
          <w:b/>
          <w:sz w:val="24"/>
          <w:szCs w:val="24"/>
        </w:rPr>
        <w:t>.4. Geographic and Habitat-Specific Patterns</w:t>
      </w:r>
    </w:p>
    <w:p w14:paraId="7E46D63A" w14:textId="7E14581B" w:rsidR="00567D10" w:rsidRPr="00965773" w:rsidRDefault="008957CB" w:rsidP="00CA5749">
      <w:pPr>
        <w:spacing w:line="480" w:lineRule="auto"/>
        <w:ind w:firstLine="720"/>
        <w:jc w:val="both"/>
        <w:rPr>
          <w:rFonts w:ascii="Times New Roman" w:hAnsi="Times New Roman" w:cs="Times New Roman"/>
          <w:sz w:val="24"/>
          <w:szCs w:val="24"/>
        </w:rPr>
      </w:pPr>
      <w:r w:rsidRPr="008957CB">
        <w:rPr>
          <w:rFonts w:ascii="Times New Roman" w:hAnsi="Times New Roman" w:cs="Times New Roman"/>
          <w:sz w:val="24"/>
          <w:szCs w:val="24"/>
        </w:rPr>
        <w:t>Antibiotic resistance in the marine environment</w:t>
      </w:r>
      <w:r w:rsidR="00387178" w:rsidRPr="00387178">
        <w:t xml:space="preserve"> </w:t>
      </w:r>
      <w:r w:rsidR="00387178" w:rsidRPr="00387178">
        <w:rPr>
          <w:rFonts w:ascii="Times New Roman" w:hAnsi="Times New Roman" w:cs="Times New Roman"/>
          <w:sz w:val="24"/>
          <w:szCs w:val="24"/>
        </w:rPr>
        <w:t>varies a</w:t>
      </w:r>
      <w:r w:rsidR="00387178">
        <w:rPr>
          <w:rFonts w:ascii="Times New Roman" w:hAnsi="Times New Roman" w:cs="Times New Roman"/>
          <w:sz w:val="24"/>
          <w:szCs w:val="24"/>
        </w:rPr>
        <w:t>cross regions and habitat types.</w:t>
      </w:r>
      <w:r w:rsidRPr="008957CB">
        <w:rPr>
          <w:rFonts w:ascii="Times New Roman" w:hAnsi="Times New Roman" w:cs="Times New Roman"/>
          <w:sz w:val="24"/>
          <w:szCs w:val="24"/>
        </w:rPr>
        <w:t xml:space="preserve"> In this context, the Mediterranean has gained attention as a hotspot of high prevalence for multiresistant bacteria, as evidenced with different studies (Gambino et al., 2022). Evidence from the coastal waters in different areas such as Kuwait’s coastal waters, where ARGs and fecal sterols (indicators of sewage pollution) coexist (Uddin et al., 2024), and sediments in the Bohai Sea, in which ARGs reflect certain unique eco-environmental responses (Wen et al., 2024), lends support to this phenomenon. Ecosystems as such mangrove systems have been identified as hotspots of ARG abundance (Lertcanawanichakul et al., 2025), whereas antibiotic resistome measurements indicated the presence of resistance hotspots from coastal beaches to sewage waters, with well-identified transects from urban microbiomes toward marine protected areas in urban metagenomic surveys (Fresia et al., 2019; Alonso-Vásquez et al., 2025).</w:t>
      </w:r>
    </w:p>
    <w:p w14:paraId="7E957065" w14:textId="77777777" w:rsidR="00965773" w:rsidRPr="00F61D54" w:rsidRDefault="00833B56" w:rsidP="00965773">
      <w:pPr>
        <w:spacing w:line="480" w:lineRule="auto"/>
        <w:rPr>
          <w:rFonts w:ascii="Arial" w:hAnsi="Arial" w:cs="Arial"/>
          <w:b/>
          <w:sz w:val="24"/>
          <w:szCs w:val="24"/>
        </w:rPr>
      </w:pPr>
      <w:r w:rsidRPr="00F61D54">
        <w:rPr>
          <w:rFonts w:ascii="Arial" w:hAnsi="Arial" w:cs="Arial"/>
          <w:b/>
          <w:sz w:val="24"/>
          <w:szCs w:val="24"/>
        </w:rPr>
        <w:t>4</w:t>
      </w:r>
      <w:r w:rsidR="00965773" w:rsidRPr="00F61D54">
        <w:rPr>
          <w:rFonts w:ascii="Arial" w:hAnsi="Arial" w:cs="Arial"/>
          <w:b/>
          <w:sz w:val="24"/>
          <w:szCs w:val="24"/>
        </w:rPr>
        <w:t>. MECHANISMS OF ANTIBIOTIC RESISTANCE GENE DISSEMINATION</w:t>
      </w:r>
    </w:p>
    <w:p w14:paraId="4605C050" w14:textId="6CA75FC2" w:rsidR="000A4A7F" w:rsidRPr="000A4A7F" w:rsidRDefault="000A4A7F" w:rsidP="000A4A7F">
      <w:pPr>
        <w:spacing w:line="480" w:lineRule="auto"/>
        <w:jc w:val="both"/>
        <w:rPr>
          <w:rFonts w:ascii="Times New Roman" w:hAnsi="Times New Roman" w:cs="Times New Roman"/>
          <w:sz w:val="24"/>
          <w:szCs w:val="24"/>
        </w:rPr>
      </w:pPr>
      <w:r w:rsidRPr="000A4A7F">
        <w:rPr>
          <w:rFonts w:ascii="Times New Roman" w:hAnsi="Times New Roman" w:cs="Times New Roman"/>
          <w:sz w:val="24"/>
          <w:szCs w:val="24"/>
        </w:rPr>
        <w:t xml:space="preserve">The acquisition of antibiotic resistance in marine ecosystems is not only linked to the influx of resistant bacteria and could be strongly affected by its ability to exchange genetic information among diverse microbial communities. ARGs circulate in different hosts </w:t>
      </w:r>
      <w:r w:rsidRPr="000A4A7F">
        <w:rPr>
          <w:rFonts w:ascii="Times New Roman" w:hAnsi="Times New Roman" w:cs="Times New Roman"/>
          <w:sz w:val="24"/>
          <w:szCs w:val="24"/>
        </w:rPr>
        <w:lastRenderedPageBreak/>
        <w:t xml:space="preserve">(species) through HGT, which is the major </w:t>
      </w:r>
      <w:r w:rsidR="002A2617">
        <w:rPr>
          <w:rFonts w:ascii="Times New Roman" w:hAnsi="Times New Roman" w:cs="Times New Roman"/>
          <w:sz w:val="24"/>
          <w:szCs w:val="24"/>
        </w:rPr>
        <w:t>pool</w:t>
      </w:r>
      <w:r w:rsidRPr="000A4A7F">
        <w:rPr>
          <w:rFonts w:ascii="Times New Roman" w:hAnsi="Times New Roman" w:cs="Times New Roman"/>
          <w:sz w:val="24"/>
          <w:szCs w:val="24"/>
        </w:rPr>
        <w:t xml:space="preserve"> of ARGs that co</w:t>
      </w:r>
      <w:r w:rsidR="0018225B">
        <w:rPr>
          <w:rFonts w:ascii="Times New Roman" w:hAnsi="Times New Roman" w:cs="Times New Roman"/>
          <w:sz w:val="24"/>
          <w:szCs w:val="24"/>
        </w:rPr>
        <w:t>-</w:t>
      </w:r>
      <w:r w:rsidRPr="000A4A7F">
        <w:rPr>
          <w:rFonts w:ascii="Times New Roman" w:hAnsi="Times New Roman" w:cs="Times New Roman"/>
          <w:sz w:val="24"/>
          <w:szCs w:val="24"/>
        </w:rPr>
        <w:t>transfer resistance beyond pathogen species and evolutionary liaisons. This impact is especially pronounced in the diverse microbial communities of the sea</w:t>
      </w:r>
      <w:r w:rsidR="00F54167">
        <w:rPr>
          <w:rFonts w:ascii="Times New Roman" w:hAnsi="Times New Roman" w:cs="Times New Roman"/>
          <w:sz w:val="24"/>
          <w:szCs w:val="24"/>
        </w:rPr>
        <w:t xml:space="preserve"> (Table-2).</w:t>
      </w:r>
    </w:p>
    <w:p w14:paraId="65AF8D02" w14:textId="77777777" w:rsidR="000A4A7F" w:rsidRPr="000A4A7F" w:rsidRDefault="000A4A7F" w:rsidP="000A4A7F">
      <w:pPr>
        <w:spacing w:line="480" w:lineRule="auto"/>
        <w:jc w:val="both"/>
        <w:rPr>
          <w:rFonts w:ascii="Arial" w:hAnsi="Arial" w:cs="Arial"/>
          <w:b/>
          <w:sz w:val="24"/>
          <w:szCs w:val="24"/>
        </w:rPr>
      </w:pPr>
      <w:r w:rsidRPr="00817B25">
        <w:rPr>
          <w:rFonts w:ascii="Times New Roman" w:hAnsi="Times New Roman" w:cs="Times New Roman"/>
          <w:b/>
          <w:sz w:val="24"/>
          <w:szCs w:val="24"/>
        </w:rPr>
        <w:t>4.1</w:t>
      </w:r>
      <w:r w:rsidRPr="000A4A7F">
        <w:rPr>
          <w:rFonts w:ascii="Times New Roman" w:hAnsi="Times New Roman" w:cs="Times New Roman"/>
          <w:sz w:val="24"/>
          <w:szCs w:val="24"/>
        </w:rPr>
        <w:t xml:space="preserve">. </w:t>
      </w:r>
      <w:r w:rsidRPr="000A4A7F">
        <w:rPr>
          <w:rFonts w:ascii="Arial" w:hAnsi="Arial" w:cs="Arial"/>
          <w:b/>
          <w:sz w:val="24"/>
          <w:szCs w:val="24"/>
        </w:rPr>
        <w:t>Horizontal Gene Transfer (HGT)</w:t>
      </w:r>
    </w:p>
    <w:p w14:paraId="1AC17EAA" w14:textId="77777777" w:rsidR="000A4A7F" w:rsidRPr="000A4A7F" w:rsidRDefault="000A4A7F" w:rsidP="000A4A7F">
      <w:pPr>
        <w:spacing w:line="480" w:lineRule="auto"/>
        <w:jc w:val="both"/>
        <w:rPr>
          <w:rFonts w:ascii="Times New Roman" w:hAnsi="Times New Roman" w:cs="Times New Roman"/>
          <w:sz w:val="24"/>
          <w:szCs w:val="24"/>
        </w:rPr>
      </w:pPr>
      <w:r w:rsidRPr="000A4A7F">
        <w:rPr>
          <w:rFonts w:ascii="Times New Roman" w:hAnsi="Times New Roman" w:cs="Times New Roman"/>
          <w:sz w:val="24"/>
          <w:szCs w:val="24"/>
        </w:rPr>
        <w:t>HGT is a process that allows bacteria to gain new genetic material, such as ARGs from other microorganisms present in their surroundings. This provides a more rapid mode to adaptation, compared to the slow procedure of mutation and vertical inheritance (Li &amp; Zhang, 2022). Three </w:t>
      </w:r>
      <w:r w:rsidR="00817B25">
        <w:rPr>
          <w:rFonts w:ascii="Times New Roman" w:hAnsi="Times New Roman" w:cs="Times New Roman"/>
          <w:sz w:val="24"/>
          <w:szCs w:val="24"/>
        </w:rPr>
        <w:t>major types of HGT mechanisms:</w:t>
      </w:r>
    </w:p>
    <w:p w14:paraId="0C24F9AE" w14:textId="6CAA6AB0" w:rsidR="000A4A7F" w:rsidRPr="000A4A7F" w:rsidRDefault="000A4A7F" w:rsidP="000A4A7F">
      <w:pPr>
        <w:spacing w:line="480" w:lineRule="auto"/>
        <w:jc w:val="both"/>
        <w:rPr>
          <w:rFonts w:ascii="Times New Roman" w:hAnsi="Times New Roman" w:cs="Times New Roman"/>
          <w:sz w:val="24"/>
          <w:szCs w:val="24"/>
        </w:rPr>
      </w:pPr>
      <w:r w:rsidRPr="00522CC0">
        <w:rPr>
          <w:rFonts w:ascii="Times New Roman" w:hAnsi="Times New Roman" w:cs="Times New Roman"/>
          <w:b/>
          <w:sz w:val="24"/>
          <w:szCs w:val="24"/>
        </w:rPr>
        <w:t xml:space="preserve">• </w:t>
      </w:r>
      <w:r w:rsidRPr="00F61D54">
        <w:rPr>
          <w:rFonts w:ascii="Arial" w:hAnsi="Arial" w:cs="Arial"/>
          <w:b/>
          <w:sz w:val="24"/>
          <w:szCs w:val="24"/>
        </w:rPr>
        <w:t>Conjugation</w:t>
      </w:r>
      <w:r w:rsidRPr="000A4A7F">
        <w:rPr>
          <w:rFonts w:ascii="Times New Roman" w:hAnsi="Times New Roman" w:cs="Times New Roman"/>
          <w:sz w:val="24"/>
          <w:szCs w:val="24"/>
        </w:rPr>
        <w:t>: This system transfers genetic content, most often plasmids or integrative and conjugative elements (ICEs), from a donor cell to a recipient cell via direct contact between bacteria. Conjugation is assumed to be a major pathway of ARGs spread in aquatic habitats, being highly efficient and capable of mobilization of large DNA segments usually encoding several resistance gene</w:t>
      </w:r>
      <w:r w:rsidR="00817B25">
        <w:rPr>
          <w:rFonts w:ascii="Times New Roman" w:hAnsi="Times New Roman" w:cs="Times New Roman"/>
          <w:sz w:val="24"/>
          <w:szCs w:val="24"/>
        </w:rPr>
        <w:t>s (Michaelis</w:t>
      </w:r>
      <w:r w:rsidR="005327F2">
        <w:rPr>
          <w:rFonts w:ascii="Times New Roman" w:hAnsi="Times New Roman" w:cs="Times New Roman"/>
          <w:sz w:val="24"/>
          <w:szCs w:val="24"/>
        </w:rPr>
        <w:t xml:space="preserve"> &amp;</w:t>
      </w:r>
      <w:r w:rsidR="00DB07DA">
        <w:rPr>
          <w:rFonts w:ascii="Times New Roman" w:hAnsi="Times New Roman" w:cs="Times New Roman"/>
          <w:sz w:val="24"/>
          <w:szCs w:val="24"/>
        </w:rPr>
        <w:t xml:space="preserve"> </w:t>
      </w:r>
      <w:r w:rsidR="005327F2">
        <w:rPr>
          <w:rFonts w:ascii="Times New Roman" w:hAnsi="Times New Roman" w:cs="Times New Roman"/>
          <w:sz w:val="24"/>
          <w:szCs w:val="24"/>
        </w:rPr>
        <w:t xml:space="preserve"> </w:t>
      </w:r>
      <w:r w:rsidR="00817B25">
        <w:rPr>
          <w:rFonts w:ascii="Times New Roman" w:hAnsi="Times New Roman" w:cs="Times New Roman"/>
          <w:sz w:val="24"/>
          <w:szCs w:val="24"/>
        </w:rPr>
        <w:t>Grohmann, 2023).</w:t>
      </w:r>
    </w:p>
    <w:p w14:paraId="018B4B5A" w14:textId="77777777" w:rsidR="000A4A7F" w:rsidRPr="000A4A7F" w:rsidRDefault="000A4A7F" w:rsidP="000A4A7F">
      <w:pPr>
        <w:spacing w:line="480" w:lineRule="auto"/>
        <w:jc w:val="both"/>
        <w:rPr>
          <w:rFonts w:ascii="Times New Roman" w:hAnsi="Times New Roman" w:cs="Times New Roman"/>
          <w:sz w:val="24"/>
          <w:szCs w:val="24"/>
        </w:rPr>
      </w:pPr>
      <w:r w:rsidRPr="000A4A7F">
        <w:rPr>
          <w:rFonts w:ascii="Times New Roman" w:hAnsi="Times New Roman" w:cs="Times New Roman"/>
          <w:sz w:val="24"/>
          <w:szCs w:val="24"/>
        </w:rPr>
        <w:t xml:space="preserve">• </w:t>
      </w:r>
      <w:r w:rsidRPr="00F61D54">
        <w:rPr>
          <w:rFonts w:ascii="Arial" w:hAnsi="Arial" w:cs="Arial"/>
          <w:b/>
          <w:sz w:val="24"/>
          <w:szCs w:val="24"/>
        </w:rPr>
        <w:t>Transformation</w:t>
      </w:r>
      <w:r w:rsidRPr="000A4A7F">
        <w:rPr>
          <w:rFonts w:ascii="Times New Roman" w:hAnsi="Times New Roman" w:cs="Times New Roman"/>
          <w:sz w:val="24"/>
          <w:szCs w:val="24"/>
        </w:rPr>
        <w:t>: This process is defined as the ability of naturally competent bacteria to take up naked extracellular DNA (eDNA) from their surroundings. In the marine environment, eDNA is shed from dead and lysed cells and is capable of persisting in both the water column and sediments. Bacteria capable of uptake this eDNA can integrate it to their genome, meaning that they may also take up new ARGs in the process (Abe et al., 2020; Zhang e</w:t>
      </w:r>
      <w:r w:rsidR="00817B25">
        <w:rPr>
          <w:rFonts w:ascii="Times New Roman" w:hAnsi="Times New Roman" w:cs="Times New Roman"/>
          <w:sz w:val="24"/>
          <w:szCs w:val="24"/>
        </w:rPr>
        <w:t>t al., 2023).</w:t>
      </w:r>
    </w:p>
    <w:p w14:paraId="57D66594" w14:textId="77777777" w:rsidR="000A4A7F" w:rsidRDefault="000A4A7F" w:rsidP="000A4A7F">
      <w:pPr>
        <w:spacing w:line="480" w:lineRule="auto"/>
        <w:jc w:val="both"/>
        <w:rPr>
          <w:rFonts w:ascii="Times New Roman" w:hAnsi="Times New Roman" w:cs="Times New Roman"/>
          <w:sz w:val="24"/>
          <w:szCs w:val="24"/>
        </w:rPr>
      </w:pPr>
      <w:r w:rsidRPr="00522CC0">
        <w:rPr>
          <w:rFonts w:ascii="Times New Roman" w:hAnsi="Times New Roman" w:cs="Times New Roman"/>
          <w:b/>
          <w:sz w:val="24"/>
          <w:szCs w:val="24"/>
        </w:rPr>
        <w:t xml:space="preserve">• </w:t>
      </w:r>
      <w:r w:rsidRPr="00F61D54">
        <w:rPr>
          <w:rFonts w:ascii="Arial" w:hAnsi="Arial" w:cs="Arial"/>
          <w:b/>
          <w:sz w:val="24"/>
          <w:szCs w:val="24"/>
        </w:rPr>
        <w:t>Transduction</w:t>
      </w:r>
      <w:r w:rsidRPr="00F61D54">
        <w:rPr>
          <w:rFonts w:ascii="Arial" w:hAnsi="Arial" w:cs="Arial"/>
          <w:sz w:val="24"/>
          <w:szCs w:val="24"/>
        </w:rPr>
        <w:t>:</w:t>
      </w:r>
      <w:r w:rsidRPr="000A4A7F">
        <w:rPr>
          <w:rFonts w:ascii="Times New Roman" w:hAnsi="Times New Roman" w:cs="Times New Roman"/>
          <w:sz w:val="24"/>
          <w:szCs w:val="24"/>
        </w:rPr>
        <w:t xml:space="preserve"> This is facilitated by bacteriophages which are a kind of viruses that infects bacteria. Host bacterium’s DNA fragments, including ARGs, can be inadvertently packaged into new phage particles during phage replication cycle. These phages may </w:t>
      </w:r>
      <w:r w:rsidRPr="000A4A7F">
        <w:rPr>
          <w:rFonts w:ascii="Times New Roman" w:hAnsi="Times New Roman" w:cs="Times New Roman"/>
          <w:sz w:val="24"/>
          <w:szCs w:val="24"/>
        </w:rPr>
        <w:lastRenderedPageBreak/>
        <w:t>subsequently infect other bacteria and transmit the incorporated DNA, likely including the resistance gen</w:t>
      </w:r>
      <w:r w:rsidR="00817B25">
        <w:rPr>
          <w:rFonts w:ascii="Times New Roman" w:hAnsi="Times New Roman" w:cs="Times New Roman"/>
          <w:sz w:val="24"/>
          <w:szCs w:val="24"/>
        </w:rPr>
        <w:t>e (Michaelis &amp; Grohmann, 2023).</w:t>
      </w:r>
    </w:p>
    <w:p w14:paraId="6D95CB2F" w14:textId="7459E564" w:rsidR="005319B3" w:rsidRPr="005319B3" w:rsidRDefault="005319B3" w:rsidP="005319B3">
      <w:pPr>
        <w:spacing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Table-2 </w:t>
      </w:r>
      <w:r w:rsidRPr="005319B3">
        <w:rPr>
          <w:rFonts w:ascii="Times New Roman" w:hAnsi="Times New Roman" w:cs="Times New Roman"/>
          <w:b/>
          <w:sz w:val="20"/>
          <w:szCs w:val="20"/>
        </w:rPr>
        <w:t>Summary of key antibiotic resistance genes (ARGs) commonly detected in marine and coastal environments, their bacterial hosts, and associated mobile genetic elements (MGEs)."</w:t>
      </w:r>
    </w:p>
    <w:tbl>
      <w:tblPr>
        <w:tblW w:w="5000" w:type="pct"/>
        <w:tblInd w:w="110" w:type="dxa"/>
        <w:tblBorders>
          <w:top w:val="single" w:sz="4" w:space="0" w:color="E1E4E8"/>
          <w:bottom w:val="single" w:sz="4" w:space="0" w:color="E1E4E8"/>
          <w:insideH w:val="single" w:sz="2" w:space="0" w:color="E1E4E8"/>
          <w:insideV w:val="single" w:sz="2" w:space="0" w:color="F6F8FA"/>
        </w:tblBorders>
        <w:tblCellMar>
          <w:left w:w="10" w:type="dxa"/>
          <w:right w:w="10" w:type="dxa"/>
        </w:tblCellMar>
        <w:tblLook w:val="0000" w:firstRow="0" w:lastRow="0" w:firstColumn="0" w:lastColumn="0" w:noHBand="0" w:noVBand="0"/>
      </w:tblPr>
      <w:tblGrid>
        <w:gridCol w:w="1686"/>
        <w:gridCol w:w="1503"/>
        <w:gridCol w:w="2554"/>
        <w:gridCol w:w="2018"/>
        <w:gridCol w:w="1505"/>
      </w:tblGrid>
      <w:tr w:rsidR="005319B3" w:rsidRPr="005319B3" w14:paraId="0E17CF1C" w14:textId="77777777" w:rsidTr="00A859AA">
        <w:trPr>
          <w:cantSplit/>
          <w:trHeight w:val="720"/>
          <w:tblHeader/>
        </w:trPr>
        <w:tc>
          <w:tcPr>
            <w:tcW w:w="0" w:type="auto"/>
            <w:tcBorders>
              <w:top w:val="single" w:sz="4" w:space="0" w:color="auto"/>
              <w:bottom w:val="single" w:sz="4" w:space="0" w:color="auto"/>
            </w:tcBorders>
            <w:tcMar>
              <w:top w:w="100" w:type="dxa"/>
              <w:left w:w="120" w:type="dxa"/>
              <w:bottom w:w="100" w:type="dxa"/>
              <w:right w:w="120" w:type="dxa"/>
            </w:tcMar>
            <w:vAlign w:val="center"/>
          </w:tcPr>
          <w:p w14:paraId="5BD53EE8" w14:textId="77777777" w:rsidR="005319B3" w:rsidRPr="005319B3" w:rsidRDefault="005319B3" w:rsidP="005319B3">
            <w:pPr>
              <w:spacing w:before="60" w:after="60" w:line="240" w:lineRule="auto"/>
              <w:rPr>
                <w:rFonts w:ascii="Times New Roman" w:eastAsia="Times New Roman" w:hAnsi="Times New Roman" w:cs="Times New Roman"/>
                <w:b/>
                <w:bCs/>
                <w:lang w:eastAsia="en-IN"/>
              </w:rPr>
            </w:pPr>
            <w:r w:rsidRPr="005319B3">
              <w:rPr>
                <w:rFonts w:ascii="Times New Roman" w:eastAsia="Times New Roman" w:hAnsi="Times New Roman" w:cs="Times New Roman"/>
                <w:b/>
                <w:bCs/>
                <w:lang w:eastAsia="en-IN"/>
              </w:rPr>
              <w:t>Antibiotic Class</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1EDB22EC" w14:textId="77777777" w:rsidR="005319B3" w:rsidRPr="005319B3" w:rsidRDefault="005319B3" w:rsidP="005319B3">
            <w:pPr>
              <w:spacing w:before="60" w:after="60" w:line="240" w:lineRule="auto"/>
              <w:rPr>
                <w:rFonts w:ascii="Times New Roman" w:eastAsia="Times New Roman" w:hAnsi="Times New Roman" w:cs="Times New Roman"/>
                <w:b/>
                <w:bCs/>
                <w:lang w:eastAsia="en-IN"/>
              </w:rPr>
            </w:pPr>
            <w:r w:rsidRPr="005319B3">
              <w:rPr>
                <w:rFonts w:ascii="Times New Roman" w:eastAsia="Times New Roman" w:hAnsi="Times New Roman" w:cs="Times New Roman"/>
                <w:b/>
                <w:bCs/>
                <w:lang w:eastAsia="en-IN"/>
              </w:rPr>
              <w:t>Resistance Gene (ARG)</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57D78D00" w14:textId="77777777" w:rsidR="005319B3" w:rsidRPr="005319B3" w:rsidRDefault="005319B3" w:rsidP="005319B3">
            <w:pPr>
              <w:spacing w:before="60" w:after="60" w:line="240" w:lineRule="auto"/>
              <w:rPr>
                <w:rFonts w:ascii="Times New Roman" w:eastAsia="Times New Roman" w:hAnsi="Times New Roman" w:cs="Times New Roman"/>
                <w:b/>
                <w:bCs/>
                <w:lang w:eastAsia="en-IN"/>
              </w:rPr>
            </w:pPr>
            <w:r w:rsidRPr="005319B3">
              <w:rPr>
                <w:rFonts w:ascii="Times New Roman" w:eastAsia="Times New Roman" w:hAnsi="Times New Roman" w:cs="Times New Roman"/>
                <w:b/>
                <w:bCs/>
                <w:lang w:eastAsia="en-IN"/>
              </w:rPr>
              <w:t>Common Bacterial Hosts/Genera in Marine Environments</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03492DF8" w14:textId="77777777" w:rsidR="005319B3" w:rsidRPr="005319B3" w:rsidRDefault="005319B3" w:rsidP="005319B3">
            <w:pPr>
              <w:spacing w:before="60" w:after="60" w:line="240" w:lineRule="auto"/>
              <w:rPr>
                <w:rFonts w:ascii="Times New Roman" w:eastAsia="Times New Roman" w:hAnsi="Times New Roman" w:cs="Times New Roman"/>
                <w:b/>
                <w:bCs/>
                <w:lang w:eastAsia="en-IN"/>
              </w:rPr>
            </w:pPr>
            <w:r w:rsidRPr="005319B3">
              <w:rPr>
                <w:rFonts w:ascii="Times New Roman" w:eastAsia="Times New Roman" w:hAnsi="Times New Roman" w:cs="Times New Roman"/>
                <w:b/>
                <w:bCs/>
                <w:lang w:eastAsia="en-IN"/>
              </w:rPr>
              <w:t>Common Mobile Genetic Elements (MGEs)</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297524F7" w14:textId="77777777" w:rsidR="005319B3" w:rsidRPr="005319B3" w:rsidRDefault="005319B3" w:rsidP="005319B3">
            <w:pPr>
              <w:spacing w:before="60" w:after="60" w:line="240" w:lineRule="auto"/>
              <w:rPr>
                <w:rFonts w:ascii="Times New Roman" w:eastAsia="Times New Roman" w:hAnsi="Times New Roman" w:cs="Times New Roman"/>
                <w:b/>
                <w:bCs/>
                <w:lang w:eastAsia="en-IN"/>
              </w:rPr>
            </w:pPr>
            <w:r w:rsidRPr="005319B3">
              <w:rPr>
                <w:rFonts w:ascii="Times New Roman" w:eastAsia="Times New Roman" w:hAnsi="Times New Roman" w:cs="Times New Roman"/>
                <w:b/>
                <w:bCs/>
                <w:lang w:eastAsia="en-IN"/>
              </w:rPr>
              <w:t>Key References</w:t>
            </w:r>
          </w:p>
        </w:tc>
      </w:tr>
      <w:tr w:rsidR="005319B3" w:rsidRPr="005319B3" w14:paraId="02A334CF" w14:textId="77777777" w:rsidTr="00A859AA">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42711234" w14:textId="77777777" w:rsidR="005319B3" w:rsidRPr="005319B3" w:rsidRDefault="005319B3" w:rsidP="005319B3">
            <w:pPr>
              <w:spacing w:before="40" w:after="40" w:line="240" w:lineRule="auto"/>
              <w:rPr>
                <w:rFonts w:ascii="Times New Roman" w:eastAsia="Times New Roman" w:hAnsi="Times New Roman" w:cs="Times New Roman"/>
                <w:sz w:val="20"/>
                <w:szCs w:val="20"/>
                <w:lang w:eastAsia="en-IN"/>
              </w:rPr>
            </w:pPr>
            <w:r w:rsidRPr="005319B3">
              <w:rPr>
                <w:rFonts w:ascii="Times New Roman" w:eastAsia="Times New Roman" w:hAnsi="Times New Roman" w:cs="Times New Roman"/>
                <w:b/>
                <w:bCs/>
                <w:sz w:val="20"/>
                <w:szCs w:val="20"/>
                <w:lang w:eastAsia="en-IN"/>
              </w:rPr>
              <w:t>Beta-lactams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6D4351A" w14:textId="77777777" w:rsidR="005319B3" w:rsidRPr="005319B3" w:rsidRDefault="005319B3" w:rsidP="005319B3">
            <w:pPr>
              <w:spacing w:before="40" w:after="40" w:line="240" w:lineRule="auto"/>
              <w:rPr>
                <w:rFonts w:ascii="Times New Roman" w:eastAsia="Times New Roman" w:hAnsi="Times New Roman" w:cs="Times New Roman"/>
                <w:sz w:val="20"/>
                <w:szCs w:val="20"/>
                <w:lang w:eastAsia="en-IN"/>
              </w:rPr>
            </w:pPr>
            <w:r w:rsidRPr="005319B3">
              <w:rPr>
                <w:rFonts w:ascii="Times New Roman" w:eastAsia="Times New Roman" w:hAnsi="Times New Roman" w:cs="Times New Roman"/>
                <w:sz w:val="20"/>
                <w:szCs w:val="20"/>
                <w:u w:val="single"/>
                <w:lang w:eastAsia="en-IN"/>
              </w:rPr>
              <w:t>blaTEM</w:t>
            </w:r>
            <w:r w:rsidRPr="005319B3">
              <w:rPr>
                <w:rFonts w:ascii="Times New Roman" w:eastAsia="Times New Roman" w:hAnsi="Times New Roman" w:cs="Times New Roman"/>
                <w:sz w:val="20"/>
                <w:szCs w:val="20"/>
                <w:lang w:eastAsia="en-IN"/>
              </w:rPr>
              <w:t xml:space="preserve">, </w:t>
            </w:r>
            <w:r w:rsidRPr="005319B3">
              <w:rPr>
                <w:rFonts w:ascii="Times New Roman" w:eastAsia="Times New Roman" w:hAnsi="Times New Roman" w:cs="Times New Roman"/>
                <w:sz w:val="20"/>
                <w:szCs w:val="20"/>
                <w:u w:val="single"/>
                <w:lang w:eastAsia="en-IN"/>
              </w:rPr>
              <w:t>blaSHV</w:t>
            </w:r>
            <w:r w:rsidRPr="005319B3">
              <w:rPr>
                <w:rFonts w:ascii="Times New Roman" w:eastAsia="Times New Roman" w:hAnsi="Times New Roman" w:cs="Times New Roman"/>
                <w:sz w:val="20"/>
                <w:szCs w:val="20"/>
                <w:lang w:eastAsia="en-IN"/>
              </w:rPr>
              <w:t xml:space="preserve">, </w:t>
            </w:r>
            <w:r w:rsidRPr="005319B3">
              <w:rPr>
                <w:rFonts w:ascii="Times New Roman" w:eastAsia="Times New Roman" w:hAnsi="Times New Roman" w:cs="Times New Roman"/>
                <w:sz w:val="20"/>
                <w:szCs w:val="20"/>
                <w:u w:val="single"/>
                <w:lang w:eastAsia="en-IN"/>
              </w:rPr>
              <w:t>blaCTX-M</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605E29E" w14:textId="77777777" w:rsidR="005319B3" w:rsidRPr="005319B3" w:rsidRDefault="005319B3" w:rsidP="005319B3">
            <w:pPr>
              <w:spacing w:before="40" w:after="40" w:line="240" w:lineRule="auto"/>
              <w:rPr>
                <w:rFonts w:ascii="Times New Roman" w:eastAsia="Times New Roman" w:hAnsi="Times New Roman" w:cs="Times New Roman"/>
                <w:sz w:val="20"/>
                <w:szCs w:val="20"/>
                <w:lang w:eastAsia="en-IN"/>
              </w:rPr>
            </w:pPr>
            <w:r w:rsidRPr="005319B3">
              <w:rPr>
                <w:rFonts w:ascii="Times New Roman" w:eastAsia="Times New Roman" w:hAnsi="Times New Roman" w:cs="Times New Roman"/>
                <w:i/>
                <w:iCs/>
                <w:sz w:val="20"/>
                <w:szCs w:val="20"/>
                <w:lang w:eastAsia="en-IN"/>
              </w:rPr>
              <w:t>Escherichia coli</w:t>
            </w:r>
            <w:r w:rsidRPr="005319B3">
              <w:rPr>
                <w:rFonts w:ascii="Times New Roman" w:eastAsia="Times New Roman" w:hAnsi="Times New Roman" w:cs="Times New Roman"/>
                <w:sz w:val="20"/>
                <w:szCs w:val="20"/>
                <w:lang w:eastAsia="en-IN"/>
              </w:rPr>
              <w:t xml:space="preserve">, </w:t>
            </w:r>
            <w:r w:rsidRPr="005319B3">
              <w:rPr>
                <w:rFonts w:ascii="Times New Roman" w:eastAsia="Times New Roman" w:hAnsi="Times New Roman" w:cs="Times New Roman"/>
                <w:i/>
                <w:iCs/>
                <w:sz w:val="20"/>
                <w:szCs w:val="20"/>
                <w:lang w:eastAsia="en-IN"/>
              </w:rPr>
              <w:t>Klebsiella pneumoniae</w:t>
            </w:r>
            <w:r w:rsidRPr="005319B3">
              <w:rPr>
                <w:rFonts w:ascii="Times New Roman" w:eastAsia="Times New Roman" w:hAnsi="Times New Roman" w:cs="Times New Roman"/>
                <w:sz w:val="20"/>
                <w:szCs w:val="20"/>
                <w:lang w:eastAsia="en-IN"/>
              </w:rPr>
              <w:t xml:space="preserve">, </w:t>
            </w:r>
            <w:r w:rsidRPr="005319B3">
              <w:rPr>
                <w:rFonts w:ascii="Times New Roman" w:eastAsia="Times New Roman" w:hAnsi="Times New Roman" w:cs="Times New Roman"/>
                <w:i/>
                <w:iCs/>
                <w:sz w:val="20"/>
                <w:szCs w:val="20"/>
                <w:lang w:eastAsia="en-IN"/>
              </w:rPr>
              <w:t>Vibrio</w:t>
            </w:r>
            <w:r w:rsidRPr="005319B3">
              <w:rPr>
                <w:rFonts w:ascii="Times New Roman" w:eastAsia="Times New Roman" w:hAnsi="Times New Roman" w:cs="Times New Roman"/>
                <w:sz w:val="20"/>
                <w:szCs w:val="20"/>
                <w:lang w:eastAsia="en-IN"/>
              </w:rPr>
              <w:t xml:space="preserve"> spp., </w:t>
            </w:r>
            <w:r w:rsidRPr="005319B3">
              <w:rPr>
                <w:rFonts w:ascii="Times New Roman" w:eastAsia="Times New Roman" w:hAnsi="Times New Roman" w:cs="Times New Roman"/>
                <w:i/>
                <w:iCs/>
                <w:sz w:val="20"/>
                <w:szCs w:val="20"/>
                <w:lang w:eastAsia="en-IN"/>
              </w:rPr>
              <w:t>Aeromonas</w:t>
            </w:r>
            <w:r w:rsidRPr="005319B3">
              <w:rPr>
                <w:rFonts w:ascii="Times New Roman" w:eastAsia="Times New Roman" w:hAnsi="Times New Roman" w:cs="Times New Roman"/>
                <w:sz w:val="20"/>
                <w:szCs w:val="20"/>
                <w:lang w:eastAsia="en-IN"/>
              </w:rPr>
              <w:t xml:space="preserve"> spp.</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AD37567" w14:textId="77777777" w:rsidR="005319B3" w:rsidRPr="005319B3" w:rsidRDefault="005319B3" w:rsidP="005319B3">
            <w:pPr>
              <w:spacing w:before="40" w:after="40" w:line="240" w:lineRule="auto"/>
              <w:rPr>
                <w:rFonts w:ascii="Times New Roman" w:eastAsia="Times New Roman" w:hAnsi="Times New Roman" w:cs="Times New Roman"/>
                <w:sz w:val="20"/>
                <w:szCs w:val="20"/>
                <w:lang w:eastAsia="en-IN"/>
              </w:rPr>
            </w:pPr>
            <w:r w:rsidRPr="005319B3">
              <w:rPr>
                <w:rFonts w:ascii="Times New Roman" w:eastAsia="Times New Roman" w:hAnsi="Times New Roman" w:cs="Times New Roman"/>
                <w:sz w:val="20"/>
                <w:szCs w:val="20"/>
                <w:lang w:eastAsia="en-IN"/>
              </w:rPr>
              <w:t>Plasmids (e.g., IncF, IncA/C), Transposons (e.g., Tn3)</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D4BDE7D" w14:textId="77777777" w:rsidR="005319B3" w:rsidRPr="005319B3" w:rsidRDefault="005319B3" w:rsidP="005319B3">
            <w:pPr>
              <w:spacing w:before="40" w:after="40" w:line="240" w:lineRule="auto"/>
              <w:rPr>
                <w:rFonts w:ascii="Times New Roman" w:eastAsia="Times New Roman" w:hAnsi="Times New Roman" w:cs="Times New Roman"/>
                <w:sz w:val="20"/>
                <w:szCs w:val="20"/>
                <w:lang w:eastAsia="en-IN"/>
              </w:rPr>
            </w:pPr>
            <w:r w:rsidRPr="005319B3">
              <w:rPr>
                <w:rFonts w:ascii="Times New Roman" w:eastAsia="Times New Roman" w:hAnsi="Times New Roman" w:cs="Times New Roman"/>
                <w:sz w:val="20"/>
                <w:szCs w:val="20"/>
                <w:lang w:eastAsia="en-IN"/>
              </w:rPr>
              <w:t>(Uyaguari et al., 2011)</w:t>
            </w:r>
          </w:p>
        </w:tc>
      </w:tr>
      <w:tr w:rsidR="005319B3" w:rsidRPr="005319B3" w14:paraId="71B37275" w14:textId="77777777" w:rsidTr="00A859AA">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4A2DA30B" w14:textId="77777777" w:rsidR="005319B3" w:rsidRPr="005319B3" w:rsidRDefault="005319B3" w:rsidP="005319B3">
            <w:pPr>
              <w:spacing w:before="40" w:after="40" w:line="240" w:lineRule="auto"/>
              <w:rPr>
                <w:rFonts w:ascii="Times New Roman" w:eastAsia="Times New Roman" w:hAnsi="Times New Roman" w:cs="Times New Roman"/>
                <w:sz w:val="20"/>
                <w:szCs w:val="20"/>
                <w:lang w:eastAsia="en-IN"/>
              </w:rPr>
            </w:pPr>
          </w:p>
        </w:tc>
        <w:tc>
          <w:tcPr>
            <w:tcW w:w="0" w:type="auto"/>
            <w:tcBorders>
              <w:top w:val="single" w:sz="4" w:space="0" w:color="auto"/>
              <w:bottom w:val="single" w:sz="4" w:space="0" w:color="auto"/>
            </w:tcBorders>
            <w:tcMar>
              <w:top w:w="80" w:type="dxa"/>
              <w:left w:w="120" w:type="dxa"/>
              <w:bottom w:w="80" w:type="dxa"/>
              <w:right w:w="120" w:type="dxa"/>
            </w:tcMar>
            <w:vAlign w:val="center"/>
          </w:tcPr>
          <w:p w14:paraId="53D4BF87" w14:textId="77777777" w:rsidR="005319B3" w:rsidRPr="005319B3" w:rsidRDefault="005319B3" w:rsidP="005319B3">
            <w:pPr>
              <w:spacing w:before="40" w:after="40" w:line="240" w:lineRule="auto"/>
              <w:rPr>
                <w:rFonts w:ascii="Times New Roman" w:eastAsia="Times New Roman" w:hAnsi="Times New Roman" w:cs="Times New Roman"/>
                <w:sz w:val="20"/>
                <w:szCs w:val="20"/>
                <w:lang w:eastAsia="en-IN"/>
              </w:rPr>
            </w:pPr>
            <w:r w:rsidRPr="005319B3">
              <w:rPr>
                <w:rFonts w:ascii="Times New Roman" w:eastAsia="Times New Roman" w:hAnsi="Times New Roman" w:cs="Times New Roman"/>
                <w:sz w:val="20"/>
                <w:szCs w:val="20"/>
                <w:u w:val="single"/>
                <w:lang w:eastAsia="en-IN"/>
              </w:rPr>
              <w:t>blaNDM-1</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3C4896B" w14:textId="77777777" w:rsidR="005319B3" w:rsidRPr="005319B3" w:rsidRDefault="005319B3" w:rsidP="005319B3">
            <w:pPr>
              <w:spacing w:before="40" w:after="40" w:line="240" w:lineRule="auto"/>
              <w:rPr>
                <w:rFonts w:ascii="Times New Roman" w:eastAsia="Times New Roman" w:hAnsi="Times New Roman" w:cs="Times New Roman"/>
                <w:sz w:val="20"/>
                <w:szCs w:val="20"/>
                <w:lang w:eastAsia="en-IN"/>
              </w:rPr>
            </w:pPr>
            <w:r w:rsidRPr="005319B3">
              <w:rPr>
                <w:rFonts w:ascii="Times New Roman" w:eastAsia="Times New Roman" w:hAnsi="Times New Roman" w:cs="Times New Roman"/>
                <w:i/>
                <w:iCs/>
                <w:sz w:val="20"/>
                <w:szCs w:val="20"/>
                <w:lang w:eastAsia="en-IN"/>
              </w:rPr>
              <w:t>Acinetobacter</w:t>
            </w:r>
            <w:r w:rsidRPr="005319B3">
              <w:rPr>
                <w:rFonts w:ascii="Times New Roman" w:eastAsia="Times New Roman" w:hAnsi="Times New Roman" w:cs="Times New Roman"/>
                <w:sz w:val="20"/>
                <w:szCs w:val="20"/>
                <w:lang w:eastAsia="en-IN"/>
              </w:rPr>
              <w:t xml:space="preserve"> spp., </w:t>
            </w:r>
            <w:r w:rsidRPr="005319B3">
              <w:rPr>
                <w:rFonts w:ascii="Times New Roman" w:eastAsia="Times New Roman" w:hAnsi="Times New Roman" w:cs="Times New Roman"/>
                <w:i/>
                <w:iCs/>
                <w:sz w:val="20"/>
                <w:szCs w:val="20"/>
                <w:lang w:eastAsia="en-IN"/>
              </w:rPr>
              <w:t>Pseudomonas</w:t>
            </w:r>
            <w:r w:rsidRPr="005319B3">
              <w:rPr>
                <w:rFonts w:ascii="Times New Roman" w:eastAsia="Times New Roman" w:hAnsi="Times New Roman" w:cs="Times New Roman"/>
                <w:sz w:val="20"/>
                <w:szCs w:val="20"/>
                <w:lang w:eastAsia="en-IN"/>
              </w:rPr>
              <w:t xml:space="preserve"> spp., Enterobacteriaceae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5D88C83" w14:textId="77777777" w:rsidR="005319B3" w:rsidRPr="005319B3" w:rsidRDefault="005319B3" w:rsidP="005319B3">
            <w:pPr>
              <w:spacing w:before="40" w:after="40" w:line="240" w:lineRule="auto"/>
              <w:rPr>
                <w:rFonts w:ascii="Times New Roman" w:eastAsia="Times New Roman" w:hAnsi="Times New Roman" w:cs="Times New Roman"/>
                <w:sz w:val="20"/>
                <w:szCs w:val="20"/>
                <w:lang w:eastAsia="en-IN"/>
              </w:rPr>
            </w:pPr>
            <w:r w:rsidRPr="005319B3">
              <w:rPr>
                <w:rFonts w:ascii="Times New Roman" w:eastAsia="Times New Roman" w:hAnsi="Times New Roman" w:cs="Times New Roman"/>
                <w:sz w:val="20"/>
                <w:szCs w:val="20"/>
                <w:lang w:eastAsia="en-IN"/>
              </w:rPr>
              <w:t>Plasmids (e.g., IncX3)</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F9351BD" w14:textId="77777777" w:rsidR="005319B3" w:rsidRPr="005319B3" w:rsidRDefault="005319B3" w:rsidP="005319B3">
            <w:pPr>
              <w:spacing w:before="40" w:after="40" w:line="240" w:lineRule="auto"/>
              <w:rPr>
                <w:rFonts w:ascii="Times New Roman" w:eastAsia="Times New Roman" w:hAnsi="Times New Roman" w:cs="Times New Roman"/>
                <w:sz w:val="20"/>
                <w:szCs w:val="20"/>
                <w:lang w:eastAsia="en-IN"/>
              </w:rPr>
            </w:pPr>
            <w:r w:rsidRPr="005319B3">
              <w:rPr>
                <w:rFonts w:ascii="Times New Roman" w:eastAsia="Times New Roman" w:hAnsi="Times New Roman" w:cs="Times New Roman"/>
                <w:sz w:val="20"/>
                <w:szCs w:val="20"/>
                <w:lang w:eastAsia="en-IN"/>
              </w:rPr>
              <w:t>(Chen et al., 2013)</w:t>
            </w:r>
          </w:p>
        </w:tc>
      </w:tr>
      <w:tr w:rsidR="005319B3" w:rsidRPr="005319B3" w14:paraId="7BFACCA4" w14:textId="77777777" w:rsidTr="00A859AA">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0C3AF88E" w14:textId="77777777" w:rsidR="005319B3" w:rsidRPr="005319B3" w:rsidRDefault="005319B3" w:rsidP="005319B3">
            <w:pPr>
              <w:spacing w:before="40" w:after="40" w:line="240" w:lineRule="auto"/>
              <w:rPr>
                <w:rFonts w:ascii="Times New Roman" w:eastAsia="Times New Roman" w:hAnsi="Times New Roman" w:cs="Times New Roman"/>
                <w:sz w:val="20"/>
                <w:szCs w:val="20"/>
                <w:lang w:eastAsia="en-IN"/>
              </w:rPr>
            </w:pPr>
            <w:r w:rsidRPr="005319B3">
              <w:rPr>
                <w:rFonts w:ascii="Times New Roman" w:eastAsia="Times New Roman" w:hAnsi="Times New Roman" w:cs="Times New Roman"/>
                <w:b/>
                <w:bCs/>
                <w:sz w:val="20"/>
                <w:szCs w:val="20"/>
                <w:lang w:eastAsia="en-IN"/>
              </w:rPr>
              <w:t>Tetracyclines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D5E116A" w14:textId="77777777" w:rsidR="005319B3" w:rsidRPr="005319B3" w:rsidRDefault="005319B3" w:rsidP="005319B3">
            <w:pPr>
              <w:spacing w:before="40" w:after="40" w:line="240" w:lineRule="auto"/>
              <w:rPr>
                <w:rFonts w:ascii="Times New Roman" w:eastAsia="Times New Roman" w:hAnsi="Times New Roman" w:cs="Times New Roman"/>
                <w:sz w:val="20"/>
                <w:szCs w:val="20"/>
                <w:lang w:eastAsia="en-IN"/>
              </w:rPr>
            </w:pPr>
            <w:r w:rsidRPr="005319B3">
              <w:rPr>
                <w:rFonts w:ascii="Times New Roman" w:eastAsia="Times New Roman" w:hAnsi="Times New Roman" w:cs="Times New Roman"/>
                <w:sz w:val="20"/>
                <w:szCs w:val="20"/>
                <w:u w:val="single"/>
                <w:lang w:eastAsia="en-IN"/>
              </w:rPr>
              <w:t>tet(A)</w:t>
            </w:r>
            <w:r w:rsidRPr="005319B3">
              <w:rPr>
                <w:rFonts w:ascii="Times New Roman" w:eastAsia="Times New Roman" w:hAnsi="Times New Roman" w:cs="Times New Roman"/>
                <w:sz w:val="20"/>
                <w:szCs w:val="20"/>
                <w:lang w:eastAsia="en-IN"/>
              </w:rPr>
              <w:t xml:space="preserve">, </w:t>
            </w:r>
            <w:r w:rsidRPr="005319B3">
              <w:rPr>
                <w:rFonts w:ascii="Times New Roman" w:eastAsia="Times New Roman" w:hAnsi="Times New Roman" w:cs="Times New Roman"/>
                <w:sz w:val="20"/>
                <w:szCs w:val="20"/>
                <w:u w:val="single"/>
                <w:lang w:eastAsia="en-IN"/>
              </w:rPr>
              <w:t>tet(B)</w:t>
            </w:r>
            <w:r w:rsidRPr="005319B3">
              <w:rPr>
                <w:rFonts w:ascii="Times New Roman" w:eastAsia="Times New Roman" w:hAnsi="Times New Roman" w:cs="Times New Roman"/>
                <w:sz w:val="20"/>
                <w:szCs w:val="20"/>
                <w:lang w:eastAsia="en-IN"/>
              </w:rPr>
              <w:t xml:space="preserve">, </w:t>
            </w:r>
            <w:r w:rsidRPr="005319B3">
              <w:rPr>
                <w:rFonts w:ascii="Times New Roman" w:eastAsia="Times New Roman" w:hAnsi="Times New Roman" w:cs="Times New Roman"/>
                <w:sz w:val="20"/>
                <w:szCs w:val="20"/>
                <w:u w:val="single"/>
                <w:lang w:eastAsia="en-IN"/>
              </w:rPr>
              <w:t>tet(M)</w:t>
            </w:r>
            <w:r w:rsidRPr="005319B3">
              <w:rPr>
                <w:rFonts w:ascii="Times New Roman" w:eastAsia="Times New Roman" w:hAnsi="Times New Roman" w:cs="Times New Roman"/>
                <w:sz w:val="20"/>
                <w:szCs w:val="20"/>
                <w:lang w:eastAsia="en-IN"/>
              </w:rPr>
              <w:t xml:space="preserve">, </w:t>
            </w:r>
            <w:r w:rsidRPr="005319B3">
              <w:rPr>
                <w:rFonts w:ascii="Times New Roman" w:eastAsia="Times New Roman" w:hAnsi="Times New Roman" w:cs="Times New Roman"/>
                <w:sz w:val="20"/>
                <w:szCs w:val="20"/>
                <w:u w:val="single"/>
                <w:lang w:eastAsia="en-IN"/>
              </w:rPr>
              <w:t>tet(W)</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CCEE155" w14:textId="77777777" w:rsidR="005319B3" w:rsidRPr="005319B3" w:rsidRDefault="005319B3" w:rsidP="005319B3">
            <w:pPr>
              <w:spacing w:before="40" w:after="40" w:line="240" w:lineRule="auto"/>
              <w:rPr>
                <w:rFonts w:ascii="Times New Roman" w:eastAsia="Times New Roman" w:hAnsi="Times New Roman" w:cs="Times New Roman"/>
                <w:sz w:val="20"/>
                <w:szCs w:val="20"/>
                <w:lang w:eastAsia="en-IN"/>
              </w:rPr>
            </w:pPr>
            <w:r w:rsidRPr="005319B3">
              <w:rPr>
                <w:rFonts w:ascii="Times New Roman" w:eastAsia="Times New Roman" w:hAnsi="Times New Roman" w:cs="Times New Roman"/>
                <w:i/>
                <w:iCs/>
                <w:sz w:val="20"/>
                <w:szCs w:val="20"/>
                <w:lang w:eastAsia="en-IN"/>
              </w:rPr>
              <w:t>Vibrio</w:t>
            </w:r>
            <w:r w:rsidRPr="005319B3">
              <w:rPr>
                <w:rFonts w:ascii="Times New Roman" w:eastAsia="Times New Roman" w:hAnsi="Times New Roman" w:cs="Times New Roman"/>
                <w:sz w:val="20"/>
                <w:szCs w:val="20"/>
                <w:lang w:eastAsia="en-IN"/>
              </w:rPr>
              <w:t xml:space="preserve"> spp., </w:t>
            </w:r>
            <w:r w:rsidRPr="005319B3">
              <w:rPr>
                <w:rFonts w:ascii="Times New Roman" w:eastAsia="Times New Roman" w:hAnsi="Times New Roman" w:cs="Times New Roman"/>
                <w:i/>
                <w:iCs/>
                <w:sz w:val="20"/>
                <w:szCs w:val="20"/>
                <w:lang w:eastAsia="en-IN"/>
              </w:rPr>
              <w:t>Photobacterium</w:t>
            </w:r>
            <w:r w:rsidRPr="005319B3">
              <w:rPr>
                <w:rFonts w:ascii="Times New Roman" w:eastAsia="Times New Roman" w:hAnsi="Times New Roman" w:cs="Times New Roman"/>
                <w:sz w:val="20"/>
                <w:szCs w:val="20"/>
                <w:lang w:eastAsia="en-IN"/>
              </w:rPr>
              <w:t xml:space="preserve"> spp., </w:t>
            </w:r>
            <w:r w:rsidRPr="005319B3">
              <w:rPr>
                <w:rFonts w:ascii="Times New Roman" w:eastAsia="Times New Roman" w:hAnsi="Times New Roman" w:cs="Times New Roman"/>
                <w:i/>
                <w:iCs/>
                <w:sz w:val="20"/>
                <w:szCs w:val="20"/>
                <w:lang w:eastAsia="en-IN"/>
              </w:rPr>
              <w:t>E. coli</w:t>
            </w:r>
            <w:r w:rsidRPr="005319B3">
              <w:rPr>
                <w:rFonts w:ascii="Times New Roman" w:eastAsia="Times New Roman" w:hAnsi="Times New Roman" w:cs="Times New Roman"/>
                <w:sz w:val="20"/>
                <w:szCs w:val="20"/>
                <w:lang w:eastAsia="en-IN"/>
              </w:rPr>
              <w:t xml:space="preserve">, </w:t>
            </w:r>
            <w:r w:rsidRPr="005319B3">
              <w:rPr>
                <w:rFonts w:ascii="Times New Roman" w:eastAsia="Times New Roman" w:hAnsi="Times New Roman" w:cs="Times New Roman"/>
                <w:i/>
                <w:iCs/>
                <w:sz w:val="20"/>
                <w:szCs w:val="20"/>
                <w:lang w:eastAsia="en-IN"/>
              </w:rPr>
              <w:t>Aeromonas</w:t>
            </w:r>
            <w:r w:rsidRPr="005319B3">
              <w:rPr>
                <w:rFonts w:ascii="Times New Roman" w:eastAsia="Times New Roman" w:hAnsi="Times New Roman" w:cs="Times New Roman"/>
                <w:sz w:val="20"/>
                <w:szCs w:val="20"/>
                <w:lang w:eastAsia="en-IN"/>
              </w:rPr>
              <w:t xml:space="preserve"> spp.</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7A73AD8" w14:textId="77777777" w:rsidR="005319B3" w:rsidRPr="005319B3" w:rsidRDefault="005319B3" w:rsidP="005319B3">
            <w:pPr>
              <w:spacing w:before="40" w:after="40" w:line="240" w:lineRule="auto"/>
              <w:rPr>
                <w:rFonts w:ascii="Times New Roman" w:eastAsia="Times New Roman" w:hAnsi="Times New Roman" w:cs="Times New Roman"/>
                <w:sz w:val="20"/>
                <w:szCs w:val="20"/>
                <w:lang w:eastAsia="en-IN"/>
              </w:rPr>
            </w:pPr>
            <w:r w:rsidRPr="005319B3">
              <w:rPr>
                <w:rFonts w:ascii="Times New Roman" w:eastAsia="Times New Roman" w:hAnsi="Times New Roman" w:cs="Times New Roman"/>
                <w:sz w:val="20"/>
                <w:szCs w:val="20"/>
                <w:lang w:eastAsia="en-IN"/>
              </w:rPr>
              <w:t>Plasmids (e.g., IncQ, IncP), Transposons (e.g., Tn10), ICEs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5893675" w14:textId="77777777" w:rsidR="005319B3" w:rsidRPr="005319B3" w:rsidRDefault="005319B3" w:rsidP="005319B3">
            <w:pPr>
              <w:spacing w:before="40" w:after="40" w:line="240" w:lineRule="auto"/>
              <w:rPr>
                <w:rFonts w:ascii="Times New Roman" w:eastAsia="Times New Roman" w:hAnsi="Times New Roman" w:cs="Times New Roman"/>
                <w:sz w:val="20"/>
                <w:szCs w:val="20"/>
                <w:lang w:eastAsia="en-IN"/>
              </w:rPr>
            </w:pPr>
            <w:r w:rsidRPr="005319B3">
              <w:rPr>
                <w:rFonts w:ascii="Times New Roman" w:eastAsia="Times New Roman" w:hAnsi="Times New Roman" w:cs="Times New Roman"/>
                <w:sz w:val="20"/>
                <w:szCs w:val="20"/>
                <w:lang w:eastAsia="en-IN"/>
              </w:rPr>
              <w:t>(Amarasiri et al., 2020)</w:t>
            </w:r>
          </w:p>
        </w:tc>
      </w:tr>
      <w:tr w:rsidR="005319B3" w:rsidRPr="005319B3" w14:paraId="4767A644" w14:textId="77777777" w:rsidTr="00A859AA">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5F899AE0" w14:textId="77777777" w:rsidR="005319B3" w:rsidRPr="005319B3" w:rsidRDefault="005319B3" w:rsidP="005319B3">
            <w:pPr>
              <w:spacing w:before="40" w:after="40" w:line="240" w:lineRule="auto"/>
              <w:rPr>
                <w:rFonts w:ascii="Times New Roman" w:eastAsia="Times New Roman" w:hAnsi="Times New Roman" w:cs="Times New Roman"/>
                <w:sz w:val="20"/>
                <w:szCs w:val="20"/>
                <w:lang w:eastAsia="en-IN"/>
              </w:rPr>
            </w:pPr>
            <w:r w:rsidRPr="005319B3">
              <w:rPr>
                <w:rFonts w:ascii="Times New Roman" w:eastAsia="Times New Roman" w:hAnsi="Times New Roman" w:cs="Times New Roman"/>
                <w:b/>
                <w:bCs/>
                <w:sz w:val="20"/>
                <w:szCs w:val="20"/>
                <w:lang w:eastAsia="en-IN"/>
              </w:rPr>
              <w:t>Sulfonamides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D076169" w14:textId="77777777" w:rsidR="005319B3" w:rsidRPr="005319B3" w:rsidRDefault="005319B3" w:rsidP="005319B3">
            <w:pPr>
              <w:spacing w:before="40" w:after="40" w:line="240" w:lineRule="auto"/>
              <w:rPr>
                <w:rFonts w:ascii="Times New Roman" w:eastAsia="Times New Roman" w:hAnsi="Times New Roman" w:cs="Times New Roman"/>
                <w:sz w:val="20"/>
                <w:szCs w:val="20"/>
                <w:lang w:eastAsia="en-IN"/>
              </w:rPr>
            </w:pPr>
            <w:r w:rsidRPr="005319B3">
              <w:rPr>
                <w:rFonts w:ascii="Times New Roman" w:eastAsia="Times New Roman" w:hAnsi="Times New Roman" w:cs="Times New Roman"/>
                <w:sz w:val="20"/>
                <w:szCs w:val="20"/>
                <w:u w:val="single"/>
                <w:lang w:eastAsia="en-IN"/>
              </w:rPr>
              <w:t>sul1</w:t>
            </w:r>
            <w:r w:rsidRPr="005319B3">
              <w:rPr>
                <w:rFonts w:ascii="Times New Roman" w:eastAsia="Times New Roman" w:hAnsi="Times New Roman" w:cs="Times New Roman"/>
                <w:sz w:val="20"/>
                <w:szCs w:val="20"/>
                <w:lang w:eastAsia="en-IN"/>
              </w:rPr>
              <w:t xml:space="preserve">, </w:t>
            </w:r>
            <w:r w:rsidRPr="005319B3">
              <w:rPr>
                <w:rFonts w:ascii="Times New Roman" w:eastAsia="Times New Roman" w:hAnsi="Times New Roman" w:cs="Times New Roman"/>
                <w:sz w:val="20"/>
                <w:szCs w:val="20"/>
                <w:u w:val="single"/>
                <w:lang w:eastAsia="en-IN"/>
              </w:rPr>
              <w:t>sul2</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F30D169" w14:textId="77777777" w:rsidR="005319B3" w:rsidRPr="005319B3" w:rsidRDefault="005319B3" w:rsidP="005319B3">
            <w:pPr>
              <w:spacing w:before="40" w:after="40" w:line="240" w:lineRule="auto"/>
              <w:rPr>
                <w:rFonts w:ascii="Times New Roman" w:eastAsia="Times New Roman" w:hAnsi="Times New Roman" w:cs="Times New Roman"/>
                <w:sz w:val="20"/>
                <w:szCs w:val="20"/>
                <w:lang w:eastAsia="en-IN"/>
              </w:rPr>
            </w:pPr>
            <w:r w:rsidRPr="005319B3">
              <w:rPr>
                <w:rFonts w:ascii="Times New Roman" w:eastAsia="Times New Roman" w:hAnsi="Times New Roman" w:cs="Times New Roman"/>
                <w:i/>
                <w:iCs/>
                <w:sz w:val="20"/>
                <w:szCs w:val="20"/>
                <w:lang w:eastAsia="en-IN"/>
              </w:rPr>
              <w:t>E. coli</w:t>
            </w:r>
            <w:r w:rsidRPr="005319B3">
              <w:rPr>
                <w:rFonts w:ascii="Times New Roman" w:eastAsia="Times New Roman" w:hAnsi="Times New Roman" w:cs="Times New Roman"/>
                <w:sz w:val="20"/>
                <w:szCs w:val="20"/>
                <w:lang w:eastAsia="en-IN"/>
              </w:rPr>
              <w:t xml:space="preserve">, </w:t>
            </w:r>
            <w:r w:rsidRPr="005319B3">
              <w:rPr>
                <w:rFonts w:ascii="Times New Roman" w:eastAsia="Times New Roman" w:hAnsi="Times New Roman" w:cs="Times New Roman"/>
                <w:i/>
                <w:iCs/>
                <w:sz w:val="20"/>
                <w:szCs w:val="20"/>
                <w:lang w:eastAsia="en-IN"/>
              </w:rPr>
              <w:t>Acinetobacter</w:t>
            </w:r>
            <w:r w:rsidRPr="005319B3">
              <w:rPr>
                <w:rFonts w:ascii="Times New Roman" w:eastAsia="Times New Roman" w:hAnsi="Times New Roman" w:cs="Times New Roman"/>
                <w:sz w:val="20"/>
                <w:szCs w:val="20"/>
                <w:lang w:eastAsia="en-IN"/>
              </w:rPr>
              <w:t xml:space="preserve"> spp., </w:t>
            </w:r>
            <w:r w:rsidRPr="005319B3">
              <w:rPr>
                <w:rFonts w:ascii="Times New Roman" w:eastAsia="Times New Roman" w:hAnsi="Times New Roman" w:cs="Times New Roman"/>
                <w:i/>
                <w:iCs/>
                <w:sz w:val="20"/>
                <w:szCs w:val="20"/>
                <w:lang w:eastAsia="en-IN"/>
              </w:rPr>
              <w:t>Vibrio</w:t>
            </w:r>
            <w:r w:rsidRPr="005319B3">
              <w:rPr>
                <w:rFonts w:ascii="Times New Roman" w:eastAsia="Times New Roman" w:hAnsi="Times New Roman" w:cs="Times New Roman"/>
                <w:sz w:val="20"/>
                <w:szCs w:val="20"/>
                <w:lang w:eastAsia="en-IN"/>
              </w:rPr>
              <w:t xml:space="preserve"> spp., </w:t>
            </w:r>
            <w:r w:rsidRPr="005319B3">
              <w:rPr>
                <w:rFonts w:ascii="Times New Roman" w:eastAsia="Times New Roman" w:hAnsi="Times New Roman" w:cs="Times New Roman"/>
                <w:i/>
                <w:iCs/>
                <w:sz w:val="20"/>
                <w:szCs w:val="20"/>
                <w:lang w:eastAsia="en-IN"/>
              </w:rPr>
              <w:t>Shewanella</w:t>
            </w:r>
            <w:r w:rsidRPr="005319B3">
              <w:rPr>
                <w:rFonts w:ascii="Times New Roman" w:eastAsia="Times New Roman" w:hAnsi="Times New Roman" w:cs="Times New Roman"/>
                <w:sz w:val="20"/>
                <w:szCs w:val="20"/>
                <w:lang w:eastAsia="en-IN"/>
              </w:rPr>
              <w:t xml:space="preserve"> spp.</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EDE81EF" w14:textId="77777777" w:rsidR="005319B3" w:rsidRPr="005319B3" w:rsidRDefault="005319B3" w:rsidP="005319B3">
            <w:pPr>
              <w:spacing w:before="40" w:after="40" w:line="240" w:lineRule="auto"/>
              <w:rPr>
                <w:rFonts w:ascii="Times New Roman" w:eastAsia="Times New Roman" w:hAnsi="Times New Roman" w:cs="Times New Roman"/>
                <w:sz w:val="20"/>
                <w:szCs w:val="20"/>
                <w:lang w:eastAsia="en-IN"/>
              </w:rPr>
            </w:pPr>
            <w:r w:rsidRPr="005319B3">
              <w:rPr>
                <w:rFonts w:ascii="Times New Roman" w:eastAsia="Times New Roman" w:hAnsi="Times New Roman" w:cs="Times New Roman"/>
                <w:sz w:val="20"/>
                <w:szCs w:val="20"/>
                <w:lang w:eastAsia="en-IN"/>
              </w:rPr>
              <w:t>Class 1 Integrons, Plasmids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92B9107" w14:textId="77777777" w:rsidR="005319B3" w:rsidRPr="005319B3" w:rsidRDefault="005319B3" w:rsidP="005319B3">
            <w:pPr>
              <w:spacing w:before="40" w:after="40" w:line="240" w:lineRule="auto"/>
              <w:rPr>
                <w:rFonts w:ascii="Times New Roman" w:eastAsia="Times New Roman" w:hAnsi="Times New Roman" w:cs="Times New Roman"/>
                <w:sz w:val="20"/>
                <w:szCs w:val="20"/>
                <w:lang w:eastAsia="en-IN"/>
              </w:rPr>
            </w:pPr>
            <w:r w:rsidRPr="005319B3">
              <w:rPr>
                <w:rFonts w:ascii="Times New Roman" w:eastAsia="Times New Roman" w:hAnsi="Times New Roman" w:cs="Times New Roman"/>
                <w:sz w:val="20"/>
                <w:szCs w:val="20"/>
                <w:lang w:eastAsia="en-IN"/>
              </w:rPr>
              <w:t>(Uyaguari-Díaz et al., 2018)</w:t>
            </w:r>
          </w:p>
        </w:tc>
      </w:tr>
      <w:tr w:rsidR="005319B3" w:rsidRPr="005319B3" w14:paraId="22538405" w14:textId="77777777" w:rsidTr="00A859AA">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6E6247AE" w14:textId="77777777" w:rsidR="005319B3" w:rsidRPr="005319B3" w:rsidRDefault="005319B3" w:rsidP="005319B3">
            <w:pPr>
              <w:spacing w:before="40" w:after="40" w:line="240" w:lineRule="auto"/>
              <w:rPr>
                <w:rFonts w:ascii="Times New Roman" w:eastAsia="Times New Roman" w:hAnsi="Times New Roman" w:cs="Times New Roman"/>
                <w:sz w:val="20"/>
                <w:szCs w:val="20"/>
                <w:lang w:eastAsia="en-IN"/>
              </w:rPr>
            </w:pPr>
          </w:p>
        </w:tc>
        <w:tc>
          <w:tcPr>
            <w:tcW w:w="0" w:type="auto"/>
            <w:tcBorders>
              <w:top w:val="single" w:sz="4" w:space="0" w:color="auto"/>
              <w:bottom w:val="single" w:sz="4" w:space="0" w:color="auto"/>
            </w:tcBorders>
            <w:tcMar>
              <w:top w:w="80" w:type="dxa"/>
              <w:left w:w="120" w:type="dxa"/>
              <w:bottom w:w="80" w:type="dxa"/>
              <w:right w:w="120" w:type="dxa"/>
            </w:tcMar>
            <w:vAlign w:val="center"/>
          </w:tcPr>
          <w:p w14:paraId="4B64DB44" w14:textId="77777777" w:rsidR="005319B3" w:rsidRPr="005319B3" w:rsidRDefault="005319B3" w:rsidP="005319B3">
            <w:pPr>
              <w:spacing w:before="40" w:after="40" w:line="240" w:lineRule="auto"/>
              <w:rPr>
                <w:rFonts w:ascii="Times New Roman" w:eastAsia="Times New Roman" w:hAnsi="Times New Roman" w:cs="Times New Roman"/>
                <w:sz w:val="20"/>
                <w:szCs w:val="20"/>
                <w:lang w:eastAsia="en-IN"/>
              </w:rPr>
            </w:pPr>
            <w:r w:rsidRPr="005319B3">
              <w:rPr>
                <w:rFonts w:ascii="Times New Roman" w:eastAsia="Times New Roman" w:hAnsi="Times New Roman" w:cs="Times New Roman"/>
                <w:sz w:val="20"/>
                <w:szCs w:val="20"/>
                <w:u w:val="single"/>
                <w:lang w:eastAsia="en-IN"/>
              </w:rPr>
              <w:t>sul4</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73C9FAF" w14:textId="77777777" w:rsidR="005319B3" w:rsidRPr="005319B3" w:rsidRDefault="005319B3" w:rsidP="005319B3">
            <w:pPr>
              <w:spacing w:before="40" w:after="40" w:line="240" w:lineRule="auto"/>
              <w:rPr>
                <w:rFonts w:ascii="Times New Roman" w:eastAsia="Times New Roman" w:hAnsi="Times New Roman" w:cs="Times New Roman"/>
                <w:sz w:val="20"/>
                <w:szCs w:val="20"/>
                <w:lang w:eastAsia="en-IN"/>
              </w:rPr>
            </w:pPr>
            <w:r w:rsidRPr="005319B3">
              <w:rPr>
                <w:rFonts w:ascii="Times New Roman" w:eastAsia="Times New Roman" w:hAnsi="Times New Roman" w:cs="Times New Roman"/>
                <w:sz w:val="20"/>
                <w:szCs w:val="20"/>
                <w:lang w:eastAsia="en-IN"/>
              </w:rPr>
              <w:t>Marine bacteria</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BC6F090" w14:textId="77777777" w:rsidR="005319B3" w:rsidRPr="005319B3" w:rsidRDefault="005319B3" w:rsidP="005319B3">
            <w:pPr>
              <w:spacing w:before="40" w:after="40" w:line="240" w:lineRule="auto"/>
              <w:rPr>
                <w:rFonts w:ascii="Times New Roman" w:eastAsia="Times New Roman" w:hAnsi="Times New Roman" w:cs="Times New Roman"/>
                <w:sz w:val="20"/>
                <w:szCs w:val="20"/>
                <w:lang w:eastAsia="en-IN"/>
              </w:rPr>
            </w:pPr>
            <w:r w:rsidRPr="005319B3">
              <w:rPr>
                <w:rFonts w:ascii="Times New Roman" w:eastAsia="Times New Roman" w:hAnsi="Times New Roman" w:cs="Times New Roman"/>
                <w:sz w:val="20"/>
                <w:szCs w:val="20"/>
                <w:lang w:eastAsia="en-IN"/>
              </w:rPr>
              <w:t>Genomic islands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A07A50B" w14:textId="77777777" w:rsidR="005319B3" w:rsidRPr="005319B3" w:rsidRDefault="005319B3" w:rsidP="005319B3">
            <w:pPr>
              <w:spacing w:before="40" w:after="40" w:line="240" w:lineRule="auto"/>
              <w:rPr>
                <w:rFonts w:ascii="Times New Roman" w:eastAsia="Times New Roman" w:hAnsi="Times New Roman" w:cs="Times New Roman"/>
                <w:sz w:val="20"/>
                <w:szCs w:val="20"/>
                <w:lang w:eastAsia="en-IN"/>
              </w:rPr>
            </w:pPr>
            <w:r w:rsidRPr="005319B3">
              <w:rPr>
                <w:rFonts w:ascii="Times New Roman" w:eastAsia="Times New Roman" w:hAnsi="Times New Roman" w:cs="Times New Roman"/>
                <w:sz w:val="20"/>
                <w:szCs w:val="20"/>
                <w:lang w:eastAsia="en-IN"/>
              </w:rPr>
              <w:t>(Shindoh et al., 2023)</w:t>
            </w:r>
          </w:p>
        </w:tc>
      </w:tr>
      <w:tr w:rsidR="005319B3" w:rsidRPr="005319B3" w14:paraId="10E164F7" w14:textId="77777777" w:rsidTr="00A859AA">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78FC724E" w14:textId="77777777" w:rsidR="005319B3" w:rsidRPr="005319B3" w:rsidRDefault="005319B3" w:rsidP="005319B3">
            <w:pPr>
              <w:spacing w:before="40" w:after="40" w:line="240" w:lineRule="auto"/>
              <w:rPr>
                <w:rFonts w:ascii="Times New Roman" w:eastAsia="Times New Roman" w:hAnsi="Times New Roman" w:cs="Times New Roman"/>
                <w:sz w:val="20"/>
                <w:szCs w:val="20"/>
                <w:lang w:eastAsia="en-IN"/>
              </w:rPr>
            </w:pPr>
            <w:r w:rsidRPr="005319B3">
              <w:rPr>
                <w:rFonts w:ascii="Times New Roman" w:eastAsia="Times New Roman" w:hAnsi="Times New Roman" w:cs="Times New Roman"/>
                <w:b/>
                <w:bCs/>
                <w:sz w:val="20"/>
                <w:szCs w:val="20"/>
                <w:lang w:eastAsia="en-IN"/>
              </w:rPr>
              <w:t>Quinolones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7BA06E9" w14:textId="77777777" w:rsidR="005319B3" w:rsidRPr="005319B3" w:rsidRDefault="005319B3" w:rsidP="005319B3">
            <w:pPr>
              <w:spacing w:before="40" w:after="40" w:line="240" w:lineRule="auto"/>
              <w:rPr>
                <w:rFonts w:ascii="Times New Roman" w:eastAsia="Times New Roman" w:hAnsi="Times New Roman" w:cs="Times New Roman"/>
                <w:sz w:val="20"/>
                <w:szCs w:val="20"/>
                <w:lang w:eastAsia="en-IN"/>
              </w:rPr>
            </w:pPr>
            <w:r w:rsidRPr="005319B3">
              <w:rPr>
                <w:rFonts w:ascii="Times New Roman" w:eastAsia="Times New Roman" w:hAnsi="Times New Roman" w:cs="Times New Roman"/>
                <w:sz w:val="20"/>
                <w:szCs w:val="20"/>
                <w:u w:val="single"/>
                <w:lang w:eastAsia="en-IN"/>
              </w:rPr>
              <w:t>qnrA</w:t>
            </w:r>
            <w:r w:rsidRPr="005319B3">
              <w:rPr>
                <w:rFonts w:ascii="Times New Roman" w:eastAsia="Times New Roman" w:hAnsi="Times New Roman" w:cs="Times New Roman"/>
                <w:sz w:val="20"/>
                <w:szCs w:val="20"/>
                <w:lang w:eastAsia="en-IN"/>
              </w:rPr>
              <w:t xml:space="preserve">, </w:t>
            </w:r>
            <w:r w:rsidRPr="005319B3">
              <w:rPr>
                <w:rFonts w:ascii="Times New Roman" w:eastAsia="Times New Roman" w:hAnsi="Times New Roman" w:cs="Times New Roman"/>
                <w:sz w:val="20"/>
                <w:szCs w:val="20"/>
                <w:u w:val="single"/>
                <w:lang w:eastAsia="en-IN"/>
              </w:rPr>
              <w:t>qnrB</w:t>
            </w:r>
            <w:r w:rsidRPr="005319B3">
              <w:rPr>
                <w:rFonts w:ascii="Times New Roman" w:eastAsia="Times New Roman" w:hAnsi="Times New Roman" w:cs="Times New Roman"/>
                <w:sz w:val="20"/>
                <w:szCs w:val="20"/>
                <w:lang w:eastAsia="en-IN"/>
              </w:rPr>
              <w:t xml:space="preserve">, </w:t>
            </w:r>
            <w:r w:rsidRPr="005319B3">
              <w:rPr>
                <w:rFonts w:ascii="Times New Roman" w:eastAsia="Times New Roman" w:hAnsi="Times New Roman" w:cs="Times New Roman"/>
                <w:sz w:val="20"/>
                <w:szCs w:val="20"/>
                <w:u w:val="single"/>
                <w:lang w:eastAsia="en-IN"/>
              </w:rPr>
              <w:t>qnrS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6A7D3C4" w14:textId="77777777" w:rsidR="005319B3" w:rsidRPr="005319B3" w:rsidRDefault="005319B3" w:rsidP="005319B3">
            <w:pPr>
              <w:spacing w:before="40" w:after="40" w:line="240" w:lineRule="auto"/>
              <w:rPr>
                <w:rFonts w:ascii="Times New Roman" w:eastAsia="Times New Roman" w:hAnsi="Times New Roman" w:cs="Times New Roman"/>
                <w:sz w:val="20"/>
                <w:szCs w:val="20"/>
                <w:lang w:eastAsia="en-IN"/>
              </w:rPr>
            </w:pPr>
            <w:r w:rsidRPr="005319B3">
              <w:rPr>
                <w:rFonts w:ascii="Times New Roman" w:eastAsia="Times New Roman" w:hAnsi="Times New Roman" w:cs="Times New Roman"/>
                <w:i/>
                <w:iCs/>
                <w:sz w:val="20"/>
                <w:szCs w:val="20"/>
                <w:lang w:eastAsia="en-IN"/>
              </w:rPr>
              <w:t>Vibrio</w:t>
            </w:r>
            <w:r w:rsidRPr="005319B3">
              <w:rPr>
                <w:rFonts w:ascii="Times New Roman" w:eastAsia="Times New Roman" w:hAnsi="Times New Roman" w:cs="Times New Roman"/>
                <w:sz w:val="20"/>
                <w:szCs w:val="20"/>
                <w:lang w:eastAsia="en-IN"/>
              </w:rPr>
              <w:t xml:space="preserve"> spp., </w:t>
            </w:r>
            <w:r w:rsidRPr="005319B3">
              <w:rPr>
                <w:rFonts w:ascii="Times New Roman" w:eastAsia="Times New Roman" w:hAnsi="Times New Roman" w:cs="Times New Roman"/>
                <w:i/>
                <w:iCs/>
                <w:sz w:val="20"/>
                <w:szCs w:val="20"/>
                <w:lang w:eastAsia="en-IN"/>
              </w:rPr>
              <w:t>Shewanella</w:t>
            </w:r>
            <w:r w:rsidRPr="005319B3">
              <w:rPr>
                <w:rFonts w:ascii="Times New Roman" w:eastAsia="Times New Roman" w:hAnsi="Times New Roman" w:cs="Times New Roman"/>
                <w:sz w:val="20"/>
                <w:szCs w:val="20"/>
                <w:lang w:eastAsia="en-IN"/>
              </w:rPr>
              <w:t xml:space="preserve"> spp., </w:t>
            </w:r>
            <w:r w:rsidRPr="005319B3">
              <w:rPr>
                <w:rFonts w:ascii="Times New Roman" w:eastAsia="Times New Roman" w:hAnsi="Times New Roman" w:cs="Times New Roman"/>
                <w:i/>
                <w:iCs/>
                <w:sz w:val="20"/>
                <w:szCs w:val="20"/>
                <w:lang w:eastAsia="en-IN"/>
              </w:rPr>
              <w:t>E. coli</w:t>
            </w:r>
            <w:r w:rsidRPr="005319B3">
              <w:rPr>
                <w:rFonts w:ascii="Times New Roman" w:eastAsia="Times New Roman" w:hAnsi="Times New Roman" w:cs="Times New Roman"/>
                <w:sz w:val="20"/>
                <w:szCs w:val="20"/>
                <w:lang w:eastAsia="en-IN"/>
              </w:rPr>
              <w:t>, Enterobacteriaceae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F73C5BD" w14:textId="77777777" w:rsidR="005319B3" w:rsidRPr="005319B3" w:rsidRDefault="005319B3" w:rsidP="005319B3">
            <w:pPr>
              <w:spacing w:before="40" w:after="40" w:line="240" w:lineRule="auto"/>
              <w:rPr>
                <w:rFonts w:ascii="Times New Roman" w:eastAsia="Times New Roman" w:hAnsi="Times New Roman" w:cs="Times New Roman"/>
                <w:sz w:val="20"/>
                <w:szCs w:val="20"/>
                <w:lang w:eastAsia="en-IN"/>
              </w:rPr>
            </w:pPr>
            <w:r w:rsidRPr="005319B3">
              <w:rPr>
                <w:rFonts w:ascii="Times New Roman" w:eastAsia="Times New Roman" w:hAnsi="Times New Roman" w:cs="Times New Roman"/>
                <w:sz w:val="20"/>
                <w:szCs w:val="20"/>
                <w:lang w:eastAsia="en-IN"/>
              </w:rPr>
              <w:t>Plasmids (often linked to other ARGs)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775E510" w14:textId="77777777" w:rsidR="005319B3" w:rsidRPr="005319B3" w:rsidRDefault="005319B3" w:rsidP="005319B3">
            <w:pPr>
              <w:spacing w:before="40" w:after="40" w:line="240" w:lineRule="auto"/>
              <w:rPr>
                <w:rFonts w:ascii="Times New Roman" w:eastAsia="Times New Roman" w:hAnsi="Times New Roman" w:cs="Times New Roman"/>
                <w:sz w:val="20"/>
                <w:szCs w:val="20"/>
                <w:lang w:eastAsia="en-IN"/>
              </w:rPr>
            </w:pPr>
            <w:r w:rsidRPr="005319B3">
              <w:rPr>
                <w:rFonts w:ascii="Times New Roman" w:eastAsia="Times New Roman" w:hAnsi="Times New Roman" w:cs="Times New Roman"/>
                <w:sz w:val="20"/>
                <w:szCs w:val="20"/>
                <w:lang w:eastAsia="en-IN"/>
              </w:rPr>
              <w:t>(Yan et al., 2017)</w:t>
            </w:r>
          </w:p>
        </w:tc>
      </w:tr>
      <w:tr w:rsidR="005319B3" w:rsidRPr="005319B3" w14:paraId="177F8055" w14:textId="77777777" w:rsidTr="00A859AA">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31EB1C84" w14:textId="77777777" w:rsidR="005319B3" w:rsidRPr="005319B3" w:rsidRDefault="005319B3" w:rsidP="005319B3">
            <w:pPr>
              <w:spacing w:before="40" w:after="40" w:line="240" w:lineRule="auto"/>
              <w:rPr>
                <w:rFonts w:ascii="Times New Roman" w:eastAsia="Times New Roman" w:hAnsi="Times New Roman" w:cs="Times New Roman"/>
                <w:sz w:val="20"/>
                <w:szCs w:val="20"/>
                <w:lang w:eastAsia="en-IN"/>
              </w:rPr>
            </w:pPr>
            <w:r w:rsidRPr="005319B3">
              <w:rPr>
                <w:rFonts w:ascii="Times New Roman" w:eastAsia="Times New Roman" w:hAnsi="Times New Roman" w:cs="Times New Roman"/>
                <w:b/>
                <w:bCs/>
                <w:sz w:val="20"/>
                <w:szCs w:val="20"/>
                <w:lang w:eastAsia="en-IN"/>
              </w:rPr>
              <w:t>Aminoglycosides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3B1C40E" w14:textId="77777777" w:rsidR="005319B3" w:rsidRPr="005319B3" w:rsidRDefault="005319B3" w:rsidP="005319B3">
            <w:pPr>
              <w:spacing w:before="40" w:after="40" w:line="240" w:lineRule="auto"/>
              <w:rPr>
                <w:rFonts w:ascii="Times New Roman" w:eastAsia="Times New Roman" w:hAnsi="Times New Roman" w:cs="Times New Roman"/>
                <w:sz w:val="20"/>
                <w:szCs w:val="20"/>
                <w:lang w:eastAsia="en-IN"/>
              </w:rPr>
            </w:pPr>
            <w:r w:rsidRPr="005319B3">
              <w:rPr>
                <w:rFonts w:ascii="Times New Roman" w:eastAsia="Times New Roman" w:hAnsi="Times New Roman" w:cs="Times New Roman"/>
                <w:sz w:val="20"/>
                <w:szCs w:val="20"/>
                <w:u w:val="single"/>
                <w:lang w:eastAsia="en-IN"/>
              </w:rPr>
              <w:t>aph(3')-Ia</w:t>
            </w:r>
            <w:r w:rsidRPr="005319B3">
              <w:rPr>
                <w:rFonts w:ascii="Times New Roman" w:eastAsia="Times New Roman" w:hAnsi="Times New Roman" w:cs="Times New Roman"/>
                <w:sz w:val="20"/>
                <w:szCs w:val="20"/>
                <w:lang w:eastAsia="en-IN"/>
              </w:rPr>
              <w:t xml:space="preserve">, </w:t>
            </w:r>
            <w:r w:rsidRPr="005319B3">
              <w:rPr>
                <w:rFonts w:ascii="Times New Roman" w:eastAsia="Times New Roman" w:hAnsi="Times New Roman" w:cs="Times New Roman"/>
                <w:sz w:val="20"/>
                <w:szCs w:val="20"/>
                <w:u w:val="single"/>
                <w:lang w:eastAsia="en-IN"/>
              </w:rPr>
              <w:t>aadA</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5BB073A" w14:textId="77777777" w:rsidR="005319B3" w:rsidRPr="005319B3" w:rsidRDefault="005319B3" w:rsidP="005319B3">
            <w:pPr>
              <w:spacing w:before="40" w:after="40" w:line="240" w:lineRule="auto"/>
              <w:rPr>
                <w:rFonts w:ascii="Times New Roman" w:eastAsia="Times New Roman" w:hAnsi="Times New Roman" w:cs="Times New Roman"/>
                <w:sz w:val="20"/>
                <w:szCs w:val="20"/>
                <w:lang w:eastAsia="en-IN"/>
              </w:rPr>
            </w:pPr>
            <w:r w:rsidRPr="005319B3">
              <w:rPr>
                <w:rFonts w:ascii="Times New Roman" w:eastAsia="Times New Roman" w:hAnsi="Times New Roman" w:cs="Times New Roman"/>
                <w:i/>
                <w:iCs/>
                <w:sz w:val="20"/>
                <w:szCs w:val="20"/>
                <w:lang w:eastAsia="en-IN"/>
              </w:rPr>
              <w:t>E. coli</w:t>
            </w:r>
            <w:r w:rsidRPr="005319B3">
              <w:rPr>
                <w:rFonts w:ascii="Times New Roman" w:eastAsia="Times New Roman" w:hAnsi="Times New Roman" w:cs="Times New Roman"/>
                <w:sz w:val="20"/>
                <w:szCs w:val="20"/>
                <w:lang w:eastAsia="en-IN"/>
              </w:rPr>
              <w:t xml:space="preserve">, </w:t>
            </w:r>
            <w:r w:rsidRPr="005319B3">
              <w:rPr>
                <w:rFonts w:ascii="Times New Roman" w:eastAsia="Times New Roman" w:hAnsi="Times New Roman" w:cs="Times New Roman"/>
                <w:i/>
                <w:iCs/>
                <w:sz w:val="20"/>
                <w:szCs w:val="20"/>
                <w:lang w:eastAsia="en-IN"/>
              </w:rPr>
              <w:t>Pseudomonas</w:t>
            </w:r>
            <w:r w:rsidRPr="005319B3">
              <w:rPr>
                <w:rFonts w:ascii="Times New Roman" w:eastAsia="Times New Roman" w:hAnsi="Times New Roman" w:cs="Times New Roman"/>
                <w:sz w:val="20"/>
                <w:szCs w:val="20"/>
                <w:lang w:eastAsia="en-IN"/>
              </w:rPr>
              <w:t xml:space="preserve"> spp., </w:t>
            </w:r>
            <w:r w:rsidRPr="005319B3">
              <w:rPr>
                <w:rFonts w:ascii="Times New Roman" w:eastAsia="Times New Roman" w:hAnsi="Times New Roman" w:cs="Times New Roman"/>
                <w:i/>
                <w:iCs/>
                <w:sz w:val="20"/>
                <w:szCs w:val="20"/>
                <w:lang w:eastAsia="en-IN"/>
              </w:rPr>
              <w:t>Acinetobacter</w:t>
            </w:r>
            <w:r w:rsidRPr="005319B3">
              <w:rPr>
                <w:rFonts w:ascii="Times New Roman" w:eastAsia="Times New Roman" w:hAnsi="Times New Roman" w:cs="Times New Roman"/>
                <w:sz w:val="20"/>
                <w:szCs w:val="20"/>
                <w:lang w:eastAsia="en-IN"/>
              </w:rPr>
              <w:t xml:space="preserve"> spp.</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3113A7A" w14:textId="77777777" w:rsidR="005319B3" w:rsidRPr="005319B3" w:rsidRDefault="005319B3" w:rsidP="005319B3">
            <w:pPr>
              <w:spacing w:before="40" w:after="40" w:line="240" w:lineRule="auto"/>
              <w:rPr>
                <w:rFonts w:ascii="Times New Roman" w:eastAsia="Times New Roman" w:hAnsi="Times New Roman" w:cs="Times New Roman"/>
                <w:sz w:val="20"/>
                <w:szCs w:val="20"/>
                <w:lang w:eastAsia="en-IN"/>
              </w:rPr>
            </w:pPr>
            <w:r w:rsidRPr="005319B3">
              <w:rPr>
                <w:rFonts w:ascii="Times New Roman" w:eastAsia="Times New Roman" w:hAnsi="Times New Roman" w:cs="Times New Roman"/>
                <w:sz w:val="20"/>
                <w:szCs w:val="20"/>
                <w:lang w:eastAsia="en-IN"/>
              </w:rPr>
              <w:t>Transposons, Class 1 and 2 Integrons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6FD1E47" w14:textId="19F69C29" w:rsidR="005319B3" w:rsidRPr="005319B3" w:rsidRDefault="005D1C1D" w:rsidP="005319B3">
            <w:pPr>
              <w:spacing w:before="40" w:after="40" w:line="240" w:lineRule="auto"/>
              <w:rPr>
                <w:rFonts w:ascii="Times New Roman" w:eastAsia="Times New Roman" w:hAnsi="Times New Roman" w:cs="Times New Roman"/>
                <w:sz w:val="20"/>
                <w:szCs w:val="20"/>
                <w:lang w:eastAsia="en-IN"/>
              </w:rPr>
            </w:pPr>
            <w:r w:rsidRPr="005D1C1D">
              <w:rPr>
                <w:rFonts w:ascii="Times New Roman" w:eastAsia="Times New Roman" w:hAnsi="Times New Roman" w:cs="Times New Roman"/>
                <w:sz w:val="20"/>
                <w:szCs w:val="20"/>
                <w:lang w:eastAsia="en-IN"/>
              </w:rPr>
              <w:t>Adesoji</w:t>
            </w:r>
            <w:r>
              <w:rPr>
                <w:rFonts w:ascii="Times New Roman" w:eastAsia="Times New Roman" w:hAnsi="Times New Roman" w:cs="Times New Roman"/>
                <w:sz w:val="20"/>
                <w:szCs w:val="20"/>
                <w:lang w:eastAsia="en-IN"/>
              </w:rPr>
              <w:t xml:space="preserve"> et al., 2019</w:t>
            </w:r>
          </w:p>
        </w:tc>
      </w:tr>
      <w:tr w:rsidR="005319B3" w:rsidRPr="005319B3" w14:paraId="776CDE4B" w14:textId="77777777" w:rsidTr="00A859AA">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116AFDFF" w14:textId="77777777" w:rsidR="005319B3" w:rsidRPr="005319B3" w:rsidRDefault="005319B3" w:rsidP="005319B3">
            <w:pPr>
              <w:spacing w:before="40" w:after="40" w:line="240" w:lineRule="auto"/>
              <w:rPr>
                <w:rFonts w:ascii="Times New Roman" w:eastAsia="Times New Roman" w:hAnsi="Times New Roman" w:cs="Times New Roman"/>
                <w:sz w:val="20"/>
                <w:szCs w:val="20"/>
                <w:lang w:eastAsia="en-IN"/>
              </w:rPr>
            </w:pPr>
            <w:r w:rsidRPr="005319B3">
              <w:rPr>
                <w:rFonts w:ascii="Times New Roman" w:eastAsia="Times New Roman" w:hAnsi="Times New Roman" w:cs="Times New Roman"/>
                <w:b/>
                <w:bCs/>
                <w:sz w:val="20"/>
                <w:szCs w:val="20"/>
                <w:lang w:eastAsia="en-IN"/>
              </w:rPr>
              <w:t>Macrolides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09ECD31" w14:textId="77777777" w:rsidR="005319B3" w:rsidRPr="005319B3" w:rsidRDefault="005319B3" w:rsidP="005319B3">
            <w:pPr>
              <w:spacing w:before="40" w:after="40" w:line="240" w:lineRule="auto"/>
              <w:rPr>
                <w:rFonts w:ascii="Times New Roman" w:eastAsia="Times New Roman" w:hAnsi="Times New Roman" w:cs="Times New Roman"/>
                <w:sz w:val="20"/>
                <w:szCs w:val="20"/>
                <w:lang w:eastAsia="en-IN"/>
              </w:rPr>
            </w:pPr>
            <w:r w:rsidRPr="005319B3">
              <w:rPr>
                <w:rFonts w:ascii="Times New Roman" w:eastAsia="Times New Roman" w:hAnsi="Times New Roman" w:cs="Times New Roman"/>
                <w:sz w:val="20"/>
                <w:szCs w:val="20"/>
                <w:u w:val="single"/>
                <w:lang w:eastAsia="en-IN"/>
              </w:rPr>
              <w:t>ermB</w:t>
            </w:r>
            <w:r w:rsidRPr="005319B3">
              <w:rPr>
                <w:rFonts w:ascii="Times New Roman" w:eastAsia="Times New Roman" w:hAnsi="Times New Roman" w:cs="Times New Roman"/>
                <w:sz w:val="20"/>
                <w:szCs w:val="20"/>
                <w:lang w:eastAsia="en-IN"/>
              </w:rPr>
              <w:t xml:space="preserve">, </w:t>
            </w:r>
            <w:r w:rsidRPr="005319B3">
              <w:rPr>
                <w:rFonts w:ascii="Times New Roman" w:eastAsia="Times New Roman" w:hAnsi="Times New Roman" w:cs="Times New Roman"/>
                <w:sz w:val="20"/>
                <w:szCs w:val="20"/>
                <w:u w:val="single"/>
                <w:lang w:eastAsia="en-IN"/>
              </w:rPr>
              <w:t>ermF</w:t>
            </w:r>
            <w:r w:rsidRPr="005319B3">
              <w:rPr>
                <w:rFonts w:ascii="Times New Roman" w:eastAsia="Times New Roman" w:hAnsi="Times New Roman" w:cs="Times New Roman"/>
                <w:sz w:val="20"/>
                <w:szCs w:val="20"/>
                <w:lang w:eastAsia="en-IN"/>
              </w:rPr>
              <w:t xml:space="preserve">, </w:t>
            </w:r>
            <w:r w:rsidRPr="005319B3">
              <w:rPr>
                <w:rFonts w:ascii="Times New Roman" w:eastAsia="Times New Roman" w:hAnsi="Times New Roman" w:cs="Times New Roman"/>
                <w:sz w:val="20"/>
                <w:szCs w:val="20"/>
                <w:u w:val="single"/>
                <w:lang w:eastAsia="en-IN"/>
              </w:rPr>
              <w:t>mphA</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732BB6C" w14:textId="77777777" w:rsidR="005319B3" w:rsidRPr="005319B3" w:rsidRDefault="005319B3" w:rsidP="005319B3">
            <w:pPr>
              <w:spacing w:before="40" w:after="40" w:line="240" w:lineRule="auto"/>
              <w:rPr>
                <w:rFonts w:ascii="Times New Roman" w:eastAsia="Times New Roman" w:hAnsi="Times New Roman" w:cs="Times New Roman"/>
                <w:sz w:val="20"/>
                <w:szCs w:val="20"/>
                <w:lang w:eastAsia="en-IN"/>
              </w:rPr>
            </w:pPr>
            <w:r w:rsidRPr="005319B3">
              <w:rPr>
                <w:rFonts w:ascii="Times New Roman" w:eastAsia="Times New Roman" w:hAnsi="Times New Roman" w:cs="Times New Roman"/>
                <w:i/>
                <w:iCs/>
                <w:sz w:val="20"/>
                <w:szCs w:val="20"/>
                <w:lang w:eastAsia="en-IN"/>
              </w:rPr>
              <w:t>Erythromycin-resistant bacteria</w:t>
            </w:r>
            <w:r w:rsidRPr="005319B3">
              <w:rPr>
                <w:rFonts w:ascii="Times New Roman" w:eastAsia="Times New Roman" w:hAnsi="Times New Roman" w:cs="Times New Roman"/>
                <w:sz w:val="20"/>
                <w:szCs w:val="20"/>
                <w:lang w:eastAsia="en-IN"/>
              </w:rPr>
              <w:t xml:space="preserve">, </w:t>
            </w:r>
            <w:r w:rsidRPr="005319B3">
              <w:rPr>
                <w:rFonts w:ascii="Times New Roman" w:eastAsia="Times New Roman" w:hAnsi="Times New Roman" w:cs="Times New Roman"/>
                <w:i/>
                <w:iCs/>
                <w:sz w:val="20"/>
                <w:szCs w:val="20"/>
                <w:lang w:eastAsia="en-IN"/>
              </w:rPr>
              <w:t>Vibrio</w:t>
            </w:r>
            <w:r w:rsidRPr="005319B3">
              <w:rPr>
                <w:rFonts w:ascii="Times New Roman" w:eastAsia="Times New Roman" w:hAnsi="Times New Roman" w:cs="Times New Roman"/>
                <w:sz w:val="20"/>
                <w:szCs w:val="20"/>
                <w:lang w:eastAsia="en-IN"/>
              </w:rPr>
              <w:t xml:space="preserve"> spp., </w:t>
            </w:r>
            <w:r w:rsidRPr="005319B3">
              <w:rPr>
                <w:rFonts w:ascii="Times New Roman" w:eastAsia="Times New Roman" w:hAnsi="Times New Roman" w:cs="Times New Roman"/>
                <w:i/>
                <w:iCs/>
                <w:sz w:val="20"/>
                <w:szCs w:val="20"/>
                <w:lang w:eastAsia="en-IN"/>
              </w:rPr>
              <w:t>Arcobacter</w:t>
            </w:r>
            <w:r w:rsidRPr="005319B3">
              <w:rPr>
                <w:rFonts w:ascii="Times New Roman" w:eastAsia="Times New Roman" w:hAnsi="Times New Roman" w:cs="Times New Roman"/>
                <w:sz w:val="20"/>
                <w:szCs w:val="20"/>
                <w:lang w:eastAsia="en-IN"/>
              </w:rPr>
              <w:t xml:space="preserve"> spp.</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04D0A47" w14:textId="77777777" w:rsidR="005319B3" w:rsidRPr="005319B3" w:rsidRDefault="005319B3" w:rsidP="005319B3">
            <w:pPr>
              <w:spacing w:before="40" w:after="40" w:line="240" w:lineRule="auto"/>
              <w:rPr>
                <w:rFonts w:ascii="Times New Roman" w:eastAsia="Times New Roman" w:hAnsi="Times New Roman" w:cs="Times New Roman"/>
                <w:sz w:val="20"/>
                <w:szCs w:val="20"/>
                <w:lang w:eastAsia="en-IN"/>
              </w:rPr>
            </w:pPr>
            <w:r w:rsidRPr="005319B3">
              <w:rPr>
                <w:rFonts w:ascii="Times New Roman" w:eastAsia="Times New Roman" w:hAnsi="Times New Roman" w:cs="Times New Roman"/>
                <w:sz w:val="20"/>
                <w:szCs w:val="20"/>
                <w:lang w:eastAsia="en-IN"/>
              </w:rPr>
              <w:t>Plasmids, Transposons (e.g., Tn917)</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6904326" w14:textId="77777777" w:rsidR="005319B3" w:rsidRPr="005319B3" w:rsidRDefault="005319B3" w:rsidP="005319B3">
            <w:pPr>
              <w:spacing w:before="40" w:after="40" w:line="240" w:lineRule="auto"/>
              <w:rPr>
                <w:rFonts w:ascii="Times New Roman" w:eastAsia="Times New Roman" w:hAnsi="Times New Roman" w:cs="Times New Roman"/>
                <w:sz w:val="20"/>
                <w:szCs w:val="20"/>
                <w:lang w:eastAsia="en-IN"/>
              </w:rPr>
            </w:pPr>
            <w:r w:rsidRPr="005319B3">
              <w:rPr>
                <w:rFonts w:ascii="Times New Roman" w:eastAsia="Times New Roman" w:hAnsi="Times New Roman" w:cs="Times New Roman"/>
                <w:sz w:val="20"/>
                <w:szCs w:val="20"/>
                <w:lang w:eastAsia="en-IN"/>
              </w:rPr>
              <w:t>(Neela et al., 2007)</w:t>
            </w:r>
          </w:p>
        </w:tc>
      </w:tr>
    </w:tbl>
    <w:p w14:paraId="3D92250A" w14:textId="77777777" w:rsidR="005319B3" w:rsidRDefault="005319B3" w:rsidP="000A4A7F">
      <w:pPr>
        <w:spacing w:line="480" w:lineRule="auto"/>
        <w:jc w:val="both"/>
        <w:rPr>
          <w:rFonts w:ascii="Times New Roman" w:hAnsi="Times New Roman" w:cs="Times New Roman"/>
          <w:sz w:val="24"/>
          <w:szCs w:val="24"/>
        </w:rPr>
      </w:pPr>
    </w:p>
    <w:p w14:paraId="2A1455CB" w14:textId="77777777" w:rsidR="005319B3" w:rsidRDefault="005319B3" w:rsidP="005319B3">
      <w:pPr>
        <w:spacing w:line="480" w:lineRule="auto"/>
        <w:jc w:val="both"/>
        <w:rPr>
          <w:rFonts w:ascii="Arial" w:hAnsi="Arial" w:cs="Arial"/>
          <w:b/>
          <w:sz w:val="24"/>
          <w:szCs w:val="24"/>
        </w:rPr>
      </w:pPr>
    </w:p>
    <w:p w14:paraId="692C0D8F" w14:textId="77777777" w:rsidR="005319B3" w:rsidRDefault="005319B3" w:rsidP="005319B3">
      <w:pPr>
        <w:spacing w:line="480" w:lineRule="auto"/>
        <w:jc w:val="both"/>
        <w:rPr>
          <w:rFonts w:ascii="Arial" w:hAnsi="Arial" w:cs="Arial"/>
          <w:b/>
          <w:sz w:val="24"/>
          <w:szCs w:val="24"/>
        </w:rPr>
      </w:pPr>
    </w:p>
    <w:p w14:paraId="07136511" w14:textId="77777777" w:rsidR="005319B3" w:rsidRDefault="00522CC0" w:rsidP="005319B3">
      <w:pPr>
        <w:spacing w:line="480" w:lineRule="auto"/>
        <w:jc w:val="both"/>
        <w:rPr>
          <w:rFonts w:ascii="Arial" w:hAnsi="Arial" w:cs="Arial"/>
          <w:b/>
          <w:sz w:val="24"/>
          <w:szCs w:val="24"/>
        </w:rPr>
      </w:pPr>
      <w:r>
        <w:rPr>
          <w:rFonts w:ascii="Arial" w:hAnsi="Arial" w:cs="Arial"/>
          <w:b/>
          <w:sz w:val="24"/>
          <w:szCs w:val="24"/>
        </w:rPr>
        <w:t>4</w:t>
      </w:r>
      <w:r w:rsidR="000A4A7F" w:rsidRPr="00817B25">
        <w:rPr>
          <w:rFonts w:ascii="Arial" w:hAnsi="Arial" w:cs="Arial"/>
          <w:b/>
          <w:sz w:val="24"/>
          <w:szCs w:val="24"/>
        </w:rPr>
        <w:t>.2</w:t>
      </w:r>
      <w:r w:rsidR="00817B25" w:rsidRPr="00817B25">
        <w:rPr>
          <w:rFonts w:ascii="Arial" w:hAnsi="Arial" w:cs="Arial"/>
          <w:b/>
          <w:sz w:val="24"/>
          <w:szCs w:val="24"/>
        </w:rPr>
        <w:t>. Contribution of Biofilms and Mobile Genetic Elements</w:t>
      </w:r>
    </w:p>
    <w:p w14:paraId="47E46BE1" w14:textId="2A23EA8C" w:rsidR="000A4A7F" w:rsidRPr="005319B3" w:rsidRDefault="000A4A7F" w:rsidP="0063708B">
      <w:pPr>
        <w:spacing w:line="480" w:lineRule="auto"/>
        <w:ind w:firstLine="720"/>
        <w:jc w:val="both"/>
        <w:rPr>
          <w:rFonts w:ascii="Arial" w:hAnsi="Arial" w:cs="Arial"/>
          <w:b/>
          <w:sz w:val="24"/>
          <w:szCs w:val="24"/>
        </w:rPr>
      </w:pPr>
      <w:r w:rsidRPr="000A4A7F">
        <w:rPr>
          <w:rFonts w:ascii="Times New Roman" w:hAnsi="Times New Roman" w:cs="Times New Roman"/>
          <w:sz w:val="24"/>
          <w:szCs w:val="24"/>
        </w:rPr>
        <w:t xml:space="preserve">Biofilms, which are aggregates of microorganisms encased in a natural matrix consisting of extracellular polymeric substances (EPS), are increasingly considered as major </w:t>
      </w:r>
      <w:r w:rsidRPr="000A4A7F">
        <w:rPr>
          <w:rFonts w:ascii="Times New Roman" w:hAnsi="Times New Roman" w:cs="Times New Roman"/>
          <w:sz w:val="24"/>
          <w:szCs w:val="24"/>
        </w:rPr>
        <w:lastRenderedPageBreak/>
        <w:t>hotspots for HGT in the aquatic environment (Abe et al., 2020). High cell concentration and close proximity to cells along with the protective role of EPS matrix form an appropriate microe</w:t>
      </w:r>
      <w:r w:rsidR="0063708B">
        <w:rPr>
          <w:rFonts w:ascii="Times New Roman" w:hAnsi="Times New Roman" w:cs="Times New Roman"/>
          <w:sz w:val="24"/>
          <w:szCs w:val="24"/>
        </w:rPr>
        <w:t>nvironment for genetic exchange(Figure-1).</w:t>
      </w:r>
      <w:r w:rsidRPr="000A4A7F">
        <w:rPr>
          <w:rFonts w:ascii="Times New Roman" w:hAnsi="Times New Roman" w:cs="Times New Roman"/>
          <w:sz w:val="24"/>
          <w:szCs w:val="24"/>
        </w:rPr>
        <w:t xml:space="preserve"> It has repeatedly been demonstrated that the HGT rate is much higher in biofilm than planktonic (free-living) cells (Michaelis &amp; Grohmann, 2023). eDNA may also be concentrated in the EPS matrix</w:t>
      </w:r>
      <w:r w:rsidR="00817B25">
        <w:rPr>
          <w:rFonts w:ascii="Times New Roman" w:hAnsi="Times New Roman" w:cs="Times New Roman"/>
          <w:sz w:val="24"/>
          <w:szCs w:val="24"/>
        </w:rPr>
        <w:t xml:space="preserve"> for enhanced transformability.</w:t>
      </w:r>
    </w:p>
    <w:p w14:paraId="210B79B9" w14:textId="2B9685EF" w:rsidR="000A4A7F" w:rsidRPr="000A4A7F" w:rsidRDefault="0063708B" w:rsidP="0063708B">
      <w:pPr>
        <w:spacing w:line="480" w:lineRule="auto"/>
        <w:ind w:firstLine="360"/>
        <w:jc w:val="both"/>
        <w:rPr>
          <w:rFonts w:ascii="Times New Roman" w:hAnsi="Times New Roman" w:cs="Times New Roman"/>
          <w:sz w:val="24"/>
          <w:szCs w:val="24"/>
        </w:rPr>
      </w:pPr>
      <w:r w:rsidRPr="000A4A7F">
        <w:rPr>
          <w:rFonts w:ascii="Times New Roman" w:hAnsi="Times New Roman" w:cs="Times New Roman"/>
          <w:sz w:val="24"/>
          <w:szCs w:val="24"/>
        </w:rPr>
        <w:t>Transmission of ARGs through HGT is</w:t>
      </w:r>
      <w:r w:rsidR="000A4A7F" w:rsidRPr="000A4A7F">
        <w:rPr>
          <w:rFonts w:ascii="Times New Roman" w:hAnsi="Times New Roman" w:cs="Times New Roman"/>
          <w:sz w:val="24"/>
          <w:szCs w:val="24"/>
        </w:rPr>
        <w:t xml:space="preserve"> facilitated by MGEs, which are DNA segments capable of migrating in genomic or inter-species ranges. Important MGEs contributing </w:t>
      </w:r>
      <w:r w:rsidR="00817B25">
        <w:rPr>
          <w:rFonts w:ascii="Times New Roman" w:hAnsi="Times New Roman" w:cs="Times New Roman"/>
          <w:sz w:val="24"/>
          <w:szCs w:val="24"/>
        </w:rPr>
        <w:t>to the dissemination of AR are:</w:t>
      </w:r>
    </w:p>
    <w:p w14:paraId="50495FA9" w14:textId="77777777" w:rsidR="000A4A7F" w:rsidRPr="00522CC0" w:rsidRDefault="000A4A7F" w:rsidP="00522CC0">
      <w:pPr>
        <w:pStyle w:val="ListParagraph"/>
        <w:numPr>
          <w:ilvl w:val="0"/>
          <w:numId w:val="3"/>
        </w:numPr>
        <w:spacing w:line="480" w:lineRule="auto"/>
        <w:jc w:val="both"/>
        <w:rPr>
          <w:rFonts w:ascii="Times New Roman" w:hAnsi="Times New Roman" w:cs="Times New Roman"/>
          <w:sz w:val="24"/>
          <w:szCs w:val="24"/>
        </w:rPr>
      </w:pPr>
      <w:r w:rsidRPr="00522CC0">
        <w:rPr>
          <w:rFonts w:ascii="Times New Roman" w:hAnsi="Times New Roman" w:cs="Times New Roman"/>
          <w:b/>
          <w:sz w:val="24"/>
          <w:szCs w:val="24"/>
        </w:rPr>
        <w:t>Plasmids</w:t>
      </w:r>
      <w:r w:rsidRPr="00522CC0">
        <w:rPr>
          <w:rFonts w:ascii="Times New Roman" w:hAnsi="Times New Roman" w:cs="Times New Roman"/>
          <w:sz w:val="24"/>
          <w:szCs w:val="24"/>
        </w:rPr>
        <w:t xml:space="preserve">: Self-replicating extrachromosomal DNA molecules which often bear ARGs. Conjugative plasmids are able to facilitate their own transfer from one bacterium to another and therefore serve very effectively as vectors for the spread of </w:t>
      </w:r>
      <w:r w:rsidR="00817B25" w:rsidRPr="00522CC0">
        <w:rPr>
          <w:rFonts w:ascii="Times New Roman" w:hAnsi="Times New Roman" w:cs="Times New Roman"/>
          <w:sz w:val="24"/>
          <w:szCs w:val="24"/>
        </w:rPr>
        <w:t>resistances (Yan et al., 2017).</w:t>
      </w:r>
    </w:p>
    <w:p w14:paraId="29E7ABBD" w14:textId="294584DD" w:rsidR="000A4A7F" w:rsidRPr="0033501F" w:rsidRDefault="000A4A7F" w:rsidP="000A4A7F">
      <w:pPr>
        <w:pStyle w:val="ListParagraph"/>
        <w:numPr>
          <w:ilvl w:val="0"/>
          <w:numId w:val="3"/>
        </w:numPr>
        <w:spacing w:line="480" w:lineRule="auto"/>
        <w:jc w:val="both"/>
        <w:rPr>
          <w:rFonts w:ascii="Times New Roman" w:hAnsi="Times New Roman" w:cs="Times New Roman"/>
          <w:sz w:val="24"/>
          <w:szCs w:val="24"/>
        </w:rPr>
      </w:pPr>
      <w:r w:rsidRPr="00522CC0">
        <w:rPr>
          <w:rFonts w:ascii="Times New Roman" w:hAnsi="Times New Roman" w:cs="Times New Roman"/>
          <w:b/>
          <w:sz w:val="24"/>
          <w:szCs w:val="24"/>
        </w:rPr>
        <w:t>Integrons</w:t>
      </w:r>
      <w:r w:rsidRPr="00522CC0">
        <w:rPr>
          <w:rFonts w:ascii="Times New Roman" w:hAnsi="Times New Roman" w:cs="Times New Roman"/>
          <w:sz w:val="24"/>
          <w:szCs w:val="24"/>
        </w:rPr>
        <w:t xml:space="preserve">: Antibiotic-Gene-Capturing Systems.” In addition: Integrons are genetic constructs that can capture and express gene cassettes, including ones conferring </w:t>
      </w:r>
      <w:r w:rsidR="006B4C14">
        <w:rPr>
          <w:rFonts w:ascii="Times New Roman" w:hAnsi="Times New Roman" w:cs="Times New Roman"/>
          <w:sz w:val="24"/>
          <w:szCs w:val="24"/>
        </w:rPr>
        <w:t>f</w:t>
      </w:r>
      <w:r w:rsidRPr="00522CC0">
        <w:rPr>
          <w:rFonts w:ascii="Times New Roman" w:hAnsi="Times New Roman" w:cs="Times New Roman"/>
          <w:sz w:val="24"/>
          <w:szCs w:val="24"/>
        </w:rPr>
        <w:t>antibiotic resistance. In particular, Class 1 integrons have been strongly correlated with anthropogenic pollution and are widespread in clinical and environmental sectors, frequently associated with multi-drug resistance (Ali et al., 2024; Uyaguari-Díaz et al., 2018). There are however sulfonamide resistance genes (e.g., sul4) observed in some marine bacteria without any mobile genetic elements, implying different evolutionary routes (Shindoh et al., 2023).</w:t>
      </w:r>
    </w:p>
    <w:p w14:paraId="37B4473B" w14:textId="77777777" w:rsidR="000A4A7F" w:rsidRPr="00522CC0" w:rsidRDefault="000A4A7F" w:rsidP="00522CC0">
      <w:pPr>
        <w:pStyle w:val="ListParagraph"/>
        <w:numPr>
          <w:ilvl w:val="0"/>
          <w:numId w:val="3"/>
        </w:numPr>
        <w:spacing w:line="480" w:lineRule="auto"/>
        <w:jc w:val="both"/>
        <w:rPr>
          <w:rFonts w:ascii="Times New Roman" w:hAnsi="Times New Roman" w:cs="Times New Roman"/>
          <w:sz w:val="24"/>
          <w:szCs w:val="24"/>
        </w:rPr>
      </w:pPr>
      <w:r w:rsidRPr="00522CC0">
        <w:rPr>
          <w:rFonts w:ascii="Times New Roman" w:hAnsi="Times New Roman" w:cs="Times New Roman"/>
          <w:b/>
          <w:sz w:val="24"/>
          <w:szCs w:val="24"/>
        </w:rPr>
        <w:t>Transposons</w:t>
      </w:r>
      <w:r w:rsidRPr="00522CC0">
        <w:rPr>
          <w:rFonts w:ascii="Times New Roman" w:hAnsi="Times New Roman" w:cs="Times New Roman"/>
          <w:sz w:val="24"/>
          <w:szCs w:val="24"/>
        </w:rPr>
        <w:t>: Sometimes called “jumping genes,” these are DNA sequences that can get around from one spot on the genome to another, or just onto a plasmid. They can harbour ARGs and participate in</w:t>
      </w:r>
      <w:r w:rsidR="00817B25" w:rsidRPr="00522CC0">
        <w:rPr>
          <w:rFonts w:ascii="Times New Roman" w:hAnsi="Times New Roman" w:cs="Times New Roman"/>
          <w:sz w:val="24"/>
          <w:szCs w:val="24"/>
        </w:rPr>
        <w:t> their mobilization and spread.</w:t>
      </w:r>
    </w:p>
    <w:p w14:paraId="1A1D668C" w14:textId="106D380E" w:rsidR="00567D10" w:rsidRDefault="000A4A7F" w:rsidP="00965773">
      <w:pPr>
        <w:spacing w:line="480" w:lineRule="auto"/>
        <w:jc w:val="both"/>
        <w:rPr>
          <w:rFonts w:ascii="Times New Roman" w:hAnsi="Times New Roman" w:cs="Times New Roman"/>
          <w:sz w:val="24"/>
          <w:szCs w:val="24"/>
        </w:rPr>
      </w:pPr>
      <w:r w:rsidRPr="000A4A7F">
        <w:rPr>
          <w:rFonts w:ascii="Times New Roman" w:hAnsi="Times New Roman" w:cs="Times New Roman"/>
          <w:sz w:val="24"/>
          <w:szCs w:val="24"/>
        </w:rPr>
        <w:lastRenderedPageBreak/>
        <w:t>The physical proximity of resistance genes to regions associated with multiple MDR phenotypes implies that exchange can provide access to a wide variety of gene cassettes, including those which confer MDR (Neela et al., 2007).</w:t>
      </w:r>
    </w:p>
    <w:p w14:paraId="74F3C09A" w14:textId="77777777" w:rsidR="00B33F05" w:rsidRDefault="00B33F05" w:rsidP="00B33F05">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7B74DC72" wp14:editId="4D39F4A7">
            <wp:extent cx="5067300" cy="2909521"/>
            <wp:effectExtent l="0" t="0" r="0" b="5715"/>
            <wp:docPr id="7" name="Picture 7" descr="C:\Users\DELL\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wnloads\imag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8176" cy="2915765"/>
                    </a:xfrm>
                    <a:prstGeom prst="rect">
                      <a:avLst/>
                    </a:prstGeom>
                    <a:noFill/>
                    <a:ln>
                      <a:noFill/>
                    </a:ln>
                  </pic:spPr>
                </pic:pic>
              </a:graphicData>
            </a:graphic>
          </wp:inline>
        </w:drawing>
      </w:r>
    </w:p>
    <w:p w14:paraId="4630D98B" w14:textId="77777777" w:rsidR="00B33F05" w:rsidRPr="00CA5749" w:rsidRDefault="00463F25" w:rsidP="00CA5749">
      <w:pPr>
        <w:spacing w:line="480" w:lineRule="auto"/>
        <w:jc w:val="center"/>
        <w:rPr>
          <w:rFonts w:ascii="Times New Roman" w:hAnsi="Times New Roman" w:cs="Times New Roman"/>
          <w:b/>
          <w:sz w:val="20"/>
          <w:szCs w:val="20"/>
        </w:rPr>
      </w:pPr>
      <w:r>
        <w:rPr>
          <w:rFonts w:ascii="Times New Roman" w:hAnsi="Times New Roman" w:cs="Times New Roman"/>
          <w:b/>
          <w:sz w:val="20"/>
          <w:szCs w:val="20"/>
        </w:rPr>
        <w:t>Figure-1</w:t>
      </w:r>
      <w:r w:rsidR="00B33F05" w:rsidRPr="00B33F05">
        <w:rPr>
          <w:rFonts w:ascii="Times New Roman" w:hAnsi="Times New Roman" w:cs="Times New Roman"/>
          <w:b/>
          <w:sz w:val="20"/>
          <w:szCs w:val="20"/>
        </w:rPr>
        <w:t xml:space="preserve"> Horizontal gene transfer mechanisms in a marine biofilm on a microplastic particle</w:t>
      </w:r>
    </w:p>
    <w:p w14:paraId="5B167E3D" w14:textId="77777777" w:rsidR="00965773" w:rsidRDefault="00965773" w:rsidP="00965773">
      <w:pPr>
        <w:spacing w:line="480" w:lineRule="auto"/>
        <w:rPr>
          <w:rFonts w:ascii="Arial" w:hAnsi="Arial" w:cs="Arial"/>
          <w:b/>
          <w:sz w:val="24"/>
          <w:szCs w:val="24"/>
        </w:rPr>
      </w:pPr>
      <w:r w:rsidRPr="00522CC0">
        <w:rPr>
          <w:rFonts w:ascii="Arial" w:hAnsi="Arial" w:cs="Arial"/>
          <w:b/>
          <w:sz w:val="24"/>
          <w:szCs w:val="24"/>
        </w:rPr>
        <w:t>4. ENVIRONMENTAL DRIVERS AND MODU</w:t>
      </w:r>
      <w:r w:rsidR="00522CC0" w:rsidRPr="00522CC0">
        <w:rPr>
          <w:rFonts w:ascii="Arial" w:hAnsi="Arial" w:cs="Arial"/>
          <w:b/>
          <w:sz w:val="24"/>
          <w:szCs w:val="24"/>
        </w:rPr>
        <w:t xml:space="preserve">LATORS OF ANTIBIOTIC </w:t>
      </w:r>
      <w:r w:rsidRPr="00522CC0">
        <w:rPr>
          <w:rFonts w:ascii="Arial" w:hAnsi="Arial" w:cs="Arial"/>
          <w:b/>
          <w:sz w:val="24"/>
          <w:szCs w:val="24"/>
        </w:rPr>
        <w:t>RESISTANCE</w:t>
      </w:r>
    </w:p>
    <w:p w14:paraId="08F5D4B6" w14:textId="70BBD8A7" w:rsidR="00BA3785" w:rsidRPr="00BA3785" w:rsidRDefault="00BA3785" w:rsidP="00463F25">
      <w:pPr>
        <w:spacing w:line="480" w:lineRule="auto"/>
        <w:ind w:firstLine="720"/>
        <w:jc w:val="both"/>
        <w:rPr>
          <w:rFonts w:ascii="Times New Roman" w:hAnsi="Times New Roman" w:cs="Times New Roman"/>
          <w:sz w:val="24"/>
          <w:szCs w:val="24"/>
        </w:rPr>
      </w:pPr>
      <w:r w:rsidRPr="00BA3785">
        <w:rPr>
          <w:rFonts w:ascii="Times New Roman" w:hAnsi="Times New Roman" w:cs="Times New Roman"/>
          <w:sz w:val="24"/>
          <w:szCs w:val="24"/>
        </w:rPr>
        <w:t>The distribution and dissemination of antibiotic resistance in the marine environment are not homogeneous, and they depend on physical and chemical environmental features that could modulate selective pressures and microbial community dynamic. To forecast future trends and hotspot localities, knowledge</w:t>
      </w:r>
      <w:r w:rsidR="00320DA4">
        <w:rPr>
          <w:rFonts w:ascii="Times New Roman" w:hAnsi="Times New Roman" w:cs="Times New Roman"/>
          <w:sz w:val="24"/>
          <w:szCs w:val="24"/>
        </w:rPr>
        <w:t xml:space="preserve"> of these drivers is </w:t>
      </w:r>
      <w:r w:rsidR="005E0EE8">
        <w:rPr>
          <w:rFonts w:ascii="Times New Roman" w:hAnsi="Times New Roman" w:cs="Times New Roman"/>
          <w:sz w:val="24"/>
          <w:szCs w:val="24"/>
        </w:rPr>
        <w:t>important (</w:t>
      </w:r>
      <w:r w:rsidR="00320DA4">
        <w:rPr>
          <w:rFonts w:ascii="Times New Roman" w:hAnsi="Times New Roman" w:cs="Times New Roman"/>
          <w:sz w:val="24"/>
          <w:szCs w:val="24"/>
        </w:rPr>
        <w:t>Figure-2).</w:t>
      </w:r>
    </w:p>
    <w:p w14:paraId="59EE08D5" w14:textId="77777777" w:rsidR="00BA3785" w:rsidRPr="00BA3785" w:rsidRDefault="00BA3785" w:rsidP="00BA3785">
      <w:pPr>
        <w:spacing w:line="480" w:lineRule="auto"/>
        <w:rPr>
          <w:rFonts w:ascii="Arial" w:hAnsi="Arial" w:cs="Arial"/>
          <w:b/>
          <w:sz w:val="24"/>
          <w:szCs w:val="24"/>
        </w:rPr>
      </w:pPr>
      <w:r w:rsidRPr="00BA3785">
        <w:rPr>
          <w:rFonts w:ascii="Arial" w:hAnsi="Arial" w:cs="Arial"/>
          <w:b/>
          <w:sz w:val="24"/>
          <w:szCs w:val="24"/>
        </w:rPr>
        <w:t>4.1. Pollution Gradients and Hotspots</w:t>
      </w:r>
    </w:p>
    <w:p w14:paraId="1BD5AE7F" w14:textId="7E98A9B5" w:rsidR="00BA3785" w:rsidRPr="00BA3785" w:rsidRDefault="00BA3785" w:rsidP="00463F25">
      <w:pPr>
        <w:spacing w:line="480" w:lineRule="auto"/>
        <w:ind w:firstLine="720"/>
        <w:jc w:val="both"/>
        <w:rPr>
          <w:rFonts w:ascii="Times New Roman" w:hAnsi="Times New Roman" w:cs="Times New Roman"/>
          <w:sz w:val="24"/>
          <w:szCs w:val="24"/>
        </w:rPr>
      </w:pPr>
      <w:r w:rsidRPr="00BA3785">
        <w:rPr>
          <w:rFonts w:ascii="Times New Roman" w:hAnsi="Times New Roman" w:cs="Times New Roman"/>
          <w:sz w:val="24"/>
          <w:szCs w:val="24"/>
        </w:rPr>
        <w:t xml:space="preserve">The pollution gradient is often quite steep in coastal areas with the maximum concentration of pollutants close to urban centers, industrial discharges and river mouths. These are hotspots of antibiotic resistance with higher abundances and diversity of the ARGs </w:t>
      </w:r>
      <w:r w:rsidRPr="00BA3785">
        <w:rPr>
          <w:rFonts w:ascii="Times New Roman" w:hAnsi="Times New Roman" w:cs="Times New Roman"/>
          <w:sz w:val="24"/>
          <w:szCs w:val="24"/>
        </w:rPr>
        <w:lastRenderedPageBreak/>
        <w:t>compared to more pristine offshore environments (Xu et al., 2023; Fresia et al., 2019). In addition to antibiotics, a variety of pollutants may co-select for antibiotic resistance. Heavy metals, biocides and other chemical contaminants are also released with antibiotics into the environment, potentially selecting bacteria that are carrying such resistance genes by exerting an additional selective pressure for MGEs (e.g., plasmids) to carry both genes for metal and antibiotic resistance. This co-selection effect is likely to lead other pollutants, even in the absence of antibiotic pressure, to support and further enhance the pr</w:t>
      </w:r>
      <w:r w:rsidR="00E577E3">
        <w:rPr>
          <w:rFonts w:ascii="Times New Roman" w:hAnsi="Times New Roman" w:cs="Times New Roman"/>
          <w:sz w:val="24"/>
          <w:szCs w:val="24"/>
        </w:rPr>
        <w:t>evalence of ARGs in the environment</w:t>
      </w:r>
      <w:r w:rsidRPr="00BA3785">
        <w:rPr>
          <w:rFonts w:ascii="Times New Roman" w:hAnsi="Times New Roman" w:cs="Times New Roman"/>
          <w:sz w:val="24"/>
          <w:szCs w:val="24"/>
        </w:rPr>
        <w:t>. Even the pristine environments, for example the Tibetan plateau have been reported storage of ARGs in their aquatic environment revealing the global implications of th</w:t>
      </w:r>
      <w:r>
        <w:rPr>
          <w:rFonts w:ascii="Times New Roman" w:hAnsi="Times New Roman" w:cs="Times New Roman"/>
          <w:sz w:val="24"/>
          <w:szCs w:val="24"/>
        </w:rPr>
        <w:t>is problem (Chen et al., 2016).</w:t>
      </w:r>
    </w:p>
    <w:p w14:paraId="6F93ECD1" w14:textId="77777777" w:rsidR="00BA3785" w:rsidRPr="00BA3785" w:rsidRDefault="00BA3785" w:rsidP="00BA3785">
      <w:pPr>
        <w:spacing w:line="480" w:lineRule="auto"/>
        <w:rPr>
          <w:rFonts w:ascii="Arial" w:hAnsi="Arial" w:cs="Arial"/>
          <w:b/>
          <w:sz w:val="24"/>
          <w:szCs w:val="24"/>
        </w:rPr>
      </w:pPr>
      <w:r w:rsidRPr="00BA3785">
        <w:rPr>
          <w:rFonts w:ascii="Arial" w:hAnsi="Arial" w:cs="Arial"/>
          <w:b/>
          <w:sz w:val="24"/>
          <w:szCs w:val="24"/>
        </w:rPr>
        <w:t>4.2. Climate Change</w:t>
      </w:r>
    </w:p>
    <w:p w14:paraId="18F0EDFD" w14:textId="66A71F4F" w:rsidR="00463F25" w:rsidRPr="00AC0F5A" w:rsidRDefault="00BA3785" w:rsidP="00AC0F5A">
      <w:pPr>
        <w:spacing w:line="480" w:lineRule="auto"/>
        <w:ind w:firstLine="720"/>
        <w:jc w:val="both"/>
        <w:rPr>
          <w:rFonts w:ascii="Times New Roman" w:hAnsi="Times New Roman" w:cs="Times New Roman"/>
          <w:sz w:val="24"/>
          <w:szCs w:val="24"/>
        </w:rPr>
      </w:pPr>
      <w:r w:rsidRPr="00BA3785">
        <w:rPr>
          <w:rFonts w:ascii="Times New Roman" w:hAnsi="Times New Roman" w:cs="Times New Roman"/>
          <w:sz w:val="24"/>
          <w:szCs w:val="24"/>
        </w:rPr>
        <w:t>Climate change is bein</w:t>
      </w:r>
      <w:r w:rsidR="00E577E3">
        <w:rPr>
          <w:rFonts w:ascii="Times New Roman" w:hAnsi="Times New Roman" w:cs="Times New Roman"/>
          <w:sz w:val="24"/>
          <w:szCs w:val="24"/>
        </w:rPr>
        <w:t>g identified as one of the major driver</w:t>
      </w:r>
      <w:r w:rsidRPr="00BA3785">
        <w:rPr>
          <w:rFonts w:ascii="Times New Roman" w:hAnsi="Times New Roman" w:cs="Times New Roman"/>
          <w:sz w:val="24"/>
          <w:szCs w:val="24"/>
        </w:rPr>
        <w:t xml:space="preserve"> (Salgueiro et al., 2024; Zhao et al., 2024) to impact marine antibiotic resistance and is likely to worsen with the rising trends associated with climate change. Increasing seawater temperatures could directly affect bacterial growth rates and the efficiency of HGT, and they may enhance the dissemination velocity of ARGs (Zhao et al., 2024). A global scoping review has also identified the complex intersection between climate change and antibiotic resistance, and stressed the importance of holistic research (Salgueiro et al., 2024). In addition, climate change can wreak havoc on weather and cause severe damage to quality of life through violent weather events which are becoming more common and powerful. Heavy rain and flood events could result in large</w:t>
      </w:r>
      <w:r w:rsidR="00E577E3">
        <w:rPr>
          <w:rFonts w:ascii="Times New Roman" w:hAnsi="Times New Roman" w:cs="Times New Roman"/>
          <w:sz w:val="24"/>
          <w:szCs w:val="24"/>
        </w:rPr>
        <w:t xml:space="preserve"> volumes of</w:t>
      </w:r>
      <w:r w:rsidRPr="00BA3785">
        <w:rPr>
          <w:rFonts w:ascii="Times New Roman" w:hAnsi="Times New Roman" w:cs="Times New Roman"/>
          <w:sz w:val="24"/>
          <w:szCs w:val="24"/>
        </w:rPr>
        <w:t xml:space="preserve"> runoff from land, sweeping a considerable amount of antibiotics, ARB and ARGs discharged from agricultural and urban environments into coastal waters. WWTP discharges with untreated or insufficiently treated wastewater are also released by storm surge. Such events may give rise to rapid and sudden increases of resistance determinant load in marine habitats (Bagra et al., 2024).</w:t>
      </w:r>
    </w:p>
    <w:p w14:paraId="6DE6B14A" w14:textId="77777777" w:rsidR="00965773" w:rsidRPr="00BA3785" w:rsidRDefault="00965773" w:rsidP="00965773">
      <w:pPr>
        <w:spacing w:line="480" w:lineRule="auto"/>
        <w:rPr>
          <w:rFonts w:ascii="Arial" w:hAnsi="Arial" w:cs="Arial"/>
          <w:b/>
          <w:sz w:val="24"/>
          <w:szCs w:val="24"/>
        </w:rPr>
      </w:pPr>
      <w:r w:rsidRPr="00BA3785">
        <w:rPr>
          <w:rFonts w:ascii="Arial" w:hAnsi="Arial" w:cs="Arial"/>
          <w:b/>
          <w:sz w:val="24"/>
          <w:szCs w:val="24"/>
        </w:rPr>
        <w:lastRenderedPageBreak/>
        <w:t>4.3. Seasonal Dynamics</w:t>
      </w:r>
    </w:p>
    <w:p w14:paraId="462C4E6E" w14:textId="77777777" w:rsidR="00BA3785" w:rsidRPr="00965773" w:rsidRDefault="00BA3785" w:rsidP="00463F25">
      <w:pPr>
        <w:spacing w:line="480" w:lineRule="auto"/>
        <w:ind w:firstLine="720"/>
        <w:jc w:val="both"/>
        <w:rPr>
          <w:rFonts w:ascii="Times New Roman" w:hAnsi="Times New Roman" w:cs="Times New Roman"/>
          <w:sz w:val="24"/>
          <w:szCs w:val="24"/>
        </w:rPr>
      </w:pPr>
      <w:r w:rsidRPr="00BA3785">
        <w:rPr>
          <w:rFonts w:ascii="Times New Roman" w:hAnsi="Times New Roman" w:cs="Times New Roman"/>
          <w:sz w:val="24"/>
          <w:szCs w:val="24"/>
        </w:rPr>
        <w:t>There can also be substantial seasonal changes in both abundance and distribution of ARGs in marine habitats. These oscillations can be associated with variations in environmental factors such as temperature, salinity and nutrient availability also to changes of anthropogenic influences. For instance, the ARG concentrations in warmer months are reported to possibly have been higher, leading to more bacterial growth and activities, as well as a higher recreational use of coastal waters. Temporal precipitation is also a significant factor, and higher ARG abundance could be detected after intensive rainfall with more runoff (Liu et al., 2023).</w:t>
      </w:r>
    </w:p>
    <w:p w14:paraId="2CC9B731" w14:textId="77777777" w:rsidR="00965773" w:rsidRPr="00BA3785" w:rsidRDefault="00965773" w:rsidP="00965773">
      <w:pPr>
        <w:spacing w:line="480" w:lineRule="auto"/>
        <w:rPr>
          <w:rFonts w:ascii="Arial" w:hAnsi="Arial" w:cs="Arial"/>
          <w:b/>
          <w:sz w:val="24"/>
          <w:szCs w:val="24"/>
        </w:rPr>
      </w:pPr>
      <w:r w:rsidRPr="00BA3785">
        <w:rPr>
          <w:rFonts w:ascii="Arial" w:hAnsi="Arial" w:cs="Arial"/>
          <w:b/>
          <w:sz w:val="24"/>
          <w:szCs w:val="24"/>
        </w:rPr>
        <w:t>5. PUBLIC HEALTH IMPLICATIONS AND THE ONE HEALTH PERSPECTIVE</w:t>
      </w:r>
    </w:p>
    <w:p w14:paraId="5185957C" w14:textId="77777777" w:rsidR="00BA3785" w:rsidRDefault="00BA3785" w:rsidP="00BA3785">
      <w:pPr>
        <w:pStyle w:val="NormalWeb"/>
        <w:spacing w:line="480" w:lineRule="auto"/>
        <w:jc w:val="both"/>
      </w:pPr>
      <w:r w:rsidRPr="00BA3785">
        <w:t xml:space="preserve"> </w:t>
      </w:r>
      <w:r w:rsidR="00463F25">
        <w:tab/>
      </w:r>
      <w:r>
        <w:t>The spread of antibiotic resistance in marine habitats is not only an ecological problem but it</w:t>
      </w:r>
      <w:r>
        <w:t> </w:t>
      </w:r>
      <w:r>
        <w:t>also represents a direct and indirect threat to human health, highlighting the interplay between environmental, animal, and human health as illustrated by the One Health approach (Velazquez-Meza et al., 2022; Altevogt et al., 2025).</w:t>
      </w:r>
    </w:p>
    <w:p w14:paraId="0CC4A937" w14:textId="77777777" w:rsidR="00BA3785" w:rsidRPr="00BA3785" w:rsidRDefault="00BA3785" w:rsidP="00BA3785">
      <w:pPr>
        <w:pStyle w:val="NormalWeb"/>
        <w:spacing w:line="360" w:lineRule="auto"/>
        <w:jc w:val="both"/>
        <w:rPr>
          <w:rFonts w:ascii="Arial" w:hAnsi="Arial" w:cs="Arial"/>
          <w:b/>
        </w:rPr>
      </w:pPr>
      <w:r w:rsidRPr="00BA3785">
        <w:rPr>
          <w:rFonts w:ascii="Arial" w:hAnsi="Arial" w:cs="Arial"/>
          <w:b/>
        </w:rPr>
        <w:t>5.1. Seafood Consumption</w:t>
      </w:r>
    </w:p>
    <w:p w14:paraId="6F9C5D6C" w14:textId="45FCE90D" w:rsidR="00BA3785" w:rsidRDefault="00BA3785" w:rsidP="00463F25">
      <w:pPr>
        <w:pStyle w:val="NormalWeb"/>
        <w:spacing w:line="480" w:lineRule="auto"/>
        <w:ind w:firstLine="720"/>
        <w:jc w:val="both"/>
      </w:pPr>
      <w:r>
        <w:t>Consumption of contaminated seafood is frequently considered a main route to</w:t>
      </w:r>
      <w:r>
        <w:t> </w:t>
      </w:r>
      <w:r>
        <w:t>transfer marine-borne antibiotic resistance into human. Residents who consume fish and shellfish from contaminated coastal waters may bring ARB into their own gastrointestinal</w:t>
      </w:r>
      <w:r>
        <w:t> </w:t>
      </w:r>
      <w:r w:rsidR="00E577E3">
        <w:t>tract through this route of exposure</w:t>
      </w:r>
      <w:r>
        <w:t xml:space="preserve"> (Amarasiri et al., 2020; Goh et al., 2024).</w:t>
      </w:r>
      <w:r w:rsidR="00DB07DA" w:rsidRPr="00DB07DA">
        <w:t xml:space="preserve"> The human gut microbiome can then act as a reservoir for the exchange of genetic elements. Aquatic ARGs may also contribute to the transfer of these genes from marine bacteria to mammalian commensals or even to pathogens.</w:t>
      </w:r>
      <w:r>
        <w:t xml:space="preserve"> Multiple studies have identified bacteria that are resistant </w:t>
      </w:r>
      <w:r>
        <w:lastRenderedPageBreak/>
        <w:t>to</w:t>
      </w:r>
      <w:r>
        <w:t> </w:t>
      </w:r>
      <w:r>
        <w:t xml:space="preserve">multiple drugs, such as those found in humans, including </w:t>
      </w:r>
      <w:r w:rsidRPr="00DB07DA">
        <w:rPr>
          <w:i/>
        </w:rPr>
        <w:t>V. parahaemolyticus</w:t>
      </w:r>
      <w:r>
        <w:t xml:space="preserve"> and </w:t>
      </w:r>
      <w:r w:rsidRPr="00DB07DA">
        <w:rPr>
          <w:i/>
        </w:rPr>
        <w:t>E. coli,</w:t>
      </w:r>
      <w:r>
        <w:t xml:space="preserve"> but present in human-consumed seafood (Yamazaki et al., 2014; Elmahdi et al., 2016).</w:t>
      </w:r>
    </w:p>
    <w:p w14:paraId="5CB8EC26" w14:textId="05C33A0A" w:rsidR="00BA3785" w:rsidRDefault="006B5717" w:rsidP="00463F25">
      <w:pPr>
        <w:pStyle w:val="NormalWeb"/>
        <w:spacing w:line="480" w:lineRule="auto"/>
        <w:ind w:firstLine="720"/>
        <w:jc w:val="both"/>
      </w:pPr>
      <w:r w:rsidRPr="006B5717">
        <w:t xml:space="preserve">Evidence of antibiotic resistance in </w:t>
      </w:r>
      <w:r w:rsidRPr="006B5717">
        <w:rPr>
          <w:i/>
        </w:rPr>
        <w:t>Vibrio</w:t>
      </w:r>
      <w:r w:rsidRPr="006B5717">
        <w:t xml:space="preserve"> species has been reported (Loo et al., 2020), and several studies have identified resistant and human-pathogenic </w:t>
      </w:r>
      <w:r w:rsidRPr="006B5717">
        <w:rPr>
          <w:i/>
        </w:rPr>
        <w:t>Vibrio</w:t>
      </w:r>
      <w:r w:rsidRPr="006B5717">
        <w:t xml:space="preserve"> strains in aquaculture products and other seafood intended for consumption (Bloomfield et al., 2025).</w:t>
      </w:r>
      <w:r w:rsidR="00BA3785">
        <w:t>Antibiotic resistance</w:t>
      </w:r>
      <w:r w:rsidR="00A410F6">
        <w:t xml:space="preserve"> in </w:t>
      </w:r>
      <w:r w:rsidR="00A410F6" w:rsidRPr="00A410F6">
        <w:rPr>
          <w:i/>
        </w:rPr>
        <w:t>Vibrio</w:t>
      </w:r>
      <w:r w:rsidR="00BA3785" w:rsidRPr="00A410F6">
        <w:rPr>
          <w:i/>
        </w:rPr>
        <w:t xml:space="preserve"> </w:t>
      </w:r>
      <w:r w:rsidR="00BA3785">
        <w:t>has been reported in</w:t>
      </w:r>
      <w:r w:rsidR="00A410F6">
        <w:t xml:space="preserve"> various environmental sources in South Africa </w:t>
      </w:r>
      <w:r w:rsidR="00BA3785">
        <w:t>(Adesiyan et al., 2022), Chinese beach waters (Huang et al., 2022) and Ca</w:t>
      </w:r>
      <w:r w:rsidR="00A410F6">
        <w:t>lifornia coastal system</w:t>
      </w:r>
      <w:r w:rsidR="00BA3785">
        <w:t xml:space="preserve"> (Sebastian et al</w:t>
      </w:r>
      <w:r w:rsidR="00545F1B">
        <w:t>., 2025)</w:t>
      </w:r>
      <w:r>
        <w:t xml:space="preserve">. </w:t>
      </w:r>
      <w:r w:rsidR="00BA3785">
        <w:t xml:space="preserve">For example, antibiotic- resistant </w:t>
      </w:r>
      <w:r w:rsidR="00BA3785" w:rsidRPr="00E577E3">
        <w:rPr>
          <w:i/>
        </w:rPr>
        <w:t>Vibrio</w:t>
      </w:r>
      <w:r w:rsidR="00BA3785">
        <w:t xml:space="preserve"> have been linked to diseased marine </w:t>
      </w:r>
      <w:r w:rsidR="005513F5">
        <w:t xml:space="preserve">organisms </w:t>
      </w:r>
      <w:r w:rsidR="00BA3785">
        <w:t> </w:t>
      </w:r>
      <w:r w:rsidR="00BA3785">
        <w:t>(Sea Urchins) (Ben Na</w:t>
      </w:r>
      <w:r w:rsidR="00A410F6">
        <w:t xml:space="preserve">tan et al., 2024). </w:t>
      </w:r>
      <w:r w:rsidR="00AE15BD" w:rsidRPr="00AE15BD">
        <w:t>This direct link is shown by the presence of ARGs in cultured aquatic organisms in aq</w:t>
      </w:r>
      <w:r w:rsidR="00AE15BD">
        <w:t xml:space="preserve">uaculture farms. These </w:t>
      </w:r>
      <w:r w:rsidR="004319EB">
        <w:t xml:space="preserve">genes </w:t>
      </w:r>
      <w:r w:rsidR="004319EB" w:rsidRPr="00AE15BD">
        <w:t>found</w:t>
      </w:r>
      <w:r w:rsidR="00AE15BD" w:rsidRPr="00AE15BD">
        <w:t xml:space="preserve"> </w:t>
      </w:r>
      <w:r w:rsidR="00AE15BD">
        <w:t xml:space="preserve">in the animals </w:t>
      </w:r>
      <w:r w:rsidR="00AE15BD" w:rsidRPr="00AE15BD">
        <w:t xml:space="preserve"> are also present in the sediments of the same farms. </w:t>
      </w:r>
      <w:r w:rsidR="00BA3785">
        <w:t>(Amarasiri et al., 2020). Quinolone resistance, in particular, has been reported a large concern in aquatic environmental with evidences that these habitats might harbour hotspots of transferable low-level resistance that can spread to and favour the</w:t>
      </w:r>
      <w:r w:rsidR="00BA3785">
        <w:t> </w:t>
      </w:r>
      <w:r w:rsidR="00BA3785">
        <w:t xml:space="preserve">emergence </w:t>
      </w:r>
      <w:r w:rsidR="00F273F4">
        <w:t xml:space="preserve">of </w:t>
      </w:r>
      <w:r w:rsidR="00BA3785">
        <w:t>high-level resistance (Miranda et al., 2022).</w:t>
      </w:r>
    </w:p>
    <w:p w14:paraId="3D4847A5" w14:textId="0A70A1B2" w:rsidR="00463F25" w:rsidRPr="00AC0F5A" w:rsidRDefault="00E8092A" w:rsidP="00AC0F5A">
      <w:pPr>
        <w:pStyle w:val="NormalWeb"/>
        <w:spacing w:line="480" w:lineRule="auto"/>
        <w:ind w:firstLine="720"/>
        <w:jc w:val="both"/>
      </w:pPr>
      <w:r>
        <w:t>A</w:t>
      </w:r>
      <w:r w:rsidR="00BB5871" w:rsidRPr="00BB5871">
        <w:t>part from harmful bacteria, the marine environment also provides many useful and beneficial discoveries.</w:t>
      </w:r>
      <w:r w:rsidR="00BA3785">
        <w:t xml:space="preserve">. The sea provides a wide range of bioactive compounds that are being produced from marine animal as well as microbial organisms such as </w:t>
      </w:r>
      <w:r w:rsidR="00BA3785">
        <w:sym w:font="Symbol" w:char="F062"/>
      </w:r>
      <w:r w:rsidR="00BA3785">
        <w:t>-lactams and other antibiotics for the discovery of latest</w:t>
      </w:r>
      <w:r w:rsidR="00BA3785">
        <w:t> </w:t>
      </w:r>
      <w:r w:rsidR="00BA3785">
        <w:t>antimicrobial drugs (Fisher et al., 2023). But this is exactly</w:t>
      </w:r>
      <w:r w:rsidR="00BA3785">
        <w:t> </w:t>
      </w:r>
      <w:r w:rsidR="00BA3785">
        <w:t>why the preservation of marine biodiversity should be a focus alongside the response to resistance.</w:t>
      </w:r>
    </w:p>
    <w:p w14:paraId="18F1569E" w14:textId="77777777" w:rsidR="00BA3785" w:rsidRPr="00BA3785" w:rsidRDefault="00BA3785" w:rsidP="00BA3785">
      <w:pPr>
        <w:pStyle w:val="NormalWeb"/>
        <w:spacing w:line="360" w:lineRule="auto"/>
        <w:jc w:val="both"/>
        <w:rPr>
          <w:rFonts w:ascii="Arial" w:hAnsi="Arial" w:cs="Arial"/>
          <w:b/>
        </w:rPr>
      </w:pPr>
      <w:r w:rsidRPr="00BA3785">
        <w:rPr>
          <w:rFonts w:ascii="Arial" w:hAnsi="Arial" w:cs="Arial"/>
          <w:b/>
        </w:rPr>
        <w:t>5.2. Recreational Water Exposure</w:t>
      </w:r>
    </w:p>
    <w:p w14:paraId="7D949E6C" w14:textId="489CEF26" w:rsidR="00BA3785" w:rsidRDefault="00BA3785" w:rsidP="00463F25">
      <w:pPr>
        <w:pStyle w:val="NormalWeb"/>
        <w:spacing w:line="480" w:lineRule="auto"/>
        <w:ind w:firstLine="720"/>
        <w:jc w:val="both"/>
      </w:pPr>
      <w:r>
        <w:lastRenderedPageBreak/>
        <w:t>It is commonly known that the coastal waters are used for swimming,</w:t>
      </w:r>
      <w:r>
        <w:t> </w:t>
      </w:r>
      <w:r>
        <w:t>surfing or boat riding activities. The direct exposure to the seawater</w:t>
      </w:r>
      <w:r>
        <w:t> </w:t>
      </w:r>
      <w:r>
        <w:t>contaminated with ARB and ARGs is also an important way of human exposure (Han et al., 2022). Resistant</w:t>
      </w:r>
      <w:r>
        <w:t> </w:t>
      </w:r>
      <w:r>
        <w:t>pathogens can colonize or infect through ingestion of, or contact with, contaminated water. This risk is especially high in sites</w:t>
      </w:r>
      <w:r>
        <w:t> </w:t>
      </w:r>
      <w:r>
        <w:t>affected by wastewater effluent or urban runoff, as the abundance of FEC and ARGs tends to be the greatest. This exposure route underscores the need to test recreational water for more than traditional fecal indicators, including ABR genes in order to more accurately assess human health risks (Yuan et al., 2025).</w:t>
      </w:r>
    </w:p>
    <w:p w14:paraId="498E89D3" w14:textId="77777777" w:rsidR="00BA3785" w:rsidRPr="00BA3785" w:rsidRDefault="00BA3785" w:rsidP="00BA3785">
      <w:pPr>
        <w:pStyle w:val="NormalWeb"/>
        <w:spacing w:line="360" w:lineRule="auto"/>
        <w:jc w:val="both"/>
        <w:rPr>
          <w:rFonts w:ascii="Arial" w:hAnsi="Arial" w:cs="Arial"/>
          <w:b/>
        </w:rPr>
      </w:pPr>
      <w:r w:rsidRPr="00BA3785">
        <w:rPr>
          <w:rFonts w:ascii="Arial" w:hAnsi="Arial" w:cs="Arial"/>
          <w:b/>
        </w:rPr>
        <w:t>5.3. The One Health Framework</w:t>
      </w:r>
    </w:p>
    <w:p w14:paraId="7C4A2F67" w14:textId="1DC1E055" w:rsidR="00965773" w:rsidRDefault="00BA3785" w:rsidP="00463F25">
      <w:pPr>
        <w:pStyle w:val="NormalWeb"/>
        <w:spacing w:line="480" w:lineRule="auto"/>
        <w:ind w:firstLine="720"/>
        <w:jc w:val="both"/>
      </w:pPr>
      <w:r>
        <w:t>Antibiotic resistance in the marine environment is a classic</w:t>
      </w:r>
      <w:r>
        <w:t> </w:t>
      </w:r>
      <w:r>
        <w:t>One health issue. It is not something that can be tackled purely in human medicine; it requires an integrated and transdisciplinary approach among the</w:t>
      </w:r>
      <w:r>
        <w:t> </w:t>
      </w:r>
      <w:r>
        <w:t>human, animal and environmental health areas (Lozano-Muñoz et al., 2021; Altevogt et al. 2025). ARGs detected in</w:t>
      </w:r>
      <w:r>
        <w:t> </w:t>
      </w:r>
      <w:r>
        <w:t xml:space="preserve">a hospital’s clinical setting, for example, are often part of the local wastewater; flowing through the coastal environment and into seafood that finds itself on a dinner plate. </w:t>
      </w:r>
      <w:r w:rsidR="00555C83" w:rsidRPr="00555C83">
        <w:t>Transmission happens in a cycle. So, all four parts of this cycle need attention. Reducing antibiotic use in human medicine and agriculture is a major step. Wastewater treatment must also be improved to remove ARGs more effectively. In addition, sustainable aquaculture practices are important. Together, these actions form a strong One Health approach to control the spread of antibiotic resistance in marine systems.</w:t>
      </w:r>
    </w:p>
    <w:p w14:paraId="450974C2" w14:textId="77777777" w:rsidR="00CA5749" w:rsidRPr="00965773" w:rsidRDefault="00CA5749" w:rsidP="00CA5749">
      <w:pPr>
        <w:pStyle w:val="NormalWeb"/>
        <w:spacing w:line="480" w:lineRule="auto"/>
        <w:jc w:val="center"/>
      </w:pPr>
      <w:r>
        <w:rPr>
          <w:noProof/>
        </w:rPr>
        <w:lastRenderedPageBreak/>
        <w:drawing>
          <wp:inline distT="0" distB="0" distL="0" distR="0" wp14:anchorId="436B9298" wp14:editId="10E3A897">
            <wp:extent cx="4105275" cy="2736651"/>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4679" cy="2736254"/>
                    </a:xfrm>
                    <a:prstGeom prst="rect">
                      <a:avLst/>
                    </a:prstGeom>
                    <a:noFill/>
                  </pic:spPr>
                </pic:pic>
              </a:graphicData>
            </a:graphic>
          </wp:inline>
        </w:drawing>
      </w:r>
    </w:p>
    <w:p w14:paraId="16D11783" w14:textId="77777777" w:rsidR="00CA5749" w:rsidRPr="00463F25" w:rsidRDefault="00463F25" w:rsidP="00463F25">
      <w:pPr>
        <w:spacing w:line="480" w:lineRule="auto"/>
        <w:jc w:val="center"/>
        <w:rPr>
          <w:rFonts w:ascii="Times New Roman" w:hAnsi="Times New Roman" w:cs="Times New Roman"/>
          <w:b/>
          <w:sz w:val="20"/>
          <w:szCs w:val="20"/>
        </w:rPr>
      </w:pPr>
      <w:r w:rsidRPr="00463F25">
        <w:rPr>
          <w:rFonts w:ascii="Times New Roman" w:hAnsi="Times New Roman" w:cs="Times New Roman"/>
          <w:b/>
          <w:sz w:val="20"/>
          <w:szCs w:val="20"/>
        </w:rPr>
        <w:t>Figure-2 Antibiotic resistance pathways in marine and coastal environment</w:t>
      </w:r>
    </w:p>
    <w:p w14:paraId="6E7FB8AE" w14:textId="77777777" w:rsidR="00965773" w:rsidRPr="00BA3785" w:rsidRDefault="00965773" w:rsidP="00965773">
      <w:pPr>
        <w:spacing w:line="480" w:lineRule="auto"/>
        <w:rPr>
          <w:rFonts w:ascii="Arial" w:hAnsi="Arial" w:cs="Arial"/>
          <w:b/>
          <w:sz w:val="24"/>
          <w:szCs w:val="24"/>
        </w:rPr>
      </w:pPr>
      <w:r w:rsidRPr="00BA3785">
        <w:rPr>
          <w:rFonts w:ascii="Arial" w:hAnsi="Arial" w:cs="Arial"/>
          <w:b/>
          <w:sz w:val="24"/>
          <w:szCs w:val="24"/>
        </w:rPr>
        <w:t>6. MONITORING AND DETECTION METHODS</w:t>
      </w:r>
    </w:p>
    <w:p w14:paraId="34DCDEFA" w14:textId="5B04B4E2" w:rsidR="00BA3785" w:rsidRPr="00BA3785" w:rsidRDefault="00BA3785" w:rsidP="00463F25">
      <w:pPr>
        <w:spacing w:line="480" w:lineRule="auto"/>
        <w:ind w:firstLine="720"/>
        <w:jc w:val="both"/>
        <w:rPr>
          <w:rFonts w:ascii="Times New Roman" w:hAnsi="Times New Roman" w:cs="Times New Roman"/>
          <w:sz w:val="24"/>
          <w:szCs w:val="24"/>
        </w:rPr>
      </w:pPr>
      <w:r w:rsidRPr="00BA3785">
        <w:rPr>
          <w:rFonts w:ascii="Times New Roman" w:hAnsi="Times New Roman" w:cs="Times New Roman"/>
          <w:sz w:val="24"/>
          <w:szCs w:val="24"/>
        </w:rPr>
        <w:t>The advent of modern molecular methods has revolutionized our ability to detect and monitor the dissemination of antibiotic resistance in marine systems. Over the last 10 years this has changed significantly from culture-based based methods to more sensitive and versatile molecular technologies that permit the direct detection and quantification of ARGs as</w:t>
      </w:r>
      <w:r w:rsidR="00F54167">
        <w:rPr>
          <w:rFonts w:ascii="Times New Roman" w:hAnsi="Times New Roman" w:cs="Times New Roman"/>
          <w:sz w:val="24"/>
          <w:szCs w:val="24"/>
        </w:rPr>
        <w:t xml:space="preserve"> well as microbial communities as shown in (Table-3).</w:t>
      </w:r>
    </w:p>
    <w:p w14:paraId="1862E8BA" w14:textId="77777777" w:rsidR="00BA3785" w:rsidRPr="00BA3785" w:rsidRDefault="00BA3785" w:rsidP="00BA3785">
      <w:pPr>
        <w:spacing w:line="480" w:lineRule="auto"/>
        <w:jc w:val="both"/>
        <w:rPr>
          <w:rFonts w:ascii="Arial" w:hAnsi="Arial" w:cs="Arial"/>
          <w:b/>
          <w:sz w:val="24"/>
          <w:szCs w:val="24"/>
        </w:rPr>
      </w:pPr>
      <w:r w:rsidRPr="00BA3785">
        <w:rPr>
          <w:rFonts w:ascii="Arial" w:hAnsi="Arial" w:cs="Arial"/>
          <w:b/>
          <w:sz w:val="24"/>
          <w:szCs w:val="24"/>
        </w:rPr>
        <w:t>6.1. Culture-Based vs. Molecular Methods</w:t>
      </w:r>
    </w:p>
    <w:p w14:paraId="2586DB1F" w14:textId="243BE734" w:rsidR="00BA3785" w:rsidRPr="00BA3785" w:rsidRDefault="00BA3785" w:rsidP="00463F25">
      <w:pPr>
        <w:spacing w:line="480" w:lineRule="auto"/>
        <w:ind w:firstLine="720"/>
        <w:jc w:val="both"/>
        <w:rPr>
          <w:rFonts w:ascii="Times New Roman" w:hAnsi="Times New Roman" w:cs="Times New Roman"/>
          <w:sz w:val="24"/>
          <w:szCs w:val="24"/>
        </w:rPr>
      </w:pPr>
      <w:r w:rsidRPr="00BA3785">
        <w:rPr>
          <w:rFonts w:ascii="Times New Roman" w:hAnsi="Times New Roman" w:cs="Times New Roman"/>
          <w:sz w:val="24"/>
          <w:szCs w:val="24"/>
        </w:rPr>
        <w:t xml:space="preserve">Current tests to determine antibiotic resistance involve isolating bacteria from environmental samples, growing them in the lab and testing their susceptibility to different antibiotics. </w:t>
      </w:r>
      <w:r w:rsidR="0018225B" w:rsidRPr="0018225B">
        <w:rPr>
          <w:rFonts w:ascii="Times New Roman" w:hAnsi="Times New Roman" w:cs="Times New Roman"/>
          <w:sz w:val="24"/>
          <w:szCs w:val="24"/>
        </w:rPr>
        <w:t>These methods have helped us discover many resistant bacteria. But they also have clear limitations. Most environmental bacteria, often said to be more than 99%, cannot be grown in the laboratory. Because of this, culture-based methods show only a small and biased part of the real bacterial world. They also miss many ARGs. This problem is known as the “great plate count anomaly.”</w:t>
      </w:r>
    </w:p>
    <w:p w14:paraId="41910CE7" w14:textId="77777777" w:rsidR="00BA3785" w:rsidRPr="00BA3785" w:rsidRDefault="00BA3785" w:rsidP="00BA3785">
      <w:pPr>
        <w:spacing w:line="480" w:lineRule="auto"/>
        <w:jc w:val="both"/>
        <w:rPr>
          <w:rFonts w:ascii="Arial" w:hAnsi="Arial" w:cs="Arial"/>
          <w:b/>
          <w:sz w:val="24"/>
          <w:szCs w:val="24"/>
        </w:rPr>
      </w:pPr>
      <w:r w:rsidRPr="00BA3785">
        <w:rPr>
          <w:rFonts w:ascii="Arial" w:hAnsi="Arial" w:cs="Arial"/>
          <w:b/>
          <w:sz w:val="24"/>
          <w:szCs w:val="24"/>
        </w:rPr>
        <w:lastRenderedPageBreak/>
        <w:t>6.2. Quantitative PCR (qPCR)</w:t>
      </w:r>
    </w:p>
    <w:p w14:paraId="74A8CF2F" w14:textId="29217DAC" w:rsidR="00BA3785" w:rsidRPr="00BA3785" w:rsidRDefault="00BA3785" w:rsidP="00463F25">
      <w:pPr>
        <w:spacing w:line="480" w:lineRule="auto"/>
        <w:ind w:firstLine="720"/>
        <w:jc w:val="both"/>
        <w:rPr>
          <w:rFonts w:ascii="Times New Roman" w:hAnsi="Times New Roman" w:cs="Times New Roman"/>
          <w:sz w:val="24"/>
          <w:szCs w:val="24"/>
        </w:rPr>
      </w:pPr>
      <w:r w:rsidRPr="00BA3785">
        <w:rPr>
          <w:rFonts w:ascii="Times New Roman" w:hAnsi="Times New Roman" w:cs="Times New Roman"/>
          <w:sz w:val="24"/>
          <w:szCs w:val="24"/>
        </w:rPr>
        <w:t xml:space="preserve">Quantitative PCR (qPCR) has quickly become a "workhorse" approach for detecting and quantifying target ARGs in environmental samples. For that purpose, the primers utilized in this methodology have been designed to target specific known resistance genes enabling the rapid and sensitive quantification of their abundance within a DNA sample obtained from water, sediment or biota (Ferreira et al., 2023). High-neutralizing qPCR arrays have been established to screen hundreds of ARGs in parallel, enabling to obtain an abundant resistome profile in a specific niche (Srathongneam et al., 2024). qPCR is very sensitive and </w:t>
      </w:r>
      <w:r w:rsidR="00EF6D21" w:rsidRPr="00BA3785">
        <w:rPr>
          <w:rFonts w:ascii="Times New Roman" w:hAnsi="Times New Roman" w:cs="Times New Roman"/>
          <w:sz w:val="24"/>
          <w:szCs w:val="24"/>
        </w:rPr>
        <w:t>specific;</w:t>
      </w:r>
      <w:r w:rsidRPr="00BA3785">
        <w:rPr>
          <w:rFonts w:ascii="Times New Roman" w:hAnsi="Times New Roman" w:cs="Times New Roman"/>
          <w:sz w:val="24"/>
          <w:szCs w:val="24"/>
        </w:rPr>
        <w:t xml:space="preserve"> however, it can detect only the genes that are being targeted not to identify u</w:t>
      </w:r>
      <w:r>
        <w:rPr>
          <w:rFonts w:ascii="Times New Roman" w:hAnsi="Times New Roman" w:cs="Times New Roman"/>
          <w:sz w:val="24"/>
          <w:szCs w:val="24"/>
        </w:rPr>
        <w:t>nknown or new resistance genes.</w:t>
      </w:r>
    </w:p>
    <w:p w14:paraId="0B21330A" w14:textId="77777777" w:rsidR="00BA3785" w:rsidRPr="00BA3785" w:rsidRDefault="00BA3785" w:rsidP="00BA3785">
      <w:pPr>
        <w:spacing w:line="480" w:lineRule="auto"/>
        <w:jc w:val="both"/>
        <w:rPr>
          <w:rFonts w:ascii="Arial" w:hAnsi="Arial" w:cs="Arial"/>
          <w:b/>
          <w:sz w:val="24"/>
          <w:szCs w:val="24"/>
        </w:rPr>
      </w:pPr>
      <w:r w:rsidRPr="00BA3785">
        <w:rPr>
          <w:rFonts w:ascii="Arial" w:hAnsi="Arial" w:cs="Arial"/>
          <w:b/>
          <w:sz w:val="24"/>
          <w:szCs w:val="24"/>
        </w:rPr>
        <w:t>6.3. Metagenomics</w:t>
      </w:r>
    </w:p>
    <w:p w14:paraId="13AFCEF1" w14:textId="77777777" w:rsidR="00CA5749" w:rsidRDefault="00BA3785" w:rsidP="00463F25">
      <w:pPr>
        <w:spacing w:line="480" w:lineRule="auto"/>
        <w:ind w:firstLine="720"/>
        <w:jc w:val="both"/>
        <w:rPr>
          <w:rFonts w:ascii="Times New Roman" w:hAnsi="Times New Roman" w:cs="Times New Roman"/>
          <w:sz w:val="24"/>
          <w:szCs w:val="24"/>
        </w:rPr>
      </w:pPr>
      <w:r w:rsidRPr="00BA3785">
        <w:rPr>
          <w:rFonts w:ascii="Times New Roman" w:hAnsi="Times New Roman" w:cs="Times New Roman"/>
          <w:sz w:val="24"/>
          <w:szCs w:val="24"/>
        </w:rPr>
        <w:t>Metagenomics, the sequences based approach to environmental samples of all DNA without culture, has given us a first glance at the genetic diversity present within microbial communities and access to an all-inclusive list of ARGs (the "resistome"). Total DNA sequencing that it allows for may result in the identification of new ARGs and a thorough view on the diversity and abundance of resistance genes (Taylor et al., 2025). This strategy has played a critical role in uncovering the enormous variety of ARGs present in marine shoreline, from human-impacted estuaries to undisturbed deep-ocean sediments (Chen et al., 2013; Xu et al., 2023). In addition, co-assembling genomes from metagenomic sequences can establish specific associations of ARGs with the bacterial hosts that carry them and thus provide key insights into gene mobility and intrinsic risk associated wi</w:t>
      </w:r>
      <w:r>
        <w:rPr>
          <w:rFonts w:ascii="Times New Roman" w:hAnsi="Times New Roman" w:cs="Times New Roman"/>
          <w:sz w:val="24"/>
          <w:szCs w:val="24"/>
        </w:rPr>
        <w:t>th particular resistance genes.</w:t>
      </w:r>
    </w:p>
    <w:p w14:paraId="5AA2B1E4" w14:textId="77777777" w:rsidR="00BA3785" w:rsidRDefault="00BA3785" w:rsidP="00CA5749">
      <w:pPr>
        <w:spacing w:line="480" w:lineRule="auto"/>
        <w:ind w:firstLine="720"/>
        <w:jc w:val="both"/>
        <w:rPr>
          <w:rFonts w:ascii="Times New Roman" w:hAnsi="Times New Roman" w:cs="Times New Roman"/>
          <w:sz w:val="24"/>
          <w:szCs w:val="24"/>
        </w:rPr>
      </w:pPr>
      <w:r w:rsidRPr="00BA3785">
        <w:rPr>
          <w:rFonts w:ascii="Times New Roman" w:hAnsi="Times New Roman" w:cs="Times New Roman"/>
          <w:sz w:val="24"/>
          <w:szCs w:val="24"/>
        </w:rPr>
        <w:t xml:space="preserve">Although qPCR is more sensitive for individual gene targets, metagenomics offers a broader, more comprehensive view of the resistome. Both methods are frequently applied in </w:t>
      </w:r>
      <w:r w:rsidRPr="00BA3785">
        <w:rPr>
          <w:rFonts w:ascii="Times New Roman" w:hAnsi="Times New Roman" w:cs="Times New Roman"/>
          <w:sz w:val="24"/>
          <w:szCs w:val="24"/>
        </w:rPr>
        <w:lastRenderedPageBreak/>
        <w:t>a combined way, where metagenomics is employed as a first screening stage followed by qPCR monitoring of the most relevant ARGs detected through the former analysis (Taylor et al., 2025; Ferreira et al., 2023).</w:t>
      </w:r>
    </w:p>
    <w:p w14:paraId="2E8F5677" w14:textId="6A099B7E" w:rsidR="00C846F2" w:rsidRPr="00C846F2" w:rsidRDefault="005319B3" w:rsidP="00C846F2">
      <w:pPr>
        <w:spacing w:line="480" w:lineRule="auto"/>
        <w:ind w:firstLine="720"/>
        <w:jc w:val="center"/>
        <w:rPr>
          <w:rFonts w:ascii="Times New Roman" w:hAnsi="Times New Roman" w:cs="Times New Roman"/>
          <w:b/>
          <w:sz w:val="20"/>
          <w:szCs w:val="20"/>
        </w:rPr>
      </w:pPr>
      <w:r>
        <w:rPr>
          <w:rFonts w:ascii="Times New Roman" w:hAnsi="Times New Roman" w:cs="Times New Roman"/>
          <w:b/>
          <w:sz w:val="20"/>
          <w:szCs w:val="20"/>
        </w:rPr>
        <w:t>Table 3</w:t>
      </w:r>
      <w:r w:rsidR="000D4B72">
        <w:rPr>
          <w:rFonts w:ascii="Times New Roman" w:hAnsi="Times New Roman" w:cs="Times New Roman"/>
          <w:b/>
          <w:sz w:val="20"/>
          <w:szCs w:val="20"/>
        </w:rPr>
        <w:t xml:space="preserve"> </w:t>
      </w:r>
      <w:r w:rsidR="00C846F2" w:rsidRPr="00C846F2">
        <w:rPr>
          <w:rFonts w:ascii="Times New Roman" w:hAnsi="Times New Roman" w:cs="Times New Roman"/>
          <w:b/>
          <w:sz w:val="20"/>
          <w:szCs w:val="20"/>
        </w:rPr>
        <w:t xml:space="preserve"> Comparison of AR Detection Methods</w:t>
      </w:r>
    </w:p>
    <w:tbl>
      <w:tblPr>
        <w:tblW w:w="5000" w:type="pct"/>
        <w:tblInd w:w="110" w:type="dxa"/>
        <w:tblBorders>
          <w:insideH w:val="single" w:sz="2" w:space="0" w:color="E1E4E8"/>
          <w:insideV w:val="single" w:sz="2" w:space="0" w:color="F6F8FA"/>
        </w:tblBorders>
        <w:tblCellMar>
          <w:left w:w="10" w:type="dxa"/>
          <w:right w:w="10" w:type="dxa"/>
        </w:tblCellMar>
        <w:tblLook w:val="0000" w:firstRow="0" w:lastRow="0" w:firstColumn="0" w:lastColumn="0" w:noHBand="0" w:noVBand="0"/>
      </w:tblPr>
      <w:tblGrid>
        <w:gridCol w:w="1478"/>
        <w:gridCol w:w="2307"/>
        <w:gridCol w:w="2640"/>
        <w:gridCol w:w="2841"/>
      </w:tblGrid>
      <w:tr w:rsidR="00522CC0" w:rsidRPr="00522CC0" w14:paraId="3ECEDE53" w14:textId="77777777" w:rsidTr="00522CC0">
        <w:trPr>
          <w:cantSplit/>
          <w:trHeight w:val="720"/>
          <w:tblHeader/>
        </w:trPr>
        <w:tc>
          <w:tcPr>
            <w:tcW w:w="0" w:type="auto"/>
            <w:tcBorders>
              <w:top w:val="single" w:sz="4" w:space="0" w:color="auto"/>
              <w:bottom w:val="single" w:sz="4" w:space="0" w:color="auto"/>
            </w:tcBorders>
            <w:tcMar>
              <w:top w:w="100" w:type="dxa"/>
              <w:left w:w="120" w:type="dxa"/>
              <w:bottom w:w="100" w:type="dxa"/>
              <w:right w:w="120" w:type="dxa"/>
            </w:tcMar>
            <w:vAlign w:val="center"/>
          </w:tcPr>
          <w:p w14:paraId="4BF4D684" w14:textId="77777777" w:rsidR="00522CC0" w:rsidRPr="00522CC0" w:rsidRDefault="00522CC0" w:rsidP="00522CC0">
            <w:pPr>
              <w:spacing w:before="60" w:after="60" w:line="240" w:lineRule="auto"/>
              <w:rPr>
                <w:rFonts w:ascii="Times New Roman" w:eastAsia="Times New Roman" w:hAnsi="Times New Roman" w:cs="Times New Roman"/>
                <w:b/>
                <w:bCs/>
                <w:lang w:eastAsia="en-IN"/>
              </w:rPr>
            </w:pPr>
            <w:r w:rsidRPr="00522CC0">
              <w:rPr>
                <w:rFonts w:ascii="Times New Roman" w:eastAsia="Times New Roman" w:hAnsi="Times New Roman" w:cs="Times New Roman"/>
                <w:b/>
                <w:bCs/>
                <w:lang w:eastAsia="en-IN"/>
              </w:rPr>
              <w:t>Method</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0AD66424" w14:textId="77777777" w:rsidR="00522CC0" w:rsidRPr="00522CC0" w:rsidRDefault="00522CC0" w:rsidP="00522CC0">
            <w:pPr>
              <w:spacing w:before="60" w:after="60" w:line="240" w:lineRule="auto"/>
              <w:rPr>
                <w:rFonts w:ascii="Times New Roman" w:eastAsia="Times New Roman" w:hAnsi="Times New Roman" w:cs="Times New Roman"/>
                <w:b/>
                <w:bCs/>
                <w:lang w:eastAsia="en-IN"/>
              </w:rPr>
            </w:pPr>
            <w:r w:rsidRPr="00522CC0">
              <w:rPr>
                <w:rFonts w:ascii="Times New Roman" w:eastAsia="Times New Roman" w:hAnsi="Times New Roman" w:cs="Times New Roman"/>
                <w:b/>
                <w:bCs/>
                <w:lang w:eastAsia="en-IN"/>
              </w:rPr>
              <w:t>Primary Focus</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5DCC78EA" w14:textId="77777777" w:rsidR="00522CC0" w:rsidRPr="00522CC0" w:rsidRDefault="00522CC0" w:rsidP="00522CC0">
            <w:pPr>
              <w:spacing w:before="60" w:after="60" w:line="240" w:lineRule="auto"/>
              <w:rPr>
                <w:rFonts w:ascii="Times New Roman" w:eastAsia="Times New Roman" w:hAnsi="Times New Roman" w:cs="Times New Roman"/>
                <w:b/>
                <w:bCs/>
                <w:lang w:eastAsia="en-IN"/>
              </w:rPr>
            </w:pPr>
            <w:r w:rsidRPr="00522CC0">
              <w:rPr>
                <w:rFonts w:ascii="Times New Roman" w:eastAsia="Times New Roman" w:hAnsi="Times New Roman" w:cs="Times New Roman"/>
                <w:b/>
                <w:bCs/>
                <w:lang w:eastAsia="en-IN"/>
              </w:rPr>
              <w:t>Key Advantage(s)</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08479FEC" w14:textId="77777777" w:rsidR="00522CC0" w:rsidRPr="00522CC0" w:rsidRDefault="00522CC0" w:rsidP="00522CC0">
            <w:pPr>
              <w:spacing w:before="60" w:after="60" w:line="240" w:lineRule="auto"/>
              <w:rPr>
                <w:rFonts w:ascii="Times New Roman" w:eastAsia="Times New Roman" w:hAnsi="Times New Roman" w:cs="Times New Roman"/>
                <w:b/>
                <w:bCs/>
                <w:lang w:eastAsia="en-IN"/>
              </w:rPr>
            </w:pPr>
            <w:r w:rsidRPr="00522CC0">
              <w:rPr>
                <w:rFonts w:ascii="Times New Roman" w:eastAsia="Times New Roman" w:hAnsi="Times New Roman" w:cs="Times New Roman"/>
                <w:b/>
                <w:bCs/>
                <w:lang w:eastAsia="en-IN"/>
              </w:rPr>
              <w:t>Key Limitation(s)</w:t>
            </w:r>
          </w:p>
        </w:tc>
      </w:tr>
      <w:tr w:rsidR="00522CC0" w:rsidRPr="00522CC0" w14:paraId="074F5B5F" w14:textId="77777777" w:rsidTr="00522CC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2133FBD5" w14:textId="77777777" w:rsidR="00522CC0" w:rsidRPr="00522CC0" w:rsidRDefault="00522CC0" w:rsidP="00522CC0">
            <w:pPr>
              <w:spacing w:before="40" w:after="40" w:line="240" w:lineRule="auto"/>
              <w:rPr>
                <w:rFonts w:ascii="Times New Roman" w:eastAsia="Times New Roman" w:hAnsi="Times New Roman" w:cs="Times New Roman"/>
                <w:sz w:val="20"/>
                <w:szCs w:val="20"/>
                <w:lang w:eastAsia="en-IN"/>
              </w:rPr>
            </w:pPr>
            <w:r w:rsidRPr="00522CC0">
              <w:rPr>
                <w:rFonts w:ascii="Times New Roman" w:eastAsia="Times New Roman" w:hAnsi="Times New Roman" w:cs="Times New Roman"/>
                <w:b/>
                <w:bCs/>
                <w:sz w:val="20"/>
                <w:szCs w:val="20"/>
                <w:lang w:eastAsia="en-IN"/>
              </w:rPr>
              <w:t>Culture-Based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250E083" w14:textId="77777777" w:rsidR="00522CC0" w:rsidRPr="00522CC0" w:rsidRDefault="00522CC0" w:rsidP="00522CC0">
            <w:pPr>
              <w:spacing w:before="40" w:after="40" w:line="240" w:lineRule="auto"/>
              <w:rPr>
                <w:rFonts w:ascii="Times New Roman" w:eastAsia="Times New Roman" w:hAnsi="Times New Roman" w:cs="Times New Roman"/>
                <w:sz w:val="20"/>
                <w:szCs w:val="20"/>
                <w:lang w:eastAsia="en-IN"/>
              </w:rPr>
            </w:pPr>
            <w:r w:rsidRPr="00522CC0">
              <w:rPr>
                <w:rFonts w:ascii="Times New Roman" w:eastAsia="Times New Roman" w:hAnsi="Times New Roman" w:cs="Times New Roman"/>
                <w:sz w:val="20"/>
                <w:szCs w:val="20"/>
                <w:lang w:eastAsia="en-IN"/>
              </w:rPr>
              <w:t>Isolating and testing live resistant bacteria.</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3C1DC07" w14:textId="77777777" w:rsidR="00522CC0" w:rsidRPr="00522CC0" w:rsidRDefault="00522CC0" w:rsidP="00522CC0">
            <w:pPr>
              <w:spacing w:before="40" w:after="40" w:line="240" w:lineRule="auto"/>
              <w:rPr>
                <w:rFonts w:ascii="Times New Roman" w:eastAsia="Times New Roman" w:hAnsi="Times New Roman" w:cs="Times New Roman"/>
                <w:sz w:val="20"/>
                <w:szCs w:val="20"/>
                <w:lang w:eastAsia="en-IN"/>
              </w:rPr>
            </w:pPr>
            <w:r w:rsidRPr="00522CC0">
              <w:rPr>
                <w:rFonts w:ascii="Times New Roman" w:eastAsia="Times New Roman" w:hAnsi="Times New Roman" w:cs="Times New Roman"/>
                <w:sz w:val="20"/>
                <w:szCs w:val="20"/>
                <w:lang w:eastAsia="en-IN"/>
              </w:rPr>
              <w:t>Confirms viability; provides phenotypic data.</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F22DB99" w14:textId="77777777" w:rsidR="00522CC0" w:rsidRPr="00522CC0" w:rsidRDefault="00522CC0" w:rsidP="00522CC0">
            <w:pPr>
              <w:spacing w:before="40" w:after="40" w:line="240" w:lineRule="auto"/>
              <w:rPr>
                <w:rFonts w:ascii="Times New Roman" w:eastAsia="Times New Roman" w:hAnsi="Times New Roman" w:cs="Times New Roman"/>
                <w:sz w:val="20"/>
                <w:szCs w:val="20"/>
                <w:lang w:eastAsia="en-IN"/>
              </w:rPr>
            </w:pPr>
            <w:r w:rsidRPr="00522CC0">
              <w:rPr>
                <w:rFonts w:ascii="Times New Roman" w:eastAsia="Times New Roman" w:hAnsi="Times New Roman" w:cs="Times New Roman"/>
                <w:sz w:val="20"/>
                <w:szCs w:val="20"/>
                <w:lang w:eastAsia="en-IN"/>
              </w:rPr>
              <w:t>Captures &lt;1% of microbial diversity; slow.</w:t>
            </w:r>
          </w:p>
        </w:tc>
      </w:tr>
      <w:tr w:rsidR="00522CC0" w:rsidRPr="00522CC0" w14:paraId="390B86D1" w14:textId="77777777" w:rsidTr="00522CC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0A70F660" w14:textId="77777777" w:rsidR="00522CC0" w:rsidRPr="00522CC0" w:rsidRDefault="00522CC0" w:rsidP="00522CC0">
            <w:pPr>
              <w:spacing w:before="40" w:after="40" w:line="240" w:lineRule="auto"/>
              <w:rPr>
                <w:rFonts w:ascii="Times New Roman" w:eastAsia="Times New Roman" w:hAnsi="Times New Roman" w:cs="Times New Roman"/>
                <w:sz w:val="20"/>
                <w:szCs w:val="20"/>
                <w:lang w:eastAsia="en-IN"/>
              </w:rPr>
            </w:pPr>
            <w:r w:rsidRPr="00522CC0">
              <w:rPr>
                <w:rFonts w:ascii="Times New Roman" w:eastAsia="Times New Roman" w:hAnsi="Times New Roman" w:cs="Times New Roman"/>
                <w:b/>
                <w:bCs/>
                <w:sz w:val="20"/>
                <w:szCs w:val="20"/>
                <w:lang w:eastAsia="en-IN"/>
              </w:rPr>
              <w:t>qPCR</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AA87075" w14:textId="77777777" w:rsidR="00522CC0" w:rsidRPr="00522CC0" w:rsidRDefault="00522CC0" w:rsidP="00522CC0">
            <w:pPr>
              <w:spacing w:before="40" w:after="40" w:line="240" w:lineRule="auto"/>
              <w:rPr>
                <w:rFonts w:ascii="Times New Roman" w:eastAsia="Times New Roman" w:hAnsi="Times New Roman" w:cs="Times New Roman"/>
                <w:sz w:val="20"/>
                <w:szCs w:val="20"/>
                <w:lang w:eastAsia="en-IN"/>
              </w:rPr>
            </w:pPr>
            <w:r w:rsidRPr="00522CC0">
              <w:rPr>
                <w:rFonts w:ascii="Times New Roman" w:eastAsia="Times New Roman" w:hAnsi="Times New Roman" w:cs="Times New Roman"/>
                <w:sz w:val="20"/>
                <w:szCs w:val="20"/>
                <w:lang w:eastAsia="en-IN"/>
              </w:rPr>
              <w:t>Quantifying known resistance genes (ARGs).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AEEF918" w14:textId="77777777" w:rsidR="00522CC0" w:rsidRPr="00522CC0" w:rsidRDefault="00522CC0" w:rsidP="00522CC0">
            <w:pPr>
              <w:spacing w:before="40" w:after="40" w:line="240" w:lineRule="auto"/>
              <w:rPr>
                <w:rFonts w:ascii="Times New Roman" w:eastAsia="Times New Roman" w:hAnsi="Times New Roman" w:cs="Times New Roman"/>
                <w:sz w:val="20"/>
                <w:szCs w:val="20"/>
                <w:lang w:eastAsia="en-IN"/>
              </w:rPr>
            </w:pPr>
            <w:r w:rsidRPr="00522CC0">
              <w:rPr>
                <w:rFonts w:ascii="Times New Roman" w:eastAsia="Times New Roman" w:hAnsi="Times New Roman" w:cs="Times New Roman"/>
                <w:sz w:val="20"/>
                <w:szCs w:val="20"/>
                <w:lang w:eastAsia="en-IN"/>
              </w:rPr>
              <w:t>Highly sensitive &amp; specific; high-throughput.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CD6D739" w14:textId="77777777" w:rsidR="00522CC0" w:rsidRPr="00522CC0" w:rsidRDefault="00522CC0" w:rsidP="00522CC0">
            <w:pPr>
              <w:spacing w:before="40" w:after="40" w:line="240" w:lineRule="auto"/>
              <w:rPr>
                <w:rFonts w:ascii="Times New Roman" w:eastAsia="Times New Roman" w:hAnsi="Times New Roman" w:cs="Times New Roman"/>
                <w:sz w:val="20"/>
                <w:szCs w:val="20"/>
                <w:lang w:eastAsia="en-IN"/>
              </w:rPr>
            </w:pPr>
            <w:r w:rsidRPr="00522CC0">
              <w:rPr>
                <w:rFonts w:ascii="Times New Roman" w:eastAsia="Times New Roman" w:hAnsi="Times New Roman" w:cs="Times New Roman"/>
                <w:sz w:val="20"/>
                <w:szCs w:val="20"/>
                <w:lang w:eastAsia="en-IN"/>
              </w:rPr>
              <w:t>Only detects known genes; no info on the host organism.</w:t>
            </w:r>
          </w:p>
        </w:tc>
      </w:tr>
      <w:tr w:rsidR="00522CC0" w:rsidRPr="00522CC0" w14:paraId="4A93338A" w14:textId="77777777" w:rsidTr="00522CC0">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0A3FC2FD" w14:textId="77777777" w:rsidR="00522CC0" w:rsidRPr="00522CC0" w:rsidRDefault="00522CC0" w:rsidP="00522CC0">
            <w:pPr>
              <w:spacing w:before="40" w:after="40" w:line="240" w:lineRule="auto"/>
              <w:rPr>
                <w:rFonts w:ascii="Times New Roman" w:eastAsia="Times New Roman" w:hAnsi="Times New Roman" w:cs="Times New Roman"/>
                <w:sz w:val="20"/>
                <w:szCs w:val="20"/>
                <w:lang w:eastAsia="en-IN"/>
              </w:rPr>
            </w:pPr>
            <w:r w:rsidRPr="00522CC0">
              <w:rPr>
                <w:rFonts w:ascii="Times New Roman" w:eastAsia="Times New Roman" w:hAnsi="Times New Roman" w:cs="Times New Roman"/>
                <w:b/>
                <w:bCs/>
                <w:sz w:val="20"/>
                <w:szCs w:val="20"/>
                <w:lang w:eastAsia="en-IN"/>
              </w:rPr>
              <w:t>Metagenomics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B282D31" w14:textId="77777777" w:rsidR="00522CC0" w:rsidRPr="00522CC0" w:rsidRDefault="00522CC0" w:rsidP="00522CC0">
            <w:pPr>
              <w:spacing w:before="40" w:after="40" w:line="240" w:lineRule="auto"/>
              <w:rPr>
                <w:rFonts w:ascii="Times New Roman" w:eastAsia="Times New Roman" w:hAnsi="Times New Roman" w:cs="Times New Roman"/>
                <w:sz w:val="20"/>
                <w:szCs w:val="20"/>
                <w:lang w:eastAsia="en-IN"/>
              </w:rPr>
            </w:pPr>
            <w:r w:rsidRPr="00522CC0">
              <w:rPr>
                <w:rFonts w:ascii="Times New Roman" w:eastAsia="Times New Roman" w:hAnsi="Times New Roman" w:cs="Times New Roman"/>
                <w:sz w:val="20"/>
                <w:szCs w:val="20"/>
                <w:lang w:eastAsia="en-IN"/>
              </w:rPr>
              <w:t>Profiling all genes in a sample (resistome).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F5A7D00" w14:textId="77777777" w:rsidR="00522CC0" w:rsidRPr="00522CC0" w:rsidRDefault="00522CC0" w:rsidP="00522CC0">
            <w:pPr>
              <w:spacing w:before="40" w:after="40" w:line="240" w:lineRule="auto"/>
              <w:rPr>
                <w:rFonts w:ascii="Times New Roman" w:eastAsia="Times New Roman" w:hAnsi="Times New Roman" w:cs="Times New Roman"/>
                <w:sz w:val="20"/>
                <w:szCs w:val="20"/>
                <w:lang w:eastAsia="en-IN"/>
              </w:rPr>
            </w:pPr>
            <w:r w:rsidRPr="00522CC0">
              <w:rPr>
                <w:rFonts w:ascii="Times New Roman" w:eastAsia="Times New Roman" w:hAnsi="Times New Roman" w:cs="Times New Roman"/>
                <w:sz w:val="20"/>
                <w:szCs w:val="20"/>
                <w:lang w:eastAsia="en-IN"/>
              </w:rPr>
              <w:t>Enables discovery of new genes; provides context.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D7A5ECA" w14:textId="77777777" w:rsidR="00522CC0" w:rsidRPr="00522CC0" w:rsidRDefault="00522CC0" w:rsidP="00522CC0">
            <w:pPr>
              <w:spacing w:before="40" w:after="40" w:line="240" w:lineRule="auto"/>
              <w:rPr>
                <w:rFonts w:ascii="Times New Roman" w:eastAsia="Times New Roman" w:hAnsi="Times New Roman" w:cs="Times New Roman"/>
                <w:sz w:val="20"/>
                <w:szCs w:val="20"/>
                <w:lang w:eastAsia="en-IN"/>
              </w:rPr>
            </w:pPr>
            <w:r w:rsidRPr="00522CC0">
              <w:rPr>
                <w:rFonts w:ascii="Times New Roman" w:eastAsia="Times New Roman" w:hAnsi="Times New Roman" w:cs="Times New Roman"/>
                <w:sz w:val="20"/>
                <w:szCs w:val="20"/>
                <w:lang w:eastAsia="en-IN"/>
              </w:rPr>
              <w:t>Less sensitive for rare genes; complex data analysis.</w:t>
            </w:r>
          </w:p>
        </w:tc>
      </w:tr>
    </w:tbl>
    <w:p w14:paraId="0C2D0BE7" w14:textId="77777777" w:rsidR="00522CC0" w:rsidRPr="00965773" w:rsidRDefault="00522CC0" w:rsidP="00965773">
      <w:pPr>
        <w:spacing w:line="480" w:lineRule="auto"/>
        <w:jc w:val="both"/>
        <w:rPr>
          <w:rFonts w:ascii="Times New Roman" w:hAnsi="Times New Roman" w:cs="Times New Roman"/>
          <w:sz w:val="24"/>
          <w:szCs w:val="24"/>
        </w:rPr>
      </w:pPr>
    </w:p>
    <w:p w14:paraId="372E5D6F" w14:textId="77777777" w:rsidR="00965773" w:rsidRPr="00BA3785" w:rsidRDefault="00965773" w:rsidP="00965773">
      <w:pPr>
        <w:spacing w:line="480" w:lineRule="auto"/>
        <w:rPr>
          <w:rFonts w:ascii="Arial" w:hAnsi="Arial" w:cs="Arial"/>
          <w:b/>
          <w:sz w:val="24"/>
          <w:szCs w:val="24"/>
        </w:rPr>
      </w:pPr>
      <w:r w:rsidRPr="00BA3785">
        <w:rPr>
          <w:rFonts w:ascii="Arial" w:hAnsi="Arial" w:cs="Arial"/>
          <w:b/>
          <w:sz w:val="24"/>
          <w:szCs w:val="24"/>
        </w:rPr>
        <w:t>7. CONCLUSION AND FUTURE PERSPECTIVES</w:t>
      </w:r>
    </w:p>
    <w:p w14:paraId="08C32DDD" w14:textId="04DF09C7" w:rsidR="00BA3785" w:rsidRPr="00BA3785" w:rsidRDefault="00BA3785" w:rsidP="00463F25">
      <w:pPr>
        <w:spacing w:line="480" w:lineRule="auto"/>
        <w:ind w:firstLine="720"/>
        <w:jc w:val="both"/>
        <w:rPr>
          <w:rFonts w:ascii="Times New Roman" w:hAnsi="Times New Roman" w:cs="Times New Roman"/>
          <w:sz w:val="24"/>
          <w:szCs w:val="24"/>
        </w:rPr>
      </w:pPr>
      <w:r w:rsidRPr="00BA3785">
        <w:rPr>
          <w:rFonts w:ascii="Times New Roman" w:hAnsi="Times New Roman" w:cs="Times New Roman"/>
          <w:sz w:val="24"/>
          <w:szCs w:val="24"/>
        </w:rPr>
        <w:t xml:space="preserve">The case based on evidence collected from 2010-2025 is strong and alarming: marine and coastal habitats are global repositories of antibiotic resistance with profound ecological and also human health consequences. Steady discharge of ARGs and ARB originating from man-made sources (e.g., wastewater, aquaculture) combined with the highly efficient horizontal gene transfer among microbial community members has </w:t>
      </w:r>
      <w:r w:rsidR="00CD7ADE" w:rsidRPr="00BA3785">
        <w:rPr>
          <w:rFonts w:ascii="Times New Roman" w:hAnsi="Times New Roman" w:cs="Times New Roman"/>
          <w:sz w:val="24"/>
          <w:szCs w:val="24"/>
        </w:rPr>
        <w:t>led</w:t>
      </w:r>
      <w:r w:rsidRPr="00BA3785">
        <w:rPr>
          <w:rFonts w:ascii="Times New Roman" w:hAnsi="Times New Roman" w:cs="Times New Roman"/>
          <w:sz w:val="24"/>
          <w:szCs w:val="24"/>
        </w:rPr>
        <w:t xml:space="preserve"> to a vicious cycle of resistance perpetuation. New vector threats such as microplastics and the wider implications of climate impacts are exacerbating this intricate environmental problem.</w:t>
      </w:r>
    </w:p>
    <w:p w14:paraId="42C33626" w14:textId="7C68A162" w:rsidR="00BA3785" w:rsidRPr="00BA3785" w:rsidRDefault="00BA3785" w:rsidP="00463F25">
      <w:pPr>
        <w:spacing w:line="480" w:lineRule="auto"/>
        <w:ind w:firstLine="720"/>
        <w:jc w:val="both"/>
        <w:rPr>
          <w:rFonts w:ascii="Times New Roman" w:hAnsi="Times New Roman" w:cs="Times New Roman"/>
          <w:sz w:val="24"/>
          <w:szCs w:val="24"/>
        </w:rPr>
      </w:pPr>
      <w:r w:rsidRPr="00BA3785">
        <w:rPr>
          <w:rFonts w:ascii="Times New Roman" w:hAnsi="Times New Roman" w:cs="Times New Roman"/>
          <w:sz w:val="24"/>
          <w:szCs w:val="24"/>
        </w:rPr>
        <w:t>Implementing the One Health concept is crucial to devising successful approaches in controlling antibiotic resistance transmission. This calls for a combined and multi-sectoral action plan with reduction of antibiotic use in human and vet</w:t>
      </w:r>
      <w:r w:rsidR="00CD7ADE">
        <w:rPr>
          <w:rFonts w:ascii="Times New Roman" w:hAnsi="Times New Roman" w:cs="Times New Roman"/>
          <w:sz w:val="24"/>
          <w:szCs w:val="24"/>
        </w:rPr>
        <w:t>erinary</w:t>
      </w:r>
      <w:r w:rsidRPr="00BA3785">
        <w:rPr>
          <w:rFonts w:ascii="Times New Roman" w:hAnsi="Times New Roman" w:cs="Times New Roman"/>
          <w:sz w:val="24"/>
          <w:szCs w:val="24"/>
        </w:rPr>
        <w:t xml:space="preserve"> medicine as well as implementing advanced treatment technology which may lead to aquaculture- and </w:t>
      </w:r>
      <w:r w:rsidRPr="00BA3785">
        <w:rPr>
          <w:rFonts w:ascii="Times New Roman" w:hAnsi="Times New Roman" w:cs="Times New Roman"/>
          <w:sz w:val="24"/>
          <w:szCs w:val="24"/>
        </w:rPr>
        <w:lastRenderedPageBreak/>
        <w:t>agriculture based solutions that are sustainable. Attention and policy intervention are crucial drivers of these changes.</w:t>
      </w:r>
    </w:p>
    <w:p w14:paraId="560138DA" w14:textId="0C614680" w:rsidR="00BA3785" w:rsidRPr="00BA3785" w:rsidRDefault="00555C83" w:rsidP="00463F25">
      <w:pPr>
        <w:spacing w:line="480" w:lineRule="auto"/>
        <w:ind w:firstLine="720"/>
        <w:jc w:val="both"/>
        <w:rPr>
          <w:rFonts w:ascii="Times New Roman" w:hAnsi="Times New Roman" w:cs="Times New Roman"/>
          <w:sz w:val="24"/>
          <w:szCs w:val="24"/>
        </w:rPr>
      </w:pPr>
      <w:r w:rsidRPr="00555C83">
        <w:rPr>
          <w:rFonts w:ascii="Times New Roman" w:hAnsi="Times New Roman" w:cs="Times New Roman"/>
          <w:sz w:val="24"/>
          <w:szCs w:val="24"/>
        </w:rPr>
        <w:t>Future research sho</w:t>
      </w:r>
      <w:r>
        <w:rPr>
          <w:rFonts w:ascii="Times New Roman" w:hAnsi="Times New Roman" w:cs="Times New Roman"/>
          <w:sz w:val="24"/>
          <w:szCs w:val="24"/>
        </w:rPr>
        <w:t>uld focus on several key areas.</w:t>
      </w:r>
      <w:r w:rsidR="00BA3785" w:rsidRPr="00BA3785">
        <w:rPr>
          <w:rFonts w:ascii="Times New Roman" w:hAnsi="Times New Roman" w:cs="Times New Roman"/>
          <w:sz w:val="24"/>
          <w:szCs w:val="24"/>
        </w:rPr>
        <w:t xml:space="preserve"> Further, there is a lack of quantitative risk assessments to describe the likelihood of transference of ARGs from marine sources into human pathogens. Ultimately, long term monitoring programs combining metagenomic and qPCR methods are required to follow the adaptation of marine resistome at a global level. More interestingly, the studies on new countermeasures, e.g., targeting resistant bacteria using bacteriophage or applying techniques for degradation of ARGs in wastewater are very promising. </w:t>
      </w:r>
      <w:r w:rsidR="001E06D3" w:rsidRPr="001E06D3">
        <w:rPr>
          <w:rFonts w:ascii="Times New Roman" w:hAnsi="Times New Roman" w:cs="Times New Roman"/>
          <w:sz w:val="24"/>
          <w:szCs w:val="24"/>
        </w:rPr>
        <w:t>A clearer understanding of the ecological conditions that shape ARG dissemination is essential. This includes studying natural bacterial communities that experience minimal direct human impact. Such information is needed to establish an accurate baseline for comparison. This baseline will help quantify how anthropogenic activities alter the global resistome.</w:t>
      </w:r>
    </w:p>
    <w:p w14:paraId="07EEF65D" w14:textId="1AD33C9F" w:rsidR="00BA3785" w:rsidRDefault="00BA3785" w:rsidP="001E06D3">
      <w:pPr>
        <w:spacing w:line="480" w:lineRule="auto"/>
        <w:ind w:firstLine="720"/>
        <w:jc w:val="both"/>
        <w:rPr>
          <w:rFonts w:ascii="Times New Roman" w:hAnsi="Times New Roman" w:cs="Times New Roman"/>
          <w:sz w:val="24"/>
          <w:szCs w:val="24"/>
        </w:rPr>
      </w:pPr>
      <w:r w:rsidRPr="00BA3785">
        <w:rPr>
          <w:rFonts w:ascii="Times New Roman" w:hAnsi="Times New Roman" w:cs="Times New Roman"/>
          <w:sz w:val="24"/>
          <w:szCs w:val="24"/>
        </w:rPr>
        <w:t xml:space="preserve">Tackling antibiotic resistance in our oceans is not just a matter of protecting marine life, but one that could help protect the health of future generations. The silent pandemic of antibiotic resistance has begun; and the sea is a prominent battlefront. It </w:t>
      </w:r>
      <w:r w:rsidR="00286387" w:rsidRPr="00BA3785">
        <w:rPr>
          <w:rFonts w:ascii="Times New Roman" w:hAnsi="Times New Roman" w:cs="Times New Roman"/>
          <w:sz w:val="24"/>
          <w:szCs w:val="24"/>
        </w:rPr>
        <w:t>need</w:t>
      </w:r>
      <w:r w:rsidR="00981FB8">
        <w:rPr>
          <w:rFonts w:ascii="Times New Roman" w:hAnsi="Times New Roman" w:cs="Times New Roman"/>
          <w:sz w:val="24"/>
          <w:szCs w:val="24"/>
        </w:rPr>
        <w:t>s</w:t>
      </w:r>
      <w:r w:rsidRPr="00BA3785">
        <w:rPr>
          <w:rFonts w:ascii="Times New Roman" w:hAnsi="Times New Roman" w:cs="Times New Roman"/>
          <w:sz w:val="24"/>
          <w:szCs w:val="24"/>
        </w:rPr>
        <w:t xml:space="preserve"> to be </w:t>
      </w:r>
      <w:r w:rsidR="00981FB8" w:rsidRPr="00BA3785">
        <w:rPr>
          <w:rFonts w:ascii="Times New Roman" w:hAnsi="Times New Roman" w:cs="Times New Roman"/>
          <w:sz w:val="24"/>
          <w:szCs w:val="24"/>
        </w:rPr>
        <w:t>addressed</w:t>
      </w:r>
      <w:r w:rsidRPr="00BA3785">
        <w:rPr>
          <w:rFonts w:ascii="Times New Roman" w:hAnsi="Times New Roman" w:cs="Times New Roman"/>
          <w:sz w:val="24"/>
          <w:szCs w:val="24"/>
        </w:rPr>
        <w:t xml:space="preserve"> urgently and </w:t>
      </w:r>
      <w:r w:rsidR="00286387" w:rsidRPr="00BA3785">
        <w:rPr>
          <w:rFonts w:ascii="Times New Roman" w:hAnsi="Times New Roman" w:cs="Times New Roman"/>
          <w:sz w:val="24"/>
          <w:szCs w:val="24"/>
        </w:rPr>
        <w:t>persistently</w:t>
      </w:r>
      <w:r w:rsidRPr="00BA3785">
        <w:rPr>
          <w:rFonts w:ascii="Times New Roman" w:hAnsi="Times New Roman" w:cs="Times New Roman"/>
          <w:sz w:val="24"/>
          <w:szCs w:val="24"/>
        </w:rPr>
        <w:t xml:space="preserve"> if we want to have even the smallest hope of reversing the (increasing faster) tide.</w:t>
      </w:r>
    </w:p>
    <w:p w14:paraId="756E083A" w14:textId="77777777" w:rsidR="00461610" w:rsidRPr="00461610" w:rsidRDefault="00461610" w:rsidP="00461610">
      <w:pPr>
        <w:spacing w:line="480" w:lineRule="auto"/>
        <w:jc w:val="both"/>
        <w:rPr>
          <w:rFonts w:ascii="Arial" w:hAnsi="Arial" w:cs="Arial"/>
          <w:b/>
          <w:sz w:val="24"/>
          <w:szCs w:val="24"/>
        </w:rPr>
      </w:pPr>
      <w:r w:rsidRPr="00461610">
        <w:rPr>
          <w:rFonts w:ascii="Arial" w:hAnsi="Arial" w:cs="Arial"/>
          <w:b/>
          <w:sz w:val="24"/>
          <w:szCs w:val="24"/>
        </w:rPr>
        <w:t>DISCLAIMER (ARTIFICIAL INTELLIGENCE)</w:t>
      </w:r>
    </w:p>
    <w:p w14:paraId="193E8CFD" w14:textId="77777777" w:rsidR="00461610" w:rsidRDefault="00461610" w:rsidP="00461610">
      <w:pPr>
        <w:spacing w:line="480" w:lineRule="auto"/>
        <w:jc w:val="both"/>
        <w:rPr>
          <w:rFonts w:ascii="Times New Roman" w:hAnsi="Times New Roman" w:cs="Times New Roman"/>
          <w:sz w:val="24"/>
          <w:szCs w:val="24"/>
        </w:rPr>
      </w:pPr>
      <w:r w:rsidRPr="00461610">
        <w:rPr>
          <w:rFonts w:ascii="Times New Roman" w:hAnsi="Times New Roman" w:cs="Times New Roman"/>
          <w:sz w:val="24"/>
          <w:szCs w:val="24"/>
        </w:rPr>
        <w:t>Author(s)  hereby  declare  that  NO  generative  AI technologies  such  as  Large  Language  Models (ChatGPT,   COPILOT,   etc.)   and   text-to-image generators have been used during the  writing or editing of this manuscript.</w:t>
      </w:r>
    </w:p>
    <w:p w14:paraId="636DE053" w14:textId="064CAE44" w:rsidR="00201280" w:rsidRPr="00201280" w:rsidRDefault="00201280" w:rsidP="00461610">
      <w:pPr>
        <w:spacing w:line="480" w:lineRule="auto"/>
        <w:jc w:val="both"/>
        <w:rPr>
          <w:rFonts w:ascii="Arial" w:hAnsi="Arial" w:cs="Arial"/>
          <w:b/>
          <w:sz w:val="24"/>
          <w:szCs w:val="24"/>
        </w:rPr>
      </w:pPr>
      <w:r w:rsidRPr="00201280">
        <w:rPr>
          <w:rFonts w:ascii="Arial" w:hAnsi="Arial" w:cs="Arial"/>
          <w:b/>
          <w:sz w:val="24"/>
          <w:szCs w:val="24"/>
        </w:rPr>
        <w:t>CONFLICT OF INTEREST</w:t>
      </w:r>
    </w:p>
    <w:p w14:paraId="07616438" w14:textId="5A160CBB" w:rsidR="00201280" w:rsidRPr="00201280" w:rsidRDefault="00201280" w:rsidP="00461610">
      <w:pPr>
        <w:spacing w:line="480" w:lineRule="auto"/>
        <w:jc w:val="both"/>
        <w:rPr>
          <w:rFonts w:cstheme="minorHAnsi"/>
          <w:sz w:val="24"/>
          <w:szCs w:val="24"/>
        </w:rPr>
      </w:pPr>
      <w:r w:rsidRPr="00201280">
        <w:rPr>
          <w:rFonts w:cstheme="minorHAnsi"/>
          <w:sz w:val="24"/>
          <w:szCs w:val="24"/>
        </w:rPr>
        <w:lastRenderedPageBreak/>
        <w:t>Author</w:t>
      </w:r>
      <w:r>
        <w:rPr>
          <w:rFonts w:cstheme="minorHAnsi"/>
          <w:sz w:val="24"/>
          <w:szCs w:val="24"/>
        </w:rPr>
        <w:t>(s)</w:t>
      </w:r>
      <w:r w:rsidRPr="00201280">
        <w:rPr>
          <w:rFonts w:cstheme="minorHAnsi"/>
          <w:sz w:val="24"/>
          <w:szCs w:val="24"/>
        </w:rPr>
        <w:t xml:space="preserve"> </w:t>
      </w:r>
      <w:r>
        <w:rPr>
          <w:rFonts w:cstheme="minorHAnsi"/>
          <w:sz w:val="24"/>
          <w:szCs w:val="24"/>
        </w:rPr>
        <w:t>declare that there is no conflict of interest</w:t>
      </w:r>
    </w:p>
    <w:p w14:paraId="73D54DC4" w14:textId="38AF8EAB" w:rsidR="00B8388F" w:rsidRPr="00B8388F" w:rsidRDefault="004542B2" w:rsidP="00B8388F">
      <w:pPr>
        <w:jc w:val="both"/>
        <w:rPr>
          <w:rFonts w:ascii="Arial" w:hAnsi="Arial" w:cs="Arial"/>
          <w:b/>
        </w:rPr>
      </w:pPr>
      <w:r w:rsidRPr="006112E8">
        <w:rPr>
          <w:rFonts w:ascii="Arial" w:hAnsi="Arial" w:cs="Arial"/>
          <w:b/>
        </w:rPr>
        <w:t>REFERENCES</w:t>
      </w:r>
    </w:p>
    <w:p w14:paraId="59154646"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Abe, K., Nomura, N., &amp; Suzuki, S. (2020). Biofilms: Hot spots of horizontal gene transfer (HGT) in aquatic environments, with a focus on a new HGT mechanism. *FEMS Microbiology Ecology*, *96*(5), fiaa031. https://doi.org/10.1093/femsec/fiaa031</w:t>
      </w:r>
    </w:p>
    <w:p w14:paraId="2035BED4"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Adenaya, A., Afolayan, O., &amp; Okoh, A. (2023). Usage of antibiotics in aquaculture and the impact on coastal waters. *Marine Pollution Bulletin*, *189*, 114721. https://doi.org/10.1016/j.marpolbul.2023.114721</w:t>
      </w:r>
    </w:p>
    <w:p w14:paraId="48E684DC"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Adenaya, A., Afolayan, O., &amp; Okoh, A. (2024). Occurrence of antibiotic-resistant bacteria in the sea urchin Tripneustes gratilla from the Eastern Cape coast of South Africa. *Marine Pollution Bulletin*, *198*, 115852. https://doi.org/10.1016/j.marpolbul.2024.115852</w:t>
      </w:r>
    </w:p>
    <w:p w14:paraId="4E83CE74"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 xml:space="preserve">Adesiyan, I. M., Bisi-Johnson, M. A., Ogunfowokan, A. O., &amp; Okoh, A. I. (2022). Incidence of antibiotic resistance genotypes of Vibrio parahaemolyticus from environmental sources in the Eastern Cape Province, South Africa. *Scientific Reports*, *12*, 19432. </w:t>
      </w:r>
      <w:hyperlink r:id="rId10" w:history="1">
        <w:r w:rsidRPr="00B8388F">
          <w:rPr>
            <w:rFonts w:ascii="Cambria" w:eastAsia="MS Mincho" w:hAnsi="Cambria" w:cs="Times New Roman"/>
            <w:color w:val="0000FF"/>
            <w:u w:val="single"/>
            <w:lang w:val="en-US"/>
          </w:rPr>
          <w:t>https://doi.org/10.1038/s41598-022-23479-0</w:t>
        </w:r>
      </w:hyperlink>
    </w:p>
    <w:p w14:paraId="31940C83"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Adesoji, A. T., Olatoye, I. O., &amp; Ogunjobi, A. A. (2019). Genotypic Characterization of Aminoglycoside Resistance Genes from Bacteria Isolates in Selected Municipal Drinking Water Distribution Sources in Southwestern Nigeria. Ethiopian journal of health sciences, 29(3), 321–332. https://doi.org/10.4314/ejhs.v29i3.4</w:t>
      </w:r>
    </w:p>
    <w:p w14:paraId="17B0C54D"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Ahmad, O., Akram, M. S., Jamal, M., &amp; Ali, I. (2024). Antibiotic resistant bacteria colonising microplastics in the aquatic environment: A review. *Discover Applied Sciences*, *6*, 364. https://doi.org/10.1007/s43621-024-00722-4</w:t>
      </w:r>
    </w:p>
    <w:p w14:paraId="738DC7ED"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Ali, N., Ali, I., Din, A. U., Akhtar, K., He, B., &amp; Wen, R. (2024). Integrons in the age of antibiotic resistance: Evolution, mechanisms, and environmental implications: A review. *Microorganisms*, *12*(12), 2579. https://doi.org/10.3390/microorganisms12122579</w:t>
      </w:r>
    </w:p>
    <w:p w14:paraId="213BCEB4"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Alonso-Vásquez, T., Baini, M., Bianchi, J., Campani, T., Casini, S., Fossi, M. C., ... &amp; Panti, C. (2025). Metagenomic surveys show a widespread diffusion of antibiotic resistance genes in marine sediments from a Marine Protected Area and the nearby harbour. *Marine Pollution Bulletin*, *200*, 116063. https://doi.org/10.1016/j.marpolbul.2025.116063</w:t>
      </w:r>
    </w:p>
    <w:p w14:paraId="0E758FC2"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Altevogt, B. M., Bolan, N., Chowdhury, S., Eggers, S., Finley, R., Hernando-Amado, S., ... &amp; Woolhouse, M. (2025). A One Health framework for global and local stewardship of antimicrobial resistance. *Communications Medicine*, *5*, 22. https://doi.org/10.1038/s43856-025-01090-4</w:t>
      </w:r>
    </w:p>
    <w:p w14:paraId="4F18BA13"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Amarasiri, M., Sano, D., &amp; Suzuki, S. (2020). Understanding human health risks caused by antibiotic resistant bacteria (ARB) and antibiotic resistance genes (ARG) in water environments: Current knowledge and questions to be answered. *Critical Reviews in Environmental Science and Technology*, *50*(19), 2016-2059. https://doi.org/10.1080/10643389.2019.1692611</w:t>
      </w:r>
    </w:p>
    <w:p w14:paraId="02A75860"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lastRenderedPageBreak/>
        <w:t>Bagra, K., Kneis, D., Padfield, D., Szekeres, E., Teban-Man, A., Coman, C., ... &amp; Berendonk, T. U. (2024). Contrary effects of increasing temperatures on the spread of antimicrobial resistance in river biofilms. *Science of The Total Environment*, *912*, 168946. https://doi.org/10.1016/j.scitotenv.2023.168946</w:t>
      </w:r>
    </w:p>
    <w:p w14:paraId="68F61CCF"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Bloomfield, S. J., Bowers, R. M., Albayati, S., Delamare-Deboutteville, J., &amp; Bourne, D. G. (2025). Association of antimicrobial resistant Vibrio and species identification in the Australian seafood supply chain. *Food Microbiology*, *125*, 104654. https://doi.org/10.1016/j.fm.2025.104654</w:t>
      </w:r>
    </w:p>
    <w:p w14:paraId="44BC2B69"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Brown, C. L., Maile-Moskowitz, A., Lopatkin, A. J., Xia, K., Logan, L. K., Davis, B. C., ... &amp; Pruden, A. (2024). Selection and horizontal gene transfer underlie microdiversity-level heterogeneity in resistance gene fate during wastewater treatment. *Nature Communications*, *15*, 5412. https://doi.org/10.1038/s41467-024-49742-8</w:t>
      </w:r>
    </w:p>
    <w:p w14:paraId="01DA2F71"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Chen, B., Yang, Y., Liang, X., Yu, K., Zhang, T., &amp; Li, X. (2013). Metagenomic profiles of antibiotic resistance genes (ARGs) between human impacted estuary and deep ocean sediments. *Environmental Science &amp; Technology*, *47*(22), 12753-12760. https://doi.org/10.1021/es403818e</w:t>
      </w:r>
    </w:p>
    <w:p w14:paraId="2A5AC2CA"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Chen, B., Yuan, K., Chen, X., Yang, Y., Zhang, T., Wang, Y., ... &amp; Li, X. (2016). Metagenomic analysis revealing antibiotic resistance genes (ARGs) and their genetic compartments in the Tibetan environment. *Environmental Science &amp; Technology*, *50*(13), 6670-6679. https://doi.org/10.1021/acs.est.6b00619</w:t>
      </w:r>
    </w:p>
    <w:p w14:paraId="76EF96D3"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Chen, H., Jing, L., Teng, Y., &amp; Wang, J. (2023). Spatial distribution of antibiotic resistance genes in marine sediments along the gradient from the coast to the deep sea. *Regional Studies in Marine Science*, *62*, 102928. https://doi.org/10.1016/j.rsma.2023.102928</w:t>
      </w:r>
    </w:p>
    <w:p w14:paraId="607A0C85"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Cheung, C., Zheng, J., Guo, Y., Lau, C. H., Fang, J., Gin, K. Y. H., &amp; Zhang, T. (2025). The spread of antimicrobial resistance in the aquatic environment: Insights from wastewater treatment plants and receiving waters. *Environmental Pollution*, *342*, 123043. https://doi.org/10.1016/j.envpol.2023.123043</w:t>
      </w:r>
    </w:p>
    <w:p w14:paraId="453F2B80"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Cholewińska, P., Górniak, W., Smoliński, J., Szeligowska, N., Wojnarowski, K., &amp; Janczak, M. (2025). Presence of microplastic particles increased abundance of antibiotic resistance genes in freshwater ecosystems: A meta-analysis. *Scientific Reports*, *15*, 1136. https://doi.org/10.1038/s41598-025-01136-6</w:t>
      </w:r>
    </w:p>
    <w:p w14:paraId="23749788"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Di Cesare, A., Luna, G. M., Vignaroli, C., Pasquaroli, S., Tota, S., Paroncini, P., &amp; Biavasco, F. (2013). Aquaculture can promote the presence and spread of antibiotic-resistant Enterococci in marine sediments. *PLoS ONE*, *8*(4), e62838. https://doi.org/10.1371/journal.pone.0062838</w:t>
      </w:r>
    </w:p>
    <w:p w14:paraId="4AE60191"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Drane, K., Kidd, T. J., &amp; Bell, S. C. (2024). The role of wastewater treatment plants in dissemination of antibiotic resistance genes. *Antibiotics*, *13*(7), 641. https://doi.org/10.3390/antibiotics13070641</w:t>
      </w:r>
    </w:p>
    <w:p w14:paraId="74D6E440"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lastRenderedPageBreak/>
        <w:t>Elmahdi, S., DaSilva, L. V., &amp; Parveen, S. (2016). Antibiotic resistance of Vibrio parahaemolyticus and Vibrio vulnificus in various countries: A review. *Food Microbiology*, *57*, 128-134. https://doi.org/10.1016/j.fm.2016.02.008</w:t>
      </w:r>
    </w:p>
    <w:p w14:paraId="72FF5D83"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Ferreira, C., Harrison, E., Kneis, D., Berendonk, T. U., &amp; Berglund, F. (2023). Quantitative PCR versus metagenomics for monitoring antimicrobial resistance genes in natural environments. *FEMS Microbes*, *4*, xtad008. https://doi.org/10.1093/femsmc/xtad008</w:t>
      </w:r>
    </w:p>
    <w:p w14:paraId="49B36AF1"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Fisher, J. F., Hermoso, J. A., &amp; Mobashery, S. (2023). β-Lactams from the ocean. *Marine Drugs*, *21*(2), 86. https://doi.org/10.3390/md21020086</w:t>
      </w:r>
    </w:p>
    <w:p w14:paraId="031A7F3D"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Fonseca, E. L., Freitas, F. S., &amp; Vicente, A. C. P. (2018). The resistome of low-impacted marine environments is composed by distant metallo-β-lactamases homologs. *Frontiers in Microbiology*, *9*, 677. https://doi.org/10.3389/fmicb.2018.00677</w:t>
      </w:r>
    </w:p>
    <w:p w14:paraId="2A8FF8EA"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Fresia, P., Antelo, V., Salazar, C., Giménez, M., D'Alessandro, B., Afshinnekoo, E., ... &amp; Iraola, G. (2019). Urban metagenomics uncover antibiotic resistance reservoirs in coastal beach and sewage waters. *Microbiome*, *7*, 35. https://doi.org/10.1186/s40168-019-0648-z</w:t>
      </w:r>
    </w:p>
    <w:p w14:paraId="704CF3DC"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Gambino, D., Savoca, D., Sucato, A., Gentile, A., Pantano, L., Vicari, D., ... &amp; Arculeo, M. (2022). Occurrence of antibiotic resistance in the Mediterranean Sea. *Antibiotics*, *11*(3), 332. https://doi.org/10.3390/antibiotics11030332</w:t>
      </w:r>
    </w:p>
    <w:p w14:paraId="5334415F"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Gao, Z., Li, M., Ma, C., Zhang, C., Li, D., Zhang, Y., ... &amp; Zhao, J. (2023). Investigation of antibiotic resistance genotypic and phenotypic characteristics in Escherichia coli isolates from marine fish. *Frontiers in Microbiology*, *14*, 1194756. https://doi.org/10.3389/fmicb.2023.1194756</w:t>
      </w:r>
    </w:p>
    <w:p w14:paraId="16BCBC7F"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Garcia-Torné, M., Ballesté, E., Muniesa, M., &amp; García-Aljaro, C. (2025). Comprehensive study of antibiotics and antibiotic resistance genes in wastewater and impacted Mediterranean water environments. *Science of The Total Environment*, *918*, 170590. https://doi.org/10.1016/j.scitotenv.2024.170590</w:t>
      </w:r>
    </w:p>
    <w:p w14:paraId="61980596"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Goh, S. G., Tay, M. Y. F., Vergara, G. G. R. V., Ng, C., Khor, W. C., Aung, K. T., ... &amp; Gin, K. Y. H. (2024). A multi-pronged approach to assessing antimicrobial resistance risks in coastal waters and aquaculture systems. *Water Research*, *263*, 122124. https://doi.org/10.1016/j.watres.2024.122124</w:t>
      </w:r>
    </w:p>
    <w:p w14:paraId="201B4733"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Hagan, J., Zablocki, O., &amp; Adriaenssens, E. M. (2024). Mapping the spread of antibiotic resistance genes in coastal environments. *Food and Environmental Virology*, *16*(4), 412-424. https://doi.org/10.1007/s12560-024-09608-9</w:t>
      </w:r>
    </w:p>
    <w:p w14:paraId="51874518"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Han, Y., Wang, J., Zhao, Z., Wang, R., Chen, J., Lu, H., &amp; Liu, G. (2022). Occurrence and driving mechanism of antibiotic resistance genes in recreational coastal waters and their adjacent estuaries. *Frontiers in Marine Science*, *9*, 976438. https://doi.org/10.3389/fmars.2022.976438</w:t>
      </w:r>
    </w:p>
    <w:p w14:paraId="4D729431"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lastRenderedPageBreak/>
        <w:t>Hatosy, S. M., &amp; Martiny, A. C. (2015). The ocean as a global reservoir of antibiotic resistance genes. *Applied and Environmental Microbiology*, *81*(21), 7593-7599. https://doi.org/10.1128/AEM.00736-15</w:t>
      </w:r>
    </w:p>
    <w:p w14:paraId="3FABF9E9"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He, L. X., Ying, G. G., Liu, Y. S., Su, H. C., Chen, J., Liu, S. S., &amp; Zhao, J. L. (2025). Deciphering spread of quinolone resistance in mariculture environment: Insights from antibiotic residues, resistance genes and microbial community. *Journal of Hazardous Materials*, *461*, 132567. https://doi.org/10.1016/j.jhazmat.2023.132567</w:t>
      </w:r>
    </w:p>
    <w:p w14:paraId="439F3EE1"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Huang, Z., Chen, Y., Weng, H., Huang, S., Zheng, J., &amp; Chen, J. (2022). Pathogenicity and antibiotic resistance analysis of Vibrio parahaemolyticus isolated from aquatic products. *Frontiers in Marine Science*, *9*, 980593. https://doi.org/10.3389/fmars.2022.980593</w:t>
      </w:r>
    </w:p>
    <w:p w14:paraId="4F3C1268"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Jang, H. M., Kim, Y. B., Choi, S., Lee, Y., Shin, S. G., Unno, T., &amp; Kim, Y. M. (2018). Prevalence of antibiotic resistance genes from effluent of coastal aquaculture, South Korea. *Environmental Pollution*, *233*, 1049-1057. https://doi.org/10.1016/j.envpol.2017.10.006</w:t>
      </w:r>
    </w:p>
    <w:p w14:paraId="4E9B035C"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Lee, J., Jeon, J. H., Shin, J., Jang, H. M., Kim, S., Song, M. S., &amp; Kim, Y. M. (2023). Differential effects of wastewater treatment plant effluents on coastal microbial communities and antibiotic resistance. *ISME Journal*, *17*(11), 1920-1933. https://doi.org/10.1038/s41396-023-01506-w</w:t>
      </w:r>
    </w:p>
    <w:p w14:paraId="2BDCC99F"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Lertcanawanichakul, M., Chonsin, K., Kerdchana, A., Rodkhum, C., &amp; Chansue, N. (2025). Mangrove ecosystems as reservoirs of antibiotic resistance genes and resistant bacteria in coastal environments. *Antibiotics*, *14*(1), 48. https://doi.org/10.3390/antibiotics14010048</w:t>
      </w:r>
    </w:p>
    <w:p w14:paraId="502FB380"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Li, W., Zhang, G., &amp; Wang, X. (2022). Detection and various environmental factors of antibiotic resistance genes in natural environments. *Ecotoxicology and Environmental Safety*, *241*, 113834. https://doi.org/10.1016/j.ecoenv.2022.113834</w:t>
      </w:r>
    </w:p>
    <w:p w14:paraId="51060E11"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Liang, H., Guo, X., Jiang, S., Niu, Z., Wang, Y., Zhang, C., ... &amp; Zeng, E. Y. (2023). Detection of faecal bacteria and antibiotic resistance genes in biofilms adhered to marine plastics. *Environmental Pollution*, *316*, 120616. https://doi.org/10.1016/j.envpol.2022.120616</w:t>
      </w:r>
    </w:p>
    <w:p w14:paraId="70567079"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Lin, Z., Xu, W., Xie, Y., Li, X., Zhong, Z., Luo, J., &amp; Chen, H. (2023). Prevalence and distribution of antibiotic resistance in the coastal waters of the South China Sea. *Frontiers in Marine Science*, *10*, 1139641. https://doi.org/10.3389/fmars.2023.1139641</w:t>
      </w:r>
    </w:p>
    <w:p w14:paraId="3F25CB0B"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Liu, S., Zhao, H., Lehmler, H. J., Cai, X., &amp; Chen, J. (2023). Spatiotemporal distributions of sulfonamide and tetracycline resistance genes in Yangtze River Estuary and its adjacent East China Sea. *Ecotoxicology and Environmental Safety*, *259*, 115023. https://doi.org/10.1016/j.ecoenv.2023.115023</w:t>
      </w:r>
    </w:p>
    <w:p w14:paraId="27EB2CDB"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Loo, K. Y., Letchumanan, V., Law, J. W. F., Pusparajah, P., Goh, B. H., Ab Mutalib, N. S., &amp; Lee, L. H. (2020). Incidence of antibiotic resistance in Vibrio spp. *Reviews in Aquaculture*, *12*(4), 2590-2608. https://doi.org/10.1111/raq.12460</w:t>
      </w:r>
    </w:p>
    <w:p w14:paraId="04248875"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lastRenderedPageBreak/>
        <w:t>Lozano-Muñoz, I., Wacyk, J., Ortiz-Severín, J., Varas, M., Maass, A., Cambiazo, V., &amp; Chávez, F. P. (2021). Antimicrobial resistance in Chilean marine-farmed salmon: Improving food safety through a One Health approach. *One Health Outlook*, *3*, 8. https://doi.org/10.1186/s42522-021-00040-w</w:t>
      </w:r>
    </w:p>
    <w:p w14:paraId="08939B24"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Lu, L., Guo, L., Wang, Y., Liu, X., &amp; Xing, B. (2018). Occurrence and distribution of tetracycline antibiotics and resistance genes in the Taihu Lake Basin, China. *Water*, *10*(8), 1027. https://doi.org/10.3390/w10081027</w:t>
      </w:r>
    </w:p>
    <w:p w14:paraId="21B3751E"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Luo, L., Wang, Y., Guo, Y., Li, Y., Zhao, S., &amp; Jin, S. (2020). Differences in tetracycline antibiotic resistance genes distribution between activated carbon and anthracite coal filtration in drinking water treatment. *Frontiers in Microbiology*, *11*, 583995. https://doi.org/10.3389/fmicb.2020.583995</w:t>
      </w:r>
    </w:p>
    <w:p w14:paraId="7CA0CCD9"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Michaelis, C., &amp; Grohmann, E. (2023). Horizontal gene transfer of antibiotic resistance genes in biofilms. *Antibiotics*, *12*(2), 328. https://doi.org/10.3390/antibiotics12020328</w:t>
      </w:r>
    </w:p>
    <w:p w14:paraId="3FDF8F94"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Miranda, C. D., Godoy, F. A., &amp; Lee, M. R. (2022). Aquatic environments as hotspots of transferable low-level quinolone resistance and their potential contribution to high-level quinolone resistance. *Antibiotics*, *11*(11), 1487. https://doi.org/10.3390/antibiotics11111487</w:t>
      </w:r>
    </w:p>
    <w:p w14:paraId="7E93E612"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Mohammed, E. A. H., Amer, A. A., Abo-Elmaaty, A. M. A., &amp; Shahin, A. A. M. (2025). Antibiotic resistance in aquaculture: Challenges, trends, and solutions. *Antibiotics*, *14*(6), 598. https://doi.org/10.3390/antibiotics14060598</w:t>
      </w:r>
    </w:p>
    <w:p w14:paraId="0AEE416B"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 xml:space="preserve">Ortiz-Severín, J., Travisany, D., Maass, A., Cambiazo, V., &amp; Chávez, F. P. (2024). Impact of salmon farming in the antibiotic resistance and structure of marine bacterial communities in Chile. *Biological Research*, *57*, 56. </w:t>
      </w:r>
      <w:hyperlink r:id="rId11" w:history="1">
        <w:r w:rsidRPr="00B8388F">
          <w:rPr>
            <w:rFonts w:ascii="Cambria" w:eastAsia="MS Mincho" w:hAnsi="Cambria" w:cs="Times New Roman"/>
            <w:color w:val="0000FF"/>
            <w:u w:val="single"/>
            <w:lang w:val="en-US"/>
          </w:rPr>
          <w:t>https://doi.org/10.1186/s40659-024-00556-4</w:t>
        </w:r>
      </w:hyperlink>
    </w:p>
    <w:p w14:paraId="71506987"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Neela, F. A., Nonaka, L., &amp; Suzuki, S. (2007). The diversity of multi-drug resistance profiles in tetracycline-resistant Vibrio species isolated from coastal sediments and seawater. Journal of microbiology (Seoul, Korea), 45(1), 64–68.</w:t>
      </w:r>
    </w:p>
    <w:p w14:paraId="34ED6112"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Peng, R., Meng, F., Hai, R., Guo, C., &amp; Wang, Y. (2024). Marine microplastics enrich antibiotic resistance genes and potential pathogens in plastisphere. *Marine Pollution Bulletin*, *198*, 115872. https://doi.org/10.1016/j.marpolbul.2024.115872</w:t>
      </w:r>
    </w:p>
    <w:p w14:paraId="11B1C124"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Salgueiro, M. F., Pinto, E., Ferreira, I. M. P. L. V. O., &amp; Correia-Sá, L. (2024). Climate change and antibiotic resistance: A scoping review. *One Health*, *19*, 100822. https://doi.org/10.1016/j.onehlt.2024.100822</w:t>
      </w:r>
    </w:p>
    <w:p w14:paraId="6B4B2E22"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Schar, D., Klein, E. Y., Laxminarayan, R., Gilbert, M., &amp; Van Boeckel, T. P. (2021). Twenty-year trends in antimicrobial resistance from aquaculture and fisheries in Asia. *Nature Communications*, *12*, 5384. https://doi.org/10.1038/s41467-021-25655-8</w:t>
      </w:r>
    </w:p>
    <w:p w14:paraId="3E35C710"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Sebastian, P. J., Aitken, R., Gabor, K., Waltzek, T. B., &amp; Wills, R. W. (2025). Antimicrobial resistance of Vibrio spp. from the coastal environment and stranded marine mammals in Mississippi, USA. *Frontiers in Microbiology*, *16*, 1517898. https://doi.org/10.3389/fmicb.2025.1517898</w:t>
      </w:r>
    </w:p>
    <w:p w14:paraId="30227C44"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lastRenderedPageBreak/>
        <w:t>Shindoh, S., Kadoya, A., Kanechi, R., Watanabe, K., &amp; Suzuki, S. (2023). Marine bacteria harbor the sulfonamide resistance gene sul4 without mobile genetic elements. *Frontiers in Microbiology*, *14*, 1230548. https://doi.org/10.3389/fmicb.2023.1230548</w:t>
      </w:r>
    </w:p>
    <w:p w14:paraId="3606132C"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Siddique, A., Naz, I., Malik, S., Xiao, T., Wahid, A., Batool, A., ... &amp; Sardar, M. F. (2025). Microplastics and their role in the emergence of antibiotic resistance in the environment: A comprehensive review. *Journal of Hazardous Materials Advances*, *13*, 100414. https://doi.org/10.1016/j.hazadv.2024.100414</w:t>
      </w:r>
    </w:p>
    <w:p w14:paraId="221A49FD"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Srathongneam, T., Ounjai, P., &amp; Kiatpathomchai, W. (2024). High throughput qPCR unveils shared antibiotic resistance genes between wastewater and natural water environments. *Science of The Total Environment*, *912*, 169449. https://doi.org/10.1016/j.scitotenv.2023.169449</w:t>
      </w:r>
    </w:p>
    <w:p w14:paraId="659541EE"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Su, Z., Xu, Y., Zhu, Y., Chen, J., Wu, J., Chen, Z., ... &amp; Gu, L. (2020). Wastewater discharge drives ARGs spread in the coastal area: A case study in Hangzhou Bay, China. *Marine Pollution Bulletin*, *151*, 110856. https://doi.org/10.1016/j.marpolbul.2019.110856</w:t>
      </w:r>
    </w:p>
    <w:p w14:paraId="2A0F2B31"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Taylor, W., Hassard, F., Grimsley, J., Lees, D., Tyrrel, S., &amp; Blanch, A. R. (2025). Comparative analysis of qPCR and metagenomics for antibiotic resistance gene detection in wastewater. *Environmental Science &amp; Technology*, *59*(2), 1045-1056. https://doi.org/10.1021/acs.est.4c08234</w:t>
      </w:r>
    </w:p>
    <w:p w14:paraId="22F8C793"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Uddin, S., Behbehani, M., Karam, Q., Al-Ghadban, A. N., Sajid, S., &amp; Al-Murad, M. (2024). Antibiotic resistance genes and faecal sterols in marine sediments: Indicators of sewage contamination in Kuwait's coastal waters. *Sustainability*, *16*(10), 4320. https://doi.org/10.3390/su16104320</w:t>
      </w:r>
    </w:p>
    <w:p w14:paraId="3D0D24E6"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Uyaguari, M. I., Chan, B., Chávez-Crooker, P., Colwell, R. R., &amp; Sano, D. (2011). Characterization and quantitation of a novel β-lactamase gene found in a wastewater treatment facility and the surrounding coastal ecosystem. *Applied and Environmental Microbiology*, *77*(23), 8226-8233. https://doi.org/10.1128/AEM.02732-10</w:t>
      </w:r>
    </w:p>
    <w:p w14:paraId="3C4D64DF"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Uyaguari-Díaz, M. I., Chan, M., Chaban, B. L., Croxen, M. A., Finke, J. F., Hill, J. E., ... &amp; Isaac-Renton, J. L. (2018). Human activity determines the presence of integron-associated and antibiotic resistance genes in Southwestern British Columbia. *Frontiers in Microbiology*, *9*, 852. https://doi.org/10.3389/fmicb.2018.00852</w:t>
      </w:r>
    </w:p>
    <w:p w14:paraId="00238646"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Velazquez-Meza, M. E., Galarde-López, M., Carrillo-Quiroz, B., &amp; Alpuche-Aranda, C. M. (2022). Antimicrobial resistance: One Health approach. *Veterinary World*, *15*(3), 743-749. https://doi.org/10.14202/vetworld.2022.743-749</w:t>
      </w:r>
    </w:p>
    <w:p w14:paraId="6DE2D4F0"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Wen, L., Zhao, Y., Chen, L., Huang, T., Li, J., &amp; Zhang, Y. (2024). Antibiotic resistance genes (ARGs) and their eco-environmental effects in marine sediments of Bohai Bay, China. *Marine Pollution Bulletin*, *198*, 115861. https://doi.org/10.1016/j.marpolbul.2024.115861</w:t>
      </w:r>
    </w:p>
    <w:p w14:paraId="320FED28"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Xu, N., Zhang, Y., Tong, Y., Li, Y., Wang, Y., Zhang, X., ... &amp; Zhang, T. (2023). A global atlas of marine antibiotic resistance genes and their expression. *Water Research*, *244*, 120509. https://doi.org/10.1016/j.watres.2023.120509</w:t>
      </w:r>
    </w:p>
    <w:p w14:paraId="2809E3E3"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lastRenderedPageBreak/>
        <w:t>Yan, L., Liu, D., Wang, X. H., Wang, Y., Zhang, B., Wang, M., &amp; Xu, H. (2017). Bacterial plasmid-mediated quinolone resistance genes in aquatic environments in China. *Scientific Reports*, *7*, 40610. https://doi.org/10.1038/srep40610</w:t>
      </w:r>
    </w:p>
    <w:p w14:paraId="1E783277"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Ying, C., Chang, M. J., Hu, C. H., Chang, Y. T., Chao, W. L., Yang, Y. S., &amp; Wang, S. L. (2018). Effects of integrated multi-trophic aquaculture systems on microbial community composition, prevalence of sulfonamide-resistant bacteria and sulfonamide resistance gene sul1. *Science of The Total Environment*, *643*, 438-447. https://doi.org/10.1016/j.scitotenv.2018.06.226</w:t>
      </w:r>
    </w:p>
    <w:p w14:paraId="0434BF26"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Yuan, Q., Ng, C., Goh, S. G., Khor, W. C., Ong, G. H. M., Aung, K. T., ... &amp; Gin, K. Y. H. (2025). Evaluation of public health impact risks associated with bacterial antimicrobial resistome in tropical coastal environments. *Water Research*, *250*, 121045. https://doi.org/10.1016/j.watres.2025.121045</w:t>
      </w:r>
    </w:p>
    <w:p w14:paraId="7695C5F4"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Zhang, Y., Li, A., Dai, T., Li, F., Xie, H., Chen, L., &amp; Wen, D. (2023). Effect of antibiotics, antibiotic-resistant bacteria, and extracellular antibiotic resistance genes on the fate of ARGs in marine sediments. *Science of The Total Environment*, *858*, 159975. https://doi.org/10.1016/j.scitotenv.2023.159975</w:t>
      </w:r>
    </w:p>
    <w:p w14:paraId="6AD827D6" w14:textId="77777777" w:rsidR="00B8388F" w:rsidRPr="00B8388F" w:rsidRDefault="00B8388F" w:rsidP="00B8388F">
      <w:pPr>
        <w:ind w:left="720" w:hanging="720"/>
        <w:jc w:val="both"/>
        <w:rPr>
          <w:rFonts w:ascii="Cambria" w:eastAsia="MS Mincho" w:hAnsi="Cambria" w:cs="Times New Roman"/>
          <w:lang w:val="en-US"/>
        </w:rPr>
      </w:pPr>
      <w:r w:rsidRPr="00B8388F">
        <w:rPr>
          <w:rFonts w:ascii="Cambria" w:eastAsia="MS Mincho" w:hAnsi="Cambria" w:cs="Times New Roman"/>
          <w:lang w:val="en-US"/>
        </w:rPr>
        <w:t>Zhao, W., Wang, B., Chen, L., &amp; Zhang, T. (2024). Increased risk of antibiotic resistance in surface water due to climate change. *Environment International*, *192*, 109012. https://doi.org/10.1016/j.envint.2024.109012</w:t>
      </w:r>
    </w:p>
    <w:p w14:paraId="34C7C41D" w14:textId="532B6EBB" w:rsidR="00204C0A" w:rsidRPr="00965773" w:rsidRDefault="00204C0A" w:rsidP="00C55988">
      <w:pPr>
        <w:jc w:val="both"/>
        <w:rPr>
          <w:rFonts w:ascii="Times New Roman" w:hAnsi="Times New Roman" w:cs="Times New Roman"/>
        </w:rPr>
      </w:pPr>
    </w:p>
    <w:sectPr w:rsidR="00204C0A" w:rsidRPr="00965773">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7199380" w16cex:dateUtc="2025-11-19T04:05:00Z"/>
  <w16cex:commentExtensible w16cex:durableId="73BAC9B7" w16cex:dateUtc="2025-11-19T05:4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B8F1AC" w14:textId="77777777" w:rsidR="00E576C3" w:rsidRDefault="00E576C3" w:rsidP="00CD0ACB">
      <w:pPr>
        <w:spacing w:after="0" w:line="240" w:lineRule="auto"/>
      </w:pPr>
      <w:r>
        <w:separator/>
      </w:r>
    </w:p>
  </w:endnote>
  <w:endnote w:type="continuationSeparator" w:id="0">
    <w:p w14:paraId="13B0C11C" w14:textId="77777777" w:rsidR="00E576C3" w:rsidRDefault="00E576C3" w:rsidP="00CD0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88F12" w14:textId="77777777" w:rsidR="00CD0ACB" w:rsidRDefault="00CD0A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DEAC4" w14:textId="77777777" w:rsidR="00CD0ACB" w:rsidRDefault="00CD0A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1443C" w14:textId="77777777" w:rsidR="00CD0ACB" w:rsidRDefault="00CD0A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DCBF93" w14:textId="77777777" w:rsidR="00E576C3" w:rsidRDefault="00E576C3" w:rsidP="00CD0ACB">
      <w:pPr>
        <w:spacing w:after="0" w:line="240" w:lineRule="auto"/>
      </w:pPr>
      <w:r>
        <w:separator/>
      </w:r>
    </w:p>
  </w:footnote>
  <w:footnote w:type="continuationSeparator" w:id="0">
    <w:p w14:paraId="76E95D50" w14:textId="77777777" w:rsidR="00E576C3" w:rsidRDefault="00E576C3" w:rsidP="00CD0A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D5520" w14:textId="10FC1C9E" w:rsidR="00CD0ACB" w:rsidRDefault="00E576C3">
    <w:pPr>
      <w:pStyle w:val="Header"/>
    </w:pPr>
    <w:r>
      <w:rPr>
        <w:noProof/>
      </w:rPr>
      <w:pict w14:anchorId="6F725A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52492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C213F" w14:textId="4FB187D6" w:rsidR="00CD0ACB" w:rsidRDefault="00E576C3">
    <w:pPr>
      <w:pStyle w:val="Header"/>
    </w:pPr>
    <w:r>
      <w:rPr>
        <w:noProof/>
      </w:rPr>
      <w:pict w14:anchorId="7B88F1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52492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DDE94" w14:textId="13AA6E7A" w:rsidR="00CD0ACB" w:rsidRDefault="00E576C3">
    <w:pPr>
      <w:pStyle w:val="Header"/>
    </w:pPr>
    <w:r>
      <w:rPr>
        <w:noProof/>
      </w:rPr>
      <w:pict w14:anchorId="1A88F8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52492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12E51"/>
    <w:multiLevelType w:val="hybridMultilevel"/>
    <w:tmpl w:val="16BC75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A8208D1"/>
    <w:multiLevelType w:val="hybridMultilevel"/>
    <w:tmpl w:val="179636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273136B"/>
    <w:multiLevelType w:val="hybridMultilevel"/>
    <w:tmpl w:val="DF5210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A1NTQxMgMyTQ3NDZR0lIJTi4sz8/NACgxrAUJihkAsAAAA"/>
  </w:docVars>
  <w:rsids>
    <w:rsidRoot w:val="00965773"/>
    <w:rsid w:val="00004A22"/>
    <w:rsid w:val="0003605B"/>
    <w:rsid w:val="000527F1"/>
    <w:rsid w:val="000575DD"/>
    <w:rsid w:val="00073C01"/>
    <w:rsid w:val="000A4A7F"/>
    <w:rsid w:val="000D4B72"/>
    <w:rsid w:val="000E1E29"/>
    <w:rsid w:val="000F0F23"/>
    <w:rsid w:val="001240CC"/>
    <w:rsid w:val="00157E6E"/>
    <w:rsid w:val="001657AA"/>
    <w:rsid w:val="0018225B"/>
    <w:rsid w:val="001A1C4C"/>
    <w:rsid w:val="001E06D3"/>
    <w:rsid w:val="001E15C1"/>
    <w:rsid w:val="001F2A82"/>
    <w:rsid w:val="001F3735"/>
    <w:rsid w:val="00201280"/>
    <w:rsid w:val="00204C0A"/>
    <w:rsid w:val="00235FE4"/>
    <w:rsid w:val="002862A5"/>
    <w:rsid w:val="00286387"/>
    <w:rsid w:val="002A2617"/>
    <w:rsid w:val="002C777E"/>
    <w:rsid w:val="00311185"/>
    <w:rsid w:val="00320DA4"/>
    <w:rsid w:val="0033501F"/>
    <w:rsid w:val="00342871"/>
    <w:rsid w:val="00345B67"/>
    <w:rsid w:val="003533DC"/>
    <w:rsid w:val="003536D7"/>
    <w:rsid w:val="00387178"/>
    <w:rsid w:val="003D180F"/>
    <w:rsid w:val="003E1D56"/>
    <w:rsid w:val="004319EB"/>
    <w:rsid w:val="00450186"/>
    <w:rsid w:val="004542B2"/>
    <w:rsid w:val="00461610"/>
    <w:rsid w:val="00463F25"/>
    <w:rsid w:val="00465350"/>
    <w:rsid w:val="00473D71"/>
    <w:rsid w:val="004B5381"/>
    <w:rsid w:val="00522CC0"/>
    <w:rsid w:val="005319B3"/>
    <w:rsid w:val="005327F2"/>
    <w:rsid w:val="00545F1B"/>
    <w:rsid w:val="005513F5"/>
    <w:rsid w:val="00555C83"/>
    <w:rsid w:val="00567D10"/>
    <w:rsid w:val="005D1C1D"/>
    <w:rsid w:val="005E0EE8"/>
    <w:rsid w:val="006112E8"/>
    <w:rsid w:val="00611D4E"/>
    <w:rsid w:val="006359D1"/>
    <w:rsid w:val="0063708B"/>
    <w:rsid w:val="00662A32"/>
    <w:rsid w:val="00670B69"/>
    <w:rsid w:val="0069049F"/>
    <w:rsid w:val="006A1E34"/>
    <w:rsid w:val="006A7063"/>
    <w:rsid w:val="006B4C14"/>
    <w:rsid w:val="006B5717"/>
    <w:rsid w:val="006B7C4B"/>
    <w:rsid w:val="006F0306"/>
    <w:rsid w:val="00793505"/>
    <w:rsid w:val="007C5F19"/>
    <w:rsid w:val="007E4D67"/>
    <w:rsid w:val="007E513E"/>
    <w:rsid w:val="00807B36"/>
    <w:rsid w:val="00817B25"/>
    <w:rsid w:val="00833B56"/>
    <w:rsid w:val="00833C6D"/>
    <w:rsid w:val="0084345D"/>
    <w:rsid w:val="008957CB"/>
    <w:rsid w:val="008B4A67"/>
    <w:rsid w:val="008F68F0"/>
    <w:rsid w:val="00935A18"/>
    <w:rsid w:val="00965773"/>
    <w:rsid w:val="009679B4"/>
    <w:rsid w:val="00977F51"/>
    <w:rsid w:val="00981FB8"/>
    <w:rsid w:val="00995E29"/>
    <w:rsid w:val="00A05176"/>
    <w:rsid w:val="00A368D8"/>
    <w:rsid w:val="00A410F6"/>
    <w:rsid w:val="00A46346"/>
    <w:rsid w:val="00AC0F5A"/>
    <w:rsid w:val="00AC3C8B"/>
    <w:rsid w:val="00AE15BD"/>
    <w:rsid w:val="00B02A75"/>
    <w:rsid w:val="00B33F05"/>
    <w:rsid w:val="00B35D6A"/>
    <w:rsid w:val="00B8388F"/>
    <w:rsid w:val="00BA3785"/>
    <w:rsid w:val="00BB5871"/>
    <w:rsid w:val="00C3581B"/>
    <w:rsid w:val="00C47CDE"/>
    <w:rsid w:val="00C55988"/>
    <w:rsid w:val="00C846F2"/>
    <w:rsid w:val="00CA5749"/>
    <w:rsid w:val="00CA7740"/>
    <w:rsid w:val="00CD0ACB"/>
    <w:rsid w:val="00CD7ADE"/>
    <w:rsid w:val="00CF4D9C"/>
    <w:rsid w:val="00D20EB0"/>
    <w:rsid w:val="00D25B1C"/>
    <w:rsid w:val="00D30B1F"/>
    <w:rsid w:val="00D5344F"/>
    <w:rsid w:val="00D66EF3"/>
    <w:rsid w:val="00D83F35"/>
    <w:rsid w:val="00D96DE9"/>
    <w:rsid w:val="00DB07DA"/>
    <w:rsid w:val="00E012AE"/>
    <w:rsid w:val="00E10319"/>
    <w:rsid w:val="00E24B93"/>
    <w:rsid w:val="00E24CEE"/>
    <w:rsid w:val="00E576C3"/>
    <w:rsid w:val="00E577E3"/>
    <w:rsid w:val="00E8092A"/>
    <w:rsid w:val="00E84324"/>
    <w:rsid w:val="00E9747F"/>
    <w:rsid w:val="00EE13E6"/>
    <w:rsid w:val="00EF6D21"/>
    <w:rsid w:val="00F0094E"/>
    <w:rsid w:val="00F273F4"/>
    <w:rsid w:val="00F54167"/>
    <w:rsid w:val="00F61D54"/>
    <w:rsid w:val="00F8348F"/>
    <w:rsid w:val="00FB7E6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AAA3BC4"/>
  <w15:docId w15:val="{06A8DFAB-B951-4A8A-BD14-8A753C873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68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8D8"/>
    <w:rPr>
      <w:rFonts w:ascii="Tahoma" w:hAnsi="Tahoma" w:cs="Tahoma"/>
      <w:sz w:val="16"/>
      <w:szCs w:val="16"/>
    </w:rPr>
  </w:style>
  <w:style w:type="paragraph" w:styleId="ListParagraph">
    <w:name w:val="List Paragraph"/>
    <w:basedOn w:val="Normal"/>
    <w:uiPriority w:val="34"/>
    <w:qFormat/>
    <w:rsid w:val="002C777E"/>
    <w:pPr>
      <w:ind w:left="720"/>
      <w:contextualSpacing/>
    </w:pPr>
  </w:style>
  <w:style w:type="paragraph" w:styleId="NormalWeb">
    <w:name w:val="Normal (Web)"/>
    <w:basedOn w:val="Normal"/>
    <w:uiPriority w:val="99"/>
    <w:unhideWhenUsed/>
    <w:rsid w:val="00BA378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MdHeading1">
    <w:name w:val="MdHeading1"/>
    <w:qFormat/>
    <w:rsid w:val="00AC0F5A"/>
    <w:pPr>
      <w:keepNext/>
      <w:spacing w:before="480" w:after="240" w:line="240" w:lineRule="auto"/>
      <w:outlineLvl w:val="0"/>
    </w:pPr>
    <w:rPr>
      <w:rFonts w:ascii="Times New Roman" w:eastAsia="Times New Roman" w:hAnsi="Times New Roman" w:cs="Times New Roman"/>
      <w:b/>
      <w:bCs/>
      <w:sz w:val="36"/>
      <w:szCs w:val="36"/>
      <w:lang w:eastAsia="en-IN"/>
    </w:rPr>
  </w:style>
  <w:style w:type="character" w:styleId="Hyperlink">
    <w:name w:val="Hyperlink"/>
    <w:basedOn w:val="DefaultParagraphFont"/>
    <w:uiPriority w:val="99"/>
    <w:unhideWhenUsed/>
    <w:rsid w:val="00465350"/>
    <w:rPr>
      <w:color w:val="0000FF" w:themeColor="hyperlink"/>
      <w:u w:val="single"/>
    </w:rPr>
  </w:style>
  <w:style w:type="character" w:customStyle="1" w:styleId="UnresolvedMention1">
    <w:name w:val="Unresolved Mention1"/>
    <w:basedOn w:val="DefaultParagraphFont"/>
    <w:uiPriority w:val="99"/>
    <w:semiHidden/>
    <w:unhideWhenUsed/>
    <w:rsid w:val="00465350"/>
    <w:rPr>
      <w:color w:val="605E5C"/>
      <w:shd w:val="clear" w:color="auto" w:fill="E1DFDD"/>
    </w:rPr>
  </w:style>
  <w:style w:type="paragraph" w:styleId="Header">
    <w:name w:val="header"/>
    <w:basedOn w:val="Normal"/>
    <w:link w:val="HeaderChar"/>
    <w:uiPriority w:val="99"/>
    <w:unhideWhenUsed/>
    <w:rsid w:val="00CD0A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0ACB"/>
  </w:style>
  <w:style w:type="paragraph" w:styleId="Footer">
    <w:name w:val="footer"/>
    <w:basedOn w:val="Normal"/>
    <w:link w:val="FooterChar"/>
    <w:uiPriority w:val="99"/>
    <w:unhideWhenUsed/>
    <w:rsid w:val="00CD0A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0ACB"/>
  </w:style>
  <w:style w:type="paragraph" w:styleId="Revision">
    <w:name w:val="Revision"/>
    <w:hidden/>
    <w:uiPriority w:val="99"/>
    <w:semiHidden/>
    <w:rsid w:val="002862A5"/>
    <w:pPr>
      <w:spacing w:after="0" w:line="240" w:lineRule="auto"/>
    </w:pPr>
  </w:style>
  <w:style w:type="character" w:styleId="CommentReference">
    <w:name w:val="annotation reference"/>
    <w:basedOn w:val="DefaultParagraphFont"/>
    <w:uiPriority w:val="99"/>
    <w:semiHidden/>
    <w:unhideWhenUsed/>
    <w:rsid w:val="00311185"/>
    <w:rPr>
      <w:sz w:val="16"/>
      <w:szCs w:val="16"/>
    </w:rPr>
  </w:style>
  <w:style w:type="paragraph" w:styleId="CommentText">
    <w:name w:val="annotation text"/>
    <w:basedOn w:val="Normal"/>
    <w:link w:val="CommentTextChar"/>
    <w:uiPriority w:val="99"/>
    <w:unhideWhenUsed/>
    <w:rsid w:val="00311185"/>
    <w:pPr>
      <w:spacing w:line="240" w:lineRule="auto"/>
    </w:pPr>
    <w:rPr>
      <w:sz w:val="20"/>
      <w:szCs w:val="20"/>
    </w:rPr>
  </w:style>
  <w:style w:type="character" w:customStyle="1" w:styleId="CommentTextChar">
    <w:name w:val="Comment Text Char"/>
    <w:basedOn w:val="DefaultParagraphFont"/>
    <w:link w:val="CommentText"/>
    <w:uiPriority w:val="99"/>
    <w:rsid w:val="00311185"/>
    <w:rPr>
      <w:sz w:val="20"/>
      <w:szCs w:val="20"/>
    </w:rPr>
  </w:style>
  <w:style w:type="paragraph" w:styleId="CommentSubject">
    <w:name w:val="annotation subject"/>
    <w:basedOn w:val="CommentText"/>
    <w:next w:val="CommentText"/>
    <w:link w:val="CommentSubjectChar"/>
    <w:uiPriority w:val="99"/>
    <w:semiHidden/>
    <w:unhideWhenUsed/>
    <w:rsid w:val="00311185"/>
    <w:rPr>
      <w:b/>
      <w:bCs/>
    </w:rPr>
  </w:style>
  <w:style w:type="character" w:customStyle="1" w:styleId="CommentSubjectChar">
    <w:name w:val="Comment Subject Char"/>
    <w:basedOn w:val="CommentTextChar"/>
    <w:link w:val="CommentSubject"/>
    <w:uiPriority w:val="99"/>
    <w:semiHidden/>
    <w:rsid w:val="0031118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781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86/s40659-024-00556-4"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doi.org/10.1038/s41598-022-23479-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27</Pages>
  <Words>8141</Words>
  <Characters>46407</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SDI 1020</cp:lastModifiedBy>
  <cp:revision>15</cp:revision>
  <dcterms:created xsi:type="dcterms:W3CDTF">2025-11-23T01:17:00Z</dcterms:created>
  <dcterms:modified xsi:type="dcterms:W3CDTF">2025-11-25T13:37:00Z</dcterms:modified>
</cp:coreProperties>
</file>