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597A7" w14:textId="77777777" w:rsidR="00874812" w:rsidRPr="003D65B7" w:rsidRDefault="00874812" w:rsidP="00FD0AE5">
      <w:pPr>
        <w:pStyle w:val="NoSpacing"/>
        <w:jc w:val="both"/>
        <w:rPr>
          <w:rStyle w:val="TypeofthepaperChar"/>
          <w:rFonts w:ascii="Arial" w:hAnsi="Arial" w:cs="Arial"/>
          <w:b/>
          <w:bCs/>
          <w:i w:val="0"/>
          <w:iCs w:val="0"/>
          <w:kern w:val="2"/>
          <w:sz w:val="24"/>
          <w:szCs w:val="24"/>
          <w:lang w:eastAsia="ja-JP" w:bidi="bn-BD"/>
          <w14:ligatures w14:val="standardContextual"/>
        </w:rPr>
      </w:pPr>
      <w:r w:rsidRPr="003D65B7">
        <w:rPr>
          <w:rStyle w:val="TypeofthepaperChar"/>
          <w:rFonts w:ascii="Arial" w:hAnsi="Arial" w:cs="Arial"/>
          <w:b/>
          <w:bCs/>
          <w:i w:val="0"/>
          <w:iCs w:val="0"/>
          <w:kern w:val="2"/>
          <w:sz w:val="24"/>
          <w:szCs w:val="24"/>
          <w:lang w:eastAsia="ja-JP" w:bidi="bn-BD"/>
          <w14:ligatures w14:val="standardContextual"/>
        </w:rPr>
        <w:t xml:space="preserve">Original Research Article </w:t>
      </w:r>
    </w:p>
    <w:p w14:paraId="26109D7F" w14:textId="77777777" w:rsidR="00874812" w:rsidRPr="003D65B7" w:rsidRDefault="00874812" w:rsidP="00FD0AE5">
      <w:pPr>
        <w:pStyle w:val="NoSpacing"/>
        <w:jc w:val="both"/>
        <w:rPr>
          <w:rStyle w:val="TypeofthepaperChar"/>
          <w:rFonts w:ascii="Arial" w:hAnsi="Arial" w:cs="Arial"/>
          <w:b/>
          <w:bCs/>
          <w:i w:val="0"/>
          <w:iCs w:val="0"/>
          <w:kern w:val="2"/>
          <w:sz w:val="24"/>
          <w:szCs w:val="24"/>
          <w:lang w:eastAsia="ja-JP" w:bidi="bn-BD"/>
          <w14:ligatures w14:val="standardContextual"/>
        </w:rPr>
      </w:pPr>
    </w:p>
    <w:p w14:paraId="16F345FF" w14:textId="77777777" w:rsidR="00874812" w:rsidRPr="003D65B7" w:rsidRDefault="00874812" w:rsidP="00FD0AE5">
      <w:pPr>
        <w:pStyle w:val="NoSpacing"/>
        <w:jc w:val="both"/>
        <w:rPr>
          <w:rStyle w:val="TypeofthepaperChar"/>
          <w:rFonts w:ascii="Arial" w:hAnsi="Arial" w:cs="Arial"/>
          <w:b/>
          <w:bCs/>
          <w:i w:val="0"/>
          <w:iCs w:val="0"/>
          <w:kern w:val="2"/>
          <w:sz w:val="24"/>
          <w:szCs w:val="24"/>
          <w:lang w:eastAsia="ja-JP" w:bidi="bn-BD"/>
          <w14:ligatures w14:val="standardContextual"/>
        </w:rPr>
      </w:pPr>
    </w:p>
    <w:p w14:paraId="5170BF85" w14:textId="5EB9BF78" w:rsidR="00FE7D6A" w:rsidRPr="003D65B7" w:rsidRDefault="00FE7D6A" w:rsidP="00FD0AE5">
      <w:pPr>
        <w:pStyle w:val="NoSpacing"/>
        <w:jc w:val="both"/>
        <w:rPr>
          <w:rFonts w:ascii="Arial" w:hAnsi="Arial" w:cs="Arial"/>
          <w:b/>
          <w:sz w:val="36"/>
          <w:szCs w:val="36"/>
        </w:rPr>
      </w:pPr>
      <w:r w:rsidRPr="003D65B7">
        <w:rPr>
          <w:rFonts w:ascii="Arial" w:hAnsi="Arial" w:cs="Arial"/>
          <w:b/>
          <w:sz w:val="36"/>
          <w:szCs w:val="36"/>
        </w:rPr>
        <w:t>Environmental Contaminants in Drinking Water of Urban Dairy Farms in Dhaka, Bangladesh: Microbial and Iron Burdens as Emerging One Health Threats Under Climate Stress</w:t>
      </w:r>
    </w:p>
    <w:p w14:paraId="405A4DE3" w14:textId="77777777" w:rsidR="00FE7D6A" w:rsidRPr="003D65B7" w:rsidRDefault="00FE7D6A" w:rsidP="006F55FF">
      <w:pPr>
        <w:pStyle w:val="NoSpacing"/>
        <w:spacing w:line="480" w:lineRule="auto"/>
        <w:jc w:val="both"/>
        <w:rPr>
          <w:rStyle w:val="AuthorsChar"/>
          <w:rFonts w:ascii="Arial" w:hAnsi="Arial" w:cs="Times New Roman"/>
          <w:b w:val="0"/>
          <w:kern w:val="2"/>
          <w:sz w:val="20"/>
          <w:szCs w:val="24"/>
          <w:lang w:eastAsia="ko-KR"/>
        </w:rPr>
      </w:pPr>
    </w:p>
    <w:p w14:paraId="20965E83" w14:textId="520F568B" w:rsidR="006F55FF" w:rsidRPr="003D65B7" w:rsidRDefault="006F55FF">
      <w:pPr>
        <w:rPr>
          <w:rFonts w:ascii="Arial" w:eastAsia="Microsoft GothicNeo" w:hAnsi="Arial" w:cs="Times New Roman"/>
          <w:bCs/>
          <w:sz w:val="20"/>
          <w:szCs w:val="24"/>
          <w:lang w:eastAsia="ko-KR" w:bidi="ar-SA"/>
          <w14:ligatures w14:val="none"/>
        </w:rPr>
      </w:pPr>
    </w:p>
    <w:p w14:paraId="3796EAC2" w14:textId="77777777" w:rsidR="007915A0" w:rsidRPr="003D65B7" w:rsidRDefault="007915A0" w:rsidP="007C46CA">
      <w:pPr>
        <w:pStyle w:val="Heading10"/>
      </w:pPr>
      <w:r w:rsidRPr="003D65B7">
        <w:t>ABSTRACT</w:t>
      </w:r>
    </w:p>
    <w:p w14:paraId="7582FA9B" w14:textId="77777777" w:rsidR="00573100" w:rsidRPr="003D65B7" w:rsidRDefault="00573100" w:rsidP="007C46CA">
      <w:pPr>
        <w:pStyle w:val="Heading10"/>
      </w:pPr>
    </w:p>
    <w:p w14:paraId="310D38A3" w14:textId="7A95D468" w:rsidR="00F70BC1" w:rsidRPr="003D65B7" w:rsidRDefault="00F70BC1" w:rsidP="00F70BC1">
      <w:pPr>
        <w:spacing w:after="210"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With direct implications for One Health and environmental resilience, water quality remains a critical yet underexplored determinant influencing livestock health, productivity, and food safety in Bangladesh’s urban dairy systems. In rapidly urbanizing regions such as Dhaka, </w:t>
      </w:r>
      <w:r w:rsidR="00DF7567" w:rsidRPr="0069476F">
        <w:rPr>
          <w:rFonts w:ascii="Arial" w:hAnsi="Arial" w:cs="Times New Roman"/>
          <w:snapToGrid w:val="0"/>
          <w:color w:val="000000"/>
          <w:kern w:val="0"/>
          <w:sz w:val="20"/>
          <w:szCs w:val="24"/>
          <w:u w:val="single"/>
          <w:lang w:eastAsia="ko-KR" w:bidi="en-US"/>
          <w14:ligatures w14:val="none"/>
        </w:rPr>
        <w:t>underground supply water infrastructure</w:t>
      </w:r>
      <w:r w:rsidR="00DF7567" w:rsidRPr="00DF756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is increasingly vulnerable to microbial contamination, structural decay, and climate-linked stressors. This study evaluated the microbiological and physicochemical quality of drinking water supplied to five representative urban dairy farm locations. Sampling followed a 5-site design with 4 replicates per location (n = 20), using standard microbiological and biochemical methods to detect total coliforms, </w:t>
      </w:r>
      <w:r w:rsidRPr="003D65B7">
        <w:rPr>
          <w:rFonts w:ascii="Arial" w:hAnsi="Arial" w:cs="Times New Roman"/>
          <w:i/>
          <w:iCs/>
          <w:snapToGrid w:val="0"/>
          <w:color w:val="000000"/>
          <w:kern w:val="0"/>
          <w:sz w:val="20"/>
          <w:szCs w:val="24"/>
          <w:lang w:eastAsia="ko-KR" w:bidi="en-US"/>
          <w14:ligatures w14:val="none"/>
        </w:rPr>
        <w:t>Escherichia coli</w:t>
      </w:r>
      <w:r w:rsidRPr="003D65B7">
        <w:rPr>
          <w:rFonts w:ascii="Arial" w:hAnsi="Arial" w:cs="Times New Roman"/>
          <w:snapToGrid w:val="0"/>
          <w:color w:val="000000"/>
          <w:kern w:val="0"/>
          <w:sz w:val="20"/>
          <w:szCs w:val="24"/>
          <w:lang w:eastAsia="ko-KR" w:bidi="en-US"/>
          <w14:ligatures w14:val="none"/>
        </w:rPr>
        <w:t>, and protozoa (</w:t>
      </w:r>
      <w:r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spp., </w:t>
      </w:r>
      <w:r w:rsidRPr="003D65B7">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snapToGrid w:val="0"/>
          <w:color w:val="000000"/>
          <w:kern w:val="0"/>
          <w:sz w:val="20"/>
          <w:szCs w:val="24"/>
          <w:lang w:eastAsia="ko-KR" w:bidi="en-US"/>
          <w14:ligatures w14:val="none"/>
        </w:rPr>
        <w:t xml:space="preserve"> spp.), alongside measurements of pH, total dissolved solids (TDS), iron, chloride, and total hardness. All samples showed 100% prevalence of coliforms and </w:t>
      </w:r>
      <w:r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with bacterial loads significantly exceeding WHO safety limits. The highest coliform count was recorded in Mirpur-1 (2.63×10⁸ CFU/ml;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0.012), while the lowest was at the SAU campus (1.73×10⁸ CFU/ml). </w:t>
      </w:r>
      <w:r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loads ranged from 5.50×10⁷ to 7.05×10⁷ CFU/ml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0.043) while no protozoan parasites were detected. Iron concentrations exceeded recommended levels across all sites, with Mirpur-1 showing the highest mean (0.972 ± 0.02 ppm;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0.001). TDS and chloride levels were highest in the 60 Feet area (397.0 ± 3.14 ppm and 0.945 ± 0.03 ppm; both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0.001). Water hardness ranged from 75.0 ± 2.04 to 165.0 ± 1.23 ppm, while pH values remained within acceptable limits (6.12 ± 0.03 to 6.70 ± 0.07). TDS showed a moderately strong positive correlation with coliforms (R² = 0.697;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0.079), while chloride had a moderate negative correlation with </w:t>
      </w:r>
      <w:r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(R² = 0.460; </w:t>
      </w:r>
      <w:r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0.208). These findings emphasize the need for climate-resilient water safety protocols, regular microbial surveillance, and improved sanitation to protect livestock and public health in urban dairy environments.</w:t>
      </w:r>
    </w:p>
    <w:p w14:paraId="4EA2B9A3" w14:textId="744FB630" w:rsidR="00281D35" w:rsidRPr="003D65B7" w:rsidRDefault="007915A0" w:rsidP="00F70BC1">
      <w:pPr>
        <w:spacing w:after="210" w:line="480" w:lineRule="auto"/>
        <w:jc w:val="both"/>
        <w:rPr>
          <w:rFonts w:ascii="Arial" w:hAnsi="Arial" w:cs="Times New Roman"/>
          <w:bCs/>
          <w:i/>
          <w:iCs/>
          <w:sz w:val="20"/>
          <w:szCs w:val="24"/>
        </w:rPr>
      </w:pPr>
      <w:r w:rsidRPr="003D65B7">
        <w:rPr>
          <w:rFonts w:ascii="Arial" w:eastAsia="Microsoft GothicNeo" w:hAnsi="Arial" w:cs="Times New Roman"/>
          <w:bCs/>
          <w:i/>
          <w:iCs/>
          <w:sz w:val="20"/>
          <w:szCs w:val="24"/>
          <w:lang w:eastAsia="ko-KR" w:bidi="ar-SA"/>
          <w14:ligatures w14:val="none"/>
        </w:rPr>
        <w:lastRenderedPageBreak/>
        <w:t>Keywords:</w:t>
      </w:r>
      <w:r w:rsidRPr="003D65B7">
        <w:rPr>
          <w:rFonts w:ascii="Arial" w:eastAsia="inter" w:hAnsi="Arial" w:cs="Times New Roman"/>
          <w:i/>
          <w:iCs/>
          <w:color w:val="000000"/>
          <w:sz w:val="20"/>
          <w:szCs w:val="24"/>
        </w:rPr>
        <w:t xml:space="preserve"> </w:t>
      </w:r>
      <w:r w:rsidR="00303D1F" w:rsidRPr="003D65B7">
        <w:rPr>
          <w:rFonts w:ascii="Arial" w:eastAsia="Microsoft GothicNeo" w:hAnsi="Arial" w:cs="Times New Roman"/>
          <w:i/>
          <w:iCs/>
          <w:sz w:val="20"/>
          <w:szCs w:val="24"/>
          <w:lang w:eastAsia="ko-KR" w:bidi="ar-SA"/>
          <w14:ligatures w14:val="none"/>
        </w:rPr>
        <w:t>Waterborne pathogens; Iron toxicity; Environmental contamination; One Health; Climate resilience; Public health</w:t>
      </w:r>
      <w:r w:rsidR="00281D35" w:rsidRPr="003D65B7">
        <w:rPr>
          <w:rFonts w:ascii="Arial" w:hAnsi="Arial" w:cs="Times New Roman"/>
          <w:bCs/>
          <w:i/>
          <w:iCs/>
          <w:sz w:val="20"/>
          <w:szCs w:val="24"/>
        </w:rPr>
        <w:br w:type="page"/>
      </w:r>
    </w:p>
    <w:p w14:paraId="440B93DF" w14:textId="5AFF0E25" w:rsidR="00361384" w:rsidRPr="003D65B7" w:rsidRDefault="007C46CA" w:rsidP="007C46CA">
      <w:pPr>
        <w:pStyle w:val="Heading10"/>
      </w:pPr>
      <w:r w:rsidRPr="003D65B7">
        <w:lastRenderedPageBreak/>
        <w:t xml:space="preserve">1. </w:t>
      </w:r>
      <w:r w:rsidR="00361384" w:rsidRPr="003D65B7">
        <w:t>Introduction</w:t>
      </w:r>
    </w:p>
    <w:p w14:paraId="2E03C65A" w14:textId="77777777" w:rsidR="00FD0AE5" w:rsidRPr="003D65B7" w:rsidRDefault="00FD0AE5" w:rsidP="007C46CA">
      <w:pPr>
        <w:pStyle w:val="Heading10"/>
      </w:pPr>
    </w:p>
    <w:p w14:paraId="0ABDF13C" w14:textId="09053F7C" w:rsidR="00802D66" w:rsidRPr="003D65B7" w:rsidRDefault="00802D66" w:rsidP="00937E04">
      <w:pPr>
        <w:pStyle w:val="Text"/>
        <w:spacing w:line="480" w:lineRule="auto"/>
        <w:rPr>
          <w:rFonts w:ascii="Arial" w:hAnsi="Arial"/>
          <w:sz w:val="20"/>
          <w:szCs w:val="24"/>
        </w:rPr>
      </w:pPr>
      <w:r w:rsidRPr="003D65B7">
        <w:rPr>
          <w:rFonts w:ascii="Arial" w:hAnsi="Arial"/>
          <w:sz w:val="20"/>
          <w:szCs w:val="24"/>
        </w:rPr>
        <w:t>Effective management of drinking water is essential in livestock farming, as water supports life and directly influences growth, lactation, and reproduction. A strong positive relationship exists between water intake and feed intake under normal physiological conditions (Beede, 2006). Water also regulates digestion, nutrient absorption, thermoregulation, osmotic balance, and the secretion of hormones and bodily fluids including saliva and milk (Lardner et al., 2005).</w:t>
      </w:r>
    </w:p>
    <w:p w14:paraId="33DC51FB" w14:textId="77777777" w:rsidR="00802D66" w:rsidRPr="003D65B7" w:rsidRDefault="00802D66" w:rsidP="00937E04">
      <w:pPr>
        <w:pStyle w:val="Text"/>
        <w:spacing w:line="480" w:lineRule="auto"/>
        <w:rPr>
          <w:rFonts w:ascii="Arial" w:hAnsi="Arial"/>
          <w:sz w:val="20"/>
          <w:szCs w:val="24"/>
        </w:rPr>
      </w:pPr>
      <w:r w:rsidRPr="003D65B7">
        <w:rPr>
          <w:rFonts w:ascii="Arial" w:hAnsi="Arial"/>
          <w:sz w:val="20"/>
          <w:szCs w:val="24"/>
        </w:rPr>
        <w:t>Livestock are sensitive to water taste and odor; poor quality often reduces consumption and affects productivity (Deshmukh, 2013; Umar et al., 2014). Evaluating physicochemical and microbiological properties is therefore central to understanding water quality. Key factors include pH, total dissolved solids (TDS), hardness, chloride, iron concentrations, and microbial contaminants (Beede, 2006). Animals typically accept drinking water with a pH range of 6.5 to 8.5 (Curran et al., 2007). When the pH falls below 6.5, the water becomes acidic and less palatable; above 8.5, it turns strongly alkaline, which also discourages intake (</w:t>
      </w:r>
      <w:proofErr w:type="spellStart"/>
      <w:r w:rsidRPr="003D65B7">
        <w:rPr>
          <w:rFonts w:ascii="Arial" w:hAnsi="Arial"/>
          <w:sz w:val="20"/>
          <w:szCs w:val="24"/>
        </w:rPr>
        <w:t>Dragchi</w:t>
      </w:r>
      <w:proofErr w:type="spellEnd"/>
      <w:r w:rsidRPr="003D65B7">
        <w:rPr>
          <w:rFonts w:ascii="Arial" w:hAnsi="Arial"/>
          <w:sz w:val="20"/>
          <w:szCs w:val="24"/>
        </w:rPr>
        <w:t xml:space="preserve">, 2001; Man, 2007; </w:t>
      </w:r>
      <w:proofErr w:type="spellStart"/>
      <w:r w:rsidRPr="003D65B7">
        <w:rPr>
          <w:rFonts w:ascii="Arial" w:hAnsi="Arial"/>
          <w:sz w:val="20"/>
          <w:szCs w:val="24"/>
        </w:rPr>
        <w:t>Propescu</w:t>
      </w:r>
      <w:proofErr w:type="spellEnd"/>
      <w:r w:rsidRPr="003D65B7">
        <w:rPr>
          <w:rFonts w:ascii="Arial" w:hAnsi="Arial"/>
          <w:sz w:val="20"/>
          <w:szCs w:val="24"/>
        </w:rPr>
        <w:t>, 2010). Elevated TDS can reduce intake, impair feed efficiency, and introduce excess sulfur (Patterson and Johnson, 2003). Similarly, high chloride levels depress consumption and reduce milk yield (</w:t>
      </w:r>
      <w:proofErr w:type="spellStart"/>
      <w:r w:rsidRPr="003D65B7">
        <w:rPr>
          <w:rFonts w:ascii="Arial" w:hAnsi="Arial"/>
          <w:sz w:val="20"/>
          <w:szCs w:val="24"/>
        </w:rPr>
        <w:t>Swistock</w:t>
      </w:r>
      <w:proofErr w:type="spellEnd"/>
      <w:r w:rsidRPr="003D65B7">
        <w:rPr>
          <w:rFonts w:ascii="Arial" w:hAnsi="Arial"/>
          <w:sz w:val="20"/>
          <w:szCs w:val="24"/>
        </w:rPr>
        <w:t xml:space="preserve">, 2016). Hard water may cause gastric disorders, renal stones, and methemoglobinemia, especially when animals adapted to soft water are exposed to hardness (El Mahdy, 2013). Iron concentrations above 0.3 ppm impart a metallic taste, reducing intake and productivity; chronic exposure affects feed conversion efficiency (Man et al., 2002; </w:t>
      </w:r>
      <w:proofErr w:type="spellStart"/>
      <w:r w:rsidRPr="003D65B7">
        <w:rPr>
          <w:rFonts w:ascii="Arial" w:hAnsi="Arial"/>
          <w:sz w:val="20"/>
          <w:szCs w:val="24"/>
        </w:rPr>
        <w:t>Swistock</w:t>
      </w:r>
      <w:proofErr w:type="spellEnd"/>
      <w:r w:rsidRPr="003D65B7">
        <w:rPr>
          <w:rFonts w:ascii="Arial" w:hAnsi="Arial"/>
          <w:sz w:val="20"/>
          <w:szCs w:val="24"/>
        </w:rPr>
        <w:t>, 2012).</w:t>
      </w:r>
    </w:p>
    <w:p w14:paraId="2641D317" w14:textId="7735FEFD" w:rsidR="00802D66" w:rsidRPr="003D65B7" w:rsidRDefault="00802D66" w:rsidP="00937E04">
      <w:pPr>
        <w:pStyle w:val="Text"/>
        <w:spacing w:line="480" w:lineRule="auto"/>
        <w:rPr>
          <w:rFonts w:ascii="Arial" w:hAnsi="Arial"/>
          <w:sz w:val="20"/>
          <w:szCs w:val="24"/>
        </w:rPr>
      </w:pPr>
      <w:r w:rsidRPr="003D65B7">
        <w:rPr>
          <w:rFonts w:ascii="Arial" w:hAnsi="Arial"/>
          <w:sz w:val="20"/>
          <w:szCs w:val="24"/>
        </w:rPr>
        <w:t xml:space="preserve">Microbiological contamination is another major concern. Pathogens such as coliform bacteria, </w:t>
      </w:r>
      <w:r w:rsidR="00F70BC1" w:rsidRPr="003D65B7">
        <w:rPr>
          <w:rFonts w:ascii="Arial" w:hAnsi="Arial"/>
          <w:i/>
          <w:iCs/>
          <w:sz w:val="20"/>
          <w:szCs w:val="24"/>
        </w:rPr>
        <w:t>Giardia</w:t>
      </w:r>
      <w:r w:rsidRPr="003D65B7">
        <w:rPr>
          <w:rFonts w:ascii="Arial" w:hAnsi="Arial"/>
          <w:sz w:val="20"/>
          <w:szCs w:val="24"/>
        </w:rPr>
        <w:t xml:space="preserve">, and </w:t>
      </w:r>
      <w:r w:rsidR="00060650" w:rsidRPr="00060650">
        <w:rPr>
          <w:rFonts w:ascii="Arial" w:hAnsi="Arial"/>
          <w:i/>
          <w:iCs/>
          <w:sz w:val="20"/>
          <w:szCs w:val="24"/>
        </w:rPr>
        <w:t>Balantidium</w:t>
      </w:r>
      <w:r w:rsidRPr="003D65B7">
        <w:rPr>
          <w:rFonts w:ascii="Arial" w:hAnsi="Arial"/>
          <w:sz w:val="20"/>
          <w:szCs w:val="24"/>
        </w:rPr>
        <w:t xml:space="preserve"> pose risks to both animal and human health. Bacteria may constitute up to 95% of all microorganisms in contaminated water (Yan et al., 2021); often originating from sewage intrusion or corroded pipelines (</w:t>
      </w:r>
      <w:proofErr w:type="spellStart"/>
      <w:r w:rsidRPr="003D65B7">
        <w:rPr>
          <w:rFonts w:ascii="Arial" w:hAnsi="Arial"/>
          <w:sz w:val="20"/>
          <w:szCs w:val="24"/>
        </w:rPr>
        <w:t>Patoli</w:t>
      </w:r>
      <w:proofErr w:type="spellEnd"/>
      <w:r w:rsidRPr="003D65B7">
        <w:rPr>
          <w:rFonts w:ascii="Arial" w:hAnsi="Arial"/>
          <w:sz w:val="20"/>
          <w:szCs w:val="24"/>
        </w:rPr>
        <w:t xml:space="preserve"> et al., 2010). Coliforms may colonize organs and act as opportunistic pathogens (</w:t>
      </w:r>
      <w:proofErr w:type="spellStart"/>
      <w:r w:rsidRPr="003D65B7">
        <w:rPr>
          <w:rFonts w:ascii="Arial" w:hAnsi="Arial"/>
          <w:sz w:val="20"/>
          <w:szCs w:val="24"/>
        </w:rPr>
        <w:t>Dodds</w:t>
      </w:r>
      <w:proofErr w:type="spellEnd"/>
      <w:r w:rsidRPr="003D65B7">
        <w:rPr>
          <w:rFonts w:ascii="Arial" w:hAnsi="Arial"/>
          <w:sz w:val="20"/>
          <w:szCs w:val="24"/>
        </w:rPr>
        <w:t xml:space="preserve"> and </w:t>
      </w:r>
      <w:proofErr w:type="spellStart"/>
      <w:r w:rsidRPr="003D65B7">
        <w:rPr>
          <w:rFonts w:ascii="Arial" w:hAnsi="Arial"/>
          <w:sz w:val="20"/>
          <w:szCs w:val="24"/>
        </w:rPr>
        <w:t>Giillies</w:t>
      </w:r>
      <w:proofErr w:type="spellEnd"/>
      <w:r w:rsidRPr="003D65B7">
        <w:rPr>
          <w:rFonts w:ascii="Arial" w:hAnsi="Arial"/>
          <w:sz w:val="20"/>
          <w:szCs w:val="24"/>
        </w:rPr>
        <w:t xml:space="preserve">, 1984). Infections like </w:t>
      </w:r>
      <w:r w:rsidR="00F70BC1" w:rsidRPr="003D65B7">
        <w:rPr>
          <w:rFonts w:ascii="Arial" w:hAnsi="Arial"/>
          <w:i/>
          <w:iCs/>
          <w:sz w:val="20"/>
          <w:szCs w:val="24"/>
        </w:rPr>
        <w:t>Giardia</w:t>
      </w:r>
      <w:r w:rsidRPr="003D65B7">
        <w:rPr>
          <w:rFonts w:ascii="Arial" w:hAnsi="Arial"/>
          <w:sz w:val="20"/>
          <w:szCs w:val="24"/>
        </w:rPr>
        <w:t xml:space="preserve">sis and </w:t>
      </w:r>
      <w:proofErr w:type="spellStart"/>
      <w:r w:rsidR="00060650" w:rsidRPr="00060650">
        <w:rPr>
          <w:rFonts w:ascii="Arial" w:hAnsi="Arial"/>
          <w:i/>
          <w:iCs/>
          <w:sz w:val="20"/>
          <w:szCs w:val="24"/>
        </w:rPr>
        <w:t>Balantidium</w:t>
      </w:r>
      <w:r w:rsidRPr="003D65B7">
        <w:rPr>
          <w:rFonts w:ascii="Arial" w:hAnsi="Arial"/>
          <w:sz w:val="20"/>
          <w:szCs w:val="24"/>
        </w:rPr>
        <w:t>sis</w:t>
      </w:r>
      <w:proofErr w:type="spellEnd"/>
      <w:r w:rsidRPr="003D65B7">
        <w:rPr>
          <w:rFonts w:ascii="Arial" w:hAnsi="Arial"/>
          <w:sz w:val="20"/>
          <w:szCs w:val="24"/>
        </w:rPr>
        <w:t xml:space="preserve"> can cause diarrhea, dehydration, reduced appetite, and poor growth or productivity (Olson et al., 1995; </w:t>
      </w:r>
      <w:r w:rsidR="00874E56" w:rsidRPr="003D65B7">
        <w:rPr>
          <w:rFonts w:ascii="Arial" w:hAnsi="Arial"/>
          <w:sz w:val="20"/>
          <w:szCs w:val="24"/>
        </w:rPr>
        <w:t>Y</w:t>
      </w:r>
      <w:r w:rsidRPr="003D65B7">
        <w:rPr>
          <w:rFonts w:ascii="Arial" w:hAnsi="Arial"/>
          <w:sz w:val="20"/>
          <w:szCs w:val="24"/>
        </w:rPr>
        <w:t>azar et al., 2004).</w:t>
      </w:r>
    </w:p>
    <w:p w14:paraId="325477A2" w14:textId="77777777" w:rsidR="00170291" w:rsidRPr="003D65B7" w:rsidRDefault="00170291" w:rsidP="00170291">
      <w:pPr>
        <w:pStyle w:val="Text"/>
        <w:spacing w:line="480" w:lineRule="auto"/>
        <w:rPr>
          <w:rFonts w:ascii="Arial" w:hAnsi="Arial"/>
          <w:sz w:val="20"/>
          <w:szCs w:val="24"/>
        </w:rPr>
      </w:pPr>
      <w:r w:rsidRPr="003D65B7">
        <w:rPr>
          <w:rFonts w:ascii="Arial" w:hAnsi="Arial"/>
          <w:sz w:val="20"/>
          <w:szCs w:val="24"/>
        </w:rPr>
        <w:t>Dhaka, the capital of Bangladesh, hosts a growing cluster of dairy farms that contribute to urban food security. However, poor water quality, due to defective sewerage, industrial discharge, and fecal contamination, threatens animal health and production efficiency (</w:t>
      </w:r>
      <w:proofErr w:type="spellStart"/>
      <w:r w:rsidRPr="003D65B7">
        <w:rPr>
          <w:rFonts w:ascii="Arial" w:hAnsi="Arial"/>
          <w:sz w:val="20"/>
          <w:szCs w:val="24"/>
        </w:rPr>
        <w:t>Patoli</w:t>
      </w:r>
      <w:proofErr w:type="spellEnd"/>
      <w:r w:rsidRPr="003D65B7">
        <w:rPr>
          <w:rFonts w:ascii="Arial" w:hAnsi="Arial"/>
          <w:sz w:val="20"/>
          <w:szCs w:val="24"/>
        </w:rPr>
        <w:t xml:space="preserve"> et al., 2010). Despite water's central role, no comprehensive research in Bangladesh has yet documented water quality in terms of </w:t>
      </w:r>
      <w:r w:rsidRPr="003D65B7">
        <w:rPr>
          <w:rFonts w:ascii="Arial" w:hAnsi="Arial"/>
          <w:sz w:val="20"/>
          <w:szCs w:val="24"/>
        </w:rPr>
        <w:lastRenderedPageBreak/>
        <w:t>microbial and physicochemical properties in dairy farming. Therefore, many producers and policymakers continue to underestimate its importance for livestock health and milk hygiene.</w:t>
      </w:r>
    </w:p>
    <w:p w14:paraId="6D7E6355" w14:textId="77777777" w:rsidR="00170291" w:rsidRPr="003D65B7" w:rsidRDefault="00170291" w:rsidP="00170291">
      <w:pPr>
        <w:pStyle w:val="Text"/>
        <w:spacing w:line="480" w:lineRule="auto"/>
        <w:rPr>
          <w:rFonts w:ascii="Arial" w:hAnsi="Arial"/>
          <w:sz w:val="20"/>
          <w:szCs w:val="24"/>
        </w:rPr>
      </w:pPr>
      <w:r w:rsidRPr="003D65B7">
        <w:rPr>
          <w:rFonts w:ascii="Arial" w:hAnsi="Arial"/>
          <w:sz w:val="20"/>
          <w:szCs w:val="24"/>
        </w:rPr>
        <w:t>Given the intensifying demand for safe dairy products and vulnerability of urban livestock systems to environmental stressors, this knowledge gap is particularly concerning. Rapid urbanization, coupled with climate variability, exacerbates water contamination risks and infrastructure challenges, undermining sustainable dairy farming and environmental health in Dhaka. The interplay between urban expansion, climate change, and water resource management demands integrative approaches to safeguard both animal and human health.</w:t>
      </w:r>
    </w:p>
    <w:p w14:paraId="24B599C9" w14:textId="603733DC" w:rsidR="00170291" w:rsidRPr="003D65B7" w:rsidRDefault="00170291" w:rsidP="00170291">
      <w:pPr>
        <w:pStyle w:val="Text"/>
        <w:spacing w:line="480" w:lineRule="auto"/>
        <w:rPr>
          <w:rFonts w:ascii="Arial" w:hAnsi="Arial"/>
          <w:sz w:val="20"/>
          <w:szCs w:val="24"/>
        </w:rPr>
      </w:pPr>
      <w:r w:rsidRPr="003D65B7">
        <w:rPr>
          <w:rFonts w:ascii="Arial" w:hAnsi="Arial"/>
          <w:sz w:val="20"/>
          <w:szCs w:val="24"/>
        </w:rPr>
        <w:t xml:space="preserve">Our research group has been actively involved in investigating public health and environmental risks tied to microbial contamination and antimicrobial resistance in food and livestock systems. In response to these challenges, we have prioritized studies that explore microbial dynamics across multiple interfaces of the food production chain. Recent studies from our laboratory have documented the presence of antibiotic-resistant Salmonella Enteritidis in raw chicken meat (Karim et al., 2025), and identified Escherichia coli and Salmonella spp. isolated from dead broilers with notable antimicrobial resistance profiles (Islam et al., 2025). In dairy cattle, we reported mastitis prevalence associated with resistant strains of </w:t>
      </w:r>
      <w:r w:rsidR="00F70BC1" w:rsidRPr="003D65B7">
        <w:rPr>
          <w:rFonts w:ascii="Arial" w:hAnsi="Arial"/>
          <w:i/>
          <w:iCs/>
          <w:sz w:val="20"/>
          <w:szCs w:val="24"/>
        </w:rPr>
        <w:t>E. coli</w:t>
      </w:r>
      <w:r w:rsidRPr="003D65B7">
        <w:rPr>
          <w:rFonts w:ascii="Arial" w:hAnsi="Arial"/>
          <w:sz w:val="20"/>
          <w:szCs w:val="24"/>
        </w:rPr>
        <w:t xml:space="preserve"> and Staphylococcus aureus (Islam et al., 2024), alongside detection of antimicrobial-resistant bacteria in cows' raw milk posing public health risks (Islam et al., 2024).</w:t>
      </w:r>
    </w:p>
    <w:p w14:paraId="21E3A5E4" w14:textId="62A4918A" w:rsidR="00361384" w:rsidRPr="003D65B7" w:rsidRDefault="00170291" w:rsidP="00592801">
      <w:pPr>
        <w:pStyle w:val="Text"/>
        <w:spacing w:line="480" w:lineRule="auto"/>
        <w:rPr>
          <w:rFonts w:ascii="Arial" w:eastAsia="Microsoft GothicNeo" w:hAnsi="Arial"/>
          <w:bCs/>
          <w:sz w:val="20"/>
          <w:szCs w:val="24"/>
          <w:lang w:bidi="ar-SA"/>
        </w:rPr>
      </w:pPr>
      <w:r w:rsidRPr="003D65B7">
        <w:rPr>
          <w:rFonts w:ascii="Arial" w:hAnsi="Arial"/>
          <w:sz w:val="20"/>
          <w:szCs w:val="24"/>
        </w:rPr>
        <w:t xml:space="preserve">Additionally, epidemiological surveys from our laboratory have revealed gastrointestinal parasitic zoonoses in cattle in Bangladesh, including ascariasis incidence in calves reared under rural conditions, highlighting parasitic infections as critical components of livestock health challenges and potential zoonotic transmission routes (Kabir et al., 2019; Islam et al., 2005). </w:t>
      </w:r>
      <w:r w:rsidR="005027DF" w:rsidRPr="003D65B7">
        <w:rPr>
          <w:rFonts w:ascii="Arial" w:hAnsi="Arial"/>
          <w:sz w:val="20"/>
          <w:szCs w:val="24"/>
        </w:rPr>
        <w:t xml:space="preserve">These findings highlight the intricate and multifaceted links between animal health, food safety, and the prevalence of zoonotic microbiota across both rural and urban livestock value chains. Building on this foundation, the present study investigates the microbiological and physicochemical quality of drinking water in urban dairy farms, a critical yet frequently overlooked determinant of livestock health, productivity, and zoonotic transmission dynamics. These factors not only influence immediate farm-level outcomes but also exert broader impacts on environmental health and the One Health continuum. </w:t>
      </w:r>
      <w:r w:rsidR="00592801" w:rsidRPr="003D65B7">
        <w:rPr>
          <w:rFonts w:ascii="Arial" w:hAnsi="Arial"/>
          <w:sz w:val="20"/>
          <w:szCs w:val="24"/>
        </w:rPr>
        <w:t xml:space="preserve">By examining key water quality parameters such as pH, total dissolved solids (TDS), hardness, chloride, and iron, alongside microbial contaminants including coliforms, </w:t>
      </w:r>
      <w:r w:rsidR="00F70BC1" w:rsidRPr="003D65B7">
        <w:rPr>
          <w:rFonts w:ascii="Arial" w:hAnsi="Arial"/>
          <w:i/>
          <w:iCs/>
          <w:sz w:val="20"/>
          <w:szCs w:val="24"/>
        </w:rPr>
        <w:t>E. coli</w:t>
      </w:r>
      <w:r w:rsidR="00592801" w:rsidRPr="003D65B7">
        <w:rPr>
          <w:rFonts w:ascii="Arial" w:hAnsi="Arial"/>
          <w:sz w:val="20"/>
          <w:szCs w:val="24"/>
        </w:rPr>
        <w:t xml:space="preserve">, </w:t>
      </w:r>
      <w:r w:rsidR="00F70BC1" w:rsidRPr="003D65B7">
        <w:rPr>
          <w:rFonts w:ascii="Arial" w:hAnsi="Arial"/>
          <w:i/>
          <w:iCs/>
          <w:sz w:val="20"/>
          <w:szCs w:val="24"/>
        </w:rPr>
        <w:t>Giardia</w:t>
      </w:r>
      <w:r w:rsidR="00592801" w:rsidRPr="003D65B7">
        <w:rPr>
          <w:rFonts w:ascii="Arial" w:hAnsi="Arial"/>
          <w:sz w:val="20"/>
          <w:szCs w:val="24"/>
        </w:rPr>
        <w:t xml:space="preserve">, and </w:t>
      </w:r>
      <w:r w:rsidR="00F70BC1" w:rsidRPr="003D65B7">
        <w:rPr>
          <w:rFonts w:ascii="Arial" w:hAnsi="Arial"/>
          <w:i/>
          <w:iCs/>
          <w:sz w:val="20"/>
          <w:szCs w:val="24"/>
        </w:rPr>
        <w:lastRenderedPageBreak/>
        <w:t>Balantidium</w:t>
      </w:r>
      <w:r w:rsidR="00592801" w:rsidRPr="003D65B7">
        <w:rPr>
          <w:rFonts w:ascii="Arial" w:hAnsi="Arial"/>
          <w:sz w:val="20"/>
          <w:szCs w:val="24"/>
        </w:rPr>
        <w:t xml:space="preserve">, we aim to generate actionable evidence that informs practical improvements in farm water management. This integrative approach addresses acute health risks while contributing to long-term resilience in dairy production systems, particularly under conditions of environmental stress and climate variability. Ultimately, this research advances our overarching goal of safeguarding public health and environmental integrity through comprehensive One Health-oriented investigations tailored to Bangladesh’s rapidly urbanizing contexts. It aligns with global sustainable development goals (SDGs) reinforcing the need for climate-resilient livestock systems and integrated water governance. </w:t>
      </w:r>
    </w:p>
    <w:p w14:paraId="215AF1AC" w14:textId="77777777" w:rsidR="007C46CA" w:rsidRPr="003D65B7" w:rsidRDefault="007C46CA" w:rsidP="007C46CA">
      <w:pPr>
        <w:pStyle w:val="Heading10"/>
      </w:pPr>
    </w:p>
    <w:p w14:paraId="007992D5" w14:textId="1BB4949B" w:rsidR="00A06B1C" w:rsidRPr="003D65B7" w:rsidRDefault="007C46CA" w:rsidP="007C46CA">
      <w:pPr>
        <w:pStyle w:val="Heading10"/>
      </w:pPr>
      <w:r w:rsidRPr="003D65B7">
        <w:t xml:space="preserve">2. </w:t>
      </w:r>
      <w:r w:rsidR="00A06B1C" w:rsidRPr="003D65B7">
        <w:t>Materials and Methods</w:t>
      </w:r>
    </w:p>
    <w:p w14:paraId="037EC57E" w14:textId="77777777" w:rsidR="007C46CA" w:rsidRPr="003D65B7" w:rsidRDefault="007C46CA" w:rsidP="007C46CA">
      <w:pPr>
        <w:pStyle w:val="Heading20"/>
      </w:pPr>
    </w:p>
    <w:p w14:paraId="54470F71" w14:textId="78375C60" w:rsidR="00A06B1C" w:rsidRPr="003D65B7" w:rsidRDefault="007C46CA" w:rsidP="007C46CA">
      <w:pPr>
        <w:pStyle w:val="Heading20"/>
      </w:pPr>
      <w:r w:rsidRPr="003D65B7">
        <w:t xml:space="preserve">2.1 </w:t>
      </w:r>
      <w:r w:rsidR="00A06B1C" w:rsidRPr="003D65B7">
        <w:t xml:space="preserve">Study Location </w:t>
      </w:r>
      <w:r w:rsidR="00A43E53" w:rsidRPr="003D65B7">
        <w:t>and duration</w:t>
      </w:r>
    </w:p>
    <w:p w14:paraId="3024BEBA" w14:textId="77777777" w:rsidR="00573100" w:rsidRPr="003D65B7" w:rsidRDefault="00573100" w:rsidP="007C46CA">
      <w:pPr>
        <w:pStyle w:val="Heading20"/>
      </w:pPr>
    </w:p>
    <w:p w14:paraId="45283BE4" w14:textId="0A5722A8" w:rsidR="00A06B1C" w:rsidRPr="0069476F" w:rsidRDefault="00A43E53" w:rsidP="00937E04">
      <w:pPr>
        <w:spacing w:line="480" w:lineRule="auto"/>
        <w:jc w:val="both"/>
        <w:rPr>
          <w:rFonts w:ascii="Arial" w:hAnsi="Arial" w:cs="Times New Roman"/>
          <w:snapToGrid w:val="0"/>
          <w:color w:val="000000"/>
          <w:kern w:val="0"/>
          <w:sz w:val="20"/>
          <w:szCs w:val="24"/>
          <w:u w:val="single"/>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The study was carried out over a period of seven months, from January to July, in selected representative dairy farms across Dhaka city. </w:t>
      </w:r>
      <w:r w:rsidR="00A06B1C" w:rsidRPr="003D65B7">
        <w:rPr>
          <w:rFonts w:ascii="Arial" w:hAnsi="Arial" w:cs="Times New Roman"/>
          <w:snapToGrid w:val="0"/>
          <w:color w:val="000000"/>
          <w:kern w:val="0"/>
          <w:sz w:val="20"/>
          <w:szCs w:val="24"/>
          <w:lang w:eastAsia="ko-KR" w:bidi="en-US"/>
          <w14:ligatures w14:val="none"/>
        </w:rPr>
        <w:t>Dhaka, located at 23°42′N latitude and 90°22′E longitude along the Buriganga River, covers an area of 270 km². The climate is monsoonal, with hot, wet summers and mild winters; the average annual temperature is 26°C, ranging from 13.9°C in January to 33.3°C in May. Rainfall averages 2,123 mm annually; about 87% of which occurs between May and October. Pollution from untreated municipal wastewater has impacted air and water quality in the city. Dairy farms, which supply the growing demand for milk, rely on diverse</w:t>
      </w:r>
      <w:r w:rsidR="00A06B1C" w:rsidRPr="003D65B7">
        <w:rPr>
          <w:rFonts w:ascii="Arial" w:hAnsi="Arial" w:cs="Times New Roman"/>
          <w:sz w:val="20"/>
          <w:szCs w:val="24"/>
        </w:rPr>
        <w:t xml:space="preserve"> </w:t>
      </w:r>
      <w:r w:rsidR="00A06B1C" w:rsidRPr="003D65B7">
        <w:rPr>
          <w:rFonts w:ascii="Arial" w:hAnsi="Arial" w:cs="Times New Roman"/>
          <w:snapToGrid w:val="0"/>
          <w:color w:val="000000"/>
          <w:kern w:val="0"/>
          <w:sz w:val="20"/>
          <w:szCs w:val="24"/>
          <w:lang w:eastAsia="ko-KR" w:bidi="en-US"/>
          <w14:ligatures w14:val="none"/>
        </w:rPr>
        <w:t>water sources. For this study, five cattle-dense areas were selected: 60 Feet area (</w:t>
      </w:r>
      <w:proofErr w:type="spellStart"/>
      <w:r w:rsidR="00A06B1C" w:rsidRPr="003D65B7">
        <w:rPr>
          <w:rFonts w:ascii="Arial" w:hAnsi="Arial" w:cs="Times New Roman"/>
          <w:snapToGrid w:val="0"/>
          <w:color w:val="000000"/>
          <w:kern w:val="0"/>
          <w:sz w:val="20"/>
          <w:szCs w:val="24"/>
          <w:lang w:eastAsia="ko-KR" w:bidi="en-US"/>
          <w14:ligatures w14:val="none"/>
        </w:rPr>
        <w:t>Pirerbagh</w:t>
      </w:r>
      <w:proofErr w:type="spellEnd"/>
      <w:r w:rsidR="00A06B1C" w:rsidRPr="003D65B7">
        <w:rPr>
          <w:rFonts w:ascii="Arial" w:hAnsi="Arial" w:cs="Times New Roman"/>
          <w:snapToGrid w:val="0"/>
          <w:color w:val="000000"/>
          <w:kern w:val="0"/>
          <w:sz w:val="20"/>
          <w:szCs w:val="24"/>
          <w:lang w:eastAsia="ko-KR" w:bidi="en-US"/>
          <w14:ligatures w14:val="none"/>
        </w:rPr>
        <w:t xml:space="preserve">); Mirpur-1; Mirpur-2; </w:t>
      </w:r>
      <w:proofErr w:type="spellStart"/>
      <w:r w:rsidR="00A06B1C" w:rsidRPr="003D65B7">
        <w:rPr>
          <w:rFonts w:ascii="Arial" w:hAnsi="Arial" w:cs="Times New Roman"/>
          <w:snapToGrid w:val="0"/>
          <w:color w:val="000000"/>
          <w:kern w:val="0"/>
          <w:sz w:val="20"/>
          <w:szCs w:val="24"/>
          <w:lang w:eastAsia="ko-KR" w:bidi="en-US"/>
          <w14:ligatures w14:val="none"/>
        </w:rPr>
        <w:t>Kalshi</w:t>
      </w:r>
      <w:proofErr w:type="spellEnd"/>
      <w:r w:rsidR="00A06B1C" w:rsidRPr="003D65B7">
        <w:rPr>
          <w:rFonts w:ascii="Arial" w:hAnsi="Arial" w:cs="Times New Roman"/>
          <w:snapToGrid w:val="0"/>
          <w:color w:val="000000"/>
          <w:kern w:val="0"/>
          <w:sz w:val="20"/>
          <w:szCs w:val="24"/>
          <w:lang w:eastAsia="ko-KR" w:bidi="en-US"/>
          <w14:ligatures w14:val="none"/>
        </w:rPr>
        <w:t xml:space="preserve">; and the SAU campus </w:t>
      </w:r>
      <w:r w:rsidR="00A06B1C" w:rsidRPr="003D65B7">
        <w:rPr>
          <w:rFonts w:ascii="Arial" w:hAnsi="Arial" w:cs="Times New Roman"/>
          <w:bCs/>
          <w:snapToGrid w:val="0"/>
          <w:color w:val="000000"/>
          <w:kern w:val="0"/>
          <w:sz w:val="20"/>
          <w:szCs w:val="24"/>
          <w:lang w:eastAsia="ko-KR" w:bidi="en-US"/>
          <w14:ligatures w14:val="none"/>
        </w:rPr>
        <w:t>(Fig</w:t>
      </w:r>
      <w:r w:rsidR="00F01CD9" w:rsidRPr="003D65B7">
        <w:rPr>
          <w:rFonts w:ascii="Arial" w:hAnsi="Arial" w:cs="Times New Roman"/>
          <w:bCs/>
          <w:snapToGrid w:val="0"/>
          <w:color w:val="000000"/>
          <w:kern w:val="0"/>
          <w:sz w:val="20"/>
          <w:szCs w:val="24"/>
          <w:lang w:eastAsia="ko-KR" w:bidi="en-US"/>
          <w14:ligatures w14:val="none"/>
        </w:rPr>
        <w:t>ure</w:t>
      </w:r>
      <w:r w:rsidRPr="003D65B7">
        <w:rPr>
          <w:rFonts w:ascii="Arial" w:hAnsi="Arial" w:cs="Times New Roman"/>
          <w:bCs/>
          <w:snapToGrid w:val="0"/>
          <w:color w:val="000000"/>
          <w:kern w:val="0"/>
          <w:sz w:val="20"/>
          <w:szCs w:val="24"/>
          <w:lang w:eastAsia="ko-KR" w:bidi="en-US"/>
          <w14:ligatures w14:val="none"/>
        </w:rPr>
        <w:t>.</w:t>
      </w:r>
      <w:r w:rsidR="00A06B1C" w:rsidRPr="003D65B7">
        <w:rPr>
          <w:rFonts w:ascii="Arial" w:hAnsi="Arial" w:cs="Times New Roman"/>
          <w:bCs/>
          <w:snapToGrid w:val="0"/>
          <w:color w:val="000000"/>
          <w:kern w:val="0"/>
          <w:sz w:val="20"/>
          <w:szCs w:val="24"/>
          <w:lang w:eastAsia="ko-KR" w:bidi="en-US"/>
          <w14:ligatures w14:val="none"/>
        </w:rPr>
        <w:t xml:space="preserve"> 1)</w:t>
      </w:r>
      <w:r w:rsidR="00A06B1C" w:rsidRPr="003D65B7">
        <w:rPr>
          <w:rFonts w:ascii="Arial" w:hAnsi="Arial" w:cs="Times New Roman"/>
          <w:snapToGrid w:val="0"/>
          <w:color w:val="000000"/>
          <w:kern w:val="0"/>
          <w:sz w:val="20"/>
          <w:szCs w:val="24"/>
          <w:lang w:eastAsia="ko-KR" w:bidi="en-US"/>
          <w14:ligatures w14:val="none"/>
        </w:rPr>
        <w:t>.</w:t>
      </w:r>
      <w:r w:rsidR="00DF7567">
        <w:rPr>
          <w:rFonts w:ascii="Arial" w:hAnsi="Arial" w:cs="Times New Roman"/>
          <w:snapToGrid w:val="0"/>
          <w:color w:val="000000"/>
          <w:kern w:val="0"/>
          <w:sz w:val="20"/>
          <w:szCs w:val="24"/>
          <w:lang w:eastAsia="ko-KR" w:bidi="en-US"/>
          <w14:ligatures w14:val="none"/>
        </w:rPr>
        <w:t xml:space="preserve"> </w:t>
      </w:r>
      <w:r w:rsidR="00DF7567" w:rsidRPr="00D732B5">
        <w:rPr>
          <w:rFonts w:ascii="Arial" w:hAnsi="Arial" w:cs="Times New Roman"/>
          <w:snapToGrid w:val="0"/>
          <w:color w:val="000000"/>
          <w:kern w:val="0"/>
          <w:sz w:val="20"/>
          <w:szCs w:val="24"/>
          <w:lang w:eastAsia="ko-KR" w:bidi="en-US"/>
          <w14:ligatures w14:val="none"/>
        </w:rPr>
        <w:t>All selected farms relied on underground supply water provided by Dhaka WASA, distributed through city corporation pipelines. This municipal source represents the standard drinking water system for urban dairy farms in Dhaka.</w:t>
      </w:r>
    </w:p>
    <w:p w14:paraId="08C85A03" w14:textId="1B443F26" w:rsidR="00F01CD9" w:rsidRPr="003D65B7" w:rsidRDefault="00F70BC1" w:rsidP="007C46CA">
      <w:pPr>
        <w:pStyle w:val="Heading20"/>
        <w:rPr>
          <w:rFonts w:cs="Times New Roman"/>
          <w:b w:val="0"/>
          <w:bCs w:val="0"/>
          <w:snapToGrid w:val="0"/>
          <w:color w:val="000000"/>
          <w:kern w:val="0"/>
          <w:sz w:val="20"/>
          <w:szCs w:val="24"/>
          <w:lang w:bidi="en-US"/>
        </w:rPr>
      </w:pPr>
      <w:r w:rsidRPr="003D65B7">
        <w:rPr>
          <w:noProof/>
        </w:rPr>
        <w:lastRenderedPageBreak/>
        <w:drawing>
          <wp:anchor distT="0" distB="0" distL="114300" distR="114300" simplePos="0" relativeHeight="251664384" behindDoc="0" locked="0" layoutInCell="1" allowOverlap="1" wp14:anchorId="24375B64" wp14:editId="7AB9C2D9">
            <wp:simplePos x="0" y="0"/>
            <wp:positionH relativeFrom="column">
              <wp:posOffset>0</wp:posOffset>
            </wp:positionH>
            <wp:positionV relativeFrom="paragraph">
              <wp:posOffset>144780</wp:posOffset>
            </wp:positionV>
            <wp:extent cx="5943600" cy="3343275"/>
            <wp:effectExtent l="0" t="0" r="0" b="9525"/>
            <wp:wrapTopAndBottom/>
            <wp:docPr id="509200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anchor>
        </w:drawing>
      </w:r>
      <w:r w:rsidR="00F01CD9" w:rsidRPr="003D65B7">
        <w:rPr>
          <w:rFonts w:cs="Times New Roman"/>
          <w:bCs w:val="0"/>
          <w:snapToGrid w:val="0"/>
          <w:color w:val="000000"/>
          <w:kern w:val="0"/>
          <w:sz w:val="20"/>
          <w:szCs w:val="24"/>
          <w:lang w:bidi="en-US"/>
        </w:rPr>
        <w:t>Fig</w:t>
      </w:r>
      <w:r w:rsidR="007C46CA" w:rsidRPr="003D65B7">
        <w:rPr>
          <w:rFonts w:cs="Times New Roman"/>
          <w:bCs w:val="0"/>
          <w:snapToGrid w:val="0"/>
          <w:color w:val="000000"/>
          <w:kern w:val="0"/>
          <w:sz w:val="20"/>
          <w:szCs w:val="24"/>
          <w:lang w:bidi="en-US"/>
        </w:rPr>
        <w:t>.</w:t>
      </w:r>
      <w:r w:rsidR="00F01CD9" w:rsidRPr="003D65B7">
        <w:rPr>
          <w:rFonts w:cs="Times New Roman"/>
          <w:bCs w:val="0"/>
          <w:snapToGrid w:val="0"/>
          <w:color w:val="000000"/>
          <w:kern w:val="0"/>
          <w:sz w:val="20"/>
          <w:szCs w:val="24"/>
          <w:lang w:bidi="en-US"/>
        </w:rPr>
        <w:t xml:space="preserve"> 1</w:t>
      </w:r>
      <w:r w:rsidR="00455C21" w:rsidRPr="003D65B7">
        <w:rPr>
          <w:rFonts w:cs="Times New Roman"/>
          <w:bCs w:val="0"/>
          <w:snapToGrid w:val="0"/>
          <w:color w:val="000000"/>
          <w:kern w:val="0"/>
          <w:sz w:val="20"/>
          <w:szCs w:val="24"/>
          <w:lang w:bidi="en-US"/>
        </w:rPr>
        <w:t>.</w:t>
      </w:r>
      <w:r w:rsidR="00F01CD9" w:rsidRPr="003D65B7">
        <w:rPr>
          <w:rFonts w:cs="Times New Roman"/>
          <w:bCs w:val="0"/>
          <w:snapToGrid w:val="0"/>
          <w:color w:val="000000"/>
          <w:kern w:val="0"/>
          <w:sz w:val="20"/>
          <w:szCs w:val="24"/>
          <w:lang w:bidi="en-US"/>
        </w:rPr>
        <w:t xml:space="preserve"> Left: Map of Bangladesh showing the capital Dhaka city. Right: Geographic distribution of selected dairy farm study sites in Dhaka City. This figure illustrates the locations of the five selected study areas</w:t>
      </w:r>
      <w:r w:rsidR="00C31B00" w:rsidRPr="003D65B7">
        <w:rPr>
          <w:rFonts w:cs="Times New Roman"/>
          <w:bCs w:val="0"/>
          <w:snapToGrid w:val="0"/>
          <w:color w:val="000000"/>
          <w:kern w:val="0"/>
          <w:sz w:val="20"/>
          <w:szCs w:val="24"/>
          <w:lang w:bidi="en-US"/>
        </w:rPr>
        <w:t>-</w:t>
      </w:r>
      <w:r w:rsidR="00F01CD9" w:rsidRPr="003D65B7">
        <w:rPr>
          <w:rFonts w:cs="Times New Roman"/>
          <w:bCs w:val="0"/>
          <w:snapToGrid w:val="0"/>
          <w:color w:val="000000"/>
          <w:kern w:val="0"/>
          <w:sz w:val="20"/>
          <w:szCs w:val="24"/>
          <w:lang w:bidi="en-US"/>
        </w:rPr>
        <w:t>60 Feet area (</w:t>
      </w:r>
      <w:proofErr w:type="spellStart"/>
      <w:r w:rsidR="00F01CD9" w:rsidRPr="003D65B7">
        <w:rPr>
          <w:rFonts w:cs="Times New Roman"/>
          <w:bCs w:val="0"/>
          <w:snapToGrid w:val="0"/>
          <w:color w:val="000000"/>
          <w:kern w:val="0"/>
          <w:sz w:val="20"/>
          <w:szCs w:val="24"/>
          <w:lang w:bidi="en-US"/>
        </w:rPr>
        <w:t>Pirerbagh</w:t>
      </w:r>
      <w:proofErr w:type="spellEnd"/>
      <w:r w:rsidR="00F01CD9" w:rsidRPr="003D65B7">
        <w:rPr>
          <w:rFonts w:cs="Times New Roman"/>
          <w:bCs w:val="0"/>
          <w:snapToGrid w:val="0"/>
          <w:color w:val="000000"/>
          <w:kern w:val="0"/>
          <w:sz w:val="20"/>
          <w:szCs w:val="24"/>
          <w:lang w:bidi="en-US"/>
        </w:rPr>
        <w:t xml:space="preserve">), Mirpur-1, Mirpur-2, </w:t>
      </w:r>
      <w:proofErr w:type="spellStart"/>
      <w:r w:rsidR="00F01CD9" w:rsidRPr="003D65B7">
        <w:rPr>
          <w:rFonts w:cs="Times New Roman"/>
          <w:bCs w:val="0"/>
          <w:snapToGrid w:val="0"/>
          <w:color w:val="000000"/>
          <w:kern w:val="0"/>
          <w:sz w:val="20"/>
          <w:szCs w:val="24"/>
          <w:lang w:bidi="en-US"/>
        </w:rPr>
        <w:t>Kalshi</w:t>
      </w:r>
      <w:proofErr w:type="spellEnd"/>
      <w:r w:rsidR="00F01CD9" w:rsidRPr="003D65B7">
        <w:rPr>
          <w:rFonts w:cs="Times New Roman"/>
          <w:bCs w:val="0"/>
          <w:snapToGrid w:val="0"/>
          <w:color w:val="000000"/>
          <w:kern w:val="0"/>
          <w:sz w:val="20"/>
          <w:szCs w:val="24"/>
          <w:lang w:bidi="en-US"/>
        </w:rPr>
        <w:t>, and the Sher-e-Bangla Agricultural University (SAU) campus-where water samples were collected for microbiological and physicochemical analysis. The sites were chosen based on their significance in dairy farming and water supply conditions</w:t>
      </w:r>
      <w:r w:rsidR="00F01CD9" w:rsidRPr="003D65B7">
        <w:rPr>
          <w:rFonts w:cs="Times New Roman"/>
          <w:b w:val="0"/>
          <w:bCs w:val="0"/>
          <w:snapToGrid w:val="0"/>
          <w:color w:val="000000"/>
          <w:kern w:val="0"/>
          <w:sz w:val="20"/>
          <w:szCs w:val="24"/>
          <w:lang w:bidi="en-US"/>
        </w:rPr>
        <w:t>.</w:t>
      </w:r>
    </w:p>
    <w:p w14:paraId="3202DD43" w14:textId="6EA22D22" w:rsidR="00F01CD9" w:rsidRPr="003D65B7" w:rsidRDefault="00F01CD9" w:rsidP="00937E04">
      <w:pPr>
        <w:pStyle w:val="Heading20"/>
        <w:spacing w:line="480" w:lineRule="auto"/>
        <w:rPr>
          <w:rFonts w:cs="Times New Roman"/>
          <w:b w:val="0"/>
          <w:sz w:val="20"/>
          <w:szCs w:val="24"/>
        </w:rPr>
      </w:pPr>
    </w:p>
    <w:p w14:paraId="338E6B80" w14:textId="70442AC9" w:rsidR="00A06B1C" w:rsidRPr="003D65B7" w:rsidRDefault="007C46CA" w:rsidP="007C46CA">
      <w:pPr>
        <w:pStyle w:val="Heading20"/>
      </w:pPr>
      <w:r w:rsidRPr="003D65B7">
        <w:t xml:space="preserve">2.2 </w:t>
      </w:r>
      <w:r w:rsidR="00A06B1C" w:rsidRPr="003D65B7">
        <w:t>Sample</w:t>
      </w:r>
      <w:r w:rsidR="00F52A58" w:rsidRPr="003D65B7">
        <w:t xml:space="preserve"> Collection</w:t>
      </w:r>
    </w:p>
    <w:p w14:paraId="22A342C3" w14:textId="77777777" w:rsidR="00573100" w:rsidRPr="003D65B7" w:rsidRDefault="00573100" w:rsidP="007C46CA">
      <w:pPr>
        <w:pStyle w:val="Heading20"/>
      </w:pPr>
    </w:p>
    <w:p w14:paraId="79BEE6E3" w14:textId="70FABCCA"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Samples were collected following standard methods. For physicochemical analysis, sterile 500 ml PTFE bottles were used, with four replicates per site. For microbiological testing, 30 ml sterilized glass bottles were employed. Bottles were filled, sealed, and labeled (e.g., S1R1–S1R4 for each site) for both analyses. Samples were transported in ice boxes to the </w:t>
      </w:r>
      <w:r w:rsidR="00C2275B" w:rsidRPr="003D65B7">
        <w:rPr>
          <w:rFonts w:ascii="Arial" w:hAnsi="Arial" w:cs="Times New Roman"/>
          <w:snapToGrid w:val="0"/>
          <w:color w:val="000000"/>
          <w:kern w:val="0"/>
          <w:sz w:val="20"/>
          <w:szCs w:val="24"/>
          <w:lang w:eastAsia="ko-KR" w:bidi="en-US"/>
          <w14:ligatures w14:val="none"/>
        </w:rPr>
        <w:t>DMEPH</w:t>
      </w:r>
      <w:r w:rsidRPr="003D65B7">
        <w:rPr>
          <w:rFonts w:ascii="Arial" w:hAnsi="Arial" w:cs="Times New Roman"/>
          <w:snapToGrid w:val="0"/>
          <w:color w:val="000000"/>
          <w:kern w:val="0"/>
          <w:sz w:val="20"/>
          <w:szCs w:val="24"/>
          <w:lang w:eastAsia="ko-KR" w:bidi="en-US"/>
          <w14:ligatures w14:val="none"/>
        </w:rPr>
        <w:t xml:space="preserve"> Laboratory, SAU, and stored at 4°C until processing.</w:t>
      </w:r>
    </w:p>
    <w:p w14:paraId="2BAC870E" w14:textId="69A596EA" w:rsidR="00A06B1C" w:rsidRPr="003D65B7" w:rsidRDefault="007C46CA" w:rsidP="007C46CA">
      <w:pPr>
        <w:pStyle w:val="Heading20"/>
      </w:pPr>
      <w:r w:rsidRPr="003D65B7">
        <w:t xml:space="preserve">2.3 </w:t>
      </w:r>
      <w:r w:rsidR="00A06B1C" w:rsidRPr="003D65B7">
        <w:t>Microbiological Study</w:t>
      </w:r>
    </w:p>
    <w:p w14:paraId="3651A4D8" w14:textId="77777777" w:rsidR="00573100" w:rsidRPr="003D65B7" w:rsidRDefault="00573100" w:rsidP="007C46CA">
      <w:pPr>
        <w:pStyle w:val="Heading20"/>
      </w:pPr>
    </w:p>
    <w:p w14:paraId="14C5EFD7" w14:textId="040E30A9"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Microbial indicators included total coliforms,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and </w:t>
      </w:r>
      <w:r w:rsidR="00F70BC1" w:rsidRPr="003D65B7">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snapToGrid w:val="0"/>
          <w:color w:val="000000"/>
          <w:kern w:val="0"/>
          <w:sz w:val="20"/>
          <w:szCs w:val="24"/>
          <w:lang w:eastAsia="ko-KR" w:bidi="en-US"/>
          <w14:ligatures w14:val="none"/>
        </w:rPr>
        <w:t xml:space="preserve">. Samples were cultured in nutrient broth and nutrient agar; with EMB and MacConkey agar used for bacterial isolation and identification. Pure colonies from EMB agar were confirmed as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through Catalase and Methyl red tests</w:t>
      </w:r>
      <w:r w:rsidR="00C62086" w:rsidRPr="003D65B7">
        <w:rPr>
          <w:rFonts w:ascii="Arial" w:hAnsi="Arial" w:cs="Times New Roman"/>
          <w:snapToGrid w:val="0"/>
          <w:color w:val="000000"/>
          <w:kern w:val="0"/>
          <w:sz w:val="20"/>
          <w:szCs w:val="24"/>
          <w:lang w:eastAsia="ko-KR" w:bidi="en-US"/>
          <w14:ligatures w14:val="none"/>
        </w:rPr>
        <w:t xml:space="preserve"> (Islam </w:t>
      </w:r>
      <w:r w:rsidR="00C62086" w:rsidRPr="003D65B7">
        <w:rPr>
          <w:rFonts w:ascii="Arial" w:hAnsi="Arial" w:cs="Times New Roman"/>
          <w:iCs/>
          <w:snapToGrid w:val="0"/>
          <w:color w:val="000000"/>
          <w:kern w:val="0"/>
          <w:sz w:val="20"/>
          <w:szCs w:val="24"/>
          <w:lang w:eastAsia="ko-KR" w:bidi="en-US"/>
          <w14:ligatures w14:val="none"/>
        </w:rPr>
        <w:t>et al</w:t>
      </w:r>
      <w:r w:rsidR="00C62086" w:rsidRPr="003D65B7">
        <w:rPr>
          <w:rFonts w:ascii="Arial" w:hAnsi="Arial" w:cs="Times New Roman"/>
          <w:snapToGrid w:val="0"/>
          <w:color w:val="000000"/>
          <w:kern w:val="0"/>
          <w:sz w:val="20"/>
          <w:szCs w:val="24"/>
          <w:lang w:eastAsia="ko-KR" w:bidi="en-US"/>
          <w14:ligatures w14:val="none"/>
        </w:rPr>
        <w:t>., 2016)</w:t>
      </w:r>
      <w:r w:rsidRPr="003D65B7">
        <w:rPr>
          <w:rFonts w:ascii="Arial" w:hAnsi="Arial" w:cs="Times New Roman"/>
          <w:snapToGrid w:val="0"/>
          <w:color w:val="000000"/>
          <w:kern w:val="0"/>
          <w:sz w:val="20"/>
          <w:szCs w:val="24"/>
          <w:lang w:eastAsia="ko-KR" w:bidi="en-US"/>
          <w14:ligatures w14:val="none"/>
        </w:rPr>
        <w:t xml:space="preserve">. Detection of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and </w:t>
      </w:r>
      <w:r w:rsidR="00060650" w:rsidRPr="00060650">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snapToGrid w:val="0"/>
          <w:color w:val="000000"/>
          <w:kern w:val="0"/>
          <w:sz w:val="20"/>
          <w:szCs w:val="24"/>
          <w:lang w:eastAsia="ko-KR" w:bidi="en-US"/>
          <w14:ligatures w14:val="none"/>
        </w:rPr>
        <w:t xml:space="preserve"> cysts followed the flotation method; with coverslips examined microscopically at 10x</w:t>
      </w:r>
      <w:r w:rsidR="00F01CD9" w:rsidRPr="003D65B7">
        <w:rPr>
          <w:rFonts w:ascii="Arial" w:hAnsi="Arial" w:cs="Times New Roman"/>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40x magnification </w:t>
      </w:r>
      <w:r w:rsidR="00C62086" w:rsidRPr="003D65B7">
        <w:rPr>
          <w:rFonts w:ascii="Arial" w:hAnsi="Arial" w:cs="Times New Roman"/>
          <w:bCs/>
          <w:snapToGrid w:val="0"/>
          <w:color w:val="000000"/>
          <w:kern w:val="0"/>
          <w:sz w:val="20"/>
          <w:szCs w:val="24"/>
          <w:lang w:eastAsia="ko-KR" w:bidi="en-US"/>
          <w14:ligatures w14:val="none"/>
        </w:rPr>
        <w:t xml:space="preserve">(Islam </w:t>
      </w:r>
      <w:r w:rsidR="00C62086" w:rsidRPr="003D65B7">
        <w:rPr>
          <w:rFonts w:ascii="Arial" w:hAnsi="Arial" w:cs="Times New Roman"/>
          <w:bCs/>
          <w:iCs/>
          <w:snapToGrid w:val="0"/>
          <w:color w:val="000000"/>
          <w:kern w:val="0"/>
          <w:sz w:val="20"/>
          <w:szCs w:val="24"/>
          <w:lang w:eastAsia="ko-KR" w:bidi="en-US"/>
          <w14:ligatures w14:val="none"/>
        </w:rPr>
        <w:t>et al</w:t>
      </w:r>
      <w:r w:rsidR="00C62086" w:rsidRPr="003D65B7">
        <w:rPr>
          <w:rFonts w:ascii="Arial" w:hAnsi="Arial" w:cs="Times New Roman"/>
          <w:bCs/>
          <w:snapToGrid w:val="0"/>
          <w:color w:val="000000"/>
          <w:kern w:val="0"/>
          <w:sz w:val="20"/>
          <w:szCs w:val="24"/>
          <w:lang w:eastAsia="ko-KR" w:bidi="en-US"/>
          <w14:ligatures w14:val="none"/>
        </w:rPr>
        <w:t>., 2008)</w:t>
      </w:r>
      <w:r w:rsidRPr="003D65B7">
        <w:rPr>
          <w:rFonts w:ascii="Arial" w:hAnsi="Arial" w:cs="Times New Roman"/>
          <w:bCs/>
          <w:snapToGrid w:val="0"/>
          <w:color w:val="000000"/>
          <w:kern w:val="0"/>
          <w:sz w:val="20"/>
          <w:szCs w:val="24"/>
          <w:lang w:eastAsia="ko-KR" w:bidi="en-US"/>
          <w14:ligatures w14:val="none"/>
        </w:rPr>
        <w:t>.</w:t>
      </w:r>
    </w:p>
    <w:p w14:paraId="088ED716" w14:textId="504FE860" w:rsidR="00A06B1C" w:rsidRPr="003D65B7" w:rsidRDefault="007C46CA" w:rsidP="007C46CA">
      <w:pPr>
        <w:pStyle w:val="Heading20"/>
      </w:pPr>
      <w:r w:rsidRPr="003D65B7">
        <w:lastRenderedPageBreak/>
        <w:t xml:space="preserve">2.4 </w:t>
      </w:r>
      <w:r w:rsidR="00A06B1C" w:rsidRPr="003D65B7">
        <w:t xml:space="preserve">Physicochemical </w:t>
      </w:r>
      <w:r w:rsidR="00F52A58" w:rsidRPr="003D65B7">
        <w:t>Study</w:t>
      </w:r>
    </w:p>
    <w:p w14:paraId="083C7C6E" w14:textId="77777777" w:rsidR="00573100" w:rsidRPr="003D65B7" w:rsidRDefault="00573100" w:rsidP="007C46CA">
      <w:pPr>
        <w:pStyle w:val="Heading20"/>
      </w:pPr>
    </w:p>
    <w:p w14:paraId="3790E1B5" w14:textId="792895C7" w:rsidR="00C2275B" w:rsidRPr="003D65B7" w:rsidRDefault="00C2275B" w:rsidP="00937E04">
      <w:pPr>
        <w:pStyle w:val="Heading20"/>
        <w:spacing w:line="480" w:lineRule="auto"/>
        <w:rPr>
          <w:rFonts w:eastAsiaTheme="minorEastAsia" w:cs="Times New Roman"/>
          <w:b w:val="0"/>
          <w:bCs w:val="0"/>
          <w:snapToGrid w:val="0"/>
          <w:color w:val="000000"/>
          <w:kern w:val="0"/>
          <w:sz w:val="20"/>
          <w:szCs w:val="24"/>
          <w:lang w:bidi="en-US"/>
        </w:rPr>
      </w:pPr>
      <w:r w:rsidRPr="003D65B7">
        <w:rPr>
          <w:rFonts w:eastAsiaTheme="minorEastAsia" w:cs="Times New Roman"/>
          <w:b w:val="0"/>
          <w:bCs w:val="0"/>
          <w:snapToGrid w:val="0"/>
          <w:color w:val="000000"/>
          <w:kern w:val="0"/>
          <w:sz w:val="20"/>
          <w:szCs w:val="24"/>
          <w:lang w:bidi="en-US"/>
        </w:rPr>
        <w:t xml:space="preserve">Water samples were analyzed at ACI Animal Health Diagnostic Laboratory Ltd., Dhaka. pH and TDS were assessed using a portable EUTECH </w:t>
      </w:r>
      <w:proofErr w:type="spellStart"/>
      <w:r w:rsidRPr="003D65B7">
        <w:rPr>
          <w:rFonts w:eastAsiaTheme="minorEastAsia" w:cs="Times New Roman"/>
          <w:b w:val="0"/>
          <w:bCs w:val="0"/>
          <w:snapToGrid w:val="0"/>
          <w:color w:val="000000"/>
          <w:kern w:val="0"/>
          <w:sz w:val="20"/>
          <w:szCs w:val="24"/>
          <w:lang w:bidi="en-US"/>
        </w:rPr>
        <w:t>PCSTestr</w:t>
      </w:r>
      <w:proofErr w:type="spellEnd"/>
      <w:r w:rsidRPr="003D65B7">
        <w:rPr>
          <w:rFonts w:eastAsiaTheme="minorEastAsia" w:cs="Times New Roman"/>
          <w:b w:val="0"/>
          <w:bCs w:val="0"/>
          <w:snapToGrid w:val="0"/>
          <w:color w:val="000000"/>
          <w:kern w:val="0"/>
          <w:sz w:val="20"/>
          <w:szCs w:val="24"/>
          <w:lang w:bidi="en-US"/>
        </w:rPr>
        <w:t xml:space="preserve"> 35 device</w:t>
      </w:r>
      <w:r w:rsidR="00C62086" w:rsidRPr="003D65B7">
        <w:rPr>
          <w:rFonts w:eastAsiaTheme="minorEastAsia" w:cs="Times New Roman"/>
          <w:b w:val="0"/>
          <w:bCs w:val="0"/>
          <w:snapToGrid w:val="0"/>
          <w:color w:val="000000"/>
          <w:kern w:val="0"/>
          <w:sz w:val="20"/>
          <w:szCs w:val="24"/>
          <w:lang w:bidi="en-US"/>
        </w:rPr>
        <w:t xml:space="preserve"> </w:t>
      </w:r>
      <w:r w:rsidR="00C62086" w:rsidRPr="003D65B7">
        <w:rPr>
          <w:rFonts w:cs="Times New Roman"/>
          <w:b w:val="0"/>
          <w:sz w:val="20"/>
          <w:szCs w:val="24"/>
        </w:rPr>
        <w:t xml:space="preserve">(Jackson </w:t>
      </w:r>
      <w:r w:rsidR="00C62086" w:rsidRPr="003D65B7">
        <w:rPr>
          <w:rFonts w:cs="Times New Roman"/>
          <w:b w:val="0"/>
          <w:iCs/>
          <w:sz w:val="20"/>
          <w:szCs w:val="24"/>
        </w:rPr>
        <w:t>et al</w:t>
      </w:r>
      <w:r w:rsidR="00C62086" w:rsidRPr="003D65B7">
        <w:rPr>
          <w:rFonts w:cs="Times New Roman"/>
          <w:b w:val="0"/>
          <w:sz w:val="20"/>
          <w:szCs w:val="24"/>
        </w:rPr>
        <w:t>., 1998)</w:t>
      </w:r>
      <w:r w:rsidRPr="003D65B7">
        <w:rPr>
          <w:rFonts w:eastAsiaTheme="minorEastAsia" w:cs="Times New Roman"/>
          <w:b w:val="0"/>
          <w:snapToGrid w:val="0"/>
          <w:color w:val="000000"/>
          <w:kern w:val="0"/>
          <w:sz w:val="20"/>
          <w:szCs w:val="24"/>
          <w:lang w:bidi="en-US"/>
        </w:rPr>
        <w:t>.</w:t>
      </w:r>
      <w:r w:rsidRPr="003D65B7">
        <w:rPr>
          <w:rFonts w:eastAsiaTheme="minorEastAsia" w:cs="Times New Roman"/>
          <w:b w:val="0"/>
          <w:bCs w:val="0"/>
          <w:snapToGrid w:val="0"/>
          <w:color w:val="000000"/>
          <w:kern w:val="0"/>
          <w:sz w:val="20"/>
          <w:szCs w:val="24"/>
          <w:lang w:bidi="en-US"/>
        </w:rPr>
        <w:t xml:space="preserve"> Chloride and iron levels followed standard protocols</w:t>
      </w:r>
      <w:r w:rsidR="00C62086" w:rsidRPr="003D65B7">
        <w:rPr>
          <w:rFonts w:eastAsiaTheme="minorEastAsia" w:cs="Times New Roman"/>
          <w:b w:val="0"/>
          <w:bCs w:val="0"/>
          <w:snapToGrid w:val="0"/>
          <w:color w:val="000000"/>
          <w:kern w:val="0"/>
          <w:sz w:val="20"/>
          <w:szCs w:val="24"/>
          <w:lang w:bidi="en-US"/>
        </w:rPr>
        <w:t xml:space="preserve"> </w:t>
      </w:r>
      <w:r w:rsidR="00C62086" w:rsidRPr="003D65B7">
        <w:rPr>
          <w:rFonts w:eastAsiaTheme="minorEastAsia" w:cs="Times New Roman"/>
          <w:b w:val="0"/>
          <w:snapToGrid w:val="0"/>
          <w:color w:val="000000"/>
          <w:kern w:val="0"/>
          <w:sz w:val="20"/>
          <w:szCs w:val="24"/>
          <w:lang w:bidi="en-US"/>
        </w:rPr>
        <w:t>(</w:t>
      </w:r>
      <w:proofErr w:type="spellStart"/>
      <w:r w:rsidR="00C62086" w:rsidRPr="003D65B7">
        <w:rPr>
          <w:rFonts w:eastAsiaTheme="minorEastAsia" w:cs="Times New Roman"/>
          <w:b w:val="0"/>
          <w:snapToGrid w:val="0"/>
          <w:color w:val="000000"/>
          <w:kern w:val="0"/>
          <w:sz w:val="20"/>
          <w:szCs w:val="24"/>
          <w:lang w:bidi="en-US"/>
        </w:rPr>
        <w:t>Annem</w:t>
      </w:r>
      <w:proofErr w:type="spellEnd"/>
      <w:r w:rsidR="00C62086" w:rsidRPr="003D65B7">
        <w:rPr>
          <w:rFonts w:eastAsiaTheme="minorEastAsia" w:cs="Times New Roman"/>
          <w:b w:val="0"/>
          <w:snapToGrid w:val="0"/>
          <w:color w:val="000000"/>
          <w:kern w:val="0"/>
          <w:sz w:val="20"/>
          <w:szCs w:val="24"/>
          <w:lang w:bidi="en-US"/>
        </w:rPr>
        <w:t>, 201</w:t>
      </w:r>
      <w:r w:rsidR="00F12740" w:rsidRPr="003D65B7">
        <w:rPr>
          <w:rFonts w:eastAsiaTheme="minorEastAsia" w:cs="Times New Roman"/>
          <w:b w:val="0"/>
          <w:snapToGrid w:val="0"/>
          <w:color w:val="000000"/>
          <w:kern w:val="0"/>
          <w:sz w:val="20"/>
          <w:szCs w:val="24"/>
          <w:lang w:bidi="en-US"/>
        </w:rPr>
        <w:t>7</w:t>
      </w:r>
      <w:r w:rsidR="00C62086" w:rsidRPr="003D65B7">
        <w:rPr>
          <w:rFonts w:eastAsiaTheme="minorEastAsia" w:cs="Times New Roman"/>
          <w:b w:val="0"/>
          <w:snapToGrid w:val="0"/>
          <w:color w:val="000000"/>
          <w:kern w:val="0"/>
          <w:sz w:val="20"/>
          <w:szCs w:val="24"/>
          <w:lang w:bidi="en-US"/>
        </w:rPr>
        <w:t xml:space="preserve">; </w:t>
      </w:r>
      <w:proofErr w:type="spellStart"/>
      <w:r w:rsidR="00C62086" w:rsidRPr="003D65B7">
        <w:rPr>
          <w:rFonts w:eastAsiaTheme="minorEastAsia" w:cs="Times New Roman"/>
          <w:b w:val="0"/>
          <w:snapToGrid w:val="0"/>
          <w:color w:val="000000"/>
          <w:kern w:val="0"/>
          <w:sz w:val="20"/>
          <w:szCs w:val="24"/>
          <w:lang w:bidi="en-US"/>
        </w:rPr>
        <w:t>Bitar</w:t>
      </w:r>
      <w:proofErr w:type="spellEnd"/>
      <w:r w:rsidR="00C62086" w:rsidRPr="003D65B7">
        <w:rPr>
          <w:rFonts w:eastAsiaTheme="minorEastAsia" w:cs="Times New Roman"/>
          <w:b w:val="0"/>
          <w:snapToGrid w:val="0"/>
          <w:color w:val="000000"/>
          <w:kern w:val="0"/>
          <w:sz w:val="20"/>
          <w:szCs w:val="24"/>
          <w:lang w:bidi="en-US"/>
        </w:rPr>
        <w:t>, 2016)</w:t>
      </w:r>
      <w:r w:rsidRPr="003D65B7">
        <w:rPr>
          <w:rFonts w:eastAsiaTheme="minorEastAsia" w:cs="Times New Roman"/>
          <w:b w:val="0"/>
          <w:snapToGrid w:val="0"/>
          <w:color w:val="000000"/>
          <w:kern w:val="0"/>
          <w:sz w:val="20"/>
          <w:szCs w:val="24"/>
          <w:lang w:bidi="en-US"/>
        </w:rPr>
        <w:t>,</w:t>
      </w:r>
      <w:r w:rsidRPr="003D65B7">
        <w:rPr>
          <w:rFonts w:eastAsiaTheme="minorEastAsia" w:cs="Times New Roman"/>
          <w:b w:val="0"/>
          <w:bCs w:val="0"/>
          <w:snapToGrid w:val="0"/>
          <w:color w:val="000000"/>
          <w:kern w:val="0"/>
          <w:sz w:val="20"/>
          <w:szCs w:val="24"/>
          <w:lang w:bidi="en-US"/>
        </w:rPr>
        <w:t xml:space="preserve"> while hardness was determined via EDTA titration and calculated according to established methodology </w:t>
      </w:r>
      <w:r w:rsidR="00C62086" w:rsidRPr="003D65B7">
        <w:rPr>
          <w:rFonts w:eastAsiaTheme="minorEastAsia" w:cs="Times New Roman"/>
          <w:b w:val="0"/>
          <w:snapToGrid w:val="0"/>
          <w:color w:val="000000"/>
          <w:kern w:val="0"/>
          <w:sz w:val="20"/>
          <w:szCs w:val="24"/>
          <w:lang w:bidi="en-US"/>
        </w:rPr>
        <w:t xml:space="preserve">(Achakzai </w:t>
      </w:r>
      <w:r w:rsidR="00C62086" w:rsidRPr="003D65B7">
        <w:rPr>
          <w:rFonts w:eastAsiaTheme="minorEastAsia" w:cs="Times New Roman"/>
          <w:b w:val="0"/>
          <w:iCs/>
          <w:snapToGrid w:val="0"/>
          <w:color w:val="000000"/>
          <w:kern w:val="0"/>
          <w:sz w:val="20"/>
          <w:szCs w:val="24"/>
          <w:lang w:bidi="en-US"/>
        </w:rPr>
        <w:t>et al</w:t>
      </w:r>
      <w:r w:rsidR="00C62086" w:rsidRPr="003D65B7">
        <w:rPr>
          <w:rFonts w:eastAsiaTheme="minorEastAsia" w:cs="Times New Roman"/>
          <w:b w:val="0"/>
          <w:snapToGrid w:val="0"/>
          <w:color w:val="000000"/>
          <w:kern w:val="0"/>
          <w:sz w:val="20"/>
          <w:szCs w:val="24"/>
          <w:lang w:bidi="en-US"/>
        </w:rPr>
        <w:t>., 2014).</w:t>
      </w:r>
    </w:p>
    <w:p w14:paraId="5BF2E89B" w14:textId="77777777" w:rsidR="00C2275B" w:rsidRPr="003D65B7" w:rsidRDefault="00C2275B" w:rsidP="00937E04">
      <w:pPr>
        <w:pStyle w:val="Heading20"/>
        <w:spacing w:line="480" w:lineRule="auto"/>
        <w:rPr>
          <w:rFonts w:eastAsiaTheme="minorEastAsia" w:cs="Times New Roman"/>
          <w:b w:val="0"/>
          <w:bCs w:val="0"/>
          <w:snapToGrid w:val="0"/>
          <w:color w:val="000000"/>
          <w:kern w:val="0"/>
          <w:sz w:val="20"/>
          <w:szCs w:val="24"/>
          <w:lang w:bidi="en-US"/>
        </w:rPr>
      </w:pPr>
    </w:p>
    <w:p w14:paraId="66B8731B" w14:textId="2F0F1CED" w:rsidR="00A06B1C" w:rsidRPr="003D65B7" w:rsidRDefault="00DB3248" w:rsidP="00DB3248">
      <w:pPr>
        <w:pStyle w:val="Heading20"/>
      </w:pPr>
      <w:r w:rsidRPr="003D65B7">
        <w:t xml:space="preserve">2.5 </w:t>
      </w:r>
      <w:r w:rsidR="00A06B1C" w:rsidRPr="003D65B7">
        <w:t>Statistical Analysis</w:t>
      </w:r>
    </w:p>
    <w:p w14:paraId="2BBB4D55" w14:textId="77777777" w:rsidR="00573100" w:rsidRPr="003D65B7" w:rsidRDefault="00573100" w:rsidP="00DB3248">
      <w:pPr>
        <w:pStyle w:val="Heading20"/>
      </w:pPr>
    </w:p>
    <w:p w14:paraId="4D24CED0" w14:textId="5FDC78F0"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Means and standard errors (SEM) were calculated for all parameters. Differences among sites were assessed using one-way ANOVA. When significant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0.05); Tukey’s HSD post hoc test identified pairwise differences. Analyses were performed using SPSS v26 and R v4.3.0; with significance set at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0.05.</w:t>
      </w:r>
    </w:p>
    <w:p w14:paraId="58D89C97" w14:textId="47B45CD5" w:rsidR="00A06B1C" w:rsidRPr="003D65B7" w:rsidRDefault="00DB3248" w:rsidP="00DB3248">
      <w:pPr>
        <w:pStyle w:val="Heading10"/>
      </w:pPr>
      <w:r w:rsidRPr="003D65B7">
        <w:t xml:space="preserve">3. </w:t>
      </w:r>
      <w:r w:rsidR="00A06B1C" w:rsidRPr="003D65B7">
        <w:t>Results</w:t>
      </w:r>
    </w:p>
    <w:p w14:paraId="65E5F9A8" w14:textId="77777777" w:rsidR="00DB3248" w:rsidRPr="003D65B7" w:rsidRDefault="00DB3248" w:rsidP="00DB3248">
      <w:pPr>
        <w:pStyle w:val="Heading20"/>
      </w:pPr>
    </w:p>
    <w:p w14:paraId="40AFDDF9" w14:textId="30A5DB97" w:rsidR="00F52A58" w:rsidRPr="003D65B7" w:rsidRDefault="00DB3248" w:rsidP="00DB3248">
      <w:pPr>
        <w:pStyle w:val="Heading20"/>
      </w:pPr>
      <w:r w:rsidRPr="003D65B7">
        <w:t xml:space="preserve">3.1 </w:t>
      </w:r>
      <w:r w:rsidR="00A06B1C" w:rsidRPr="003D65B7">
        <w:t xml:space="preserve">Microbiological </w:t>
      </w:r>
      <w:r w:rsidR="00F52A58" w:rsidRPr="003D65B7">
        <w:t>Q</w:t>
      </w:r>
      <w:r w:rsidR="00A06B1C" w:rsidRPr="003D65B7">
        <w:t xml:space="preserve">uality of </w:t>
      </w:r>
      <w:r w:rsidR="00F52A58" w:rsidRPr="003D65B7">
        <w:t>W</w:t>
      </w:r>
      <w:r w:rsidR="00A06B1C" w:rsidRPr="003D65B7">
        <w:t xml:space="preserve">ater </w:t>
      </w:r>
    </w:p>
    <w:p w14:paraId="18410A64" w14:textId="77777777" w:rsidR="00573100" w:rsidRPr="003D65B7" w:rsidRDefault="00573100" w:rsidP="00DB3248">
      <w:pPr>
        <w:pStyle w:val="Heading20"/>
      </w:pPr>
    </w:p>
    <w:p w14:paraId="0A8868EB" w14:textId="09AB2705"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Water samples collected from five urban dairy zones in Dhaka</w:t>
      </w:r>
      <w:r w:rsidR="00C2275B"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were analyzed for coliforms,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spp., and </w:t>
      </w:r>
      <w:r w:rsidR="00F70BC1" w:rsidRPr="003D65B7">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snapToGrid w:val="0"/>
          <w:color w:val="000000"/>
          <w:kern w:val="0"/>
          <w:sz w:val="20"/>
          <w:szCs w:val="24"/>
          <w:lang w:eastAsia="ko-KR" w:bidi="en-US"/>
          <w14:ligatures w14:val="none"/>
        </w:rPr>
        <w:t xml:space="preserve"> spp. All samples tested positive for coliform and</w:t>
      </w:r>
      <w:r w:rsidR="00C2275B" w:rsidRPr="003D65B7">
        <w:rPr>
          <w:rFonts w:ascii="Arial" w:hAnsi="Arial" w:cs="Times New Roman"/>
          <w:snapToGrid w:val="0"/>
          <w:color w:val="000000"/>
          <w:kern w:val="0"/>
          <w:sz w:val="20"/>
          <w:szCs w:val="24"/>
          <w:lang w:eastAsia="ko-KR" w:bidi="en-US"/>
          <w14:ligatures w14:val="none"/>
        </w:rPr>
        <w:t xml:space="preserve">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indicating a 100% prevalence. The highest coliform load was recorded in Mirpur-1 (2.63×10⁸ ± 1.9×10⁷ CFU/ml), while the lowest was observed at the SAU campus (1.73×10⁸ ± 9.0×10⁶ CFU/ml).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concentrations ranged from 5.50×10⁷ ± 2.3×10⁶ CFU/ml (SAU campus) to 7.05×10⁷ ± 3.7×10⁶ CFU/ml (Mirpur-1).</w:t>
      </w:r>
      <w:r w:rsidR="006918A0"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No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spp. or </w:t>
      </w:r>
      <w:r w:rsidR="00F70BC1" w:rsidRPr="003D65B7">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snapToGrid w:val="0"/>
          <w:color w:val="000000"/>
          <w:kern w:val="0"/>
          <w:sz w:val="20"/>
          <w:szCs w:val="24"/>
          <w:lang w:eastAsia="ko-KR" w:bidi="en-US"/>
          <w14:ligatures w14:val="none"/>
        </w:rPr>
        <w:t xml:space="preserve"> spp. were detected in any of the samples; suggesting the absence of protozoan contamination during the sampling period. Statistical analysis using one-way ANOVA revealed significant differences in bacterial loads</w:t>
      </w:r>
      <w:r w:rsidR="00F52A58"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among sites. For coliform,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4.62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0.012); and Tukey’s post-hoc test indicated that Mirpur-1 had significantly higher counts than Mirpur-2 and SAU campus. For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3.33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0.043); with Mirpur-1 significantly higher than SAU campus. Other sites showed no significant differences</w:t>
      </w:r>
      <w:r w:rsidR="006B2D23" w:rsidRPr="003D65B7">
        <w:rPr>
          <w:rFonts w:ascii="Arial" w:hAnsi="Arial" w:cs="Times New Roman"/>
          <w:snapToGrid w:val="0"/>
          <w:color w:val="000000"/>
          <w:kern w:val="0"/>
          <w:sz w:val="20"/>
          <w:szCs w:val="24"/>
          <w:lang w:eastAsia="ko-KR" w:bidi="en-US"/>
          <w14:ligatures w14:val="none"/>
        </w:rPr>
        <w:t xml:space="preserve"> </w:t>
      </w:r>
      <w:r w:rsidR="006B2D23" w:rsidRPr="003D65B7">
        <w:rPr>
          <w:rFonts w:ascii="Arial" w:hAnsi="Arial" w:cs="Times New Roman"/>
          <w:bCs/>
          <w:snapToGrid w:val="0"/>
          <w:color w:val="000000"/>
          <w:kern w:val="0"/>
          <w:sz w:val="20"/>
          <w:szCs w:val="24"/>
          <w:lang w:eastAsia="ko-KR" w:bidi="en-US"/>
          <w14:ligatures w14:val="none"/>
        </w:rPr>
        <w:t>(Table-1)</w:t>
      </w:r>
      <w:r w:rsidRPr="003D65B7">
        <w:rPr>
          <w:rFonts w:ascii="Arial" w:hAnsi="Arial" w:cs="Times New Roman"/>
          <w:bCs/>
          <w:snapToGrid w:val="0"/>
          <w:color w:val="000000"/>
          <w:kern w:val="0"/>
          <w:sz w:val="20"/>
          <w:szCs w:val="24"/>
          <w:lang w:eastAsia="ko-KR" w:bidi="en-US"/>
          <w14:ligatures w14:val="none"/>
        </w:rPr>
        <w:t>.</w:t>
      </w:r>
    </w:p>
    <w:p w14:paraId="735AF884" w14:textId="51FCB03C" w:rsidR="00526BF8" w:rsidRPr="003D65B7" w:rsidRDefault="00526BF8">
      <w:pPr>
        <w:rPr>
          <w:rFonts w:ascii="Arial" w:eastAsia="Microsoft GothicNeo" w:hAnsi="Arial" w:cstheme="minorBidi"/>
          <w:b/>
          <w:bCs/>
          <w:szCs w:val="22"/>
          <w:lang w:eastAsia="ko-KR" w:bidi="ar-SA"/>
          <w14:ligatures w14:val="none"/>
        </w:rPr>
      </w:pPr>
      <w:r w:rsidRPr="003D65B7">
        <w:br w:type="page"/>
      </w:r>
    </w:p>
    <w:p w14:paraId="778590F3" w14:textId="7A5393D3" w:rsidR="00F52A58" w:rsidRPr="003D65B7" w:rsidRDefault="00DB3248" w:rsidP="00DB3248">
      <w:pPr>
        <w:pStyle w:val="Heading20"/>
      </w:pPr>
      <w:r w:rsidRPr="003D65B7">
        <w:lastRenderedPageBreak/>
        <w:t xml:space="preserve">3.2 </w:t>
      </w:r>
      <w:r w:rsidR="00A06B1C" w:rsidRPr="003D65B7">
        <w:t xml:space="preserve">Physicochemical </w:t>
      </w:r>
      <w:r w:rsidR="00F52A58" w:rsidRPr="003D65B7">
        <w:t>Q</w:t>
      </w:r>
      <w:r w:rsidR="00A06B1C" w:rsidRPr="003D65B7">
        <w:t xml:space="preserve">uality </w:t>
      </w:r>
      <w:r w:rsidR="00F52A58" w:rsidRPr="003D65B7">
        <w:t>of Water</w:t>
      </w:r>
    </w:p>
    <w:p w14:paraId="0C5F7AC7" w14:textId="77777777" w:rsidR="00573100" w:rsidRPr="003D65B7" w:rsidRDefault="00573100" w:rsidP="00DB3248">
      <w:pPr>
        <w:pStyle w:val="Heading20"/>
      </w:pPr>
    </w:p>
    <w:p w14:paraId="522CDAC8" w14:textId="2953EAB3" w:rsidR="009024F5"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Water samples were analyzed for pH, total dissolved solids (TDS), iron, chloride, and hardness. All parameters showed significant variation across the five study areas.</w:t>
      </w:r>
      <w:r w:rsidR="00F52A58"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The pH ranged from 6.12 ± 0.03 (60 Feet) to 6.70 ± 0.07 (Mirpur-2); remaining within the acceptable range for livestock. ANOVA yielded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45.2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0.001); with Mirpur-2 significantly higher than 60 Feet and Mirpur-1. TDS values ranged from 307.5 ± 3.23 ppm (SAU campus) to 397.0 ± 3.14 ppm (60 Feet); with significant differences confirmed by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68.4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0.001). Tukey’s test showed that 60 Feet and Mirpur-2 had significantly higher TDS than SAU campus.</w:t>
      </w:r>
      <w:r w:rsidR="00F52A58"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Iron concentrations exceeded the recommended threshold of 0.3 ppm in all samples; ranging from 0.780 ± 0.01 ppm (Mirpur-2) to 0.972 ± 0.02 ppm (Mirpur-1). ANOVA revealed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25.3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0.001); with Mirpur-1, Kalshi, and SAU campus significantly higher than Mirpur-2. Chloride levels ranged from 0.384 ± 0.01 ppm (Mirpur-2) to 0.945 ± 0.03 ppm (60 Feet); and ANOVA confirmed significant variation with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105.7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0.001). Chloride in 60 Feet was significantly higher than all other sites.</w:t>
      </w:r>
      <w:r w:rsidR="00F52A58"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Water hardness ranged from 75.0 ± 2.04 ppm (Kalshi) to 165.0 ± 1.23 ppm (Mirpur-2). ANOVA showed </w:t>
      </w:r>
      <w:proofErr w:type="gramStart"/>
      <w:r w:rsidRPr="003D65B7">
        <w:rPr>
          <w:rFonts w:ascii="Arial" w:hAnsi="Arial" w:cs="Times New Roman"/>
          <w:snapToGrid w:val="0"/>
          <w:color w:val="000000"/>
          <w:kern w:val="0"/>
          <w:sz w:val="20"/>
          <w:szCs w:val="24"/>
          <w:lang w:eastAsia="ko-KR" w:bidi="en-US"/>
          <w14:ligatures w14:val="none"/>
        </w:rPr>
        <w:t>F(</w:t>
      </w:r>
      <w:proofErr w:type="gramEnd"/>
      <w:r w:rsidRPr="003D65B7">
        <w:rPr>
          <w:rFonts w:ascii="Arial" w:hAnsi="Arial" w:cs="Times New Roman"/>
          <w:snapToGrid w:val="0"/>
          <w:color w:val="000000"/>
          <w:kern w:val="0"/>
          <w:sz w:val="20"/>
          <w:szCs w:val="24"/>
          <w:lang w:eastAsia="ko-KR" w:bidi="en-US"/>
          <w14:ligatures w14:val="none"/>
        </w:rPr>
        <w:t>4,15) = 250.5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0.001); with Kalshi significantly lower than all other areas</w:t>
      </w:r>
      <w:r w:rsidR="006B2D23" w:rsidRPr="003D65B7">
        <w:rPr>
          <w:rFonts w:ascii="Arial" w:hAnsi="Arial" w:cs="Times New Roman"/>
          <w:snapToGrid w:val="0"/>
          <w:color w:val="000000"/>
          <w:kern w:val="0"/>
          <w:sz w:val="20"/>
          <w:szCs w:val="24"/>
          <w:lang w:eastAsia="ko-KR" w:bidi="en-US"/>
          <w14:ligatures w14:val="none"/>
        </w:rPr>
        <w:t xml:space="preserve"> </w:t>
      </w:r>
      <w:r w:rsidR="006B2D23" w:rsidRPr="003D65B7">
        <w:rPr>
          <w:rFonts w:ascii="Arial" w:hAnsi="Arial" w:cs="Times New Roman"/>
          <w:bCs/>
          <w:snapToGrid w:val="0"/>
          <w:color w:val="000000"/>
          <w:kern w:val="0"/>
          <w:sz w:val="20"/>
          <w:szCs w:val="24"/>
          <w:lang w:eastAsia="ko-KR" w:bidi="en-US"/>
          <w14:ligatures w14:val="none"/>
        </w:rPr>
        <w:t>(Table-2)</w:t>
      </w:r>
      <w:r w:rsidRPr="003D65B7">
        <w:rPr>
          <w:rFonts w:ascii="Arial" w:hAnsi="Arial" w:cs="Times New Roman"/>
          <w:bCs/>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 </w:t>
      </w:r>
    </w:p>
    <w:p w14:paraId="6CBE0FDD" w14:textId="77777777" w:rsidR="00573100" w:rsidRPr="003D65B7" w:rsidRDefault="00573100" w:rsidP="00DB3248">
      <w:pPr>
        <w:pStyle w:val="Heading20"/>
      </w:pPr>
    </w:p>
    <w:p w14:paraId="6874C3EA" w14:textId="54E19280" w:rsidR="00F52A58" w:rsidRPr="003D65B7" w:rsidRDefault="00DB3248" w:rsidP="00DB3248">
      <w:pPr>
        <w:pStyle w:val="Heading20"/>
      </w:pPr>
      <w:r w:rsidRPr="003D65B7">
        <w:t xml:space="preserve">3.3 </w:t>
      </w:r>
      <w:r w:rsidR="00A06B1C" w:rsidRPr="003D65B7">
        <w:t xml:space="preserve">Relationship </w:t>
      </w:r>
      <w:r w:rsidR="00F52A58" w:rsidRPr="003D65B7">
        <w:t>Between Bacterial Load and Physicochemical Parameters</w:t>
      </w:r>
    </w:p>
    <w:p w14:paraId="5BC0482A" w14:textId="77777777" w:rsidR="00573100" w:rsidRPr="003D65B7" w:rsidRDefault="00573100" w:rsidP="00DB3248">
      <w:pPr>
        <w:pStyle w:val="Heading20"/>
      </w:pPr>
    </w:p>
    <w:p w14:paraId="4DBD4F6C" w14:textId="75E39F38" w:rsidR="006B2D23" w:rsidRPr="003D65B7" w:rsidRDefault="006918A0" w:rsidP="00DB3248">
      <w:pPr>
        <w:spacing w:line="480" w:lineRule="auto"/>
        <w:jc w:val="both"/>
        <w:rPr>
          <w:rFonts w:ascii="Arial" w:hAnsi="Arial" w:cs="Times New Roman"/>
          <w:snapToGrid w:val="0"/>
          <w:color w:val="000000"/>
          <w:kern w:val="0"/>
          <w:sz w:val="20"/>
          <w:szCs w:val="24"/>
          <w:lang w:eastAsia="ko-KR" w:bidi="en-US"/>
          <w14:ligatures w14:val="none"/>
        </w:rPr>
        <w:sectPr w:rsidR="006B2D23" w:rsidRPr="003D65B7" w:rsidSect="00A02D9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0" w:gutter="0"/>
          <w:cols w:space="720"/>
          <w:titlePg/>
          <w:docGrid w:linePitch="360"/>
        </w:sectPr>
      </w:pPr>
      <w:r w:rsidRPr="003D65B7">
        <w:rPr>
          <w:rFonts w:ascii="Arial" w:hAnsi="Arial" w:cs="Times New Roman"/>
          <w:snapToGrid w:val="0"/>
          <w:color w:val="000000"/>
          <w:kern w:val="0"/>
          <w:sz w:val="20"/>
          <w:szCs w:val="24"/>
          <w:lang w:eastAsia="ko-KR" w:bidi="en-US"/>
          <w14:ligatures w14:val="none"/>
        </w:rPr>
        <w:t xml:space="preserve">The relationships between Coliform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counts (CFU/mL) and key physicochemical parameters (expressed in ppm, except pH) were evaluated using linear regression. Ten scatter plots were generated to visualize these pairing, each annotated with coefficient of determination (R²) and p-values </w:t>
      </w:r>
      <w:r w:rsidRPr="003D65B7">
        <w:rPr>
          <w:rFonts w:ascii="Arial" w:hAnsi="Arial" w:cs="Times New Roman"/>
          <w:bCs/>
          <w:snapToGrid w:val="0"/>
          <w:color w:val="000000"/>
          <w:kern w:val="0"/>
          <w:sz w:val="20"/>
          <w:szCs w:val="24"/>
          <w:lang w:eastAsia="ko-KR" w:bidi="en-US"/>
          <w14:ligatures w14:val="none"/>
        </w:rPr>
        <w:t>(Figure-2).</w:t>
      </w:r>
      <w:r w:rsidRPr="003D65B7">
        <w:rPr>
          <w:rFonts w:ascii="Arial" w:hAnsi="Arial" w:cs="Times New Roman"/>
          <w:snapToGrid w:val="0"/>
          <w:color w:val="000000"/>
          <w:kern w:val="0"/>
          <w:sz w:val="20"/>
          <w:szCs w:val="24"/>
          <w:lang w:eastAsia="ko-KR" w:bidi="en-US"/>
          <w14:ligatures w14:val="none"/>
        </w:rPr>
        <w:t xml:space="preserve"> A moderately strong positive correlation was observed between TDS and Coliform (R² = 0.697, </w:t>
      </w:r>
      <w:r w:rsidR="00F70BC1" w:rsidRPr="003D65B7">
        <w:rPr>
          <w:rFonts w:ascii="Arial" w:hAnsi="Arial" w:cs="Times New Roman"/>
          <w:i/>
          <w:iCs/>
          <w:snapToGrid w:val="0"/>
          <w:color w:val="000000"/>
          <w:kern w:val="0"/>
          <w:sz w:val="20"/>
          <w:szCs w:val="24"/>
          <w:lang w:eastAsia="ko-KR" w:bidi="en-US"/>
          <w14:ligatures w14:val="none"/>
        </w:rPr>
        <w:t xml:space="preserve">P </w:t>
      </w:r>
      <w:proofErr w:type="gramStart"/>
      <w:r w:rsidR="00F70BC1"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0.079</w:t>
      </w:r>
      <w:proofErr w:type="gramEnd"/>
      <w:r w:rsidRPr="003D65B7">
        <w:rPr>
          <w:rFonts w:ascii="Arial" w:hAnsi="Arial" w:cs="Times New Roman"/>
          <w:snapToGrid w:val="0"/>
          <w:color w:val="000000"/>
          <w:kern w:val="0"/>
          <w:sz w:val="20"/>
          <w:szCs w:val="24"/>
          <w:lang w:eastAsia="ko-KR" w:bidi="en-US"/>
          <w14:ligatures w14:val="none"/>
        </w:rPr>
        <w:t xml:space="preserve">), while the correlation between TDS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was weaker (R² = 0.233, </w:t>
      </w:r>
      <w:r w:rsidR="00F70BC1" w:rsidRPr="003D65B7">
        <w:rPr>
          <w:rFonts w:ascii="Arial" w:hAnsi="Arial" w:cs="Times New Roman"/>
          <w:i/>
          <w:iCs/>
          <w:snapToGrid w:val="0"/>
          <w:color w:val="000000"/>
          <w:kern w:val="0"/>
          <w:sz w:val="20"/>
          <w:szCs w:val="24"/>
          <w:lang w:eastAsia="ko-KR" w:bidi="en-US"/>
          <w14:ligatures w14:val="none"/>
        </w:rPr>
        <w:t>P =</w:t>
      </w:r>
      <w:r w:rsidR="00A34280"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 0.410). Iron showed minimal correlation with both Coliform (R² = 0.048, </w:t>
      </w:r>
      <w:r w:rsidR="00F70BC1" w:rsidRPr="003D65B7">
        <w:rPr>
          <w:rFonts w:ascii="Arial" w:hAnsi="Arial" w:cs="Times New Roman"/>
          <w:i/>
          <w:iCs/>
          <w:snapToGrid w:val="0"/>
          <w:color w:val="000000"/>
          <w:kern w:val="0"/>
          <w:sz w:val="20"/>
          <w:szCs w:val="24"/>
          <w:lang w:eastAsia="ko-KR" w:bidi="en-US"/>
          <w14:ligatures w14:val="none"/>
        </w:rPr>
        <w:t xml:space="preserve">P </w:t>
      </w:r>
      <w:proofErr w:type="gramStart"/>
      <w:r w:rsidR="00F70BC1"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0.725</w:t>
      </w:r>
      <w:proofErr w:type="gramEnd"/>
      <w:r w:rsidRPr="003D65B7">
        <w:rPr>
          <w:rFonts w:ascii="Arial" w:hAnsi="Arial" w:cs="Times New Roman"/>
          <w:snapToGrid w:val="0"/>
          <w:color w:val="000000"/>
          <w:kern w:val="0"/>
          <w:sz w:val="20"/>
          <w:szCs w:val="24"/>
          <w:lang w:eastAsia="ko-KR" w:bidi="en-US"/>
          <w14:ligatures w14:val="none"/>
        </w:rPr>
        <w:t xml:space="preserve">)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0.013,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 0.854). For Chloride, a weak negative correlation was observed with Coliform (R² = 0.084, </w:t>
      </w:r>
      <w:r w:rsidR="00F70BC1" w:rsidRPr="003D65B7">
        <w:rPr>
          <w:rFonts w:ascii="Arial" w:hAnsi="Arial" w:cs="Times New Roman"/>
          <w:i/>
          <w:iCs/>
          <w:snapToGrid w:val="0"/>
          <w:color w:val="000000"/>
          <w:kern w:val="0"/>
          <w:sz w:val="20"/>
          <w:szCs w:val="24"/>
          <w:lang w:eastAsia="ko-KR" w:bidi="en-US"/>
          <w14:ligatures w14:val="none"/>
        </w:rPr>
        <w:t xml:space="preserve">P </w:t>
      </w:r>
      <w:proofErr w:type="gramStart"/>
      <w:r w:rsidR="00F70BC1"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0.636</w:t>
      </w:r>
      <w:proofErr w:type="gramEnd"/>
      <w:r w:rsidRPr="003D65B7">
        <w:rPr>
          <w:rFonts w:ascii="Arial" w:hAnsi="Arial" w:cs="Times New Roman"/>
          <w:snapToGrid w:val="0"/>
          <w:color w:val="000000"/>
          <w:kern w:val="0"/>
          <w:sz w:val="20"/>
          <w:szCs w:val="24"/>
          <w:lang w:eastAsia="ko-KR" w:bidi="en-US"/>
          <w14:ligatures w14:val="none"/>
        </w:rPr>
        <w:t xml:space="preserve">), while a moderate negative correlation was seen with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0.460,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 0.208). The pH parameter was weakly correlated with Coliform (R² = 0.037, </w:t>
      </w:r>
      <w:r w:rsidR="00F70BC1" w:rsidRPr="003D65B7">
        <w:rPr>
          <w:rFonts w:ascii="Arial" w:hAnsi="Arial" w:cs="Times New Roman"/>
          <w:i/>
          <w:iCs/>
          <w:snapToGrid w:val="0"/>
          <w:color w:val="000000"/>
          <w:kern w:val="0"/>
          <w:sz w:val="20"/>
          <w:szCs w:val="24"/>
          <w:lang w:eastAsia="ko-KR" w:bidi="en-US"/>
          <w14:ligatures w14:val="none"/>
        </w:rPr>
        <w:t xml:space="preserve">P </w:t>
      </w:r>
      <w:proofErr w:type="gramStart"/>
      <w:r w:rsidR="00F70BC1"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0.758</w:t>
      </w:r>
      <w:proofErr w:type="gramEnd"/>
      <w:r w:rsidRPr="003D65B7">
        <w:rPr>
          <w:rFonts w:ascii="Arial" w:hAnsi="Arial" w:cs="Times New Roman"/>
          <w:snapToGrid w:val="0"/>
          <w:color w:val="000000"/>
          <w:kern w:val="0"/>
          <w:sz w:val="20"/>
          <w:szCs w:val="24"/>
          <w:lang w:eastAsia="ko-KR" w:bidi="en-US"/>
          <w14:ligatures w14:val="none"/>
        </w:rPr>
        <w:t xml:space="preserve">)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0.019,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xml:space="preserve"> 0.824). Likewise, Hardness showed very weak positive associations with both Coliform (R² = 0.017, </w:t>
      </w:r>
      <w:r w:rsidR="00F70BC1" w:rsidRPr="003D65B7">
        <w:rPr>
          <w:rFonts w:ascii="Arial" w:hAnsi="Arial" w:cs="Times New Roman"/>
          <w:i/>
          <w:iCs/>
          <w:snapToGrid w:val="0"/>
          <w:color w:val="000000"/>
          <w:kern w:val="0"/>
          <w:sz w:val="20"/>
          <w:szCs w:val="24"/>
          <w:lang w:eastAsia="ko-KR" w:bidi="en-US"/>
          <w14:ligatures w14:val="none"/>
        </w:rPr>
        <w:t xml:space="preserve">P </w:t>
      </w:r>
      <w:proofErr w:type="gramStart"/>
      <w:r w:rsidR="00F70BC1" w:rsidRPr="003D65B7">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0.836</w:t>
      </w:r>
      <w:proofErr w:type="gramEnd"/>
      <w:r w:rsidRPr="003D65B7">
        <w:rPr>
          <w:rFonts w:ascii="Arial" w:hAnsi="Arial" w:cs="Times New Roman"/>
          <w:snapToGrid w:val="0"/>
          <w:color w:val="000000"/>
          <w:kern w:val="0"/>
          <w:sz w:val="20"/>
          <w:szCs w:val="24"/>
          <w:lang w:eastAsia="ko-KR" w:bidi="en-US"/>
          <w14:ligatures w14:val="none"/>
        </w:rPr>
        <w:t xml:space="preserve">)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0.067, </w:t>
      </w:r>
      <w:r w:rsidR="00F70BC1" w:rsidRPr="003D65B7">
        <w:rPr>
          <w:rFonts w:ascii="Arial" w:hAnsi="Arial" w:cs="Times New Roman"/>
          <w:i/>
          <w:iCs/>
          <w:snapToGrid w:val="0"/>
          <w:color w:val="000000"/>
          <w:kern w:val="0"/>
          <w:sz w:val="20"/>
          <w:szCs w:val="24"/>
          <w:lang w:eastAsia="ko-KR" w:bidi="en-US"/>
          <w14:ligatures w14:val="none"/>
        </w:rPr>
        <w:t xml:space="preserve">P = </w:t>
      </w:r>
      <w:r w:rsidRPr="003D65B7">
        <w:rPr>
          <w:rFonts w:ascii="Arial" w:hAnsi="Arial" w:cs="Times New Roman"/>
          <w:snapToGrid w:val="0"/>
          <w:color w:val="000000"/>
          <w:kern w:val="0"/>
          <w:sz w:val="20"/>
          <w:szCs w:val="24"/>
          <w:lang w:eastAsia="ko-KR" w:bidi="en-US"/>
          <w14:ligatures w14:val="none"/>
        </w:rPr>
        <w:t> 0.674). No statistically significant correlations (p &lt; 0.05) were observed in any of the pairwise relationships evaluated</w:t>
      </w:r>
      <w:r w:rsidR="00EA05FC" w:rsidRPr="003D65B7">
        <w:rPr>
          <w:rFonts w:ascii="Arial" w:hAnsi="Arial" w:cs="Times New Roman"/>
          <w:snapToGrid w:val="0"/>
          <w:color w:val="000000"/>
          <w:kern w:val="0"/>
          <w:sz w:val="20"/>
          <w:szCs w:val="24"/>
          <w:lang w:eastAsia="ko-KR" w:bidi="en-US"/>
          <w14:ligatures w14:val="none"/>
        </w:rPr>
        <w:t xml:space="preserve"> </w:t>
      </w:r>
      <w:r w:rsidR="00EA05FC" w:rsidRPr="003D65B7">
        <w:rPr>
          <w:rFonts w:ascii="Arial" w:hAnsi="Arial" w:cs="Times New Roman"/>
          <w:bCs/>
          <w:snapToGrid w:val="0"/>
          <w:color w:val="000000"/>
          <w:kern w:val="0"/>
          <w:sz w:val="20"/>
          <w:szCs w:val="24"/>
          <w:lang w:eastAsia="ko-KR" w:bidi="en-US"/>
          <w14:ligatures w14:val="none"/>
        </w:rPr>
        <w:t>(Figure-2)</w:t>
      </w:r>
      <w:r w:rsidRPr="003D65B7">
        <w:rPr>
          <w:rFonts w:ascii="Arial" w:hAnsi="Arial" w:cs="Times New Roman"/>
          <w:bCs/>
          <w:snapToGrid w:val="0"/>
          <w:color w:val="000000"/>
          <w:kern w:val="0"/>
          <w:sz w:val="20"/>
          <w:szCs w:val="24"/>
          <w:lang w:eastAsia="ko-KR" w:bidi="en-US"/>
          <w14:ligatures w14:val="none"/>
        </w:rPr>
        <w:t>.</w:t>
      </w:r>
    </w:p>
    <w:p w14:paraId="39B2D482" w14:textId="75A2271A" w:rsidR="006B2D23" w:rsidRPr="003D65B7" w:rsidRDefault="006B2D23" w:rsidP="00937E04">
      <w:pPr>
        <w:spacing w:after="0" w:line="480" w:lineRule="auto"/>
        <w:jc w:val="both"/>
        <w:rPr>
          <w:rFonts w:ascii="Arial" w:hAnsi="Arial" w:cs="Times New Roman"/>
          <w:b/>
          <w:snapToGrid w:val="0"/>
          <w:color w:val="000000"/>
          <w:kern w:val="0"/>
          <w:sz w:val="20"/>
          <w:szCs w:val="24"/>
          <w:lang w:eastAsia="ko-KR" w:bidi="en-US"/>
          <w14:ligatures w14:val="none"/>
        </w:rPr>
      </w:pPr>
      <w:r w:rsidRPr="003D65B7">
        <w:rPr>
          <w:rFonts w:ascii="Arial" w:hAnsi="Arial" w:cs="Times New Roman"/>
          <w:b/>
          <w:snapToGrid w:val="0"/>
          <w:color w:val="000000"/>
          <w:kern w:val="0"/>
          <w:sz w:val="20"/>
          <w:szCs w:val="24"/>
          <w:lang w:eastAsia="ko-KR" w:bidi="en-US"/>
          <w14:ligatures w14:val="none"/>
        </w:rPr>
        <w:lastRenderedPageBreak/>
        <w:t>Table 1</w:t>
      </w:r>
      <w:r w:rsidR="00DB3248" w:rsidRPr="003D65B7">
        <w:rPr>
          <w:rFonts w:ascii="Arial" w:hAnsi="Arial" w:cs="Times New Roman"/>
          <w:b/>
          <w:snapToGrid w:val="0"/>
          <w:color w:val="000000"/>
          <w:kern w:val="0"/>
          <w:sz w:val="20"/>
          <w:szCs w:val="24"/>
          <w:lang w:eastAsia="ko-KR" w:bidi="en-US"/>
          <w14:ligatures w14:val="none"/>
        </w:rPr>
        <w:t xml:space="preserve">. </w:t>
      </w:r>
      <w:r w:rsidR="00D613F8" w:rsidRPr="003D65B7">
        <w:rPr>
          <w:rFonts w:ascii="Arial" w:hAnsi="Arial" w:cs="Times New Roman"/>
          <w:b/>
          <w:snapToGrid w:val="0"/>
          <w:color w:val="000000"/>
          <w:kern w:val="0"/>
          <w:sz w:val="20"/>
          <w:szCs w:val="24"/>
          <w:lang w:eastAsia="ko-KR" w:bidi="en-US"/>
          <w14:ligatures w14:val="none"/>
        </w:rPr>
        <w:t xml:space="preserve">Counts and prevalence of coliform and </w:t>
      </w:r>
      <w:r w:rsidR="00F70BC1" w:rsidRPr="003D65B7">
        <w:rPr>
          <w:rFonts w:ascii="Arial" w:hAnsi="Arial" w:cs="Times New Roman"/>
          <w:b/>
          <w:i/>
          <w:iCs/>
          <w:snapToGrid w:val="0"/>
          <w:color w:val="000000"/>
          <w:kern w:val="0"/>
          <w:sz w:val="20"/>
          <w:szCs w:val="24"/>
          <w:lang w:eastAsia="ko-KR" w:bidi="en-US"/>
          <w14:ligatures w14:val="none"/>
        </w:rPr>
        <w:t>E. coli</w:t>
      </w:r>
      <w:r w:rsidR="00D613F8" w:rsidRPr="003D65B7">
        <w:rPr>
          <w:rFonts w:ascii="Arial" w:hAnsi="Arial" w:cs="Times New Roman"/>
          <w:b/>
          <w:snapToGrid w:val="0"/>
          <w:color w:val="000000"/>
          <w:kern w:val="0"/>
          <w:sz w:val="20"/>
          <w:szCs w:val="24"/>
          <w:lang w:eastAsia="ko-KR" w:bidi="en-US"/>
          <w14:ligatures w14:val="none"/>
        </w:rPr>
        <w:t xml:space="preserve"> in supplied water across study sites in Dhaka city</w:t>
      </w:r>
    </w:p>
    <w:tbl>
      <w:tblPr>
        <w:tblStyle w:val="TableGridLight1"/>
        <w:tblW w:w="4904"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4"/>
        <w:gridCol w:w="1078"/>
        <w:gridCol w:w="867"/>
        <w:gridCol w:w="1599"/>
        <w:gridCol w:w="1416"/>
        <w:gridCol w:w="1350"/>
        <w:gridCol w:w="1258"/>
        <w:gridCol w:w="1599"/>
        <w:gridCol w:w="1159"/>
        <w:gridCol w:w="1131"/>
      </w:tblGrid>
      <w:tr w:rsidR="00F45092" w:rsidRPr="003D65B7" w14:paraId="175EF599" w14:textId="77777777" w:rsidTr="00F36963">
        <w:trPr>
          <w:cantSplit/>
          <w:trHeight w:val="514"/>
          <w:jc w:val="center"/>
        </w:trPr>
        <w:tc>
          <w:tcPr>
            <w:tcW w:w="493" w:type="pct"/>
            <w:vMerge w:val="restart"/>
            <w:tcBorders>
              <w:top w:val="single" w:sz="4" w:space="0" w:color="auto"/>
              <w:bottom w:val="nil"/>
            </w:tcBorders>
            <w:vAlign w:val="center"/>
          </w:tcPr>
          <w:p w14:paraId="1C8F5998"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Study</w:t>
            </w:r>
          </w:p>
          <w:p w14:paraId="426CD1F1" w14:textId="455CD5DB" w:rsidR="00F45092" w:rsidRPr="003D65B7" w:rsidRDefault="00DB3248"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S</w:t>
            </w:r>
            <w:r w:rsidR="00F45092" w:rsidRPr="003D65B7">
              <w:rPr>
                <w:rFonts w:ascii="Arial" w:eastAsiaTheme="minorEastAsia" w:hAnsi="Arial" w:cs="Times New Roman"/>
                <w:b/>
                <w:bCs/>
                <w:snapToGrid w:val="0"/>
                <w:color w:val="000000"/>
                <w:sz w:val="20"/>
                <w:szCs w:val="24"/>
                <w:lang w:eastAsia="ko-KR" w:bidi="en-US"/>
              </w:rPr>
              <w:t>ites</w:t>
            </w:r>
          </w:p>
        </w:tc>
        <w:tc>
          <w:tcPr>
            <w:tcW w:w="424" w:type="pct"/>
            <w:vMerge w:val="restart"/>
            <w:tcBorders>
              <w:top w:val="single" w:sz="4" w:space="0" w:color="auto"/>
              <w:bottom w:val="nil"/>
            </w:tcBorders>
            <w:noWrap/>
            <w:vAlign w:val="center"/>
          </w:tcPr>
          <w:p w14:paraId="63BEED74"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Water</w:t>
            </w:r>
          </w:p>
          <w:p w14:paraId="2EA8725A"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Sample</w:t>
            </w:r>
          </w:p>
        </w:tc>
        <w:tc>
          <w:tcPr>
            <w:tcW w:w="970" w:type="pct"/>
            <w:gridSpan w:val="2"/>
            <w:tcBorders>
              <w:top w:val="single" w:sz="4" w:space="0" w:color="auto"/>
              <w:bottom w:val="nil"/>
            </w:tcBorders>
            <w:vAlign w:val="center"/>
          </w:tcPr>
          <w:p w14:paraId="0F37C02A"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Coliform</w:t>
            </w:r>
          </w:p>
          <w:p w14:paraId="68D3BA16"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(Count×10⁸ CFU/ml)</w:t>
            </w:r>
          </w:p>
        </w:tc>
        <w:tc>
          <w:tcPr>
            <w:tcW w:w="557" w:type="pct"/>
            <w:vMerge w:val="restart"/>
            <w:tcBorders>
              <w:top w:val="single" w:sz="4" w:space="0" w:color="auto"/>
              <w:bottom w:val="nil"/>
            </w:tcBorders>
            <w:vAlign w:val="center"/>
          </w:tcPr>
          <w:p w14:paraId="1D96CBFD" w14:textId="77777777" w:rsidR="00F45092" w:rsidRPr="003D65B7" w:rsidRDefault="00F45092" w:rsidP="00937E04">
            <w:pPr>
              <w:spacing w:line="480" w:lineRule="auto"/>
              <w:ind w:left="113" w:right="113"/>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ANOVA F</w:t>
            </w:r>
          </w:p>
        </w:tc>
        <w:tc>
          <w:tcPr>
            <w:tcW w:w="531" w:type="pct"/>
            <w:vMerge w:val="restart"/>
            <w:tcBorders>
              <w:top w:val="single" w:sz="4" w:space="0" w:color="auto"/>
              <w:bottom w:val="nil"/>
            </w:tcBorders>
            <w:vAlign w:val="center"/>
          </w:tcPr>
          <w:p w14:paraId="3D1C7543" w14:textId="77777777" w:rsidR="00F45092" w:rsidRPr="003D65B7" w:rsidRDefault="00F45092" w:rsidP="00937E04">
            <w:pPr>
              <w:spacing w:line="480" w:lineRule="auto"/>
              <w:ind w:left="113" w:right="113"/>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ANOVA p</w:t>
            </w:r>
          </w:p>
        </w:tc>
        <w:tc>
          <w:tcPr>
            <w:tcW w:w="1124" w:type="pct"/>
            <w:gridSpan w:val="2"/>
            <w:tcBorders>
              <w:top w:val="single" w:sz="4" w:space="0" w:color="auto"/>
              <w:bottom w:val="nil"/>
            </w:tcBorders>
            <w:noWrap/>
            <w:vAlign w:val="center"/>
          </w:tcPr>
          <w:p w14:paraId="07CB68B4" w14:textId="1E9BFF78" w:rsidR="00F45092" w:rsidRPr="003D65B7" w:rsidRDefault="00F70BC1" w:rsidP="00937E04">
            <w:pPr>
              <w:spacing w:line="480" w:lineRule="auto"/>
              <w:ind w:left="113" w:right="113"/>
              <w:jc w:val="both"/>
              <w:rPr>
                <w:rFonts w:ascii="Arial" w:eastAsiaTheme="minorEastAsia" w:hAnsi="Arial" w:cs="Times New Roman"/>
                <w:b/>
                <w:bCs/>
                <w:iCs/>
                <w:snapToGrid w:val="0"/>
                <w:color w:val="000000"/>
                <w:sz w:val="20"/>
                <w:szCs w:val="24"/>
                <w:lang w:eastAsia="ko-KR" w:bidi="en-US"/>
              </w:rPr>
            </w:pPr>
            <w:r w:rsidRPr="003D65B7">
              <w:rPr>
                <w:rFonts w:ascii="Arial" w:eastAsiaTheme="minorEastAsia" w:hAnsi="Arial" w:cs="Times New Roman"/>
                <w:b/>
                <w:bCs/>
                <w:i/>
                <w:iCs/>
                <w:snapToGrid w:val="0"/>
                <w:color w:val="000000"/>
                <w:sz w:val="20"/>
                <w:szCs w:val="24"/>
                <w:lang w:eastAsia="ko-KR" w:bidi="en-US"/>
              </w:rPr>
              <w:t>E. coli</w:t>
            </w:r>
          </w:p>
          <w:p w14:paraId="217C814F" w14:textId="77777777" w:rsidR="00F45092" w:rsidRPr="003D65B7" w:rsidRDefault="00F45092" w:rsidP="00937E04">
            <w:pPr>
              <w:spacing w:line="480" w:lineRule="auto"/>
              <w:ind w:left="113" w:right="113"/>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(Count ×10⁷ CFU/ml)</w:t>
            </w:r>
          </w:p>
        </w:tc>
        <w:tc>
          <w:tcPr>
            <w:tcW w:w="456" w:type="pct"/>
            <w:vMerge w:val="restart"/>
            <w:tcBorders>
              <w:top w:val="single" w:sz="4" w:space="0" w:color="auto"/>
              <w:bottom w:val="single" w:sz="4" w:space="0" w:color="auto"/>
            </w:tcBorders>
            <w:vAlign w:val="center"/>
          </w:tcPr>
          <w:p w14:paraId="407964DA"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ANOVA F</w:t>
            </w:r>
          </w:p>
        </w:tc>
        <w:tc>
          <w:tcPr>
            <w:tcW w:w="446" w:type="pct"/>
            <w:vMerge w:val="restart"/>
            <w:tcBorders>
              <w:top w:val="single" w:sz="4" w:space="0" w:color="auto"/>
              <w:bottom w:val="single" w:sz="4" w:space="0" w:color="auto"/>
            </w:tcBorders>
            <w:vAlign w:val="center"/>
          </w:tcPr>
          <w:p w14:paraId="0C1EDF08"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ANOVA p</w:t>
            </w:r>
          </w:p>
        </w:tc>
      </w:tr>
      <w:tr w:rsidR="00F45092" w:rsidRPr="003D65B7" w14:paraId="051D6ACE" w14:textId="77777777" w:rsidTr="00F36963">
        <w:trPr>
          <w:cantSplit/>
          <w:trHeight w:val="212"/>
          <w:jc w:val="center"/>
        </w:trPr>
        <w:tc>
          <w:tcPr>
            <w:tcW w:w="493" w:type="pct"/>
            <w:vMerge/>
            <w:tcBorders>
              <w:top w:val="nil"/>
              <w:bottom w:val="single" w:sz="4" w:space="0" w:color="auto"/>
            </w:tcBorders>
            <w:vAlign w:val="center"/>
          </w:tcPr>
          <w:p w14:paraId="3100B132" w14:textId="77777777" w:rsidR="00F45092"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vMerge/>
            <w:tcBorders>
              <w:top w:val="nil"/>
              <w:bottom w:val="single" w:sz="4" w:space="0" w:color="auto"/>
            </w:tcBorders>
            <w:noWrap/>
            <w:vAlign w:val="center"/>
            <w:hideMark/>
          </w:tcPr>
          <w:p w14:paraId="029A9100" w14:textId="77777777" w:rsidR="00F45092"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p>
        </w:tc>
        <w:tc>
          <w:tcPr>
            <w:tcW w:w="341" w:type="pct"/>
            <w:tcBorders>
              <w:top w:val="nil"/>
              <w:bottom w:val="single" w:sz="4" w:space="0" w:color="auto"/>
            </w:tcBorders>
            <w:vAlign w:val="center"/>
          </w:tcPr>
          <w:p w14:paraId="7EB96B90"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Count</w:t>
            </w:r>
          </w:p>
        </w:tc>
        <w:tc>
          <w:tcPr>
            <w:tcW w:w="628" w:type="pct"/>
            <w:tcBorders>
              <w:top w:val="nil"/>
              <w:bottom w:val="single" w:sz="4" w:space="0" w:color="auto"/>
            </w:tcBorders>
            <w:vAlign w:val="center"/>
          </w:tcPr>
          <w:p w14:paraId="2A6066DB"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557" w:type="pct"/>
            <w:vMerge/>
            <w:tcBorders>
              <w:top w:val="nil"/>
              <w:bottom w:val="single" w:sz="4" w:space="0" w:color="auto"/>
            </w:tcBorders>
            <w:vAlign w:val="center"/>
          </w:tcPr>
          <w:p w14:paraId="4F56AD8F" w14:textId="0BA5FF1B"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p>
        </w:tc>
        <w:tc>
          <w:tcPr>
            <w:tcW w:w="531" w:type="pct"/>
            <w:vMerge/>
            <w:tcBorders>
              <w:top w:val="nil"/>
              <w:bottom w:val="single" w:sz="4" w:space="0" w:color="auto"/>
            </w:tcBorders>
            <w:vAlign w:val="center"/>
          </w:tcPr>
          <w:p w14:paraId="4B4D2429" w14:textId="4920A2FF"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p>
        </w:tc>
        <w:tc>
          <w:tcPr>
            <w:tcW w:w="495" w:type="pct"/>
            <w:tcBorders>
              <w:top w:val="nil"/>
              <w:bottom w:val="single" w:sz="4" w:space="0" w:color="auto"/>
            </w:tcBorders>
            <w:noWrap/>
            <w:vAlign w:val="center"/>
            <w:hideMark/>
          </w:tcPr>
          <w:p w14:paraId="6971113C"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Count</w:t>
            </w:r>
          </w:p>
        </w:tc>
        <w:tc>
          <w:tcPr>
            <w:tcW w:w="629" w:type="pct"/>
            <w:tcBorders>
              <w:top w:val="nil"/>
              <w:bottom w:val="single" w:sz="4" w:space="0" w:color="auto"/>
            </w:tcBorders>
            <w:vAlign w:val="center"/>
          </w:tcPr>
          <w:p w14:paraId="31AF0A8E" w14:textId="77777777" w:rsidR="00F45092" w:rsidRPr="003D65B7" w:rsidRDefault="00F45092" w:rsidP="00937E04">
            <w:pPr>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456" w:type="pct"/>
            <w:vMerge/>
            <w:tcBorders>
              <w:top w:val="nil"/>
              <w:bottom w:val="single" w:sz="4" w:space="0" w:color="auto"/>
            </w:tcBorders>
          </w:tcPr>
          <w:p w14:paraId="2334C8AC" w14:textId="77777777" w:rsidR="00F45092"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Borders>
              <w:top w:val="nil"/>
              <w:bottom w:val="single" w:sz="4" w:space="0" w:color="auto"/>
            </w:tcBorders>
          </w:tcPr>
          <w:p w14:paraId="3B033538" w14:textId="77777777" w:rsidR="00F45092"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p>
        </w:tc>
      </w:tr>
      <w:tr w:rsidR="000C79B7" w:rsidRPr="003D65B7" w14:paraId="0A4CE218" w14:textId="77777777" w:rsidTr="00F36963">
        <w:trPr>
          <w:trHeight w:val="200"/>
          <w:jc w:val="center"/>
        </w:trPr>
        <w:tc>
          <w:tcPr>
            <w:tcW w:w="493" w:type="pct"/>
            <w:vMerge w:val="restart"/>
            <w:tcBorders>
              <w:top w:val="single" w:sz="4" w:space="0" w:color="auto"/>
            </w:tcBorders>
            <w:vAlign w:val="center"/>
          </w:tcPr>
          <w:p w14:paraId="549722E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bookmarkStart w:id="0" w:name="_Hlk199224305"/>
          </w:p>
          <w:p w14:paraId="4523998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 Feet</w:t>
            </w:r>
          </w:p>
        </w:tc>
        <w:tc>
          <w:tcPr>
            <w:tcW w:w="424" w:type="pct"/>
            <w:tcBorders>
              <w:top w:val="single" w:sz="4" w:space="0" w:color="auto"/>
            </w:tcBorders>
            <w:noWrap/>
            <w:vAlign w:val="center"/>
            <w:hideMark/>
          </w:tcPr>
          <w:p w14:paraId="01C5385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S1R1</w:t>
            </w:r>
          </w:p>
        </w:tc>
        <w:tc>
          <w:tcPr>
            <w:tcW w:w="341" w:type="pct"/>
            <w:tcBorders>
              <w:top w:val="single" w:sz="4" w:space="0" w:color="auto"/>
            </w:tcBorders>
            <w:vAlign w:val="center"/>
          </w:tcPr>
          <w:p w14:paraId="061038B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2.1</w:t>
            </w:r>
          </w:p>
        </w:tc>
        <w:tc>
          <w:tcPr>
            <w:tcW w:w="628" w:type="pct"/>
            <w:vMerge w:val="restart"/>
            <w:tcBorders>
              <w:top w:val="single" w:sz="4" w:space="0" w:color="auto"/>
            </w:tcBorders>
            <w:vAlign w:val="center"/>
          </w:tcPr>
          <w:p w14:paraId="375C20F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2.08 ± 0.12</w:t>
            </w:r>
            <w:r w:rsidRPr="003D65B7">
              <w:rPr>
                <w:rFonts w:ascii="Arial" w:eastAsiaTheme="minorEastAsia" w:hAnsi="Arial" w:cs="Times New Roman"/>
                <w:snapToGrid w:val="0"/>
                <w:color w:val="000000"/>
                <w:sz w:val="20"/>
                <w:szCs w:val="24"/>
                <w:vertAlign w:val="superscript"/>
                <w:lang w:eastAsia="ko-KR" w:bidi="en-US"/>
              </w:rPr>
              <w:t>ab</w:t>
            </w:r>
          </w:p>
        </w:tc>
        <w:tc>
          <w:tcPr>
            <w:tcW w:w="557" w:type="pct"/>
            <w:vMerge w:val="restart"/>
            <w:tcBorders>
              <w:top w:val="single" w:sz="4" w:space="0" w:color="auto"/>
            </w:tcBorders>
            <w:vAlign w:val="center"/>
          </w:tcPr>
          <w:p w14:paraId="646990D1" w14:textId="7A387311" w:rsidR="006B2D23"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4.62</w:t>
            </w:r>
          </w:p>
        </w:tc>
        <w:tc>
          <w:tcPr>
            <w:tcW w:w="531" w:type="pct"/>
            <w:vMerge w:val="restart"/>
            <w:tcBorders>
              <w:top w:val="single" w:sz="4" w:space="0" w:color="auto"/>
            </w:tcBorders>
            <w:vAlign w:val="center"/>
          </w:tcPr>
          <w:p w14:paraId="40E57E76" w14:textId="0419E2E9" w:rsidR="006B2D23" w:rsidRPr="003D65B7" w:rsidRDefault="00F45092"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0.012</w:t>
            </w:r>
          </w:p>
        </w:tc>
        <w:tc>
          <w:tcPr>
            <w:tcW w:w="495" w:type="pct"/>
            <w:tcBorders>
              <w:top w:val="single" w:sz="4" w:space="0" w:color="auto"/>
            </w:tcBorders>
            <w:noWrap/>
            <w:vAlign w:val="center"/>
            <w:hideMark/>
          </w:tcPr>
          <w:p w14:paraId="3F315B3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629" w:type="pct"/>
            <w:vMerge w:val="restart"/>
            <w:tcBorders>
              <w:top w:val="single" w:sz="4" w:space="0" w:color="auto"/>
            </w:tcBorders>
            <w:vAlign w:val="center"/>
          </w:tcPr>
          <w:p w14:paraId="638551D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5.75 ± 0.22</w:t>
            </w:r>
            <w:r w:rsidRPr="003D65B7">
              <w:rPr>
                <w:rFonts w:ascii="Arial" w:eastAsiaTheme="minorEastAsia" w:hAnsi="Arial" w:cs="Times New Roman"/>
                <w:snapToGrid w:val="0"/>
                <w:color w:val="000000"/>
                <w:sz w:val="20"/>
                <w:szCs w:val="24"/>
                <w:vertAlign w:val="superscript"/>
                <w:lang w:eastAsia="ko-KR" w:bidi="en-US"/>
              </w:rPr>
              <w:t>ab</w:t>
            </w:r>
          </w:p>
        </w:tc>
        <w:tc>
          <w:tcPr>
            <w:tcW w:w="456" w:type="pct"/>
            <w:vMerge w:val="restart"/>
            <w:tcBorders>
              <w:top w:val="single" w:sz="4" w:space="0" w:color="auto"/>
            </w:tcBorders>
            <w:vAlign w:val="center"/>
          </w:tcPr>
          <w:p w14:paraId="0CA10DB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3.33</w:t>
            </w:r>
          </w:p>
        </w:tc>
        <w:tc>
          <w:tcPr>
            <w:tcW w:w="446" w:type="pct"/>
            <w:vMerge w:val="restart"/>
            <w:tcBorders>
              <w:top w:val="single" w:sz="4" w:space="0" w:color="auto"/>
            </w:tcBorders>
            <w:vAlign w:val="center"/>
          </w:tcPr>
          <w:p w14:paraId="19987F0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0.043</w:t>
            </w:r>
          </w:p>
        </w:tc>
      </w:tr>
      <w:tr w:rsidR="00F45092" w:rsidRPr="003D65B7" w14:paraId="291B5770" w14:textId="77777777" w:rsidTr="00F36963">
        <w:trPr>
          <w:trHeight w:val="200"/>
          <w:jc w:val="center"/>
        </w:trPr>
        <w:tc>
          <w:tcPr>
            <w:tcW w:w="493" w:type="pct"/>
            <w:vMerge/>
            <w:vAlign w:val="center"/>
          </w:tcPr>
          <w:p w14:paraId="428A63F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522921B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S1R2</w:t>
            </w:r>
          </w:p>
        </w:tc>
        <w:tc>
          <w:tcPr>
            <w:tcW w:w="341" w:type="pct"/>
            <w:vAlign w:val="center"/>
          </w:tcPr>
          <w:p w14:paraId="0EFF4B6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1.9</w:t>
            </w:r>
          </w:p>
        </w:tc>
        <w:tc>
          <w:tcPr>
            <w:tcW w:w="628" w:type="pct"/>
            <w:vMerge/>
            <w:vAlign w:val="center"/>
          </w:tcPr>
          <w:p w14:paraId="72FCE47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6AD69E7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4689722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1EDFE7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5.6</w:t>
            </w:r>
          </w:p>
        </w:tc>
        <w:tc>
          <w:tcPr>
            <w:tcW w:w="629" w:type="pct"/>
            <w:vMerge/>
            <w:vAlign w:val="center"/>
          </w:tcPr>
          <w:p w14:paraId="4247039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3961060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5A311C6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3CDF76FD" w14:textId="77777777" w:rsidTr="00F36963">
        <w:trPr>
          <w:trHeight w:val="200"/>
          <w:jc w:val="center"/>
        </w:trPr>
        <w:tc>
          <w:tcPr>
            <w:tcW w:w="493" w:type="pct"/>
            <w:vMerge/>
            <w:vAlign w:val="center"/>
          </w:tcPr>
          <w:p w14:paraId="18F62A1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36BAB73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S1R3</w:t>
            </w:r>
          </w:p>
        </w:tc>
        <w:tc>
          <w:tcPr>
            <w:tcW w:w="341" w:type="pct"/>
            <w:vAlign w:val="center"/>
          </w:tcPr>
          <w:p w14:paraId="3413653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2.4</w:t>
            </w:r>
          </w:p>
        </w:tc>
        <w:tc>
          <w:tcPr>
            <w:tcW w:w="628" w:type="pct"/>
            <w:vMerge/>
            <w:vAlign w:val="center"/>
          </w:tcPr>
          <w:p w14:paraId="671DC2B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7BC3F65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27CE5E3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3301528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w:t>
            </w:r>
          </w:p>
        </w:tc>
        <w:tc>
          <w:tcPr>
            <w:tcW w:w="629" w:type="pct"/>
            <w:vMerge/>
            <w:vAlign w:val="center"/>
          </w:tcPr>
          <w:p w14:paraId="54C6CF4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6A0A4A9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27DBF8A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53F873B0" w14:textId="77777777" w:rsidTr="00F36963">
        <w:trPr>
          <w:trHeight w:val="200"/>
          <w:jc w:val="center"/>
        </w:trPr>
        <w:tc>
          <w:tcPr>
            <w:tcW w:w="493" w:type="pct"/>
            <w:vMerge/>
            <w:vAlign w:val="center"/>
          </w:tcPr>
          <w:p w14:paraId="63E48A9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51A5DC6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S1R4</w:t>
            </w:r>
          </w:p>
        </w:tc>
        <w:tc>
          <w:tcPr>
            <w:tcW w:w="341" w:type="pct"/>
            <w:vAlign w:val="center"/>
          </w:tcPr>
          <w:p w14:paraId="63047C6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1.9</w:t>
            </w:r>
          </w:p>
        </w:tc>
        <w:tc>
          <w:tcPr>
            <w:tcW w:w="628" w:type="pct"/>
            <w:vMerge/>
            <w:vAlign w:val="center"/>
          </w:tcPr>
          <w:p w14:paraId="3E2595B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42ECA76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0BDFF1A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946E44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5.2</w:t>
            </w:r>
          </w:p>
        </w:tc>
        <w:tc>
          <w:tcPr>
            <w:tcW w:w="629" w:type="pct"/>
            <w:vMerge/>
            <w:vAlign w:val="center"/>
          </w:tcPr>
          <w:p w14:paraId="1FAFF8E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3CED1EA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6FBD808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3BD15C5A" w14:textId="77777777" w:rsidTr="00F36963">
        <w:trPr>
          <w:trHeight w:val="230"/>
          <w:jc w:val="center"/>
        </w:trPr>
        <w:tc>
          <w:tcPr>
            <w:tcW w:w="493" w:type="pct"/>
            <w:vMerge w:val="restart"/>
            <w:vAlign w:val="center"/>
          </w:tcPr>
          <w:p w14:paraId="7D7B0D1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p w14:paraId="74B10EC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Mirpur-1</w:t>
            </w:r>
          </w:p>
        </w:tc>
        <w:tc>
          <w:tcPr>
            <w:tcW w:w="424" w:type="pct"/>
            <w:noWrap/>
            <w:vAlign w:val="center"/>
            <w:hideMark/>
          </w:tcPr>
          <w:p w14:paraId="478FEA5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S2R1</w:t>
            </w:r>
          </w:p>
        </w:tc>
        <w:tc>
          <w:tcPr>
            <w:tcW w:w="341" w:type="pct"/>
            <w:vAlign w:val="center"/>
          </w:tcPr>
          <w:p w14:paraId="771DD88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3.0</w:t>
            </w:r>
          </w:p>
        </w:tc>
        <w:tc>
          <w:tcPr>
            <w:tcW w:w="628" w:type="pct"/>
            <w:vMerge w:val="restart"/>
            <w:vAlign w:val="center"/>
          </w:tcPr>
          <w:p w14:paraId="4F09AE5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2.64 ± 0.20</w:t>
            </w:r>
            <w:r w:rsidRPr="003D65B7">
              <w:rPr>
                <w:rFonts w:ascii="Arial" w:eastAsiaTheme="minorEastAsia" w:hAnsi="Arial" w:cs="Times New Roman"/>
                <w:snapToGrid w:val="0"/>
                <w:color w:val="000000"/>
                <w:sz w:val="20"/>
                <w:szCs w:val="24"/>
                <w:vertAlign w:val="superscript"/>
                <w:lang w:eastAsia="ko-KR" w:bidi="en-US"/>
              </w:rPr>
              <w:t>a</w:t>
            </w:r>
          </w:p>
        </w:tc>
        <w:tc>
          <w:tcPr>
            <w:tcW w:w="557" w:type="pct"/>
            <w:vMerge/>
          </w:tcPr>
          <w:p w14:paraId="4171B85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42B9A3B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66C99F1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7.6</w:t>
            </w:r>
          </w:p>
        </w:tc>
        <w:tc>
          <w:tcPr>
            <w:tcW w:w="629" w:type="pct"/>
            <w:vMerge w:val="restart"/>
            <w:vAlign w:val="center"/>
          </w:tcPr>
          <w:p w14:paraId="5FE8C40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7.05 ± 0.38</w:t>
            </w:r>
            <w:r w:rsidRPr="003D65B7">
              <w:rPr>
                <w:rFonts w:ascii="Arial" w:eastAsiaTheme="minorEastAsia" w:hAnsi="Arial" w:cs="Times New Roman"/>
                <w:snapToGrid w:val="0"/>
                <w:color w:val="000000"/>
                <w:sz w:val="20"/>
                <w:szCs w:val="24"/>
                <w:vertAlign w:val="superscript"/>
                <w:lang w:eastAsia="ko-KR" w:bidi="en-US"/>
              </w:rPr>
              <w:t>a</w:t>
            </w:r>
          </w:p>
        </w:tc>
        <w:tc>
          <w:tcPr>
            <w:tcW w:w="456" w:type="pct"/>
            <w:vMerge/>
          </w:tcPr>
          <w:p w14:paraId="7FB5A48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767684C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5F7BA43F" w14:textId="77777777" w:rsidTr="00F36963">
        <w:trPr>
          <w:trHeight w:val="200"/>
          <w:jc w:val="center"/>
        </w:trPr>
        <w:tc>
          <w:tcPr>
            <w:tcW w:w="493" w:type="pct"/>
            <w:vMerge/>
            <w:vAlign w:val="center"/>
          </w:tcPr>
          <w:p w14:paraId="69D0C53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92B4EC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S2R2</w:t>
            </w:r>
          </w:p>
        </w:tc>
        <w:tc>
          <w:tcPr>
            <w:tcW w:w="341" w:type="pct"/>
            <w:vAlign w:val="center"/>
          </w:tcPr>
          <w:p w14:paraId="5D7A538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2.94</w:t>
            </w:r>
          </w:p>
        </w:tc>
        <w:tc>
          <w:tcPr>
            <w:tcW w:w="628" w:type="pct"/>
            <w:vMerge/>
            <w:vAlign w:val="center"/>
          </w:tcPr>
          <w:p w14:paraId="38E2579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5E4688D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52FC127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B5D5D3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7.0</w:t>
            </w:r>
          </w:p>
        </w:tc>
        <w:tc>
          <w:tcPr>
            <w:tcW w:w="629" w:type="pct"/>
            <w:vMerge/>
            <w:vAlign w:val="center"/>
          </w:tcPr>
          <w:p w14:paraId="37CCBAE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442A054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B1A6AB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09CBA26E" w14:textId="77777777" w:rsidTr="00F36963">
        <w:trPr>
          <w:trHeight w:val="200"/>
          <w:jc w:val="center"/>
        </w:trPr>
        <w:tc>
          <w:tcPr>
            <w:tcW w:w="493" w:type="pct"/>
            <w:vMerge/>
            <w:vAlign w:val="center"/>
          </w:tcPr>
          <w:p w14:paraId="2558FB9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61B8057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S2R3</w:t>
            </w:r>
          </w:p>
        </w:tc>
        <w:tc>
          <w:tcPr>
            <w:tcW w:w="341" w:type="pct"/>
            <w:vAlign w:val="center"/>
          </w:tcPr>
          <w:p w14:paraId="6BB5FED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2.4</w:t>
            </w:r>
          </w:p>
        </w:tc>
        <w:tc>
          <w:tcPr>
            <w:tcW w:w="628" w:type="pct"/>
            <w:vMerge/>
            <w:vAlign w:val="center"/>
          </w:tcPr>
          <w:p w14:paraId="3FFD834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7BA2DFA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326C3E0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7D954DC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w:t>
            </w:r>
          </w:p>
        </w:tc>
        <w:tc>
          <w:tcPr>
            <w:tcW w:w="629" w:type="pct"/>
            <w:vMerge/>
            <w:vAlign w:val="center"/>
          </w:tcPr>
          <w:p w14:paraId="63D5384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05DC371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6C3A0B2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6579FECA" w14:textId="77777777" w:rsidTr="00F36963">
        <w:trPr>
          <w:trHeight w:val="200"/>
          <w:jc w:val="center"/>
        </w:trPr>
        <w:tc>
          <w:tcPr>
            <w:tcW w:w="493" w:type="pct"/>
            <w:vMerge/>
            <w:vAlign w:val="center"/>
          </w:tcPr>
          <w:p w14:paraId="64230AC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2F619D0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S2R4</w:t>
            </w:r>
          </w:p>
        </w:tc>
        <w:tc>
          <w:tcPr>
            <w:tcW w:w="341" w:type="pct"/>
            <w:vAlign w:val="center"/>
          </w:tcPr>
          <w:p w14:paraId="4ED217D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2.2</w:t>
            </w:r>
          </w:p>
        </w:tc>
        <w:tc>
          <w:tcPr>
            <w:tcW w:w="628" w:type="pct"/>
            <w:vMerge/>
            <w:vAlign w:val="center"/>
          </w:tcPr>
          <w:p w14:paraId="6CE98E6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570A37C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3E0AA61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399256D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7.6</w:t>
            </w:r>
          </w:p>
        </w:tc>
        <w:tc>
          <w:tcPr>
            <w:tcW w:w="629" w:type="pct"/>
            <w:vMerge/>
            <w:vAlign w:val="center"/>
          </w:tcPr>
          <w:p w14:paraId="3E1A161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09CEAC6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58B9A84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6BF410D5" w14:textId="77777777" w:rsidTr="00F36963">
        <w:trPr>
          <w:trHeight w:val="200"/>
          <w:jc w:val="center"/>
        </w:trPr>
        <w:tc>
          <w:tcPr>
            <w:tcW w:w="493" w:type="pct"/>
            <w:vMerge w:val="restart"/>
            <w:vAlign w:val="center"/>
          </w:tcPr>
          <w:p w14:paraId="1430786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p w14:paraId="2287EC4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Mirpur-2</w:t>
            </w:r>
          </w:p>
        </w:tc>
        <w:tc>
          <w:tcPr>
            <w:tcW w:w="424" w:type="pct"/>
            <w:noWrap/>
            <w:vAlign w:val="center"/>
            <w:hideMark/>
          </w:tcPr>
          <w:p w14:paraId="537FFFA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S3R1</w:t>
            </w:r>
          </w:p>
        </w:tc>
        <w:tc>
          <w:tcPr>
            <w:tcW w:w="341" w:type="pct"/>
            <w:vAlign w:val="center"/>
          </w:tcPr>
          <w:p w14:paraId="707EF19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w:t>
            </w:r>
          </w:p>
        </w:tc>
        <w:tc>
          <w:tcPr>
            <w:tcW w:w="628" w:type="pct"/>
            <w:vMerge w:val="restart"/>
            <w:vAlign w:val="center"/>
          </w:tcPr>
          <w:p w14:paraId="51083FB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1.83 ± 0.13</w:t>
            </w:r>
            <w:r w:rsidRPr="003D65B7">
              <w:rPr>
                <w:rFonts w:ascii="Arial" w:eastAsiaTheme="minorEastAsia" w:hAnsi="Arial" w:cs="Times New Roman"/>
                <w:snapToGrid w:val="0"/>
                <w:color w:val="000000"/>
                <w:sz w:val="20"/>
                <w:szCs w:val="24"/>
                <w:vertAlign w:val="superscript"/>
                <w:lang w:eastAsia="ko-KR" w:bidi="en-US"/>
              </w:rPr>
              <w:t>b</w:t>
            </w:r>
          </w:p>
        </w:tc>
        <w:tc>
          <w:tcPr>
            <w:tcW w:w="557" w:type="pct"/>
            <w:vMerge/>
          </w:tcPr>
          <w:p w14:paraId="44806EE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0E2B423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C98684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7.2</w:t>
            </w:r>
          </w:p>
        </w:tc>
        <w:tc>
          <w:tcPr>
            <w:tcW w:w="629" w:type="pct"/>
            <w:vMerge w:val="restart"/>
            <w:vAlign w:val="center"/>
          </w:tcPr>
          <w:p w14:paraId="6DE5A1B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6.50 ± 0.25</w:t>
            </w:r>
            <w:r w:rsidRPr="003D65B7">
              <w:rPr>
                <w:rFonts w:ascii="Arial" w:eastAsiaTheme="minorEastAsia" w:hAnsi="Arial" w:cs="Times New Roman"/>
                <w:snapToGrid w:val="0"/>
                <w:color w:val="000000"/>
                <w:sz w:val="20"/>
                <w:szCs w:val="24"/>
                <w:vertAlign w:val="superscript"/>
                <w:lang w:eastAsia="ko-KR" w:bidi="en-US"/>
              </w:rPr>
              <w:t>ab</w:t>
            </w:r>
          </w:p>
        </w:tc>
        <w:tc>
          <w:tcPr>
            <w:tcW w:w="456" w:type="pct"/>
            <w:vMerge/>
          </w:tcPr>
          <w:p w14:paraId="1D79EA9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69292EC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5C2ED551" w14:textId="77777777" w:rsidTr="00F36963">
        <w:trPr>
          <w:trHeight w:val="200"/>
          <w:jc w:val="center"/>
        </w:trPr>
        <w:tc>
          <w:tcPr>
            <w:tcW w:w="493" w:type="pct"/>
            <w:vMerge/>
            <w:vAlign w:val="center"/>
          </w:tcPr>
          <w:p w14:paraId="0D36B05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617E84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S3R2</w:t>
            </w:r>
          </w:p>
        </w:tc>
        <w:tc>
          <w:tcPr>
            <w:tcW w:w="341" w:type="pct"/>
            <w:vAlign w:val="center"/>
          </w:tcPr>
          <w:p w14:paraId="5E36AA2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1.7</w:t>
            </w:r>
          </w:p>
        </w:tc>
        <w:tc>
          <w:tcPr>
            <w:tcW w:w="628" w:type="pct"/>
            <w:vMerge/>
            <w:vAlign w:val="center"/>
          </w:tcPr>
          <w:p w14:paraId="7229B8F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45AA853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39C4AD8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4940D54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w:t>
            </w:r>
          </w:p>
        </w:tc>
        <w:tc>
          <w:tcPr>
            <w:tcW w:w="629" w:type="pct"/>
            <w:vMerge/>
            <w:vAlign w:val="center"/>
          </w:tcPr>
          <w:p w14:paraId="5742CD1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38C31CC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303429A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0990AB16" w14:textId="77777777" w:rsidTr="00F36963">
        <w:trPr>
          <w:trHeight w:val="200"/>
          <w:jc w:val="center"/>
        </w:trPr>
        <w:tc>
          <w:tcPr>
            <w:tcW w:w="493" w:type="pct"/>
            <w:vMerge/>
            <w:vAlign w:val="center"/>
          </w:tcPr>
          <w:p w14:paraId="0BBA629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865E0E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S3R3</w:t>
            </w:r>
          </w:p>
        </w:tc>
        <w:tc>
          <w:tcPr>
            <w:tcW w:w="341" w:type="pct"/>
            <w:vAlign w:val="center"/>
          </w:tcPr>
          <w:p w14:paraId="4770C1E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2.2</w:t>
            </w:r>
          </w:p>
        </w:tc>
        <w:tc>
          <w:tcPr>
            <w:tcW w:w="628" w:type="pct"/>
            <w:vMerge/>
            <w:vAlign w:val="center"/>
          </w:tcPr>
          <w:p w14:paraId="4BCC5EB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7A596B9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5382528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49A505D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629" w:type="pct"/>
            <w:vMerge/>
            <w:vAlign w:val="center"/>
          </w:tcPr>
          <w:p w14:paraId="5ADE128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14797D7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3CF0F7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6996617F" w14:textId="77777777" w:rsidTr="00F36963">
        <w:trPr>
          <w:trHeight w:val="200"/>
          <w:jc w:val="center"/>
        </w:trPr>
        <w:tc>
          <w:tcPr>
            <w:tcW w:w="493" w:type="pct"/>
            <w:vMerge/>
            <w:vAlign w:val="center"/>
          </w:tcPr>
          <w:p w14:paraId="0E002B9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3794BCA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S3R4</w:t>
            </w:r>
          </w:p>
        </w:tc>
        <w:tc>
          <w:tcPr>
            <w:tcW w:w="341" w:type="pct"/>
            <w:vAlign w:val="center"/>
          </w:tcPr>
          <w:p w14:paraId="601573F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1.8</w:t>
            </w:r>
          </w:p>
        </w:tc>
        <w:tc>
          <w:tcPr>
            <w:tcW w:w="628" w:type="pct"/>
            <w:vMerge/>
            <w:vAlign w:val="center"/>
          </w:tcPr>
          <w:p w14:paraId="320E676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6DA2B03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155006B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3A1EDD1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629" w:type="pct"/>
            <w:vMerge/>
            <w:vAlign w:val="center"/>
          </w:tcPr>
          <w:p w14:paraId="4D13CAA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0B52AE6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7DF98CA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0CF7EE5F" w14:textId="77777777" w:rsidTr="00F36963">
        <w:trPr>
          <w:trHeight w:val="200"/>
          <w:jc w:val="center"/>
        </w:trPr>
        <w:tc>
          <w:tcPr>
            <w:tcW w:w="493" w:type="pct"/>
            <w:vMerge w:val="restart"/>
            <w:vAlign w:val="center"/>
          </w:tcPr>
          <w:p w14:paraId="49273C3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p w14:paraId="013D3C0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Kalshi</w:t>
            </w:r>
          </w:p>
        </w:tc>
        <w:tc>
          <w:tcPr>
            <w:tcW w:w="424" w:type="pct"/>
            <w:noWrap/>
            <w:vAlign w:val="center"/>
            <w:hideMark/>
          </w:tcPr>
          <w:p w14:paraId="2535C28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S4R1</w:t>
            </w:r>
          </w:p>
        </w:tc>
        <w:tc>
          <w:tcPr>
            <w:tcW w:w="341" w:type="pct"/>
            <w:vAlign w:val="center"/>
          </w:tcPr>
          <w:p w14:paraId="1A74559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1.94</w:t>
            </w:r>
          </w:p>
        </w:tc>
        <w:tc>
          <w:tcPr>
            <w:tcW w:w="628" w:type="pct"/>
            <w:vMerge w:val="restart"/>
            <w:vAlign w:val="center"/>
          </w:tcPr>
          <w:p w14:paraId="7C03543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2.26 ± 0.25</w:t>
            </w:r>
            <w:r w:rsidRPr="003D65B7">
              <w:rPr>
                <w:rFonts w:ascii="Arial" w:eastAsiaTheme="minorEastAsia" w:hAnsi="Arial" w:cs="Times New Roman"/>
                <w:snapToGrid w:val="0"/>
                <w:color w:val="000000"/>
                <w:sz w:val="20"/>
                <w:szCs w:val="24"/>
                <w:vertAlign w:val="superscript"/>
                <w:lang w:eastAsia="ko-KR" w:bidi="en-US"/>
              </w:rPr>
              <w:t>ab</w:t>
            </w:r>
          </w:p>
        </w:tc>
        <w:tc>
          <w:tcPr>
            <w:tcW w:w="557" w:type="pct"/>
            <w:vMerge/>
          </w:tcPr>
          <w:p w14:paraId="26C2641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0A87692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07D9D4F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629" w:type="pct"/>
            <w:vMerge w:val="restart"/>
            <w:vAlign w:val="center"/>
          </w:tcPr>
          <w:p w14:paraId="4ACC9CE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6.05 ± 0.17</w:t>
            </w:r>
            <w:r w:rsidRPr="003D65B7">
              <w:rPr>
                <w:rFonts w:ascii="Arial" w:eastAsiaTheme="minorEastAsia" w:hAnsi="Arial" w:cs="Times New Roman"/>
                <w:snapToGrid w:val="0"/>
                <w:color w:val="000000"/>
                <w:sz w:val="20"/>
                <w:szCs w:val="24"/>
                <w:vertAlign w:val="superscript"/>
                <w:lang w:eastAsia="ko-KR" w:bidi="en-US"/>
              </w:rPr>
              <w:t>ab</w:t>
            </w:r>
          </w:p>
        </w:tc>
        <w:tc>
          <w:tcPr>
            <w:tcW w:w="456" w:type="pct"/>
            <w:vMerge/>
          </w:tcPr>
          <w:p w14:paraId="26ABAC6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2301892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2FC54F0D" w14:textId="77777777" w:rsidTr="00F36963">
        <w:trPr>
          <w:trHeight w:val="200"/>
          <w:jc w:val="center"/>
        </w:trPr>
        <w:tc>
          <w:tcPr>
            <w:tcW w:w="493" w:type="pct"/>
            <w:vMerge/>
            <w:vAlign w:val="center"/>
          </w:tcPr>
          <w:p w14:paraId="1E806B6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3FA4634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S4R2</w:t>
            </w:r>
          </w:p>
        </w:tc>
        <w:tc>
          <w:tcPr>
            <w:tcW w:w="341" w:type="pct"/>
            <w:vAlign w:val="center"/>
          </w:tcPr>
          <w:p w14:paraId="208131A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3.0</w:t>
            </w:r>
          </w:p>
        </w:tc>
        <w:tc>
          <w:tcPr>
            <w:tcW w:w="628" w:type="pct"/>
            <w:vMerge/>
            <w:vAlign w:val="center"/>
          </w:tcPr>
          <w:p w14:paraId="175A702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038CEFD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50D8FD7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F81991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w:t>
            </w:r>
          </w:p>
        </w:tc>
        <w:tc>
          <w:tcPr>
            <w:tcW w:w="629" w:type="pct"/>
            <w:vMerge/>
            <w:vAlign w:val="center"/>
          </w:tcPr>
          <w:p w14:paraId="19DA40A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64EE01F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9CEDB7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5D6F37DD" w14:textId="77777777" w:rsidTr="00F36963">
        <w:trPr>
          <w:trHeight w:val="200"/>
          <w:jc w:val="center"/>
        </w:trPr>
        <w:tc>
          <w:tcPr>
            <w:tcW w:w="493" w:type="pct"/>
            <w:vMerge/>
            <w:vAlign w:val="center"/>
          </w:tcPr>
          <w:p w14:paraId="3F7666C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3C5113C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S4R3</w:t>
            </w:r>
          </w:p>
        </w:tc>
        <w:tc>
          <w:tcPr>
            <w:tcW w:w="341" w:type="pct"/>
            <w:vAlign w:val="center"/>
          </w:tcPr>
          <w:p w14:paraId="0D711B21"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2.0</w:t>
            </w:r>
          </w:p>
        </w:tc>
        <w:tc>
          <w:tcPr>
            <w:tcW w:w="628" w:type="pct"/>
            <w:vMerge/>
            <w:vAlign w:val="center"/>
          </w:tcPr>
          <w:p w14:paraId="472A864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456EEC1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4B654B4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08060A3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5.6</w:t>
            </w:r>
          </w:p>
        </w:tc>
        <w:tc>
          <w:tcPr>
            <w:tcW w:w="629" w:type="pct"/>
            <w:vMerge/>
            <w:vAlign w:val="center"/>
          </w:tcPr>
          <w:p w14:paraId="6AC17EA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1C255EE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60B6BCA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169E1AFA" w14:textId="77777777" w:rsidTr="00F36963">
        <w:trPr>
          <w:trHeight w:val="200"/>
          <w:jc w:val="center"/>
        </w:trPr>
        <w:tc>
          <w:tcPr>
            <w:tcW w:w="493" w:type="pct"/>
            <w:vMerge/>
            <w:vAlign w:val="center"/>
          </w:tcPr>
          <w:p w14:paraId="0EBF0F27"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52B4F3E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S4R4</w:t>
            </w:r>
          </w:p>
        </w:tc>
        <w:tc>
          <w:tcPr>
            <w:tcW w:w="341" w:type="pct"/>
            <w:vAlign w:val="center"/>
          </w:tcPr>
          <w:p w14:paraId="02FEC41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2.1</w:t>
            </w:r>
          </w:p>
        </w:tc>
        <w:tc>
          <w:tcPr>
            <w:tcW w:w="628" w:type="pct"/>
            <w:vMerge/>
            <w:vAlign w:val="center"/>
          </w:tcPr>
          <w:p w14:paraId="02B6271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21054FD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63D45FA3"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6565CA6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629" w:type="pct"/>
            <w:vMerge/>
            <w:vAlign w:val="center"/>
          </w:tcPr>
          <w:p w14:paraId="0D13AC1D"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46BE995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90CAEE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493BDCC2" w14:textId="77777777" w:rsidTr="00F36963">
        <w:trPr>
          <w:trHeight w:val="200"/>
          <w:jc w:val="center"/>
        </w:trPr>
        <w:tc>
          <w:tcPr>
            <w:tcW w:w="493" w:type="pct"/>
            <w:vMerge w:val="restart"/>
            <w:vAlign w:val="center"/>
          </w:tcPr>
          <w:p w14:paraId="4A7D9A7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lastRenderedPageBreak/>
              <w:t>SAU</w:t>
            </w:r>
          </w:p>
          <w:p w14:paraId="4F9CE46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Campus</w:t>
            </w:r>
          </w:p>
        </w:tc>
        <w:tc>
          <w:tcPr>
            <w:tcW w:w="424" w:type="pct"/>
            <w:noWrap/>
            <w:vAlign w:val="center"/>
            <w:hideMark/>
          </w:tcPr>
          <w:p w14:paraId="50F2732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S5R1</w:t>
            </w:r>
          </w:p>
        </w:tc>
        <w:tc>
          <w:tcPr>
            <w:tcW w:w="341" w:type="pct"/>
            <w:vAlign w:val="center"/>
          </w:tcPr>
          <w:p w14:paraId="0039243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1.94</w:t>
            </w:r>
          </w:p>
        </w:tc>
        <w:tc>
          <w:tcPr>
            <w:tcW w:w="628" w:type="pct"/>
            <w:vMerge w:val="restart"/>
            <w:vAlign w:val="center"/>
          </w:tcPr>
          <w:p w14:paraId="2B2F4BE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1.74 ± 0.09</w:t>
            </w:r>
            <w:r w:rsidRPr="003D65B7">
              <w:rPr>
                <w:rFonts w:ascii="Arial" w:eastAsiaTheme="minorEastAsia" w:hAnsi="Arial" w:cs="Times New Roman"/>
                <w:snapToGrid w:val="0"/>
                <w:color w:val="000000"/>
                <w:sz w:val="20"/>
                <w:szCs w:val="24"/>
                <w:vertAlign w:val="superscript"/>
                <w:lang w:eastAsia="ko-KR" w:bidi="en-US"/>
              </w:rPr>
              <w:t>b</w:t>
            </w:r>
          </w:p>
        </w:tc>
        <w:tc>
          <w:tcPr>
            <w:tcW w:w="557" w:type="pct"/>
            <w:vMerge/>
          </w:tcPr>
          <w:p w14:paraId="507F319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3A9F165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042924A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6.6</w:t>
            </w:r>
          </w:p>
        </w:tc>
        <w:tc>
          <w:tcPr>
            <w:tcW w:w="629" w:type="pct"/>
            <w:vMerge w:val="restart"/>
            <w:vAlign w:val="center"/>
          </w:tcPr>
          <w:p w14:paraId="3970101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5.50 ± 0.45</w:t>
            </w:r>
            <w:r w:rsidRPr="003D65B7">
              <w:rPr>
                <w:rFonts w:ascii="Arial" w:eastAsiaTheme="minorEastAsia" w:hAnsi="Arial" w:cs="Times New Roman"/>
                <w:snapToGrid w:val="0"/>
                <w:color w:val="000000"/>
                <w:sz w:val="20"/>
                <w:szCs w:val="24"/>
                <w:vertAlign w:val="superscript"/>
                <w:lang w:eastAsia="ko-KR" w:bidi="en-US"/>
              </w:rPr>
              <w:t>b</w:t>
            </w:r>
          </w:p>
        </w:tc>
        <w:tc>
          <w:tcPr>
            <w:tcW w:w="456" w:type="pct"/>
            <w:vMerge/>
          </w:tcPr>
          <w:p w14:paraId="1B25C14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275B8B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213A7A98" w14:textId="77777777" w:rsidTr="00F36963">
        <w:trPr>
          <w:trHeight w:val="200"/>
          <w:jc w:val="center"/>
        </w:trPr>
        <w:tc>
          <w:tcPr>
            <w:tcW w:w="493" w:type="pct"/>
            <w:vMerge/>
            <w:vAlign w:val="center"/>
          </w:tcPr>
          <w:p w14:paraId="1890D2A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6ECF6E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S5R2</w:t>
            </w:r>
          </w:p>
        </w:tc>
        <w:tc>
          <w:tcPr>
            <w:tcW w:w="341" w:type="pct"/>
            <w:vAlign w:val="center"/>
          </w:tcPr>
          <w:p w14:paraId="4BC9C1C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w:t>
            </w:r>
          </w:p>
        </w:tc>
        <w:tc>
          <w:tcPr>
            <w:tcW w:w="628" w:type="pct"/>
            <w:vMerge/>
            <w:vAlign w:val="center"/>
          </w:tcPr>
          <w:p w14:paraId="161BEDC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487D8FC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1401D71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25A5EC6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5.6</w:t>
            </w:r>
          </w:p>
        </w:tc>
        <w:tc>
          <w:tcPr>
            <w:tcW w:w="629" w:type="pct"/>
            <w:vMerge/>
            <w:vAlign w:val="center"/>
          </w:tcPr>
          <w:p w14:paraId="696B94E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5F3BEEBB"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1942581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2ED160EA" w14:textId="77777777" w:rsidTr="00F36963">
        <w:trPr>
          <w:trHeight w:val="200"/>
          <w:jc w:val="center"/>
        </w:trPr>
        <w:tc>
          <w:tcPr>
            <w:tcW w:w="493" w:type="pct"/>
            <w:vMerge/>
            <w:vAlign w:val="center"/>
          </w:tcPr>
          <w:p w14:paraId="5B7DE5F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7EB4EC2"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S5R3</w:t>
            </w:r>
          </w:p>
        </w:tc>
        <w:tc>
          <w:tcPr>
            <w:tcW w:w="341" w:type="pct"/>
            <w:vAlign w:val="center"/>
          </w:tcPr>
          <w:p w14:paraId="693913C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1.7</w:t>
            </w:r>
          </w:p>
        </w:tc>
        <w:tc>
          <w:tcPr>
            <w:tcW w:w="628" w:type="pct"/>
            <w:vMerge/>
            <w:vAlign w:val="center"/>
          </w:tcPr>
          <w:p w14:paraId="4DB8DF69"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485F8D5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14BF4144"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083799A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5.4</w:t>
            </w:r>
          </w:p>
        </w:tc>
        <w:tc>
          <w:tcPr>
            <w:tcW w:w="629" w:type="pct"/>
            <w:vMerge/>
            <w:vAlign w:val="center"/>
          </w:tcPr>
          <w:p w14:paraId="580F891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670B323C"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339323CE"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r w:rsidR="00F45092" w:rsidRPr="003D65B7" w14:paraId="4C01AB50" w14:textId="77777777" w:rsidTr="00F36963">
        <w:trPr>
          <w:trHeight w:val="200"/>
          <w:jc w:val="center"/>
        </w:trPr>
        <w:tc>
          <w:tcPr>
            <w:tcW w:w="493" w:type="pct"/>
            <w:vMerge/>
            <w:vAlign w:val="center"/>
          </w:tcPr>
          <w:p w14:paraId="317FCAF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24" w:type="pct"/>
            <w:noWrap/>
            <w:vAlign w:val="center"/>
            <w:hideMark/>
          </w:tcPr>
          <w:p w14:paraId="0E9B7840"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S5R4</w:t>
            </w:r>
          </w:p>
        </w:tc>
        <w:tc>
          <w:tcPr>
            <w:tcW w:w="341" w:type="pct"/>
            <w:vAlign w:val="center"/>
          </w:tcPr>
          <w:p w14:paraId="7D60DA08"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1.8</w:t>
            </w:r>
          </w:p>
        </w:tc>
        <w:tc>
          <w:tcPr>
            <w:tcW w:w="628" w:type="pct"/>
            <w:vMerge/>
            <w:vAlign w:val="center"/>
          </w:tcPr>
          <w:p w14:paraId="07995A3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57" w:type="pct"/>
            <w:vMerge/>
          </w:tcPr>
          <w:p w14:paraId="2127E7BF"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531" w:type="pct"/>
            <w:vMerge/>
          </w:tcPr>
          <w:p w14:paraId="12F26175"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95" w:type="pct"/>
            <w:noWrap/>
            <w:vAlign w:val="center"/>
            <w:hideMark/>
          </w:tcPr>
          <w:p w14:paraId="77917B8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4.4</w:t>
            </w:r>
          </w:p>
        </w:tc>
        <w:tc>
          <w:tcPr>
            <w:tcW w:w="629" w:type="pct"/>
            <w:vMerge/>
            <w:vAlign w:val="center"/>
          </w:tcPr>
          <w:p w14:paraId="233CC27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56" w:type="pct"/>
            <w:vMerge/>
          </w:tcPr>
          <w:p w14:paraId="6CFCE93A"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c>
          <w:tcPr>
            <w:tcW w:w="446" w:type="pct"/>
            <w:vMerge/>
          </w:tcPr>
          <w:p w14:paraId="3D8C5766" w14:textId="77777777" w:rsidR="006B2D23" w:rsidRPr="003D65B7" w:rsidRDefault="006B2D23" w:rsidP="00937E04">
            <w:pPr>
              <w:spacing w:line="480" w:lineRule="auto"/>
              <w:jc w:val="both"/>
              <w:rPr>
                <w:rFonts w:ascii="Arial" w:eastAsiaTheme="minorEastAsia" w:hAnsi="Arial" w:cs="Times New Roman"/>
                <w:snapToGrid w:val="0"/>
                <w:color w:val="000000"/>
                <w:sz w:val="20"/>
                <w:szCs w:val="24"/>
                <w:lang w:eastAsia="ko-KR" w:bidi="en-US"/>
              </w:rPr>
            </w:pPr>
          </w:p>
        </w:tc>
      </w:tr>
    </w:tbl>
    <w:bookmarkEnd w:id="0"/>
    <w:p w14:paraId="7715EBEF" w14:textId="2FFFE3D0" w:rsidR="006B2D23" w:rsidRPr="003D65B7" w:rsidRDefault="006B2D23" w:rsidP="00937E04">
      <w:pPr>
        <w:spacing w:after="0" w:line="480" w:lineRule="auto"/>
        <w:ind w:left="450" w:hanging="720"/>
        <w:jc w:val="both"/>
        <w:rPr>
          <w:rFonts w:ascii="Arial" w:hAnsi="Arial" w:cs="Times New Roman"/>
          <w:i/>
          <w:iCs/>
          <w:snapToGrid w:val="0"/>
          <w:color w:val="000000"/>
          <w:kern w:val="0"/>
          <w:sz w:val="18"/>
          <w:szCs w:val="22"/>
          <w:lang w:eastAsia="ko-KR" w:bidi="en-US"/>
          <w14:ligatures w14:val="none"/>
        </w:rPr>
      </w:pPr>
      <w:r w:rsidRPr="003D65B7">
        <w:rPr>
          <w:rFonts w:ascii="Arial" w:hAnsi="Arial" w:cs="Times New Roman"/>
          <w:i/>
          <w:iCs/>
          <w:snapToGrid w:val="0"/>
          <w:color w:val="000000"/>
          <w:kern w:val="0"/>
          <w:sz w:val="18"/>
          <w:szCs w:val="22"/>
          <w:lang w:eastAsia="ko-KR" w:bidi="en-US"/>
          <w14:ligatures w14:val="none"/>
        </w:rPr>
        <w:t>Note: Values with different superscripts within each column differ significantly (</w:t>
      </w:r>
      <w:r w:rsidR="00F70BC1" w:rsidRPr="003D65B7">
        <w:rPr>
          <w:rFonts w:ascii="Arial" w:hAnsi="Arial" w:cs="Times New Roman"/>
          <w:i/>
          <w:iCs/>
          <w:snapToGrid w:val="0"/>
          <w:color w:val="000000"/>
          <w:kern w:val="0"/>
          <w:sz w:val="18"/>
          <w:szCs w:val="22"/>
          <w:lang w:eastAsia="ko-KR" w:bidi="en-US"/>
          <w14:ligatures w14:val="none"/>
        </w:rPr>
        <w:t xml:space="preserve">P = </w:t>
      </w:r>
      <w:r w:rsidRPr="003D65B7">
        <w:rPr>
          <w:rFonts w:ascii="Arial" w:hAnsi="Arial" w:cs="Times New Roman"/>
          <w:i/>
          <w:iCs/>
          <w:snapToGrid w:val="0"/>
          <w:color w:val="000000"/>
          <w:kern w:val="0"/>
          <w:sz w:val="18"/>
          <w:szCs w:val="22"/>
          <w:lang w:eastAsia="ko-KR" w:bidi="en-US"/>
          <w14:ligatures w14:val="none"/>
        </w:rPr>
        <w:t>0.05) according to Tukey’s HSD post hoc test.</w:t>
      </w:r>
    </w:p>
    <w:p w14:paraId="729CBDCB" w14:textId="2FC71F8D" w:rsidR="006B2D23" w:rsidRPr="003D65B7" w:rsidRDefault="006B2D23" w:rsidP="00937E04">
      <w:pPr>
        <w:spacing w:after="210" w:line="480" w:lineRule="auto"/>
        <w:jc w:val="both"/>
        <w:rPr>
          <w:rFonts w:ascii="Arial" w:hAnsi="Arial" w:cs="Times New Roman"/>
          <w:i/>
          <w:iCs/>
          <w:snapToGrid w:val="0"/>
          <w:color w:val="000000"/>
          <w:kern w:val="0"/>
          <w:sz w:val="18"/>
          <w:szCs w:val="22"/>
          <w:lang w:eastAsia="ko-KR" w:bidi="en-US"/>
          <w14:ligatures w14:val="none"/>
        </w:rPr>
      </w:pPr>
      <w:r w:rsidRPr="003D65B7">
        <w:rPr>
          <w:rFonts w:ascii="Arial" w:hAnsi="Arial" w:cs="Times New Roman"/>
          <w:i/>
          <w:iCs/>
          <w:snapToGrid w:val="0"/>
          <w:color w:val="000000"/>
          <w:kern w:val="0"/>
          <w:sz w:val="18"/>
          <w:szCs w:val="22"/>
          <w:lang w:eastAsia="ko-KR" w:bidi="en-US"/>
          <w14:ligatures w14:val="none"/>
        </w:rPr>
        <w:t>Abbreviations: CFU- Colony Forming Unit; SEM- Standard Error of the Mean; SR- Sample and Replication</w:t>
      </w:r>
    </w:p>
    <w:p w14:paraId="0512312E" w14:textId="77777777" w:rsidR="006B2D23" w:rsidRPr="003D65B7" w:rsidRDefault="006B2D23"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br w:type="page"/>
      </w:r>
    </w:p>
    <w:p w14:paraId="51A191B7" w14:textId="782C95B0" w:rsidR="006B2D23" w:rsidRPr="003D65B7" w:rsidRDefault="006B2D23" w:rsidP="00937E04">
      <w:pPr>
        <w:spacing w:after="0" w:line="480" w:lineRule="auto"/>
        <w:ind w:left="450" w:hanging="720"/>
        <w:jc w:val="both"/>
        <w:rPr>
          <w:rFonts w:ascii="Arial" w:hAnsi="Arial" w:cs="Times New Roman"/>
          <w:b/>
          <w:snapToGrid w:val="0"/>
          <w:color w:val="000000"/>
          <w:kern w:val="0"/>
          <w:sz w:val="20"/>
          <w:szCs w:val="24"/>
          <w:lang w:eastAsia="ko-KR" w:bidi="en-US"/>
          <w14:ligatures w14:val="none"/>
        </w:rPr>
      </w:pPr>
      <w:r w:rsidRPr="003D65B7">
        <w:rPr>
          <w:rFonts w:ascii="Arial" w:hAnsi="Arial" w:cs="Times New Roman"/>
          <w:b/>
          <w:snapToGrid w:val="0"/>
          <w:color w:val="000000"/>
          <w:kern w:val="0"/>
          <w:sz w:val="20"/>
          <w:szCs w:val="24"/>
          <w:lang w:eastAsia="ko-KR" w:bidi="en-US"/>
          <w14:ligatures w14:val="none"/>
        </w:rPr>
        <w:lastRenderedPageBreak/>
        <w:t>Table</w:t>
      </w:r>
      <w:r w:rsidR="00DB3248" w:rsidRPr="003D65B7">
        <w:rPr>
          <w:rFonts w:ascii="Arial" w:hAnsi="Arial" w:cs="Times New Roman"/>
          <w:b/>
          <w:snapToGrid w:val="0"/>
          <w:color w:val="000000"/>
          <w:kern w:val="0"/>
          <w:sz w:val="20"/>
          <w:szCs w:val="24"/>
          <w:lang w:eastAsia="ko-KR" w:bidi="en-US"/>
          <w14:ligatures w14:val="none"/>
        </w:rPr>
        <w:t xml:space="preserve"> </w:t>
      </w:r>
      <w:r w:rsidRPr="003D65B7">
        <w:rPr>
          <w:rFonts w:ascii="Arial" w:hAnsi="Arial" w:cs="Times New Roman"/>
          <w:b/>
          <w:snapToGrid w:val="0"/>
          <w:color w:val="000000"/>
          <w:kern w:val="0"/>
          <w:sz w:val="20"/>
          <w:szCs w:val="24"/>
          <w:lang w:eastAsia="ko-KR" w:bidi="en-US"/>
          <w14:ligatures w14:val="none"/>
        </w:rPr>
        <w:t>2</w:t>
      </w:r>
      <w:r w:rsidR="00DB3248" w:rsidRPr="003D65B7">
        <w:rPr>
          <w:rFonts w:ascii="Arial" w:hAnsi="Arial" w:cs="Times New Roman"/>
          <w:b/>
          <w:snapToGrid w:val="0"/>
          <w:color w:val="000000"/>
          <w:kern w:val="0"/>
          <w:sz w:val="20"/>
          <w:szCs w:val="24"/>
          <w:lang w:eastAsia="ko-KR" w:bidi="en-US"/>
          <w14:ligatures w14:val="none"/>
        </w:rPr>
        <w:t>.</w:t>
      </w:r>
      <w:r w:rsidRPr="003D65B7">
        <w:rPr>
          <w:rFonts w:ascii="Arial" w:hAnsi="Arial" w:cs="Times New Roman"/>
          <w:b/>
          <w:snapToGrid w:val="0"/>
          <w:color w:val="000000"/>
          <w:kern w:val="0"/>
          <w:sz w:val="20"/>
          <w:szCs w:val="24"/>
          <w:lang w:eastAsia="ko-KR" w:bidi="en-US"/>
          <w14:ligatures w14:val="none"/>
        </w:rPr>
        <w:t xml:space="preserve"> P</w:t>
      </w:r>
      <w:r w:rsidR="00D613F8" w:rsidRPr="003D65B7">
        <w:rPr>
          <w:rFonts w:ascii="Arial" w:hAnsi="Arial" w:cs="Times New Roman"/>
          <w:b/>
          <w:snapToGrid w:val="0"/>
          <w:color w:val="000000"/>
          <w:kern w:val="0"/>
          <w:sz w:val="20"/>
          <w:szCs w:val="24"/>
          <w:lang w:eastAsia="ko-KR" w:bidi="en-US"/>
          <w14:ligatures w14:val="none"/>
        </w:rPr>
        <w:t>hysicochemical properties of supplied water in the representative dairy farms of Dhaka city</w:t>
      </w:r>
    </w:p>
    <w:tbl>
      <w:tblPr>
        <w:tblStyle w:val="NormalGrid"/>
        <w:tblW w:w="12863" w:type="dxa"/>
        <w:tblBorders>
          <w:top w:val="single" w:sz="4" w:space="0" w:color="auto"/>
          <w:bottom w:val="single" w:sz="4" w:space="0" w:color="auto"/>
        </w:tblBorders>
        <w:tblLook w:val="04A0" w:firstRow="1" w:lastRow="0" w:firstColumn="1" w:lastColumn="0" w:noHBand="0" w:noVBand="1"/>
      </w:tblPr>
      <w:tblGrid>
        <w:gridCol w:w="999"/>
        <w:gridCol w:w="1009"/>
        <w:gridCol w:w="838"/>
        <w:gridCol w:w="1322"/>
        <w:gridCol w:w="838"/>
        <w:gridCol w:w="1360"/>
        <w:gridCol w:w="838"/>
        <w:gridCol w:w="1360"/>
        <w:gridCol w:w="838"/>
        <w:gridCol w:w="1360"/>
        <w:gridCol w:w="838"/>
        <w:gridCol w:w="1360"/>
      </w:tblGrid>
      <w:tr w:rsidR="00EA05FC" w:rsidRPr="003D65B7" w14:paraId="73B8CCAE" w14:textId="77777777" w:rsidTr="00F45092">
        <w:trPr>
          <w:trHeight w:val="37"/>
        </w:trPr>
        <w:tc>
          <w:tcPr>
            <w:tcW w:w="1090" w:type="dxa"/>
            <w:vMerge w:val="restart"/>
            <w:tcBorders>
              <w:top w:val="single" w:sz="4" w:space="0" w:color="auto"/>
              <w:bottom w:val="nil"/>
            </w:tcBorders>
            <w:vAlign w:val="center"/>
          </w:tcPr>
          <w:p w14:paraId="3E600740"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Study Area</w:t>
            </w:r>
          </w:p>
        </w:tc>
        <w:tc>
          <w:tcPr>
            <w:tcW w:w="978" w:type="dxa"/>
            <w:vMerge w:val="restart"/>
            <w:tcBorders>
              <w:top w:val="single" w:sz="4" w:space="0" w:color="auto"/>
              <w:bottom w:val="nil"/>
            </w:tcBorders>
            <w:vAlign w:val="center"/>
          </w:tcPr>
          <w:p w14:paraId="05030010"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Water</w:t>
            </w:r>
          </w:p>
          <w:p w14:paraId="5F26292C"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Sample</w:t>
            </w:r>
          </w:p>
        </w:tc>
        <w:tc>
          <w:tcPr>
            <w:tcW w:w="2113" w:type="dxa"/>
            <w:gridSpan w:val="2"/>
            <w:tcBorders>
              <w:top w:val="single" w:sz="4" w:space="0" w:color="auto"/>
              <w:bottom w:val="nil"/>
            </w:tcBorders>
            <w:vAlign w:val="center"/>
          </w:tcPr>
          <w:p w14:paraId="56066223"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pH</w:t>
            </w:r>
          </w:p>
        </w:tc>
        <w:tc>
          <w:tcPr>
            <w:tcW w:w="2238" w:type="dxa"/>
            <w:gridSpan w:val="2"/>
            <w:tcBorders>
              <w:top w:val="single" w:sz="4" w:space="0" w:color="auto"/>
              <w:bottom w:val="nil"/>
            </w:tcBorders>
            <w:vAlign w:val="center"/>
          </w:tcPr>
          <w:p w14:paraId="4DEFBACC"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TDS (ppm)</w:t>
            </w:r>
          </w:p>
        </w:tc>
        <w:tc>
          <w:tcPr>
            <w:tcW w:w="2137" w:type="dxa"/>
            <w:gridSpan w:val="2"/>
            <w:tcBorders>
              <w:top w:val="single" w:sz="4" w:space="0" w:color="auto"/>
              <w:bottom w:val="nil"/>
            </w:tcBorders>
            <w:vAlign w:val="center"/>
          </w:tcPr>
          <w:p w14:paraId="00DDF509"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Iron (ppm)</w:t>
            </w:r>
          </w:p>
        </w:tc>
        <w:tc>
          <w:tcPr>
            <w:tcW w:w="2155" w:type="dxa"/>
            <w:gridSpan w:val="2"/>
            <w:tcBorders>
              <w:top w:val="single" w:sz="4" w:space="0" w:color="auto"/>
              <w:bottom w:val="nil"/>
            </w:tcBorders>
            <w:vAlign w:val="center"/>
          </w:tcPr>
          <w:p w14:paraId="5E0E1456"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Chloride (ppm)</w:t>
            </w:r>
          </w:p>
        </w:tc>
        <w:tc>
          <w:tcPr>
            <w:tcW w:w="2152" w:type="dxa"/>
            <w:gridSpan w:val="2"/>
            <w:tcBorders>
              <w:top w:val="single" w:sz="4" w:space="0" w:color="auto"/>
              <w:bottom w:val="nil"/>
            </w:tcBorders>
            <w:vAlign w:val="center"/>
          </w:tcPr>
          <w:p w14:paraId="5D2F1EAD"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Hardness (ppm)</w:t>
            </w:r>
          </w:p>
        </w:tc>
      </w:tr>
      <w:tr w:rsidR="00EA05FC" w:rsidRPr="003D65B7" w14:paraId="5048A710" w14:textId="77777777" w:rsidTr="00F45092">
        <w:trPr>
          <w:trHeight w:val="240"/>
        </w:trPr>
        <w:tc>
          <w:tcPr>
            <w:tcW w:w="1090" w:type="dxa"/>
            <w:vMerge/>
            <w:tcBorders>
              <w:top w:val="nil"/>
              <w:bottom w:val="single" w:sz="4" w:space="0" w:color="auto"/>
            </w:tcBorders>
            <w:vAlign w:val="center"/>
            <w:hideMark/>
          </w:tcPr>
          <w:p w14:paraId="13911664"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p>
        </w:tc>
        <w:tc>
          <w:tcPr>
            <w:tcW w:w="978" w:type="dxa"/>
            <w:vMerge/>
            <w:tcBorders>
              <w:top w:val="nil"/>
              <w:bottom w:val="single" w:sz="4" w:space="0" w:color="auto"/>
            </w:tcBorders>
            <w:vAlign w:val="center"/>
          </w:tcPr>
          <w:p w14:paraId="4014B273"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p>
        </w:tc>
        <w:tc>
          <w:tcPr>
            <w:tcW w:w="839" w:type="dxa"/>
            <w:tcBorders>
              <w:top w:val="nil"/>
              <w:bottom w:val="single" w:sz="4" w:space="0" w:color="auto"/>
            </w:tcBorders>
            <w:vAlign w:val="center"/>
          </w:tcPr>
          <w:p w14:paraId="750EC17D"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Value</w:t>
            </w:r>
          </w:p>
        </w:tc>
        <w:tc>
          <w:tcPr>
            <w:tcW w:w="1274" w:type="dxa"/>
            <w:tcBorders>
              <w:top w:val="nil"/>
              <w:bottom w:val="single" w:sz="4" w:space="0" w:color="auto"/>
            </w:tcBorders>
            <w:vAlign w:val="center"/>
            <w:hideMark/>
          </w:tcPr>
          <w:p w14:paraId="5221BED6"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838" w:type="dxa"/>
            <w:tcBorders>
              <w:top w:val="nil"/>
              <w:bottom w:val="single" w:sz="4" w:space="0" w:color="auto"/>
            </w:tcBorders>
            <w:vAlign w:val="center"/>
          </w:tcPr>
          <w:p w14:paraId="73A2FD44"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Value</w:t>
            </w:r>
          </w:p>
        </w:tc>
        <w:tc>
          <w:tcPr>
            <w:tcW w:w="1400" w:type="dxa"/>
            <w:tcBorders>
              <w:top w:val="nil"/>
              <w:bottom w:val="single" w:sz="4" w:space="0" w:color="auto"/>
            </w:tcBorders>
            <w:vAlign w:val="center"/>
            <w:hideMark/>
          </w:tcPr>
          <w:p w14:paraId="4EDB1EA0"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826" w:type="dxa"/>
            <w:tcBorders>
              <w:top w:val="nil"/>
              <w:bottom w:val="single" w:sz="4" w:space="0" w:color="auto"/>
            </w:tcBorders>
            <w:vAlign w:val="center"/>
          </w:tcPr>
          <w:p w14:paraId="4732C2F5"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Value</w:t>
            </w:r>
          </w:p>
        </w:tc>
        <w:tc>
          <w:tcPr>
            <w:tcW w:w="1310" w:type="dxa"/>
            <w:tcBorders>
              <w:top w:val="nil"/>
              <w:bottom w:val="single" w:sz="4" w:space="0" w:color="auto"/>
            </w:tcBorders>
            <w:vAlign w:val="center"/>
            <w:hideMark/>
          </w:tcPr>
          <w:p w14:paraId="016DFAE3"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838" w:type="dxa"/>
            <w:tcBorders>
              <w:top w:val="nil"/>
              <w:bottom w:val="single" w:sz="4" w:space="0" w:color="auto"/>
            </w:tcBorders>
            <w:vAlign w:val="center"/>
          </w:tcPr>
          <w:p w14:paraId="733E8DAF"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Value</w:t>
            </w:r>
          </w:p>
        </w:tc>
        <w:tc>
          <w:tcPr>
            <w:tcW w:w="1317" w:type="dxa"/>
            <w:tcBorders>
              <w:top w:val="nil"/>
              <w:bottom w:val="single" w:sz="4" w:space="0" w:color="auto"/>
            </w:tcBorders>
            <w:vAlign w:val="center"/>
            <w:hideMark/>
          </w:tcPr>
          <w:p w14:paraId="41CE6DC2"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c>
          <w:tcPr>
            <w:tcW w:w="838" w:type="dxa"/>
            <w:tcBorders>
              <w:top w:val="nil"/>
              <w:bottom w:val="single" w:sz="4" w:space="0" w:color="auto"/>
            </w:tcBorders>
            <w:vAlign w:val="center"/>
          </w:tcPr>
          <w:p w14:paraId="2755822C"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Value</w:t>
            </w:r>
          </w:p>
        </w:tc>
        <w:tc>
          <w:tcPr>
            <w:tcW w:w="1314" w:type="dxa"/>
            <w:tcBorders>
              <w:top w:val="nil"/>
              <w:bottom w:val="single" w:sz="4" w:space="0" w:color="auto"/>
            </w:tcBorders>
            <w:vAlign w:val="center"/>
            <w:hideMark/>
          </w:tcPr>
          <w:p w14:paraId="166F8B88" w14:textId="77777777" w:rsidR="006B2D23" w:rsidRPr="003D65B7" w:rsidRDefault="006B2D23" w:rsidP="00937E04">
            <w:pPr>
              <w:snapToGrid w:val="0"/>
              <w:spacing w:line="480" w:lineRule="auto"/>
              <w:jc w:val="both"/>
              <w:rPr>
                <w:rFonts w:ascii="Arial" w:eastAsiaTheme="minorEastAsia" w:hAnsi="Arial" w:cs="Times New Roman"/>
                <w:b/>
                <w:bCs/>
                <w:snapToGrid w:val="0"/>
                <w:color w:val="000000"/>
                <w:sz w:val="20"/>
                <w:szCs w:val="24"/>
                <w:lang w:eastAsia="ko-KR" w:bidi="en-US"/>
              </w:rPr>
            </w:pPr>
            <w:r w:rsidRPr="003D65B7">
              <w:rPr>
                <w:rFonts w:ascii="Arial" w:eastAsiaTheme="minorEastAsia" w:hAnsi="Arial" w:cs="Times New Roman"/>
                <w:b/>
                <w:bCs/>
                <w:snapToGrid w:val="0"/>
                <w:color w:val="000000"/>
                <w:sz w:val="20"/>
                <w:szCs w:val="24"/>
                <w:lang w:eastAsia="ko-KR" w:bidi="en-US"/>
              </w:rPr>
              <w:t>(Mean ± SEM)</w:t>
            </w:r>
          </w:p>
        </w:tc>
      </w:tr>
      <w:tr w:rsidR="00EA05FC" w:rsidRPr="003D65B7" w14:paraId="1C6B2BAD" w14:textId="77777777" w:rsidTr="00F45092">
        <w:trPr>
          <w:trHeight w:val="17"/>
        </w:trPr>
        <w:tc>
          <w:tcPr>
            <w:tcW w:w="1090" w:type="dxa"/>
            <w:vMerge w:val="restart"/>
            <w:tcBorders>
              <w:top w:val="single" w:sz="4" w:space="0" w:color="auto"/>
            </w:tcBorders>
            <w:vAlign w:val="center"/>
            <w:hideMark/>
          </w:tcPr>
          <w:p w14:paraId="0E3DF5A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60 feet</w:t>
            </w:r>
          </w:p>
        </w:tc>
        <w:tc>
          <w:tcPr>
            <w:tcW w:w="978" w:type="dxa"/>
            <w:tcBorders>
              <w:top w:val="single" w:sz="4" w:space="0" w:color="auto"/>
            </w:tcBorders>
            <w:vAlign w:val="center"/>
          </w:tcPr>
          <w:p w14:paraId="7A06675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 R1</w:t>
            </w:r>
          </w:p>
        </w:tc>
        <w:tc>
          <w:tcPr>
            <w:tcW w:w="839" w:type="dxa"/>
            <w:tcBorders>
              <w:top w:val="single" w:sz="4" w:space="0" w:color="auto"/>
            </w:tcBorders>
            <w:vAlign w:val="center"/>
          </w:tcPr>
          <w:p w14:paraId="62B6E2E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1274" w:type="dxa"/>
            <w:vMerge w:val="restart"/>
            <w:tcBorders>
              <w:top w:val="single" w:sz="4" w:space="0" w:color="auto"/>
            </w:tcBorders>
            <w:vAlign w:val="center"/>
            <w:hideMark/>
          </w:tcPr>
          <w:p w14:paraId="1D2C56A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6.12±0.03</w:t>
            </w:r>
            <w:r w:rsidRPr="003D65B7">
              <w:rPr>
                <w:rFonts w:ascii="Arial" w:eastAsiaTheme="minorEastAsia" w:hAnsi="Arial" w:cs="Times New Roman"/>
                <w:snapToGrid w:val="0"/>
                <w:color w:val="000000"/>
                <w:sz w:val="20"/>
                <w:szCs w:val="24"/>
                <w:vertAlign w:val="superscript"/>
                <w:lang w:eastAsia="ko-KR" w:bidi="en-US"/>
              </w:rPr>
              <w:t>a</w:t>
            </w:r>
          </w:p>
        </w:tc>
        <w:tc>
          <w:tcPr>
            <w:tcW w:w="838" w:type="dxa"/>
            <w:tcBorders>
              <w:top w:val="single" w:sz="4" w:space="0" w:color="auto"/>
            </w:tcBorders>
            <w:vAlign w:val="center"/>
          </w:tcPr>
          <w:p w14:paraId="4905BD4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398</w:t>
            </w:r>
          </w:p>
        </w:tc>
        <w:tc>
          <w:tcPr>
            <w:tcW w:w="1400" w:type="dxa"/>
            <w:vMerge w:val="restart"/>
            <w:tcBorders>
              <w:top w:val="single" w:sz="4" w:space="0" w:color="auto"/>
            </w:tcBorders>
            <w:vAlign w:val="center"/>
            <w:hideMark/>
          </w:tcPr>
          <w:p w14:paraId="7C3B40D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397.0±3.14</w:t>
            </w:r>
            <w:r w:rsidRPr="003D65B7">
              <w:rPr>
                <w:rFonts w:ascii="Arial" w:eastAsiaTheme="minorEastAsia" w:hAnsi="Arial" w:cs="Times New Roman"/>
                <w:snapToGrid w:val="0"/>
                <w:color w:val="000000"/>
                <w:sz w:val="20"/>
                <w:szCs w:val="24"/>
                <w:vertAlign w:val="superscript"/>
                <w:lang w:eastAsia="ko-KR" w:bidi="en-US"/>
              </w:rPr>
              <w:t>a</w:t>
            </w:r>
          </w:p>
        </w:tc>
        <w:tc>
          <w:tcPr>
            <w:tcW w:w="826" w:type="dxa"/>
            <w:tcBorders>
              <w:top w:val="single" w:sz="4" w:space="0" w:color="auto"/>
            </w:tcBorders>
            <w:vAlign w:val="center"/>
          </w:tcPr>
          <w:p w14:paraId="0833F94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0.823</w:t>
            </w:r>
          </w:p>
        </w:tc>
        <w:tc>
          <w:tcPr>
            <w:tcW w:w="1310" w:type="dxa"/>
            <w:vMerge w:val="restart"/>
            <w:tcBorders>
              <w:top w:val="single" w:sz="4" w:space="0" w:color="auto"/>
            </w:tcBorders>
            <w:vAlign w:val="center"/>
            <w:hideMark/>
          </w:tcPr>
          <w:p w14:paraId="4CEE41CD" w14:textId="1D3BCB39"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0.855±0.02</w:t>
            </w:r>
            <w:r w:rsidRPr="003D65B7">
              <w:rPr>
                <w:rFonts w:ascii="Arial" w:eastAsiaTheme="minorEastAsia" w:hAnsi="Arial" w:cs="Times New Roman"/>
                <w:snapToGrid w:val="0"/>
                <w:color w:val="000000"/>
                <w:sz w:val="20"/>
                <w:szCs w:val="24"/>
                <w:vertAlign w:val="superscript"/>
                <w:lang w:eastAsia="ko-KR" w:bidi="en-US"/>
              </w:rPr>
              <w:t>b</w:t>
            </w:r>
          </w:p>
        </w:tc>
        <w:tc>
          <w:tcPr>
            <w:tcW w:w="838" w:type="dxa"/>
            <w:tcBorders>
              <w:top w:val="single" w:sz="4" w:space="0" w:color="auto"/>
            </w:tcBorders>
            <w:vAlign w:val="center"/>
          </w:tcPr>
          <w:p w14:paraId="6B5F33B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w:t>
            </w:r>
          </w:p>
        </w:tc>
        <w:tc>
          <w:tcPr>
            <w:tcW w:w="1317" w:type="dxa"/>
            <w:vMerge w:val="restart"/>
            <w:tcBorders>
              <w:top w:val="single" w:sz="4" w:space="0" w:color="auto"/>
            </w:tcBorders>
            <w:vAlign w:val="center"/>
            <w:hideMark/>
          </w:tcPr>
          <w:p w14:paraId="3E507A1B" w14:textId="19F0073A"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0.945±0.03</w:t>
            </w:r>
            <w:r w:rsidRPr="003D65B7">
              <w:rPr>
                <w:rFonts w:ascii="Arial" w:eastAsiaTheme="minorEastAsia" w:hAnsi="Arial" w:cs="Times New Roman"/>
                <w:snapToGrid w:val="0"/>
                <w:color w:val="000000"/>
                <w:sz w:val="20"/>
                <w:szCs w:val="24"/>
                <w:vertAlign w:val="superscript"/>
                <w:lang w:eastAsia="ko-KR" w:bidi="en-US"/>
              </w:rPr>
              <w:t>a</w:t>
            </w:r>
          </w:p>
        </w:tc>
        <w:tc>
          <w:tcPr>
            <w:tcW w:w="838" w:type="dxa"/>
            <w:tcBorders>
              <w:top w:val="single" w:sz="4" w:space="0" w:color="auto"/>
            </w:tcBorders>
            <w:vAlign w:val="center"/>
          </w:tcPr>
          <w:p w14:paraId="30692A5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165</w:t>
            </w:r>
          </w:p>
        </w:tc>
        <w:tc>
          <w:tcPr>
            <w:tcW w:w="1314" w:type="dxa"/>
            <w:vMerge w:val="restart"/>
            <w:tcBorders>
              <w:top w:val="single" w:sz="4" w:space="0" w:color="auto"/>
            </w:tcBorders>
            <w:vAlign w:val="center"/>
            <w:hideMark/>
          </w:tcPr>
          <w:p w14:paraId="4D8903F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151.5±7.0</w:t>
            </w:r>
            <w:r w:rsidRPr="003D65B7">
              <w:rPr>
                <w:rFonts w:ascii="Arial" w:eastAsiaTheme="minorEastAsia" w:hAnsi="Arial" w:cs="Times New Roman"/>
                <w:snapToGrid w:val="0"/>
                <w:color w:val="000000"/>
                <w:sz w:val="20"/>
                <w:szCs w:val="24"/>
                <w:vertAlign w:val="superscript"/>
                <w:lang w:eastAsia="ko-KR" w:bidi="en-US"/>
              </w:rPr>
              <w:t>b</w:t>
            </w:r>
          </w:p>
        </w:tc>
      </w:tr>
      <w:tr w:rsidR="00EA05FC" w:rsidRPr="003D65B7" w14:paraId="1005D862" w14:textId="77777777" w:rsidTr="00F45092">
        <w:trPr>
          <w:trHeight w:val="17"/>
        </w:trPr>
        <w:tc>
          <w:tcPr>
            <w:tcW w:w="1090" w:type="dxa"/>
            <w:vMerge/>
            <w:vAlign w:val="center"/>
          </w:tcPr>
          <w:p w14:paraId="56773DC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3788C78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 R2</w:t>
            </w:r>
          </w:p>
        </w:tc>
        <w:tc>
          <w:tcPr>
            <w:tcW w:w="839" w:type="dxa"/>
            <w:vAlign w:val="center"/>
          </w:tcPr>
          <w:p w14:paraId="155BDC5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6.1</w:t>
            </w:r>
          </w:p>
        </w:tc>
        <w:tc>
          <w:tcPr>
            <w:tcW w:w="1274" w:type="dxa"/>
            <w:vMerge/>
            <w:vAlign w:val="center"/>
          </w:tcPr>
          <w:p w14:paraId="0020BBF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2D7BBB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395</w:t>
            </w:r>
          </w:p>
        </w:tc>
        <w:tc>
          <w:tcPr>
            <w:tcW w:w="1400" w:type="dxa"/>
            <w:vMerge/>
            <w:vAlign w:val="center"/>
          </w:tcPr>
          <w:p w14:paraId="29490BD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7256F27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0.874</w:t>
            </w:r>
          </w:p>
        </w:tc>
        <w:tc>
          <w:tcPr>
            <w:tcW w:w="1310" w:type="dxa"/>
            <w:vMerge/>
            <w:vAlign w:val="center"/>
          </w:tcPr>
          <w:p w14:paraId="0CA1410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148477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0.89</w:t>
            </w:r>
          </w:p>
        </w:tc>
        <w:tc>
          <w:tcPr>
            <w:tcW w:w="1317" w:type="dxa"/>
            <w:vMerge/>
            <w:vAlign w:val="center"/>
          </w:tcPr>
          <w:p w14:paraId="6CE97FB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4D6264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138</w:t>
            </w:r>
          </w:p>
        </w:tc>
        <w:tc>
          <w:tcPr>
            <w:tcW w:w="1314" w:type="dxa"/>
            <w:vMerge/>
            <w:vAlign w:val="center"/>
          </w:tcPr>
          <w:p w14:paraId="3687BA6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7C4F34A6" w14:textId="77777777" w:rsidTr="00F45092">
        <w:trPr>
          <w:trHeight w:val="17"/>
        </w:trPr>
        <w:tc>
          <w:tcPr>
            <w:tcW w:w="1090" w:type="dxa"/>
            <w:vMerge/>
            <w:vAlign w:val="center"/>
          </w:tcPr>
          <w:p w14:paraId="4B4AE37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1305517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 R3</w:t>
            </w:r>
          </w:p>
        </w:tc>
        <w:tc>
          <w:tcPr>
            <w:tcW w:w="839" w:type="dxa"/>
            <w:vAlign w:val="center"/>
          </w:tcPr>
          <w:p w14:paraId="4E12A75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6.1</w:t>
            </w:r>
          </w:p>
        </w:tc>
        <w:tc>
          <w:tcPr>
            <w:tcW w:w="1274" w:type="dxa"/>
            <w:vMerge/>
            <w:vAlign w:val="center"/>
          </w:tcPr>
          <w:p w14:paraId="3CAA39B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9746F5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390</w:t>
            </w:r>
          </w:p>
        </w:tc>
        <w:tc>
          <w:tcPr>
            <w:tcW w:w="1400" w:type="dxa"/>
            <w:vMerge/>
            <w:vAlign w:val="center"/>
          </w:tcPr>
          <w:p w14:paraId="32E0BC0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729ABE7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0.889</w:t>
            </w:r>
          </w:p>
        </w:tc>
        <w:tc>
          <w:tcPr>
            <w:tcW w:w="1310" w:type="dxa"/>
            <w:vMerge/>
            <w:vAlign w:val="center"/>
          </w:tcPr>
          <w:p w14:paraId="358AF96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F8FF55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w:t>
            </w:r>
          </w:p>
        </w:tc>
        <w:tc>
          <w:tcPr>
            <w:tcW w:w="1317" w:type="dxa"/>
            <w:vMerge/>
            <w:vAlign w:val="center"/>
          </w:tcPr>
          <w:p w14:paraId="40C4A2B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2A212B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141</w:t>
            </w:r>
          </w:p>
        </w:tc>
        <w:tc>
          <w:tcPr>
            <w:tcW w:w="1314" w:type="dxa"/>
            <w:vMerge/>
            <w:vAlign w:val="center"/>
          </w:tcPr>
          <w:p w14:paraId="2EB54CC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1D571B42" w14:textId="77777777" w:rsidTr="00F45092">
        <w:trPr>
          <w:trHeight w:val="17"/>
        </w:trPr>
        <w:tc>
          <w:tcPr>
            <w:tcW w:w="1090" w:type="dxa"/>
            <w:vMerge/>
            <w:vAlign w:val="center"/>
          </w:tcPr>
          <w:p w14:paraId="05A3B3A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742FBE2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S1 R4</w:t>
            </w:r>
          </w:p>
        </w:tc>
        <w:tc>
          <w:tcPr>
            <w:tcW w:w="839" w:type="dxa"/>
            <w:vAlign w:val="center"/>
          </w:tcPr>
          <w:p w14:paraId="669E7F4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6.1</w:t>
            </w:r>
          </w:p>
        </w:tc>
        <w:tc>
          <w:tcPr>
            <w:tcW w:w="1274" w:type="dxa"/>
            <w:vMerge/>
            <w:vAlign w:val="center"/>
          </w:tcPr>
          <w:p w14:paraId="6985F87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39920F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405</w:t>
            </w:r>
          </w:p>
        </w:tc>
        <w:tc>
          <w:tcPr>
            <w:tcW w:w="1400" w:type="dxa"/>
            <w:vMerge/>
            <w:vAlign w:val="center"/>
          </w:tcPr>
          <w:p w14:paraId="34920DE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22D1C6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0.832</w:t>
            </w:r>
          </w:p>
        </w:tc>
        <w:tc>
          <w:tcPr>
            <w:tcW w:w="1310" w:type="dxa"/>
            <w:vMerge/>
            <w:vAlign w:val="center"/>
          </w:tcPr>
          <w:p w14:paraId="77A79D6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744EF15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0.89</w:t>
            </w:r>
          </w:p>
        </w:tc>
        <w:tc>
          <w:tcPr>
            <w:tcW w:w="1317" w:type="dxa"/>
            <w:vMerge/>
            <w:vAlign w:val="center"/>
          </w:tcPr>
          <w:p w14:paraId="138D0D3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541C26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162</w:t>
            </w:r>
          </w:p>
        </w:tc>
        <w:tc>
          <w:tcPr>
            <w:tcW w:w="1314" w:type="dxa"/>
            <w:vMerge/>
            <w:vAlign w:val="center"/>
          </w:tcPr>
          <w:p w14:paraId="66CB390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0E4D9712" w14:textId="77777777" w:rsidTr="00F45092">
        <w:trPr>
          <w:trHeight w:val="17"/>
        </w:trPr>
        <w:tc>
          <w:tcPr>
            <w:tcW w:w="1090" w:type="dxa"/>
            <w:vMerge w:val="restart"/>
            <w:vAlign w:val="center"/>
          </w:tcPr>
          <w:p w14:paraId="31BD6D6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Mirpur-1</w:t>
            </w:r>
          </w:p>
        </w:tc>
        <w:tc>
          <w:tcPr>
            <w:tcW w:w="978" w:type="dxa"/>
            <w:vAlign w:val="center"/>
          </w:tcPr>
          <w:p w14:paraId="4B1B95C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 R1</w:t>
            </w:r>
          </w:p>
        </w:tc>
        <w:tc>
          <w:tcPr>
            <w:tcW w:w="839" w:type="dxa"/>
            <w:vAlign w:val="center"/>
          </w:tcPr>
          <w:p w14:paraId="7C4E19C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1274" w:type="dxa"/>
            <w:vMerge w:val="restart"/>
            <w:vAlign w:val="center"/>
          </w:tcPr>
          <w:p w14:paraId="5B3FFEB9" w14:textId="32984A12"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6.20±0.00</w:t>
            </w:r>
            <w:r w:rsidRPr="003D65B7">
              <w:rPr>
                <w:rFonts w:ascii="Arial" w:eastAsiaTheme="minorEastAsia" w:hAnsi="Arial" w:cs="Times New Roman"/>
                <w:snapToGrid w:val="0"/>
                <w:color w:val="000000"/>
                <w:sz w:val="20"/>
                <w:szCs w:val="24"/>
                <w:vertAlign w:val="superscript"/>
                <w:lang w:eastAsia="ko-KR" w:bidi="en-US"/>
              </w:rPr>
              <w:t>a</w:t>
            </w:r>
          </w:p>
        </w:tc>
        <w:tc>
          <w:tcPr>
            <w:tcW w:w="838" w:type="dxa"/>
            <w:vAlign w:val="center"/>
          </w:tcPr>
          <w:p w14:paraId="411BDCC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367</w:t>
            </w:r>
          </w:p>
        </w:tc>
        <w:tc>
          <w:tcPr>
            <w:tcW w:w="1400" w:type="dxa"/>
            <w:vMerge w:val="restart"/>
            <w:vAlign w:val="center"/>
          </w:tcPr>
          <w:p w14:paraId="64F22C90" w14:textId="175E71AE"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363.0±3.39</w:t>
            </w:r>
            <w:r w:rsidRPr="003D65B7">
              <w:rPr>
                <w:rFonts w:ascii="Arial" w:eastAsiaTheme="minorEastAsia" w:hAnsi="Arial" w:cs="Times New Roman"/>
                <w:snapToGrid w:val="0"/>
                <w:color w:val="000000"/>
                <w:sz w:val="20"/>
                <w:szCs w:val="24"/>
                <w:vertAlign w:val="superscript"/>
                <w:lang w:eastAsia="ko-KR" w:bidi="en-US"/>
              </w:rPr>
              <w:t>b</w:t>
            </w:r>
          </w:p>
        </w:tc>
        <w:tc>
          <w:tcPr>
            <w:tcW w:w="826" w:type="dxa"/>
            <w:vAlign w:val="center"/>
          </w:tcPr>
          <w:p w14:paraId="39A481D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0.982</w:t>
            </w:r>
          </w:p>
        </w:tc>
        <w:tc>
          <w:tcPr>
            <w:tcW w:w="1310" w:type="dxa"/>
            <w:vMerge w:val="restart"/>
            <w:vAlign w:val="center"/>
          </w:tcPr>
          <w:p w14:paraId="771582F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0.972±0.02</w:t>
            </w:r>
            <w:r w:rsidRPr="003D65B7">
              <w:rPr>
                <w:rFonts w:ascii="Arial" w:eastAsiaTheme="minorEastAsia" w:hAnsi="Arial" w:cs="Times New Roman"/>
                <w:snapToGrid w:val="0"/>
                <w:color w:val="000000"/>
                <w:sz w:val="20"/>
                <w:szCs w:val="24"/>
                <w:vertAlign w:val="superscript"/>
                <w:lang w:eastAsia="ko-KR" w:bidi="en-US"/>
              </w:rPr>
              <w:t>a</w:t>
            </w:r>
          </w:p>
        </w:tc>
        <w:tc>
          <w:tcPr>
            <w:tcW w:w="838" w:type="dxa"/>
            <w:vAlign w:val="center"/>
          </w:tcPr>
          <w:p w14:paraId="0F4E65F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0.51</w:t>
            </w:r>
          </w:p>
        </w:tc>
        <w:tc>
          <w:tcPr>
            <w:tcW w:w="1317" w:type="dxa"/>
            <w:vMerge w:val="restart"/>
            <w:vAlign w:val="center"/>
          </w:tcPr>
          <w:p w14:paraId="4DA9C68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0.520±0.02</w:t>
            </w:r>
            <w:r w:rsidRPr="003D65B7">
              <w:rPr>
                <w:rFonts w:ascii="Arial" w:eastAsiaTheme="minorEastAsia" w:hAnsi="Arial" w:cs="Times New Roman"/>
                <w:snapToGrid w:val="0"/>
                <w:color w:val="000000"/>
                <w:sz w:val="20"/>
                <w:szCs w:val="24"/>
                <w:vertAlign w:val="superscript"/>
                <w:lang w:eastAsia="ko-KR" w:bidi="en-US"/>
              </w:rPr>
              <w:t>c</w:t>
            </w:r>
          </w:p>
        </w:tc>
        <w:tc>
          <w:tcPr>
            <w:tcW w:w="838" w:type="dxa"/>
            <w:vAlign w:val="center"/>
          </w:tcPr>
          <w:p w14:paraId="0531620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153</w:t>
            </w:r>
          </w:p>
        </w:tc>
        <w:tc>
          <w:tcPr>
            <w:tcW w:w="1314" w:type="dxa"/>
            <w:vMerge w:val="restart"/>
            <w:vAlign w:val="center"/>
          </w:tcPr>
          <w:p w14:paraId="5289DF6F" w14:textId="2851F46B"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158.3±3.6</w:t>
            </w:r>
            <w:r w:rsidRPr="003D65B7">
              <w:rPr>
                <w:rFonts w:ascii="Arial" w:eastAsiaTheme="minorEastAsia" w:hAnsi="Arial" w:cs="Times New Roman"/>
                <w:snapToGrid w:val="0"/>
                <w:color w:val="000000"/>
                <w:sz w:val="20"/>
                <w:szCs w:val="24"/>
                <w:vertAlign w:val="superscript"/>
                <w:lang w:eastAsia="ko-KR" w:bidi="en-US"/>
              </w:rPr>
              <w:t>a</w:t>
            </w:r>
          </w:p>
        </w:tc>
      </w:tr>
      <w:tr w:rsidR="00EA05FC" w:rsidRPr="003D65B7" w14:paraId="61E127BB" w14:textId="77777777" w:rsidTr="00F45092">
        <w:trPr>
          <w:trHeight w:val="17"/>
        </w:trPr>
        <w:tc>
          <w:tcPr>
            <w:tcW w:w="1090" w:type="dxa"/>
            <w:vMerge/>
            <w:vAlign w:val="center"/>
          </w:tcPr>
          <w:p w14:paraId="51A936A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63A359F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 R2</w:t>
            </w:r>
          </w:p>
        </w:tc>
        <w:tc>
          <w:tcPr>
            <w:tcW w:w="839" w:type="dxa"/>
            <w:vAlign w:val="center"/>
          </w:tcPr>
          <w:p w14:paraId="0CBF781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1274" w:type="dxa"/>
            <w:vMerge/>
            <w:vAlign w:val="center"/>
          </w:tcPr>
          <w:p w14:paraId="286F64B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476E60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370</w:t>
            </w:r>
          </w:p>
        </w:tc>
        <w:tc>
          <w:tcPr>
            <w:tcW w:w="1400" w:type="dxa"/>
            <w:vMerge/>
            <w:vAlign w:val="center"/>
          </w:tcPr>
          <w:p w14:paraId="7064049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48120C5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w:t>
            </w:r>
          </w:p>
        </w:tc>
        <w:tc>
          <w:tcPr>
            <w:tcW w:w="1310" w:type="dxa"/>
            <w:vMerge/>
            <w:vAlign w:val="center"/>
          </w:tcPr>
          <w:p w14:paraId="776F876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CAB07B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0.53</w:t>
            </w:r>
          </w:p>
        </w:tc>
        <w:tc>
          <w:tcPr>
            <w:tcW w:w="1317" w:type="dxa"/>
            <w:vMerge/>
            <w:vAlign w:val="center"/>
          </w:tcPr>
          <w:p w14:paraId="1853A41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BC9D69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153</w:t>
            </w:r>
          </w:p>
        </w:tc>
        <w:tc>
          <w:tcPr>
            <w:tcW w:w="1314" w:type="dxa"/>
            <w:vMerge/>
            <w:vAlign w:val="center"/>
          </w:tcPr>
          <w:p w14:paraId="69399A4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4B3192BF" w14:textId="77777777" w:rsidTr="00F45092">
        <w:trPr>
          <w:trHeight w:val="17"/>
        </w:trPr>
        <w:tc>
          <w:tcPr>
            <w:tcW w:w="1090" w:type="dxa"/>
            <w:vMerge/>
            <w:vAlign w:val="center"/>
          </w:tcPr>
          <w:p w14:paraId="15BE0DC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37231A6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S2R3</w:t>
            </w:r>
          </w:p>
        </w:tc>
        <w:tc>
          <w:tcPr>
            <w:tcW w:w="839" w:type="dxa"/>
            <w:vAlign w:val="center"/>
          </w:tcPr>
          <w:p w14:paraId="58B9BBF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1274" w:type="dxa"/>
            <w:vMerge/>
            <w:vAlign w:val="center"/>
          </w:tcPr>
          <w:p w14:paraId="686CA99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BB26B1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355</w:t>
            </w:r>
          </w:p>
        </w:tc>
        <w:tc>
          <w:tcPr>
            <w:tcW w:w="1400" w:type="dxa"/>
            <w:vMerge/>
            <w:vAlign w:val="center"/>
          </w:tcPr>
          <w:p w14:paraId="76C3CA9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503EFBC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0.915</w:t>
            </w:r>
          </w:p>
        </w:tc>
        <w:tc>
          <w:tcPr>
            <w:tcW w:w="1310" w:type="dxa"/>
            <w:vMerge/>
            <w:vAlign w:val="center"/>
          </w:tcPr>
          <w:p w14:paraId="1B4D2EA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7B0362B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0.48</w:t>
            </w:r>
          </w:p>
        </w:tc>
        <w:tc>
          <w:tcPr>
            <w:tcW w:w="1317" w:type="dxa"/>
            <w:vMerge/>
            <w:vAlign w:val="center"/>
          </w:tcPr>
          <w:p w14:paraId="4BEF844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EB1E09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159</w:t>
            </w:r>
          </w:p>
        </w:tc>
        <w:tc>
          <w:tcPr>
            <w:tcW w:w="1314" w:type="dxa"/>
            <w:vMerge/>
            <w:vAlign w:val="center"/>
          </w:tcPr>
          <w:p w14:paraId="49011FE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224AEDEE" w14:textId="77777777" w:rsidTr="00F45092">
        <w:trPr>
          <w:trHeight w:val="17"/>
        </w:trPr>
        <w:tc>
          <w:tcPr>
            <w:tcW w:w="1090" w:type="dxa"/>
            <w:vMerge/>
            <w:vAlign w:val="center"/>
          </w:tcPr>
          <w:p w14:paraId="47D77B3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309E879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S2R4</w:t>
            </w:r>
          </w:p>
        </w:tc>
        <w:tc>
          <w:tcPr>
            <w:tcW w:w="839" w:type="dxa"/>
            <w:vAlign w:val="center"/>
          </w:tcPr>
          <w:p w14:paraId="4CC4251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6.2</w:t>
            </w:r>
          </w:p>
        </w:tc>
        <w:tc>
          <w:tcPr>
            <w:tcW w:w="1274" w:type="dxa"/>
            <w:vMerge/>
            <w:vAlign w:val="center"/>
          </w:tcPr>
          <w:p w14:paraId="1BD0960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C18C29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360</w:t>
            </w:r>
          </w:p>
        </w:tc>
        <w:tc>
          <w:tcPr>
            <w:tcW w:w="1400" w:type="dxa"/>
            <w:vMerge/>
            <w:vAlign w:val="center"/>
          </w:tcPr>
          <w:p w14:paraId="4CED12B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3DF3A86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0.992</w:t>
            </w:r>
          </w:p>
        </w:tc>
        <w:tc>
          <w:tcPr>
            <w:tcW w:w="1310" w:type="dxa"/>
            <w:vMerge/>
            <w:vAlign w:val="center"/>
          </w:tcPr>
          <w:p w14:paraId="478F906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9A32F8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0.56</w:t>
            </w:r>
          </w:p>
        </w:tc>
        <w:tc>
          <w:tcPr>
            <w:tcW w:w="1317" w:type="dxa"/>
            <w:vMerge/>
            <w:vAlign w:val="center"/>
          </w:tcPr>
          <w:p w14:paraId="3463612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391F7F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168</w:t>
            </w:r>
          </w:p>
        </w:tc>
        <w:tc>
          <w:tcPr>
            <w:tcW w:w="1314" w:type="dxa"/>
            <w:vMerge/>
            <w:vAlign w:val="center"/>
          </w:tcPr>
          <w:p w14:paraId="71E2BBC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009BB99E" w14:textId="77777777" w:rsidTr="00F45092">
        <w:trPr>
          <w:trHeight w:val="17"/>
        </w:trPr>
        <w:tc>
          <w:tcPr>
            <w:tcW w:w="1090" w:type="dxa"/>
            <w:vMerge w:val="restart"/>
            <w:vAlign w:val="center"/>
          </w:tcPr>
          <w:p w14:paraId="2F968A1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Mirpur-2</w:t>
            </w:r>
          </w:p>
        </w:tc>
        <w:tc>
          <w:tcPr>
            <w:tcW w:w="978" w:type="dxa"/>
            <w:vAlign w:val="center"/>
          </w:tcPr>
          <w:p w14:paraId="3D3D85C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 R1</w:t>
            </w:r>
          </w:p>
        </w:tc>
        <w:tc>
          <w:tcPr>
            <w:tcW w:w="839" w:type="dxa"/>
            <w:vAlign w:val="center"/>
          </w:tcPr>
          <w:p w14:paraId="7C41035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6.6</w:t>
            </w:r>
          </w:p>
        </w:tc>
        <w:tc>
          <w:tcPr>
            <w:tcW w:w="1274" w:type="dxa"/>
            <w:vMerge w:val="restart"/>
            <w:vAlign w:val="center"/>
          </w:tcPr>
          <w:p w14:paraId="6529423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6.70± 0.07</w:t>
            </w:r>
            <w:r w:rsidRPr="003D65B7">
              <w:rPr>
                <w:rFonts w:ascii="Arial" w:eastAsiaTheme="minorEastAsia" w:hAnsi="Arial" w:cs="Times New Roman"/>
                <w:snapToGrid w:val="0"/>
                <w:color w:val="000000"/>
                <w:sz w:val="20"/>
                <w:szCs w:val="24"/>
                <w:vertAlign w:val="superscript"/>
                <w:lang w:eastAsia="ko-KR" w:bidi="en-US"/>
              </w:rPr>
              <w:t>b</w:t>
            </w:r>
          </w:p>
        </w:tc>
        <w:tc>
          <w:tcPr>
            <w:tcW w:w="838" w:type="dxa"/>
            <w:vAlign w:val="center"/>
          </w:tcPr>
          <w:p w14:paraId="7ADD571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385</w:t>
            </w:r>
          </w:p>
        </w:tc>
        <w:tc>
          <w:tcPr>
            <w:tcW w:w="1400" w:type="dxa"/>
            <w:vMerge w:val="restart"/>
            <w:vAlign w:val="center"/>
          </w:tcPr>
          <w:p w14:paraId="1863393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392.5±3.23</w:t>
            </w:r>
            <w:r w:rsidRPr="003D65B7">
              <w:rPr>
                <w:rFonts w:ascii="Arial" w:eastAsiaTheme="minorEastAsia" w:hAnsi="Arial" w:cs="Times New Roman"/>
                <w:snapToGrid w:val="0"/>
                <w:color w:val="000000"/>
                <w:sz w:val="20"/>
                <w:szCs w:val="24"/>
                <w:vertAlign w:val="superscript"/>
                <w:lang w:eastAsia="ko-KR" w:bidi="en-US"/>
              </w:rPr>
              <w:t>a</w:t>
            </w:r>
          </w:p>
        </w:tc>
        <w:tc>
          <w:tcPr>
            <w:tcW w:w="826" w:type="dxa"/>
            <w:vAlign w:val="center"/>
          </w:tcPr>
          <w:p w14:paraId="3197CD6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0.773</w:t>
            </w:r>
          </w:p>
        </w:tc>
        <w:tc>
          <w:tcPr>
            <w:tcW w:w="1310" w:type="dxa"/>
            <w:vMerge w:val="restart"/>
            <w:vAlign w:val="center"/>
          </w:tcPr>
          <w:p w14:paraId="27AEAB2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0.780±0.01</w:t>
            </w:r>
            <w:r w:rsidRPr="003D65B7">
              <w:rPr>
                <w:rFonts w:ascii="Arial" w:eastAsiaTheme="minorEastAsia" w:hAnsi="Arial" w:cs="Times New Roman"/>
                <w:snapToGrid w:val="0"/>
                <w:color w:val="000000"/>
                <w:sz w:val="20"/>
                <w:szCs w:val="24"/>
                <w:vertAlign w:val="superscript"/>
                <w:lang w:eastAsia="ko-KR" w:bidi="en-US"/>
              </w:rPr>
              <w:t>c</w:t>
            </w:r>
          </w:p>
        </w:tc>
        <w:tc>
          <w:tcPr>
            <w:tcW w:w="838" w:type="dxa"/>
            <w:vAlign w:val="center"/>
          </w:tcPr>
          <w:p w14:paraId="72E8B16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0.39</w:t>
            </w:r>
          </w:p>
        </w:tc>
        <w:tc>
          <w:tcPr>
            <w:tcW w:w="1317" w:type="dxa"/>
            <w:vMerge w:val="restart"/>
            <w:vAlign w:val="center"/>
          </w:tcPr>
          <w:p w14:paraId="63EA01F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0.384±0.01</w:t>
            </w:r>
            <w:r w:rsidRPr="003D65B7">
              <w:rPr>
                <w:rFonts w:ascii="Arial" w:eastAsiaTheme="minorEastAsia" w:hAnsi="Arial" w:cs="Times New Roman"/>
                <w:snapToGrid w:val="0"/>
                <w:color w:val="000000"/>
                <w:sz w:val="20"/>
                <w:szCs w:val="24"/>
                <w:vertAlign w:val="superscript"/>
                <w:lang w:eastAsia="ko-KR" w:bidi="en-US"/>
              </w:rPr>
              <w:t>d</w:t>
            </w:r>
          </w:p>
        </w:tc>
        <w:tc>
          <w:tcPr>
            <w:tcW w:w="838" w:type="dxa"/>
            <w:vAlign w:val="center"/>
          </w:tcPr>
          <w:p w14:paraId="235A939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165</w:t>
            </w:r>
          </w:p>
        </w:tc>
        <w:tc>
          <w:tcPr>
            <w:tcW w:w="1314" w:type="dxa"/>
            <w:vMerge w:val="restart"/>
            <w:vAlign w:val="center"/>
          </w:tcPr>
          <w:p w14:paraId="64DCAB12" w14:textId="6B1A771F"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165.0±1.23</w:t>
            </w:r>
            <w:r w:rsidRPr="003D65B7">
              <w:rPr>
                <w:rFonts w:ascii="Arial" w:eastAsiaTheme="minorEastAsia" w:hAnsi="Arial" w:cs="Times New Roman"/>
                <w:snapToGrid w:val="0"/>
                <w:color w:val="000000"/>
                <w:sz w:val="20"/>
                <w:szCs w:val="24"/>
                <w:vertAlign w:val="superscript"/>
                <w:lang w:eastAsia="ko-KR" w:bidi="en-US"/>
              </w:rPr>
              <w:t>a</w:t>
            </w:r>
          </w:p>
        </w:tc>
      </w:tr>
      <w:tr w:rsidR="00EA05FC" w:rsidRPr="003D65B7" w14:paraId="3EE06140" w14:textId="77777777" w:rsidTr="00F45092">
        <w:trPr>
          <w:trHeight w:val="17"/>
        </w:trPr>
        <w:tc>
          <w:tcPr>
            <w:tcW w:w="1090" w:type="dxa"/>
            <w:vMerge/>
            <w:vAlign w:val="center"/>
          </w:tcPr>
          <w:p w14:paraId="712CA15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5836504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 R2</w:t>
            </w:r>
          </w:p>
        </w:tc>
        <w:tc>
          <w:tcPr>
            <w:tcW w:w="839" w:type="dxa"/>
            <w:vAlign w:val="center"/>
          </w:tcPr>
          <w:p w14:paraId="36B1EEA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6.6</w:t>
            </w:r>
          </w:p>
        </w:tc>
        <w:tc>
          <w:tcPr>
            <w:tcW w:w="1274" w:type="dxa"/>
            <w:vMerge/>
            <w:vAlign w:val="center"/>
          </w:tcPr>
          <w:p w14:paraId="631CA3F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CCA9F1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395</w:t>
            </w:r>
          </w:p>
        </w:tc>
        <w:tc>
          <w:tcPr>
            <w:tcW w:w="1400" w:type="dxa"/>
            <w:vMerge/>
            <w:vAlign w:val="center"/>
          </w:tcPr>
          <w:p w14:paraId="6445C17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31CE8F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0.759</w:t>
            </w:r>
          </w:p>
        </w:tc>
        <w:tc>
          <w:tcPr>
            <w:tcW w:w="1310" w:type="dxa"/>
            <w:vMerge/>
            <w:vAlign w:val="center"/>
          </w:tcPr>
          <w:p w14:paraId="6721748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97FB55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0.345</w:t>
            </w:r>
          </w:p>
        </w:tc>
        <w:tc>
          <w:tcPr>
            <w:tcW w:w="1317" w:type="dxa"/>
            <w:vMerge/>
            <w:vAlign w:val="center"/>
          </w:tcPr>
          <w:p w14:paraId="035B6AE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51FB85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168</w:t>
            </w:r>
          </w:p>
        </w:tc>
        <w:tc>
          <w:tcPr>
            <w:tcW w:w="1314" w:type="dxa"/>
            <w:vMerge/>
            <w:vAlign w:val="center"/>
          </w:tcPr>
          <w:p w14:paraId="0CEEC3F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013BAEA3" w14:textId="77777777" w:rsidTr="00F45092">
        <w:trPr>
          <w:trHeight w:val="17"/>
        </w:trPr>
        <w:tc>
          <w:tcPr>
            <w:tcW w:w="1090" w:type="dxa"/>
            <w:vMerge/>
            <w:vAlign w:val="center"/>
          </w:tcPr>
          <w:p w14:paraId="40FFA68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2AA4271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 R3</w:t>
            </w:r>
          </w:p>
        </w:tc>
        <w:tc>
          <w:tcPr>
            <w:tcW w:w="839" w:type="dxa"/>
            <w:vAlign w:val="center"/>
          </w:tcPr>
          <w:p w14:paraId="767C70F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6.7</w:t>
            </w:r>
          </w:p>
        </w:tc>
        <w:tc>
          <w:tcPr>
            <w:tcW w:w="1274" w:type="dxa"/>
            <w:vMerge/>
            <w:vAlign w:val="center"/>
          </w:tcPr>
          <w:p w14:paraId="1F06F59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907B84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390</w:t>
            </w:r>
          </w:p>
        </w:tc>
        <w:tc>
          <w:tcPr>
            <w:tcW w:w="1400" w:type="dxa"/>
            <w:vMerge/>
            <w:vAlign w:val="center"/>
          </w:tcPr>
          <w:p w14:paraId="68357E9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74752C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0.811</w:t>
            </w:r>
          </w:p>
        </w:tc>
        <w:tc>
          <w:tcPr>
            <w:tcW w:w="1310" w:type="dxa"/>
            <w:vMerge/>
            <w:vAlign w:val="center"/>
          </w:tcPr>
          <w:p w14:paraId="363FA54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42B3D6A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0.389</w:t>
            </w:r>
          </w:p>
        </w:tc>
        <w:tc>
          <w:tcPr>
            <w:tcW w:w="1317" w:type="dxa"/>
            <w:vMerge/>
            <w:vAlign w:val="center"/>
          </w:tcPr>
          <w:p w14:paraId="083F94C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A3C29C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162</w:t>
            </w:r>
          </w:p>
        </w:tc>
        <w:tc>
          <w:tcPr>
            <w:tcW w:w="1314" w:type="dxa"/>
            <w:vMerge/>
            <w:vAlign w:val="center"/>
          </w:tcPr>
          <w:p w14:paraId="411C998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46AE8599" w14:textId="77777777" w:rsidTr="00F45092">
        <w:trPr>
          <w:trHeight w:val="17"/>
        </w:trPr>
        <w:tc>
          <w:tcPr>
            <w:tcW w:w="1090" w:type="dxa"/>
            <w:vMerge/>
            <w:vAlign w:val="center"/>
          </w:tcPr>
          <w:p w14:paraId="69A752B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531D3CD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S3 R4</w:t>
            </w:r>
          </w:p>
        </w:tc>
        <w:tc>
          <w:tcPr>
            <w:tcW w:w="839" w:type="dxa"/>
            <w:vAlign w:val="center"/>
          </w:tcPr>
          <w:p w14:paraId="23B36A1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6.9</w:t>
            </w:r>
          </w:p>
        </w:tc>
        <w:tc>
          <w:tcPr>
            <w:tcW w:w="1274" w:type="dxa"/>
            <w:vMerge/>
            <w:vAlign w:val="center"/>
          </w:tcPr>
          <w:p w14:paraId="34FA668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53BFEE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400</w:t>
            </w:r>
          </w:p>
        </w:tc>
        <w:tc>
          <w:tcPr>
            <w:tcW w:w="1400" w:type="dxa"/>
            <w:vMerge/>
            <w:vAlign w:val="center"/>
          </w:tcPr>
          <w:p w14:paraId="69AF47D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04643EC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0.778</w:t>
            </w:r>
          </w:p>
        </w:tc>
        <w:tc>
          <w:tcPr>
            <w:tcW w:w="1310" w:type="dxa"/>
            <w:vMerge/>
            <w:vAlign w:val="center"/>
          </w:tcPr>
          <w:p w14:paraId="14CA18B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821E61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0.412</w:t>
            </w:r>
          </w:p>
        </w:tc>
        <w:tc>
          <w:tcPr>
            <w:tcW w:w="1317" w:type="dxa"/>
            <w:vMerge/>
            <w:vAlign w:val="center"/>
          </w:tcPr>
          <w:p w14:paraId="3784C52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7B8BC62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165</w:t>
            </w:r>
          </w:p>
        </w:tc>
        <w:tc>
          <w:tcPr>
            <w:tcW w:w="1314" w:type="dxa"/>
            <w:vMerge/>
            <w:vAlign w:val="center"/>
          </w:tcPr>
          <w:p w14:paraId="3C3E8CD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1DD48F09" w14:textId="77777777" w:rsidTr="00F45092">
        <w:trPr>
          <w:trHeight w:val="17"/>
        </w:trPr>
        <w:tc>
          <w:tcPr>
            <w:tcW w:w="1090" w:type="dxa"/>
            <w:vMerge w:val="restart"/>
            <w:vAlign w:val="center"/>
          </w:tcPr>
          <w:p w14:paraId="304828D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Kalshi</w:t>
            </w:r>
          </w:p>
        </w:tc>
        <w:tc>
          <w:tcPr>
            <w:tcW w:w="978" w:type="dxa"/>
            <w:vAlign w:val="center"/>
          </w:tcPr>
          <w:p w14:paraId="5B533C9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S4R1</w:t>
            </w:r>
          </w:p>
        </w:tc>
        <w:tc>
          <w:tcPr>
            <w:tcW w:w="839" w:type="dxa"/>
            <w:vAlign w:val="center"/>
          </w:tcPr>
          <w:p w14:paraId="23480BB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1274" w:type="dxa"/>
            <w:vMerge w:val="restart"/>
            <w:vAlign w:val="center"/>
          </w:tcPr>
          <w:p w14:paraId="1DF6B21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6.40±0.04</w:t>
            </w:r>
            <w:r w:rsidRPr="003D65B7">
              <w:rPr>
                <w:rFonts w:ascii="Arial" w:eastAsiaTheme="minorEastAsia" w:hAnsi="Arial" w:cs="Times New Roman"/>
                <w:snapToGrid w:val="0"/>
                <w:color w:val="000000"/>
                <w:sz w:val="20"/>
                <w:szCs w:val="24"/>
                <w:vertAlign w:val="superscript"/>
                <w:lang w:eastAsia="ko-KR" w:bidi="en-US"/>
              </w:rPr>
              <w:t>ab</w:t>
            </w:r>
          </w:p>
        </w:tc>
        <w:tc>
          <w:tcPr>
            <w:tcW w:w="838" w:type="dxa"/>
            <w:vAlign w:val="center"/>
          </w:tcPr>
          <w:p w14:paraId="1C1BF0A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365</w:t>
            </w:r>
          </w:p>
        </w:tc>
        <w:tc>
          <w:tcPr>
            <w:tcW w:w="1400" w:type="dxa"/>
            <w:vMerge w:val="restart"/>
            <w:vAlign w:val="center"/>
          </w:tcPr>
          <w:p w14:paraId="76ED1D7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363.0±1.22</w:t>
            </w:r>
            <w:r w:rsidRPr="003D65B7">
              <w:rPr>
                <w:rFonts w:ascii="Arial" w:eastAsiaTheme="minorEastAsia" w:hAnsi="Arial" w:cs="Times New Roman"/>
                <w:snapToGrid w:val="0"/>
                <w:color w:val="000000"/>
                <w:sz w:val="20"/>
                <w:szCs w:val="24"/>
                <w:vertAlign w:val="superscript"/>
                <w:lang w:eastAsia="ko-KR" w:bidi="en-US"/>
              </w:rPr>
              <w:t>b</w:t>
            </w:r>
          </w:p>
        </w:tc>
        <w:tc>
          <w:tcPr>
            <w:tcW w:w="826" w:type="dxa"/>
            <w:vAlign w:val="center"/>
          </w:tcPr>
          <w:p w14:paraId="01918C9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0.873</w:t>
            </w:r>
          </w:p>
        </w:tc>
        <w:tc>
          <w:tcPr>
            <w:tcW w:w="1310" w:type="dxa"/>
            <w:vMerge w:val="restart"/>
            <w:vAlign w:val="center"/>
          </w:tcPr>
          <w:p w14:paraId="47CC706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0.924±0.05</w:t>
            </w:r>
            <w:r w:rsidRPr="003D65B7">
              <w:rPr>
                <w:rFonts w:ascii="Arial" w:eastAsiaTheme="minorEastAsia" w:hAnsi="Arial" w:cs="Times New Roman"/>
                <w:snapToGrid w:val="0"/>
                <w:color w:val="000000"/>
                <w:sz w:val="20"/>
                <w:szCs w:val="24"/>
                <w:vertAlign w:val="superscript"/>
                <w:lang w:eastAsia="ko-KR" w:bidi="en-US"/>
              </w:rPr>
              <w:t>a</w:t>
            </w:r>
          </w:p>
        </w:tc>
        <w:tc>
          <w:tcPr>
            <w:tcW w:w="838" w:type="dxa"/>
            <w:vAlign w:val="center"/>
          </w:tcPr>
          <w:p w14:paraId="0901D61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0.512</w:t>
            </w:r>
          </w:p>
        </w:tc>
        <w:tc>
          <w:tcPr>
            <w:tcW w:w="1317" w:type="dxa"/>
            <w:vMerge w:val="restart"/>
            <w:vAlign w:val="center"/>
          </w:tcPr>
          <w:p w14:paraId="267E58F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0.520± 0.01</w:t>
            </w:r>
            <w:r w:rsidRPr="003D65B7">
              <w:rPr>
                <w:rFonts w:ascii="Arial" w:eastAsiaTheme="minorEastAsia" w:hAnsi="Arial" w:cs="Times New Roman"/>
                <w:snapToGrid w:val="0"/>
                <w:color w:val="000000"/>
                <w:sz w:val="20"/>
                <w:szCs w:val="24"/>
                <w:vertAlign w:val="superscript"/>
                <w:lang w:eastAsia="ko-KR" w:bidi="en-US"/>
              </w:rPr>
              <w:t>c</w:t>
            </w:r>
          </w:p>
        </w:tc>
        <w:tc>
          <w:tcPr>
            <w:tcW w:w="838" w:type="dxa"/>
            <w:vAlign w:val="center"/>
          </w:tcPr>
          <w:p w14:paraId="5828C3B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75</w:t>
            </w:r>
          </w:p>
        </w:tc>
        <w:tc>
          <w:tcPr>
            <w:tcW w:w="1314" w:type="dxa"/>
            <w:vMerge w:val="restart"/>
            <w:vAlign w:val="center"/>
          </w:tcPr>
          <w:p w14:paraId="2EE838B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75.0 ± 2.04</w:t>
            </w:r>
            <w:r w:rsidRPr="003D65B7">
              <w:rPr>
                <w:rFonts w:ascii="Arial" w:eastAsiaTheme="minorEastAsia" w:hAnsi="Arial" w:cs="Times New Roman"/>
                <w:snapToGrid w:val="0"/>
                <w:color w:val="000000"/>
                <w:sz w:val="20"/>
                <w:szCs w:val="24"/>
                <w:vertAlign w:val="superscript"/>
                <w:lang w:eastAsia="ko-KR" w:bidi="en-US"/>
              </w:rPr>
              <w:t>c</w:t>
            </w:r>
          </w:p>
        </w:tc>
      </w:tr>
      <w:tr w:rsidR="00EA05FC" w:rsidRPr="003D65B7" w14:paraId="1A76161E" w14:textId="77777777" w:rsidTr="00F45092">
        <w:trPr>
          <w:trHeight w:val="17"/>
        </w:trPr>
        <w:tc>
          <w:tcPr>
            <w:tcW w:w="1090" w:type="dxa"/>
            <w:vMerge/>
            <w:vAlign w:val="center"/>
          </w:tcPr>
          <w:p w14:paraId="7E801BD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13B9039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 R2</w:t>
            </w:r>
          </w:p>
        </w:tc>
        <w:tc>
          <w:tcPr>
            <w:tcW w:w="839" w:type="dxa"/>
            <w:vAlign w:val="center"/>
          </w:tcPr>
          <w:p w14:paraId="3BCA79E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1274" w:type="dxa"/>
            <w:vMerge/>
            <w:vAlign w:val="center"/>
          </w:tcPr>
          <w:p w14:paraId="61B3CE3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49FBD7E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360</w:t>
            </w:r>
          </w:p>
        </w:tc>
        <w:tc>
          <w:tcPr>
            <w:tcW w:w="1400" w:type="dxa"/>
            <w:vMerge/>
            <w:vAlign w:val="center"/>
          </w:tcPr>
          <w:p w14:paraId="5D964EF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A5F833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0.821</w:t>
            </w:r>
          </w:p>
        </w:tc>
        <w:tc>
          <w:tcPr>
            <w:tcW w:w="1310" w:type="dxa"/>
            <w:vMerge/>
            <w:vAlign w:val="center"/>
          </w:tcPr>
          <w:p w14:paraId="6D38AA2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1E421E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0.517</w:t>
            </w:r>
          </w:p>
        </w:tc>
        <w:tc>
          <w:tcPr>
            <w:tcW w:w="1317" w:type="dxa"/>
            <w:vMerge/>
            <w:vAlign w:val="center"/>
          </w:tcPr>
          <w:p w14:paraId="17F4D03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5E4A42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70</w:t>
            </w:r>
          </w:p>
        </w:tc>
        <w:tc>
          <w:tcPr>
            <w:tcW w:w="1314" w:type="dxa"/>
            <w:vMerge/>
            <w:vAlign w:val="center"/>
          </w:tcPr>
          <w:p w14:paraId="4F7A1B4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1776F333" w14:textId="77777777" w:rsidTr="00F45092">
        <w:trPr>
          <w:trHeight w:val="17"/>
        </w:trPr>
        <w:tc>
          <w:tcPr>
            <w:tcW w:w="1090" w:type="dxa"/>
            <w:vMerge/>
            <w:vAlign w:val="center"/>
          </w:tcPr>
          <w:p w14:paraId="3F3B38C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5DFD961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 R3</w:t>
            </w:r>
          </w:p>
        </w:tc>
        <w:tc>
          <w:tcPr>
            <w:tcW w:w="839" w:type="dxa"/>
            <w:vAlign w:val="center"/>
          </w:tcPr>
          <w:p w14:paraId="6472BC0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6.3</w:t>
            </w:r>
          </w:p>
        </w:tc>
        <w:tc>
          <w:tcPr>
            <w:tcW w:w="1274" w:type="dxa"/>
            <w:vMerge/>
            <w:vAlign w:val="center"/>
          </w:tcPr>
          <w:p w14:paraId="20A3443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27BA66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365</w:t>
            </w:r>
          </w:p>
        </w:tc>
        <w:tc>
          <w:tcPr>
            <w:tcW w:w="1400" w:type="dxa"/>
            <w:vMerge/>
            <w:vAlign w:val="center"/>
          </w:tcPr>
          <w:p w14:paraId="4CAB836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ADCD2E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1.000</w:t>
            </w:r>
          </w:p>
        </w:tc>
        <w:tc>
          <w:tcPr>
            <w:tcW w:w="1310" w:type="dxa"/>
            <w:vMerge/>
            <w:vAlign w:val="center"/>
          </w:tcPr>
          <w:p w14:paraId="34946CA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D19BA2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0.547</w:t>
            </w:r>
          </w:p>
        </w:tc>
        <w:tc>
          <w:tcPr>
            <w:tcW w:w="1317" w:type="dxa"/>
            <w:vMerge/>
            <w:vAlign w:val="center"/>
          </w:tcPr>
          <w:p w14:paraId="1F0768C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7A4C32E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80</w:t>
            </w:r>
          </w:p>
        </w:tc>
        <w:tc>
          <w:tcPr>
            <w:tcW w:w="1314" w:type="dxa"/>
            <w:vMerge/>
            <w:vAlign w:val="center"/>
          </w:tcPr>
          <w:p w14:paraId="584984C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0C321FDA" w14:textId="77777777" w:rsidTr="00F45092">
        <w:trPr>
          <w:trHeight w:val="17"/>
        </w:trPr>
        <w:tc>
          <w:tcPr>
            <w:tcW w:w="1090" w:type="dxa"/>
            <w:vMerge/>
            <w:vAlign w:val="center"/>
          </w:tcPr>
          <w:p w14:paraId="495CB48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0485B5E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S4 R4</w:t>
            </w:r>
          </w:p>
        </w:tc>
        <w:tc>
          <w:tcPr>
            <w:tcW w:w="839" w:type="dxa"/>
            <w:vAlign w:val="center"/>
          </w:tcPr>
          <w:p w14:paraId="18A0D84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6.5</w:t>
            </w:r>
          </w:p>
        </w:tc>
        <w:tc>
          <w:tcPr>
            <w:tcW w:w="1274" w:type="dxa"/>
            <w:vMerge/>
            <w:vAlign w:val="center"/>
          </w:tcPr>
          <w:p w14:paraId="6D9608D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2FDCF86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362</w:t>
            </w:r>
          </w:p>
        </w:tc>
        <w:tc>
          <w:tcPr>
            <w:tcW w:w="1400" w:type="dxa"/>
            <w:vMerge/>
            <w:vAlign w:val="center"/>
          </w:tcPr>
          <w:p w14:paraId="4B32E73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7ADD8B6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1.000</w:t>
            </w:r>
          </w:p>
        </w:tc>
        <w:tc>
          <w:tcPr>
            <w:tcW w:w="1310" w:type="dxa"/>
            <w:vMerge/>
            <w:vAlign w:val="center"/>
          </w:tcPr>
          <w:p w14:paraId="203A383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748ADC8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0.502</w:t>
            </w:r>
          </w:p>
        </w:tc>
        <w:tc>
          <w:tcPr>
            <w:tcW w:w="1317" w:type="dxa"/>
            <w:vMerge/>
            <w:vAlign w:val="center"/>
          </w:tcPr>
          <w:p w14:paraId="0E3A5B3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FCA2DB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75</w:t>
            </w:r>
          </w:p>
        </w:tc>
        <w:tc>
          <w:tcPr>
            <w:tcW w:w="1314" w:type="dxa"/>
            <w:vMerge/>
            <w:vAlign w:val="center"/>
          </w:tcPr>
          <w:p w14:paraId="3A488C1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1E8C44A8" w14:textId="77777777" w:rsidTr="00F45092">
        <w:trPr>
          <w:trHeight w:val="17"/>
        </w:trPr>
        <w:tc>
          <w:tcPr>
            <w:tcW w:w="1090" w:type="dxa"/>
            <w:vMerge w:val="restart"/>
            <w:vAlign w:val="center"/>
          </w:tcPr>
          <w:p w14:paraId="79FCA01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SAU campus</w:t>
            </w:r>
          </w:p>
        </w:tc>
        <w:tc>
          <w:tcPr>
            <w:tcW w:w="978" w:type="dxa"/>
            <w:vAlign w:val="center"/>
          </w:tcPr>
          <w:p w14:paraId="6B96B7D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 R1</w:t>
            </w:r>
          </w:p>
        </w:tc>
        <w:tc>
          <w:tcPr>
            <w:tcW w:w="839" w:type="dxa"/>
            <w:vAlign w:val="center"/>
          </w:tcPr>
          <w:p w14:paraId="1018C94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1274" w:type="dxa"/>
            <w:vMerge w:val="restart"/>
            <w:vAlign w:val="center"/>
          </w:tcPr>
          <w:p w14:paraId="21EF0FA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6.48±0.05</w:t>
            </w:r>
            <w:r w:rsidRPr="003D65B7">
              <w:rPr>
                <w:rFonts w:ascii="Arial" w:eastAsiaTheme="minorEastAsia" w:hAnsi="Arial" w:cs="Times New Roman"/>
                <w:snapToGrid w:val="0"/>
                <w:color w:val="000000"/>
                <w:sz w:val="20"/>
                <w:szCs w:val="24"/>
                <w:vertAlign w:val="superscript"/>
                <w:lang w:eastAsia="ko-KR" w:bidi="en-US"/>
              </w:rPr>
              <w:t>ab</w:t>
            </w:r>
          </w:p>
        </w:tc>
        <w:tc>
          <w:tcPr>
            <w:tcW w:w="838" w:type="dxa"/>
            <w:vAlign w:val="center"/>
          </w:tcPr>
          <w:p w14:paraId="6B381F2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300</w:t>
            </w:r>
          </w:p>
        </w:tc>
        <w:tc>
          <w:tcPr>
            <w:tcW w:w="1400" w:type="dxa"/>
            <w:vMerge w:val="restart"/>
            <w:vAlign w:val="center"/>
          </w:tcPr>
          <w:p w14:paraId="630F2E4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307.5± 3.23</w:t>
            </w:r>
            <w:r w:rsidRPr="003D65B7">
              <w:rPr>
                <w:rFonts w:ascii="Arial" w:eastAsiaTheme="minorEastAsia" w:hAnsi="Arial" w:cs="Times New Roman"/>
                <w:snapToGrid w:val="0"/>
                <w:color w:val="000000"/>
                <w:sz w:val="20"/>
                <w:szCs w:val="24"/>
                <w:vertAlign w:val="superscript"/>
                <w:lang w:eastAsia="ko-KR" w:bidi="en-US"/>
              </w:rPr>
              <w:t>c</w:t>
            </w:r>
          </w:p>
        </w:tc>
        <w:tc>
          <w:tcPr>
            <w:tcW w:w="826" w:type="dxa"/>
            <w:vAlign w:val="center"/>
          </w:tcPr>
          <w:p w14:paraId="586FF67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0.832</w:t>
            </w:r>
          </w:p>
        </w:tc>
        <w:tc>
          <w:tcPr>
            <w:tcW w:w="1310" w:type="dxa"/>
            <w:vMerge w:val="restart"/>
            <w:vAlign w:val="center"/>
          </w:tcPr>
          <w:p w14:paraId="5A4E4F4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0.931±0.04</w:t>
            </w:r>
            <w:r w:rsidRPr="003D65B7">
              <w:rPr>
                <w:rFonts w:ascii="Arial" w:eastAsiaTheme="minorEastAsia" w:hAnsi="Arial" w:cs="Times New Roman"/>
                <w:snapToGrid w:val="0"/>
                <w:color w:val="000000"/>
                <w:sz w:val="20"/>
                <w:szCs w:val="24"/>
                <w:vertAlign w:val="superscript"/>
                <w:lang w:eastAsia="ko-KR" w:bidi="en-US"/>
              </w:rPr>
              <w:t>a</w:t>
            </w:r>
          </w:p>
        </w:tc>
        <w:tc>
          <w:tcPr>
            <w:tcW w:w="838" w:type="dxa"/>
            <w:vAlign w:val="center"/>
          </w:tcPr>
          <w:p w14:paraId="094424C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0.653</w:t>
            </w:r>
          </w:p>
        </w:tc>
        <w:tc>
          <w:tcPr>
            <w:tcW w:w="1317" w:type="dxa"/>
            <w:vMerge w:val="restart"/>
            <w:vAlign w:val="center"/>
          </w:tcPr>
          <w:p w14:paraId="16445CF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0.670± 0.01</w:t>
            </w:r>
            <w:r w:rsidRPr="003D65B7">
              <w:rPr>
                <w:rFonts w:ascii="Arial" w:eastAsiaTheme="minorEastAsia" w:hAnsi="Arial" w:cs="Times New Roman"/>
                <w:snapToGrid w:val="0"/>
                <w:color w:val="000000"/>
                <w:sz w:val="20"/>
                <w:szCs w:val="24"/>
                <w:vertAlign w:val="superscript"/>
                <w:lang w:eastAsia="ko-KR" w:bidi="en-US"/>
              </w:rPr>
              <w:t>b</w:t>
            </w:r>
          </w:p>
        </w:tc>
        <w:tc>
          <w:tcPr>
            <w:tcW w:w="838" w:type="dxa"/>
            <w:vAlign w:val="center"/>
          </w:tcPr>
          <w:p w14:paraId="57AEFB5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150</w:t>
            </w:r>
          </w:p>
        </w:tc>
        <w:tc>
          <w:tcPr>
            <w:tcW w:w="1314" w:type="dxa"/>
            <w:vMerge w:val="restart"/>
            <w:vAlign w:val="center"/>
          </w:tcPr>
          <w:p w14:paraId="6EED3EB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149.3±1.89</w:t>
            </w:r>
            <w:r w:rsidRPr="003D65B7">
              <w:rPr>
                <w:rFonts w:ascii="Arial" w:eastAsiaTheme="minorEastAsia" w:hAnsi="Arial" w:cs="Times New Roman"/>
                <w:snapToGrid w:val="0"/>
                <w:color w:val="000000"/>
                <w:sz w:val="20"/>
                <w:szCs w:val="24"/>
                <w:vertAlign w:val="superscript"/>
                <w:lang w:eastAsia="ko-KR" w:bidi="en-US"/>
              </w:rPr>
              <w:t>b</w:t>
            </w:r>
          </w:p>
        </w:tc>
      </w:tr>
      <w:tr w:rsidR="00EA05FC" w:rsidRPr="003D65B7" w14:paraId="63955C89" w14:textId="77777777" w:rsidTr="00F45092">
        <w:trPr>
          <w:trHeight w:val="17"/>
        </w:trPr>
        <w:tc>
          <w:tcPr>
            <w:tcW w:w="1090" w:type="dxa"/>
            <w:vMerge/>
            <w:vAlign w:val="center"/>
          </w:tcPr>
          <w:p w14:paraId="0632A7D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605DAF8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 R2</w:t>
            </w:r>
          </w:p>
        </w:tc>
        <w:tc>
          <w:tcPr>
            <w:tcW w:w="839" w:type="dxa"/>
            <w:vAlign w:val="center"/>
          </w:tcPr>
          <w:p w14:paraId="0523D8B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6.6</w:t>
            </w:r>
          </w:p>
        </w:tc>
        <w:tc>
          <w:tcPr>
            <w:tcW w:w="1274" w:type="dxa"/>
            <w:vMerge/>
            <w:vAlign w:val="center"/>
          </w:tcPr>
          <w:p w14:paraId="4B3E867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8B8E80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310</w:t>
            </w:r>
          </w:p>
        </w:tc>
        <w:tc>
          <w:tcPr>
            <w:tcW w:w="1400" w:type="dxa"/>
            <w:vMerge/>
            <w:vAlign w:val="center"/>
          </w:tcPr>
          <w:p w14:paraId="28AA573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29E0D0C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0.892</w:t>
            </w:r>
          </w:p>
        </w:tc>
        <w:tc>
          <w:tcPr>
            <w:tcW w:w="1310" w:type="dxa"/>
            <w:vMerge/>
            <w:vAlign w:val="center"/>
          </w:tcPr>
          <w:p w14:paraId="30B6C03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DF9720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0.678</w:t>
            </w:r>
          </w:p>
        </w:tc>
        <w:tc>
          <w:tcPr>
            <w:tcW w:w="1317" w:type="dxa"/>
            <w:vMerge/>
            <w:vAlign w:val="center"/>
          </w:tcPr>
          <w:p w14:paraId="15981AD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07494DB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153</w:t>
            </w:r>
          </w:p>
        </w:tc>
        <w:tc>
          <w:tcPr>
            <w:tcW w:w="1314" w:type="dxa"/>
            <w:vMerge/>
            <w:vAlign w:val="center"/>
          </w:tcPr>
          <w:p w14:paraId="223843F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69C3DA01" w14:textId="77777777" w:rsidTr="00F45092">
        <w:trPr>
          <w:trHeight w:val="17"/>
        </w:trPr>
        <w:tc>
          <w:tcPr>
            <w:tcW w:w="1090" w:type="dxa"/>
            <w:vMerge/>
            <w:vAlign w:val="center"/>
          </w:tcPr>
          <w:p w14:paraId="740BD7D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056579A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 R3</w:t>
            </w:r>
          </w:p>
        </w:tc>
        <w:tc>
          <w:tcPr>
            <w:tcW w:w="839" w:type="dxa"/>
            <w:vAlign w:val="center"/>
          </w:tcPr>
          <w:p w14:paraId="20F7D37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6.5</w:t>
            </w:r>
          </w:p>
        </w:tc>
        <w:tc>
          <w:tcPr>
            <w:tcW w:w="1274" w:type="dxa"/>
            <w:vMerge/>
            <w:vAlign w:val="center"/>
          </w:tcPr>
          <w:p w14:paraId="5E77EB4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98A9A80"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305</w:t>
            </w:r>
          </w:p>
        </w:tc>
        <w:tc>
          <w:tcPr>
            <w:tcW w:w="1400" w:type="dxa"/>
            <w:vMerge/>
            <w:vAlign w:val="center"/>
          </w:tcPr>
          <w:p w14:paraId="1555FCD1"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1ED0890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1.000</w:t>
            </w:r>
          </w:p>
        </w:tc>
        <w:tc>
          <w:tcPr>
            <w:tcW w:w="1310" w:type="dxa"/>
            <w:vMerge/>
            <w:vAlign w:val="center"/>
          </w:tcPr>
          <w:p w14:paraId="4124FC9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42FA6DF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0.653</w:t>
            </w:r>
          </w:p>
        </w:tc>
        <w:tc>
          <w:tcPr>
            <w:tcW w:w="1317" w:type="dxa"/>
            <w:vMerge/>
            <w:vAlign w:val="center"/>
          </w:tcPr>
          <w:p w14:paraId="1C5A73E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551D3B7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144</w:t>
            </w:r>
          </w:p>
        </w:tc>
        <w:tc>
          <w:tcPr>
            <w:tcW w:w="1314" w:type="dxa"/>
            <w:vMerge/>
            <w:vAlign w:val="center"/>
          </w:tcPr>
          <w:p w14:paraId="5D7EEFD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5B681817" w14:textId="77777777" w:rsidTr="00F45092">
        <w:trPr>
          <w:trHeight w:val="17"/>
        </w:trPr>
        <w:tc>
          <w:tcPr>
            <w:tcW w:w="1090" w:type="dxa"/>
            <w:vMerge/>
            <w:vAlign w:val="center"/>
          </w:tcPr>
          <w:p w14:paraId="198F3C7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978" w:type="dxa"/>
            <w:vAlign w:val="center"/>
          </w:tcPr>
          <w:p w14:paraId="270F94D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S5 R4</w:t>
            </w:r>
          </w:p>
        </w:tc>
        <w:tc>
          <w:tcPr>
            <w:tcW w:w="839" w:type="dxa"/>
            <w:vAlign w:val="center"/>
          </w:tcPr>
          <w:p w14:paraId="1BCE06B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6.4</w:t>
            </w:r>
          </w:p>
        </w:tc>
        <w:tc>
          <w:tcPr>
            <w:tcW w:w="1274" w:type="dxa"/>
            <w:vMerge/>
            <w:vAlign w:val="center"/>
          </w:tcPr>
          <w:p w14:paraId="49E4C26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680278B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315</w:t>
            </w:r>
          </w:p>
        </w:tc>
        <w:tc>
          <w:tcPr>
            <w:tcW w:w="1400" w:type="dxa"/>
            <w:vMerge/>
            <w:vAlign w:val="center"/>
          </w:tcPr>
          <w:p w14:paraId="41DD6D54"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26" w:type="dxa"/>
            <w:vAlign w:val="center"/>
          </w:tcPr>
          <w:p w14:paraId="66B8047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1.000</w:t>
            </w:r>
          </w:p>
        </w:tc>
        <w:tc>
          <w:tcPr>
            <w:tcW w:w="1310" w:type="dxa"/>
            <w:vMerge/>
            <w:vAlign w:val="center"/>
          </w:tcPr>
          <w:p w14:paraId="3C90E22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1D40316F"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0.697</w:t>
            </w:r>
          </w:p>
        </w:tc>
        <w:tc>
          <w:tcPr>
            <w:tcW w:w="1317" w:type="dxa"/>
            <w:vMerge/>
            <w:vAlign w:val="center"/>
          </w:tcPr>
          <w:p w14:paraId="42B5253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8" w:type="dxa"/>
            <w:vAlign w:val="center"/>
          </w:tcPr>
          <w:p w14:paraId="3A60E00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150</w:t>
            </w:r>
          </w:p>
        </w:tc>
        <w:tc>
          <w:tcPr>
            <w:tcW w:w="1314" w:type="dxa"/>
            <w:vMerge/>
            <w:vAlign w:val="center"/>
          </w:tcPr>
          <w:p w14:paraId="317E7555"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r>
      <w:tr w:rsidR="00EA05FC" w:rsidRPr="003D65B7" w14:paraId="1A4310B5" w14:textId="77777777" w:rsidTr="00F45092">
        <w:trPr>
          <w:trHeight w:val="185"/>
        </w:trPr>
        <w:tc>
          <w:tcPr>
            <w:tcW w:w="1090" w:type="dxa"/>
            <w:vAlign w:val="center"/>
          </w:tcPr>
          <w:p w14:paraId="43711ED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ANOVA F (4,15)</w:t>
            </w:r>
          </w:p>
        </w:tc>
        <w:tc>
          <w:tcPr>
            <w:tcW w:w="978" w:type="dxa"/>
            <w:vAlign w:val="center"/>
          </w:tcPr>
          <w:p w14:paraId="65BA15C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9" w:type="dxa"/>
            <w:vAlign w:val="center"/>
          </w:tcPr>
          <w:p w14:paraId="2EE3033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274" w:type="dxa"/>
            <w:vAlign w:val="center"/>
          </w:tcPr>
          <w:p w14:paraId="55FEE8C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45.2</w:t>
            </w:r>
          </w:p>
        </w:tc>
        <w:tc>
          <w:tcPr>
            <w:tcW w:w="838" w:type="dxa"/>
            <w:vAlign w:val="center"/>
          </w:tcPr>
          <w:p w14:paraId="2F3458E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400" w:type="dxa"/>
            <w:vAlign w:val="center"/>
          </w:tcPr>
          <w:p w14:paraId="064299F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68.4</w:t>
            </w:r>
          </w:p>
        </w:tc>
        <w:tc>
          <w:tcPr>
            <w:tcW w:w="826" w:type="dxa"/>
            <w:vAlign w:val="center"/>
          </w:tcPr>
          <w:p w14:paraId="441A481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0" w:type="dxa"/>
            <w:vAlign w:val="center"/>
          </w:tcPr>
          <w:p w14:paraId="3F4D6C22"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25.3</w:t>
            </w:r>
          </w:p>
        </w:tc>
        <w:tc>
          <w:tcPr>
            <w:tcW w:w="838" w:type="dxa"/>
            <w:vAlign w:val="center"/>
          </w:tcPr>
          <w:p w14:paraId="183A27E6"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7" w:type="dxa"/>
            <w:vAlign w:val="center"/>
          </w:tcPr>
          <w:p w14:paraId="0A196A5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105.7</w:t>
            </w:r>
          </w:p>
        </w:tc>
        <w:tc>
          <w:tcPr>
            <w:tcW w:w="838" w:type="dxa"/>
            <w:vAlign w:val="center"/>
          </w:tcPr>
          <w:p w14:paraId="0C113F8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4" w:type="dxa"/>
            <w:vAlign w:val="center"/>
          </w:tcPr>
          <w:p w14:paraId="0CBF1987"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250.5</w:t>
            </w:r>
          </w:p>
        </w:tc>
      </w:tr>
      <w:tr w:rsidR="00EA05FC" w:rsidRPr="003D65B7" w14:paraId="020D395B" w14:textId="77777777" w:rsidTr="00F45092">
        <w:trPr>
          <w:trHeight w:val="17"/>
        </w:trPr>
        <w:tc>
          <w:tcPr>
            <w:tcW w:w="1090" w:type="dxa"/>
            <w:vAlign w:val="center"/>
          </w:tcPr>
          <w:p w14:paraId="19E4C03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ANOVA p</w:t>
            </w:r>
          </w:p>
        </w:tc>
        <w:tc>
          <w:tcPr>
            <w:tcW w:w="978" w:type="dxa"/>
            <w:vAlign w:val="center"/>
          </w:tcPr>
          <w:p w14:paraId="77AF4E0E"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839" w:type="dxa"/>
            <w:vAlign w:val="center"/>
          </w:tcPr>
          <w:p w14:paraId="1B5258E3"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274" w:type="dxa"/>
            <w:vAlign w:val="center"/>
          </w:tcPr>
          <w:p w14:paraId="4128C23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&lt; 0.001</w:t>
            </w:r>
          </w:p>
        </w:tc>
        <w:tc>
          <w:tcPr>
            <w:tcW w:w="838" w:type="dxa"/>
            <w:vAlign w:val="center"/>
          </w:tcPr>
          <w:p w14:paraId="53AFE2AB"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400" w:type="dxa"/>
            <w:vAlign w:val="center"/>
          </w:tcPr>
          <w:p w14:paraId="1D978B6C"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&lt; 0.001</w:t>
            </w:r>
          </w:p>
        </w:tc>
        <w:tc>
          <w:tcPr>
            <w:tcW w:w="826" w:type="dxa"/>
            <w:vAlign w:val="center"/>
          </w:tcPr>
          <w:p w14:paraId="59CC64C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0" w:type="dxa"/>
            <w:vAlign w:val="center"/>
          </w:tcPr>
          <w:p w14:paraId="11432F7D"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&lt; 0.001</w:t>
            </w:r>
          </w:p>
        </w:tc>
        <w:tc>
          <w:tcPr>
            <w:tcW w:w="838" w:type="dxa"/>
            <w:vAlign w:val="center"/>
          </w:tcPr>
          <w:p w14:paraId="5981984A"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7" w:type="dxa"/>
            <w:vAlign w:val="center"/>
          </w:tcPr>
          <w:p w14:paraId="5BBC2C78"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&lt; 0.001</w:t>
            </w:r>
          </w:p>
        </w:tc>
        <w:tc>
          <w:tcPr>
            <w:tcW w:w="838" w:type="dxa"/>
            <w:vAlign w:val="center"/>
          </w:tcPr>
          <w:p w14:paraId="5D02CC6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p>
        </w:tc>
        <w:tc>
          <w:tcPr>
            <w:tcW w:w="1314" w:type="dxa"/>
            <w:vAlign w:val="center"/>
          </w:tcPr>
          <w:p w14:paraId="4F68C9A9" w14:textId="77777777" w:rsidR="006B2D23" w:rsidRPr="003D65B7" w:rsidRDefault="006B2D23" w:rsidP="00937E04">
            <w:pPr>
              <w:snapToGrid w:val="0"/>
              <w:spacing w:line="480" w:lineRule="auto"/>
              <w:jc w:val="both"/>
              <w:rPr>
                <w:rFonts w:ascii="Arial" w:eastAsiaTheme="minorEastAsia" w:hAnsi="Arial" w:cs="Times New Roman"/>
                <w:snapToGrid w:val="0"/>
                <w:color w:val="000000"/>
                <w:sz w:val="20"/>
                <w:szCs w:val="24"/>
                <w:lang w:eastAsia="ko-KR" w:bidi="en-US"/>
              </w:rPr>
            </w:pPr>
            <w:r w:rsidRPr="003D65B7">
              <w:rPr>
                <w:rFonts w:ascii="Arial" w:eastAsiaTheme="minorEastAsia" w:hAnsi="Arial" w:cs="Times New Roman"/>
                <w:snapToGrid w:val="0"/>
                <w:color w:val="000000"/>
                <w:sz w:val="20"/>
                <w:szCs w:val="24"/>
                <w:lang w:eastAsia="ko-KR" w:bidi="en-US"/>
              </w:rPr>
              <w:t>&lt; 0.001</w:t>
            </w:r>
          </w:p>
        </w:tc>
      </w:tr>
    </w:tbl>
    <w:p w14:paraId="505E0D2F" w14:textId="75BAE23D" w:rsidR="006B2D23" w:rsidRPr="003D65B7" w:rsidRDefault="006B2D23" w:rsidP="00937E04">
      <w:pPr>
        <w:spacing w:after="0" w:line="480" w:lineRule="auto"/>
        <w:ind w:left="450" w:hanging="720"/>
        <w:jc w:val="both"/>
        <w:rPr>
          <w:rFonts w:ascii="Arial" w:hAnsi="Arial" w:cs="Times New Roman"/>
          <w:i/>
          <w:iCs/>
          <w:snapToGrid w:val="0"/>
          <w:color w:val="000000"/>
          <w:kern w:val="0"/>
          <w:sz w:val="18"/>
          <w:szCs w:val="22"/>
          <w:lang w:eastAsia="ko-KR" w:bidi="en-US"/>
          <w14:ligatures w14:val="none"/>
        </w:rPr>
      </w:pPr>
      <w:r w:rsidRPr="003D65B7">
        <w:rPr>
          <w:rFonts w:ascii="Arial" w:hAnsi="Arial" w:cs="Times New Roman"/>
          <w:i/>
          <w:iCs/>
          <w:snapToGrid w:val="0"/>
          <w:color w:val="000000"/>
          <w:kern w:val="0"/>
          <w:sz w:val="18"/>
          <w:szCs w:val="22"/>
          <w:lang w:eastAsia="ko-KR" w:bidi="en-US"/>
          <w14:ligatures w14:val="none"/>
        </w:rPr>
        <w:t>Note: Superscripts within a column indicate significant differences among sites (</w:t>
      </w:r>
      <w:r w:rsidR="00F70BC1" w:rsidRPr="003D65B7">
        <w:rPr>
          <w:rFonts w:ascii="Arial" w:hAnsi="Arial" w:cs="Times New Roman"/>
          <w:i/>
          <w:iCs/>
          <w:snapToGrid w:val="0"/>
          <w:color w:val="000000"/>
          <w:kern w:val="0"/>
          <w:sz w:val="18"/>
          <w:szCs w:val="22"/>
          <w:lang w:eastAsia="ko-KR" w:bidi="en-US"/>
          <w14:ligatures w14:val="none"/>
        </w:rPr>
        <w:t xml:space="preserve">P = </w:t>
      </w:r>
      <w:r w:rsidRPr="003D65B7">
        <w:rPr>
          <w:rFonts w:ascii="Arial" w:hAnsi="Arial" w:cs="Times New Roman"/>
          <w:i/>
          <w:iCs/>
          <w:snapToGrid w:val="0"/>
          <w:color w:val="000000"/>
          <w:kern w:val="0"/>
          <w:sz w:val="18"/>
          <w:szCs w:val="22"/>
          <w:lang w:eastAsia="ko-KR" w:bidi="en-US"/>
          <w14:ligatures w14:val="none"/>
        </w:rPr>
        <w:t>0.05) based on Tukey’s post hoc test.</w:t>
      </w:r>
    </w:p>
    <w:p w14:paraId="432C9599" w14:textId="77777777" w:rsidR="006B2D23" w:rsidRPr="003D65B7" w:rsidRDefault="006B2D23" w:rsidP="00937E04">
      <w:pPr>
        <w:spacing w:after="0" w:line="480" w:lineRule="auto"/>
        <w:ind w:left="450" w:hanging="720"/>
        <w:jc w:val="both"/>
        <w:rPr>
          <w:rFonts w:ascii="Arial" w:hAnsi="Arial" w:cs="Times New Roman"/>
          <w:i/>
          <w:iCs/>
          <w:snapToGrid w:val="0"/>
          <w:color w:val="000000"/>
          <w:kern w:val="0"/>
          <w:sz w:val="18"/>
          <w:szCs w:val="22"/>
          <w:lang w:eastAsia="ko-KR" w:bidi="en-US"/>
          <w14:ligatures w14:val="none"/>
        </w:rPr>
      </w:pPr>
      <w:r w:rsidRPr="003D65B7">
        <w:rPr>
          <w:rFonts w:ascii="Arial" w:hAnsi="Arial" w:cs="Times New Roman"/>
          <w:i/>
          <w:iCs/>
          <w:snapToGrid w:val="0"/>
          <w:color w:val="000000"/>
          <w:kern w:val="0"/>
          <w:sz w:val="18"/>
          <w:szCs w:val="22"/>
          <w:lang w:eastAsia="ko-KR" w:bidi="en-US"/>
          <w14:ligatures w14:val="none"/>
        </w:rPr>
        <w:t>Abbreviations: TDS- Total Dissolved Solids; ppm- parts per million; SEM- Standard Error of the Mean; SR- Sample and Replication</w:t>
      </w:r>
    </w:p>
    <w:p w14:paraId="5D09B681" w14:textId="77777777" w:rsidR="006B2D23" w:rsidRPr="003D65B7" w:rsidRDefault="006B2D23" w:rsidP="00937E04">
      <w:pPr>
        <w:spacing w:after="210" w:line="480" w:lineRule="auto"/>
        <w:jc w:val="both"/>
        <w:rPr>
          <w:rFonts w:ascii="Arial" w:hAnsi="Arial" w:cs="Times New Roman"/>
          <w:sz w:val="20"/>
          <w:szCs w:val="24"/>
          <w:lang w:eastAsia="ko-KR" w:bidi="en-US"/>
        </w:rPr>
        <w:sectPr w:rsidR="006B2D23" w:rsidRPr="003D65B7" w:rsidSect="00A02D9A">
          <w:type w:val="continuous"/>
          <w:pgSz w:w="15840" w:h="12240" w:orient="landscape"/>
          <w:pgMar w:top="1080" w:right="1440" w:bottom="1170" w:left="1440" w:header="720" w:footer="720" w:gutter="0"/>
          <w:cols w:space="720"/>
          <w:docGrid w:linePitch="360"/>
        </w:sectPr>
      </w:pPr>
    </w:p>
    <w:p w14:paraId="1ED19594" w14:textId="780CECC9" w:rsidR="00D613F8" w:rsidRPr="003D65B7" w:rsidRDefault="00D613F8" w:rsidP="00F36963">
      <w:pPr>
        <w:spacing w:before="120" w:after="120" w:line="240" w:lineRule="auto"/>
        <w:jc w:val="both"/>
        <w:rPr>
          <w:rFonts w:ascii="Arial" w:hAnsi="Arial" w:cs="Times New Roman"/>
          <w:b/>
          <w:snapToGrid w:val="0"/>
          <w:color w:val="000000"/>
          <w:kern w:val="0"/>
          <w:sz w:val="20"/>
          <w:szCs w:val="24"/>
          <w:lang w:eastAsia="ko-KR" w:bidi="en-US"/>
          <w14:ligatures w14:val="none"/>
        </w:rPr>
      </w:pPr>
      <w:r w:rsidRPr="003D65B7">
        <w:rPr>
          <w:rFonts w:ascii="Arial" w:hAnsi="Arial" w:cs="Times New Roman"/>
          <w:b/>
          <w:noProof/>
          <w:snapToGrid w:val="0"/>
          <w:color w:val="000000"/>
          <w:kern w:val="0"/>
          <w:sz w:val="20"/>
          <w:szCs w:val="24"/>
          <w:lang w:eastAsia="ko-KR" w:bidi="en-US"/>
          <w14:ligatures w14:val="none"/>
        </w:rPr>
        <w:lastRenderedPageBreak/>
        <w:drawing>
          <wp:anchor distT="0" distB="0" distL="114300" distR="114300" simplePos="0" relativeHeight="251662336" behindDoc="0" locked="0" layoutInCell="1" allowOverlap="1" wp14:anchorId="6964241B" wp14:editId="0D224D3B">
            <wp:simplePos x="0" y="0"/>
            <wp:positionH relativeFrom="column">
              <wp:posOffset>355600</wp:posOffset>
            </wp:positionH>
            <wp:positionV relativeFrom="paragraph">
              <wp:posOffset>20955</wp:posOffset>
            </wp:positionV>
            <wp:extent cx="5014261" cy="7406640"/>
            <wp:effectExtent l="0" t="0" r="0" b="3810"/>
            <wp:wrapTopAndBottom/>
            <wp:docPr id="2101534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4261" cy="740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65B7">
        <w:rPr>
          <w:rFonts w:ascii="Arial" w:hAnsi="Arial" w:cs="Times New Roman"/>
          <w:b/>
          <w:snapToGrid w:val="0"/>
          <w:color w:val="000000"/>
          <w:kern w:val="0"/>
          <w:sz w:val="20"/>
          <w:szCs w:val="24"/>
          <w:lang w:eastAsia="ko-KR" w:bidi="en-US"/>
          <w14:ligatures w14:val="none"/>
        </w:rPr>
        <w:t>Fig</w:t>
      </w:r>
      <w:r w:rsidR="00455C21" w:rsidRPr="003D65B7">
        <w:rPr>
          <w:rFonts w:ascii="Arial" w:hAnsi="Arial" w:cs="Times New Roman"/>
          <w:b/>
          <w:snapToGrid w:val="0"/>
          <w:color w:val="000000"/>
          <w:kern w:val="0"/>
          <w:sz w:val="20"/>
          <w:szCs w:val="24"/>
          <w:lang w:eastAsia="ko-KR" w:bidi="en-US"/>
          <w14:ligatures w14:val="none"/>
        </w:rPr>
        <w:t xml:space="preserve">. </w:t>
      </w:r>
      <w:r w:rsidRPr="003D65B7">
        <w:rPr>
          <w:rFonts w:ascii="Arial" w:hAnsi="Arial" w:cs="Times New Roman"/>
          <w:b/>
          <w:snapToGrid w:val="0"/>
          <w:color w:val="000000"/>
          <w:kern w:val="0"/>
          <w:sz w:val="20"/>
          <w:szCs w:val="24"/>
          <w:lang w:eastAsia="ko-KR" w:bidi="en-US"/>
          <w14:ligatures w14:val="none"/>
        </w:rPr>
        <w:t xml:space="preserve">2. Scatter plots illustrating relationships between bacterial counts (Coliform and </w:t>
      </w:r>
      <w:r w:rsidR="00F70BC1" w:rsidRPr="003D65B7">
        <w:rPr>
          <w:rFonts w:ascii="Arial" w:hAnsi="Arial" w:cs="Times New Roman"/>
          <w:b/>
          <w:i/>
          <w:iCs/>
          <w:snapToGrid w:val="0"/>
          <w:color w:val="000000"/>
          <w:kern w:val="0"/>
          <w:sz w:val="20"/>
          <w:szCs w:val="24"/>
          <w:lang w:eastAsia="ko-KR" w:bidi="en-US"/>
          <w14:ligatures w14:val="none"/>
        </w:rPr>
        <w:t>E. coli</w:t>
      </w:r>
      <w:r w:rsidRPr="003D65B7">
        <w:rPr>
          <w:rFonts w:ascii="Arial" w:hAnsi="Arial" w:cs="Times New Roman"/>
          <w:b/>
          <w:snapToGrid w:val="0"/>
          <w:color w:val="000000"/>
          <w:kern w:val="0"/>
          <w:sz w:val="20"/>
          <w:szCs w:val="24"/>
          <w:lang w:eastAsia="ko-KR" w:bidi="en-US"/>
          <w14:ligatures w14:val="none"/>
        </w:rPr>
        <w:t>) and physicochemical parameters of water (TDS, Iron, Chloride, pH, and Hardness) across five study</w:t>
      </w:r>
      <w:r w:rsidR="00F36963" w:rsidRPr="003D65B7">
        <w:rPr>
          <w:rFonts w:ascii="Arial" w:hAnsi="Arial" w:cs="Times New Roman"/>
          <w:b/>
          <w:snapToGrid w:val="0"/>
          <w:color w:val="000000"/>
          <w:kern w:val="0"/>
          <w:sz w:val="20"/>
          <w:szCs w:val="24"/>
          <w:lang w:eastAsia="ko-KR" w:bidi="en-US"/>
          <w14:ligatures w14:val="none"/>
        </w:rPr>
        <w:t xml:space="preserve"> </w:t>
      </w:r>
      <w:r w:rsidRPr="003D65B7">
        <w:rPr>
          <w:rFonts w:ascii="Arial" w:hAnsi="Arial" w:cs="Times New Roman"/>
          <w:b/>
          <w:snapToGrid w:val="0"/>
          <w:color w:val="000000"/>
          <w:kern w:val="0"/>
          <w:sz w:val="20"/>
          <w:szCs w:val="24"/>
          <w:lang w:eastAsia="ko-KR" w:bidi="en-US"/>
          <w14:ligatures w14:val="none"/>
        </w:rPr>
        <w:t>areas. Each plot displays a red linear regression line with a 95% confidence interval (shaded), blue data points, and annotations indicating the coefficient of determination (R²) and associated p-values</w:t>
      </w:r>
    </w:p>
    <w:p w14:paraId="4BF5D6BC" w14:textId="00EEDCB2" w:rsidR="00A06B1C" w:rsidRPr="003D65B7" w:rsidRDefault="00F36963" w:rsidP="00F36963">
      <w:pPr>
        <w:pStyle w:val="Heading10"/>
      </w:pPr>
      <w:r w:rsidRPr="003D65B7">
        <w:lastRenderedPageBreak/>
        <w:t>4.</w:t>
      </w:r>
      <w:r w:rsidRPr="003B025A">
        <w:rPr>
          <w:u w:val="single"/>
        </w:rPr>
        <w:t xml:space="preserve"> </w:t>
      </w:r>
      <w:r w:rsidR="00A06B1C" w:rsidRPr="003B025A">
        <w:rPr>
          <w:u w:val="single"/>
        </w:rPr>
        <w:t>DISCUSSION</w:t>
      </w:r>
    </w:p>
    <w:p w14:paraId="20AB58F8" w14:textId="77777777" w:rsidR="00F36963" w:rsidRPr="003D65B7" w:rsidRDefault="00F36963" w:rsidP="00F36963">
      <w:pPr>
        <w:pStyle w:val="Heading20"/>
      </w:pPr>
    </w:p>
    <w:p w14:paraId="1E85E4EB" w14:textId="3F9E582F" w:rsidR="00F52A58" w:rsidRPr="003D65B7" w:rsidRDefault="00F36963" w:rsidP="00F36963">
      <w:pPr>
        <w:pStyle w:val="Heading20"/>
      </w:pPr>
      <w:r w:rsidRPr="003D65B7">
        <w:t xml:space="preserve">4.1 </w:t>
      </w:r>
      <w:r w:rsidR="00A06B1C" w:rsidRPr="003D65B7">
        <w:t xml:space="preserve">Prevalence and Loads of Coliform and </w:t>
      </w:r>
      <w:r w:rsidR="00F70BC1" w:rsidRPr="003D65B7">
        <w:rPr>
          <w:i/>
          <w:iCs/>
        </w:rPr>
        <w:t>E. coli</w:t>
      </w:r>
      <w:r w:rsidR="005753AC" w:rsidRPr="003D65B7">
        <w:rPr>
          <w:iCs/>
        </w:rPr>
        <w:t xml:space="preserve"> </w:t>
      </w:r>
      <w:r w:rsidR="00A06B1C" w:rsidRPr="003D65B7">
        <w:t>in Supplied Water</w:t>
      </w:r>
    </w:p>
    <w:p w14:paraId="2F750026" w14:textId="77777777" w:rsidR="00573100" w:rsidRPr="003D65B7" w:rsidRDefault="00573100" w:rsidP="00F36963">
      <w:pPr>
        <w:pStyle w:val="Heading20"/>
      </w:pPr>
    </w:p>
    <w:p w14:paraId="67822F41" w14:textId="0CCFC092" w:rsidR="00E85307"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The present study revealed a 100% prevalence of Coliform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in all water samples collected from five dairy farming zones in Dhaka city. The bacterial loads were alarmingly high; with Coliform counts ranging from 1.74×10⁸ to 2.63×10⁸ CFU/ml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from 5.50×10⁷ to 7.05×10⁷ CFU/ml. These values far exceed the World Health Organization (WHO) guideline; which stipulates zero detectable Coliform or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in 100 ml of drinking water intended for human or animal consumption </w:t>
      </w:r>
      <w:r w:rsidR="001702C3" w:rsidRPr="003D65B7">
        <w:rPr>
          <w:rFonts w:ascii="Arial" w:hAnsi="Arial" w:cs="Times New Roman"/>
          <w:bCs/>
          <w:snapToGrid w:val="0"/>
          <w:color w:val="000000"/>
          <w:kern w:val="0"/>
          <w:sz w:val="20"/>
          <w:szCs w:val="24"/>
          <w:lang w:eastAsia="ko-KR" w:bidi="en-US"/>
          <w14:ligatures w14:val="none"/>
        </w:rPr>
        <w:t>(WHO, 2017)</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00E85307" w:rsidRPr="003D65B7">
        <w:rPr>
          <w:rFonts w:ascii="Arial" w:hAnsi="Arial" w:cs="Times New Roman"/>
          <w:snapToGrid w:val="0"/>
          <w:color w:val="000000"/>
          <w:kern w:val="0"/>
          <w:sz w:val="20"/>
          <w:szCs w:val="24"/>
          <w:lang w:eastAsia="ko-KR" w:bidi="en-US"/>
          <w14:ligatures w14:val="none"/>
        </w:rPr>
        <w:t xml:space="preserve">Such contamination reflects systemic fecal exposure, likely exacerbated by Dhaka’s aging infrastructure, open sewage, and seasonal flooding. Climate variability, especially monsoonal surges may intensify microbial infiltration through surface runoff and pipe breaches. </w:t>
      </w:r>
    </w:p>
    <w:p w14:paraId="0D4448E1" w14:textId="4C579DDC"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The presence of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a fecal indicator organism, also raises concerns about the potential presence of other enteric pathogens such as </w:t>
      </w:r>
      <w:r w:rsidRPr="00B14ACE">
        <w:rPr>
          <w:rFonts w:ascii="Arial" w:hAnsi="Arial" w:cs="Times New Roman"/>
          <w:i/>
          <w:snapToGrid w:val="0"/>
          <w:color w:val="000000"/>
          <w:kern w:val="0"/>
          <w:sz w:val="20"/>
          <w:szCs w:val="24"/>
          <w:lang w:eastAsia="ko-KR" w:bidi="en-US"/>
          <w14:ligatures w14:val="none"/>
        </w:rPr>
        <w:t>Salmonella</w:t>
      </w:r>
      <w:r w:rsidRPr="003D65B7">
        <w:rPr>
          <w:rFonts w:ascii="Arial" w:hAnsi="Arial" w:cs="Times New Roman"/>
          <w:snapToGrid w:val="0"/>
          <w:color w:val="000000"/>
          <w:kern w:val="0"/>
          <w:sz w:val="20"/>
          <w:szCs w:val="24"/>
          <w:lang w:eastAsia="ko-KR" w:bidi="en-US"/>
          <w14:ligatures w14:val="none"/>
        </w:rPr>
        <w:t xml:space="preserve">, </w:t>
      </w:r>
      <w:r w:rsidRPr="00B14ACE">
        <w:rPr>
          <w:rFonts w:ascii="Arial" w:hAnsi="Arial" w:cs="Times New Roman"/>
          <w:i/>
          <w:snapToGrid w:val="0"/>
          <w:color w:val="000000"/>
          <w:kern w:val="0"/>
          <w:sz w:val="20"/>
          <w:szCs w:val="24"/>
          <w:lang w:eastAsia="ko-KR" w:bidi="en-US"/>
          <w14:ligatures w14:val="none"/>
        </w:rPr>
        <w:t>Campylobacter</w:t>
      </w:r>
      <w:r w:rsidRPr="003D65B7">
        <w:rPr>
          <w:rFonts w:ascii="Arial" w:hAnsi="Arial" w:cs="Times New Roman"/>
          <w:snapToGrid w:val="0"/>
          <w:color w:val="000000"/>
          <w:kern w:val="0"/>
          <w:sz w:val="20"/>
          <w:szCs w:val="24"/>
          <w:lang w:eastAsia="ko-KR" w:bidi="en-US"/>
          <w14:ligatures w14:val="none"/>
        </w:rPr>
        <w:t xml:space="preserve">, and </w:t>
      </w:r>
      <w:r w:rsidRPr="00B14ACE">
        <w:rPr>
          <w:rFonts w:ascii="Arial" w:hAnsi="Arial" w:cs="Times New Roman"/>
          <w:i/>
          <w:snapToGrid w:val="0"/>
          <w:color w:val="000000"/>
          <w:kern w:val="0"/>
          <w:sz w:val="20"/>
          <w:szCs w:val="24"/>
          <w:lang w:eastAsia="ko-KR" w:bidi="en-US"/>
          <w14:ligatures w14:val="none"/>
        </w:rPr>
        <w:t>Cryptosporidium</w:t>
      </w:r>
      <w:r w:rsidRPr="003D65B7">
        <w:rPr>
          <w:rFonts w:ascii="Arial" w:hAnsi="Arial" w:cs="Times New Roman"/>
          <w:snapToGrid w:val="0"/>
          <w:color w:val="000000"/>
          <w:kern w:val="0"/>
          <w:sz w:val="20"/>
          <w:szCs w:val="24"/>
          <w:lang w:eastAsia="ko-KR" w:bidi="en-US"/>
          <w14:ligatures w14:val="none"/>
        </w:rPr>
        <w:t xml:space="preserve"> </w:t>
      </w:r>
      <w:r w:rsidR="001702C3" w:rsidRPr="003D65B7">
        <w:rPr>
          <w:rFonts w:ascii="Arial" w:hAnsi="Arial" w:cs="Times New Roman"/>
          <w:bCs/>
          <w:snapToGrid w:val="0"/>
          <w:color w:val="000000"/>
          <w:kern w:val="0"/>
          <w:sz w:val="20"/>
          <w:szCs w:val="24"/>
          <w:lang w:eastAsia="ko-KR" w:bidi="en-US"/>
          <w14:ligatures w14:val="none"/>
        </w:rPr>
        <w:t xml:space="preserve">(Yan </w:t>
      </w:r>
      <w:r w:rsidR="001702C3" w:rsidRPr="003D65B7">
        <w:rPr>
          <w:rFonts w:ascii="Arial" w:hAnsi="Arial" w:cs="Times New Roman"/>
          <w:bCs/>
          <w:iCs/>
          <w:snapToGrid w:val="0"/>
          <w:color w:val="000000"/>
          <w:kern w:val="0"/>
          <w:sz w:val="20"/>
          <w:szCs w:val="24"/>
          <w:lang w:eastAsia="ko-KR" w:bidi="en-US"/>
          <w14:ligatures w14:val="none"/>
        </w:rPr>
        <w:t>et al</w:t>
      </w:r>
      <w:r w:rsidR="001702C3" w:rsidRPr="003D65B7">
        <w:rPr>
          <w:rFonts w:ascii="Arial" w:hAnsi="Arial" w:cs="Times New Roman"/>
          <w:bCs/>
          <w:snapToGrid w:val="0"/>
          <w:color w:val="000000"/>
          <w:kern w:val="0"/>
          <w:sz w:val="20"/>
          <w:szCs w:val="24"/>
          <w:lang w:eastAsia="ko-KR" w:bidi="en-US"/>
          <w14:ligatures w14:val="none"/>
        </w:rPr>
        <w:t>., 2021)</w:t>
      </w:r>
      <w:r w:rsidRPr="003D65B7">
        <w:rPr>
          <w:rFonts w:ascii="Arial" w:hAnsi="Arial" w:cs="Times New Roman"/>
          <w:bCs/>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These findings are consistent with our earlier investigation; which highlighted systemic microbial contamination within the dairy sector. That study reported Coliform counts reaching up to 3.92 log</w:t>
      </w:r>
      <w:r w:rsidRPr="003D65B7">
        <w:rPr>
          <w:rFonts w:ascii="Cambria Math" w:hAnsi="Cambria Math" w:cs="Cambria Math"/>
          <w:snapToGrid w:val="0"/>
          <w:color w:val="000000"/>
          <w:kern w:val="0"/>
          <w:sz w:val="20"/>
          <w:szCs w:val="24"/>
          <w:lang w:eastAsia="ko-KR" w:bidi="en-US"/>
          <w14:ligatures w14:val="none"/>
        </w:rPr>
        <w:t>₁₀</w:t>
      </w:r>
      <w:r w:rsidRPr="003D65B7">
        <w:rPr>
          <w:rFonts w:ascii="Arial" w:hAnsi="Arial" w:cs="Arial"/>
          <w:snapToGrid w:val="0"/>
          <w:color w:val="000000"/>
          <w:kern w:val="0"/>
          <w:sz w:val="20"/>
          <w:szCs w:val="24"/>
          <w:lang w:eastAsia="ko-KR" w:bidi="en-US"/>
          <w14:ligatures w14:val="none"/>
        </w:rPr>
        <w:t> </w:t>
      </w:r>
      <w:r w:rsidRPr="003D65B7">
        <w:rPr>
          <w:rFonts w:ascii="Arial" w:hAnsi="Arial" w:cs="Times New Roman"/>
          <w:snapToGrid w:val="0"/>
          <w:color w:val="000000"/>
          <w:kern w:val="0"/>
          <w:sz w:val="20"/>
          <w:szCs w:val="24"/>
          <w:lang w:eastAsia="ko-KR" w:bidi="en-US"/>
          <w14:ligatures w14:val="none"/>
        </w:rPr>
        <w:t xml:space="preserve">CFU/ml in raw milk samples from Dhaka; reinforcing the pervasive nature of contamination across the supply chain. Although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was not specifically quantified; elevated Coliform levels strongly suggest fecal exposure at both farm and retail levels. Shared water sources, milking equipment, and handling practices likely contribute to this link between water and milk hygiene </w:t>
      </w:r>
      <w:r w:rsidR="001702C3" w:rsidRPr="003D65B7">
        <w:rPr>
          <w:rFonts w:ascii="Arial" w:hAnsi="Arial" w:cs="Times New Roman"/>
          <w:bCs/>
          <w:snapToGrid w:val="0"/>
          <w:color w:val="000000"/>
          <w:kern w:val="0"/>
          <w:sz w:val="20"/>
          <w:szCs w:val="24"/>
          <w:lang w:eastAsia="ko-KR" w:bidi="en-US"/>
          <w14:ligatures w14:val="none"/>
        </w:rPr>
        <w:t xml:space="preserve">(Islam </w:t>
      </w:r>
      <w:r w:rsidR="001702C3" w:rsidRPr="003D65B7">
        <w:rPr>
          <w:rFonts w:ascii="Arial" w:hAnsi="Arial" w:cs="Times New Roman"/>
          <w:bCs/>
          <w:iCs/>
          <w:snapToGrid w:val="0"/>
          <w:color w:val="000000"/>
          <w:kern w:val="0"/>
          <w:sz w:val="20"/>
          <w:szCs w:val="24"/>
          <w:lang w:eastAsia="ko-KR" w:bidi="en-US"/>
          <w14:ligatures w14:val="none"/>
        </w:rPr>
        <w:t>et al</w:t>
      </w:r>
      <w:r w:rsidR="001702C3" w:rsidRPr="003D65B7">
        <w:rPr>
          <w:rFonts w:ascii="Arial" w:hAnsi="Arial" w:cs="Times New Roman"/>
          <w:bCs/>
          <w:snapToGrid w:val="0"/>
          <w:color w:val="000000"/>
          <w:kern w:val="0"/>
          <w:sz w:val="20"/>
          <w:szCs w:val="24"/>
          <w:lang w:eastAsia="ko-KR" w:bidi="en-US"/>
          <w14:ligatures w14:val="none"/>
        </w:rPr>
        <w:t>., 2021)</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Comparative data from the Indo-Pak subcontinent reveal similar trends. </w:t>
      </w:r>
      <w:r w:rsidR="00224CE2" w:rsidRPr="003D65B7">
        <w:rPr>
          <w:rFonts w:ascii="Arial" w:hAnsi="Arial" w:cs="Times New Roman"/>
          <w:bCs/>
          <w:snapToGrid w:val="0"/>
          <w:color w:val="000000"/>
          <w:kern w:val="0"/>
          <w:sz w:val="20"/>
          <w:szCs w:val="24"/>
          <w:lang w:eastAsia="ko-KR" w:bidi="en-US"/>
          <w14:ligatures w14:val="none"/>
        </w:rPr>
        <w:t xml:space="preserve">Khan </w:t>
      </w:r>
      <w:r w:rsidR="00224CE2" w:rsidRPr="003D65B7">
        <w:rPr>
          <w:rFonts w:ascii="Arial" w:hAnsi="Arial" w:cs="Times New Roman"/>
          <w:bCs/>
          <w:iCs/>
          <w:snapToGrid w:val="0"/>
          <w:color w:val="000000"/>
          <w:kern w:val="0"/>
          <w:sz w:val="20"/>
          <w:szCs w:val="24"/>
          <w:lang w:eastAsia="ko-KR" w:bidi="en-US"/>
          <w14:ligatures w14:val="none"/>
        </w:rPr>
        <w:t>et al</w:t>
      </w:r>
      <w:r w:rsidR="00224CE2" w:rsidRPr="003D65B7">
        <w:rPr>
          <w:rFonts w:ascii="Arial" w:hAnsi="Arial" w:cs="Times New Roman"/>
          <w:bCs/>
          <w:snapToGrid w:val="0"/>
          <w:color w:val="000000"/>
          <w:kern w:val="0"/>
          <w:sz w:val="20"/>
          <w:szCs w:val="24"/>
          <w:lang w:eastAsia="ko-KR" w:bidi="en-US"/>
          <w14:ligatures w14:val="none"/>
        </w:rPr>
        <w:t xml:space="preserve">., (2016) reported, </w:t>
      </w:r>
      <w:r w:rsidR="00224CE2" w:rsidRPr="003D65B7">
        <w:rPr>
          <w:rFonts w:ascii="Arial" w:hAnsi="Arial" w:cs="Times New Roman"/>
          <w:snapToGrid w:val="0"/>
          <w:color w:val="000000"/>
          <w:kern w:val="0"/>
          <w:sz w:val="20"/>
          <w:szCs w:val="24"/>
          <w:lang w:eastAsia="ko-KR" w:bidi="en-US"/>
          <w14:ligatures w14:val="none"/>
        </w:rPr>
        <w:t>i</w:t>
      </w:r>
      <w:r w:rsidRPr="003D65B7">
        <w:rPr>
          <w:rFonts w:ascii="Arial" w:hAnsi="Arial" w:cs="Times New Roman"/>
          <w:snapToGrid w:val="0"/>
          <w:color w:val="000000"/>
          <w:kern w:val="0"/>
          <w:sz w:val="20"/>
          <w:szCs w:val="24"/>
          <w:lang w:eastAsia="ko-KR" w:bidi="en-US"/>
          <w14:ligatures w14:val="none"/>
        </w:rPr>
        <w:t xml:space="preserve">n Quetta, Pakistan, 17% of dairy farm water samples were contaminated; with buffalo farms showing higher contamination (22%) than cattle farms (12%). Mean bacterial loads reached 3.29×10⁴ CFU/ml; substantially lower than our findings but still above WHO thresholds. Contamination was attributed to poor sanitation, open sewage, and rusted pipelines </w:t>
      </w:r>
      <w:r w:rsidR="00224CE2" w:rsidRPr="003D65B7">
        <w:rPr>
          <w:rFonts w:ascii="Arial" w:hAnsi="Arial" w:cs="Times New Roman"/>
          <w:bCs/>
          <w:snapToGrid w:val="0"/>
          <w:color w:val="000000"/>
          <w:kern w:val="0"/>
          <w:sz w:val="20"/>
          <w:szCs w:val="24"/>
          <w:lang w:eastAsia="ko-KR" w:bidi="en-US"/>
          <w14:ligatures w14:val="none"/>
        </w:rPr>
        <w:t xml:space="preserve">(Hasan </w:t>
      </w:r>
      <w:r w:rsidR="00224CE2" w:rsidRPr="003D65B7">
        <w:rPr>
          <w:rFonts w:ascii="Arial" w:hAnsi="Arial" w:cs="Times New Roman"/>
          <w:bCs/>
          <w:iCs/>
          <w:snapToGrid w:val="0"/>
          <w:color w:val="000000"/>
          <w:kern w:val="0"/>
          <w:sz w:val="20"/>
          <w:szCs w:val="24"/>
          <w:lang w:eastAsia="ko-KR" w:bidi="en-US"/>
          <w14:ligatures w14:val="none"/>
        </w:rPr>
        <w:t>et al</w:t>
      </w:r>
      <w:r w:rsidR="00224CE2" w:rsidRPr="003D65B7">
        <w:rPr>
          <w:rFonts w:ascii="Arial" w:hAnsi="Arial" w:cs="Times New Roman"/>
          <w:bCs/>
          <w:snapToGrid w:val="0"/>
          <w:color w:val="000000"/>
          <w:kern w:val="0"/>
          <w:sz w:val="20"/>
          <w:szCs w:val="24"/>
          <w:lang w:eastAsia="ko-KR" w:bidi="en-US"/>
          <w14:ligatures w14:val="none"/>
        </w:rPr>
        <w:t>., 201</w:t>
      </w:r>
      <w:r w:rsidR="00551876" w:rsidRPr="003D65B7">
        <w:rPr>
          <w:rFonts w:ascii="Arial" w:hAnsi="Arial" w:cs="Times New Roman"/>
          <w:bCs/>
          <w:snapToGrid w:val="0"/>
          <w:color w:val="000000"/>
          <w:kern w:val="0"/>
          <w:sz w:val="20"/>
          <w:szCs w:val="24"/>
          <w:lang w:eastAsia="ko-KR" w:bidi="en-US"/>
          <w14:ligatures w14:val="none"/>
        </w:rPr>
        <w:t>8</w:t>
      </w:r>
      <w:r w:rsidR="00224CE2" w:rsidRPr="003D65B7">
        <w:rPr>
          <w:rFonts w:ascii="Arial" w:hAnsi="Arial" w:cs="Times New Roman"/>
          <w:bCs/>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In India, which surrounds Bangladesh almost entirely </w:t>
      </w:r>
      <w:r w:rsidR="00D87C38" w:rsidRPr="003D65B7">
        <w:rPr>
          <w:rFonts w:ascii="Arial" w:hAnsi="Arial" w:cs="Times New Roman"/>
          <w:bCs/>
          <w:snapToGrid w:val="0"/>
          <w:color w:val="000000"/>
          <w:kern w:val="0"/>
          <w:sz w:val="20"/>
          <w:szCs w:val="24"/>
          <w:lang w:eastAsia="ko-KR" w:bidi="en-US"/>
          <w14:ligatures w14:val="none"/>
        </w:rPr>
        <w:t>(</w:t>
      </w:r>
      <w:r w:rsidR="00D613F8" w:rsidRPr="003D65B7">
        <w:rPr>
          <w:rFonts w:ascii="Arial" w:hAnsi="Arial" w:cs="Times New Roman"/>
          <w:bCs/>
          <w:snapToGrid w:val="0"/>
          <w:color w:val="000000"/>
          <w:kern w:val="0"/>
          <w:sz w:val="20"/>
          <w:szCs w:val="24"/>
          <w:lang w:eastAsia="ko-KR" w:bidi="en-US"/>
          <w14:ligatures w14:val="none"/>
        </w:rPr>
        <w:t>Figure-1</w:t>
      </w:r>
      <w:r w:rsidRPr="003D65B7">
        <w:rPr>
          <w:rFonts w:ascii="Arial" w:hAnsi="Arial" w:cs="Times New Roman"/>
          <w:bCs/>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 microbial contamination in both water and milk has been documented. </w:t>
      </w:r>
      <w:r w:rsidRPr="003D65B7">
        <w:rPr>
          <w:rFonts w:ascii="Arial" w:hAnsi="Arial" w:cs="Times New Roman"/>
          <w:bCs/>
          <w:snapToGrid w:val="0"/>
          <w:color w:val="000000"/>
          <w:kern w:val="0"/>
          <w:sz w:val="20"/>
          <w:szCs w:val="24"/>
          <w:lang w:eastAsia="ko-KR" w:bidi="en-US"/>
          <w14:ligatures w14:val="none"/>
        </w:rPr>
        <w:t xml:space="preserve">Hasan </w:t>
      </w:r>
      <w:r w:rsidRPr="003D65B7">
        <w:rPr>
          <w:rFonts w:ascii="Arial" w:hAnsi="Arial" w:cs="Times New Roman"/>
          <w:bCs/>
          <w:iCs/>
          <w:snapToGrid w:val="0"/>
          <w:color w:val="000000"/>
          <w:kern w:val="0"/>
          <w:sz w:val="20"/>
          <w:szCs w:val="24"/>
          <w:lang w:eastAsia="ko-KR" w:bidi="en-US"/>
          <w14:ligatures w14:val="none"/>
        </w:rPr>
        <w:t>et al</w:t>
      </w:r>
      <w:r w:rsidRPr="003D65B7">
        <w:rPr>
          <w:rFonts w:ascii="Arial" w:hAnsi="Arial" w:cs="Times New Roman"/>
          <w:bCs/>
          <w:snapToGrid w:val="0"/>
          <w:color w:val="000000"/>
          <w:kern w:val="0"/>
          <w:sz w:val="20"/>
          <w:szCs w:val="24"/>
          <w:lang w:eastAsia="ko-KR" w:bidi="en-US"/>
          <w14:ligatures w14:val="none"/>
        </w:rPr>
        <w:t>.</w:t>
      </w:r>
      <w:r w:rsidR="000A2507" w:rsidRPr="003D65B7">
        <w:rPr>
          <w:rFonts w:ascii="Arial" w:hAnsi="Arial" w:cs="Times New Roman"/>
          <w:bCs/>
          <w:snapToGrid w:val="0"/>
          <w:color w:val="000000"/>
          <w:kern w:val="0"/>
          <w:sz w:val="20"/>
          <w:szCs w:val="24"/>
          <w:lang w:eastAsia="ko-KR" w:bidi="en-US"/>
          <w14:ligatures w14:val="none"/>
        </w:rPr>
        <w:t>, (201</w:t>
      </w:r>
      <w:r w:rsidR="00551876" w:rsidRPr="003D65B7">
        <w:rPr>
          <w:rFonts w:ascii="Arial" w:hAnsi="Arial" w:cs="Times New Roman"/>
          <w:bCs/>
          <w:snapToGrid w:val="0"/>
          <w:color w:val="000000"/>
          <w:kern w:val="0"/>
          <w:sz w:val="20"/>
          <w:szCs w:val="24"/>
          <w:lang w:eastAsia="ko-KR" w:bidi="en-US"/>
          <w14:ligatures w14:val="none"/>
        </w:rPr>
        <w:t>8</w:t>
      </w:r>
      <w:r w:rsidR="000A2507" w:rsidRPr="003D65B7">
        <w:rPr>
          <w:rFonts w:ascii="Arial" w:hAnsi="Arial" w:cs="Times New Roman"/>
          <w:bCs/>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 reported Coliform counts ranging from 2.12×10⁴ to 9.72×10⁴ CFU/ml in raw milk samples from five districts; with contamination linked to inadequate cleaning of milking equipment and poor water quality. The Bureau of Indian Standards (BIS) also recommends zero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in potable water; aligning with WHO guidelines </w:t>
      </w:r>
      <w:r w:rsidR="000A2507" w:rsidRPr="003D65B7">
        <w:rPr>
          <w:rFonts w:ascii="Arial" w:hAnsi="Arial" w:cs="Times New Roman"/>
          <w:snapToGrid w:val="0"/>
          <w:color w:val="000000"/>
          <w:kern w:val="0"/>
          <w:sz w:val="20"/>
          <w:szCs w:val="24"/>
          <w:lang w:eastAsia="ko-KR" w:bidi="en-US"/>
          <w14:ligatures w14:val="none"/>
        </w:rPr>
        <w:t>(BIS, 2012)</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The consistently </w:t>
      </w:r>
      <w:r w:rsidRPr="003D65B7">
        <w:rPr>
          <w:rFonts w:ascii="Arial" w:hAnsi="Arial" w:cs="Times New Roman"/>
          <w:snapToGrid w:val="0"/>
          <w:color w:val="000000"/>
          <w:kern w:val="0"/>
          <w:sz w:val="20"/>
          <w:szCs w:val="24"/>
          <w:lang w:eastAsia="ko-KR" w:bidi="en-US"/>
          <w14:ligatures w14:val="none"/>
        </w:rPr>
        <w:lastRenderedPageBreak/>
        <w:t xml:space="preserve">high contamination levels across all Dhaka sites suggest systemic issues in water sourcing, storage, and distribution. </w:t>
      </w:r>
      <w:r w:rsidR="000A2507" w:rsidRPr="003D65B7">
        <w:rPr>
          <w:rFonts w:ascii="Arial" w:hAnsi="Arial" w:cs="Times New Roman"/>
          <w:snapToGrid w:val="0"/>
          <w:color w:val="000000"/>
          <w:kern w:val="0"/>
          <w:sz w:val="20"/>
          <w:szCs w:val="24"/>
          <w:lang w:eastAsia="ko-KR" w:bidi="en-US"/>
          <w14:ligatures w14:val="none"/>
        </w:rPr>
        <w:t xml:space="preserve">Mahmud </w:t>
      </w:r>
      <w:r w:rsidR="000A2507" w:rsidRPr="003D65B7">
        <w:rPr>
          <w:rFonts w:ascii="Arial" w:hAnsi="Arial" w:cs="Times New Roman"/>
          <w:iCs/>
          <w:snapToGrid w:val="0"/>
          <w:color w:val="000000"/>
          <w:kern w:val="0"/>
          <w:sz w:val="20"/>
          <w:szCs w:val="24"/>
          <w:lang w:eastAsia="ko-KR" w:bidi="en-US"/>
          <w14:ligatures w14:val="none"/>
        </w:rPr>
        <w:t>et al</w:t>
      </w:r>
      <w:r w:rsidR="000A2507" w:rsidRPr="003D65B7">
        <w:rPr>
          <w:rFonts w:ascii="Arial" w:hAnsi="Arial" w:cs="Times New Roman"/>
          <w:snapToGrid w:val="0"/>
          <w:color w:val="000000"/>
          <w:kern w:val="0"/>
          <w:sz w:val="20"/>
          <w:szCs w:val="24"/>
          <w:lang w:eastAsia="ko-KR" w:bidi="en-US"/>
          <w14:ligatures w14:val="none"/>
        </w:rPr>
        <w:t>., (2014) observed that l</w:t>
      </w:r>
      <w:r w:rsidRPr="003D65B7">
        <w:rPr>
          <w:rFonts w:ascii="Arial" w:hAnsi="Arial" w:cs="Times New Roman"/>
          <w:snapToGrid w:val="0"/>
          <w:color w:val="000000"/>
          <w:kern w:val="0"/>
          <w:sz w:val="20"/>
          <w:szCs w:val="24"/>
          <w:lang w:eastAsia="ko-KR" w:bidi="en-US"/>
          <w14:ligatures w14:val="none"/>
        </w:rPr>
        <w:t>eaky or corroded pipelines may permit sewage intrusion; especially during low-pressure periods. Additional risks include exposure to dust, animal waste, and insects. The absence of chlorination or point-of-use treatment; combined with microbial persistence in pipes and tanks; may lead to continuous recontamination. Notably, the SAU campus showed relatively lower bacterial loads; likely due to better infrastructure and hygiene awareness.</w:t>
      </w:r>
    </w:p>
    <w:p w14:paraId="5FC508AF" w14:textId="7BE76ADE" w:rsidR="00060650" w:rsidRPr="00DA5023" w:rsidRDefault="00A06B1C" w:rsidP="00937E04">
      <w:pPr>
        <w:spacing w:line="480" w:lineRule="auto"/>
        <w:jc w:val="both"/>
        <w:rPr>
          <w:rFonts w:ascii="Arial" w:hAnsi="Arial" w:cs="Times New Roman"/>
          <w:snapToGrid w:val="0"/>
          <w:color w:val="000000"/>
          <w:kern w:val="0"/>
          <w:sz w:val="20"/>
          <w:szCs w:val="24"/>
          <w:u w:val="single"/>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Chronic exposure to contaminated water affects livestock health; contributing to gastrointestinal disorders, mastitis, and reduced milk yield </w:t>
      </w:r>
      <w:r w:rsidR="000A2507" w:rsidRPr="003D65B7">
        <w:rPr>
          <w:rFonts w:ascii="Arial" w:hAnsi="Arial" w:cs="Times New Roman"/>
          <w:bCs/>
          <w:snapToGrid w:val="0"/>
          <w:color w:val="000000"/>
          <w:kern w:val="0"/>
          <w:sz w:val="20"/>
          <w:szCs w:val="24"/>
          <w:lang w:eastAsia="ko-KR" w:bidi="en-US"/>
          <w14:ligatures w14:val="none"/>
        </w:rPr>
        <w:t>(</w:t>
      </w:r>
      <w:proofErr w:type="spellStart"/>
      <w:r w:rsidR="000A2507" w:rsidRPr="003D65B7">
        <w:rPr>
          <w:rFonts w:ascii="Arial" w:hAnsi="Arial" w:cs="Times New Roman"/>
          <w:bCs/>
          <w:snapToGrid w:val="0"/>
          <w:color w:val="000000"/>
          <w:kern w:val="0"/>
          <w:sz w:val="20"/>
          <w:szCs w:val="24"/>
          <w:lang w:eastAsia="ko-KR" w:bidi="en-US"/>
          <w14:ligatures w14:val="none"/>
        </w:rPr>
        <w:t>Swistock</w:t>
      </w:r>
      <w:proofErr w:type="spellEnd"/>
      <w:r w:rsidR="000A2507" w:rsidRPr="003D65B7">
        <w:rPr>
          <w:rFonts w:ascii="Arial" w:hAnsi="Arial" w:cs="Times New Roman"/>
          <w:bCs/>
          <w:snapToGrid w:val="0"/>
          <w:color w:val="000000"/>
          <w:kern w:val="0"/>
          <w:sz w:val="20"/>
          <w:szCs w:val="24"/>
          <w:lang w:eastAsia="ko-KR" w:bidi="en-US"/>
          <w14:ligatures w14:val="none"/>
        </w:rPr>
        <w:t>, 2012; Broadwater, 2007)</w:t>
      </w:r>
      <w:r w:rsidRPr="003D65B7">
        <w:rPr>
          <w:rFonts w:ascii="Arial" w:hAnsi="Arial" w:cs="Times New Roman"/>
          <w:snapToGrid w:val="0"/>
          <w:color w:val="000000"/>
          <w:kern w:val="0"/>
          <w:sz w:val="20"/>
          <w:szCs w:val="24"/>
          <w:lang w:eastAsia="ko-KR" w:bidi="en-US"/>
          <w14:ligatures w14:val="none"/>
        </w:rPr>
        <w:t xml:space="preserve">. Human health risks also rise; especially for farm workers and consumers; due to zoonotic transmission in settings lacking pasteurization or boiling. These findings </w:t>
      </w:r>
      <w:r w:rsidR="00DA5023" w:rsidRPr="00DA5023">
        <w:rPr>
          <w:rFonts w:ascii="Arial" w:hAnsi="Arial" w:cs="Times New Roman"/>
          <w:snapToGrid w:val="0"/>
          <w:color w:val="000000"/>
          <w:kern w:val="0"/>
          <w:sz w:val="20"/>
          <w:szCs w:val="24"/>
          <w:lang w:eastAsia="ko-KR" w:bidi="en-US"/>
          <w14:ligatures w14:val="none"/>
        </w:rPr>
        <w:t xml:space="preserve">highlight </w:t>
      </w:r>
      <w:r w:rsidR="00DA5023" w:rsidRPr="00DA5023">
        <w:rPr>
          <w:rFonts w:ascii="Arial" w:hAnsi="Arial" w:cs="Times New Roman"/>
          <w:i/>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 the urgent need for microbial surveillance, disinfection, infrastructure upgrades, and farmer training to safeguard both animal and public health.</w:t>
      </w:r>
      <w:r w:rsidR="00DA5023">
        <w:rPr>
          <w:rFonts w:ascii="Arial" w:hAnsi="Arial" w:cs="Times New Roman"/>
          <w:snapToGrid w:val="0"/>
          <w:color w:val="000000"/>
          <w:kern w:val="0"/>
          <w:sz w:val="20"/>
          <w:szCs w:val="24"/>
          <w:lang w:eastAsia="ko-KR" w:bidi="en-US"/>
          <w14:ligatures w14:val="none"/>
        </w:rPr>
        <w:t xml:space="preserve"> </w:t>
      </w:r>
      <w:r w:rsidR="00DA5023" w:rsidRPr="008D41FA">
        <w:rPr>
          <w:rFonts w:ascii="Arial" w:hAnsi="Arial" w:cs="Times New Roman"/>
          <w:snapToGrid w:val="0"/>
          <w:color w:val="000000"/>
          <w:kern w:val="0"/>
          <w:sz w:val="20"/>
          <w:szCs w:val="24"/>
          <w:lang w:eastAsia="ko-KR" w:bidi="en-US"/>
          <w14:ligatures w14:val="none"/>
        </w:rPr>
        <w:t>R</w:t>
      </w:r>
      <w:r w:rsidR="00060650" w:rsidRPr="008D41FA">
        <w:rPr>
          <w:rFonts w:ascii="Arial" w:hAnsi="Arial" w:cs="Times New Roman"/>
          <w:snapToGrid w:val="0"/>
          <w:color w:val="000000"/>
          <w:kern w:val="0"/>
          <w:sz w:val="20"/>
          <w:szCs w:val="24"/>
          <w:lang w:eastAsia="ko-KR" w:bidi="en-US"/>
          <w14:ligatures w14:val="none"/>
        </w:rPr>
        <w:t xml:space="preserve">ecent studies have </w:t>
      </w:r>
      <w:r w:rsidR="00DA5023" w:rsidRPr="008D41FA">
        <w:rPr>
          <w:rFonts w:ascii="Arial" w:hAnsi="Arial" w:cs="Times New Roman"/>
          <w:snapToGrid w:val="0"/>
          <w:color w:val="000000"/>
          <w:kern w:val="0"/>
          <w:sz w:val="20"/>
          <w:szCs w:val="24"/>
          <w:lang w:eastAsia="ko-KR" w:bidi="en-US"/>
          <w14:ligatures w14:val="none"/>
        </w:rPr>
        <w:t xml:space="preserve">also </w:t>
      </w:r>
      <w:r w:rsidR="00060650" w:rsidRPr="008D41FA">
        <w:rPr>
          <w:rFonts w:ascii="Arial" w:hAnsi="Arial" w:cs="Times New Roman"/>
          <w:snapToGrid w:val="0"/>
          <w:color w:val="000000"/>
          <w:kern w:val="0"/>
          <w:sz w:val="20"/>
          <w:szCs w:val="24"/>
          <w:lang w:eastAsia="ko-KR" w:bidi="en-US"/>
          <w14:ligatures w14:val="none"/>
        </w:rPr>
        <w:t>emphasized that climate-induced water stress and microbial contamination are increasingly affecting livestock systems in urban and peri-urban regions. Tulu et al. (2024) reviewed how deteriorating water quality, driven by erratic rainfall and infrastructure vulnerability, compromises livestock productivity and health in dryland and urban zones. Their findings reinforce the climate-linked microbial risks observed in Dhaka’s dairy farms. Similarly, Makita et al. (2021) highlighted the importance of integrated risk mitigation strategies in developing countries, advocating for One Health-based interventions to protect both livestock and public health in rapidly urbanizing environments.</w:t>
      </w:r>
    </w:p>
    <w:p w14:paraId="7EEC4ABD" w14:textId="77777777" w:rsidR="00573100" w:rsidRPr="003D65B7" w:rsidRDefault="00573100" w:rsidP="00F36963">
      <w:pPr>
        <w:pStyle w:val="Heading20"/>
      </w:pPr>
    </w:p>
    <w:p w14:paraId="7584C04A" w14:textId="240D4EF6" w:rsidR="00F52A58" w:rsidRPr="003D65B7" w:rsidRDefault="00F36963" w:rsidP="00F36963">
      <w:pPr>
        <w:pStyle w:val="Heading20"/>
      </w:pPr>
      <w:r w:rsidRPr="003D65B7">
        <w:t xml:space="preserve">4.2. </w:t>
      </w:r>
      <w:r w:rsidR="00A06B1C" w:rsidRPr="003D65B7">
        <w:t xml:space="preserve">Prevalence of </w:t>
      </w:r>
      <w:r w:rsidR="00F70BC1" w:rsidRPr="003D65B7">
        <w:rPr>
          <w:i/>
          <w:iCs/>
        </w:rPr>
        <w:t>Giardia</w:t>
      </w:r>
      <w:r w:rsidR="00A06B1C" w:rsidRPr="003D65B7">
        <w:t xml:space="preserve"> spp. and </w:t>
      </w:r>
      <w:r w:rsidR="00A06B1C" w:rsidRPr="00060650">
        <w:rPr>
          <w:i/>
        </w:rPr>
        <w:t>Balantidi</w:t>
      </w:r>
      <w:r w:rsidR="00060650" w:rsidRPr="00060650">
        <w:rPr>
          <w:i/>
        </w:rPr>
        <w:t>um</w:t>
      </w:r>
      <w:r w:rsidR="00A06B1C" w:rsidRPr="003D65B7">
        <w:t xml:space="preserve"> spp. in Dairy Farm Water</w:t>
      </w:r>
    </w:p>
    <w:p w14:paraId="561F1D0E" w14:textId="77777777" w:rsidR="00F36963" w:rsidRPr="003D65B7" w:rsidRDefault="00F36963" w:rsidP="00F36963">
      <w:pPr>
        <w:pStyle w:val="Heading20"/>
      </w:pPr>
    </w:p>
    <w:p w14:paraId="7D758EE6" w14:textId="1E9D6612" w:rsidR="00A06B1C" w:rsidRPr="00DA5023" w:rsidRDefault="00A06B1C" w:rsidP="00937E04">
      <w:pPr>
        <w:spacing w:line="480" w:lineRule="auto"/>
        <w:jc w:val="both"/>
        <w:rPr>
          <w:rFonts w:ascii="Arial" w:hAnsi="Arial" w:cs="Times New Roman"/>
          <w:snapToGrid w:val="0"/>
          <w:color w:val="000000"/>
          <w:kern w:val="0"/>
          <w:sz w:val="20"/>
          <w:szCs w:val="24"/>
          <w:u w:val="single"/>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In this study, neither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spp. nor </w:t>
      </w:r>
      <w:r w:rsidRPr="00060650">
        <w:rPr>
          <w:rFonts w:ascii="Arial" w:hAnsi="Arial" w:cs="Times New Roman"/>
          <w:i/>
          <w:snapToGrid w:val="0"/>
          <w:color w:val="000000"/>
          <w:kern w:val="0"/>
          <w:sz w:val="20"/>
          <w:szCs w:val="24"/>
          <w:lang w:eastAsia="ko-KR" w:bidi="en-US"/>
          <w14:ligatures w14:val="none"/>
        </w:rPr>
        <w:t>Balantidi</w:t>
      </w:r>
      <w:r w:rsidR="00060650" w:rsidRPr="00060650">
        <w:rPr>
          <w:rFonts w:ascii="Arial" w:hAnsi="Arial" w:cs="Times New Roman"/>
          <w:i/>
          <w:snapToGrid w:val="0"/>
          <w:color w:val="000000"/>
          <w:kern w:val="0"/>
          <w:sz w:val="20"/>
          <w:szCs w:val="24"/>
          <w:lang w:eastAsia="ko-KR" w:bidi="en-US"/>
          <w14:ligatures w14:val="none"/>
        </w:rPr>
        <w:t>um</w:t>
      </w:r>
      <w:r w:rsidRPr="003D65B7">
        <w:rPr>
          <w:rFonts w:ascii="Arial" w:hAnsi="Arial" w:cs="Times New Roman"/>
          <w:snapToGrid w:val="0"/>
          <w:color w:val="000000"/>
          <w:kern w:val="0"/>
          <w:sz w:val="20"/>
          <w:szCs w:val="24"/>
          <w:lang w:eastAsia="ko-KR" w:bidi="en-US"/>
          <w14:ligatures w14:val="none"/>
        </w:rPr>
        <w:t xml:space="preserve"> spp. were detected in water samples from five dairy farm sites in Dhaka city. This absence suggests sanitary integrity of the water sources and aligns with findings from groundwater systems with limited surface runoff.</w:t>
      </w:r>
      <w:r w:rsidR="003A1996" w:rsidRPr="003D65B7">
        <w:rPr>
          <w:rFonts w:ascii="Arial" w:hAnsi="Arial" w:cs="Times New Roman"/>
          <w:snapToGrid w:val="0"/>
          <w:color w:val="000000"/>
          <w:kern w:val="0"/>
          <w:sz w:val="20"/>
          <w:szCs w:val="24"/>
          <w:lang w:eastAsia="ko-KR" w:bidi="en-US"/>
          <w14:ligatures w14:val="none"/>
        </w:rPr>
        <w:t xml:space="preserve">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w:t>
      </w:r>
      <w:r w:rsidRPr="00B14ACE">
        <w:rPr>
          <w:rFonts w:ascii="Arial" w:hAnsi="Arial" w:cs="Times New Roman"/>
          <w:i/>
          <w:snapToGrid w:val="0"/>
          <w:color w:val="000000"/>
          <w:kern w:val="0"/>
          <w:sz w:val="20"/>
          <w:szCs w:val="24"/>
          <w:lang w:eastAsia="ko-KR" w:bidi="en-US"/>
          <w14:ligatures w14:val="none"/>
        </w:rPr>
        <w:t>intestinalis</w:t>
      </w:r>
      <w:r w:rsidRPr="003D65B7">
        <w:rPr>
          <w:rFonts w:ascii="Arial" w:hAnsi="Arial" w:cs="Times New Roman"/>
          <w:snapToGrid w:val="0"/>
          <w:color w:val="000000"/>
          <w:kern w:val="0"/>
          <w:sz w:val="20"/>
          <w:szCs w:val="24"/>
          <w:lang w:eastAsia="ko-KR" w:bidi="en-US"/>
          <w14:ligatures w14:val="none"/>
        </w:rPr>
        <w:t xml:space="preserve"> is a zoonotic protozoan linked to diarrhea, weight loss, and poor growth in calves </w:t>
      </w:r>
      <w:r w:rsidR="000D0260" w:rsidRPr="003D65B7">
        <w:rPr>
          <w:rFonts w:ascii="Arial" w:hAnsi="Arial" w:cs="Times New Roman"/>
          <w:snapToGrid w:val="0"/>
          <w:color w:val="000000"/>
          <w:kern w:val="0"/>
          <w:sz w:val="20"/>
          <w:szCs w:val="24"/>
          <w:lang w:eastAsia="ko-KR" w:bidi="en-US"/>
          <w14:ligatures w14:val="none"/>
        </w:rPr>
        <w:t xml:space="preserve">(Olson </w:t>
      </w:r>
      <w:r w:rsidR="000D0260" w:rsidRPr="003D65B7">
        <w:rPr>
          <w:rFonts w:ascii="Arial" w:hAnsi="Arial" w:cs="Times New Roman"/>
          <w:iCs/>
          <w:snapToGrid w:val="0"/>
          <w:color w:val="000000"/>
          <w:kern w:val="0"/>
          <w:sz w:val="20"/>
          <w:szCs w:val="24"/>
          <w:lang w:eastAsia="ko-KR" w:bidi="en-US"/>
          <w14:ligatures w14:val="none"/>
        </w:rPr>
        <w:t>et al</w:t>
      </w:r>
      <w:r w:rsidR="000D0260" w:rsidRPr="003D65B7">
        <w:rPr>
          <w:rFonts w:ascii="Arial" w:hAnsi="Arial" w:cs="Times New Roman"/>
          <w:snapToGrid w:val="0"/>
          <w:color w:val="000000"/>
          <w:kern w:val="0"/>
          <w:sz w:val="20"/>
          <w:szCs w:val="24"/>
          <w:lang w:eastAsia="ko-KR" w:bidi="en-US"/>
          <w14:ligatures w14:val="none"/>
        </w:rPr>
        <w:t>., 1995)</w:t>
      </w:r>
      <w:r w:rsidRPr="003D65B7">
        <w:rPr>
          <w:rFonts w:ascii="Arial" w:hAnsi="Arial" w:cs="Times New Roman"/>
          <w:snapToGrid w:val="0"/>
          <w:color w:val="000000"/>
          <w:kern w:val="0"/>
          <w:sz w:val="20"/>
          <w:szCs w:val="24"/>
          <w:lang w:eastAsia="ko-KR" w:bidi="en-US"/>
          <w14:ligatures w14:val="none"/>
        </w:rPr>
        <w:t xml:space="preserve">. Its detection depends on diagnostic sensitivity and proximity to fecal contamination. Subsurface aquifers, like those sampled here, typically show low protozoan contamination due to natural filtration. Archer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0D0260" w:rsidRPr="003D65B7">
        <w:rPr>
          <w:rFonts w:ascii="Arial" w:hAnsi="Arial" w:cs="Times New Roman"/>
          <w:snapToGrid w:val="0"/>
          <w:color w:val="000000"/>
          <w:kern w:val="0"/>
          <w:sz w:val="20"/>
          <w:szCs w:val="24"/>
          <w:lang w:eastAsia="ko-KR" w:bidi="en-US"/>
          <w14:ligatures w14:val="none"/>
        </w:rPr>
        <w:t>, (1995)</w:t>
      </w:r>
      <w:r w:rsidRPr="003D65B7">
        <w:rPr>
          <w:rFonts w:ascii="Arial" w:hAnsi="Arial" w:cs="Times New Roman"/>
          <w:snapToGrid w:val="0"/>
          <w:color w:val="000000"/>
          <w:kern w:val="0"/>
          <w:sz w:val="20"/>
          <w:szCs w:val="24"/>
          <w:lang w:eastAsia="ko-KR" w:bidi="en-US"/>
          <w14:ligatures w14:val="none"/>
        </w:rPr>
        <w:t xml:space="preserve"> found no </w:t>
      </w:r>
      <w:r w:rsidR="00F70BC1" w:rsidRPr="003D65B7">
        <w:rPr>
          <w:rFonts w:ascii="Arial" w:hAnsi="Arial" w:cs="Times New Roman"/>
          <w:i/>
          <w:iCs/>
          <w:snapToGrid w:val="0"/>
          <w:color w:val="000000"/>
          <w:kern w:val="0"/>
          <w:sz w:val="20"/>
          <w:szCs w:val="24"/>
          <w:lang w:eastAsia="ko-KR" w:bidi="en-US"/>
          <w14:ligatures w14:val="none"/>
        </w:rPr>
        <w:t>Giardia</w:t>
      </w:r>
      <w:r w:rsidRPr="003D65B7">
        <w:rPr>
          <w:rFonts w:ascii="Arial" w:hAnsi="Arial" w:cs="Times New Roman"/>
          <w:snapToGrid w:val="0"/>
          <w:color w:val="000000"/>
          <w:kern w:val="0"/>
          <w:sz w:val="20"/>
          <w:szCs w:val="24"/>
          <w:lang w:eastAsia="ko-KR" w:bidi="en-US"/>
          <w14:ligatures w14:val="none"/>
        </w:rPr>
        <w:t xml:space="preserve"> cysts in six Wisconsin wells; while Hancock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0D0260" w:rsidRPr="003D65B7">
        <w:rPr>
          <w:rFonts w:ascii="Arial" w:hAnsi="Arial" w:cs="Times New Roman"/>
          <w:snapToGrid w:val="0"/>
          <w:color w:val="000000"/>
          <w:kern w:val="0"/>
          <w:sz w:val="20"/>
          <w:szCs w:val="24"/>
          <w:lang w:eastAsia="ko-KR" w:bidi="en-US"/>
          <w14:ligatures w14:val="none"/>
        </w:rPr>
        <w:t>, (1997)</w:t>
      </w:r>
      <w:r w:rsidRPr="003D65B7">
        <w:rPr>
          <w:rFonts w:ascii="Arial" w:hAnsi="Arial" w:cs="Times New Roman"/>
          <w:snapToGrid w:val="0"/>
          <w:color w:val="000000"/>
          <w:kern w:val="0"/>
          <w:sz w:val="20"/>
          <w:szCs w:val="24"/>
          <w:lang w:eastAsia="ko-KR" w:bidi="en-US"/>
          <w14:ligatures w14:val="none"/>
        </w:rPr>
        <w:t xml:space="preserve"> reported cysts in only 1% of vertical wells but up to 36% </w:t>
      </w:r>
      <w:r w:rsidRPr="003D65B7">
        <w:rPr>
          <w:rFonts w:ascii="Arial" w:hAnsi="Arial" w:cs="Times New Roman"/>
          <w:snapToGrid w:val="0"/>
          <w:color w:val="000000"/>
          <w:kern w:val="0"/>
          <w:sz w:val="20"/>
          <w:szCs w:val="24"/>
          <w:lang w:eastAsia="ko-KR" w:bidi="en-US"/>
          <w14:ligatures w14:val="none"/>
        </w:rPr>
        <w:lastRenderedPageBreak/>
        <w:t>in spring-fed systems. Dhaka’s reliance on confined aquifers and submersible pumps likely contributed to the exclusion of cysts.</w:t>
      </w:r>
      <w:r w:rsidR="003A1996" w:rsidRPr="003D65B7">
        <w:rPr>
          <w:rFonts w:ascii="Arial" w:hAnsi="Arial" w:cs="Times New Roman"/>
          <w:snapToGrid w:val="0"/>
          <w:color w:val="000000"/>
          <w:kern w:val="0"/>
          <w:sz w:val="20"/>
          <w:szCs w:val="24"/>
          <w:lang w:eastAsia="ko-KR" w:bidi="en-US"/>
          <w14:ligatures w14:val="none"/>
        </w:rPr>
        <w:t xml:space="preserve"> </w:t>
      </w:r>
      <w:r w:rsidR="00F70BC1" w:rsidRPr="003D65B7">
        <w:rPr>
          <w:rFonts w:ascii="Arial" w:hAnsi="Arial" w:cs="Times New Roman"/>
          <w:i/>
          <w:iCs/>
          <w:snapToGrid w:val="0"/>
          <w:color w:val="000000"/>
          <w:kern w:val="0"/>
          <w:sz w:val="20"/>
          <w:szCs w:val="24"/>
          <w:lang w:eastAsia="ko-KR" w:bidi="en-US"/>
          <w14:ligatures w14:val="none"/>
        </w:rPr>
        <w:t>Balantidium</w:t>
      </w:r>
      <w:r w:rsidRPr="003D65B7">
        <w:rPr>
          <w:rFonts w:ascii="Arial" w:hAnsi="Arial" w:cs="Times New Roman"/>
          <w:iCs/>
          <w:snapToGrid w:val="0"/>
          <w:color w:val="000000"/>
          <w:kern w:val="0"/>
          <w:sz w:val="20"/>
          <w:szCs w:val="24"/>
          <w:lang w:eastAsia="ko-KR" w:bidi="en-US"/>
          <w14:ligatures w14:val="none"/>
        </w:rPr>
        <w:t xml:space="preserve"> coli</w:t>
      </w:r>
      <w:r w:rsidRPr="003D65B7">
        <w:rPr>
          <w:rFonts w:ascii="Arial" w:hAnsi="Arial" w:cs="Times New Roman"/>
          <w:snapToGrid w:val="0"/>
          <w:color w:val="000000"/>
          <w:kern w:val="0"/>
          <w:sz w:val="20"/>
          <w:szCs w:val="24"/>
          <w:lang w:eastAsia="ko-KR" w:bidi="en-US"/>
          <w14:ligatures w14:val="none"/>
        </w:rPr>
        <w:t xml:space="preserve">, a ciliated protozoan associated with swine and occasionally cattle, was also absent. Though rare, it can cause dysentery in immunocompromised hosts under poor hygiene </w:t>
      </w:r>
      <w:r w:rsidR="000D0260" w:rsidRPr="003D65B7">
        <w:rPr>
          <w:rFonts w:ascii="Arial" w:hAnsi="Arial" w:cs="Times New Roman"/>
          <w:snapToGrid w:val="0"/>
          <w:color w:val="000000"/>
          <w:kern w:val="0"/>
          <w:sz w:val="20"/>
          <w:szCs w:val="24"/>
          <w:lang w:eastAsia="ko-KR" w:bidi="en-US"/>
          <w14:ligatures w14:val="none"/>
        </w:rPr>
        <w:t>(</w:t>
      </w:r>
      <w:r w:rsidR="00AD282F" w:rsidRPr="003D65B7">
        <w:rPr>
          <w:rFonts w:ascii="Arial" w:hAnsi="Arial" w:cs="Times New Roman"/>
          <w:snapToGrid w:val="0"/>
          <w:color w:val="000000"/>
          <w:kern w:val="0"/>
          <w:sz w:val="20"/>
          <w:szCs w:val="24"/>
          <w:lang w:eastAsia="ko-KR" w:bidi="en-US"/>
          <w14:ligatures w14:val="none"/>
        </w:rPr>
        <w:t>Y</w:t>
      </w:r>
      <w:r w:rsidR="000D0260" w:rsidRPr="003D65B7">
        <w:rPr>
          <w:rFonts w:ascii="Arial" w:hAnsi="Arial" w:cs="Times New Roman"/>
          <w:snapToGrid w:val="0"/>
          <w:color w:val="000000"/>
          <w:kern w:val="0"/>
          <w:sz w:val="20"/>
          <w:szCs w:val="24"/>
          <w:lang w:eastAsia="ko-KR" w:bidi="en-US"/>
          <w14:ligatures w14:val="none"/>
        </w:rPr>
        <w:t xml:space="preserve">azar </w:t>
      </w:r>
      <w:r w:rsidR="000D0260" w:rsidRPr="003D65B7">
        <w:rPr>
          <w:rFonts w:ascii="Arial" w:hAnsi="Arial" w:cs="Times New Roman"/>
          <w:iCs/>
          <w:snapToGrid w:val="0"/>
          <w:color w:val="000000"/>
          <w:kern w:val="0"/>
          <w:sz w:val="20"/>
          <w:szCs w:val="24"/>
          <w:lang w:eastAsia="ko-KR" w:bidi="en-US"/>
          <w14:ligatures w14:val="none"/>
        </w:rPr>
        <w:t>et al</w:t>
      </w:r>
      <w:r w:rsidR="000D0260" w:rsidRPr="003D65B7">
        <w:rPr>
          <w:rFonts w:ascii="Arial" w:hAnsi="Arial" w:cs="Times New Roman"/>
          <w:snapToGrid w:val="0"/>
          <w:color w:val="000000"/>
          <w:kern w:val="0"/>
          <w:sz w:val="20"/>
          <w:szCs w:val="24"/>
          <w:lang w:eastAsia="ko-KR" w:bidi="en-US"/>
          <w14:ligatures w14:val="none"/>
        </w:rPr>
        <w:t>., 2004)</w:t>
      </w:r>
      <w:r w:rsidRPr="003D65B7">
        <w:rPr>
          <w:rFonts w:ascii="Arial" w:hAnsi="Arial" w:cs="Times New Roman"/>
          <w:snapToGrid w:val="0"/>
          <w:color w:val="000000"/>
          <w:kern w:val="0"/>
          <w:sz w:val="20"/>
          <w:szCs w:val="24"/>
          <w:lang w:eastAsia="ko-KR" w:bidi="en-US"/>
          <w14:ligatures w14:val="none"/>
        </w:rPr>
        <w:t>.</w:t>
      </w:r>
      <w:r w:rsidR="006918A0" w:rsidRPr="003D65B7">
        <w:rPr>
          <w:rFonts w:ascii="Arial" w:hAnsi="Arial" w:cs="Times New Roman"/>
          <w:snapToGrid w:val="0"/>
          <w:color w:val="EE0000"/>
          <w:kern w:val="0"/>
          <w:sz w:val="20"/>
          <w:szCs w:val="24"/>
          <w:lang w:eastAsia="ko-KR" w:bidi="en-US"/>
          <w14:ligatures w14:val="none"/>
        </w:rPr>
        <w:t xml:space="preserve"> </w:t>
      </w:r>
      <w:r w:rsidR="006918A0" w:rsidRPr="003D65B7">
        <w:rPr>
          <w:rFonts w:ascii="Arial" w:hAnsi="Arial" w:cs="Times New Roman"/>
          <w:snapToGrid w:val="0"/>
          <w:kern w:val="0"/>
          <w:sz w:val="20"/>
          <w:szCs w:val="24"/>
          <w:lang w:eastAsia="ko-KR" w:bidi="en-US"/>
          <w14:ligatures w14:val="none"/>
        </w:rPr>
        <w:t>This may reflect the subsurface origin of the water sources and limited exposure to surface runoff.</w:t>
      </w:r>
      <w:r w:rsidR="003A1996" w:rsidRPr="003D65B7">
        <w:rPr>
          <w:rFonts w:ascii="Arial" w:hAnsi="Arial" w:cs="Times New Roman"/>
          <w:snapToGrid w:val="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However, conventional flotation techniques may lack sensitivity; especially with low parasite burdens. Advanced methods like immunofluorescence or PCR offer higher sensitivity </w:t>
      </w:r>
      <w:r w:rsidR="000D0260" w:rsidRPr="003D65B7">
        <w:rPr>
          <w:rFonts w:ascii="Arial" w:hAnsi="Arial" w:cs="Times New Roman"/>
          <w:snapToGrid w:val="0"/>
          <w:color w:val="000000"/>
          <w:kern w:val="0"/>
          <w:sz w:val="20"/>
          <w:szCs w:val="24"/>
          <w:lang w:eastAsia="ko-KR" w:bidi="en-US"/>
          <w14:ligatures w14:val="none"/>
        </w:rPr>
        <w:t xml:space="preserve">(Hancock </w:t>
      </w:r>
      <w:r w:rsidR="000D0260" w:rsidRPr="003D65B7">
        <w:rPr>
          <w:rFonts w:ascii="Arial" w:hAnsi="Arial" w:cs="Times New Roman"/>
          <w:iCs/>
          <w:snapToGrid w:val="0"/>
          <w:color w:val="000000"/>
          <w:kern w:val="0"/>
          <w:sz w:val="20"/>
          <w:szCs w:val="24"/>
          <w:lang w:eastAsia="ko-KR" w:bidi="en-US"/>
          <w14:ligatures w14:val="none"/>
        </w:rPr>
        <w:t>et al</w:t>
      </w:r>
      <w:r w:rsidR="000D0260" w:rsidRPr="003D65B7">
        <w:rPr>
          <w:rFonts w:ascii="Arial" w:hAnsi="Arial" w:cs="Times New Roman"/>
          <w:snapToGrid w:val="0"/>
          <w:color w:val="000000"/>
          <w:kern w:val="0"/>
          <w:sz w:val="20"/>
          <w:szCs w:val="24"/>
          <w:lang w:eastAsia="ko-KR" w:bidi="en-US"/>
          <w14:ligatures w14:val="none"/>
        </w:rPr>
        <w:t>., 1997)</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While current practices appear effective; seasonal factors like heavy rainfall may increase surface infiltration. Continued surveillance using sensitive diagnostics is essential to prevent protozoan outbreaks in dairy herds</w:t>
      </w:r>
      <w:r w:rsidR="00060650">
        <w:rPr>
          <w:rFonts w:ascii="Arial" w:hAnsi="Arial" w:cs="Times New Roman"/>
          <w:snapToGrid w:val="0"/>
          <w:color w:val="000000"/>
          <w:kern w:val="0"/>
          <w:sz w:val="20"/>
          <w:szCs w:val="24"/>
          <w:lang w:eastAsia="ko-KR" w:bidi="en-US"/>
          <w14:ligatures w14:val="none"/>
        </w:rPr>
        <w:t>.</w:t>
      </w:r>
      <w:r w:rsidR="00060650" w:rsidRPr="00060650">
        <w:rPr>
          <w:rFonts w:ascii="Arial" w:hAnsi="Arial" w:cs="Times New Roman"/>
          <w:snapToGrid w:val="0"/>
          <w:color w:val="000000"/>
          <w:kern w:val="0"/>
          <w:sz w:val="20"/>
          <w:szCs w:val="24"/>
          <w:lang w:eastAsia="ko-KR" w:bidi="en-US"/>
          <w14:ligatures w14:val="none"/>
        </w:rPr>
        <w:t xml:space="preserve"> </w:t>
      </w:r>
      <w:r w:rsidR="00060650" w:rsidRPr="008D41FA">
        <w:rPr>
          <w:rFonts w:ascii="Arial" w:hAnsi="Arial" w:cs="Times New Roman"/>
          <w:snapToGrid w:val="0"/>
          <w:color w:val="000000"/>
          <w:kern w:val="0"/>
          <w:sz w:val="20"/>
          <w:szCs w:val="24"/>
          <w:lang w:eastAsia="ko-KR" w:bidi="en-US"/>
          <w14:ligatures w14:val="none"/>
        </w:rPr>
        <w:t>In this context, Makita et al. (2021) also emphasized the need for early detection and preventive strategies for zoonotic pathogens in livestock systems, particularly in regions where waterborne transmission risks are amplified by climate variability and urban expansion.</w:t>
      </w:r>
    </w:p>
    <w:p w14:paraId="602030D2" w14:textId="77777777" w:rsidR="00573100" w:rsidRPr="003D65B7" w:rsidRDefault="00573100" w:rsidP="00F36963">
      <w:pPr>
        <w:pStyle w:val="Heading20"/>
      </w:pPr>
    </w:p>
    <w:p w14:paraId="6CD1637F" w14:textId="20A7CAEA" w:rsidR="00F52A58" w:rsidRPr="003D65B7" w:rsidRDefault="00F36963" w:rsidP="00F36963">
      <w:pPr>
        <w:pStyle w:val="Heading20"/>
      </w:pPr>
      <w:r w:rsidRPr="003D65B7">
        <w:t xml:space="preserve">4.3 </w:t>
      </w:r>
      <w:r w:rsidR="00A06B1C" w:rsidRPr="003D65B7">
        <w:t>Physicochemical Quality of Water</w:t>
      </w:r>
    </w:p>
    <w:p w14:paraId="380F06DE" w14:textId="77777777" w:rsidR="00F36963" w:rsidRPr="003D65B7" w:rsidRDefault="00F36963" w:rsidP="00F36963">
      <w:pPr>
        <w:pStyle w:val="Heading20"/>
      </w:pPr>
    </w:p>
    <w:p w14:paraId="09496B44" w14:textId="072DB7DC" w:rsidR="00060650" w:rsidRPr="00060650" w:rsidRDefault="00A06B1C" w:rsidP="00060650">
      <w:pPr>
        <w:spacing w:line="480" w:lineRule="auto"/>
        <w:jc w:val="both"/>
        <w:rPr>
          <w:rFonts w:ascii="Arial" w:hAnsi="Arial" w:cs="Times New Roman"/>
          <w:snapToGrid w:val="0"/>
          <w:color w:val="000000"/>
          <w:kern w:val="0"/>
          <w:sz w:val="20"/>
          <w:szCs w:val="24"/>
          <w:u w:val="single"/>
          <w:lang w:eastAsia="ko-KR" w:bidi="en-US"/>
          <w14:ligatures w14:val="none"/>
        </w:rPr>
      </w:pPr>
      <w:r w:rsidRPr="003D65B7">
        <w:rPr>
          <w:rFonts w:ascii="Arial" w:hAnsi="Arial" w:cs="Times New Roman"/>
          <w:snapToGrid w:val="0"/>
          <w:color w:val="000000"/>
          <w:kern w:val="0"/>
          <w:sz w:val="20"/>
          <w:szCs w:val="24"/>
          <w:lang w:eastAsia="ko-KR" w:bidi="en-US"/>
          <w14:ligatures w14:val="none"/>
        </w:rPr>
        <w:t>The physicochemical parameters; pH, TDS, iron, chloride, and hardness; varied across the study sites, though most remained within acceptable limits for livestock, except for iron.</w:t>
      </w:r>
      <w:r w:rsidR="006918A0"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pH ranged from 6.12 ± 0.03 (60 Feet) to 6.70 ± 0.07 (Mirpur-2); within the recommended range of 6.5–8.5 for livestock </w:t>
      </w:r>
      <w:r w:rsidR="000D0260" w:rsidRPr="003D65B7">
        <w:rPr>
          <w:rFonts w:ascii="Arial" w:hAnsi="Arial" w:cs="Times New Roman"/>
          <w:snapToGrid w:val="0"/>
          <w:color w:val="000000"/>
          <w:kern w:val="0"/>
          <w:sz w:val="20"/>
          <w:szCs w:val="24"/>
          <w:lang w:eastAsia="ko-KR" w:bidi="en-US"/>
          <w14:ligatures w14:val="none"/>
        </w:rPr>
        <w:t>(Curran and Robson, 2007)</w:t>
      </w:r>
      <w:r w:rsidRPr="003D65B7">
        <w:rPr>
          <w:rFonts w:ascii="Arial" w:hAnsi="Arial" w:cs="Times New Roman"/>
          <w:snapToGrid w:val="0"/>
          <w:color w:val="000000"/>
          <w:kern w:val="0"/>
          <w:sz w:val="20"/>
          <w:szCs w:val="24"/>
          <w:lang w:eastAsia="ko-KR" w:bidi="en-US"/>
          <w14:ligatures w14:val="none"/>
        </w:rPr>
        <w:t>. Slight acidity; especially in 60 Feet; may result from dissolved CO</w:t>
      </w:r>
      <w:r w:rsidRPr="003D65B7">
        <w:rPr>
          <w:rFonts w:ascii="Cambria Math" w:hAnsi="Cambria Math" w:cs="Cambria Math"/>
          <w:snapToGrid w:val="0"/>
          <w:color w:val="000000"/>
          <w:kern w:val="0"/>
          <w:sz w:val="20"/>
          <w:szCs w:val="24"/>
          <w:lang w:eastAsia="ko-KR" w:bidi="en-US"/>
          <w14:ligatures w14:val="none"/>
        </w:rPr>
        <w:t>₂</w:t>
      </w:r>
      <w:r w:rsidRPr="003D65B7">
        <w:rPr>
          <w:rFonts w:ascii="Arial" w:hAnsi="Arial" w:cs="Times New Roman"/>
          <w:snapToGrid w:val="0"/>
          <w:color w:val="000000"/>
          <w:kern w:val="0"/>
          <w:sz w:val="20"/>
          <w:szCs w:val="24"/>
          <w:lang w:eastAsia="ko-KR" w:bidi="en-US"/>
          <w14:ligatures w14:val="none"/>
        </w:rPr>
        <w:t>, humic substances, or iron oxidation</w:t>
      </w:r>
      <w:r w:rsidR="000D0260" w:rsidRPr="003D65B7">
        <w:rPr>
          <w:rFonts w:ascii="Arial" w:hAnsi="Arial" w:cs="Times New Roman"/>
          <w:snapToGrid w:val="0"/>
          <w:color w:val="000000"/>
          <w:kern w:val="0"/>
          <w:sz w:val="20"/>
          <w:szCs w:val="24"/>
          <w:lang w:eastAsia="ko-KR" w:bidi="en-US"/>
          <w14:ligatures w14:val="none"/>
        </w:rPr>
        <w:t xml:space="preserve"> (Man, 2007; </w:t>
      </w:r>
      <w:proofErr w:type="spellStart"/>
      <w:r w:rsidR="000F5247" w:rsidRPr="003D65B7">
        <w:rPr>
          <w:rFonts w:ascii="Arial" w:hAnsi="Arial" w:cs="Times New Roman"/>
          <w:snapToGrid w:val="0"/>
          <w:color w:val="000000"/>
          <w:kern w:val="0"/>
          <w:sz w:val="20"/>
          <w:szCs w:val="24"/>
          <w:lang w:eastAsia="ko-KR" w:bidi="en-US"/>
          <w14:ligatures w14:val="none"/>
        </w:rPr>
        <w:t>Propescu</w:t>
      </w:r>
      <w:proofErr w:type="spellEnd"/>
      <w:r w:rsidR="000F5247" w:rsidRPr="003D65B7">
        <w:rPr>
          <w:rFonts w:ascii="Arial" w:hAnsi="Arial" w:cs="Times New Roman"/>
          <w:snapToGrid w:val="0"/>
          <w:color w:val="000000"/>
          <w:kern w:val="0"/>
          <w:sz w:val="20"/>
          <w:szCs w:val="24"/>
          <w:lang w:eastAsia="ko-KR" w:bidi="en-US"/>
          <w14:ligatures w14:val="none"/>
        </w:rPr>
        <w:t>, 2010).</w:t>
      </w:r>
      <w:r w:rsidRPr="003D65B7">
        <w:rPr>
          <w:rFonts w:ascii="Arial" w:hAnsi="Arial" w:cs="Times New Roman"/>
          <w:snapToGrid w:val="0"/>
          <w:color w:val="000000"/>
          <w:kern w:val="0"/>
          <w:sz w:val="20"/>
          <w:szCs w:val="24"/>
          <w:lang w:eastAsia="ko-KR" w:bidi="en-US"/>
          <w14:ligatures w14:val="none"/>
        </w:rPr>
        <w:t xml:space="preserve"> While not immediately harmful; prolonged exposure may reduce palatability and mineral uptake.</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Hardness varied from 75.0 ± 2.04 ppm to 165.0 ± 1.23 ppm. Water between 120</w:t>
      </w:r>
      <w:r w:rsidR="006918A0" w:rsidRPr="003D65B7">
        <w:rPr>
          <w:rFonts w:ascii="Arial" w:hAnsi="Arial" w:cs="Times New Roman"/>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180 ppm is considered “hard” </w:t>
      </w:r>
      <w:r w:rsidR="000F5247" w:rsidRPr="003D65B7">
        <w:rPr>
          <w:rFonts w:ascii="Arial" w:hAnsi="Arial" w:cs="Times New Roman"/>
          <w:snapToGrid w:val="0"/>
          <w:color w:val="000000"/>
          <w:kern w:val="0"/>
          <w:sz w:val="20"/>
          <w:szCs w:val="24"/>
          <w:lang w:eastAsia="ko-KR" w:bidi="en-US"/>
          <w14:ligatures w14:val="none"/>
        </w:rPr>
        <w:t xml:space="preserve">(Mahdy </w:t>
      </w:r>
      <w:r w:rsidR="000F5247" w:rsidRPr="003D65B7">
        <w:rPr>
          <w:rFonts w:ascii="Arial" w:hAnsi="Arial" w:cs="Times New Roman"/>
          <w:iCs/>
          <w:snapToGrid w:val="0"/>
          <w:color w:val="000000"/>
          <w:kern w:val="0"/>
          <w:sz w:val="20"/>
          <w:szCs w:val="24"/>
          <w:lang w:eastAsia="ko-KR" w:bidi="en-US"/>
          <w14:ligatures w14:val="none"/>
        </w:rPr>
        <w:t>et al</w:t>
      </w:r>
      <w:r w:rsidR="000F5247" w:rsidRPr="003D65B7">
        <w:rPr>
          <w:rFonts w:ascii="Arial" w:hAnsi="Arial" w:cs="Times New Roman"/>
          <w:snapToGrid w:val="0"/>
          <w:color w:val="000000"/>
          <w:kern w:val="0"/>
          <w:sz w:val="20"/>
          <w:szCs w:val="24"/>
          <w:lang w:eastAsia="ko-KR" w:bidi="en-US"/>
          <w14:ligatures w14:val="none"/>
        </w:rPr>
        <w:t>., 2016)</w:t>
      </w:r>
      <w:r w:rsidRPr="003D65B7">
        <w:rPr>
          <w:rFonts w:ascii="Arial" w:hAnsi="Arial" w:cs="Times New Roman"/>
          <w:snapToGrid w:val="0"/>
          <w:color w:val="000000"/>
          <w:kern w:val="0"/>
          <w:sz w:val="20"/>
          <w:szCs w:val="24"/>
          <w:lang w:eastAsia="ko-KR" w:bidi="en-US"/>
          <w14:ligatures w14:val="none"/>
        </w:rPr>
        <w:t>. Though within safe limits; hard water may cause scale buildup and reduce detergent effectiveness.</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TDS levels ranged from 307.5 ± 3.23 ppm (SAU) to 397.0 ± 3.14 ppm (60 Feet); below the NRC’s 1000 ppm threshold </w:t>
      </w:r>
      <w:r w:rsidR="000F5247" w:rsidRPr="003D65B7">
        <w:rPr>
          <w:rFonts w:ascii="Arial" w:hAnsi="Arial" w:cs="Times New Roman"/>
          <w:snapToGrid w:val="0"/>
          <w:color w:val="000000"/>
          <w:kern w:val="0"/>
          <w:sz w:val="20"/>
          <w:szCs w:val="24"/>
          <w:lang w:eastAsia="ko-KR" w:bidi="en-US"/>
          <w14:ligatures w14:val="none"/>
        </w:rPr>
        <w:t>(NRC, 2001)</w:t>
      </w:r>
      <w:r w:rsidRPr="003D65B7">
        <w:rPr>
          <w:rFonts w:ascii="Arial" w:hAnsi="Arial" w:cs="Times New Roman"/>
          <w:snapToGrid w:val="0"/>
          <w:color w:val="000000"/>
          <w:kern w:val="0"/>
          <w:sz w:val="20"/>
          <w:szCs w:val="24"/>
          <w:lang w:eastAsia="ko-KR" w:bidi="en-US"/>
          <w14:ligatures w14:val="none"/>
        </w:rPr>
        <w:t>. However, values above 400 ppm may reduce intake and milk yield in heat-stressed cattle</w:t>
      </w:r>
      <w:r w:rsidR="000F5247" w:rsidRPr="003D65B7">
        <w:rPr>
          <w:rFonts w:ascii="Arial" w:hAnsi="Arial" w:cs="Times New Roman"/>
          <w:snapToGrid w:val="0"/>
          <w:color w:val="000000"/>
          <w:kern w:val="0"/>
          <w:sz w:val="20"/>
          <w:szCs w:val="24"/>
          <w:lang w:eastAsia="ko-KR" w:bidi="en-US"/>
          <w14:ligatures w14:val="none"/>
        </w:rPr>
        <w:t xml:space="preserve"> (Beede, 2006; </w:t>
      </w:r>
      <w:r w:rsidR="00D40727" w:rsidRPr="003D65B7">
        <w:rPr>
          <w:rFonts w:ascii="Arial" w:hAnsi="Arial" w:cs="Times New Roman"/>
          <w:snapToGrid w:val="0"/>
          <w:color w:val="000000"/>
          <w:kern w:val="0"/>
          <w:sz w:val="20"/>
          <w:szCs w:val="24"/>
          <w:lang w:eastAsia="ko-KR" w:bidi="en-US"/>
          <w14:ligatures w14:val="none"/>
        </w:rPr>
        <w:t>D</w:t>
      </w:r>
      <w:r w:rsidR="000F5247" w:rsidRPr="003D65B7">
        <w:rPr>
          <w:rFonts w:ascii="Arial" w:hAnsi="Arial" w:cs="Times New Roman"/>
          <w:snapToGrid w:val="0"/>
          <w:color w:val="000000"/>
          <w:kern w:val="0"/>
          <w:sz w:val="20"/>
          <w:szCs w:val="24"/>
          <w:lang w:eastAsia="ko-KR" w:bidi="en-US"/>
          <w14:ligatures w14:val="none"/>
        </w:rPr>
        <w:t>yer, 2012)</w:t>
      </w:r>
      <w:r w:rsidRPr="003D65B7">
        <w:rPr>
          <w:rFonts w:ascii="Arial" w:hAnsi="Arial" w:cs="Times New Roman"/>
          <w:snapToGrid w:val="0"/>
          <w:color w:val="000000"/>
          <w:kern w:val="0"/>
          <w:sz w:val="20"/>
          <w:szCs w:val="24"/>
          <w:lang w:eastAsia="ko-KR" w:bidi="en-US"/>
          <w14:ligatures w14:val="none"/>
        </w:rPr>
        <w:t>. Elevated TDS in 60 Feet and Mirpur-2 may reflect urban runoff or soil leaching.</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Iron concentrations exceeded the 0.3 ppm limit </w:t>
      </w:r>
      <w:r w:rsidR="000F5247" w:rsidRPr="003D65B7">
        <w:rPr>
          <w:rFonts w:ascii="Arial" w:hAnsi="Arial" w:cs="Times New Roman"/>
          <w:snapToGrid w:val="0"/>
          <w:color w:val="000000"/>
          <w:kern w:val="0"/>
          <w:sz w:val="20"/>
          <w:szCs w:val="24"/>
          <w:lang w:eastAsia="ko-KR" w:bidi="en-US"/>
          <w14:ligatures w14:val="none"/>
        </w:rPr>
        <w:t>(</w:t>
      </w:r>
      <w:proofErr w:type="spellStart"/>
      <w:r w:rsidR="000F5247" w:rsidRPr="003D65B7">
        <w:rPr>
          <w:rFonts w:ascii="Arial" w:hAnsi="Arial" w:cs="Times New Roman"/>
          <w:snapToGrid w:val="0"/>
          <w:color w:val="000000"/>
          <w:kern w:val="0"/>
          <w:sz w:val="20"/>
          <w:szCs w:val="24"/>
          <w:lang w:eastAsia="ko-KR" w:bidi="en-US"/>
          <w14:ligatures w14:val="none"/>
        </w:rPr>
        <w:t>Swistock</w:t>
      </w:r>
      <w:proofErr w:type="spellEnd"/>
      <w:r w:rsidR="000F5247" w:rsidRPr="003D65B7">
        <w:rPr>
          <w:rFonts w:ascii="Arial" w:hAnsi="Arial" w:cs="Times New Roman"/>
          <w:snapToGrid w:val="0"/>
          <w:color w:val="000000"/>
          <w:kern w:val="0"/>
          <w:sz w:val="20"/>
          <w:szCs w:val="24"/>
          <w:lang w:eastAsia="ko-KR" w:bidi="en-US"/>
          <w14:ligatures w14:val="none"/>
        </w:rPr>
        <w:t>, 2012)</w:t>
      </w:r>
      <w:r w:rsidRPr="003D65B7">
        <w:rPr>
          <w:rFonts w:ascii="Arial" w:hAnsi="Arial" w:cs="Times New Roman"/>
          <w:snapToGrid w:val="0"/>
          <w:color w:val="000000"/>
          <w:kern w:val="0"/>
          <w:sz w:val="20"/>
          <w:szCs w:val="24"/>
          <w:lang w:eastAsia="ko-KR" w:bidi="en-US"/>
          <w14:ligatures w14:val="none"/>
        </w:rPr>
        <w:t xml:space="preserve"> in all samples; ranging from 0.780 ± 0.01 ppm (Mirpur-2) to 0.972 ± 0.02 ppm (Mirpur-1). </w:t>
      </w:r>
      <w:r w:rsidR="00B87D29" w:rsidRPr="003D65B7">
        <w:rPr>
          <w:rFonts w:ascii="Arial" w:hAnsi="Arial" w:cs="Times New Roman"/>
          <w:snapToGrid w:val="0"/>
          <w:color w:val="000000"/>
          <w:kern w:val="0"/>
          <w:sz w:val="20"/>
          <w:szCs w:val="24"/>
          <w:lang w:eastAsia="ko-KR" w:bidi="en-US"/>
          <w14:ligatures w14:val="none"/>
        </w:rPr>
        <w:t xml:space="preserve">Higgins and Agouridis, (2008) reported that </w:t>
      </w:r>
      <w:r w:rsidRPr="003D65B7">
        <w:rPr>
          <w:rFonts w:ascii="Arial" w:hAnsi="Arial" w:cs="Times New Roman"/>
          <w:snapToGrid w:val="0"/>
          <w:color w:val="000000"/>
          <w:kern w:val="0"/>
          <w:sz w:val="20"/>
          <w:szCs w:val="24"/>
          <w:lang w:eastAsia="ko-KR" w:bidi="en-US"/>
          <w14:ligatures w14:val="none"/>
        </w:rPr>
        <w:t xml:space="preserve">High iron can impart metallic taste, reduce intake, and interfere with zinc absorption. Likely sources include iron-rich aquifers or pipe corrosion. Similar findings in Dhaka groundwater were reported by Islam </w:t>
      </w:r>
      <w:r w:rsidR="00B87D29" w:rsidRPr="003D65B7">
        <w:rPr>
          <w:rFonts w:ascii="Arial" w:hAnsi="Arial" w:cs="Times New Roman"/>
          <w:snapToGrid w:val="0"/>
          <w:color w:val="000000"/>
          <w:kern w:val="0"/>
          <w:sz w:val="20"/>
          <w:szCs w:val="24"/>
          <w:lang w:eastAsia="ko-KR" w:bidi="en-US"/>
          <w14:ligatures w14:val="none"/>
        </w:rPr>
        <w:t>and Mostafa,</w:t>
      </w:r>
      <w:r w:rsidRPr="003D65B7">
        <w:rPr>
          <w:rFonts w:ascii="Arial" w:hAnsi="Arial" w:cs="Times New Roman"/>
          <w:snapToGrid w:val="0"/>
          <w:color w:val="000000"/>
          <w:kern w:val="0"/>
          <w:sz w:val="20"/>
          <w:szCs w:val="24"/>
          <w:lang w:eastAsia="ko-KR" w:bidi="en-US"/>
          <w14:ligatures w14:val="none"/>
        </w:rPr>
        <w:t xml:space="preserve"> </w:t>
      </w:r>
      <w:r w:rsidR="00B87D29" w:rsidRPr="003D65B7">
        <w:rPr>
          <w:rFonts w:ascii="Arial" w:hAnsi="Arial" w:cs="Times New Roman"/>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2024</w:t>
      </w:r>
      <w:r w:rsidR="00B87D29" w:rsidRPr="003D65B7">
        <w:rPr>
          <w:rFonts w:ascii="Arial" w:hAnsi="Arial" w:cs="Times New Roman"/>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Chloride ranged from 0.384 ± 0.01 ppm </w:t>
      </w:r>
      <w:r w:rsidRPr="003D65B7">
        <w:rPr>
          <w:rFonts w:ascii="Arial" w:hAnsi="Arial" w:cs="Times New Roman"/>
          <w:snapToGrid w:val="0"/>
          <w:color w:val="000000"/>
          <w:kern w:val="0"/>
          <w:sz w:val="20"/>
          <w:szCs w:val="24"/>
          <w:lang w:eastAsia="ko-KR" w:bidi="en-US"/>
          <w14:ligatures w14:val="none"/>
        </w:rPr>
        <w:lastRenderedPageBreak/>
        <w:t xml:space="preserve">to 0.945 ± 0.03 ppm; well below the </w:t>
      </w:r>
      <w:proofErr w:type="gramStart"/>
      <w:r w:rsidRPr="003D65B7">
        <w:rPr>
          <w:rFonts w:ascii="Arial" w:hAnsi="Arial" w:cs="Times New Roman"/>
          <w:snapToGrid w:val="0"/>
          <w:color w:val="000000"/>
          <w:kern w:val="0"/>
          <w:sz w:val="20"/>
          <w:szCs w:val="24"/>
          <w:lang w:eastAsia="ko-KR" w:bidi="en-US"/>
          <w14:ligatures w14:val="none"/>
        </w:rPr>
        <w:t>250</w:t>
      </w:r>
      <w:r w:rsidR="003B298F"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ppm</w:t>
      </w:r>
      <w:proofErr w:type="gramEnd"/>
      <w:r w:rsidRPr="003D65B7">
        <w:rPr>
          <w:rFonts w:ascii="Arial" w:hAnsi="Arial" w:cs="Times New Roman"/>
          <w:snapToGrid w:val="0"/>
          <w:color w:val="000000"/>
          <w:kern w:val="0"/>
          <w:sz w:val="20"/>
          <w:szCs w:val="24"/>
          <w:lang w:eastAsia="ko-KR" w:bidi="en-US"/>
          <w14:ligatures w14:val="none"/>
        </w:rPr>
        <w:t xml:space="preserve"> limit</w:t>
      </w:r>
      <w:r w:rsidR="00B87D29" w:rsidRPr="003D65B7">
        <w:rPr>
          <w:rFonts w:ascii="Arial" w:hAnsi="Arial" w:cs="Times New Roman"/>
          <w:snapToGrid w:val="0"/>
          <w:color w:val="000000"/>
          <w:kern w:val="0"/>
          <w:sz w:val="20"/>
          <w:szCs w:val="24"/>
          <w:lang w:eastAsia="ko-KR" w:bidi="en-US"/>
          <w14:ligatures w14:val="none"/>
        </w:rPr>
        <w:t xml:space="preserve"> (Beede, 2006)</w:t>
      </w:r>
      <w:r w:rsidRPr="003D65B7">
        <w:rPr>
          <w:rFonts w:ascii="Arial" w:hAnsi="Arial" w:cs="Times New Roman"/>
          <w:snapToGrid w:val="0"/>
          <w:color w:val="000000"/>
          <w:kern w:val="0"/>
          <w:sz w:val="20"/>
          <w:szCs w:val="24"/>
          <w:lang w:eastAsia="ko-KR" w:bidi="en-US"/>
          <w14:ligatures w14:val="none"/>
        </w:rPr>
        <w:t>. Though not concerning at these levels; elevated chloride may indicate sewage seepage or disinfectant residues.</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Overall, elevated iron and site-specific increases in TDS and chloride warrant attention. </w:t>
      </w:r>
      <w:r w:rsidR="00E85307" w:rsidRPr="003D65B7">
        <w:rPr>
          <w:rFonts w:ascii="Arial" w:hAnsi="Arial" w:cs="Times New Roman"/>
          <w:snapToGrid w:val="0"/>
          <w:color w:val="000000"/>
          <w:kern w:val="0"/>
          <w:sz w:val="20"/>
          <w:szCs w:val="24"/>
          <w:lang w:eastAsia="ko-KR" w:bidi="en-US"/>
          <w14:ligatures w14:val="none"/>
        </w:rPr>
        <w:t xml:space="preserve">Accelerating urbanization, climate variability, and environmental degradation exacerbate pressures on water quality in Dhaka, threatening ecosystem function, livestock resilience, and public health. </w:t>
      </w:r>
      <w:r w:rsidR="00060650" w:rsidRPr="00060650">
        <w:rPr>
          <w:rFonts w:ascii="Arial" w:hAnsi="Arial" w:cs="Times New Roman"/>
          <w:snapToGrid w:val="0"/>
          <w:color w:val="000000"/>
          <w:kern w:val="0"/>
          <w:sz w:val="20"/>
          <w:szCs w:val="24"/>
          <w:u w:val="single"/>
          <w:lang w:eastAsia="ko-KR" w:bidi="en-US"/>
          <w14:ligatures w14:val="none"/>
        </w:rPr>
        <w:t>These dynamics emphasize the critical need for integrated water management policies that consider climate change impacts and urban environmental stressors. Recent work by Diaz Ortiz et al. (2025) further supports this view, noting that unmanaged livestock water contamination contributes significantly to environmental degradation and undermines the resilience of food systems. Their study advocates for sustainable livestock practices and decentralized water treatment to mitigate these risks. Additionally, Haga (2023) documented how livestock waste and poor sanitation contribute to nitrate and microbial pollution in groundwater, reinforcing the importance of infrastructure upgrades and waste management in urban livestock zones like Dhaka.</w:t>
      </w:r>
      <w:r w:rsidR="00DA5023">
        <w:rPr>
          <w:rFonts w:ascii="Arial" w:hAnsi="Arial" w:cs="Times New Roman"/>
          <w:snapToGrid w:val="0"/>
          <w:color w:val="000000"/>
          <w:kern w:val="0"/>
          <w:sz w:val="20"/>
          <w:szCs w:val="24"/>
          <w:u w:val="single"/>
          <w:lang w:eastAsia="ko-KR" w:bidi="en-US"/>
          <w14:ligatures w14:val="none"/>
        </w:rPr>
        <w:t xml:space="preserve"> </w:t>
      </w:r>
      <w:r w:rsidR="00060650" w:rsidRPr="00060650">
        <w:rPr>
          <w:rFonts w:ascii="Arial" w:hAnsi="Arial" w:cs="Times New Roman"/>
          <w:snapToGrid w:val="0"/>
          <w:color w:val="000000"/>
          <w:kern w:val="0"/>
          <w:sz w:val="20"/>
          <w:szCs w:val="24"/>
          <w:u w:val="single"/>
          <w:lang w:eastAsia="ko-KR" w:bidi="en-US"/>
          <w14:ligatures w14:val="none"/>
        </w:rPr>
        <w:t>To address these challenges, microbial remediation and biotechnological interventions are gaining attention as climate-resilient solutions. Pande et al. (2022) reviewed microbial strategies for detoxifying heavy metals in agroecosystems, including iron, while Liying et al. (2024) emphasized the role of microbial consortia in remediating toxic ions in water systems. These approaches align with the need for sustainable, low-cost interventions in resource-constrained urban farming environments.</w:t>
      </w:r>
    </w:p>
    <w:p w14:paraId="3B5E39E8" w14:textId="77777777" w:rsidR="00840D09" w:rsidRPr="003D65B7" w:rsidRDefault="00840D09" w:rsidP="00F36963">
      <w:pPr>
        <w:pStyle w:val="Heading20"/>
      </w:pPr>
    </w:p>
    <w:p w14:paraId="5EEBDFED" w14:textId="77777777" w:rsidR="00A34280" w:rsidRPr="003D65B7" w:rsidRDefault="00A34280" w:rsidP="00F36963">
      <w:pPr>
        <w:pStyle w:val="Heading20"/>
      </w:pPr>
    </w:p>
    <w:p w14:paraId="0B129C2B" w14:textId="63DE36DE" w:rsidR="00F52A58" w:rsidRPr="003D65B7" w:rsidRDefault="00F36963" w:rsidP="00F36963">
      <w:pPr>
        <w:pStyle w:val="Heading20"/>
      </w:pPr>
      <w:r w:rsidRPr="003D65B7">
        <w:t xml:space="preserve">4.4 </w:t>
      </w:r>
      <w:r w:rsidR="00A06B1C" w:rsidRPr="003D65B7">
        <w:t>Relationships Between Indicator Bacteria and Physicochemical Parameters of Water</w:t>
      </w:r>
    </w:p>
    <w:p w14:paraId="33B37FF3" w14:textId="77777777" w:rsidR="00840D09" w:rsidRPr="003D65B7" w:rsidRDefault="00840D09" w:rsidP="00F36963">
      <w:pPr>
        <w:pStyle w:val="Heading20"/>
      </w:pPr>
    </w:p>
    <w:p w14:paraId="75249851" w14:textId="0D5C9BED" w:rsidR="00A06B1C" w:rsidRPr="003D65B7" w:rsidRDefault="00A06B1C" w:rsidP="00937E04">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The relationships between bacterial indicators (Coliform and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and physicochemical parameters</w:t>
      </w:r>
      <w:r w:rsidR="00840D09"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across five study areas in Dhaka revealed varied associations; some aligning with existing research and others diverging.</w:t>
      </w:r>
    </w:p>
    <w:p w14:paraId="5D7C74A9" w14:textId="6A4C863A" w:rsidR="009E48FD" w:rsidRPr="003D65B7" w:rsidRDefault="00A06B1C" w:rsidP="009E48FD">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TDS showed the strongest positive correlation with Coliform (R² = 0.697); supporting findings by </w:t>
      </w:r>
      <w:proofErr w:type="spellStart"/>
      <w:r w:rsidRPr="003D65B7">
        <w:rPr>
          <w:rFonts w:ascii="Arial" w:hAnsi="Arial" w:cs="Times New Roman"/>
          <w:snapToGrid w:val="0"/>
          <w:color w:val="000000"/>
          <w:kern w:val="0"/>
          <w:sz w:val="20"/>
          <w:szCs w:val="24"/>
          <w:lang w:eastAsia="ko-KR" w:bidi="en-US"/>
          <w14:ligatures w14:val="none"/>
        </w:rPr>
        <w:t>Bichi</w:t>
      </w:r>
      <w:proofErr w:type="spellEnd"/>
      <w:r w:rsidRPr="003D65B7">
        <w:rPr>
          <w:rFonts w:ascii="Arial" w:hAnsi="Arial" w:cs="Times New Roman"/>
          <w:snapToGrid w:val="0"/>
          <w:color w:val="000000"/>
          <w:kern w:val="0"/>
          <w:sz w:val="20"/>
          <w:szCs w:val="24"/>
          <w:lang w:eastAsia="ko-KR" w:bidi="en-US"/>
          <w14:ligatures w14:val="none"/>
        </w:rPr>
        <w:t xml:space="preserve"> and </w:t>
      </w:r>
      <w:proofErr w:type="spellStart"/>
      <w:r w:rsidRPr="003D65B7">
        <w:rPr>
          <w:rFonts w:ascii="Arial" w:hAnsi="Arial" w:cs="Times New Roman"/>
          <w:snapToGrid w:val="0"/>
          <w:color w:val="000000"/>
          <w:kern w:val="0"/>
          <w:sz w:val="20"/>
          <w:szCs w:val="24"/>
          <w:lang w:eastAsia="ko-KR" w:bidi="en-US"/>
          <w14:ligatures w14:val="none"/>
        </w:rPr>
        <w:t>Anyata</w:t>
      </w:r>
      <w:proofErr w:type="spellEnd"/>
      <w:r w:rsidRPr="003D65B7">
        <w:rPr>
          <w:rFonts w:ascii="Arial" w:hAnsi="Arial" w:cs="Times New Roman"/>
          <w:snapToGrid w:val="0"/>
          <w:color w:val="000000"/>
          <w:kern w:val="0"/>
          <w:sz w:val="20"/>
          <w:szCs w:val="24"/>
          <w:lang w:eastAsia="ko-KR" w:bidi="en-US"/>
          <w14:ligatures w14:val="none"/>
        </w:rPr>
        <w:t>,</w:t>
      </w:r>
      <w:r w:rsidR="00B87D29" w:rsidRPr="003D65B7">
        <w:rPr>
          <w:rFonts w:ascii="Arial" w:hAnsi="Arial" w:cs="Times New Roman"/>
          <w:snapToGrid w:val="0"/>
          <w:color w:val="000000"/>
          <w:kern w:val="0"/>
          <w:sz w:val="20"/>
          <w:szCs w:val="24"/>
          <w:lang w:eastAsia="ko-KR" w:bidi="en-US"/>
          <w14:ligatures w14:val="none"/>
        </w:rPr>
        <w:t xml:space="preserve"> (2008)</w:t>
      </w:r>
      <w:r w:rsidRPr="003D65B7">
        <w:rPr>
          <w:rFonts w:ascii="Arial" w:hAnsi="Arial" w:cs="Times New Roman"/>
          <w:snapToGrid w:val="0"/>
          <w:color w:val="000000"/>
          <w:kern w:val="0"/>
          <w:sz w:val="20"/>
          <w:szCs w:val="24"/>
          <w:lang w:eastAsia="ko-KR" w:bidi="en-US"/>
          <w14:ligatures w14:val="none"/>
        </w:rPr>
        <w:t xml:space="preserve"> who linked elevated TDS to increased microbial loads in urban water bodies. This suggests that ionic enrichment from runoff or decaying organics may enhance bacterial persistence.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showed a weaker correlation (R² = 0.233); consistent with Ahmed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B87D29" w:rsidRPr="003D65B7">
        <w:rPr>
          <w:rFonts w:ascii="Arial" w:hAnsi="Arial" w:cs="Times New Roman"/>
          <w:snapToGrid w:val="0"/>
          <w:color w:val="000000"/>
          <w:kern w:val="0"/>
          <w:sz w:val="20"/>
          <w:szCs w:val="24"/>
          <w:lang w:eastAsia="ko-KR" w:bidi="en-US"/>
          <w14:ligatures w14:val="none"/>
        </w:rPr>
        <w:t xml:space="preserve"> (2012)</w:t>
      </w:r>
      <w:r w:rsidRPr="003D65B7">
        <w:rPr>
          <w:rFonts w:ascii="Arial" w:hAnsi="Arial" w:cs="Times New Roman"/>
          <w:snapToGrid w:val="0"/>
          <w:color w:val="000000"/>
          <w:kern w:val="0"/>
          <w:sz w:val="20"/>
          <w:szCs w:val="24"/>
          <w:lang w:eastAsia="ko-KR" w:bidi="en-US"/>
          <w14:ligatures w14:val="none"/>
        </w:rPr>
        <w:t xml:space="preserve"> who noted species-specific responses to solute concentrations in groundwater.</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Iron displayed very weak correlations with both Coliform </w:t>
      </w:r>
      <w:r w:rsidRPr="003D65B7">
        <w:rPr>
          <w:rFonts w:ascii="Arial" w:hAnsi="Arial" w:cs="Times New Roman"/>
          <w:snapToGrid w:val="0"/>
          <w:color w:val="000000"/>
          <w:kern w:val="0"/>
          <w:sz w:val="20"/>
          <w:szCs w:val="24"/>
          <w:lang w:eastAsia="ko-KR" w:bidi="en-US"/>
          <w14:ligatures w14:val="none"/>
        </w:rPr>
        <w:lastRenderedPageBreak/>
        <w:t xml:space="preserve">(R² = 0.048) and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0.013); aligning with Al-Omran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B87D29" w:rsidRPr="003D65B7">
        <w:rPr>
          <w:rFonts w:ascii="Arial" w:hAnsi="Arial" w:cs="Times New Roman"/>
          <w:snapToGrid w:val="0"/>
          <w:color w:val="000000"/>
          <w:kern w:val="0"/>
          <w:sz w:val="20"/>
          <w:szCs w:val="24"/>
          <w:lang w:eastAsia="ko-KR" w:bidi="en-US"/>
          <w14:ligatures w14:val="none"/>
        </w:rPr>
        <w:t xml:space="preserve"> (2015)</w:t>
      </w:r>
      <w:r w:rsidRPr="003D65B7">
        <w:rPr>
          <w:rFonts w:ascii="Arial" w:hAnsi="Arial" w:cs="Times New Roman"/>
          <w:snapToGrid w:val="0"/>
          <w:color w:val="000000"/>
          <w:kern w:val="0"/>
          <w:sz w:val="20"/>
          <w:szCs w:val="24"/>
          <w:lang w:eastAsia="ko-KR" w:bidi="en-US"/>
          <w14:ligatures w14:val="none"/>
        </w:rPr>
        <w:t xml:space="preserve"> who found iron below 1 ppm had no measurable microbial impact. Iron may not be bioavailable in forms that influence bacterial growth.</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Chloride showed a moderate negative correlation with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(R² = 0.460) and a weak inverse relationship with Coliform (R² = 0.084). While Rui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A5279B" w:rsidRPr="003D65B7">
        <w:rPr>
          <w:rFonts w:ascii="Arial" w:hAnsi="Arial" w:cs="Times New Roman"/>
          <w:snapToGrid w:val="0"/>
          <w:color w:val="000000"/>
          <w:kern w:val="0"/>
          <w:sz w:val="20"/>
          <w:szCs w:val="24"/>
          <w:lang w:eastAsia="ko-KR" w:bidi="en-US"/>
          <w14:ligatures w14:val="none"/>
        </w:rPr>
        <w:t>, (2019)</w:t>
      </w:r>
      <w:r w:rsidRPr="003D65B7">
        <w:rPr>
          <w:rFonts w:ascii="Arial" w:hAnsi="Arial" w:cs="Times New Roman"/>
          <w:snapToGrid w:val="0"/>
          <w:color w:val="000000"/>
          <w:kern w:val="0"/>
          <w:sz w:val="20"/>
          <w:szCs w:val="24"/>
          <w:lang w:eastAsia="ko-KR" w:bidi="en-US"/>
          <w14:ligatures w14:val="none"/>
        </w:rPr>
        <w:t xml:space="preserve"> reported NaCl may enhance </w:t>
      </w:r>
      <w:r w:rsidR="00F70BC1" w:rsidRPr="003D65B7">
        <w:rPr>
          <w:rFonts w:ascii="Arial" w:hAnsi="Arial" w:cs="Times New Roman"/>
          <w:i/>
          <w:iCs/>
          <w:snapToGrid w:val="0"/>
          <w:color w:val="000000"/>
          <w:kern w:val="0"/>
          <w:sz w:val="20"/>
          <w:szCs w:val="24"/>
          <w:lang w:eastAsia="ko-KR" w:bidi="en-US"/>
          <w14:ligatures w14:val="none"/>
        </w:rPr>
        <w:t>E. coli</w:t>
      </w:r>
      <w:r w:rsidR="005753AC" w:rsidRPr="003D65B7">
        <w:rPr>
          <w:rFonts w:ascii="Arial" w:hAnsi="Arial" w:cs="Times New Roman"/>
          <w:iCs/>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growth in lab media; Mahmud </w:t>
      </w:r>
      <w:r w:rsidRPr="003D65B7">
        <w:rPr>
          <w:rFonts w:ascii="Arial" w:hAnsi="Arial" w:cs="Times New Roman"/>
          <w:iCs/>
          <w:snapToGrid w:val="0"/>
          <w:color w:val="000000"/>
          <w:kern w:val="0"/>
          <w:sz w:val="20"/>
          <w:szCs w:val="24"/>
          <w:lang w:eastAsia="ko-KR" w:bidi="en-US"/>
          <w14:ligatures w14:val="none"/>
        </w:rPr>
        <w:t>et al</w:t>
      </w:r>
      <w:r w:rsidRPr="003D65B7">
        <w:rPr>
          <w:rFonts w:ascii="Arial" w:hAnsi="Arial" w:cs="Times New Roman"/>
          <w:snapToGrid w:val="0"/>
          <w:color w:val="000000"/>
          <w:kern w:val="0"/>
          <w:sz w:val="20"/>
          <w:szCs w:val="24"/>
          <w:lang w:eastAsia="ko-KR" w:bidi="en-US"/>
          <w14:ligatures w14:val="none"/>
        </w:rPr>
        <w:t>.</w:t>
      </w:r>
      <w:r w:rsidR="00C86B6A" w:rsidRPr="003D65B7">
        <w:rPr>
          <w:rFonts w:ascii="Arial" w:hAnsi="Arial" w:cs="Times New Roman"/>
          <w:snapToGrid w:val="0"/>
          <w:color w:val="000000"/>
          <w:kern w:val="0"/>
          <w:sz w:val="20"/>
          <w:szCs w:val="24"/>
          <w:lang w:eastAsia="ko-KR" w:bidi="en-US"/>
          <w14:ligatures w14:val="none"/>
        </w:rPr>
        <w:t>, (2014)</w:t>
      </w:r>
      <w:r w:rsidRPr="003D65B7">
        <w:rPr>
          <w:rFonts w:ascii="Arial" w:hAnsi="Arial" w:cs="Times New Roman"/>
          <w:snapToGrid w:val="0"/>
          <w:color w:val="000000"/>
          <w:kern w:val="0"/>
          <w:sz w:val="20"/>
          <w:szCs w:val="24"/>
          <w:lang w:eastAsia="ko-KR" w:bidi="en-US"/>
          <w14:ligatures w14:val="none"/>
        </w:rPr>
        <w:t xml:space="preserve"> suggested elevated chloride in Dhaka aquifers may reflect dilution or residual disinfection.</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pH varied slightly (6.12–6.70) and showed no meaningful correlation with microbial indicators; consistent with </w:t>
      </w:r>
      <w:proofErr w:type="spellStart"/>
      <w:r w:rsidR="009E48FD" w:rsidRPr="003D65B7">
        <w:rPr>
          <w:rFonts w:ascii="Arial" w:eastAsia="Times New Roman" w:hAnsi="Arial" w:cs="Times New Roman"/>
          <w:snapToGrid w:val="0"/>
          <w:color w:val="000000"/>
          <w:kern w:val="0"/>
          <w:sz w:val="20"/>
          <w:szCs w:val="24"/>
          <w:lang w:eastAsia="de-DE" w:bidi="en-US"/>
          <w14:ligatures w14:val="none"/>
        </w:rPr>
        <w:t>Oshukunuofa</w:t>
      </w:r>
      <w:proofErr w:type="spellEnd"/>
      <w:r w:rsidR="009E48FD" w:rsidRPr="003D65B7">
        <w:rPr>
          <w:rFonts w:ascii="Arial" w:hAnsi="Arial" w:cs="Times New Roman"/>
          <w:snapToGrid w:val="0"/>
          <w:color w:val="000000"/>
          <w:kern w:val="0"/>
          <w:sz w:val="20"/>
          <w:szCs w:val="24"/>
          <w:lang w:eastAsia="ko-KR" w:bidi="en-US"/>
          <w14:ligatures w14:val="none"/>
        </w:rPr>
        <w:t xml:space="preserve"> et al., 2024 </w:t>
      </w:r>
      <w:r w:rsidRPr="003D65B7">
        <w:rPr>
          <w:rFonts w:ascii="Arial" w:hAnsi="Arial" w:cs="Times New Roman"/>
          <w:snapToGrid w:val="0"/>
          <w:color w:val="000000"/>
          <w:kern w:val="0"/>
          <w:sz w:val="20"/>
          <w:szCs w:val="24"/>
          <w:lang w:eastAsia="ko-KR" w:bidi="en-US"/>
          <w14:ligatures w14:val="none"/>
        </w:rPr>
        <w:t>field observations. Only extreme pH values significantly affect bacterial viability</w:t>
      </w:r>
      <w:r w:rsidR="00C86B6A" w:rsidRPr="003D65B7">
        <w:rPr>
          <w:rFonts w:ascii="Arial" w:hAnsi="Arial" w:cs="Times New Roman"/>
          <w:snapToGrid w:val="0"/>
          <w:color w:val="000000"/>
          <w:kern w:val="0"/>
          <w:sz w:val="20"/>
          <w:szCs w:val="24"/>
          <w:lang w:eastAsia="ko-KR" w:bidi="en-US"/>
          <w14:ligatures w14:val="none"/>
        </w:rPr>
        <w:t xml:space="preserve"> (Curtis </w:t>
      </w:r>
      <w:r w:rsidR="00C86B6A" w:rsidRPr="003D65B7">
        <w:rPr>
          <w:rFonts w:ascii="Arial" w:hAnsi="Arial" w:cs="Times New Roman"/>
          <w:iCs/>
          <w:snapToGrid w:val="0"/>
          <w:color w:val="000000"/>
          <w:kern w:val="0"/>
          <w:sz w:val="20"/>
          <w:szCs w:val="24"/>
          <w:lang w:eastAsia="ko-KR" w:bidi="en-US"/>
          <w14:ligatures w14:val="none"/>
        </w:rPr>
        <w:t>et al</w:t>
      </w:r>
      <w:r w:rsidR="00C86B6A" w:rsidRPr="003D65B7">
        <w:rPr>
          <w:rFonts w:ascii="Arial" w:hAnsi="Arial" w:cs="Times New Roman"/>
          <w:snapToGrid w:val="0"/>
          <w:color w:val="000000"/>
          <w:kern w:val="0"/>
          <w:sz w:val="20"/>
          <w:szCs w:val="24"/>
          <w:lang w:eastAsia="ko-KR" w:bidi="en-US"/>
          <w14:ligatures w14:val="none"/>
        </w:rPr>
        <w:t>.,1992)</w:t>
      </w:r>
      <w:r w:rsidRPr="003D65B7">
        <w:rPr>
          <w:rFonts w:ascii="Arial" w:hAnsi="Arial" w:cs="Times New Roman"/>
          <w:snapToGrid w:val="0"/>
          <w:color w:val="000000"/>
          <w:kern w:val="0"/>
          <w:sz w:val="20"/>
          <w:szCs w:val="24"/>
          <w:lang w:eastAsia="ko-KR" w:bidi="en-US"/>
          <w14:ligatures w14:val="none"/>
        </w:rPr>
        <w:t>.</w:t>
      </w:r>
      <w:r w:rsidR="003A1996" w:rsidRPr="003D65B7">
        <w:rPr>
          <w:rFonts w:ascii="Arial" w:hAnsi="Arial" w:cs="Times New Roman"/>
          <w:snapToGrid w:val="0"/>
          <w:color w:val="000000"/>
          <w:kern w:val="0"/>
          <w:sz w:val="20"/>
          <w:szCs w:val="24"/>
          <w:lang w:eastAsia="ko-KR" w:bidi="en-US"/>
          <w14:ligatures w14:val="none"/>
        </w:rPr>
        <w:t xml:space="preserve"> </w:t>
      </w:r>
      <w:r w:rsidRPr="003D65B7">
        <w:rPr>
          <w:rFonts w:ascii="Arial" w:hAnsi="Arial" w:cs="Times New Roman"/>
          <w:snapToGrid w:val="0"/>
          <w:color w:val="000000"/>
          <w:kern w:val="0"/>
          <w:sz w:val="20"/>
          <w:szCs w:val="24"/>
          <w:lang w:eastAsia="ko-KR" w:bidi="en-US"/>
          <w14:ligatures w14:val="none"/>
        </w:rPr>
        <w:t xml:space="preserve">Hardness showed weak positive associations with Coliform and </w:t>
      </w:r>
      <w:r w:rsidR="00F70BC1" w:rsidRPr="003D65B7">
        <w:rPr>
          <w:rFonts w:ascii="Arial" w:hAnsi="Arial" w:cs="Times New Roman"/>
          <w:i/>
          <w:iCs/>
          <w:snapToGrid w:val="0"/>
          <w:color w:val="000000"/>
          <w:kern w:val="0"/>
          <w:sz w:val="20"/>
          <w:szCs w:val="24"/>
          <w:lang w:eastAsia="ko-KR" w:bidi="en-US"/>
          <w14:ligatures w14:val="none"/>
        </w:rPr>
        <w:t>E. coli</w:t>
      </w:r>
      <w:r w:rsidRPr="003D65B7">
        <w:rPr>
          <w:rFonts w:ascii="Arial" w:hAnsi="Arial" w:cs="Times New Roman"/>
          <w:snapToGrid w:val="0"/>
          <w:color w:val="000000"/>
          <w:kern w:val="0"/>
          <w:sz w:val="20"/>
          <w:szCs w:val="24"/>
          <w:lang w:eastAsia="ko-KR" w:bidi="en-US"/>
          <w14:ligatures w14:val="none"/>
        </w:rPr>
        <w:t xml:space="preserve">; echoing findings by </w:t>
      </w:r>
      <w:proofErr w:type="spellStart"/>
      <w:r w:rsidRPr="003D65B7">
        <w:rPr>
          <w:rFonts w:ascii="Arial" w:hAnsi="Arial" w:cs="Times New Roman"/>
          <w:snapToGrid w:val="0"/>
          <w:color w:val="000000"/>
          <w:kern w:val="0"/>
          <w:sz w:val="20"/>
          <w:szCs w:val="24"/>
          <w:lang w:eastAsia="ko-KR" w:bidi="en-US"/>
          <w14:ligatures w14:val="none"/>
        </w:rPr>
        <w:t>Varol</w:t>
      </w:r>
      <w:proofErr w:type="spellEnd"/>
      <w:r w:rsidRPr="003D65B7">
        <w:rPr>
          <w:rFonts w:ascii="Arial" w:hAnsi="Arial" w:cs="Times New Roman"/>
          <w:snapToGrid w:val="0"/>
          <w:color w:val="000000"/>
          <w:kern w:val="0"/>
          <w:sz w:val="20"/>
          <w:szCs w:val="24"/>
          <w:lang w:eastAsia="ko-KR" w:bidi="en-US"/>
          <w14:ligatures w14:val="none"/>
        </w:rPr>
        <w:t xml:space="preserve"> and </w:t>
      </w:r>
      <w:proofErr w:type="spellStart"/>
      <w:r w:rsidRPr="003D65B7">
        <w:rPr>
          <w:rFonts w:ascii="Arial" w:hAnsi="Arial" w:cs="Times New Roman"/>
          <w:snapToGrid w:val="0"/>
          <w:color w:val="000000"/>
          <w:kern w:val="0"/>
          <w:sz w:val="20"/>
          <w:szCs w:val="24"/>
          <w:lang w:eastAsia="ko-KR" w:bidi="en-US"/>
          <w14:ligatures w14:val="none"/>
        </w:rPr>
        <w:t>Davraz</w:t>
      </w:r>
      <w:proofErr w:type="spellEnd"/>
      <w:r w:rsidRPr="003D65B7">
        <w:rPr>
          <w:rFonts w:ascii="Arial" w:hAnsi="Arial" w:cs="Times New Roman"/>
          <w:snapToGrid w:val="0"/>
          <w:color w:val="000000"/>
          <w:kern w:val="0"/>
          <w:sz w:val="20"/>
          <w:szCs w:val="24"/>
          <w:lang w:eastAsia="ko-KR" w:bidi="en-US"/>
          <w14:ligatures w14:val="none"/>
        </w:rPr>
        <w:t xml:space="preserve"> </w:t>
      </w:r>
      <w:r w:rsidR="00582119" w:rsidRPr="003D65B7">
        <w:rPr>
          <w:rFonts w:ascii="Arial" w:hAnsi="Arial" w:cs="Times New Roman"/>
          <w:snapToGrid w:val="0"/>
          <w:color w:val="000000"/>
          <w:kern w:val="0"/>
          <w:sz w:val="20"/>
          <w:szCs w:val="24"/>
          <w:lang w:eastAsia="ko-KR" w:bidi="en-US"/>
          <w14:ligatures w14:val="none"/>
        </w:rPr>
        <w:t xml:space="preserve">(Neumann </w:t>
      </w:r>
      <w:r w:rsidR="00582119" w:rsidRPr="003D65B7">
        <w:rPr>
          <w:rFonts w:ascii="Arial" w:hAnsi="Arial" w:cs="Times New Roman"/>
          <w:iCs/>
          <w:snapToGrid w:val="0"/>
          <w:color w:val="000000"/>
          <w:kern w:val="0"/>
          <w:sz w:val="20"/>
          <w:szCs w:val="24"/>
          <w:lang w:eastAsia="ko-KR" w:bidi="en-US"/>
          <w14:ligatures w14:val="none"/>
        </w:rPr>
        <w:t>et al</w:t>
      </w:r>
      <w:r w:rsidR="00582119" w:rsidRPr="003D65B7">
        <w:rPr>
          <w:rFonts w:ascii="Arial" w:hAnsi="Arial" w:cs="Times New Roman"/>
          <w:snapToGrid w:val="0"/>
          <w:color w:val="000000"/>
          <w:kern w:val="0"/>
          <w:sz w:val="20"/>
          <w:szCs w:val="24"/>
          <w:lang w:eastAsia="ko-KR" w:bidi="en-US"/>
          <w14:ligatures w14:val="none"/>
        </w:rPr>
        <w:t>., 2017)</w:t>
      </w:r>
      <w:r w:rsidRPr="003D65B7">
        <w:rPr>
          <w:rFonts w:ascii="Arial" w:hAnsi="Arial" w:cs="Times New Roman"/>
          <w:snapToGrid w:val="0"/>
          <w:color w:val="000000"/>
          <w:kern w:val="0"/>
          <w:sz w:val="20"/>
          <w:szCs w:val="24"/>
          <w:lang w:eastAsia="ko-KR" w:bidi="en-US"/>
          <w14:ligatures w14:val="none"/>
        </w:rPr>
        <w:t>. Though mineral content may influence transport dynamics; its direct impact on bacterial load appears limited.</w:t>
      </w:r>
      <w:r w:rsidR="003A1996" w:rsidRPr="003D65B7">
        <w:rPr>
          <w:rFonts w:ascii="Arial" w:hAnsi="Arial" w:cs="Times New Roman"/>
          <w:snapToGrid w:val="0"/>
          <w:color w:val="000000"/>
          <w:kern w:val="0"/>
          <w:sz w:val="20"/>
          <w:szCs w:val="24"/>
          <w:lang w:eastAsia="ko-KR" w:bidi="en-US"/>
          <w14:ligatures w14:val="none"/>
        </w:rPr>
        <w:t xml:space="preserve"> </w:t>
      </w:r>
    </w:p>
    <w:p w14:paraId="56598919" w14:textId="0B7FB529" w:rsidR="009E48FD" w:rsidRPr="003D65B7" w:rsidRDefault="009E48FD" w:rsidP="009E48FD">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lang w:eastAsia="ko-KR" w:bidi="en-US"/>
          <w14:ligatures w14:val="none"/>
        </w:rPr>
        <w:t xml:space="preserve">While none of the relationships reached statistical significance, moderate trends suggest environmental gradients may influence microbial presence. Further longitudinal studies could clarify these patterns. </w:t>
      </w:r>
      <w:r w:rsidRPr="003D65B7">
        <w:rPr>
          <w:rFonts w:ascii="Arial" w:hAnsi="Arial" w:cs="Times New Roman"/>
          <w:snapToGrid w:val="0"/>
          <w:color w:val="000000"/>
          <w:kern w:val="0"/>
          <w:sz w:val="20"/>
          <w:szCs w:val="24"/>
          <w:lang w:eastAsia="ko-KR" w:bidi="en-US"/>
          <w14:ligatures w14:val="none"/>
        </w:rPr>
        <w:t>Importantly, these physicochemical-microbial relationships must be interpreted within the broader context of environmental change. Urban water systems in Dhaka are increasingly vulnerable to climate-induced stressors such as erratic rainfall, rising temperatures, and seasonal flooding. These phenomena can alter solute concentrations, disrupt aquifer recharge, and mobilize contaminants from surface runoff into groundwater supplies. For instance, elevated TDS and chloride levels may reflect intensified leaching during monsoonal surges or prolonged dry spells that concentrate solutes through evaporation.</w:t>
      </w:r>
    </w:p>
    <w:p w14:paraId="43ED6D0F" w14:textId="427A8ED4" w:rsidR="009E48FD" w:rsidRPr="003D65B7" w:rsidRDefault="009E48FD" w:rsidP="009E48FD">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Moreover, climate variability may influence microbial survival and transport. Warmer temperatures can accelerate bacterial metabolism and replication, while flooding events may breach containment systems and introduce fecal matter into water lines. These dynamics emphasize the need for integrated water quality monitoring that accounts for both physicochemical parameters and climate-linked hydrological shifts.</w:t>
      </w:r>
    </w:p>
    <w:p w14:paraId="504D8DC7" w14:textId="61A3461E" w:rsidR="00DA5023" w:rsidRPr="00D95CC7" w:rsidRDefault="00E34BA3" w:rsidP="00DA5023">
      <w:pPr>
        <w:spacing w:line="480" w:lineRule="auto"/>
        <w:jc w:val="both"/>
        <w:rPr>
          <w:rFonts w:ascii="Arial" w:hAnsi="Arial" w:cs="Times New Roman"/>
          <w:snapToGrid w:val="0"/>
          <w:color w:val="000000"/>
          <w:kern w:val="0"/>
          <w:sz w:val="20"/>
          <w:szCs w:val="24"/>
          <w:lang w:eastAsia="ko-KR" w:bidi="en-US"/>
          <w14:ligatures w14:val="none"/>
        </w:rPr>
      </w:pPr>
      <w:r w:rsidRPr="00D95CC7">
        <w:rPr>
          <w:rFonts w:ascii="Arial" w:hAnsi="Arial" w:cs="Times New Roman"/>
          <w:snapToGrid w:val="0"/>
          <w:color w:val="000000"/>
          <w:kern w:val="0"/>
          <w:sz w:val="20"/>
          <w:szCs w:val="24"/>
          <w:lang w:eastAsia="ko-KR" w:bidi="en-US"/>
          <w14:ligatures w14:val="none"/>
        </w:rPr>
        <w:t xml:space="preserve">Recent studies have emphasized that microbial responses to physicochemical stressors such as TDS, iron, and chloride are often modulated by environmental context and microbial community structure. Strzelecki and Nowicki (2025) highlighted that ionic stress from dissolved solids can influence microbial proliferation and biofilm formation in ways that are not always linear or predictable. Similarly, Helmann (2025) reviewed microbial metal physiology and noted that iron uptake, oxidative stress responses, and biofilm dynamics </w:t>
      </w:r>
      <w:r w:rsidRPr="00D95CC7">
        <w:rPr>
          <w:rFonts w:ascii="Arial" w:hAnsi="Arial" w:cs="Times New Roman"/>
          <w:snapToGrid w:val="0"/>
          <w:color w:val="000000"/>
          <w:kern w:val="0"/>
          <w:sz w:val="20"/>
          <w:szCs w:val="24"/>
          <w:lang w:eastAsia="ko-KR" w:bidi="en-US"/>
          <w14:ligatures w14:val="none"/>
        </w:rPr>
        <w:lastRenderedPageBreak/>
        <w:t xml:space="preserve">vary significantly across ecosystems, often decoupling from ambient concentrations. These findings support the observed weak-to-moderate correlations in our study and </w:t>
      </w:r>
      <w:r w:rsidR="00DA5023" w:rsidRPr="00D95CC7">
        <w:rPr>
          <w:rFonts w:ascii="Arial" w:hAnsi="Arial" w:cs="Times New Roman"/>
          <w:snapToGrid w:val="0"/>
          <w:color w:val="000000"/>
          <w:kern w:val="0"/>
          <w:sz w:val="20"/>
          <w:szCs w:val="24"/>
          <w:lang w:eastAsia="ko-KR" w:bidi="en-US"/>
          <w14:ligatures w14:val="none"/>
        </w:rPr>
        <w:t xml:space="preserve">highlight </w:t>
      </w:r>
      <w:r w:rsidRPr="00D95CC7">
        <w:rPr>
          <w:rFonts w:ascii="Arial" w:hAnsi="Arial" w:cs="Times New Roman"/>
          <w:snapToGrid w:val="0"/>
          <w:color w:val="000000"/>
          <w:kern w:val="0"/>
          <w:sz w:val="20"/>
          <w:szCs w:val="24"/>
          <w:lang w:eastAsia="ko-KR" w:bidi="en-US"/>
          <w14:ligatures w14:val="none"/>
        </w:rPr>
        <w:t>the need for integrative approaches that consider microbial ecology, water chemistry, and infrastructure dynamics in urban livestock environments.</w:t>
      </w:r>
      <w:r w:rsidR="00DA5023" w:rsidRPr="00D95CC7">
        <w:rPr>
          <w:rFonts w:ascii="Arial" w:hAnsi="Arial" w:cs="Times New Roman"/>
          <w:snapToGrid w:val="0"/>
          <w:color w:val="000000"/>
          <w:kern w:val="0"/>
          <w:sz w:val="20"/>
          <w:szCs w:val="24"/>
          <w:lang w:eastAsia="ko-KR" w:bidi="en-US"/>
          <w14:ligatures w14:val="none"/>
        </w:rPr>
        <w:t xml:space="preserve"> In this light, the observed correlations, though modest, offer valuable insights into how environmental gradients shaped by climate change may modulate microbial risks in urban livestock systems. Future studies should incorporate seasonal sampling, rainfall data, and land-use mapping to better understand these interactions. </w:t>
      </w:r>
    </w:p>
    <w:p w14:paraId="6EDA32F2" w14:textId="77777777" w:rsidR="00573100" w:rsidRPr="003D65B7" w:rsidRDefault="00573100" w:rsidP="00840D09">
      <w:pPr>
        <w:pStyle w:val="Heading10"/>
      </w:pPr>
    </w:p>
    <w:p w14:paraId="774F75A9" w14:textId="6AA24912" w:rsidR="00A06B1C" w:rsidRPr="003D65B7" w:rsidRDefault="00840D09" w:rsidP="00840D09">
      <w:pPr>
        <w:pStyle w:val="Heading10"/>
      </w:pPr>
      <w:r w:rsidRPr="003D65B7">
        <w:t xml:space="preserve">5. </w:t>
      </w:r>
      <w:r w:rsidR="00D87C38" w:rsidRPr="003D65B7">
        <w:t>Conclusion</w:t>
      </w:r>
    </w:p>
    <w:p w14:paraId="530D2500" w14:textId="77777777" w:rsidR="00840D09" w:rsidRPr="003D65B7" w:rsidRDefault="00840D09" w:rsidP="00840D09">
      <w:pPr>
        <w:pStyle w:val="Heading10"/>
      </w:pPr>
    </w:p>
    <w:p w14:paraId="2D604BBB" w14:textId="77777777" w:rsidR="00D75F5C" w:rsidRPr="003D65B7" w:rsidRDefault="00D75F5C" w:rsidP="00D75F5C">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While pH, hardness, TDS, and chloride levels in Dhaka’s urban dairy farm water remained within acceptable limits, all samples exhibited high Coliform and E. coli loads, indicating pervasive fecal contamination. Iron concentrations exceeded recommended thresholds, most notably in Mirpur-1, posing risks to water palatability and livestock health. The absence of protozoa suggests protection from subsurface sourcing, yet microbial hazards remain a critical concern. Widespread bacterial contamination and elevated iron levels call for urgent interventions, including water treatment, routine microbial surveillance, and sanitation upgrades. These measures are essential to ensure climate-resilient water safety and uphold One Health outcomes. Long-term studies are needed to evaluate the impacts of water quality on animal productivity, reproductive performance, and public health amid evolving environmental conditions. Such studies will be vital for developing adaptive water safety protocols and strengthening livestock system resilience in rapidly urbanizing and climate-vulnerable regions like Dhaka, Bangladesh. </w:t>
      </w:r>
    </w:p>
    <w:p w14:paraId="6BF86E7C" w14:textId="77777777" w:rsidR="00840D09" w:rsidRPr="003D65B7" w:rsidRDefault="00840D09" w:rsidP="00840D09">
      <w:pPr>
        <w:pStyle w:val="Heading10"/>
      </w:pPr>
    </w:p>
    <w:p w14:paraId="25E36A1E" w14:textId="47DEB9D4" w:rsidR="00CE7CE3" w:rsidRPr="003D65B7" w:rsidRDefault="00100535" w:rsidP="00100535">
      <w:pPr>
        <w:spacing w:line="480" w:lineRule="auto"/>
        <w:jc w:val="both"/>
        <w:rPr>
          <w:rFonts w:ascii="Arial" w:hAnsi="Arial" w:cs="Times New Roman"/>
          <w:snapToGrid w:val="0"/>
          <w:color w:val="000000"/>
          <w:kern w:val="0"/>
          <w:sz w:val="20"/>
          <w:szCs w:val="24"/>
          <w:lang w:eastAsia="ko-KR" w:bidi="en-US"/>
          <w14:ligatures w14:val="none"/>
        </w:rPr>
      </w:pPr>
      <w:r w:rsidRPr="003D65B7">
        <w:rPr>
          <w:rStyle w:val="Heading1Char0"/>
        </w:rPr>
        <w:t>DISCLAIMER (ARTIFICIAL INTELLIGENCE)</w:t>
      </w:r>
      <w:r w:rsidRPr="003D65B7">
        <w:rPr>
          <w:rFonts w:ascii="Arial" w:hAnsi="Arial" w:cs="Times New Roman"/>
          <w:bCs/>
          <w:snapToGrid w:val="0"/>
          <w:color w:val="000000"/>
          <w:kern w:val="0"/>
          <w:sz w:val="20"/>
          <w:szCs w:val="24"/>
          <w:lang w:eastAsia="ko-KR" w:bidi="en-US"/>
          <w14:ligatures w14:val="none"/>
        </w:rPr>
        <w:t>:</w:t>
      </w:r>
      <w:r w:rsidRPr="003D65B7">
        <w:rPr>
          <w:rFonts w:ascii="Arial" w:hAnsi="Arial" w:cs="Times New Roman"/>
          <w:snapToGrid w:val="0"/>
          <w:color w:val="000000"/>
          <w:kern w:val="0"/>
          <w:sz w:val="20"/>
          <w:szCs w:val="24"/>
          <w:lang w:eastAsia="ko-KR" w:bidi="en-US"/>
          <w14:ligatures w14:val="none"/>
        </w:rPr>
        <w:t xml:space="preserve"> </w:t>
      </w:r>
    </w:p>
    <w:p w14:paraId="48CC01B2" w14:textId="6DBA13C3" w:rsidR="00100535" w:rsidRPr="003D65B7" w:rsidRDefault="00100535" w:rsidP="00100535">
      <w:pPr>
        <w:spacing w:line="480" w:lineRule="auto"/>
        <w:jc w:val="both"/>
        <w:rPr>
          <w:rFonts w:ascii="Arial" w:hAnsi="Arial" w:cs="Times New Roman"/>
          <w:snapToGrid w:val="0"/>
          <w:color w:val="000000"/>
          <w:kern w:val="0"/>
          <w:sz w:val="20"/>
          <w:szCs w:val="24"/>
          <w:lang w:eastAsia="ko-KR" w:bidi="en-US"/>
          <w14:ligatures w14:val="none"/>
        </w:rPr>
      </w:pPr>
      <w:r w:rsidRPr="003D65B7">
        <w:rPr>
          <w:rFonts w:ascii="Arial" w:hAnsi="Arial" w:cs="Times New Roman"/>
          <w:snapToGrid w:val="0"/>
          <w:color w:val="000000"/>
          <w:kern w:val="0"/>
          <w:sz w:val="20"/>
          <w:szCs w:val="24"/>
          <w:lang w:eastAsia="ko-KR" w:bidi="en-US"/>
          <w14:ligatures w14:val="none"/>
        </w:rPr>
        <w:t xml:space="preserve">Author(s) hereby </w:t>
      </w:r>
      <w:r w:rsidR="00573100" w:rsidRPr="003D65B7">
        <w:rPr>
          <w:rFonts w:ascii="Arial" w:hAnsi="Arial" w:cs="Times New Roman"/>
          <w:snapToGrid w:val="0"/>
          <w:color w:val="000000"/>
          <w:kern w:val="0"/>
          <w:sz w:val="20"/>
          <w:szCs w:val="24"/>
          <w:lang w:eastAsia="ko-KR" w:bidi="en-US"/>
          <w14:ligatures w14:val="none"/>
        </w:rPr>
        <w:t>declares</w:t>
      </w:r>
      <w:r w:rsidRPr="003D65B7">
        <w:rPr>
          <w:rFonts w:ascii="Arial" w:hAnsi="Arial" w:cs="Times New Roman"/>
          <w:snapToGrid w:val="0"/>
          <w:color w:val="000000"/>
          <w:kern w:val="0"/>
          <w:sz w:val="20"/>
          <w:szCs w:val="24"/>
          <w:lang w:eastAsia="ko-KR" w:bidi="en-US"/>
          <w14:ligatures w14:val="none"/>
        </w:rPr>
        <w:t xml:space="preserve"> that NO </w:t>
      </w:r>
      <w:r w:rsidR="00840D09" w:rsidRPr="003D65B7">
        <w:rPr>
          <w:rFonts w:ascii="Arial" w:hAnsi="Arial" w:cs="Times New Roman"/>
          <w:snapToGrid w:val="0"/>
          <w:color w:val="000000"/>
          <w:kern w:val="0"/>
          <w:sz w:val="20"/>
          <w:szCs w:val="24"/>
          <w:lang w:eastAsia="ko-KR" w:bidi="en-US"/>
          <w14:ligatures w14:val="none"/>
        </w:rPr>
        <w:t>generative AI</w:t>
      </w:r>
      <w:r w:rsidRPr="003D65B7">
        <w:rPr>
          <w:rFonts w:ascii="Arial" w:hAnsi="Arial" w:cs="Times New Roman"/>
          <w:snapToGrid w:val="0"/>
          <w:color w:val="000000"/>
          <w:kern w:val="0"/>
          <w:sz w:val="20"/>
          <w:szCs w:val="24"/>
          <w:lang w:eastAsia="ko-KR" w:bidi="en-US"/>
          <w14:ligatures w14:val="none"/>
        </w:rPr>
        <w:t xml:space="preserve"> </w:t>
      </w:r>
      <w:r w:rsidR="00840D09" w:rsidRPr="003D65B7">
        <w:rPr>
          <w:rFonts w:ascii="Arial" w:hAnsi="Arial" w:cs="Times New Roman"/>
          <w:snapToGrid w:val="0"/>
          <w:color w:val="000000"/>
          <w:kern w:val="0"/>
          <w:sz w:val="20"/>
          <w:szCs w:val="24"/>
          <w:lang w:eastAsia="ko-KR" w:bidi="en-US"/>
          <w14:ligatures w14:val="none"/>
        </w:rPr>
        <w:t>technologies such as Large Language Models</w:t>
      </w:r>
      <w:r w:rsidRPr="003D65B7">
        <w:rPr>
          <w:rFonts w:ascii="Arial" w:hAnsi="Arial" w:cs="Times New Roman"/>
          <w:snapToGrid w:val="0"/>
          <w:color w:val="000000"/>
          <w:kern w:val="0"/>
          <w:sz w:val="20"/>
          <w:szCs w:val="24"/>
          <w:lang w:eastAsia="ko-KR" w:bidi="en-US"/>
          <w14:ligatures w14:val="none"/>
        </w:rPr>
        <w:t xml:space="preserve"> (</w:t>
      </w:r>
      <w:r w:rsidR="00840D09" w:rsidRPr="003D65B7">
        <w:rPr>
          <w:rFonts w:ascii="Arial" w:hAnsi="Arial" w:cs="Times New Roman"/>
          <w:snapToGrid w:val="0"/>
          <w:color w:val="000000"/>
          <w:kern w:val="0"/>
          <w:sz w:val="20"/>
          <w:szCs w:val="24"/>
          <w:lang w:eastAsia="ko-KR" w:bidi="en-US"/>
          <w14:ligatures w14:val="none"/>
        </w:rPr>
        <w:t>ChatGPT, COPILOT, etc.</w:t>
      </w:r>
      <w:r w:rsidRPr="003D65B7">
        <w:rPr>
          <w:rFonts w:ascii="Arial" w:hAnsi="Arial" w:cs="Times New Roman"/>
          <w:snapToGrid w:val="0"/>
          <w:color w:val="000000"/>
          <w:kern w:val="0"/>
          <w:sz w:val="20"/>
          <w:szCs w:val="24"/>
          <w:lang w:eastAsia="ko-KR" w:bidi="en-US"/>
          <w14:ligatures w14:val="none"/>
        </w:rPr>
        <w:t xml:space="preserve">)   and   text-to-image generators </w:t>
      </w:r>
      <w:r w:rsidR="00840D09" w:rsidRPr="003D65B7">
        <w:rPr>
          <w:rFonts w:ascii="Arial" w:hAnsi="Arial" w:cs="Times New Roman"/>
          <w:snapToGrid w:val="0"/>
          <w:color w:val="000000"/>
          <w:kern w:val="0"/>
          <w:sz w:val="20"/>
          <w:szCs w:val="24"/>
          <w:lang w:eastAsia="ko-KR" w:bidi="en-US"/>
          <w14:ligatures w14:val="none"/>
        </w:rPr>
        <w:t>have been used during writing or</w:t>
      </w:r>
      <w:r w:rsidRPr="003D65B7">
        <w:rPr>
          <w:rFonts w:ascii="Arial" w:hAnsi="Arial" w:cs="Times New Roman"/>
          <w:snapToGrid w:val="0"/>
          <w:color w:val="000000"/>
          <w:kern w:val="0"/>
          <w:sz w:val="20"/>
          <w:szCs w:val="24"/>
          <w:lang w:eastAsia="ko-KR" w:bidi="en-US"/>
          <w14:ligatures w14:val="none"/>
        </w:rPr>
        <w:t xml:space="preserve"> editing of this manuscript.</w:t>
      </w:r>
    </w:p>
    <w:p w14:paraId="21B355D9" w14:textId="6F2657FB" w:rsidR="007C46CA" w:rsidRPr="003D65B7" w:rsidRDefault="007C46CA" w:rsidP="007C46CA">
      <w:pPr>
        <w:pStyle w:val="Heading10"/>
      </w:pPr>
      <w:r w:rsidRPr="003D65B7">
        <w:t>Ethical Approval</w:t>
      </w:r>
      <w:r w:rsidR="00370710">
        <w:t xml:space="preserve"> And CONSENT</w:t>
      </w:r>
      <w:bookmarkStart w:id="1" w:name="_GoBack"/>
      <w:bookmarkEnd w:id="1"/>
    </w:p>
    <w:p w14:paraId="19A9EB56" w14:textId="77777777" w:rsidR="007C46CA" w:rsidRPr="003D65B7" w:rsidRDefault="007C46CA" w:rsidP="007C46CA">
      <w:pPr>
        <w:pStyle w:val="Text"/>
        <w:spacing w:line="480" w:lineRule="auto"/>
        <w:rPr>
          <w:rFonts w:ascii="Arial" w:hAnsi="Arial"/>
          <w:sz w:val="20"/>
          <w:szCs w:val="24"/>
        </w:rPr>
      </w:pPr>
    </w:p>
    <w:p w14:paraId="77F12D9C" w14:textId="38EA902D" w:rsidR="007C46CA" w:rsidRPr="003D65B7" w:rsidRDefault="007C46CA" w:rsidP="007C46CA">
      <w:pPr>
        <w:pStyle w:val="Text"/>
        <w:spacing w:line="480" w:lineRule="auto"/>
        <w:rPr>
          <w:rFonts w:ascii="Arial" w:hAnsi="Arial"/>
          <w:sz w:val="20"/>
          <w:szCs w:val="24"/>
        </w:rPr>
      </w:pPr>
      <w:r w:rsidRPr="003D65B7">
        <w:rPr>
          <w:rFonts w:ascii="Arial" w:hAnsi="Arial"/>
          <w:sz w:val="20"/>
          <w:szCs w:val="24"/>
        </w:rPr>
        <w:lastRenderedPageBreak/>
        <w:t>This study involved only water samples collected from dairy farms in Dhaka city and did not include endangered species. Since samples were obtained directly from farm water sources, animal protection permissions were not required. Approval was obtained from the Departmental Research Review Board; Department of Medicine and Public Health (DMEPH); Faculty of Animal Science and Veterinary Medicine (FASVM); and the Office of Post Graduate Studies, Sher-e-Bangla Agricultural University (SAU), Dhaka, Bangladesh. Consent was also secured from the respective farm owners.</w:t>
      </w:r>
    </w:p>
    <w:p w14:paraId="6A8DC80A" w14:textId="77777777" w:rsidR="00573100" w:rsidRPr="003D65B7" w:rsidRDefault="00573100" w:rsidP="00CE7CE3">
      <w:pPr>
        <w:pStyle w:val="Heading10"/>
      </w:pPr>
      <w:bookmarkStart w:id="2" w:name="_Hlk209681714"/>
    </w:p>
    <w:p w14:paraId="7DB80F2F" w14:textId="3ECD71A6" w:rsidR="00100535" w:rsidRPr="003D65B7" w:rsidRDefault="00100535" w:rsidP="00CE7CE3">
      <w:pPr>
        <w:pStyle w:val="Heading10"/>
      </w:pPr>
      <w:r w:rsidRPr="003D65B7">
        <w:t>References</w:t>
      </w:r>
    </w:p>
    <w:bookmarkEnd w:id="2"/>
    <w:p w14:paraId="4882317F" w14:textId="77777777" w:rsidR="00CF0DF5" w:rsidRPr="003D65B7" w:rsidRDefault="00CF0DF5"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
    <w:p w14:paraId="06C5280A" w14:textId="77777777" w:rsidR="001C5841" w:rsidRPr="003D65B7" w:rsidRDefault="001C5841" w:rsidP="00CF0DF5">
      <w:pPr>
        <w:snapToGrid w:val="0"/>
        <w:spacing w:line="240" w:lineRule="auto"/>
        <w:jc w:val="both"/>
        <w:rPr>
          <w:rStyle w:val="Hyperlink"/>
          <w:rFonts w:ascii="Arial" w:hAnsi="Arial" w:cs="Times New Roman"/>
          <w:sz w:val="20"/>
          <w:szCs w:val="24"/>
        </w:rPr>
      </w:pPr>
      <w:r w:rsidRPr="001C5841">
        <w:rPr>
          <w:rFonts w:ascii="Arial" w:hAnsi="Arial" w:cs="Times New Roman"/>
          <w:sz w:val="20"/>
          <w:szCs w:val="24"/>
          <w:lang w:val="pt-BR"/>
        </w:rPr>
        <w:t xml:space="preserve">Achakzai, A. K. K., Bazai, Z. K., Afzal, M., &amp; Hanif, U. (2014). </w:t>
      </w:r>
      <w:r w:rsidRPr="003D65B7">
        <w:rPr>
          <w:rFonts w:ascii="Arial" w:hAnsi="Arial" w:cs="Times New Roman"/>
          <w:sz w:val="20"/>
          <w:szCs w:val="24"/>
        </w:rPr>
        <w:t xml:space="preserve">Physicochemical Status of Drinking Water of Quetta District. American-Eurasian Journal of Toxicological Sciences, 6(3), 62-67. </w:t>
      </w:r>
      <w:hyperlink r:id="rId15" w:history="1">
        <w:r w:rsidRPr="003D65B7">
          <w:rPr>
            <w:rStyle w:val="Hyperlink"/>
            <w:rFonts w:ascii="Arial" w:hAnsi="Arial" w:cs="Times New Roman"/>
            <w:sz w:val="20"/>
            <w:szCs w:val="24"/>
          </w:rPr>
          <w:t>DOI: 10.5829/idosi.aejts.2014.6.3.1111</w:t>
        </w:r>
      </w:hyperlink>
    </w:p>
    <w:p w14:paraId="549DCEBD"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Ahmed W, Goonetilleke A, Gardner T. (2012). Impact of sewage treatment plant discharges on the health of a tropical river. Environ Sci </w:t>
      </w:r>
      <w:proofErr w:type="spellStart"/>
      <w:r w:rsidRPr="003D65B7">
        <w:rPr>
          <w:rFonts w:ascii="Arial" w:eastAsia="Times New Roman" w:hAnsi="Arial" w:cs="Times New Roman"/>
          <w:snapToGrid w:val="0"/>
          <w:color w:val="000000"/>
          <w:kern w:val="0"/>
          <w:sz w:val="20"/>
          <w:szCs w:val="24"/>
          <w:lang w:eastAsia="de-DE" w:bidi="en-US"/>
          <w14:ligatures w14:val="none"/>
        </w:rPr>
        <w:t>Pollut</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Res;19(7):2445-2454. </w:t>
      </w:r>
      <w:hyperlink r:id="rId16" w:tgtFrame="_new" w:history="1">
        <w:r w:rsidRPr="003D65B7">
          <w:rPr>
            <w:rFonts w:ascii="Arial" w:eastAsia="Times New Roman" w:hAnsi="Arial" w:cs="Times New Roman"/>
            <w:snapToGrid w:val="0"/>
            <w:color w:val="000000"/>
            <w:kern w:val="0"/>
            <w:sz w:val="20"/>
            <w:szCs w:val="24"/>
            <w:lang w:eastAsia="de-DE" w:bidi="en-US"/>
            <w14:ligatures w14:val="none"/>
          </w:rPr>
          <w:t>https://doi.org/10.1007/s11356-012-0761-7</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451110F6" w14:textId="77777777" w:rsidR="001C5841" w:rsidRPr="00060650"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Al-Omran AM, Al-Wabel MI, El-Maghraby SE, Nadeem M, Al-Sharani S. (2015). Quality assessment of groundwater in agricultural area: case study from Saudi Arabia. </w:t>
      </w:r>
      <w:r w:rsidRPr="00060650">
        <w:rPr>
          <w:rFonts w:ascii="Arial" w:eastAsia="Times New Roman" w:hAnsi="Arial" w:cs="Times New Roman"/>
          <w:snapToGrid w:val="0"/>
          <w:color w:val="000000"/>
          <w:kern w:val="0"/>
          <w:sz w:val="20"/>
          <w:szCs w:val="24"/>
          <w:lang w:eastAsia="de-DE" w:bidi="en-US"/>
          <w14:ligatures w14:val="none"/>
        </w:rPr>
        <w:t xml:space="preserve">Arab J </w:t>
      </w:r>
      <w:proofErr w:type="gramStart"/>
      <w:r w:rsidRPr="00060650">
        <w:rPr>
          <w:rFonts w:ascii="Arial" w:eastAsia="Times New Roman" w:hAnsi="Arial" w:cs="Times New Roman"/>
          <w:snapToGrid w:val="0"/>
          <w:color w:val="000000"/>
          <w:kern w:val="0"/>
          <w:sz w:val="20"/>
          <w:szCs w:val="24"/>
          <w:lang w:eastAsia="de-DE" w:bidi="en-US"/>
          <w14:ligatures w14:val="none"/>
        </w:rPr>
        <w:t>Geosci;8:10695</w:t>
      </w:r>
      <w:proofErr w:type="gramEnd"/>
      <w:r w:rsidRPr="00060650">
        <w:rPr>
          <w:rFonts w:ascii="Arial" w:eastAsia="Times New Roman" w:hAnsi="Arial" w:cs="Times New Roman"/>
          <w:snapToGrid w:val="0"/>
          <w:color w:val="000000"/>
          <w:kern w:val="0"/>
          <w:sz w:val="20"/>
          <w:szCs w:val="24"/>
          <w:lang w:eastAsia="de-DE" w:bidi="en-US"/>
          <w14:ligatures w14:val="none"/>
        </w:rPr>
        <w:t xml:space="preserve">-10711. </w:t>
      </w:r>
      <w:hyperlink r:id="rId17" w:tgtFrame="_new" w:history="1">
        <w:r w:rsidRPr="00060650">
          <w:rPr>
            <w:rFonts w:ascii="Arial" w:eastAsia="Times New Roman" w:hAnsi="Arial" w:cs="Times New Roman"/>
            <w:snapToGrid w:val="0"/>
            <w:color w:val="000000"/>
            <w:kern w:val="0"/>
            <w:sz w:val="20"/>
            <w:szCs w:val="24"/>
            <w:lang w:eastAsia="de-DE" w:bidi="en-US"/>
            <w14:ligatures w14:val="none"/>
          </w:rPr>
          <w:t>https://doi.org/10.1007/s12517-015-1980-3</w:t>
        </w:r>
      </w:hyperlink>
      <w:r w:rsidRPr="00060650">
        <w:rPr>
          <w:rFonts w:ascii="Arial" w:eastAsia="Times New Roman" w:hAnsi="Arial" w:cs="Times New Roman"/>
          <w:snapToGrid w:val="0"/>
          <w:color w:val="000000"/>
          <w:kern w:val="0"/>
          <w:sz w:val="20"/>
          <w:szCs w:val="24"/>
          <w:lang w:eastAsia="de-DE" w:bidi="en-US"/>
          <w14:ligatures w14:val="none"/>
        </w:rPr>
        <w:t xml:space="preserve"> </w:t>
      </w:r>
    </w:p>
    <w:p w14:paraId="3AC48136" w14:textId="77777777" w:rsidR="001C5841" w:rsidRPr="003D65B7" w:rsidRDefault="001C5841" w:rsidP="00CF0DF5">
      <w:pPr>
        <w:snapToGrid w:val="0"/>
        <w:spacing w:line="240" w:lineRule="auto"/>
        <w:jc w:val="both"/>
        <w:rPr>
          <w:rFonts w:ascii="Arial" w:hAnsi="Arial" w:cs="Times New Roman"/>
          <w:sz w:val="20"/>
          <w:szCs w:val="24"/>
        </w:rPr>
      </w:pPr>
      <w:proofErr w:type="spellStart"/>
      <w:r w:rsidRPr="003D65B7">
        <w:rPr>
          <w:rFonts w:ascii="Arial" w:eastAsia="Times New Roman" w:hAnsi="Arial" w:cs="Times New Roman"/>
          <w:snapToGrid w:val="0"/>
          <w:color w:val="000000"/>
          <w:kern w:val="0"/>
          <w:sz w:val="20"/>
          <w:szCs w:val="24"/>
          <w:lang w:eastAsia="de-DE" w:bidi="en-US"/>
          <w14:ligatures w14:val="none"/>
        </w:rPr>
        <w:t>Annem</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 (2017). Determination of iron content in water. M.Sc. Dissertation, Governors State University. Available from: </w:t>
      </w:r>
      <w:hyperlink r:id="rId18" w:history="1">
        <w:r w:rsidRPr="003D65B7">
          <w:rPr>
            <w:rStyle w:val="Hyperlink"/>
            <w:rFonts w:ascii="Arial" w:hAnsi="Arial" w:cs="Times New Roman"/>
            <w:sz w:val="20"/>
            <w:szCs w:val="24"/>
          </w:rPr>
          <w:t>https://opus.govst.edu/capstones/348</w:t>
        </w:r>
      </w:hyperlink>
      <w:r w:rsidRPr="003D65B7">
        <w:rPr>
          <w:rStyle w:val="Hyperlink"/>
          <w:rFonts w:ascii="Arial" w:hAnsi="Arial" w:cs="Times New Roman"/>
          <w:sz w:val="20"/>
          <w:szCs w:val="24"/>
        </w:rPr>
        <w:t xml:space="preserve"> </w:t>
      </w:r>
    </w:p>
    <w:p w14:paraId="1F9DD846"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Archer, J. R., Ball, J. R., Standridge, J. H., Greb, S. R., Rasmussen, P. W., Masterson, J. P., </w:t>
      </w:r>
      <w:proofErr w:type="spellStart"/>
      <w:r w:rsidRPr="003D65B7">
        <w:rPr>
          <w:rFonts w:ascii="Arial" w:eastAsia="Times New Roman" w:hAnsi="Arial" w:cs="Times New Roman"/>
          <w:snapToGrid w:val="0"/>
          <w:color w:val="000000"/>
          <w:kern w:val="0"/>
          <w:sz w:val="20"/>
          <w:szCs w:val="24"/>
          <w:lang w:eastAsia="de-DE" w:bidi="en-US"/>
          <w14:ligatures w14:val="none"/>
        </w:rPr>
        <w:t>Boushon</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L. (1995). Cryptosporidium spp. oocyst and </w:t>
      </w:r>
      <w:r w:rsidRPr="003D65B7">
        <w:rPr>
          <w:rFonts w:ascii="Arial" w:eastAsia="Times New Roman" w:hAnsi="Arial" w:cs="Times New Roman"/>
          <w:i/>
          <w:iCs/>
          <w:snapToGrid w:val="0"/>
          <w:color w:val="000000"/>
          <w:kern w:val="0"/>
          <w:sz w:val="20"/>
          <w:szCs w:val="24"/>
          <w:lang w:eastAsia="de-DE" w:bidi="en-US"/>
          <w14:ligatures w14:val="none"/>
        </w:rPr>
        <w:t>Giardia</w:t>
      </w:r>
      <w:r w:rsidRPr="003D65B7">
        <w:rPr>
          <w:rFonts w:ascii="Arial" w:eastAsia="Times New Roman" w:hAnsi="Arial" w:cs="Times New Roman"/>
          <w:snapToGrid w:val="0"/>
          <w:color w:val="000000"/>
          <w:kern w:val="0"/>
          <w:sz w:val="20"/>
          <w:szCs w:val="24"/>
          <w:lang w:eastAsia="de-DE" w:bidi="en-US"/>
          <w14:ligatures w14:val="none"/>
        </w:rPr>
        <w:t xml:space="preserve"> spp. cyst occurrence, concentrations and distribution in Wisconsin waters (WR420-95). Wisconsin Dept of Natural Resources.</w:t>
      </w:r>
      <w:hyperlink r:id="rId19" w:history="1">
        <w:r w:rsidRPr="003D65B7">
          <w:rPr>
            <w:rStyle w:val="Hyperlink"/>
            <w:rFonts w:ascii="Arial" w:eastAsia="Times New Roman" w:hAnsi="Arial" w:cs="Times New Roman"/>
            <w:snapToGrid w:val="0"/>
            <w:kern w:val="0"/>
            <w:sz w:val="20"/>
            <w:szCs w:val="24"/>
            <w:lang w:eastAsia="de-DE" w:bidi="en-US"/>
            <w14:ligatures w14:val="none"/>
          </w:rPr>
          <w:t>https://www.epa.gov/sites/default/files/2015-10/documents/</w:t>
        </w:r>
        <w:r w:rsidRPr="003D65B7">
          <w:rPr>
            <w:rStyle w:val="Hyperlink"/>
            <w:rFonts w:ascii="Arial" w:eastAsia="Times New Roman" w:hAnsi="Arial" w:cs="Times New Roman"/>
            <w:i/>
            <w:iCs/>
            <w:snapToGrid w:val="0"/>
            <w:kern w:val="0"/>
            <w:sz w:val="20"/>
            <w:szCs w:val="24"/>
            <w:lang w:eastAsia="de-DE" w:bidi="en-US"/>
            <w14:ligatures w14:val="none"/>
          </w:rPr>
          <w:t>Giardia</w:t>
        </w:r>
        <w:r w:rsidRPr="003D65B7">
          <w:rPr>
            <w:rStyle w:val="Hyperlink"/>
            <w:rFonts w:ascii="Arial" w:eastAsia="Times New Roman" w:hAnsi="Arial" w:cs="Times New Roman"/>
            <w:snapToGrid w:val="0"/>
            <w:kern w:val="0"/>
            <w:sz w:val="20"/>
            <w:szCs w:val="24"/>
            <w:lang w:eastAsia="de-DE" w:bidi="en-US"/>
            <w14:ligatures w14:val="none"/>
          </w:rPr>
          <w:t>-report.pdf</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057EBF3D"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Beede, D. K. (2006). Evaluation of water quality and nutrition for dairy cattle. Proc High Plains Dairy Conference, pp. 129-153. </w:t>
      </w:r>
      <w:hyperlink r:id="rId20" w:history="1">
        <w:r w:rsidRPr="003D65B7">
          <w:rPr>
            <w:rStyle w:val="Hyperlink"/>
            <w:rFonts w:ascii="Arial" w:eastAsia="Times New Roman" w:hAnsi="Arial" w:cs="Times New Roman"/>
            <w:snapToGrid w:val="0"/>
            <w:kern w:val="0"/>
            <w:sz w:val="20"/>
            <w:szCs w:val="24"/>
            <w:lang w:eastAsia="de-DE" w:bidi="en-US"/>
            <w14:ligatures w14:val="none"/>
          </w:rPr>
          <w:t>http://highplainsdairy.org/2006/Beede.pdf</w:t>
        </w:r>
      </w:hyperlink>
    </w:p>
    <w:p w14:paraId="6A7B3769"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roofErr w:type="spellStart"/>
      <w:r w:rsidRPr="003D65B7">
        <w:rPr>
          <w:rFonts w:ascii="Arial" w:eastAsia="Times New Roman" w:hAnsi="Arial" w:cs="Times New Roman"/>
          <w:snapToGrid w:val="0"/>
          <w:color w:val="000000"/>
          <w:kern w:val="0"/>
          <w:sz w:val="20"/>
          <w:szCs w:val="24"/>
          <w:lang w:eastAsia="de-DE" w:bidi="en-US"/>
          <w14:ligatures w14:val="none"/>
        </w:rPr>
        <w:t>Bichi</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H., </w:t>
      </w:r>
      <w:proofErr w:type="spellStart"/>
      <w:r w:rsidRPr="003D65B7">
        <w:rPr>
          <w:rFonts w:ascii="Arial" w:eastAsia="Times New Roman" w:hAnsi="Arial" w:cs="Times New Roman"/>
          <w:snapToGrid w:val="0"/>
          <w:color w:val="000000"/>
          <w:kern w:val="0"/>
          <w:sz w:val="20"/>
          <w:szCs w:val="24"/>
          <w:lang w:eastAsia="de-DE" w:bidi="en-US"/>
          <w14:ligatures w14:val="none"/>
        </w:rPr>
        <w:t>Anyata</w:t>
      </w:r>
      <w:proofErr w:type="spellEnd"/>
      <w:r w:rsidRPr="003D65B7">
        <w:rPr>
          <w:rFonts w:ascii="Arial" w:eastAsia="Times New Roman" w:hAnsi="Arial" w:cs="Times New Roman"/>
          <w:snapToGrid w:val="0"/>
          <w:color w:val="000000"/>
          <w:kern w:val="0"/>
          <w:sz w:val="20"/>
          <w:szCs w:val="24"/>
          <w:lang w:eastAsia="de-DE" w:bidi="en-US"/>
          <w14:ligatures w14:val="none"/>
        </w:rPr>
        <w:t>, B. U. (2008). Water quality variations in flowing and stagnant water bodies. J Res Eng, 5(2):43-49.</w:t>
      </w:r>
    </w:p>
    <w:p w14:paraId="1409B673"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Bitar, F. (2016). Determination of chloride ion concentration in drinking water of Al Hawash area. Research Journal of Pharmacy and Technology, 9(6):701-710.</w:t>
      </w:r>
      <w:bookmarkStart w:id="3" w:name="_Hlk210913222"/>
      <w:r w:rsidRPr="003D65B7">
        <w:rPr>
          <w:rFonts w:ascii="Arial" w:eastAsia="Times New Roman" w:hAnsi="Arial" w:cs="Times New Roman"/>
          <w:snapToGrid w:val="0"/>
          <w:color w:val="000000"/>
          <w:kern w:val="0"/>
          <w:sz w:val="20"/>
          <w:szCs w:val="24"/>
          <w:lang w:eastAsia="de-DE" w:bidi="en-US"/>
          <w14:ligatures w14:val="none"/>
        </w:rPr>
        <w:t xml:space="preserve"> </w:t>
      </w:r>
      <w:bookmarkEnd w:id="3"/>
      <w:r w:rsidRPr="003D65B7">
        <w:rPr>
          <w:rFonts w:ascii="Arial" w:eastAsia="Times New Roman" w:hAnsi="Arial" w:cs="Times New Roman"/>
          <w:snapToGrid w:val="0"/>
          <w:color w:val="000000"/>
          <w:kern w:val="0"/>
          <w:sz w:val="20"/>
          <w:szCs w:val="24"/>
          <w:lang w:eastAsia="de-DE" w:bidi="en-US"/>
          <w14:ligatures w14:val="none"/>
        </w:rPr>
        <w:fldChar w:fldCharType="begin"/>
      </w:r>
      <w:r w:rsidRPr="003D65B7">
        <w:rPr>
          <w:rFonts w:ascii="Arial" w:eastAsia="Times New Roman" w:hAnsi="Arial" w:cs="Times New Roman"/>
          <w:snapToGrid w:val="0"/>
          <w:color w:val="000000"/>
          <w:kern w:val="0"/>
          <w:sz w:val="20"/>
          <w:szCs w:val="24"/>
          <w:lang w:eastAsia="de-DE" w:bidi="en-US"/>
          <w14:ligatures w14:val="none"/>
        </w:rPr>
        <w:instrText>HYPERLINK "https://doi.org/10.5958/0974-360X.2016.00133.5 "</w:instrText>
      </w:r>
      <w:r w:rsidRPr="003D65B7">
        <w:rPr>
          <w:rFonts w:ascii="Arial" w:eastAsia="Times New Roman" w:hAnsi="Arial" w:cs="Times New Roman"/>
          <w:snapToGrid w:val="0"/>
          <w:color w:val="000000"/>
          <w:kern w:val="0"/>
          <w:sz w:val="20"/>
          <w:szCs w:val="24"/>
          <w:lang w:eastAsia="de-DE" w:bidi="en-US"/>
          <w14:ligatures w14:val="none"/>
        </w:rPr>
        <w:fldChar w:fldCharType="separate"/>
      </w:r>
      <w:r w:rsidRPr="003D65B7">
        <w:rPr>
          <w:rStyle w:val="Hyperlink"/>
          <w:rFonts w:ascii="Arial" w:eastAsia="Times New Roman" w:hAnsi="Arial" w:cs="Times New Roman"/>
          <w:snapToGrid w:val="0"/>
          <w:kern w:val="0"/>
          <w:sz w:val="20"/>
          <w:szCs w:val="24"/>
          <w:lang w:eastAsia="de-DE" w:bidi="en-US"/>
          <w14:ligatures w14:val="none"/>
        </w:rPr>
        <w:t xml:space="preserve">https://doi.org/10.5958/0974-360X.2016.00133.5 </w:t>
      </w:r>
      <w:r w:rsidRPr="003D65B7">
        <w:rPr>
          <w:rFonts w:ascii="Arial" w:eastAsia="Times New Roman" w:hAnsi="Arial" w:cs="Times New Roman"/>
          <w:snapToGrid w:val="0"/>
          <w:color w:val="000000"/>
          <w:kern w:val="0"/>
          <w:sz w:val="20"/>
          <w:szCs w:val="24"/>
          <w:lang w:eastAsia="de-DE" w:bidi="en-US"/>
          <w14:ligatures w14:val="none"/>
        </w:rPr>
        <w:fldChar w:fldCharType="end"/>
      </w:r>
    </w:p>
    <w:p w14:paraId="53A9248E"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Broadwater, N. (2007). What if cows don't drink enough water? University of Minnesota Extension. Available from: </w:t>
      </w:r>
      <w:hyperlink r:id="rId21" w:history="1">
        <w:r w:rsidRPr="003D65B7">
          <w:rPr>
            <w:rStyle w:val="Hyperlink"/>
            <w:rFonts w:ascii="Arial" w:eastAsia="Times New Roman" w:hAnsi="Arial" w:cs="Times New Roman"/>
            <w:snapToGrid w:val="0"/>
            <w:kern w:val="0"/>
            <w:sz w:val="20"/>
            <w:szCs w:val="24"/>
            <w:lang w:eastAsia="de-DE" w:bidi="en-US"/>
            <w14:ligatures w14:val="none"/>
          </w:rPr>
          <w:t>https://www.thebeefsite.com/articles/1223/what-if-cows-dont-drink-enough-water-part-2/</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1AEC4011"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Bureau of Indian Standards (BIS). (2012). Drinking water specification, 2nd revision. Available from: </w:t>
      </w:r>
      <w:hyperlink r:id="rId22" w:history="1">
        <w:r w:rsidRPr="003D65B7">
          <w:rPr>
            <w:rStyle w:val="Hyperlink"/>
            <w:rFonts w:ascii="Arial" w:eastAsia="Times New Roman" w:hAnsi="Arial" w:cs="Times New Roman"/>
            <w:snapToGrid w:val="0"/>
            <w:kern w:val="0"/>
            <w:sz w:val="20"/>
            <w:szCs w:val="24"/>
            <w:lang w:eastAsia="de-DE" w:bidi="en-US"/>
            <w14:ligatures w14:val="none"/>
          </w:rPr>
          <w:t>https://law.resource.org/pub/in/bis/S06/is.10500.2012.pdf</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746295E7" w14:textId="77777777" w:rsidR="001C5841" w:rsidRPr="00DA5023" w:rsidRDefault="001C5841" w:rsidP="00CF0DF5">
      <w:pPr>
        <w:autoSpaceDE w:val="0"/>
        <w:autoSpaceDN w:val="0"/>
        <w:adjustRightInd w:val="0"/>
        <w:spacing w:line="240" w:lineRule="auto"/>
        <w:jc w:val="both"/>
        <w:rPr>
          <w:rFonts w:ascii="Arial" w:eastAsiaTheme="minorHAnsi" w:hAnsi="Arial" w:cs="Times New Roman"/>
          <w:kern w:val="0"/>
          <w:sz w:val="20"/>
          <w:szCs w:val="24"/>
          <w:lang w:val="pt-BR" w:eastAsia="en-US" w:bidi="ar-SA"/>
          <w14:ligatures w14:val="none"/>
        </w:rPr>
      </w:pPr>
      <w:r w:rsidRPr="003D65B7">
        <w:rPr>
          <w:rFonts w:ascii="Arial" w:eastAsiaTheme="minorHAnsi" w:hAnsi="Arial" w:cs="Times New Roman"/>
          <w:kern w:val="0"/>
          <w:sz w:val="20"/>
          <w:szCs w:val="24"/>
          <w:lang w:eastAsia="en-US" w:bidi="ar-SA"/>
          <w14:ligatures w14:val="none"/>
        </w:rPr>
        <w:t xml:space="preserve">Curran, G., Robson, S. (2007). Water for livestock: interpreting water quality tests. </w:t>
      </w:r>
      <w:r w:rsidRPr="00DA5023">
        <w:rPr>
          <w:rFonts w:ascii="Arial" w:eastAsiaTheme="minorHAnsi" w:hAnsi="Arial" w:cs="Times New Roman"/>
          <w:kern w:val="0"/>
          <w:sz w:val="20"/>
          <w:szCs w:val="24"/>
          <w:lang w:val="pt-BR" w:eastAsia="en-US" w:bidi="ar-SA"/>
          <w14:ligatures w14:val="none"/>
        </w:rPr>
        <w:t xml:space="preserve">PRIMEFACT, 533, 1-5 </w:t>
      </w:r>
    </w:p>
    <w:p w14:paraId="051DB4EF"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val="pt-BR" w:eastAsia="de-DE" w:bidi="en-US"/>
          <w14:ligatures w14:val="none"/>
        </w:rPr>
        <w:t xml:space="preserve">Curtis, T. P., Mara, D. D., &amp; Silva, S. A. (1992). </w:t>
      </w:r>
      <w:r w:rsidRPr="003D65B7">
        <w:rPr>
          <w:rFonts w:ascii="Arial" w:eastAsia="Times New Roman" w:hAnsi="Arial" w:cs="Times New Roman"/>
          <w:snapToGrid w:val="0"/>
          <w:color w:val="000000"/>
          <w:kern w:val="0"/>
          <w:sz w:val="20"/>
          <w:szCs w:val="24"/>
          <w:lang w:eastAsia="de-DE" w:bidi="en-US"/>
          <w14:ligatures w14:val="none"/>
        </w:rPr>
        <w:t xml:space="preserve">Influence of pH, Oxygen, and Humic Substances on Ability of Sunlight </w:t>
      </w:r>
      <w:proofErr w:type="gramStart"/>
      <w:r w:rsidRPr="003D65B7">
        <w:rPr>
          <w:rFonts w:ascii="Arial" w:eastAsia="Times New Roman" w:hAnsi="Arial" w:cs="Times New Roman"/>
          <w:snapToGrid w:val="0"/>
          <w:color w:val="000000"/>
          <w:kern w:val="0"/>
          <w:sz w:val="20"/>
          <w:szCs w:val="24"/>
          <w:lang w:eastAsia="de-DE" w:bidi="en-US"/>
          <w14:ligatures w14:val="none"/>
        </w:rPr>
        <w:t>To</w:t>
      </w:r>
      <w:proofErr w:type="gramEnd"/>
      <w:r w:rsidRPr="003D65B7">
        <w:rPr>
          <w:rFonts w:ascii="Arial" w:eastAsia="Times New Roman" w:hAnsi="Arial" w:cs="Times New Roman"/>
          <w:snapToGrid w:val="0"/>
          <w:color w:val="000000"/>
          <w:kern w:val="0"/>
          <w:sz w:val="20"/>
          <w:szCs w:val="24"/>
          <w:lang w:eastAsia="de-DE" w:bidi="en-US"/>
          <w14:ligatures w14:val="none"/>
        </w:rPr>
        <w:t xml:space="preserve"> Damage Fecal Coliforms in Waste Stabilization Pond Water. Applied and environmental microbiology, 58(4), 1335–1343. </w:t>
      </w:r>
      <w:hyperlink r:id="rId23" w:history="1">
        <w:r w:rsidRPr="003D65B7">
          <w:rPr>
            <w:rStyle w:val="Hyperlink"/>
            <w:rFonts w:ascii="Arial" w:eastAsia="Times New Roman" w:hAnsi="Arial" w:cs="Times New Roman"/>
            <w:snapToGrid w:val="0"/>
            <w:kern w:val="0"/>
            <w:sz w:val="20"/>
            <w:szCs w:val="24"/>
            <w:lang w:eastAsia="de-DE" w:bidi="en-US"/>
            <w14:ligatures w14:val="none"/>
          </w:rPr>
          <w:t>https://doi.org/10.1128/aem.58.4.1335-1343.1992</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5FB2EB98" w14:textId="77777777" w:rsidR="001C5841" w:rsidRPr="003D65B7" w:rsidRDefault="001C5841" w:rsidP="00CF0DF5">
      <w:pPr>
        <w:autoSpaceDE w:val="0"/>
        <w:autoSpaceDN w:val="0"/>
        <w:adjustRightInd w:val="0"/>
        <w:spacing w:line="240" w:lineRule="auto"/>
        <w:jc w:val="both"/>
        <w:rPr>
          <w:rFonts w:ascii="Arial" w:eastAsiaTheme="minorHAnsi" w:hAnsi="Arial" w:cs="Times New Roman"/>
          <w:kern w:val="0"/>
          <w:sz w:val="20"/>
          <w:szCs w:val="24"/>
          <w:lang w:eastAsia="en-US" w:bidi="ar-SA"/>
          <w14:ligatures w14:val="none"/>
        </w:rPr>
      </w:pPr>
      <w:r w:rsidRPr="003D65B7">
        <w:rPr>
          <w:rFonts w:ascii="Arial" w:eastAsiaTheme="minorHAnsi" w:hAnsi="Arial" w:cs="Times New Roman"/>
          <w:kern w:val="0"/>
          <w:sz w:val="20"/>
          <w:szCs w:val="24"/>
          <w:lang w:eastAsia="en-US" w:bidi="ar-SA"/>
          <w14:ligatures w14:val="none"/>
        </w:rPr>
        <w:lastRenderedPageBreak/>
        <w:t xml:space="preserve">Deshmukh, K. K. (2013). Evaluation of groundwater quality with regard to livestock use from </w:t>
      </w:r>
      <w:proofErr w:type="spellStart"/>
      <w:r w:rsidRPr="003D65B7">
        <w:rPr>
          <w:rFonts w:ascii="Arial" w:eastAsiaTheme="minorHAnsi" w:hAnsi="Arial" w:cs="Times New Roman"/>
          <w:kern w:val="0"/>
          <w:sz w:val="20"/>
          <w:szCs w:val="24"/>
          <w:lang w:eastAsia="en-US" w:bidi="ar-SA"/>
          <w14:ligatures w14:val="none"/>
        </w:rPr>
        <w:t>Sangamner</w:t>
      </w:r>
      <w:proofErr w:type="spellEnd"/>
      <w:r w:rsidRPr="003D65B7">
        <w:rPr>
          <w:rFonts w:ascii="Arial" w:eastAsiaTheme="minorHAnsi" w:hAnsi="Arial" w:cs="Times New Roman"/>
          <w:kern w:val="0"/>
          <w:sz w:val="20"/>
          <w:szCs w:val="24"/>
          <w:lang w:eastAsia="en-US" w:bidi="ar-SA"/>
          <w14:ligatures w14:val="none"/>
        </w:rPr>
        <w:t xml:space="preserve"> area, Ahmednagar District, Maharashtra, India. </w:t>
      </w:r>
      <w:proofErr w:type="spellStart"/>
      <w:r w:rsidRPr="003D65B7">
        <w:rPr>
          <w:rFonts w:ascii="Arial" w:eastAsiaTheme="minorHAnsi" w:hAnsi="Arial" w:cs="Times New Roman"/>
          <w:kern w:val="0"/>
          <w:sz w:val="20"/>
          <w:szCs w:val="24"/>
          <w:lang w:eastAsia="en-US" w:bidi="ar-SA"/>
          <w14:ligatures w14:val="none"/>
        </w:rPr>
        <w:t>Rasayan</w:t>
      </w:r>
      <w:proofErr w:type="spellEnd"/>
      <w:r w:rsidRPr="003D65B7">
        <w:rPr>
          <w:rFonts w:ascii="Arial" w:eastAsiaTheme="minorHAnsi" w:hAnsi="Arial" w:cs="Times New Roman"/>
          <w:kern w:val="0"/>
          <w:sz w:val="20"/>
          <w:szCs w:val="24"/>
          <w:lang w:eastAsia="en-US" w:bidi="ar-SA"/>
          <w14:ligatures w14:val="none"/>
        </w:rPr>
        <w:t xml:space="preserve"> Journal of Chemistry, 6, 245-257. </w:t>
      </w:r>
      <w:hyperlink r:id="rId24" w:history="1">
        <w:r w:rsidRPr="003D65B7">
          <w:rPr>
            <w:rStyle w:val="Hyperlink"/>
            <w:rFonts w:ascii="Arial" w:hAnsi="Arial" w:cs="Times New Roman"/>
            <w:sz w:val="20"/>
            <w:szCs w:val="24"/>
          </w:rPr>
          <w:t>https://rasayanjournal.co.in/vol-6/issue-3/14_Vol.6(3),%20245-257,%202013,RJC-1069.pdf</w:t>
        </w:r>
      </w:hyperlink>
      <w:r w:rsidRPr="003D65B7">
        <w:rPr>
          <w:rStyle w:val="Hyperlink"/>
          <w:rFonts w:ascii="Arial" w:hAnsi="Arial" w:cs="Times New Roman"/>
          <w:sz w:val="20"/>
          <w:szCs w:val="24"/>
        </w:rPr>
        <w:t xml:space="preserve"> </w:t>
      </w:r>
    </w:p>
    <w:p w14:paraId="6E051DF4" w14:textId="77777777" w:rsidR="001C5841" w:rsidRPr="00E34BA3" w:rsidRDefault="001C5841" w:rsidP="00E34BA3">
      <w:pPr>
        <w:autoSpaceDE w:val="0"/>
        <w:autoSpaceDN w:val="0"/>
        <w:adjustRightInd w:val="0"/>
        <w:spacing w:line="240" w:lineRule="auto"/>
        <w:jc w:val="both"/>
        <w:rPr>
          <w:rFonts w:ascii="Arial" w:eastAsiaTheme="minorHAnsi" w:hAnsi="Arial" w:cs="Times New Roman"/>
          <w:b/>
          <w:bCs/>
          <w:color w:val="000099"/>
          <w:kern w:val="0"/>
          <w:sz w:val="20"/>
          <w:szCs w:val="24"/>
          <w:lang w:eastAsia="en-US" w:bidi="ar-SA"/>
          <w14:ligatures w14:val="none"/>
        </w:rPr>
      </w:pPr>
      <w:r w:rsidRPr="00E34BA3">
        <w:rPr>
          <w:rFonts w:ascii="Arial" w:eastAsiaTheme="minorHAnsi" w:hAnsi="Arial" w:cs="Times New Roman"/>
          <w:b/>
          <w:bCs/>
          <w:color w:val="000099"/>
          <w:kern w:val="0"/>
          <w:sz w:val="20"/>
          <w:szCs w:val="24"/>
          <w:lang w:val="pt-BR" w:eastAsia="en-US" w:bidi="ar-SA"/>
          <w14:ligatures w14:val="none"/>
        </w:rPr>
        <w:t xml:space="preserve">Diaz Ortiz, J., Moyo, T., &amp; Chikodzi, D. (2025). </w:t>
      </w:r>
      <w:r w:rsidRPr="00E34BA3">
        <w:rPr>
          <w:rFonts w:ascii="Arial" w:eastAsiaTheme="minorHAnsi" w:hAnsi="Arial" w:cs="Times New Roman"/>
          <w:b/>
          <w:bCs/>
          <w:color w:val="000099"/>
          <w:kern w:val="0"/>
          <w:sz w:val="20"/>
          <w:szCs w:val="24"/>
          <w:lang w:eastAsia="en-US" w:bidi="ar-SA"/>
          <w14:ligatures w14:val="none"/>
        </w:rPr>
        <w:t xml:space="preserve">Livestock production and environmental health: negative impacts and sustainable strategies for a resilient future. </w:t>
      </w:r>
      <w:r w:rsidRPr="00E34BA3">
        <w:rPr>
          <w:rFonts w:ascii="Arial" w:eastAsiaTheme="minorHAnsi" w:hAnsi="Arial" w:cs="Times New Roman"/>
          <w:b/>
          <w:bCs/>
          <w:i/>
          <w:iCs/>
          <w:color w:val="000099"/>
          <w:kern w:val="0"/>
          <w:sz w:val="20"/>
          <w:szCs w:val="24"/>
          <w:lang w:eastAsia="en-US" w:bidi="ar-SA"/>
          <w14:ligatures w14:val="none"/>
        </w:rPr>
        <w:t>MSI Journal of Multidisciplinary Research</w:t>
      </w:r>
      <w:r w:rsidRPr="00E34BA3">
        <w:rPr>
          <w:rFonts w:ascii="Arial" w:eastAsiaTheme="minorHAnsi" w:hAnsi="Arial" w:cs="Times New Roman"/>
          <w:b/>
          <w:bCs/>
          <w:color w:val="000099"/>
          <w:kern w:val="0"/>
          <w:sz w:val="20"/>
          <w:szCs w:val="24"/>
          <w:lang w:eastAsia="en-US" w:bidi="ar-SA"/>
          <w14:ligatures w14:val="none"/>
        </w:rPr>
        <w:t xml:space="preserve">, 6(8), 45–58. </w:t>
      </w:r>
      <w:hyperlink r:id="rId25" w:history="1">
        <w:r w:rsidRPr="00E34BA3">
          <w:rPr>
            <w:rStyle w:val="Hyperlink"/>
            <w:rFonts w:ascii="Arial" w:eastAsiaTheme="minorHAnsi" w:hAnsi="Arial" w:cs="Times New Roman"/>
            <w:b/>
            <w:bCs/>
            <w:color w:val="000099"/>
            <w:kern w:val="0"/>
            <w:sz w:val="20"/>
            <w:szCs w:val="24"/>
            <w:lang w:eastAsia="en-US" w:bidi="ar-SA"/>
            <w14:ligatures w14:val="none"/>
          </w:rPr>
          <w:t>https://msipublishers.com/wp-content/uploads/2025/05/MSIJMR682025-GS.pdf</w:t>
        </w:r>
      </w:hyperlink>
    </w:p>
    <w:p w14:paraId="555AFD85"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Dodds, K.L., &amp; Gillies, M.T. (1984). Opportunistic behavior of coliform bacteria in livestock water systems. Canadian Journal of Microbiology, 30(6), 723–728 </w:t>
      </w:r>
    </w:p>
    <w:p w14:paraId="1EBCB61A" w14:textId="77777777" w:rsidR="001C5841" w:rsidRPr="003D65B7" w:rsidRDefault="001C5841" w:rsidP="00CF0DF5">
      <w:pPr>
        <w:snapToGrid w:val="0"/>
        <w:spacing w:line="240" w:lineRule="auto"/>
        <w:jc w:val="both"/>
        <w:rPr>
          <w:rFonts w:ascii="Arial" w:eastAsiaTheme="minorHAnsi" w:hAnsi="Arial" w:cs="Times New Roman"/>
          <w:kern w:val="0"/>
          <w:sz w:val="20"/>
          <w:szCs w:val="24"/>
          <w:lang w:eastAsia="en-US" w:bidi="ar-SA"/>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Draghici, C. (2001). The animal hygiene and environmental protection. </w:t>
      </w:r>
      <w:proofErr w:type="spellStart"/>
      <w:r w:rsidRPr="003D65B7">
        <w:rPr>
          <w:rFonts w:ascii="Arial" w:eastAsia="Times New Roman" w:hAnsi="Arial" w:cs="Times New Roman"/>
          <w:snapToGrid w:val="0"/>
          <w:color w:val="000000"/>
          <w:kern w:val="0"/>
          <w:sz w:val="20"/>
          <w:szCs w:val="24"/>
          <w:lang w:eastAsia="de-DE" w:bidi="en-US"/>
          <w14:ligatures w14:val="none"/>
        </w:rPr>
        <w:t>Risoprint</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w:t>
      </w:r>
      <w:r w:rsidRPr="003D65B7">
        <w:rPr>
          <w:rFonts w:ascii="Arial" w:eastAsiaTheme="minorHAnsi" w:hAnsi="Arial" w:cs="Times New Roman"/>
          <w:kern w:val="0"/>
          <w:sz w:val="20"/>
          <w:szCs w:val="24"/>
          <w:lang w:eastAsia="en-US" w:bidi="ar-SA"/>
          <w14:ligatures w14:val="none"/>
        </w:rPr>
        <w:t>Cluj-Napoca, Romania.</w:t>
      </w:r>
    </w:p>
    <w:p w14:paraId="48A2D4AB"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Dyer, T. G. (2012). Water Requirements and Quality Issues for Cattle, Special Bulletin 56 extension.uga.edu </w:t>
      </w:r>
    </w:p>
    <w:p w14:paraId="29C57A11"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val="pt-BR" w:eastAsia="de-DE" w:bidi="en-US"/>
          <w14:ligatures w14:val="none"/>
        </w:rPr>
        <w:t xml:space="preserve">El Mahdy C, Boaru A, Popescu S, Borda C. (2016). </w:t>
      </w:r>
      <w:r w:rsidRPr="003D65B7">
        <w:rPr>
          <w:rFonts w:ascii="Arial" w:eastAsia="Times New Roman" w:hAnsi="Arial" w:cs="Times New Roman"/>
          <w:snapToGrid w:val="0"/>
          <w:color w:val="000000"/>
          <w:kern w:val="0"/>
          <w:sz w:val="20"/>
          <w:szCs w:val="24"/>
          <w:lang w:eastAsia="de-DE" w:bidi="en-US"/>
          <w14:ligatures w14:val="none"/>
        </w:rPr>
        <w:t xml:space="preserve">Water quality, essential condition sustaining the health, production and reproduction in cattle: a review. Bull Univ Agric Sci Vet Med Cluj-Napoca </w:t>
      </w:r>
      <w:proofErr w:type="spellStart"/>
      <w:r w:rsidRPr="003D65B7">
        <w:rPr>
          <w:rFonts w:ascii="Arial" w:eastAsia="Times New Roman" w:hAnsi="Arial" w:cs="Times New Roman"/>
          <w:snapToGrid w:val="0"/>
          <w:color w:val="000000"/>
          <w:kern w:val="0"/>
          <w:sz w:val="20"/>
          <w:szCs w:val="24"/>
          <w:lang w:eastAsia="de-DE" w:bidi="en-US"/>
          <w14:ligatures w14:val="none"/>
        </w:rPr>
        <w:t>Anim</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Sci </w:t>
      </w:r>
      <w:proofErr w:type="spellStart"/>
      <w:r w:rsidRPr="003D65B7">
        <w:rPr>
          <w:rFonts w:ascii="Arial" w:eastAsia="Times New Roman" w:hAnsi="Arial" w:cs="Times New Roman"/>
          <w:snapToGrid w:val="0"/>
          <w:color w:val="000000"/>
          <w:kern w:val="0"/>
          <w:sz w:val="20"/>
          <w:szCs w:val="24"/>
          <w:lang w:eastAsia="de-DE" w:bidi="en-US"/>
          <w14:ligatures w14:val="none"/>
        </w:rPr>
        <w:t>Biotechnol</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2016;73(2):113-125. </w:t>
      </w:r>
      <w:hyperlink r:id="rId26" w:history="1">
        <w:r w:rsidRPr="003D65B7">
          <w:rPr>
            <w:rStyle w:val="Hyperlink"/>
            <w:rFonts w:ascii="Arial" w:eastAsia="Times New Roman" w:hAnsi="Arial" w:cs="Times New Roman"/>
            <w:snapToGrid w:val="0"/>
            <w:kern w:val="0"/>
            <w:sz w:val="20"/>
            <w:szCs w:val="24"/>
            <w:lang w:eastAsia="de-DE" w:bidi="en-US"/>
            <w14:ligatures w14:val="none"/>
          </w:rPr>
          <w:t>https://doi.org/10.15835/buasvmcn-asb:12156</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17E89EC4"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heme="minorHAnsi" w:hAnsi="Arial" w:cs="Times New Roman"/>
          <w:kern w:val="0"/>
          <w:sz w:val="20"/>
          <w:szCs w:val="24"/>
          <w:lang w:eastAsia="en-US" w:bidi="ar-SA"/>
          <w14:ligatures w14:val="none"/>
        </w:rPr>
        <w:t xml:space="preserve">El Mahdy, C. (2013). Water hygiene and watering, Zoo hygiene, Vol 1, pp. 140-207. </w:t>
      </w:r>
      <w:proofErr w:type="spellStart"/>
      <w:r w:rsidRPr="003D65B7">
        <w:rPr>
          <w:rFonts w:ascii="Arial" w:eastAsiaTheme="minorHAnsi" w:hAnsi="Arial" w:cs="Times New Roman"/>
          <w:kern w:val="0"/>
          <w:sz w:val="20"/>
          <w:szCs w:val="24"/>
          <w:lang w:eastAsia="en-US" w:bidi="ar-SA"/>
          <w14:ligatures w14:val="none"/>
        </w:rPr>
        <w:t>Napoca</w:t>
      </w:r>
      <w:proofErr w:type="spellEnd"/>
      <w:r w:rsidRPr="003D65B7">
        <w:rPr>
          <w:rFonts w:ascii="Arial" w:eastAsiaTheme="minorHAnsi" w:hAnsi="Arial" w:cs="Times New Roman"/>
          <w:kern w:val="0"/>
          <w:sz w:val="20"/>
          <w:szCs w:val="24"/>
          <w:lang w:eastAsia="en-US" w:bidi="ar-SA"/>
          <w14:ligatures w14:val="none"/>
        </w:rPr>
        <w:t xml:space="preserve"> Star.</w:t>
      </w:r>
    </w:p>
    <w:p w14:paraId="521F8EB5" w14:textId="77777777" w:rsidR="001C5841" w:rsidRPr="00E34BA3" w:rsidRDefault="001C5841" w:rsidP="00E34BA3">
      <w:pPr>
        <w:autoSpaceDE w:val="0"/>
        <w:autoSpaceDN w:val="0"/>
        <w:adjustRightInd w:val="0"/>
        <w:spacing w:line="240" w:lineRule="auto"/>
        <w:jc w:val="both"/>
        <w:rPr>
          <w:rFonts w:ascii="Arial" w:eastAsiaTheme="minorHAnsi" w:hAnsi="Arial" w:cs="Times New Roman"/>
          <w:b/>
          <w:bCs/>
          <w:color w:val="000099"/>
          <w:kern w:val="0"/>
          <w:sz w:val="20"/>
          <w:szCs w:val="24"/>
          <w:lang w:eastAsia="en-US" w:bidi="ar-SA"/>
          <w14:ligatures w14:val="none"/>
        </w:rPr>
      </w:pPr>
      <w:r w:rsidRPr="00E34BA3">
        <w:rPr>
          <w:rFonts w:ascii="Arial" w:eastAsiaTheme="minorHAnsi" w:hAnsi="Arial" w:cs="Times New Roman"/>
          <w:b/>
          <w:bCs/>
          <w:color w:val="000099"/>
          <w:kern w:val="0"/>
          <w:sz w:val="20"/>
          <w:szCs w:val="24"/>
          <w:lang w:eastAsia="en-US" w:bidi="ar-SA"/>
          <w14:ligatures w14:val="none"/>
        </w:rPr>
        <w:t xml:space="preserve">Haga, T. (2023). Groundwater pollution by nitrate nitrogen and livestock waste management. </w:t>
      </w:r>
      <w:r w:rsidRPr="00E34BA3">
        <w:rPr>
          <w:rFonts w:ascii="Arial" w:eastAsiaTheme="minorHAnsi" w:hAnsi="Arial" w:cs="Times New Roman"/>
          <w:b/>
          <w:bCs/>
          <w:i/>
          <w:iCs/>
          <w:color w:val="000099"/>
          <w:kern w:val="0"/>
          <w:sz w:val="20"/>
          <w:szCs w:val="24"/>
          <w:lang w:eastAsia="en-US" w:bidi="ar-SA"/>
          <w14:ligatures w14:val="none"/>
        </w:rPr>
        <w:t>Journal of Geography (</w:t>
      </w:r>
      <w:proofErr w:type="spellStart"/>
      <w:r w:rsidRPr="00E34BA3">
        <w:rPr>
          <w:rFonts w:ascii="Arial" w:eastAsiaTheme="minorHAnsi" w:hAnsi="Arial" w:cs="Times New Roman"/>
          <w:b/>
          <w:bCs/>
          <w:i/>
          <w:iCs/>
          <w:color w:val="000099"/>
          <w:kern w:val="0"/>
          <w:sz w:val="20"/>
          <w:szCs w:val="24"/>
          <w:lang w:eastAsia="en-US" w:bidi="ar-SA"/>
          <w14:ligatures w14:val="none"/>
        </w:rPr>
        <w:t>Chigaku</w:t>
      </w:r>
      <w:proofErr w:type="spellEnd"/>
      <w:r w:rsidRPr="00E34BA3">
        <w:rPr>
          <w:rFonts w:ascii="Arial" w:eastAsiaTheme="minorHAnsi" w:hAnsi="Arial" w:cs="Times New Roman"/>
          <w:b/>
          <w:bCs/>
          <w:i/>
          <w:iCs/>
          <w:color w:val="000099"/>
          <w:kern w:val="0"/>
          <w:sz w:val="20"/>
          <w:szCs w:val="24"/>
          <w:lang w:eastAsia="en-US" w:bidi="ar-SA"/>
          <w14:ligatures w14:val="none"/>
        </w:rPr>
        <w:t xml:space="preserve"> </w:t>
      </w:r>
      <w:proofErr w:type="spellStart"/>
      <w:r w:rsidRPr="00E34BA3">
        <w:rPr>
          <w:rFonts w:ascii="Arial" w:eastAsiaTheme="minorHAnsi" w:hAnsi="Arial" w:cs="Times New Roman"/>
          <w:b/>
          <w:bCs/>
          <w:i/>
          <w:iCs/>
          <w:color w:val="000099"/>
          <w:kern w:val="0"/>
          <w:sz w:val="20"/>
          <w:szCs w:val="24"/>
          <w:lang w:eastAsia="en-US" w:bidi="ar-SA"/>
          <w14:ligatures w14:val="none"/>
        </w:rPr>
        <w:t>Zasshi</w:t>
      </w:r>
      <w:proofErr w:type="spellEnd"/>
      <w:r w:rsidRPr="00E34BA3">
        <w:rPr>
          <w:rFonts w:ascii="Arial" w:eastAsiaTheme="minorHAnsi" w:hAnsi="Arial" w:cs="Times New Roman"/>
          <w:b/>
          <w:bCs/>
          <w:i/>
          <w:iCs/>
          <w:color w:val="000099"/>
          <w:kern w:val="0"/>
          <w:sz w:val="20"/>
          <w:szCs w:val="24"/>
          <w:lang w:eastAsia="en-US" w:bidi="ar-SA"/>
          <w14:ligatures w14:val="none"/>
        </w:rPr>
        <w:t>)</w:t>
      </w:r>
      <w:r w:rsidRPr="00E34BA3">
        <w:rPr>
          <w:rFonts w:ascii="Arial" w:eastAsiaTheme="minorHAnsi" w:hAnsi="Arial" w:cs="Times New Roman"/>
          <w:b/>
          <w:bCs/>
          <w:color w:val="000099"/>
          <w:kern w:val="0"/>
          <w:sz w:val="20"/>
          <w:szCs w:val="24"/>
          <w:lang w:eastAsia="en-US" w:bidi="ar-SA"/>
          <w14:ligatures w14:val="none"/>
        </w:rPr>
        <w:t xml:space="preserve">, 132(2), 107–120. </w:t>
      </w:r>
      <w:hyperlink r:id="rId27" w:history="1">
        <w:r w:rsidRPr="00E34BA3">
          <w:rPr>
            <w:rStyle w:val="Hyperlink"/>
            <w:rFonts w:ascii="Arial" w:eastAsiaTheme="minorHAnsi" w:hAnsi="Arial" w:cs="Times New Roman"/>
            <w:b/>
            <w:bCs/>
            <w:color w:val="000099"/>
            <w:kern w:val="0"/>
            <w:sz w:val="20"/>
            <w:szCs w:val="24"/>
            <w:lang w:eastAsia="en-US" w:bidi="ar-SA"/>
            <w14:ligatures w14:val="none"/>
          </w:rPr>
          <w:t>https://www.jstage.jst.go.jp/article/jgeography/132/2/132_132.107/_pdf/-char/ja</w:t>
        </w:r>
      </w:hyperlink>
    </w:p>
    <w:p w14:paraId="1FB296DD"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Hancock, C. M., Rose, J. B., &amp; Callahan, M. (1998). Crypto and </w:t>
      </w:r>
      <w:r w:rsidRPr="003D65B7">
        <w:rPr>
          <w:rFonts w:ascii="Arial" w:eastAsia="Times New Roman" w:hAnsi="Arial" w:cs="Times New Roman"/>
          <w:i/>
          <w:iCs/>
          <w:snapToGrid w:val="0"/>
          <w:color w:val="000000"/>
          <w:kern w:val="0"/>
          <w:sz w:val="20"/>
          <w:szCs w:val="24"/>
          <w:lang w:eastAsia="de-DE" w:bidi="en-US"/>
          <w14:ligatures w14:val="none"/>
        </w:rPr>
        <w:t>Giardia</w:t>
      </w:r>
      <w:r w:rsidRPr="003D65B7">
        <w:rPr>
          <w:rFonts w:ascii="Arial" w:eastAsia="Times New Roman" w:hAnsi="Arial" w:cs="Times New Roman"/>
          <w:snapToGrid w:val="0"/>
          <w:color w:val="000000"/>
          <w:kern w:val="0"/>
          <w:sz w:val="20"/>
          <w:szCs w:val="24"/>
          <w:lang w:eastAsia="de-DE" w:bidi="en-US"/>
          <w14:ligatures w14:val="none"/>
        </w:rPr>
        <w:t xml:space="preserve"> in US groundwater. Journal of the American Water Works Association, 90, 58-61. </w:t>
      </w:r>
      <w:hyperlink r:id="rId28" w:history="1">
        <w:r w:rsidRPr="003D65B7">
          <w:rPr>
            <w:rStyle w:val="Hyperlink"/>
            <w:rFonts w:ascii="Arial" w:eastAsia="Times New Roman" w:hAnsi="Arial" w:cs="Times New Roman"/>
            <w:snapToGrid w:val="0"/>
            <w:kern w:val="0"/>
            <w:sz w:val="20"/>
            <w:szCs w:val="24"/>
            <w:lang w:eastAsia="de-DE" w:bidi="en-US"/>
            <w14:ligatures w14:val="none"/>
          </w:rPr>
          <w:t>https://doi.org/10.1002/j.1551-8833.1998.tb08396.x</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21525F59"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Hasan, A., Reza, A., Rume, F. I., Meher, M. M., </w:t>
      </w:r>
      <w:proofErr w:type="spellStart"/>
      <w:r w:rsidRPr="003D65B7">
        <w:rPr>
          <w:rFonts w:ascii="Arial" w:eastAsia="Times New Roman" w:hAnsi="Arial" w:cs="Times New Roman"/>
          <w:snapToGrid w:val="0"/>
          <w:color w:val="000000"/>
          <w:kern w:val="0"/>
          <w:sz w:val="20"/>
          <w:szCs w:val="24"/>
          <w:lang w:eastAsia="de-DE" w:bidi="en-US"/>
          <w14:ligatures w14:val="none"/>
        </w:rPr>
        <w:t>Parvej</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S., &amp; </w:t>
      </w:r>
      <w:proofErr w:type="spellStart"/>
      <w:r w:rsidRPr="003D65B7">
        <w:rPr>
          <w:rFonts w:ascii="Arial" w:eastAsia="Times New Roman" w:hAnsi="Arial" w:cs="Times New Roman"/>
          <w:snapToGrid w:val="0"/>
          <w:color w:val="000000"/>
          <w:kern w:val="0"/>
          <w:sz w:val="20"/>
          <w:szCs w:val="24"/>
          <w:lang w:eastAsia="de-DE" w:bidi="en-US"/>
          <w14:ligatures w14:val="none"/>
        </w:rPr>
        <w:t>Anower</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A. M. (2018). Prevalence and Antibiotic Resistance Pattern of Escherichia coli Isolated from Raw Dairy Milk. Turkish Journal of Agriculture - Food Science and Technology, 6(9), 1108-1113. </w:t>
      </w:r>
      <w:hyperlink r:id="rId29" w:history="1">
        <w:r w:rsidRPr="003D65B7">
          <w:rPr>
            <w:rStyle w:val="Hyperlink"/>
            <w:rFonts w:ascii="Arial" w:eastAsia="Times New Roman" w:hAnsi="Arial" w:cs="Times New Roman"/>
            <w:snapToGrid w:val="0"/>
            <w:kern w:val="0"/>
            <w:sz w:val="20"/>
            <w:szCs w:val="24"/>
            <w:lang w:eastAsia="de-DE" w:bidi="en-US"/>
            <w14:ligatures w14:val="none"/>
          </w:rPr>
          <w:t>https://doi.org/10.24925/turjaf.v6i9.1108-1113.1788</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7020A29C" w14:textId="77777777" w:rsidR="001C5841" w:rsidRPr="00E34BA3" w:rsidRDefault="001C5841" w:rsidP="00E34BA3">
      <w:pPr>
        <w:autoSpaceDE w:val="0"/>
        <w:autoSpaceDN w:val="0"/>
        <w:adjustRightInd w:val="0"/>
        <w:spacing w:line="240" w:lineRule="auto"/>
        <w:jc w:val="both"/>
        <w:rPr>
          <w:rFonts w:ascii="Arial" w:eastAsiaTheme="minorHAnsi" w:hAnsi="Arial" w:cs="Times New Roman"/>
          <w:b/>
          <w:bCs/>
          <w:color w:val="000099"/>
          <w:kern w:val="0"/>
          <w:sz w:val="20"/>
          <w:szCs w:val="24"/>
          <w:lang w:eastAsia="en-US" w:bidi="ar-SA"/>
          <w14:ligatures w14:val="none"/>
        </w:rPr>
      </w:pPr>
      <w:r w:rsidRPr="00E34BA3">
        <w:rPr>
          <w:rFonts w:ascii="Arial" w:eastAsiaTheme="minorHAnsi" w:hAnsi="Arial" w:cs="Times New Roman"/>
          <w:b/>
          <w:bCs/>
          <w:color w:val="000099"/>
          <w:kern w:val="0"/>
          <w:sz w:val="20"/>
          <w:szCs w:val="24"/>
          <w:lang w:eastAsia="en-US" w:bidi="ar-SA"/>
          <w14:ligatures w14:val="none"/>
        </w:rPr>
        <w:t xml:space="preserve">Helmann, J.D. (2025). Microbial metal physiology: ions to ecosystems. </w:t>
      </w:r>
      <w:r w:rsidRPr="00E34BA3">
        <w:rPr>
          <w:rFonts w:ascii="Arial" w:eastAsiaTheme="minorHAnsi" w:hAnsi="Arial" w:cs="Times New Roman"/>
          <w:b/>
          <w:bCs/>
          <w:i/>
          <w:iCs/>
          <w:color w:val="000099"/>
          <w:kern w:val="0"/>
          <w:sz w:val="20"/>
          <w:szCs w:val="24"/>
          <w:lang w:eastAsia="en-US" w:bidi="ar-SA"/>
          <w14:ligatures w14:val="none"/>
        </w:rPr>
        <w:t>Nature Reviews Microbiology</w:t>
      </w:r>
      <w:r w:rsidRPr="00E34BA3">
        <w:rPr>
          <w:rFonts w:ascii="Arial" w:eastAsiaTheme="minorHAnsi" w:hAnsi="Arial" w:cs="Times New Roman"/>
          <w:b/>
          <w:bCs/>
          <w:color w:val="000099"/>
          <w:kern w:val="0"/>
          <w:sz w:val="20"/>
          <w:szCs w:val="24"/>
          <w:lang w:eastAsia="en-US" w:bidi="ar-SA"/>
          <w14:ligatures w14:val="none"/>
        </w:rPr>
        <w:t xml:space="preserve">, 23, 101–115. </w:t>
      </w:r>
      <w:hyperlink r:id="rId30" w:history="1">
        <w:r w:rsidRPr="00E34BA3">
          <w:rPr>
            <w:rStyle w:val="Hyperlink"/>
            <w:rFonts w:ascii="Arial" w:eastAsiaTheme="minorHAnsi" w:hAnsi="Arial" w:cs="Times New Roman"/>
            <w:b/>
            <w:bCs/>
            <w:color w:val="000099"/>
            <w:kern w:val="0"/>
            <w:sz w:val="20"/>
            <w:szCs w:val="24"/>
            <w:lang w:eastAsia="en-US" w:bidi="ar-SA"/>
            <w14:ligatures w14:val="none"/>
          </w:rPr>
          <w:t>https://doi.org/10.1038/s41579-025-01213-7</w:t>
        </w:r>
      </w:hyperlink>
    </w:p>
    <w:p w14:paraId="2F0B2D3D"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Higgins, S. F., Agouridis, C. T. (2008). Drinking water quality guidelines for cattle. University of Kentucky Cooperative Extension.</w:t>
      </w:r>
    </w:p>
    <w:p w14:paraId="5AD34CA8" w14:textId="77777777" w:rsidR="001C5841" w:rsidRPr="003D65B7" w:rsidRDefault="001C5841" w:rsidP="00CF0DF5">
      <w:pPr>
        <w:spacing w:line="240" w:lineRule="auto"/>
        <w:jc w:val="both"/>
        <w:rPr>
          <w:rFonts w:ascii="Arial" w:eastAsia="Times New Roman" w:hAnsi="Arial" w:cs="Times New Roman"/>
          <w:kern w:val="0"/>
          <w:sz w:val="20"/>
          <w:szCs w:val="24"/>
          <w:lang w:eastAsia="en-US" w:bidi="ar-SA"/>
          <w14:ligatures w14:val="none"/>
        </w:rPr>
      </w:pPr>
      <w:r w:rsidRPr="003D65B7">
        <w:rPr>
          <w:rFonts w:ascii="Arial" w:eastAsia="Times New Roman" w:hAnsi="Arial" w:cs="Times New Roman"/>
          <w:kern w:val="0"/>
          <w:sz w:val="20"/>
          <w:szCs w:val="24"/>
          <w:lang w:eastAsia="en-US" w:bidi="ar-SA"/>
          <w14:ligatures w14:val="none"/>
        </w:rPr>
        <w:t xml:space="preserve">Islam K.B.M.S., Shil N.K., Islam M.T., Das S.K. (2005). Incidence of ascariasis in calves reared under rural condition. </w:t>
      </w:r>
      <w:r w:rsidRPr="003D65B7">
        <w:rPr>
          <w:rFonts w:ascii="Arial" w:eastAsia="Times New Roman" w:hAnsi="Arial" w:cs="Times New Roman"/>
          <w:iCs/>
          <w:kern w:val="0"/>
          <w:sz w:val="20"/>
          <w:szCs w:val="24"/>
          <w:lang w:eastAsia="en-US" w:bidi="ar-SA"/>
          <w14:ligatures w14:val="none"/>
        </w:rPr>
        <w:t>Bangladesh Journal of Veterinary Medicine</w:t>
      </w:r>
      <w:r w:rsidRPr="003D65B7">
        <w:rPr>
          <w:rFonts w:ascii="Arial" w:eastAsia="Times New Roman" w:hAnsi="Arial" w:cs="Times New Roman"/>
          <w:kern w:val="0"/>
          <w:sz w:val="20"/>
          <w:szCs w:val="24"/>
          <w:lang w:eastAsia="en-US" w:bidi="ar-SA"/>
          <w14:ligatures w14:val="none"/>
        </w:rPr>
        <w:t xml:space="preserve">, 3(1): 21–23. </w:t>
      </w:r>
      <w:hyperlink r:id="rId31" w:history="1">
        <w:r w:rsidRPr="003D65B7">
          <w:rPr>
            <w:rStyle w:val="Hyperlink"/>
            <w:rFonts w:ascii="Arial" w:eastAsia="Times New Roman" w:hAnsi="Arial" w:cs="Times New Roman"/>
            <w:kern w:val="0"/>
            <w:sz w:val="20"/>
            <w:szCs w:val="24"/>
            <w:lang w:eastAsia="en-US" w:bidi="ar-SA"/>
            <w14:ligatures w14:val="none"/>
          </w:rPr>
          <w:t>https://doi.org/10.3329/bjvm.v3i1.11336</w:t>
        </w:r>
      </w:hyperlink>
    </w:p>
    <w:p w14:paraId="7730BE84"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Islam, K. B. M., &amp; Taimur, M. (2008). Helminthic and protozoan internal parasitic infections in free ranging small ruminants of Bangladesh. Slovenian Veterinary Research, 45(2), 67-72. </w:t>
      </w:r>
      <w:hyperlink r:id="rId32" w:history="1">
        <w:r w:rsidRPr="003D65B7">
          <w:rPr>
            <w:rStyle w:val="Hyperlink"/>
            <w:rFonts w:ascii="Arial" w:eastAsia="Times New Roman" w:hAnsi="Arial" w:cs="Times New Roman"/>
            <w:snapToGrid w:val="0"/>
            <w:kern w:val="0"/>
            <w:sz w:val="20"/>
            <w:szCs w:val="24"/>
            <w:lang w:eastAsia="de-DE" w:bidi="en-US"/>
            <w14:ligatures w14:val="none"/>
          </w:rPr>
          <w:t>https://www.dlib.si/details/URN:NBN:SI:doc-KQI0ONKA</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2409C6F7"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Islam, K. B. M., Kabir, M., Rahman, M., &amp; Kabir, M. (2016). Status of buffalo diseases in Bangladesh in relation to casual agents and predisposing factors. International Journal of Life Sciences and Technology, 9, 44-50. Available from: </w:t>
      </w:r>
      <w:hyperlink r:id="rId33" w:history="1">
        <w:r w:rsidRPr="003D65B7">
          <w:rPr>
            <w:rStyle w:val="Hyperlink"/>
            <w:rFonts w:ascii="Arial" w:eastAsia="Times New Roman" w:hAnsi="Arial" w:cs="Times New Roman"/>
            <w:snapToGrid w:val="0"/>
            <w:kern w:val="0"/>
            <w:sz w:val="20"/>
            <w:szCs w:val="24"/>
            <w:lang w:eastAsia="de-DE" w:bidi="en-US"/>
            <w14:ligatures w14:val="none"/>
          </w:rPr>
          <w:t>https://www.proquest.com/docview/1824176311</w:t>
        </w:r>
      </w:hyperlink>
      <w:r w:rsidRPr="003D65B7">
        <w:rPr>
          <w:rFonts w:ascii="Arial" w:eastAsia="Times New Roman" w:hAnsi="Arial" w:cs="Times New Roman"/>
          <w:snapToGrid w:val="0"/>
          <w:kern w:val="0"/>
          <w:sz w:val="20"/>
          <w:szCs w:val="24"/>
          <w:lang w:eastAsia="de-DE" w:bidi="en-US"/>
          <w14:ligatures w14:val="none"/>
        </w:rPr>
        <w:t xml:space="preserve"> </w:t>
      </w:r>
    </w:p>
    <w:p w14:paraId="2622B2B2" w14:textId="77777777" w:rsidR="001C5841" w:rsidRPr="003D65B7" w:rsidRDefault="001C5841" w:rsidP="00CF0DF5">
      <w:pPr>
        <w:snapToGrid w:val="0"/>
        <w:spacing w:line="240" w:lineRule="auto"/>
        <w:jc w:val="both"/>
        <w:rPr>
          <w:rFonts w:ascii="Arial" w:hAnsi="Arial" w:cs="Times New Roman"/>
          <w:sz w:val="20"/>
          <w:szCs w:val="24"/>
        </w:rPr>
      </w:pPr>
      <w:r w:rsidRPr="003D65B7">
        <w:rPr>
          <w:rFonts w:ascii="Arial" w:hAnsi="Arial" w:cs="Times New Roman"/>
          <w:sz w:val="20"/>
          <w:szCs w:val="24"/>
          <w:lang w:val="pt-BR"/>
        </w:rPr>
        <w:t xml:space="preserve">Islam, K. B. M., Shiraj-Um-Mahmuda, S., &amp; Sarkar, S. (2021). </w:t>
      </w:r>
      <w:r w:rsidRPr="003D65B7">
        <w:rPr>
          <w:rFonts w:ascii="Arial" w:hAnsi="Arial" w:cs="Times New Roman"/>
          <w:sz w:val="20"/>
          <w:szCs w:val="24"/>
        </w:rPr>
        <w:t xml:space="preserve">Assessment of Quality of Raw Milk in References to Antibiotic Residues and Microbial Loads at Farmers and Retailers' Level in Some Selected Areas of Bangladesh. 5(7), 88-94.  Available from: </w:t>
      </w:r>
      <w:hyperlink r:id="rId34" w:history="1">
        <w:r w:rsidRPr="003D65B7">
          <w:rPr>
            <w:rStyle w:val="Hyperlink"/>
            <w:rFonts w:ascii="Arial" w:hAnsi="Arial" w:cs="Times New Roman"/>
            <w:sz w:val="20"/>
            <w:szCs w:val="24"/>
          </w:rPr>
          <w:t>https://www.actascientific.com/ASNH/pdf/ASNH-05-0896.pdf</w:t>
        </w:r>
      </w:hyperlink>
      <w:r w:rsidRPr="003D65B7">
        <w:rPr>
          <w:rStyle w:val="Hyperlink"/>
          <w:rFonts w:ascii="Arial" w:hAnsi="Arial" w:cs="Times New Roman"/>
          <w:sz w:val="20"/>
          <w:szCs w:val="24"/>
        </w:rPr>
        <w:t xml:space="preserve"> </w:t>
      </w:r>
    </w:p>
    <w:p w14:paraId="1C2E1CA6"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Islam, K., Islam, S., Khan, M., Zabed, M., Khatun, S., Al-Maruf, M., Hossain, M., Shiraj-Um-Mahmuda, S., Zahan, A., &amp; Islam, K. B. M. (2025). Isolation, Identification and Antimicrobial Sensitivity Profiling of </w:t>
      </w:r>
      <w:r w:rsidRPr="003D65B7">
        <w:rPr>
          <w:rFonts w:ascii="Arial" w:eastAsia="Times New Roman" w:hAnsi="Arial" w:cs="Times New Roman"/>
          <w:snapToGrid w:val="0"/>
          <w:color w:val="000000"/>
          <w:kern w:val="0"/>
          <w:sz w:val="20"/>
          <w:szCs w:val="24"/>
          <w:lang w:eastAsia="de-DE" w:bidi="en-US"/>
          <w14:ligatures w14:val="none"/>
        </w:rPr>
        <w:lastRenderedPageBreak/>
        <w:t xml:space="preserve">Escherichia coli and Salmonella Spp. from Dead Broiler in Local Market of Dhaka City. International Journal of Poultry Science, 24(1), 16-23. </w:t>
      </w:r>
      <w:bookmarkStart w:id="4" w:name="_Hlk210869675"/>
      <w:r w:rsidRPr="003D65B7">
        <w:rPr>
          <w:rFonts w:ascii="Arial" w:eastAsia="Times New Roman" w:hAnsi="Arial" w:cs="Times New Roman"/>
          <w:snapToGrid w:val="0"/>
          <w:color w:val="000000"/>
          <w:kern w:val="0"/>
          <w:sz w:val="20"/>
          <w:szCs w:val="24"/>
          <w:lang w:eastAsia="de-DE" w:bidi="en-US"/>
          <w14:ligatures w14:val="none"/>
        </w:rPr>
        <w:fldChar w:fldCharType="begin"/>
      </w:r>
      <w:r w:rsidRPr="003D65B7">
        <w:rPr>
          <w:rFonts w:ascii="Arial" w:eastAsia="Times New Roman" w:hAnsi="Arial" w:cs="Times New Roman"/>
          <w:snapToGrid w:val="0"/>
          <w:color w:val="000000"/>
          <w:kern w:val="0"/>
          <w:sz w:val="20"/>
          <w:szCs w:val="24"/>
          <w:lang w:eastAsia="de-DE" w:bidi="en-US"/>
          <w14:ligatures w14:val="none"/>
        </w:rPr>
        <w:instrText xml:space="preserve"> HYPERLINK "https://doi.org/10.3923/ijps.2025.16.23" </w:instrText>
      </w:r>
      <w:r w:rsidRPr="003D65B7">
        <w:rPr>
          <w:rFonts w:ascii="Arial" w:eastAsia="Times New Roman" w:hAnsi="Arial" w:cs="Times New Roman"/>
          <w:snapToGrid w:val="0"/>
          <w:color w:val="000000"/>
          <w:kern w:val="0"/>
          <w:sz w:val="20"/>
          <w:szCs w:val="24"/>
          <w:lang w:eastAsia="de-DE" w:bidi="en-US"/>
          <w14:ligatures w14:val="none"/>
        </w:rPr>
        <w:fldChar w:fldCharType="separate"/>
      </w:r>
      <w:r w:rsidRPr="003D65B7">
        <w:rPr>
          <w:rStyle w:val="Hyperlink"/>
          <w:rFonts w:ascii="Arial" w:eastAsia="Times New Roman" w:hAnsi="Arial" w:cs="Times New Roman"/>
          <w:snapToGrid w:val="0"/>
          <w:kern w:val="0"/>
          <w:sz w:val="20"/>
          <w:szCs w:val="24"/>
          <w:lang w:eastAsia="de-DE" w:bidi="en-US"/>
          <w14:ligatures w14:val="none"/>
        </w:rPr>
        <w:t>https://doi.org/10.3923/ijps.2025.16.23</w:t>
      </w:r>
      <w:r w:rsidRPr="003D65B7">
        <w:rPr>
          <w:rFonts w:ascii="Arial" w:eastAsia="Times New Roman" w:hAnsi="Arial" w:cs="Times New Roman"/>
          <w:snapToGrid w:val="0"/>
          <w:color w:val="000000"/>
          <w:kern w:val="0"/>
          <w:sz w:val="20"/>
          <w:szCs w:val="24"/>
          <w:lang w:eastAsia="de-DE" w:bidi="en-US"/>
          <w14:ligatures w14:val="none"/>
        </w:rPr>
        <w:fldChar w:fldCharType="end"/>
      </w:r>
      <w:bookmarkEnd w:id="4"/>
      <w:r w:rsidRPr="003D65B7">
        <w:rPr>
          <w:rFonts w:ascii="Arial" w:eastAsia="Times New Roman" w:hAnsi="Arial" w:cs="Times New Roman"/>
          <w:snapToGrid w:val="0"/>
          <w:color w:val="000000"/>
          <w:kern w:val="0"/>
          <w:sz w:val="20"/>
          <w:szCs w:val="24"/>
          <w:lang w:eastAsia="de-DE" w:bidi="en-US"/>
          <w14:ligatures w14:val="none"/>
        </w:rPr>
        <w:t xml:space="preserve"> </w:t>
      </w:r>
    </w:p>
    <w:p w14:paraId="300DD8CF"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Islam, M., &amp; Mostafa, M. (2024). Iron, manganese, and lead contamination in groundwater of Bangladesh: a review. Water Practice &amp; Technology, 19, 745-760. </w:t>
      </w:r>
      <w:hyperlink r:id="rId35" w:history="1">
        <w:r w:rsidRPr="003D65B7">
          <w:rPr>
            <w:rStyle w:val="Hyperlink"/>
            <w:rFonts w:ascii="Arial" w:eastAsia="Times New Roman" w:hAnsi="Arial" w:cs="Times New Roman"/>
            <w:snapToGrid w:val="0"/>
            <w:kern w:val="0"/>
            <w:sz w:val="20"/>
            <w:szCs w:val="24"/>
            <w:lang w:eastAsia="de-DE" w:bidi="en-US"/>
            <w14:ligatures w14:val="none"/>
          </w:rPr>
          <w:t>https://doi.org/10.2166/wpt.2024.030</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1E434223"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DA5023">
        <w:rPr>
          <w:rFonts w:ascii="Arial" w:eastAsia="Times New Roman" w:hAnsi="Arial" w:cs="Times New Roman"/>
          <w:snapToGrid w:val="0"/>
          <w:color w:val="000000"/>
          <w:kern w:val="0"/>
          <w:sz w:val="20"/>
          <w:szCs w:val="24"/>
          <w:lang w:val="pt-BR" w:eastAsia="de-DE" w:bidi="en-US"/>
          <w14:ligatures w14:val="none"/>
        </w:rPr>
        <w:t xml:space="preserve">Islam, M., Islam, K. B. M., Adnan, M. R., Sadi, M., &amp; Mim, N. (2024). </w:t>
      </w:r>
      <w:r w:rsidRPr="003D65B7">
        <w:rPr>
          <w:rFonts w:ascii="Arial" w:eastAsia="Times New Roman" w:hAnsi="Arial" w:cs="Times New Roman"/>
          <w:snapToGrid w:val="0"/>
          <w:color w:val="000000"/>
          <w:kern w:val="0"/>
          <w:sz w:val="20"/>
          <w:szCs w:val="24"/>
          <w:lang w:eastAsia="de-DE" w:bidi="en-US"/>
          <w14:ligatures w14:val="none"/>
        </w:rPr>
        <w:t xml:space="preserve">Antimicrobial Resistance Antimicrobial Resistance (AMR) of Public Health Concern Bacteria Isolated from Cows' Raw Milk. Asian Journal of Research in Animal and Veterinary Sciences, 7(3), 247–255. Available from: </w:t>
      </w:r>
      <w:hyperlink r:id="rId36" w:history="1">
        <w:r w:rsidRPr="003D65B7">
          <w:rPr>
            <w:rStyle w:val="Hyperlink"/>
            <w:rFonts w:ascii="Arial" w:eastAsia="Times New Roman" w:hAnsi="Arial" w:cs="Times New Roman"/>
            <w:snapToGrid w:val="0"/>
            <w:kern w:val="0"/>
            <w:sz w:val="20"/>
            <w:szCs w:val="24"/>
            <w:lang w:eastAsia="de-DE" w:bidi="en-US"/>
            <w14:ligatures w14:val="none"/>
          </w:rPr>
          <w:t>https://www.journalajravs.com/index.php/AJRAVS/article/view/309</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154CF064" w14:textId="77777777" w:rsidR="001C5841" w:rsidRPr="003D65B7" w:rsidRDefault="001C5841" w:rsidP="00CF0DF5">
      <w:pPr>
        <w:snapToGrid w:val="0"/>
        <w:spacing w:line="240" w:lineRule="auto"/>
        <w:jc w:val="both"/>
        <w:rPr>
          <w:rStyle w:val="Hyperlink"/>
          <w:rFonts w:ascii="Arial" w:eastAsia="Times New Roman" w:hAnsi="Arial" w:cs="Times New Roman"/>
          <w:snapToGrid w:val="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Islam, S., Islam, M. K., Khan, M. R., Al Maruf, M., Zabed, M. A., Mohanta, U. K., Islam, K. B. M. S. (2024). Prevalence of mastitis and antimicrobial resistance patterns of Escherichia coli and Staphylococcus aureus isolated from the infected udder of dairy cows in coastal regions. Bangladesh Veterinarian, 41(1), 13–22. </w:t>
      </w:r>
      <w:hyperlink r:id="rId37" w:history="1">
        <w:r w:rsidRPr="003D65B7">
          <w:rPr>
            <w:rStyle w:val="Hyperlink"/>
            <w:rFonts w:ascii="Arial" w:eastAsia="Times New Roman" w:hAnsi="Arial" w:cs="Times New Roman"/>
            <w:snapToGrid w:val="0"/>
            <w:kern w:val="0"/>
            <w:sz w:val="20"/>
            <w:szCs w:val="24"/>
            <w:lang w:eastAsia="de-DE" w:bidi="en-US"/>
            <w14:ligatures w14:val="none"/>
          </w:rPr>
          <w:t>https://doi.org/10.3329/bvet.v41i1.78673</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43AEDE3B" w14:textId="77777777" w:rsidR="001C5841" w:rsidRPr="003D65B7" w:rsidRDefault="001C5841" w:rsidP="00CF0DF5">
      <w:pPr>
        <w:snapToGrid w:val="0"/>
        <w:spacing w:line="240" w:lineRule="auto"/>
        <w:jc w:val="both"/>
        <w:rPr>
          <w:rStyle w:val="Hyperlink"/>
          <w:rFonts w:ascii="Arial" w:eastAsia="Times New Roman" w:hAnsi="Arial" w:cs="Times New Roman"/>
          <w:snapToGrid w:val="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Jackson, C. R., Roden, E. E., &amp; Churchill, P. F. (1998). Changes in bacterial species composition in enrichment cultures with various dilutions of inoculum as monitored by denaturing gradient gel electrophoresis. Applied and environmental microbiology, 64(12), 5046–5048. </w:t>
      </w:r>
      <w:hyperlink r:id="rId38" w:history="1">
        <w:r w:rsidRPr="003D65B7">
          <w:rPr>
            <w:rStyle w:val="Hyperlink"/>
            <w:rFonts w:ascii="Arial" w:eastAsia="Times New Roman" w:hAnsi="Arial" w:cs="Times New Roman"/>
            <w:snapToGrid w:val="0"/>
            <w:kern w:val="0"/>
            <w:sz w:val="20"/>
            <w:szCs w:val="24"/>
            <w:lang w:eastAsia="de-DE" w:bidi="en-US"/>
            <w14:ligatures w14:val="none"/>
          </w:rPr>
          <w:t>https://doi.org/10.1128/AEM.64.12.5046-5048.1998</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2690563A" w14:textId="77777777" w:rsidR="001C5841" w:rsidRPr="003D65B7" w:rsidRDefault="001C5841" w:rsidP="00CF0DF5">
      <w:pPr>
        <w:spacing w:line="240" w:lineRule="auto"/>
        <w:jc w:val="both"/>
        <w:rPr>
          <w:rFonts w:ascii="Arial" w:eastAsia="Times New Roman" w:hAnsi="Arial" w:cs="Times New Roman"/>
          <w:kern w:val="0"/>
          <w:sz w:val="20"/>
          <w:szCs w:val="24"/>
          <w:lang w:eastAsia="en-US" w:bidi="ar-SA"/>
          <w14:ligatures w14:val="none"/>
        </w:rPr>
      </w:pPr>
      <w:r w:rsidRPr="003D65B7">
        <w:rPr>
          <w:rFonts w:ascii="Arial" w:eastAsia="Times New Roman" w:hAnsi="Arial" w:cs="Times New Roman"/>
          <w:kern w:val="0"/>
          <w:sz w:val="20"/>
          <w:szCs w:val="24"/>
          <w:lang w:eastAsia="en-US" w:bidi="ar-SA"/>
          <w14:ligatures w14:val="none"/>
        </w:rPr>
        <w:t xml:space="preserve">Kabir M.H.B., Islam K.B.M.S., Islam K., Islam M., Karim S.J.I., Abdullah S.M., Mahmud M.S. (2019). Epidemiological survey on gastrointestinal parasitic zoonosis in cattle of Sirajganj District, Bangladesh. </w:t>
      </w:r>
      <w:r w:rsidRPr="003D65B7">
        <w:rPr>
          <w:rFonts w:ascii="Arial" w:eastAsia="Times New Roman" w:hAnsi="Arial" w:cs="Times New Roman"/>
          <w:iCs/>
          <w:kern w:val="0"/>
          <w:sz w:val="20"/>
          <w:szCs w:val="24"/>
          <w:lang w:eastAsia="en-US" w:bidi="ar-SA"/>
          <w14:ligatures w14:val="none"/>
        </w:rPr>
        <w:t>International Journal of Pathogen Research</w:t>
      </w:r>
      <w:r w:rsidRPr="003D65B7">
        <w:rPr>
          <w:rFonts w:ascii="Arial" w:eastAsia="Times New Roman" w:hAnsi="Arial" w:cs="Times New Roman"/>
          <w:kern w:val="0"/>
          <w:sz w:val="20"/>
          <w:szCs w:val="24"/>
          <w:lang w:eastAsia="en-US" w:bidi="ar-SA"/>
          <w14:ligatures w14:val="none"/>
        </w:rPr>
        <w:t xml:space="preserve">, 2(2): 1–10. </w:t>
      </w:r>
      <w:hyperlink r:id="rId39" w:history="1">
        <w:r w:rsidRPr="003D65B7">
          <w:rPr>
            <w:rStyle w:val="Hyperlink"/>
            <w:rFonts w:ascii="Arial" w:eastAsia="Times New Roman" w:hAnsi="Arial" w:cs="Times New Roman"/>
            <w:kern w:val="0"/>
            <w:sz w:val="20"/>
            <w:szCs w:val="24"/>
            <w:lang w:eastAsia="en-US" w:bidi="ar-SA"/>
            <w14:ligatures w14:val="none"/>
          </w:rPr>
          <w:t>https://doi.org/10.9734/ijpr/2019/v2i230066</w:t>
        </w:r>
      </w:hyperlink>
    </w:p>
    <w:p w14:paraId="0A48ABEA"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Karim, S. J. I., Islam, K. B. M. S., Adnan, M. R., Sadi, M. A. H., &amp; Islam, M. (2025). Antibiotic-Resistant Salmonella Enteritidis in Raw Chicken Meat of Dhaka City, Bangladesh. International Journal of Microbiology, (1), 5654730. </w:t>
      </w:r>
      <w:hyperlink r:id="rId40" w:history="1">
        <w:r w:rsidRPr="003D65B7">
          <w:rPr>
            <w:rStyle w:val="Hyperlink"/>
            <w:rFonts w:ascii="Arial" w:eastAsia="Times New Roman" w:hAnsi="Arial" w:cs="Times New Roman"/>
            <w:snapToGrid w:val="0"/>
            <w:kern w:val="0"/>
            <w:sz w:val="20"/>
            <w:szCs w:val="24"/>
            <w:lang w:eastAsia="de-DE" w:bidi="en-US"/>
            <w14:ligatures w14:val="none"/>
          </w:rPr>
          <w:t>https://doi.org/https://doi.org/10.1155/ijm/5654730</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20F7F65E"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Khan, M., Abro, S. H., Taj M. K., Abro, R., Baloch, H., Rind, R., Rind, M. R., </w:t>
      </w:r>
      <w:proofErr w:type="spellStart"/>
      <w:r w:rsidRPr="003D65B7">
        <w:rPr>
          <w:rFonts w:ascii="Arial" w:eastAsia="Times New Roman" w:hAnsi="Arial" w:cs="Times New Roman"/>
          <w:snapToGrid w:val="0"/>
          <w:color w:val="000000"/>
          <w:kern w:val="0"/>
          <w:sz w:val="20"/>
          <w:szCs w:val="24"/>
          <w:lang w:eastAsia="de-DE" w:bidi="en-US"/>
          <w14:ligatures w14:val="none"/>
        </w:rPr>
        <w:t>Tunio</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S. A. (2016). Bacterial contamination of drinking water used at dairy farms in Quetta, </w:t>
      </w:r>
      <w:proofErr w:type="spellStart"/>
      <w:r w:rsidRPr="003D65B7">
        <w:rPr>
          <w:rFonts w:ascii="Arial" w:eastAsia="Times New Roman" w:hAnsi="Arial" w:cs="Times New Roman"/>
          <w:snapToGrid w:val="0"/>
          <w:color w:val="000000"/>
          <w:kern w:val="0"/>
          <w:sz w:val="20"/>
          <w:szCs w:val="24"/>
          <w:lang w:eastAsia="de-DE" w:bidi="en-US"/>
          <w14:ligatures w14:val="none"/>
        </w:rPr>
        <w:t>Balochistan</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Pure and Applied Biology, 5(4), 714-718. </w:t>
      </w:r>
      <w:hyperlink r:id="rId41" w:tgtFrame="_new" w:history="1">
        <w:r w:rsidRPr="003D65B7">
          <w:rPr>
            <w:rFonts w:ascii="Arial" w:eastAsia="Times New Roman" w:hAnsi="Arial" w:cs="Times New Roman"/>
            <w:snapToGrid w:val="0"/>
            <w:color w:val="000000"/>
            <w:kern w:val="0"/>
            <w:sz w:val="20"/>
            <w:szCs w:val="24"/>
            <w:lang w:eastAsia="de-DE" w:bidi="en-US"/>
            <w14:ligatures w14:val="none"/>
          </w:rPr>
          <w:t>https://dx.doi.org/10.19045/bspab.2016.50089</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63B33D20" w14:textId="77777777" w:rsidR="001C5841" w:rsidRPr="003D65B7" w:rsidRDefault="001C5841" w:rsidP="00CF0DF5">
      <w:pPr>
        <w:autoSpaceDE w:val="0"/>
        <w:autoSpaceDN w:val="0"/>
        <w:adjustRightInd w:val="0"/>
        <w:spacing w:line="240" w:lineRule="auto"/>
        <w:jc w:val="both"/>
        <w:rPr>
          <w:rStyle w:val="Hyperlink"/>
          <w:rFonts w:ascii="Arial" w:eastAsiaTheme="minorHAnsi" w:hAnsi="Arial" w:cs="Times New Roman"/>
          <w:kern w:val="0"/>
          <w:sz w:val="20"/>
          <w:szCs w:val="24"/>
          <w:lang w:eastAsia="en-US" w:bidi="ar-SA"/>
          <w14:ligatures w14:val="none"/>
        </w:rPr>
      </w:pPr>
      <w:r w:rsidRPr="003D65B7">
        <w:rPr>
          <w:rFonts w:ascii="Arial" w:eastAsiaTheme="minorHAnsi" w:hAnsi="Arial" w:cs="Times New Roman"/>
          <w:kern w:val="0"/>
          <w:sz w:val="20"/>
          <w:szCs w:val="24"/>
          <w:lang w:eastAsia="en-US" w:bidi="ar-SA"/>
          <w14:ligatures w14:val="none"/>
        </w:rPr>
        <w:t xml:space="preserve">Lardner, H., </w:t>
      </w:r>
      <w:proofErr w:type="spellStart"/>
      <w:r w:rsidRPr="003D65B7">
        <w:rPr>
          <w:rFonts w:ascii="Arial" w:eastAsiaTheme="minorHAnsi" w:hAnsi="Arial" w:cs="Times New Roman"/>
          <w:kern w:val="0"/>
          <w:sz w:val="20"/>
          <w:szCs w:val="24"/>
          <w:lang w:eastAsia="en-US" w:bidi="ar-SA"/>
          <w14:ligatures w14:val="none"/>
        </w:rPr>
        <w:t>Kirychuk</w:t>
      </w:r>
      <w:proofErr w:type="spellEnd"/>
      <w:r w:rsidRPr="003D65B7">
        <w:rPr>
          <w:rFonts w:ascii="Arial" w:eastAsiaTheme="minorHAnsi" w:hAnsi="Arial" w:cs="Times New Roman"/>
          <w:kern w:val="0"/>
          <w:sz w:val="20"/>
          <w:szCs w:val="24"/>
          <w:lang w:eastAsia="en-US" w:bidi="ar-SA"/>
          <w14:ligatures w14:val="none"/>
        </w:rPr>
        <w:t xml:space="preserve">, B., Braul, L., Willms, W., &amp; </w:t>
      </w:r>
      <w:proofErr w:type="spellStart"/>
      <w:r w:rsidRPr="003D65B7">
        <w:rPr>
          <w:rFonts w:ascii="Arial" w:eastAsiaTheme="minorHAnsi" w:hAnsi="Arial" w:cs="Times New Roman"/>
          <w:kern w:val="0"/>
          <w:sz w:val="20"/>
          <w:szCs w:val="24"/>
          <w:lang w:eastAsia="en-US" w:bidi="ar-SA"/>
          <w14:ligatures w14:val="none"/>
        </w:rPr>
        <w:t>Yarotski</w:t>
      </w:r>
      <w:proofErr w:type="spellEnd"/>
      <w:r w:rsidRPr="003D65B7">
        <w:rPr>
          <w:rFonts w:ascii="Arial" w:eastAsiaTheme="minorHAnsi" w:hAnsi="Arial" w:cs="Times New Roman"/>
          <w:kern w:val="0"/>
          <w:sz w:val="20"/>
          <w:szCs w:val="24"/>
          <w:lang w:eastAsia="en-US" w:bidi="ar-SA"/>
          <w14:ligatures w14:val="none"/>
        </w:rPr>
        <w:t>, J. (2005). The effect of water quality on cattle performance on pasture. Australian Journal of Agricultural Research,</w:t>
      </w:r>
      <w:r w:rsidRPr="003D65B7">
        <w:rPr>
          <w:rFonts w:ascii="Arial" w:eastAsiaTheme="minorHAnsi" w:hAnsi="Arial" w:cs="Times New Roman"/>
          <w:iCs/>
          <w:kern w:val="0"/>
          <w:sz w:val="20"/>
          <w:szCs w:val="24"/>
          <w:lang w:eastAsia="en-US" w:bidi="ar-SA"/>
          <w14:ligatures w14:val="none"/>
        </w:rPr>
        <w:t xml:space="preserve"> </w:t>
      </w:r>
      <w:r w:rsidRPr="003D65B7">
        <w:rPr>
          <w:rFonts w:ascii="Arial" w:eastAsiaTheme="minorHAnsi" w:hAnsi="Arial" w:cs="Times New Roman"/>
          <w:kern w:val="0"/>
          <w:sz w:val="20"/>
          <w:szCs w:val="24"/>
          <w:lang w:eastAsia="en-US" w:bidi="ar-SA"/>
          <w14:ligatures w14:val="none"/>
        </w:rPr>
        <w:t xml:space="preserve">56, 97-104. </w:t>
      </w:r>
      <w:hyperlink r:id="rId42" w:history="1">
        <w:r w:rsidRPr="003D65B7">
          <w:rPr>
            <w:rStyle w:val="Hyperlink"/>
            <w:rFonts w:ascii="Arial" w:eastAsiaTheme="minorHAnsi" w:hAnsi="Arial" w:cs="Times New Roman"/>
            <w:kern w:val="0"/>
            <w:sz w:val="20"/>
            <w:szCs w:val="24"/>
            <w:lang w:eastAsia="en-US" w:bidi="ar-SA"/>
            <w14:ligatures w14:val="none"/>
          </w:rPr>
          <w:t>https://doi.org/10.1071/AR04086</w:t>
        </w:r>
      </w:hyperlink>
    </w:p>
    <w:p w14:paraId="6E3CF1AE" w14:textId="77777777" w:rsidR="001C5841" w:rsidRPr="00E34BA3" w:rsidRDefault="001C5841" w:rsidP="00E34BA3">
      <w:pPr>
        <w:autoSpaceDE w:val="0"/>
        <w:autoSpaceDN w:val="0"/>
        <w:adjustRightInd w:val="0"/>
        <w:spacing w:line="240" w:lineRule="auto"/>
        <w:jc w:val="both"/>
        <w:rPr>
          <w:rFonts w:ascii="Arial" w:eastAsiaTheme="minorHAnsi" w:hAnsi="Arial" w:cs="Times New Roman"/>
          <w:b/>
          <w:bCs/>
          <w:color w:val="000099"/>
          <w:kern w:val="0"/>
          <w:sz w:val="20"/>
          <w:szCs w:val="24"/>
          <w:lang w:eastAsia="en-US" w:bidi="ar-SA"/>
          <w14:ligatures w14:val="none"/>
        </w:rPr>
      </w:pPr>
      <w:r w:rsidRPr="00E34BA3">
        <w:rPr>
          <w:rFonts w:ascii="Arial" w:eastAsiaTheme="minorHAnsi" w:hAnsi="Arial" w:cs="Times New Roman"/>
          <w:b/>
          <w:bCs/>
          <w:color w:val="000099"/>
          <w:kern w:val="0"/>
          <w:sz w:val="20"/>
          <w:szCs w:val="24"/>
          <w:lang w:eastAsia="en-US" w:bidi="ar-SA"/>
          <w14:ligatures w14:val="none"/>
        </w:rPr>
        <w:t xml:space="preserve">Liying, Z., Yuxin, W., &amp; Xiaojun, L. (2024). Toxic heavy metal ions contamination in the aqueous environment, its toxicity and methods of microbial remediation. </w:t>
      </w:r>
      <w:r w:rsidRPr="00E34BA3">
        <w:rPr>
          <w:rFonts w:ascii="Arial" w:eastAsiaTheme="minorHAnsi" w:hAnsi="Arial" w:cs="Times New Roman"/>
          <w:b/>
          <w:bCs/>
          <w:i/>
          <w:iCs/>
          <w:color w:val="000099"/>
          <w:kern w:val="0"/>
          <w:sz w:val="20"/>
          <w:szCs w:val="24"/>
          <w:lang w:eastAsia="en-US" w:bidi="ar-SA"/>
          <w14:ligatures w14:val="none"/>
        </w:rPr>
        <w:t>Green Chemistry Letters and Reviews</w:t>
      </w:r>
      <w:r w:rsidRPr="00E34BA3">
        <w:rPr>
          <w:rFonts w:ascii="Arial" w:eastAsiaTheme="minorHAnsi" w:hAnsi="Arial" w:cs="Times New Roman"/>
          <w:b/>
          <w:bCs/>
          <w:color w:val="000099"/>
          <w:kern w:val="0"/>
          <w:sz w:val="20"/>
          <w:szCs w:val="24"/>
          <w:lang w:eastAsia="en-US" w:bidi="ar-SA"/>
          <w14:ligatures w14:val="none"/>
        </w:rPr>
        <w:t xml:space="preserve">, 17(1), 2317824. </w:t>
      </w:r>
      <w:hyperlink r:id="rId43" w:history="1">
        <w:r w:rsidRPr="00E34BA3">
          <w:rPr>
            <w:rStyle w:val="Hyperlink"/>
            <w:rFonts w:ascii="Arial" w:eastAsiaTheme="minorHAnsi" w:hAnsi="Arial" w:cs="Times New Roman"/>
            <w:b/>
            <w:bCs/>
            <w:color w:val="000099"/>
            <w:kern w:val="0"/>
            <w:sz w:val="20"/>
            <w:szCs w:val="24"/>
            <w:lang w:eastAsia="en-US" w:bidi="ar-SA"/>
            <w14:ligatures w14:val="none"/>
          </w:rPr>
          <w:t>https://doi.org/10.1080/17518253.2024.2317824</w:t>
        </w:r>
      </w:hyperlink>
    </w:p>
    <w:p w14:paraId="3310801F"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Mahmud SG, </w:t>
      </w:r>
      <w:proofErr w:type="spellStart"/>
      <w:r w:rsidRPr="003D65B7">
        <w:rPr>
          <w:rFonts w:ascii="Arial" w:eastAsia="Times New Roman" w:hAnsi="Arial" w:cs="Times New Roman"/>
          <w:snapToGrid w:val="0"/>
          <w:color w:val="000000"/>
          <w:kern w:val="0"/>
          <w:sz w:val="20"/>
          <w:szCs w:val="24"/>
          <w:lang w:eastAsia="de-DE" w:bidi="en-US"/>
          <w14:ligatures w14:val="none"/>
        </w:rPr>
        <w:t>Shamsuzzoha</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w:t>
      </w:r>
      <w:proofErr w:type="spellStart"/>
      <w:r w:rsidRPr="003D65B7">
        <w:rPr>
          <w:rFonts w:ascii="Arial" w:eastAsia="Times New Roman" w:hAnsi="Arial" w:cs="Times New Roman"/>
          <w:snapToGrid w:val="0"/>
          <w:color w:val="000000"/>
          <w:kern w:val="0"/>
          <w:sz w:val="20"/>
          <w:szCs w:val="24"/>
          <w:lang w:eastAsia="de-DE" w:bidi="en-US"/>
          <w14:ligatures w14:val="none"/>
        </w:rPr>
        <w:t>Yunus</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M, Islam MS, Ahmed MF. (2014). Chloride trends in shallow aquifers in urban Dhaka: the role of leakage from water supply and sanitation pipes. Sci Total </w:t>
      </w:r>
      <w:proofErr w:type="gramStart"/>
      <w:r w:rsidRPr="003D65B7">
        <w:rPr>
          <w:rFonts w:ascii="Arial" w:eastAsia="Times New Roman" w:hAnsi="Arial" w:cs="Times New Roman"/>
          <w:snapToGrid w:val="0"/>
          <w:color w:val="000000"/>
          <w:kern w:val="0"/>
          <w:sz w:val="20"/>
          <w:szCs w:val="24"/>
          <w:lang w:eastAsia="de-DE" w:bidi="en-US"/>
          <w14:ligatures w14:val="none"/>
        </w:rPr>
        <w:t>Environ ,</w:t>
      </w:r>
      <w:proofErr w:type="gramEnd"/>
      <w:r w:rsidRPr="003D65B7">
        <w:rPr>
          <w:rFonts w:ascii="Arial" w:eastAsia="Times New Roman" w:hAnsi="Arial" w:cs="Times New Roman"/>
          <w:snapToGrid w:val="0"/>
          <w:color w:val="000000"/>
          <w:kern w:val="0"/>
          <w:sz w:val="20"/>
          <w:szCs w:val="24"/>
          <w:lang w:eastAsia="de-DE" w:bidi="en-US"/>
          <w14:ligatures w14:val="none"/>
        </w:rPr>
        <w:t xml:space="preserve"> 470-471:1040-1048. </w:t>
      </w:r>
      <w:hyperlink r:id="rId44" w:tgtFrame="_new" w:history="1">
        <w:r w:rsidRPr="003D65B7">
          <w:rPr>
            <w:rFonts w:ascii="Arial" w:eastAsia="Times New Roman" w:hAnsi="Arial" w:cs="Times New Roman"/>
            <w:snapToGrid w:val="0"/>
            <w:color w:val="000000"/>
            <w:kern w:val="0"/>
            <w:sz w:val="20"/>
            <w:szCs w:val="24"/>
            <w:lang w:eastAsia="de-DE" w:bidi="en-US"/>
            <w14:ligatures w14:val="none"/>
          </w:rPr>
          <w:t>https://doi.org/10.1016/j.scitotenv.2013.10.079</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1B0FEBEC" w14:textId="77777777" w:rsidR="001C5841" w:rsidRPr="00E34BA3" w:rsidRDefault="001C5841" w:rsidP="00E34BA3">
      <w:pPr>
        <w:autoSpaceDE w:val="0"/>
        <w:autoSpaceDN w:val="0"/>
        <w:adjustRightInd w:val="0"/>
        <w:spacing w:line="240" w:lineRule="auto"/>
        <w:jc w:val="both"/>
        <w:rPr>
          <w:rFonts w:ascii="Arial" w:eastAsiaTheme="minorHAnsi" w:hAnsi="Arial" w:cs="Times New Roman"/>
          <w:b/>
          <w:bCs/>
          <w:color w:val="000099"/>
          <w:kern w:val="0"/>
          <w:sz w:val="20"/>
          <w:szCs w:val="24"/>
          <w:lang w:eastAsia="en-US" w:bidi="ar-SA"/>
          <w14:ligatures w14:val="none"/>
        </w:rPr>
      </w:pPr>
      <w:r w:rsidRPr="00E34BA3">
        <w:rPr>
          <w:rFonts w:ascii="Arial" w:eastAsiaTheme="minorHAnsi" w:hAnsi="Arial" w:cs="Times New Roman"/>
          <w:b/>
          <w:bCs/>
          <w:color w:val="000099"/>
          <w:kern w:val="0"/>
          <w:sz w:val="20"/>
          <w:szCs w:val="24"/>
          <w:lang w:eastAsia="en-US" w:bidi="ar-SA"/>
          <w14:ligatures w14:val="none"/>
        </w:rPr>
        <w:t xml:space="preserve">Makita, K., Yamamoto, T., &amp; Grace, D. (2021). Improving the livelihood of livestock and farmers and public health in developing countries through risk mitigation. </w:t>
      </w:r>
      <w:r w:rsidRPr="00E34BA3">
        <w:rPr>
          <w:rFonts w:ascii="Arial" w:eastAsiaTheme="minorHAnsi" w:hAnsi="Arial" w:cs="Times New Roman"/>
          <w:b/>
          <w:bCs/>
          <w:i/>
          <w:iCs/>
          <w:color w:val="000099"/>
          <w:kern w:val="0"/>
          <w:sz w:val="20"/>
          <w:szCs w:val="24"/>
          <w:lang w:eastAsia="en-US" w:bidi="ar-SA"/>
          <w14:ligatures w14:val="none"/>
        </w:rPr>
        <w:t>Japan Agricultural Research Quarterly (JARQ)</w:t>
      </w:r>
      <w:r w:rsidRPr="00E34BA3">
        <w:rPr>
          <w:rFonts w:ascii="Arial" w:eastAsiaTheme="minorHAnsi" w:hAnsi="Arial" w:cs="Times New Roman"/>
          <w:b/>
          <w:bCs/>
          <w:color w:val="000099"/>
          <w:kern w:val="0"/>
          <w:sz w:val="20"/>
          <w:szCs w:val="24"/>
          <w:lang w:eastAsia="en-US" w:bidi="ar-SA"/>
          <w14:ligatures w14:val="none"/>
        </w:rPr>
        <w:t xml:space="preserve">, 55(Special), 533–540. </w:t>
      </w:r>
      <w:hyperlink r:id="rId45" w:history="1">
        <w:r w:rsidRPr="00E34BA3">
          <w:rPr>
            <w:rStyle w:val="Hyperlink"/>
            <w:rFonts w:ascii="Arial" w:eastAsiaTheme="minorHAnsi" w:hAnsi="Arial" w:cs="Times New Roman"/>
            <w:b/>
            <w:bCs/>
            <w:color w:val="000099"/>
            <w:kern w:val="0"/>
            <w:sz w:val="20"/>
            <w:szCs w:val="24"/>
            <w:lang w:eastAsia="en-US" w:bidi="ar-SA"/>
            <w14:ligatures w14:val="none"/>
          </w:rPr>
          <w:t>https://www.jircas.go.jp/sites/default/files/publication/jarq/jarq55-5_533-541.pdf</w:t>
        </w:r>
      </w:hyperlink>
    </w:p>
    <w:p w14:paraId="4CDA7B39" w14:textId="77777777" w:rsidR="001C5841" w:rsidRPr="003D65B7" w:rsidRDefault="001C5841" w:rsidP="00CF0DF5">
      <w:pPr>
        <w:snapToGrid w:val="0"/>
        <w:spacing w:line="240" w:lineRule="auto"/>
        <w:jc w:val="both"/>
        <w:rPr>
          <w:rFonts w:ascii="Arial" w:eastAsiaTheme="minorHAnsi" w:hAnsi="Arial" w:cs="Times New Roman"/>
          <w:kern w:val="0"/>
          <w:sz w:val="20"/>
          <w:szCs w:val="24"/>
          <w:lang w:eastAsia="en-US" w:bidi="ar-SA"/>
          <w14:ligatures w14:val="none"/>
        </w:rPr>
      </w:pPr>
      <w:r w:rsidRPr="003D65B7">
        <w:rPr>
          <w:rFonts w:ascii="Arial" w:eastAsiaTheme="minorHAnsi" w:hAnsi="Arial" w:cs="Times New Roman"/>
          <w:kern w:val="0"/>
          <w:sz w:val="20"/>
          <w:szCs w:val="24"/>
          <w:lang w:eastAsia="en-US" w:bidi="ar-SA"/>
          <w14:ligatures w14:val="none"/>
        </w:rPr>
        <w:t xml:space="preserve">Man, C. (2007). Ecological animal husbandry: principles, techniques, regulations, case studies. </w:t>
      </w:r>
      <w:proofErr w:type="spellStart"/>
      <w:r w:rsidRPr="003D65B7">
        <w:rPr>
          <w:rFonts w:ascii="Arial" w:eastAsiaTheme="minorHAnsi" w:hAnsi="Arial" w:cs="Times New Roman"/>
          <w:kern w:val="0"/>
          <w:sz w:val="20"/>
          <w:szCs w:val="24"/>
          <w:lang w:eastAsia="en-US" w:bidi="ar-SA"/>
          <w14:ligatures w14:val="none"/>
        </w:rPr>
        <w:t>Risoprint</w:t>
      </w:r>
      <w:proofErr w:type="spellEnd"/>
      <w:r w:rsidRPr="003D65B7">
        <w:rPr>
          <w:rFonts w:ascii="Arial" w:eastAsiaTheme="minorHAnsi" w:hAnsi="Arial" w:cs="Times New Roman"/>
          <w:kern w:val="0"/>
          <w:sz w:val="20"/>
          <w:szCs w:val="24"/>
          <w:lang w:eastAsia="en-US" w:bidi="ar-SA"/>
          <w14:ligatures w14:val="none"/>
        </w:rPr>
        <w:t>, Cluj-Napoca, Romania.</w:t>
      </w:r>
    </w:p>
    <w:p w14:paraId="74B62646"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Man, C., </w:t>
      </w:r>
      <w:proofErr w:type="spellStart"/>
      <w:r w:rsidRPr="003D65B7">
        <w:rPr>
          <w:rFonts w:ascii="Arial" w:eastAsia="Times New Roman" w:hAnsi="Arial" w:cs="Times New Roman"/>
          <w:snapToGrid w:val="0"/>
          <w:color w:val="000000"/>
          <w:kern w:val="0"/>
          <w:sz w:val="20"/>
          <w:szCs w:val="24"/>
          <w:lang w:eastAsia="de-DE" w:bidi="en-US"/>
          <w14:ligatures w14:val="none"/>
        </w:rPr>
        <w:t>Podar</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C., Ivan, I. (2002). Environmental artificial factors and their influence on cattle, Ecology of cattle exploitation, (ed.). Academic Press, Cluj-Napoca, pp. 137-179. </w:t>
      </w:r>
    </w:p>
    <w:p w14:paraId="0AE75334"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National Research Council. (2001). Nutrient Requirements of Dairy Cattle: Seventh Revised Edition. Washington, DC: The National Academies Press. https://doi.org/10.17226/9825.</w:t>
      </w:r>
    </w:p>
    <w:p w14:paraId="676FAA76"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lastRenderedPageBreak/>
        <w:t xml:space="preserve">Neumann, K., Dowling, C., &amp; Sharma, S. (2017). </w:t>
      </w:r>
      <w:r w:rsidRPr="003D65B7">
        <w:rPr>
          <w:rFonts w:ascii="Arial" w:eastAsia="Times New Roman" w:hAnsi="Arial" w:cs="Times New Roman"/>
          <w:i/>
          <w:iCs/>
          <w:snapToGrid w:val="0"/>
          <w:color w:val="000000"/>
          <w:kern w:val="0"/>
          <w:sz w:val="20"/>
          <w:szCs w:val="24"/>
          <w:lang w:eastAsia="de-DE" w:bidi="en-US"/>
          <w14:ligatures w14:val="none"/>
        </w:rPr>
        <w:t>E. coli</w:t>
      </w:r>
      <w:r w:rsidRPr="003D65B7">
        <w:rPr>
          <w:rFonts w:ascii="Arial" w:eastAsia="Times New Roman" w:hAnsi="Arial" w:cs="Times New Roman"/>
          <w:snapToGrid w:val="0"/>
          <w:color w:val="000000"/>
          <w:kern w:val="0"/>
          <w:sz w:val="20"/>
          <w:szCs w:val="24"/>
          <w:lang w:eastAsia="de-DE" w:bidi="en-US"/>
          <w14:ligatures w14:val="none"/>
        </w:rPr>
        <w:t xml:space="preserve"> and Coliform Bacteria as Indicators for Drinking Water Quality and Handling of Drinking Water in the Sagarmatha National Park, Nepal. Environmental Management and Sustainable Development, 6, 411. </w:t>
      </w:r>
      <w:hyperlink r:id="rId46" w:history="1">
        <w:r w:rsidRPr="003D65B7">
          <w:rPr>
            <w:rStyle w:val="Hyperlink"/>
            <w:rFonts w:ascii="Arial" w:eastAsia="Times New Roman" w:hAnsi="Arial" w:cs="Times New Roman"/>
            <w:snapToGrid w:val="0"/>
            <w:kern w:val="0"/>
            <w:sz w:val="20"/>
            <w:szCs w:val="24"/>
            <w:lang w:eastAsia="de-DE" w:bidi="en-US"/>
            <w14:ligatures w14:val="none"/>
          </w:rPr>
          <w:t>https://doi.org/10.5296/emsd.v6i2.11982</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41EB5007" w14:textId="77777777" w:rsidR="001C5841" w:rsidRPr="003D65B7" w:rsidRDefault="001C5841" w:rsidP="00CF0DF5">
      <w:pPr>
        <w:snapToGrid w:val="0"/>
        <w:spacing w:line="240" w:lineRule="auto"/>
        <w:jc w:val="both"/>
        <w:rPr>
          <w:rStyle w:val="Hyperlink"/>
          <w:rFonts w:ascii="Arial" w:eastAsia="Times New Roman" w:hAnsi="Arial" w:cs="Times New Roman"/>
          <w:snapToGrid w:val="0"/>
          <w:kern w:val="0"/>
          <w:sz w:val="20"/>
          <w:szCs w:val="24"/>
          <w:lang w:eastAsia="de-DE" w:bidi="en-US"/>
          <w14:ligatures w14:val="none"/>
        </w:rPr>
      </w:pPr>
      <w:r w:rsidRPr="003D65B7">
        <w:rPr>
          <w:rFonts w:ascii="Arial" w:eastAsia="Times New Roman" w:hAnsi="Arial" w:cs="Times New Roman"/>
          <w:snapToGrid w:val="0"/>
          <w:color w:val="000000"/>
          <w:kern w:val="0"/>
          <w:sz w:val="20"/>
          <w:szCs w:val="24"/>
          <w:lang w:eastAsia="de-DE" w:bidi="en-US"/>
          <w14:ligatures w14:val="none"/>
        </w:rPr>
        <w:t xml:space="preserve">Olson, M. E., McAllister, T. A., </w:t>
      </w:r>
      <w:proofErr w:type="spellStart"/>
      <w:r w:rsidRPr="003D65B7">
        <w:rPr>
          <w:rFonts w:ascii="Arial" w:eastAsia="Times New Roman" w:hAnsi="Arial" w:cs="Times New Roman"/>
          <w:snapToGrid w:val="0"/>
          <w:color w:val="000000"/>
          <w:kern w:val="0"/>
          <w:sz w:val="20"/>
          <w:szCs w:val="24"/>
          <w:lang w:eastAsia="de-DE" w:bidi="en-US"/>
          <w14:ligatures w14:val="none"/>
        </w:rPr>
        <w:t>Deselliers</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L., Morck, D. W., Cheng, K. J., </w:t>
      </w:r>
      <w:proofErr w:type="spellStart"/>
      <w:r w:rsidRPr="003D65B7">
        <w:rPr>
          <w:rFonts w:ascii="Arial" w:eastAsia="Times New Roman" w:hAnsi="Arial" w:cs="Times New Roman"/>
          <w:snapToGrid w:val="0"/>
          <w:color w:val="000000"/>
          <w:kern w:val="0"/>
          <w:sz w:val="20"/>
          <w:szCs w:val="24"/>
          <w:lang w:eastAsia="de-DE" w:bidi="en-US"/>
          <w14:ligatures w14:val="none"/>
        </w:rPr>
        <w:t>Buret</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A. G., &amp; Ceri, H. (1995). Effects of </w:t>
      </w:r>
      <w:r w:rsidRPr="003D65B7">
        <w:rPr>
          <w:rFonts w:ascii="Arial" w:eastAsia="Times New Roman" w:hAnsi="Arial" w:cs="Times New Roman"/>
          <w:i/>
          <w:iCs/>
          <w:snapToGrid w:val="0"/>
          <w:color w:val="000000"/>
          <w:kern w:val="0"/>
          <w:sz w:val="20"/>
          <w:szCs w:val="24"/>
          <w:lang w:eastAsia="de-DE" w:bidi="en-US"/>
          <w14:ligatures w14:val="none"/>
        </w:rPr>
        <w:t>Giardia</w:t>
      </w:r>
      <w:r w:rsidRPr="003D65B7">
        <w:rPr>
          <w:rFonts w:ascii="Arial" w:eastAsia="Times New Roman" w:hAnsi="Arial" w:cs="Times New Roman"/>
          <w:snapToGrid w:val="0"/>
          <w:color w:val="000000"/>
          <w:kern w:val="0"/>
          <w:sz w:val="20"/>
          <w:szCs w:val="24"/>
          <w:lang w:eastAsia="de-DE" w:bidi="en-US"/>
          <w14:ligatures w14:val="none"/>
        </w:rPr>
        <w:t xml:space="preserve">sis on production in a domestic ruminant (lamb) model. American journal of veterinary research, 56(11), 1470–1474. </w:t>
      </w:r>
      <w:hyperlink r:id="rId47" w:history="1">
        <w:r w:rsidRPr="003D65B7">
          <w:rPr>
            <w:rStyle w:val="Hyperlink"/>
            <w:rFonts w:ascii="Arial" w:eastAsia="Times New Roman" w:hAnsi="Arial" w:cs="Times New Roman"/>
            <w:snapToGrid w:val="0"/>
            <w:kern w:val="0"/>
            <w:sz w:val="20"/>
            <w:szCs w:val="24"/>
            <w:lang w:eastAsia="de-DE" w:bidi="en-US"/>
            <w14:ligatures w14:val="none"/>
          </w:rPr>
          <w:t>https://doi.org/10.2460/ajvr.1995.56.11.1470</w:t>
        </w:r>
      </w:hyperlink>
      <w:r w:rsidRPr="003D65B7">
        <w:rPr>
          <w:rStyle w:val="Hyperlink"/>
          <w:rFonts w:ascii="Arial" w:eastAsia="Times New Roman" w:hAnsi="Arial" w:cs="Times New Roman"/>
          <w:snapToGrid w:val="0"/>
          <w:kern w:val="0"/>
          <w:sz w:val="20"/>
          <w:szCs w:val="24"/>
          <w:lang w:eastAsia="de-DE" w:bidi="en-US"/>
          <w14:ligatures w14:val="none"/>
        </w:rPr>
        <w:t xml:space="preserve"> </w:t>
      </w:r>
    </w:p>
    <w:p w14:paraId="7B69EA3E"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roofErr w:type="spellStart"/>
      <w:r w:rsidRPr="003D65B7">
        <w:rPr>
          <w:rFonts w:ascii="Arial" w:eastAsia="Times New Roman" w:hAnsi="Arial" w:cs="Times New Roman"/>
          <w:snapToGrid w:val="0"/>
          <w:color w:val="000000"/>
          <w:kern w:val="0"/>
          <w:sz w:val="20"/>
          <w:szCs w:val="24"/>
          <w:lang w:eastAsia="de-DE" w:bidi="en-US"/>
          <w14:ligatures w14:val="none"/>
        </w:rPr>
        <w:t>Oshukunuofa</w:t>
      </w:r>
      <w:proofErr w:type="spellEnd"/>
      <w:r w:rsidRPr="003D65B7">
        <w:rPr>
          <w:rFonts w:ascii="Arial" w:eastAsia="Times New Roman" w:hAnsi="Arial" w:cs="Times New Roman"/>
          <w:snapToGrid w:val="0"/>
          <w:color w:val="000000"/>
          <w:kern w:val="0"/>
          <w:sz w:val="20"/>
          <w:szCs w:val="24"/>
          <w:lang w:eastAsia="de-DE" w:bidi="en-US"/>
          <w14:ligatures w14:val="none"/>
        </w:rPr>
        <w:t>, R. J., Madu, P. C., &amp; Adams, M. D. (2024). Determination of heavy metals, physicochemical and bacteriological Profile in Water from Selected Bore Holes within Karu, Nasarawa State, Nigeria. </w:t>
      </w:r>
      <w:r w:rsidRPr="003D65B7">
        <w:rPr>
          <w:rFonts w:ascii="Arial" w:eastAsia="Times New Roman" w:hAnsi="Arial" w:cs="Times New Roman"/>
          <w:iCs/>
          <w:snapToGrid w:val="0"/>
          <w:color w:val="000000"/>
          <w:kern w:val="0"/>
          <w:sz w:val="20"/>
          <w:szCs w:val="24"/>
          <w:lang w:eastAsia="de-DE" w:bidi="en-US"/>
          <w14:ligatures w14:val="none"/>
        </w:rPr>
        <w:t>Caliphate Journal of Science and Technology</w:t>
      </w:r>
      <w:r w:rsidRPr="003D65B7">
        <w:rPr>
          <w:rFonts w:ascii="Arial" w:eastAsia="Times New Roman" w:hAnsi="Arial" w:cs="Times New Roman"/>
          <w:snapToGrid w:val="0"/>
          <w:color w:val="000000"/>
          <w:kern w:val="0"/>
          <w:sz w:val="20"/>
          <w:szCs w:val="24"/>
          <w:lang w:eastAsia="de-DE" w:bidi="en-US"/>
          <w14:ligatures w14:val="none"/>
        </w:rPr>
        <w:t>, </w:t>
      </w:r>
      <w:r w:rsidRPr="003D65B7">
        <w:rPr>
          <w:rFonts w:ascii="Arial" w:eastAsia="Times New Roman" w:hAnsi="Arial" w:cs="Times New Roman"/>
          <w:iCs/>
          <w:snapToGrid w:val="0"/>
          <w:color w:val="000000"/>
          <w:kern w:val="0"/>
          <w:sz w:val="20"/>
          <w:szCs w:val="24"/>
          <w:lang w:eastAsia="de-DE" w:bidi="en-US"/>
          <w14:ligatures w14:val="none"/>
        </w:rPr>
        <w:t>6</w:t>
      </w:r>
      <w:r w:rsidRPr="003D65B7">
        <w:rPr>
          <w:rFonts w:ascii="Arial" w:eastAsia="Times New Roman" w:hAnsi="Arial" w:cs="Times New Roman"/>
          <w:snapToGrid w:val="0"/>
          <w:color w:val="000000"/>
          <w:kern w:val="0"/>
          <w:sz w:val="20"/>
          <w:szCs w:val="24"/>
          <w:lang w:eastAsia="de-DE" w:bidi="en-US"/>
          <w14:ligatures w14:val="none"/>
        </w:rPr>
        <w:t xml:space="preserve">(3), 305–322. </w:t>
      </w:r>
      <w:hyperlink r:id="rId48" w:history="1">
        <w:r w:rsidRPr="003D65B7">
          <w:rPr>
            <w:rStyle w:val="Hyperlink"/>
            <w:rFonts w:ascii="Arial" w:eastAsia="Times New Roman" w:hAnsi="Arial" w:cs="Times New Roman"/>
            <w:snapToGrid w:val="0"/>
            <w:kern w:val="0"/>
            <w:sz w:val="20"/>
            <w:szCs w:val="24"/>
            <w:lang w:eastAsia="de-DE" w:bidi="en-US"/>
            <w14:ligatures w14:val="none"/>
          </w:rPr>
          <w:t>https://doi.org/10.4314/cajost.v6i3.8</w:t>
        </w:r>
      </w:hyperlink>
      <w:r w:rsidRPr="003D65B7">
        <w:rPr>
          <w:rFonts w:ascii="Arial" w:eastAsia="Times New Roman" w:hAnsi="Arial" w:cs="Times New Roman"/>
          <w:snapToGrid w:val="0"/>
          <w:color w:val="000000"/>
          <w:kern w:val="0"/>
          <w:sz w:val="20"/>
          <w:szCs w:val="24"/>
          <w:lang w:eastAsia="de-DE" w:bidi="en-US"/>
          <w14:ligatures w14:val="none"/>
        </w:rPr>
        <w:t xml:space="preserve"> </w:t>
      </w:r>
    </w:p>
    <w:p w14:paraId="294C343A" w14:textId="77777777" w:rsidR="001C5841" w:rsidRPr="00E34BA3" w:rsidRDefault="001C5841" w:rsidP="00E34BA3">
      <w:pPr>
        <w:autoSpaceDE w:val="0"/>
        <w:autoSpaceDN w:val="0"/>
        <w:adjustRightInd w:val="0"/>
        <w:spacing w:line="240" w:lineRule="auto"/>
        <w:jc w:val="both"/>
        <w:rPr>
          <w:rFonts w:ascii="Arial" w:eastAsiaTheme="minorHAnsi" w:hAnsi="Arial" w:cs="Times New Roman"/>
          <w:b/>
          <w:bCs/>
          <w:color w:val="000099"/>
          <w:kern w:val="0"/>
          <w:sz w:val="20"/>
          <w:szCs w:val="24"/>
          <w:lang w:eastAsia="en-US" w:bidi="ar-SA"/>
          <w14:ligatures w14:val="none"/>
        </w:rPr>
      </w:pPr>
      <w:r w:rsidRPr="00E34BA3">
        <w:rPr>
          <w:rFonts w:ascii="Arial" w:eastAsiaTheme="minorHAnsi" w:hAnsi="Arial" w:cs="Times New Roman"/>
          <w:b/>
          <w:bCs/>
          <w:color w:val="000099"/>
          <w:kern w:val="0"/>
          <w:sz w:val="20"/>
          <w:szCs w:val="24"/>
          <w:lang w:val="pt-BR" w:eastAsia="en-US" w:bidi="ar-SA"/>
          <w14:ligatures w14:val="none"/>
        </w:rPr>
        <w:t xml:space="preserve">Pande, A., Sharma, A., &amp; Singh, R. (2022). </w:t>
      </w:r>
      <w:r w:rsidRPr="00E34BA3">
        <w:rPr>
          <w:rFonts w:ascii="Arial" w:eastAsiaTheme="minorHAnsi" w:hAnsi="Arial" w:cs="Times New Roman"/>
          <w:b/>
          <w:bCs/>
          <w:color w:val="000099"/>
          <w:kern w:val="0"/>
          <w:sz w:val="20"/>
          <w:szCs w:val="24"/>
          <w:lang w:eastAsia="en-US" w:bidi="ar-SA"/>
          <w14:ligatures w14:val="none"/>
        </w:rPr>
        <w:t xml:space="preserve">Microbial interventions in bioremediation of heavy metal contaminants in agroecosystem. </w:t>
      </w:r>
      <w:r w:rsidRPr="00E34BA3">
        <w:rPr>
          <w:rFonts w:ascii="Arial" w:eastAsiaTheme="minorHAnsi" w:hAnsi="Arial" w:cs="Times New Roman"/>
          <w:b/>
          <w:bCs/>
          <w:i/>
          <w:iCs/>
          <w:color w:val="000099"/>
          <w:kern w:val="0"/>
          <w:sz w:val="20"/>
          <w:szCs w:val="24"/>
          <w:lang w:eastAsia="en-US" w:bidi="ar-SA"/>
          <w14:ligatures w14:val="none"/>
        </w:rPr>
        <w:t>Frontiers in Microbiology</w:t>
      </w:r>
      <w:r w:rsidRPr="00E34BA3">
        <w:rPr>
          <w:rFonts w:ascii="Arial" w:eastAsiaTheme="minorHAnsi" w:hAnsi="Arial" w:cs="Times New Roman"/>
          <w:b/>
          <w:bCs/>
          <w:color w:val="000099"/>
          <w:kern w:val="0"/>
          <w:sz w:val="20"/>
          <w:szCs w:val="24"/>
          <w:lang w:eastAsia="en-US" w:bidi="ar-SA"/>
          <w14:ligatures w14:val="none"/>
        </w:rPr>
        <w:t xml:space="preserve">, 13, 824084. </w:t>
      </w:r>
      <w:hyperlink r:id="rId49" w:history="1">
        <w:r w:rsidRPr="00E34BA3">
          <w:rPr>
            <w:rStyle w:val="Hyperlink"/>
            <w:rFonts w:ascii="Arial" w:eastAsiaTheme="minorHAnsi" w:hAnsi="Arial" w:cs="Times New Roman"/>
            <w:b/>
            <w:bCs/>
            <w:color w:val="000099"/>
            <w:kern w:val="0"/>
            <w:sz w:val="20"/>
            <w:szCs w:val="24"/>
            <w:lang w:eastAsia="en-US" w:bidi="ar-SA"/>
            <w14:ligatures w14:val="none"/>
          </w:rPr>
          <w:t>https://doi.org/10.3389/fmicb.2022.824084</w:t>
        </w:r>
      </w:hyperlink>
    </w:p>
    <w:p w14:paraId="6B7C5788" w14:textId="77777777" w:rsidR="001C5841" w:rsidRPr="003D65B7" w:rsidRDefault="001C5841" w:rsidP="00CF0DF5">
      <w:pPr>
        <w:spacing w:line="240" w:lineRule="auto"/>
        <w:jc w:val="both"/>
        <w:rPr>
          <w:rFonts w:ascii="Arial" w:eastAsia="Times New Roman" w:hAnsi="Arial" w:cs="Times New Roman"/>
          <w:kern w:val="0"/>
          <w:sz w:val="20"/>
          <w:szCs w:val="24"/>
          <w:lang w:eastAsia="en-US" w:bidi="ar-SA"/>
          <w14:ligatures w14:val="none"/>
        </w:rPr>
      </w:pPr>
      <w:r w:rsidRPr="001C5841">
        <w:rPr>
          <w:rFonts w:ascii="Arial" w:eastAsia="Times New Roman" w:hAnsi="Arial" w:cs="Times New Roman"/>
          <w:kern w:val="0"/>
          <w:sz w:val="20"/>
          <w:szCs w:val="24"/>
          <w:lang w:val="pt-BR" w:eastAsia="en-US" w:bidi="ar-SA"/>
          <w14:ligatures w14:val="none"/>
        </w:rPr>
        <w:t xml:space="preserve">Patoli, A. A., Patoli, B. B., &amp; Mehraj, V. (2010). </w:t>
      </w:r>
      <w:r w:rsidRPr="003D65B7">
        <w:rPr>
          <w:rFonts w:ascii="Arial" w:eastAsia="Times New Roman" w:hAnsi="Arial" w:cs="Times New Roman"/>
          <w:snapToGrid w:val="0"/>
          <w:color w:val="000000"/>
          <w:kern w:val="0"/>
          <w:sz w:val="20"/>
          <w:szCs w:val="24"/>
          <w:lang w:eastAsia="de-DE" w:bidi="en-US"/>
          <w14:ligatures w14:val="none"/>
        </w:rPr>
        <w:t>High prevalence of multidrug-resistant Escherichia coli in drinking water samples from Hyderabad.</w:t>
      </w:r>
      <w:r w:rsidRPr="003D65B7">
        <w:rPr>
          <w:rFonts w:ascii="Arial" w:eastAsia="Times New Roman" w:hAnsi="Arial" w:cs="Times New Roman"/>
          <w:kern w:val="0"/>
          <w:sz w:val="20"/>
          <w:szCs w:val="24"/>
          <w:lang w:eastAsia="en-US" w:bidi="ar-SA"/>
          <w14:ligatures w14:val="none"/>
        </w:rPr>
        <w:t xml:space="preserve"> Gomal Journal of Medical Sciences, 8(23), 23-26. Available from: </w:t>
      </w:r>
      <w:hyperlink r:id="rId50" w:history="1">
        <w:r w:rsidRPr="003D65B7">
          <w:rPr>
            <w:rStyle w:val="Hyperlink"/>
            <w:rFonts w:ascii="Arial" w:eastAsia="Times New Roman" w:hAnsi="Arial" w:cs="Times New Roman"/>
            <w:kern w:val="0"/>
            <w:sz w:val="20"/>
            <w:szCs w:val="24"/>
            <w:lang w:eastAsia="en-US" w:bidi="ar-SA"/>
            <w14:ligatures w14:val="none"/>
          </w:rPr>
          <w:t>https://gjms.com.pk/index.php/journal/article/view/194</w:t>
        </w:r>
      </w:hyperlink>
      <w:r w:rsidRPr="003D65B7">
        <w:rPr>
          <w:rStyle w:val="Hyperlink"/>
          <w:rFonts w:ascii="Arial" w:eastAsia="Times New Roman" w:hAnsi="Arial" w:cs="Times New Roman"/>
          <w:kern w:val="0"/>
          <w:sz w:val="20"/>
          <w:szCs w:val="24"/>
          <w:lang w:eastAsia="en-US" w:bidi="ar-SA"/>
          <w14:ligatures w14:val="none"/>
        </w:rPr>
        <w:t xml:space="preserve"> </w:t>
      </w:r>
    </w:p>
    <w:p w14:paraId="1C36DAAB" w14:textId="77777777" w:rsidR="001C5841" w:rsidRPr="003D65B7" w:rsidRDefault="001C5841" w:rsidP="00CF0DF5">
      <w:pPr>
        <w:snapToGrid w:val="0"/>
        <w:spacing w:line="240" w:lineRule="auto"/>
        <w:jc w:val="both"/>
        <w:rPr>
          <w:rFonts w:ascii="Arial" w:eastAsiaTheme="minorHAnsi" w:hAnsi="Arial" w:cs="Times New Roman"/>
          <w:kern w:val="0"/>
          <w:sz w:val="20"/>
          <w:szCs w:val="24"/>
          <w:lang w:eastAsia="en-US" w:bidi="ar-SA"/>
          <w14:ligatures w14:val="none"/>
        </w:rPr>
      </w:pPr>
      <w:r w:rsidRPr="003D65B7">
        <w:rPr>
          <w:rFonts w:ascii="Arial" w:eastAsiaTheme="minorHAnsi" w:hAnsi="Arial" w:cs="Times New Roman"/>
          <w:kern w:val="0"/>
          <w:sz w:val="20"/>
          <w:szCs w:val="24"/>
          <w:lang w:eastAsia="en-US" w:bidi="ar-SA"/>
          <w14:ligatures w14:val="none"/>
        </w:rPr>
        <w:t xml:space="preserve">Patterson, H. H., Johnson, P. S., Ward, E. H., &amp; Gates, R. N. (2004). Effects of sulfates in water on performance of cow-calf pairs. South Dakota Beef Report, South Dakota State University. Available from: </w:t>
      </w:r>
      <w:hyperlink r:id="rId51" w:history="1">
        <w:r w:rsidRPr="003D65B7">
          <w:rPr>
            <w:rStyle w:val="Hyperlink"/>
            <w:rFonts w:ascii="Arial" w:eastAsiaTheme="minorHAnsi" w:hAnsi="Arial" w:cs="Times New Roman"/>
            <w:kern w:val="0"/>
            <w:sz w:val="20"/>
            <w:szCs w:val="24"/>
            <w:lang w:eastAsia="en-US" w:bidi="ar-SA"/>
            <w14:ligatures w14:val="none"/>
          </w:rPr>
          <w:t>https://openprairie.sdstate.edu/sd_beefreport_2004/10</w:t>
        </w:r>
      </w:hyperlink>
      <w:r w:rsidRPr="003D65B7">
        <w:rPr>
          <w:rStyle w:val="Hyperlink"/>
          <w:rFonts w:ascii="Arial" w:eastAsiaTheme="minorHAnsi" w:hAnsi="Arial" w:cs="Times New Roman"/>
          <w:kern w:val="0"/>
          <w:sz w:val="20"/>
          <w:szCs w:val="24"/>
          <w:lang w:eastAsia="en-US" w:bidi="ar-SA"/>
          <w14:ligatures w14:val="none"/>
        </w:rPr>
        <w:t xml:space="preserve"> </w:t>
      </w:r>
    </w:p>
    <w:p w14:paraId="7F6F9913" w14:textId="77777777" w:rsidR="001C5841" w:rsidRPr="00DA5023" w:rsidRDefault="001C5841" w:rsidP="00CF0DF5">
      <w:pPr>
        <w:snapToGrid w:val="0"/>
        <w:spacing w:line="240" w:lineRule="auto"/>
        <w:jc w:val="both"/>
        <w:rPr>
          <w:rFonts w:ascii="Arial" w:eastAsiaTheme="minorHAnsi" w:hAnsi="Arial" w:cs="Times New Roman"/>
          <w:kern w:val="0"/>
          <w:sz w:val="20"/>
          <w:szCs w:val="24"/>
          <w:lang w:val="pt-BR" w:eastAsia="en-US" w:bidi="ar-SA"/>
          <w14:ligatures w14:val="none"/>
        </w:rPr>
      </w:pPr>
      <w:r w:rsidRPr="003D65B7">
        <w:rPr>
          <w:rFonts w:ascii="Arial" w:eastAsiaTheme="minorHAnsi" w:hAnsi="Arial" w:cs="Times New Roman"/>
          <w:kern w:val="0"/>
          <w:sz w:val="20"/>
          <w:szCs w:val="24"/>
          <w:lang w:eastAsia="en-US" w:bidi="ar-SA"/>
          <w14:ligatures w14:val="none"/>
        </w:rPr>
        <w:t xml:space="preserve">Popescu, S. (2010). Water hygiene and animals watering. Animal hygiene and environmental protection, Part 1, pp. 97-162. </w:t>
      </w:r>
      <w:r w:rsidRPr="00DA5023">
        <w:rPr>
          <w:rFonts w:ascii="Arial" w:eastAsiaTheme="minorHAnsi" w:hAnsi="Arial" w:cs="Times New Roman"/>
          <w:kern w:val="0"/>
          <w:sz w:val="20"/>
          <w:szCs w:val="24"/>
          <w:lang w:val="pt-BR" w:eastAsia="en-US" w:bidi="ar-SA"/>
          <w14:ligatures w14:val="none"/>
        </w:rPr>
        <w:t>Risoprint, Cluj-Napoca, Romania.</w:t>
      </w:r>
    </w:p>
    <w:p w14:paraId="77506EA0" w14:textId="77777777" w:rsidR="001C5841" w:rsidRPr="003D65B7" w:rsidRDefault="001C5841" w:rsidP="00CF0DF5">
      <w:pPr>
        <w:snapToGrid w:val="0"/>
        <w:spacing w:line="240" w:lineRule="auto"/>
        <w:jc w:val="both"/>
      </w:pPr>
      <w:r w:rsidRPr="003D65B7">
        <w:rPr>
          <w:rFonts w:ascii="Arial" w:eastAsia="Times New Roman" w:hAnsi="Arial" w:cs="Times New Roman"/>
          <w:snapToGrid w:val="0"/>
          <w:color w:val="000000"/>
          <w:kern w:val="0"/>
          <w:sz w:val="20"/>
          <w:szCs w:val="24"/>
          <w:lang w:val="pt-BR" w:eastAsia="de-DE" w:bidi="en-US"/>
          <w14:ligatures w14:val="none"/>
        </w:rPr>
        <w:t xml:space="preserve">Rui H, Li X, Liu J, Wang Y. (2019). </w:t>
      </w:r>
      <w:r w:rsidRPr="003D65B7">
        <w:rPr>
          <w:rFonts w:ascii="Arial" w:eastAsia="Times New Roman" w:hAnsi="Arial" w:cs="Times New Roman"/>
          <w:snapToGrid w:val="0"/>
          <w:color w:val="000000"/>
          <w:kern w:val="0"/>
          <w:sz w:val="20"/>
          <w:szCs w:val="24"/>
          <w:lang w:eastAsia="de-DE" w:bidi="en-US"/>
          <w14:ligatures w14:val="none"/>
        </w:rPr>
        <w:t xml:space="preserve">Influence of sodium chloride on the growth and biofilm formation of Escherichia coli and Staphylococcus aureus. J Food </w:t>
      </w:r>
      <w:proofErr w:type="gramStart"/>
      <w:r w:rsidRPr="003D65B7">
        <w:rPr>
          <w:rFonts w:ascii="Arial" w:eastAsia="Times New Roman" w:hAnsi="Arial" w:cs="Times New Roman"/>
          <w:snapToGrid w:val="0"/>
          <w:color w:val="000000"/>
          <w:kern w:val="0"/>
          <w:sz w:val="20"/>
          <w:szCs w:val="24"/>
          <w:lang w:eastAsia="de-DE" w:bidi="en-US"/>
          <w14:ligatures w14:val="none"/>
        </w:rPr>
        <w:t>Saf ,</w:t>
      </w:r>
      <w:proofErr w:type="gramEnd"/>
      <w:r w:rsidRPr="003D65B7">
        <w:rPr>
          <w:rFonts w:ascii="Arial" w:eastAsia="Times New Roman" w:hAnsi="Arial" w:cs="Times New Roman"/>
          <w:snapToGrid w:val="0"/>
          <w:color w:val="000000"/>
          <w:kern w:val="0"/>
          <w:sz w:val="20"/>
          <w:szCs w:val="24"/>
          <w:lang w:eastAsia="de-DE" w:bidi="en-US"/>
          <w14:ligatures w14:val="none"/>
        </w:rPr>
        <w:t xml:space="preserve"> 39(4):e12636. </w:t>
      </w:r>
      <w:hyperlink r:id="rId52" w:tgtFrame="_new" w:history="1">
        <w:r w:rsidRPr="003D65B7">
          <w:rPr>
            <w:rFonts w:ascii="Arial" w:eastAsia="Times New Roman" w:hAnsi="Arial" w:cs="Times New Roman"/>
            <w:snapToGrid w:val="0"/>
            <w:color w:val="000000"/>
            <w:kern w:val="0"/>
            <w:sz w:val="20"/>
            <w:szCs w:val="24"/>
            <w:lang w:eastAsia="de-DE" w:bidi="en-US"/>
            <w14:ligatures w14:val="none"/>
          </w:rPr>
          <w:t>https://doi.org/10.1111/jfs.12636</w:t>
        </w:r>
      </w:hyperlink>
    </w:p>
    <w:p w14:paraId="63B0F2B9" w14:textId="77777777" w:rsidR="001C5841" w:rsidRPr="00E34BA3" w:rsidRDefault="001C5841" w:rsidP="00E34BA3">
      <w:pPr>
        <w:autoSpaceDE w:val="0"/>
        <w:autoSpaceDN w:val="0"/>
        <w:adjustRightInd w:val="0"/>
        <w:spacing w:line="240" w:lineRule="auto"/>
        <w:jc w:val="both"/>
        <w:rPr>
          <w:rFonts w:ascii="Arial" w:eastAsiaTheme="minorHAnsi" w:hAnsi="Arial" w:cs="Times New Roman"/>
          <w:b/>
          <w:bCs/>
          <w:color w:val="000099"/>
          <w:kern w:val="0"/>
          <w:sz w:val="20"/>
          <w:szCs w:val="24"/>
          <w:lang w:eastAsia="en-US" w:bidi="ar-SA"/>
          <w14:ligatures w14:val="none"/>
        </w:rPr>
      </w:pPr>
      <w:r w:rsidRPr="00E34BA3">
        <w:rPr>
          <w:rFonts w:ascii="Arial" w:eastAsiaTheme="minorHAnsi" w:hAnsi="Arial" w:cs="Times New Roman"/>
          <w:b/>
          <w:bCs/>
          <w:color w:val="000099"/>
          <w:kern w:val="0"/>
          <w:sz w:val="20"/>
          <w:szCs w:val="24"/>
          <w:lang w:eastAsia="en-US" w:bidi="ar-SA"/>
          <w14:ligatures w14:val="none"/>
        </w:rPr>
        <w:t xml:space="preserve">Strzelecki, J., &amp; Nowicki, D. (2025). Tools to study microbial iron homeostasis and oxidative stress: current techniques and methodological gaps. </w:t>
      </w:r>
      <w:r w:rsidRPr="00E34BA3">
        <w:rPr>
          <w:rFonts w:ascii="Arial" w:eastAsiaTheme="minorHAnsi" w:hAnsi="Arial" w:cs="Times New Roman"/>
          <w:b/>
          <w:bCs/>
          <w:i/>
          <w:iCs/>
          <w:color w:val="000099"/>
          <w:kern w:val="0"/>
          <w:sz w:val="20"/>
          <w:szCs w:val="24"/>
          <w:lang w:eastAsia="en-US" w:bidi="ar-SA"/>
          <w14:ligatures w14:val="none"/>
        </w:rPr>
        <w:t>Frontiers in Molecular Biosciences</w:t>
      </w:r>
      <w:r w:rsidRPr="00E34BA3">
        <w:rPr>
          <w:rFonts w:ascii="Arial" w:eastAsiaTheme="minorHAnsi" w:hAnsi="Arial" w:cs="Times New Roman"/>
          <w:b/>
          <w:bCs/>
          <w:color w:val="000099"/>
          <w:kern w:val="0"/>
          <w:sz w:val="20"/>
          <w:szCs w:val="24"/>
          <w:lang w:eastAsia="en-US" w:bidi="ar-SA"/>
          <w14:ligatures w14:val="none"/>
        </w:rPr>
        <w:t xml:space="preserve">, 12, Article 1628725. </w:t>
      </w:r>
      <w:hyperlink r:id="rId53" w:history="1">
        <w:r w:rsidRPr="00E34BA3">
          <w:rPr>
            <w:rStyle w:val="Hyperlink"/>
            <w:rFonts w:ascii="Arial" w:eastAsiaTheme="minorHAnsi" w:hAnsi="Arial" w:cs="Times New Roman"/>
            <w:b/>
            <w:bCs/>
            <w:color w:val="000099"/>
            <w:kern w:val="0"/>
            <w:sz w:val="20"/>
            <w:szCs w:val="24"/>
            <w:lang w:eastAsia="en-US" w:bidi="ar-SA"/>
            <w14:ligatures w14:val="none"/>
          </w:rPr>
          <w:t>https://doi.org/10.3389/fmolb.2025.1628725</w:t>
        </w:r>
      </w:hyperlink>
    </w:p>
    <w:p w14:paraId="165C9420" w14:textId="77777777" w:rsidR="001C5841" w:rsidRPr="003D65B7" w:rsidRDefault="001C5841" w:rsidP="00CF0DF5">
      <w:pPr>
        <w:snapToGrid w:val="0"/>
        <w:spacing w:line="240" w:lineRule="auto"/>
        <w:jc w:val="both"/>
        <w:rPr>
          <w:rFonts w:ascii="Arial" w:eastAsiaTheme="minorHAnsi" w:hAnsi="Arial" w:cs="Times New Roman"/>
          <w:kern w:val="0"/>
          <w:sz w:val="20"/>
          <w:szCs w:val="24"/>
          <w:lang w:eastAsia="en-US" w:bidi="ar-SA"/>
          <w14:ligatures w14:val="none"/>
        </w:rPr>
      </w:pPr>
      <w:proofErr w:type="spellStart"/>
      <w:r w:rsidRPr="003D65B7">
        <w:rPr>
          <w:rFonts w:ascii="Arial" w:eastAsiaTheme="minorHAnsi" w:hAnsi="Arial" w:cs="Times New Roman"/>
          <w:kern w:val="0"/>
          <w:sz w:val="20"/>
          <w:szCs w:val="24"/>
          <w:lang w:eastAsia="en-US" w:bidi="ar-SA"/>
          <w14:ligatures w14:val="none"/>
        </w:rPr>
        <w:t>Swistock</w:t>
      </w:r>
      <w:proofErr w:type="spellEnd"/>
      <w:r w:rsidRPr="003D65B7">
        <w:rPr>
          <w:rFonts w:ascii="Arial" w:eastAsiaTheme="minorHAnsi" w:hAnsi="Arial" w:cs="Times New Roman"/>
          <w:kern w:val="0"/>
          <w:sz w:val="20"/>
          <w:szCs w:val="24"/>
          <w:lang w:eastAsia="en-US" w:bidi="ar-SA"/>
          <w14:ligatures w14:val="none"/>
        </w:rPr>
        <w:t xml:space="preserve">, B. (2016). Interpreting drinking water tests for dairy cows. Pennsylvania State University Press.  Available from: </w:t>
      </w:r>
      <w:hyperlink r:id="rId54" w:history="1">
        <w:r w:rsidRPr="003D65B7">
          <w:rPr>
            <w:rStyle w:val="Hyperlink"/>
            <w:rFonts w:ascii="Arial" w:eastAsiaTheme="minorHAnsi" w:hAnsi="Arial" w:cs="Times New Roman"/>
            <w:kern w:val="0"/>
            <w:sz w:val="20"/>
            <w:szCs w:val="24"/>
            <w:lang w:eastAsia="en-US" w:bidi="ar-SA"/>
            <w14:ligatures w14:val="none"/>
          </w:rPr>
          <w:t>https://extension.psu.edu/interpreting-drinking-water-tests-for-dairy-cows/</w:t>
        </w:r>
      </w:hyperlink>
      <w:r w:rsidRPr="003D65B7">
        <w:rPr>
          <w:rStyle w:val="Hyperlink"/>
          <w:rFonts w:ascii="Arial" w:eastAsiaTheme="minorHAnsi" w:hAnsi="Arial" w:cs="Times New Roman"/>
          <w:kern w:val="0"/>
          <w:sz w:val="20"/>
          <w:szCs w:val="24"/>
          <w:lang w:eastAsia="en-US" w:bidi="ar-SA"/>
          <w14:ligatures w14:val="none"/>
        </w:rPr>
        <w:t xml:space="preserve"> </w:t>
      </w:r>
    </w:p>
    <w:p w14:paraId="78AB5F32" w14:textId="77777777" w:rsidR="001C5841" w:rsidRPr="003D65B7" w:rsidRDefault="001C5841" w:rsidP="00CF0DF5">
      <w:pPr>
        <w:snapToGrid w:val="0"/>
        <w:spacing w:line="240" w:lineRule="auto"/>
        <w:jc w:val="both"/>
        <w:rPr>
          <w:rFonts w:ascii="Arial" w:eastAsia="Times New Roman" w:hAnsi="Arial" w:cs="Times New Roman"/>
          <w:snapToGrid w:val="0"/>
          <w:color w:val="000000"/>
          <w:kern w:val="0"/>
          <w:sz w:val="20"/>
          <w:szCs w:val="24"/>
          <w:lang w:eastAsia="de-DE" w:bidi="en-US"/>
          <w14:ligatures w14:val="none"/>
        </w:rPr>
      </w:pPr>
      <w:proofErr w:type="spellStart"/>
      <w:r w:rsidRPr="003D65B7">
        <w:rPr>
          <w:rFonts w:ascii="Arial" w:eastAsia="Times New Roman" w:hAnsi="Arial" w:cs="Times New Roman"/>
          <w:snapToGrid w:val="0"/>
          <w:color w:val="000000"/>
          <w:kern w:val="0"/>
          <w:sz w:val="20"/>
          <w:szCs w:val="24"/>
          <w:lang w:eastAsia="de-DE" w:bidi="en-US"/>
          <w14:ligatures w14:val="none"/>
        </w:rPr>
        <w:t>Swistock</w:t>
      </w:r>
      <w:proofErr w:type="spellEnd"/>
      <w:r w:rsidRPr="003D65B7">
        <w:rPr>
          <w:rFonts w:ascii="Arial" w:eastAsia="Times New Roman" w:hAnsi="Arial" w:cs="Times New Roman"/>
          <w:snapToGrid w:val="0"/>
          <w:color w:val="000000"/>
          <w:kern w:val="0"/>
          <w:sz w:val="20"/>
          <w:szCs w:val="24"/>
          <w:lang w:eastAsia="de-DE" w:bidi="en-US"/>
          <w14:ligatures w14:val="none"/>
        </w:rPr>
        <w:t xml:space="preserve">, B. R. (2012). Interpreting drinking water tests for dairy cows. Penn State Extension. </w:t>
      </w:r>
      <w:hyperlink r:id="rId55" w:history="1">
        <w:r w:rsidRPr="003D65B7">
          <w:rPr>
            <w:rStyle w:val="Hyperlink"/>
            <w:rFonts w:ascii="Arial" w:hAnsi="Arial" w:cs="Times New Roman"/>
            <w:sz w:val="20"/>
            <w:szCs w:val="24"/>
          </w:rPr>
          <w:t>https://extension.psu.edu/interpreting-drinking-water-tests-for-dairy-cows</w:t>
        </w:r>
      </w:hyperlink>
      <w:r w:rsidRPr="003D65B7">
        <w:rPr>
          <w:rStyle w:val="Hyperlink"/>
          <w:rFonts w:ascii="Arial" w:hAnsi="Arial" w:cs="Times New Roman"/>
          <w:sz w:val="20"/>
          <w:szCs w:val="24"/>
        </w:rPr>
        <w:t xml:space="preserve"> </w:t>
      </w:r>
    </w:p>
    <w:p w14:paraId="616FFD9E" w14:textId="77777777" w:rsidR="001C5841" w:rsidRPr="00E34BA3" w:rsidRDefault="001C5841" w:rsidP="00E34BA3">
      <w:pPr>
        <w:autoSpaceDE w:val="0"/>
        <w:autoSpaceDN w:val="0"/>
        <w:adjustRightInd w:val="0"/>
        <w:spacing w:line="240" w:lineRule="auto"/>
        <w:jc w:val="both"/>
        <w:rPr>
          <w:rFonts w:ascii="Arial" w:eastAsiaTheme="minorHAnsi" w:hAnsi="Arial" w:cs="Times New Roman"/>
          <w:b/>
          <w:bCs/>
          <w:color w:val="000099"/>
          <w:kern w:val="0"/>
          <w:sz w:val="20"/>
          <w:szCs w:val="24"/>
          <w:lang w:eastAsia="en-US" w:bidi="ar-SA"/>
          <w14:ligatures w14:val="none"/>
        </w:rPr>
      </w:pPr>
      <w:r w:rsidRPr="00E34BA3">
        <w:rPr>
          <w:rFonts w:ascii="Arial" w:eastAsiaTheme="minorHAnsi" w:hAnsi="Arial" w:cs="Times New Roman"/>
          <w:b/>
          <w:bCs/>
          <w:color w:val="000099"/>
          <w:kern w:val="0"/>
          <w:sz w:val="20"/>
          <w:szCs w:val="24"/>
          <w:lang w:val="pt-BR" w:eastAsia="en-US" w:bidi="ar-SA"/>
          <w14:ligatures w14:val="none"/>
        </w:rPr>
        <w:t xml:space="preserve">Tulu, D., Tsegaye, D., &amp; Tadesse, T. (2024). </w:t>
      </w:r>
      <w:r w:rsidRPr="00E34BA3">
        <w:rPr>
          <w:rFonts w:ascii="Arial" w:eastAsiaTheme="minorHAnsi" w:hAnsi="Arial" w:cs="Times New Roman"/>
          <w:b/>
          <w:bCs/>
          <w:color w:val="000099"/>
          <w:kern w:val="0"/>
          <w:sz w:val="20"/>
          <w:szCs w:val="24"/>
          <w:lang w:eastAsia="en-US" w:bidi="ar-SA"/>
          <w14:ligatures w14:val="none"/>
        </w:rPr>
        <w:t xml:space="preserve">Review on the influence of water quality on livestock production in the era of climate change: perspectives from dryland regions. </w:t>
      </w:r>
      <w:r w:rsidRPr="00E34BA3">
        <w:rPr>
          <w:rFonts w:ascii="Arial" w:eastAsiaTheme="minorHAnsi" w:hAnsi="Arial" w:cs="Times New Roman"/>
          <w:b/>
          <w:bCs/>
          <w:i/>
          <w:iCs/>
          <w:color w:val="000099"/>
          <w:kern w:val="0"/>
          <w:sz w:val="20"/>
          <w:szCs w:val="24"/>
          <w:lang w:eastAsia="en-US" w:bidi="ar-SA"/>
          <w14:ligatures w14:val="none"/>
        </w:rPr>
        <w:t>Cogent Food &amp; Agriculture</w:t>
      </w:r>
      <w:r w:rsidRPr="00E34BA3">
        <w:rPr>
          <w:rFonts w:ascii="Arial" w:eastAsiaTheme="minorHAnsi" w:hAnsi="Arial" w:cs="Times New Roman"/>
          <w:b/>
          <w:bCs/>
          <w:color w:val="000099"/>
          <w:kern w:val="0"/>
          <w:sz w:val="20"/>
          <w:szCs w:val="24"/>
          <w:lang w:eastAsia="en-US" w:bidi="ar-SA"/>
          <w14:ligatures w14:val="none"/>
        </w:rPr>
        <w:t xml:space="preserve">, 10(1), 2306726. </w:t>
      </w:r>
      <w:hyperlink r:id="rId56" w:history="1">
        <w:r w:rsidRPr="00E34BA3">
          <w:rPr>
            <w:rStyle w:val="Hyperlink"/>
            <w:rFonts w:ascii="Arial" w:eastAsiaTheme="minorHAnsi" w:hAnsi="Arial" w:cs="Times New Roman"/>
            <w:b/>
            <w:bCs/>
            <w:color w:val="000099"/>
            <w:kern w:val="0"/>
            <w:sz w:val="20"/>
            <w:szCs w:val="24"/>
            <w:lang w:eastAsia="en-US" w:bidi="ar-SA"/>
            <w14:ligatures w14:val="none"/>
          </w:rPr>
          <w:t>https://doi.org/10.1080/23311932.2024.2306726</w:t>
        </w:r>
      </w:hyperlink>
    </w:p>
    <w:p w14:paraId="20618B5D" w14:textId="77777777" w:rsidR="001C5841" w:rsidRPr="003D65B7" w:rsidRDefault="001C5841" w:rsidP="00CF0DF5">
      <w:pPr>
        <w:autoSpaceDE w:val="0"/>
        <w:autoSpaceDN w:val="0"/>
        <w:adjustRightInd w:val="0"/>
        <w:spacing w:line="240" w:lineRule="auto"/>
        <w:jc w:val="both"/>
        <w:rPr>
          <w:rFonts w:ascii="Arial" w:eastAsiaTheme="minorHAnsi" w:hAnsi="Arial" w:cs="Times New Roman"/>
          <w:kern w:val="0"/>
          <w:sz w:val="20"/>
          <w:szCs w:val="24"/>
          <w:lang w:val="pt-BR" w:eastAsia="en-US" w:bidi="ar-SA"/>
          <w14:ligatures w14:val="none"/>
        </w:rPr>
      </w:pPr>
      <w:r w:rsidRPr="001C5841">
        <w:rPr>
          <w:rFonts w:ascii="Arial" w:eastAsiaTheme="minorHAnsi" w:hAnsi="Arial" w:cs="Times New Roman"/>
          <w:kern w:val="0"/>
          <w:sz w:val="20"/>
          <w:szCs w:val="24"/>
          <w:lang w:val="pt-BR" w:eastAsia="en-US" w:bidi="ar-SA"/>
          <w14:ligatures w14:val="none"/>
        </w:rPr>
        <w:t xml:space="preserve">Umar, S., Munir, M. T., Azeem, T., Ali, S., Umar, W., Rehman, A., Shah, M. A. (2014). </w:t>
      </w:r>
      <w:r w:rsidRPr="003D65B7">
        <w:rPr>
          <w:rFonts w:ascii="Arial" w:eastAsiaTheme="minorHAnsi" w:hAnsi="Arial" w:cs="Times New Roman"/>
          <w:kern w:val="0"/>
          <w:sz w:val="20"/>
          <w:szCs w:val="24"/>
          <w:lang w:eastAsia="en-US" w:bidi="ar-SA"/>
          <w14:ligatures w14:val="none"/>
        </w:rPr>
        <w:t xml:space="preserve">Effects of water quality on productivity and performance of livestock: A mini review. </w:t>
      </w:r>
      <w:r w:rsidRPr="003D65B7">
        <w:rPr>
          <w:rFonts w:ascii="Arial" w:eastAsiaTheme="minorHAnsi" w:hAnsi="Arial" w:cs="Times New Roman"/>
          <w:kern w:val="0"/>
          <w:sz w:val="20"/>
          <w:szCs w:val="24"/>
          <w:lang w:val="pt-BR" w:eastAsia="en-US" w:bidi="ar-SA"/>
          <w14:ligatures w14:val="none"/>
        </w:rPr>
        <w:t>Veterinaria, 2, 11-15.</w:t>
      </w:r>
      <w:r w:rsidRPr="003D65B7">
        <w:rPr>
          <w:rFonts w:ascii="Arial" w:hAnsi="Arial" w:cs="Times New Roman"/>
          <w:sz w:val="20"/>
          <w:szCs w:val="24"/>
          <w:lang w:val="pt-BR"/>
        </w:rPr>
        <w:t xml:space="preserve"> </w:t>
      </w:r>
      <w:hyperlink r:id="rId57" w:history="1">
        <w:r w:rsidRPr="003D65B7">
          <w:rPr>
            <w:rStyle w:val="Hyperlink"/>
            <w:rFonts w:ascii="Arial" w:hAnsi="Arial" w:cs="Times New Roman"/>
            <w:sz w:val="20"/>
            <w:szCs w:val="24"/>
            <w:lang w:val="pt-BR"/>
          </w:rPr>
          <w:t>https://www.researchgate.net/publication/284550968_Effects_of_Water_Quality_on_Productivity_and_Performance_of_Livestock_A_Mini_Review</w:t>
        </w:r>
      </w:hyperlink>
      <w:r w:rsidRPr="003D65B7">
        <w:rPr>
          <w:rStyle w:val="Hyperlink"/>
          <w:rFonts w:ascii="Arial" w:hAnsi="Arial" w:cs="Times New Roman"/>
          <w:sz w:val="20"/>
          <w:szCs w:val="24"/>
          <w:lang w:val="pt-BR"/>
        </w:rPr>
        <w:t xml:space="preserve"> </w:t>
      </w:r>
    </w:p>
    <w:p w14:paraId="592C3704" w14:textId="77777777" w:rsidR="001C5841" w:rsidRPr="003D65B7" w:rsidRDefault="001C5841" w:rsidP="00CF0DF5">
      <w:pPr>
        <w:snapToGrid w:val="0"/>
        <w:spacing w:line="240" w:lineRule="auto"/>
        <w:jc w:val="both"/>
        <w:rPr>
          <w:rFonts w:ascii="Arial" w:hAnsi="Arial" w:cs="Times New Roman"/>
          <w:sz w:val="20"/>
          <w:szCs w:val="24"/>
        </w:rPr>
      </w:pPr>
      <w:r w:rsidRPr="003D65B7">
        <w:rPr>
          <w:rFonts w:ascii="Arial" w:hAnsi="Arial" w:cs="Times New Roman"/>
          <w:sz w:val="20"/>
          <w:szCs w:val="24"/>
        </w:rPr>
        <w:t xml:space="preserve">World Health Organization. (2017). Guidelines for Drinking-Water Quality: Fourth Edition, Incorporating the First Addendum. Available from: </w:t>
      </w:r>
      <w:hyperlink r:id="rId58" w:history="1">
        <w:r w:rsidRPr="003D65B7">
          <w:rPr>
            <w:rStyle w:val="Hyperlink"/>
            <w:rFonts w:ascii="Arial" w:hAnsi="Arial" w:cs="Times New Roman"/>
            <w:sz w:val="20"/>
            <w:szCs w:val="24"/>
          </w:rPr>
          <w:t>https://www.who.int/publications/i/item/9789241549950</w:t>
        </w:r>
      </w:hyperlink>
    </w:p>
    <w:p w14:paraId="10477231" w14:textId="77777777" w:rsidR="001C5841" w:rsidRPr="003D65B7" w:rsidRDefault="001C5841" w:rsidP="00CF0DF5">
      <w:pPr>
        <w:spacing w:line="240" w:lineRule="auto"/>
        <w:jc w:val="both"/>
        <w:rPr>
          <w:rStyle w:val="Hyperlink"/>
          <w:rFonts w:ascii="Arial" w:eastAsia="Times New Roman" w:hAnsi="Arial" w:cs="Times New Roman"/>
          <w:kern w:val="0"/>
          <w:sz w:val="20"/>
          <w:szCs w:val="24"/>
          <w:lang w:eastAsia="en-US" w:bidi="ar-SA"/>
          <w14:ligatures w14:val="none"/>
        </w:rPr>
      </w:pPr>
      <w:r w:rsidRPr="003D65B7">
        <w:rPr>
          <w:rFonts w:ascii="Arial" w:eastAsia="Times New Roman" w:hAnsi="Arial" w:cs="Times New Roman"/>
          <w:kern w:val="0"/>
          <w:sz w:val="20"/>
          <w:szCs w:val="24"/>
          <w:lang w:eastAsia="en-US" w:bidi="ar-SA"/>
          <w14:ligatures w14:val="none"/>
        </w:rPr>
        <w:t xml:space="preserve">Yan, W., Wang, N., Wei, D., Liang, C., Chen, X., Liu, L., &amp; Shi, J. (2021). Bacterial community compositions and nitrogen metabolism function in a cattle farm wastewater treatment plant revealed by Illumina high-throughput sequencing. Environmental science and pollution research international, </w:t>
      </w:r>
      <w:r w:rsidRPr="003D65B7">
        <w:rPr>
          <w:rFonts w:ascii="Arial" w:eastAsia="Times New Roman" w:hAnsi="Arial" w:cs="Times New Roman"/>
          <w:iCs/>
          <w:kern w:val="0"/>
          <w:sz w:val="20"/>
          <w:szCs w:val="24"/>
          <w:lang w:eastAsia="en-US" w:bidi="ar-SA"/>
          <w14:ligatures w14:val="none"/>
        </w:rPr>
        <w:t>28</w:t>
      </w:r>
      <w:r w:rsidRPr="003D65B7">
        <w:rPr>
          <w:rFonts w:ascii="Arial" w:eastAsia="Times New Roman" w:hAnsi="Arial" w:cs="Times New Roman"/>
          <w:kern w:val="0"/>
          <w:sz w:val="20"/>
          <w:szCs w:val="24"/>
          <w:lang w:eastAsia="en-US" w:bidi="ar-SA"/>
          <w14:ligatures w14:val="none"/>
        </w:rPr>
        <w:t xml:space="preserve">(30), 40895–40907. </w:t>
      </w:r>
      <w:hyperlink r:id="rId59" w:history="1">
        <w:r w:rsidRPr="003D65B7">
          <w:rPr>
            <w:rStyle w:val="Hyperlink"/>
            <w:rFonts w:ascii="Arial" w:eastAsia="Times New Roman" w:hAnsi="Arial" w:cs="Times New Roman"/>
            <w:kern w:val="0"/>
            <w:sz w:val="20"/>
            <w:szCs w:val="24"/>
            <w:lang w:eastAsia="en-US" w:bidi="ar-SA"/>
            <w14:ligatures w14:val="none"/>
          </w:rPr>
          <w:t>https://doi.org/10.1007/s11356-021-13570-w</w:t>
        </w:r>
      </w:hyperlink>
      <w:r w:rsidRPr="003D65B7">
        <w:rPr>
          <w:rStyle w:val="Hyperlink"/>
          <w:rFonts w:ascii="Arial" w:eastAsia="Times New Roman" w:hAnsi="Arial" w:cs="Times New Roman"/>
          <w:kern w:val="0"/>
          <w:sz w:val="20"/>
          <w:szCs w:val="24"/>
          <w:lang w:eastAsia="en-US" w:bidi="ar-SA"/>
          <w14:ligatures w14:val="none"/>
        </w:rPr>
        <w:t xml:space="preserve"> </w:t>
      </w:r>
    </w:p>
    <w:p w14:paraId="1FF47E32" w14:textId="77777777" w:rsidR="001C5841" w:rsidRDefault="001C5841" w:rsidP="00CF0DF5">
      <w:pPr>
        <w:autoSpaceDE w:val="0"/>
        <w:autoSpaceDN w:val="0"/>
        <w:adjustRightInd w:val="0"/>
        <w:spacing w:line="240" w:lineRule="auto"/>
        <w:jc w:val="both"/>
      </w:pPr>
      <w:r w:rsidRPr="003D65B7">
        <w:rPr>
          <w:rFonts w:cs="Times New Roman"/>
          <w:szCs w:val="24"/>
        </w:rPr>
        <w:lastRenderedPageBreak/>
        <w:t xml:space="preserve">Yazar, S., </w:t>
      </w:r>
      <w:proofErr w:type="spellStart"/>
      <w:r w:rsidRPr="003D65B7">
        <w:rPr>
          <w:rFonts w:cs="Times New Roman"/>
          <w:szCs w:val="24"/>
        </w:rPr>
        <w:t>Altuntas</w:t>
      </w:r>
      <w:proofErr w:type="spellEnd"/>
      <w:r w:rsidRPr="003D65B7">
        <w:rPr>
          <w:rFonts w:cs="Times New Roman"/>
          <w:szCs w:val="24"/>
        </w:rPr>
        <w:t xml:space="preserve">, F., Sahin, I. and </w:t>
      </w:r>
      <w:proofErr w:type="spellStart"/>
      <w:r w:rsidRPr="003D65B7">
        <w:rPr>
          <w:rFonts w:cs="Times New Roman"/>
          <w:szCs w:val="24"/>
        </w:rPr>
        <w:t>Atambay</w:t>
      </w:r>
      <w:proofErr w:type="spellEnd"/>
      <w:r w:rsidRPr="003D65B7">
        <w:rPr>
          <w:rFonts w:cs="Times New Roman"/>
          <w:szCs w:val="24"/>
        </w:rPr>
        <w:t xml:space="preserve">, M. (2004). Dysentery caused by </w:t>
      </w:r>
      <w:r w:rsidRPr="003D65B7">
        <w:rPr>
          <w:rFonts w:cs="Times New Roman"/>
          <w:i/>
          <w:iCs/>
          <w:szCs w:val="24"/>
        </w:rPr>
        <w:t>Balantidium</w:t>
      </w:r>
      <w:r w:rsidRPr="003D65B7">
        <w:rPr>
          <w:rFonts w:cs="Times New Roman"/>
          <w:szCs w:val="24"/>
        </w:rPr>
        <w:t xml:space="preserve"> coli in a patient with non-Hodgkin's lymphoma from Turkey. World J. </w:t>
      </w:r>
      <w:proofErr w:type="spellStart"/>
      <w:r w:rsidRPr="003D65B7">
        <w:rPr>
          <w:rFonts w:cs="Times New Roman"/>
          <w:szCs w:val="24"/>
        </w:rPr>
        <w:t>Gastroenter</w:t>
      </w:r>
      <w:proofErr w:type="spellEnd"/>
      <w:r w:rsidRPr="003D65B7">
        <w:rPr>
          <w:rFonts w:cs="Times New Roman"/>
          <w:szCs w:val="24"/>
        </w:rPr>
        <w:t xml:space="preserve">. 10(3): 458-459. </w:t>
      </w:r>
      <w:hyperlink r:id="rId60" w:history="1">
        <w:r w:rsidRPr="003D65B7">
          <w:rPr>
            <w:rStyle w:val="Hyperlink"/>
            <w:rFonts w:cs="Times New Roman"/>
            <w:szCs w:val="24"/>
          </w:rPr>
          <w:t>https://doi.org/10.3748/wjg.v10.i3.458</w:t>
        </w:r>
      </w:hyperlink>
    </w:p>
    <w:sectPr w:rsidR="001C5841" w:rsidSect="00A02D9A">
      <w:type w:val="continuous"/>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7018D" w14:textId="77777777" w:rsidR="000D4577" w:rsidRDefault="000D4577" w:rsidP="003A1996">
      <w:pPr>
        <w:spacing w:after="0" w:line="240" w:lineRule="auto"/>
      </w:pPr>
      <w:r>
        <w:separator/>
      </w:r>
    </w:p>
  </w:endnote>
  <w:endnote w:type="continuationSeparator" w:id="0">
    <w:p w14:paraId="5C81F9C2" w14:textId="77777777" w:rsidR="000D4577" w:rsidRDefault="000D4577" w:rsidP="003A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Sitka Heading">
    <w:panose1 w:val="00000000000000000000"/>
    <w:charset w:val="00"/>
    <w:family w:val="auto"/>
    <w:pitch w:val="variable"/>
    <w:sig w:usb0="A00002EF" w:usb1="4000204B" w:usb2="00000000" w:usb3="00000000" w:csb0="0000019F" w:csb1="00000000"/>
  </w:font>
  <w:font w:name="Shonar Bangla">
    <w:charset w:val="00"/>
    <w:family w:val="roman"/>
    <w:pitch w:val="variable"/>
    <w:sig w:usb0="00010003" w:usb1="00000000" w:usb2="00000000" w:usb3="00000000" w:csb0="00000001" w:csb1="00000000"/>
  </w:font>
  <w:font w:name="SutonnyOMJ">
    <w:altName w:val="Mangal"/>
    <w:charset w:val="00"/>
    <w:family w:val="auto"/>
    <w:pitch w:val="variable"/>
    <w:sig w:usb0="80018003" w:usb1="00002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C2A9A" w14:textId="77777777" w:rsidR="00A02D9A" w:rsidRDefault="00A02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18"/>
        <w:szCs w:val="18"/>
      </w:rPr>
      <w:id w:val="-55476719"/>
      <w:docPartObj>
        <w:docPartGallery w:val="Page Numbers (Bottom of Page)"/>
        <w:docPartUnique/>
      </w:docPartObj>
    </w:sdtPr>
    <w:sdtEndPr>
      <w:rPr>
        <w:noProof/>
      </w:rPr>
    </w:sdtEndPr>
    <w:sdtContent>
      <w:p w14:paraId="4C30AABD" w14:textId="77777777" w:rsidR="00FE7D6A" w:rsidRDefault="00FE7D6A">
        <w:pPr>
          <w:pStyle w:val="Footer"/>
          <w:jc w:val="right"/>
          <w:rPr>
            <w:rFonts w:ascii="Palatino Linotype" w:hAnsi="Palatino Linotype"/>
            <w:sz w:val="18"/>
            <w:szCs w:val="18"/>
          </w:rPr>
        </w:pPr>
      </w:p>
      <w:p w14:paraId="0B7008BF" w14:textId="77777777" w:rsidR="00FE7D6A" w:rsidRDefault="00FE7D6A">
        <w:pPr>
          <w:pStyle w:val="Footer"/>
          <w:jc w:val="right"/>
          <w:rPr>
            <w:rFonts w:ascii="Palatino Linotype" w:hAnsi="Palatino Linotype"/>
            <w:sz w:val="18"/>
            <w:szCs w:val="18"/>
          </w:rPr>
        </w:pPr>
      </w:p>
      <w:p w14:paraId="53DBD500" w14:textId="52225DA9" w:rsidR="003A1996" w:rsidRPr="003A1996" w:rsidRDefault="003A1996">
        <w:pPr>
          <w:pStyle w:val="Footer"/>
          <w:jc w:val="right"/>
          <w:rPr>
            <w:rFonts w:ascii="Palatino Linotype" w:hAnsi="Palatino Linotype"/>
            <w:sz w:val="18"/>
            <w:szCs w:val="18"/>
          </w:rPr>
        </w:pPr>
        <w:r>
          <w:rPr>
            <w:rStyle w:val="TitleChar"/>
            <w:rFonts w:ascii="Palatino Linotype" w:eastAsia="Microsoft GothicNeo" w:hAnsi="Palatino Linotype" w:cs="Shonar Bangla"/>
            <w:spacing w:val="0"/>
            <w:kern w:val="2"/>
            <w:sz w:val="18"/>
            <w:szCs w:val="18"/>
            <w:lang w:eastAsia="ko-KR"/>
          </w:rPr>
          <w:t>Page</w:t>
        </w:r>
        <w:r w:rsidRPr="003A1996">
          <w:rPr>
            <w:rFonts w:ascii="Palatino Linotype" w:hAnsi="Palatino Linotype"/>
            <w:sz w:val="18"/>
            <w:szCs w:val="18"/>
          </w:rPr>
          <w:t xml:space="preserve"> </w:t>
        </w:r>
        <w:r w:rsidRPr="003A1996">
          <w:rPr>
            <w:rFonts w:ascii="Palatino Linotype" w:hAnsi="Palatino Linotype"/>
            <w:sz w:val="18"/>
            <w:szCs w:val="18"/>
          </w:rPr>
          <w:fldChar w:fldCharType="begin"/>
        </w:r>
        <w:r w:rsidRPr="003A1996">
          <w:rPr>
            <w:rFonts w:ascii="Palatino Linotype" w:hAnsi="Palatino Linotype"/>
            <w:sz w:val="18"/>
            <w:szCs w:val="18"/>
          </w:rPr>
          <w:instrText xml:space="preserve"> PAGE   \* MERGEFORMAT </w:instrText>
        </w:r>
        <w:r w:rsidRPr="003A1996">
          <w:rPr>
            <w:rFonts w:ascii="Palatino Linotype" w:hAnsi="Palatino Linotype"/>
            <w:sz w:val="18"/>
            <w:szCs w:val="18"/>
          </w:rPr>
          <w:fldChar w:fldCharType="separate"/>
        </w:r>
        <w:r w:rsidRPr="003A1996">
          <w:rPr>
            <w:rFonts w:ascii="Palatino Linotype" w:hAnsi="Palatino Linotype"/>
            <w:noProof/>
            <w:sz w:val="18"/>
            <w:szCs w:val="18"/>
          </w:rPr>
          <w:t>2</w:t>
        </w:r>
        <w:r w:rsidRPr="003A1996">
          <w:rPr>
            <w:rFonts w:ascii="Palatino Linotype" w:hAnsi="Palatino Linotype"/>
            <w:noProof/>
            <w:sz w:val="18"/>
            <w:szCs w:val="18"/>
          </w:rPr>
          <w:fldChar w:fldCharType="end"/>
        </w:r>
      </w:p>
    </w:sdtContent>
  </w:sdt>
  <w:p w14:paraId="32C04865" w14:textId="77777777" w:rsidR="003A1996" w:rsidRDefault="003A1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8A0C" w14:textId="77777777" w:rsidR="00A02D9A" w:rsidRDefault="00A0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99A88" w14:textId="77777777" w:rsidR="000D4577" w:rsidRDefault="000D4577" w:rsidP="003A1996">
      <w:pPr>
        <w:spacing w:after="0" w:line="240" w:lineRule="auto"/>
      </w:pPr>
      <w:r>
        <w:separator/>
      </w:r>
    </w:p>
  </w:footnote>
  <w:footnote w:type="continuationSeparator" w:id="0">
    <w:p w14:paraId="22F7287E" w14:textId="77777777" w:rsidR="000D4577" w:rsidRDefault="000D4577" w:rsidP="003A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1FC9" w14:textId="303F1578" w:rsidR="00A02D9A" w:rsidRDefault="000D4577">
    <w:pPr>
      <w:pStyle w:val="Header"/>
    </w:pPr>
    <w:r>
      <w:rPr>
        <w:noProof/>
      </w:rPr>
      <w:pict w14:anchorId="5056E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379D" w14:textId="623226F7" w:rsidR="00A02D9A" w:rsidRDefault="000D4577">
    <w:pPr>
      <w:pStyle w:val="Header"/>
    </w:pPr>
    <w:r>
      <w:rPr>
        <w:noProof/>
      </w:rPr>
      <w:pict w14:anchorId="4E3F0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274B1" w14:textId="092BDE3B" w:rsidR="00A02D9A" w:rsidRDefault="000D4577">
    <w:pPr>
      <w:pStyle w:val="Header"/>
    </w:pPr>
    <w:r>
      <w:rPr>
        <w:noProof/>
      </w:rPr>
      <w:pict w14:anchorId="4E074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13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710D"/>
    <w:multiLevelType w:val="multilevel"/>
    <w:tmpl w:val="B594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B572D"/>
    <w:multiLevelType w:val="multilevel"/>
    <w:tmpl w:val="4EBE2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B29E0"/>
    <w:multiLevelType w:val="hybridMultilevel"/>
    <w:tmpl w:val="B308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60398"/>
    <w:multiLevelType w:val="hybridMultilevel"/>
    <w:tmpl w:val="9FB09C60"/>
    <w:lvl w:ilvl="0" w:tplc="89364FD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F3FC2"/>
    <w:multiLevelType w:val="hybridMultilevel"/>
    <w:tmpl w:val="A968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57400"/>
    <w:multiLevelType w:val="multilevel"/>
    <w:tmpl w:val="DEB2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D33082"/>
    <w:multiLevelType w:val="multilevel"/>
    <w:tmpl w:val="6094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22"/>
    <w:rsid w:val="00054BD0"/>
    <w:rsid w:val="00057AFC"/>
    <w:rsid w:val="00060650"/>
    <w:rsid w:val="00065DB5"/>
    <w:rsid w:val="000776AE"/>
    <w:rsid w:val="000A2507"/>
    <w:rsid w:val="000A6262"/>
    <w:rsid w:val="000A7D02"/>
    <w:rsid w:val="000C79B7"/>
    <w:rsid w:val="000D0260"/>
    <w:rsid w:val="000D4577"/>
    <w:rsid w:val="000E1EDA"/>
    <w:rsid w:val="000E2055"/>
    <w:rsid w:val="000F0B39"/>
    <w:rsid w:val="000F5247"/>
    <w:rsid w:val="000F704D"/>
    <w:rsid w:val="00100535"/>
    <w:rsid w:val="00113BE0"/>
    <w:rsid w:val="00135564"/>
    <w:rsid w:val="0014254D"/>
    <w:rsid w:val="00162FE4"/>
    <w:rsid w:val="00170291"/>
    <w:rsid w:val="001702C3"/>
    <w:rsid w:val="001A6D3B"/>
    <w:rsid w:val="001C5841"/>
    <w:rsid w:val="001E38CB"/>
    <w:rsid w:val="002056C2"/>
    <w:rsid w:val="00211580"/>
    <w:rsid w:val="00215A92"/>
    <w:rsid w:val="00224CE2"/>
    <w:rsid w:val="00226522"/>
    <w:rsid w:val="00281448"/>
    <w:rsid w:val="00281D35"/>
    <w:rsid w:val="00294ABA"/>
    <w:rsid w:val="00303D1F"/>
    <w:rsid w:val="003061FB"/>
    <w:rsid w:val="00361384"/>
    <w:rsid w:val="00363939"/>
    <w:rsid w:val="00370710"/>
    <w:rsid w:val="003A1996"/>
    <w:rsid w:val="003A1D4A"/>
    <w:rsid w:val="003B025A"/>
    <w:rsid w:val="003B298F"/>
    <w:rsid w:val="003D65B7"/>
    <w:rsid w:val="003F5AAD"/>
    <w:rsid w:val="003F60FD"/>
    <w:rsid w:val="00400B73"/>
    <w:rsid w:val="00404A88"/>
    <w:rsid w:val="00432137"/>
    <w:rsid w:val="0043670F"/>
    <w:rsid w:val="004502A5"/>
    <w:rsid w:val="00455C21"/>
    <w:rsid w:val="00467400"/>
    <w:rsid w:val="00471029"/>
    <w:rsid w:val="0047669C"/>
    <w:rsid w:val="00483C99"/>
    <w:rsid w:val="0049034B"/>
    <w:rsid w:val="005027DF"/>
    <w:rsid w:val="00514B23"/>
    <w:rsid w:val="00526BF8"/>
    <w:rsid w:val="005453B9"/>
    <w:rsid w:val="00551876"/>
    <w:rsid w:val="00553210"/>
    <w:rsid w:val="0055491E"/>
    <w:rsid w:val="00557F24"/>
    <w:rsid w:val="00561BD5"/>
    <w:rsid w:val="00573100"/>
    <w:rsid w:val="005753AC"/>
    <w:rsid w:val="005815D5"/>
    <w:rsid w:val="00582119"/>
    <w:rsid w:val="00587DAC"/>
    <w:rsid w:val="00592801"/>
    <w:rsid w:val="005D6E22"/>
    <w:rsid w:val="0060650D"/>
    <w:rsid w:val="0062550E"/>
    <w:rsid w:val="006321A8"/>
    <w:rsid w:val="00635797"/>
    <w:rsid w:val="00644381"/>
    <w:rsid w:val="0064777A"/>
    <w:rsid w:val="006718A0"/>
    <w:rsid w:val="006918A0"/>
    <w:rsid w:val="0069476F"/>
    <w:rsid w:val="006A6AFF"/>
    <w:rsid w:val="006B2D23"/>
    <w:rsid w:val="006B4FC1"/>
    <w:rsid w:val="006C6F92"/>
    <w:rsid w:val="006D7296"/>
    <w:rsid w:val="006E3A91"/>
    <w:rsid w:val="006F55FF"/>
    <w:rsid w:val="006F6767"/>
    <w:rsid w:val="0073686C"/>
    <w:rsid w:val="0074361C"/>
    <w:rsid w:val="00743B57"/>
    <w:rsid w:val="00786828"/>
    <w:rsid w:val="00786EDD"/>
    <w:rsid w:val="007915A0"/>
    <w:rsid w:val="007B73F2"/>
    <w:rsid w:val="007C3A29"/>
    <w:rsid w:val="007C46CA"/>
    <w:rsid w:val="007E32B7"/>
    <w:rsid w:val="007F1B73"/>
    <w:rsid w:val="007F779B"/>
    <w:rsid w:val="00800A04"/>
    <w:rsid w:val="008015EE"/>
    <w:rsid w:val="00802D66"/>
    <w:rsid w:val="00811C05"/>
    <w:rsid w:val="0081477A"/>
    <w:rsid w:val="00840D09"/>
    <w:rsid w:val="00874812"/>
    <w:rsid w:val="00874E56"/>
    <w:rsid w:val="0088066F"/>
    <w:rsid w:val="008A6BAC"/>
    <w:rsid w:val="008D41FA"/>
    <w:rsid w:val="008D7A74"/>
    <w:rsid w:val="009024F5"/>
    <w:rsid w:val="009258C8"/>
    <w:rsid w:val="00937E04"/>
    <w:rsid w:val="0094322C"/>
    <w:rsid w:val="00951494"/>
    <w:rsid w:val="00984368"/>
    <w:rsid w:val="009D76C6"/>
    <w:rsid w:val="009E48FD"/>
    <w:rsid w:val="009F23C0"/>
    <w:rsid w:val="00A02D9A"/>
    <w:rsid w:val="00A06B1C"/>
    <w:rsid w:val="00A152FF"/>
    <w:rsid w:val="00A33E99"/>
    <w:rsid w:val="00A34280"/>
    <w:rsid w:val="00A43E53"/>
    <w:rsid w:val="00A5279B"/>
    <w:rsid w:val="00A5670E"/>
    <w:rsid w:val="00A95ECB"/>
    <w:rsid w:val="00A9780B"/>
    <w:rsid w:val="00AA4C74"/>
    <w:rsid w:val="00AA7136"/>
    <w:rsid w:val="00AD282F"/>
    <w:rsid w:val="00AD76B7"/>
    <w:rsid w:val="00B01BEE"/>
    <w:rsid w:val="00B07348"/>
    <w:rsid w:val="00B14ACE"/>
    <w:rsid w:val="00B7329F"/>
    <w:rsid w:val="00B87D29"/>
    <w:rsid w:val="00B95437"/>
    <w:rsid w:val="00BA4640"/>
    <w:rsid w:val="00BB11D8"/>
    <w:rsid w:val="00BE2A49"/>
    <w:rsid w:val="00BF02CA"/>
    <w:rsid w:val="00BF7212"/>
    <w:rsid w:val="00C2275B"/>
    <w:rsid w:val="00C31B00"/>
    <w:rsid w:val="00C5307A"/>
    <w:rsid w:val="00C62086"/>
    <w:rsid w:val="00C77930"/>
    <w:rsid w:val="00C86B6A"/>
    <w:rsid w:val="00CA2CF8"/>
    <w:rsid w:val="00CA5A32"/>
    <w:rsid w:val="00CA6D5C"/>
    <w:rsid w:val="00CB1EBF"/>
    <w:rsid w:val="00CE6094"/>
    <w:rsid w:val="00CE7CE3"/>
    <w:rsid w:val="00CF0DF5"/>
    <w:rsid w:val="00D06D4B"/>
    <w:rsid w:val="00D12C2B"/>
    <w:rsid w:val="00D40663"/>
    <w:rsid w:val="00D40727"/>
    <w:rsid w:val="00D50A08"/>
    <w:rsid w:val="00D613F8"/>
    <w:rsid w:val="00D71D30"/>
    <w:rsid w:val="00D732B5"/>
    <w:rsid w:val="00D75F5C"/>
    <w:rsid w:val="00D87C38"/>
    <w:rsid w:val="00D95CC7"/>
    <w:rsid w:val="00DA4F20"/>
    <w:rsid w:val="00DA5023"/>
    <w:rsid w:val="00DB1694"/>
    <w:rsid w:val="00DB3248"/>
    <w:rsid w:val="00DE3AD7"/>
    <w:rsid w:val="00DF7567"/>
    <w:rsid w:val="00E03FC3"/>
    <w:rsid w:val="00E06A3B"/>
    <w:rsid w:val="00E34BA3"/>
    <w:rsid w:val="00E4299A"/>
    <w:rsid w:val="00E85307"/>
    <w:rsid w:val="00E85B78"/>
    <w:rsid w:val="00EA05FC"/>
    <w:rsid w:val="00EA0874"/>
    <w:rsid w:val="00EA0DD3"/>
    <w:rsid w:val="00EE1646"/>
    <w:rsid w:val="00EF5867"/>
    <w:rsid w:val="00F01CD9"/>
    <w:rsid w:val="00F05591"/>
    <w:rsid w:val="00F12740"/>
    <w:rsid w:val="00F36963"/>
    <w:rsid w:val="00F45092"/>
    <w:rsid w:val="00F5184D"/>
    <w:rsid w:val="00F52A58"/>
    <w:rsid w:val="00F602B4"/>
    <w:rsid w:val="00F70BC1"/>
    <w:rsid w:val="00FB0204"/>
    <w:rsid w:val="00FD0AE5"/>
    <w:rsid w:val="00FD5CD0"/>
    <w:rsid w:val="00FE0AD6"/>
    <w:rsid w:val="00FE7D6A"/>
    <w:rsid w:val="00FF05B5"/>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FFD739"/>
  <w15:chartTrackingRefBased/>
  <w15:docId w15:val="{2963017D-17D7-4CE8-B59C-F23E2BF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8"/>
        <w:lang w:val="en-US" w:eastAsia="ja-JP" w:bidi="bn-BD"/>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5D6E2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D6E2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D6E2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D6E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6E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6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E2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D6E2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D6E2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D6E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6E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6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E22"/>
    <w:rPr>
      <w:rFonts w:eastAsiaTheme="majorEastAsia" w:cstheme="majorBidi"/>
      <w:color w:val="272727" w:themeColor="text1" w:themeTint="D8"/>
    </w:rPr>
  </w:style>
  <w:style w:type="paragraph" w:styleId="Title">
    <w:name w:val="Title"/>
    <w:basedOn w:val="Normal"/>
    <w:next w:val="Normal"/>
    <w:link w:val="TitleChar"/>
    <w:uiPriority w:val="10"/>
    <w:qFormat/>
    <w:rsid w:val="005D6E2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D6E2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D6E2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D6E2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D6E22"/>
    <w:pPr>
      <w:spacing w:before="160"/>
      <w:jc w:val="center"/>
    </w:pPr>
    <w:rPr>
      <w:i/>
      <w:iCs/>
      <w:color w:val="404040" w:themeColor="text1" w:themeTint="BF"/>
    </w:rPr>
  </w:style>
  <w:style w:type="character" w:customStyle="1" w:styleId="QuoteChar">
    <w:name w:val="Quote Char"/>
    <w:basedOn w:val="DefaultParagraphFont"/>
    <w:link w:val="Quote"/>
    <w:uiPriority w:val="29"/>
    <w:rsid w:val="005D6E22"/>
    <w:rPr>
      <w:rFonts w:cs="Vrinda"/>
      <w:i/>
      <w:iCs/>
      <w:color w:val="404040" w:themeColor="text1" w:themeTint="BF"/>
    </w:rPr>
  </w:style>
  <w:style w:type="paragraph" w:styleId="ListParagraph">
    <w:name w:val="List Paragraph"/>
    <w:basedOn w:val="Normal"/>
    <w:uiPriority w:val="34"/>
    <w:qFormat/>
    <w:rsid w:val="005D6E22"/>
    <w:pPr>
      <w:ind w:left="720"/>
      <w:contextualSpacing/>
    </w:pPr>
  </w:style>
  <w:style w:type="character" w:styleId="IntenseEmphasis">
    <w:name w:val="Intense Emphasis"/>
    <w:basedOn w:val="DefaultParagraphFont"/>
    <w:uiPriority w:val="21"/>
    <w:qFormat/>
    <w:rsid w:val="005D6E22"/>
    <w:rPr>
      <w:i/>
      <w:iCs/>
      <w:color w:val="2F5496" w:themeColor="accent1" w:themeShade="BF"/>
    </w:rPr>
  </w:style>
  <w:style w:type="paragraph" w:styleId="IntenseQuote">
    <w:name w:val="Intense Quote"/>
    <w:basedOn w:val="Normal"/>
    <w:next w:val="Normal"/>
    <w:link w:val="IntenseQuoteChar"/>
    <w:uiPriority w:val="30"/>
    <w:qFormat/>
    <w:rsid w:val="005D6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6E22"/>
    <w:rPr>
      <w:rFonts w:cs="Vrinda"/>
      <w:i/>
      <w:iCs/>
      <w:color w:val="2F5496" w:themeColor="accent1" w:themeShade="BF"/>
    </w:rPr>
  </w:style>
  <w:style w:type="character" w:styleId="IntenseReference">
    <w:name w:val="Intense Reference"/>
    <w:basedOn w:val="DefaultParagraphFont"/>
    <w:uiPriority w:val="32"/>
    <w:qFormat/>
    <w:rsid w:val="005D6E22"/>
    <w:rPr>
      <w:b/>
      <w:bCs/>
      <w:smallCaps/>
      <w:color w:val="2F5496" w:themeColor="accent1" w:themeShade="BF"/>
      <w:spacing w:val="5"/>
    </w:rPr>
  </w:style>
  <w:style w:type="paragraph" w:styleId="NormalWeb">
    <w:name w:val="Normal (Web)"/>
    <w:basedOn w:val="Normal"/>
    <w:uiPriority w:val="99"/>
    <w:unhideWhenUsed/>
    <w:rsid w:val="00FE0AD6"/>
    <w:rPr>
      <w:rFonts w:ascii="Times New Roman" w:hAnsi="Times New Roman" w:cs="Times New Roman"/>
      <w:sz w:val="24"/>
      <w:szCs w:val="30"/>
    </w:rPr>
  </w:style>
  <w:style w:type="paragraph" w:customStyle="1" w:styleId="Text">
    <w:name w:val="Text"/>
    <w:basedOn w:val="Normal"/>
    <w:link w:val="TextChar"/>
    <w:qFormat/>
    <w:rsid w:val="00361384"/>
    <w:pPr>
      <w:snapToGrid w:val="0"/>
      <w:spacing w:after="0" w:line="240" w:lineRule="auto"/>
      <w:jc w:val="both"/>
    </w:pPr>
    <w:rPr>
      <w:rFonts w:ascii="Palatino Linotype" w:hAnsi="Palatino Linotype" w:cs="Times New Roman"/>
      <w:snapToGrid w:val="0"/>
      <w:color w:val="000000"/>
      <w:kern w:val="0"/>
      <w:sz w:val="18"/>
      <w:szCs w:val="20"/>
      <w:lang w:eastAsia="ko-KR" w:bidi="en-US"/>
      <w14:ligatures w14:val="none"/>
    </w:rPr>
  </w:style>
  <w:style w:type="character" w:customStyle="1" w:styleId="TextChar">
    <w:name w:val="Text Char"/>
    <w:basedOn w:val="DefaultParagraphFont"/>
    <w:link w:val="Text"/>
    <w:rsid w:val="00361384"/>
    <w:rPr>
      <w:rFonts w:ascii="Palatino Linotype" w:hAnsi="Palatino Linotype" w:cs="Times New Roman"/>
      <w:snapToGrid w:val="0"/>
      <w:color w:val="000000"/>
      <w:kern w:val="0"/>
      <w:sz w:val="18"/>
      <w:szCs w:val="20"/>
      <w:lang w:eastAsia="ko-KR" w:bidi="en-US"/>
      <w14:ligatures w14:val="none"/>
    </w:rPr>
  </w:style>
  <w:style w:type="paragraph" w:customStyle="1" w:styleId="Heading20">
    <w:name w:val="Heading2"/>
    <w:basedOn w:val="Normal"/>
    <w:link w:val="Heading2Char0"/>
    <w:qFormat/>
    <w:rsid w:val="007C46CA"/>
    <w:pPr>
      <w:widowControl w:val="0"/>
      <w:wordWrap w:val="0"/>
      <w:autoSpaceDE w:val="0"/>
      <w:autoSpaceDN w:val="0"/>
      <w:spacing w:after="0" w:line="240" w:lineRule="auto"/>
      <w:jc w:val="both"/>
    </w:pPr>
    <w:rPr>
      <w:rFonts w:ascii="Arial" w:eastAsia="Microsoft GothicNeo" w:hAnsi="Arial" w:cstheme="minorBidi"/>
      <w:b/>
      <w:bCs/>
      <w:szCs w:val="22"/>
      <w:lang w:eastAsia="ko-KR" w:bidi="ar-SA"/>
      <w14:ligatures w14:val="none"/>
    </w:rPr>
  </w:style>
  <w:style w:type="character" w:customStyle="1" w:styleId="Heading2Char0">
    <w:name w:val="Heading2 Char"/>
    <w:basedOn w:val="DefaultParagraphFont"/>
    <w:link w:val="Heading20"/>
    <w:rsid w:val="007C46CA"/>
    <w:rPr>
      <w:rFonts w:ascii="Arial" w:eastAsia="Microsoft GothicNeo" w:hAnsi="Arial"/>
      <w:b/>
      <w:bCs/>
      <w:szCs w:val="22"/>
      <w:lang w:eastAsia="ko-KR" w:bidi="ar-SA"/>
      <w14:ligatures w14:val="none"/>
    </w:rPr>
  </w:style>
  <w:style w:type="paragraph" w:styleId="NoSpacing">
    <w:name w:val="No Spacing"/>
    <w:uiPriority w:val="1"/>
    <w:qFormat/>
    <w:rsid w:val="007915A0"/>
    <w:pPr>
      <w:spacing w:after="0" w:line="240" w:lineRule="auto"/>
    </w:pPr>
    <w:rPr>
      <w:kern w:val="0"/>
      <w:szCs w:val="22"/>
      <w:lang w:eastAsia="en-US" w:bidi="ar-SA"/>
      <w14:ligatures w14:val="none"/>
    </w:rPr>
  </w:style>
  <w:style w:type="character" w:customStyle="1" w:styleId="TypeofthepaperChar">
    <w:name w:val="Type of the paper Char"/>
    <w:basedOn w:val="DefaultParagraphFont"/>
    <w:link w:val="Typeofthepaper"/>
    <w:rsid w:val="007915A0"/>
    <w:rPr>
      <w:rFonts w:ascii="Sitka Heading" w:eastAsia="Microsoft GothicNeo" w:hAnsi="Sitka Heading" w:cs="Shonar Bangla"/>
      <w:i/>
      <w:iCs/>
    </w:rPr>
  </w:style>
  <w:style w:type="paragraph" w:customStyle="1" w:styleId="Typeofthepaper">
    <w:name w:val="Type of the paper"/>
    <w:basedOn w:val="Normal"/>
    <w:link w:val="TypeofthepaperChar"/>
    <w:qFormat/>
    <w:rsid w:val="007915A0"/>
    <w:pPr>
      <w:widowControl w:val="0"/>
      <w:wordWrap w:val="0"/>
      <w:autoSpaceDE w:val="0"/>
      <w:autoSpaceDN w:val="0"/>
      <w:jc w:val="both"/>
    </w:pPr>
    <w:rPr>
      <w:rFonts w:ascii="Sitka Heading" w:eastAsia="Microsoft GothicNeo" w:hAnsi="Sitka Heading" w:cs="Shonar Bangla"/>
      <w:i/>
      <w:iCs/>
    </w:rPr>
  </w:style>
  <w:style w:type="paragraph" w:customStyle="1" w:styleId="MainTitle">
    <w:name w:val="Main Title"/>
    <w:basedOn w:val="Normal"/>
    <w:link w:val="MainTitleChar"/>
    <w:qFormat/>
    <w:rsid w:val="007915A0"/>
    <w:pPr>
      <w:widowControl w:val="0"/>
      <w:wordWrap w:val="0"/>
      <w:autoSpaceDE w:val="0"/>
      <w:autoSpaceDN w:val="0"/>
      <w:jc w:val="both"/>
    </w:pPr>
    <w:rPr>
      <w:rFonts w:eastAsia="Microsoft GothicNeo" w:cstheme="minorBidi"/>
      <w:sz w:val="20"/>
      <w:szCs w:val="22"/>
      <w:lang w:eastAsia="ko-KR" w:bidi="ar-SA"/>
      <w14:ligatures w14:val="none"/>
    </w:rPr>
  </w:style>
  <w:style w:type="character" w:customStyle="1" w:styleId="MainTitleChar">
    <w:name w:val="Main Title Char"/>
    <w:basedOn w:val="DefaultParagraphFont"/>
    <w:link w:val="MainTitle"/>
    <w:rsid w:val="007915A0"/>
    <w:rPr>
      <w:rFonts w:eastAsia="Microsoft GothicNeo"/>
      <w:sz w:val="20"/>
      <w:szCs w:val="22"/>
      <w:lang w:eastAsia="ko-KR" w:bidi="ar-SA"/>
      <w14:ligatures w14:val="none"/>
    </w:rPr>
  </w:style>
  <w:style w:type="paragraph" w:customStyle="1" w:styleId="1">
    <w:name w:val="제목1"/>
    <w:basedOn w:val="Normal"/>
    <w:rsid w:val="007915A0"/>
    <w:pPr>
      <w:widowControl w:val="0"/>
      <w:wordWrap w:val="0"/>
      <w:autoSpaceDE w:val="0"/>
      <w:autoSpaceDN w:val="0"/>
      <w:jc w:val="both"/>
    </w:pPr>
    <w:rPr>
      <w:rFonts w:ascii="Sitka Heading" w:eastAsia="Microsoft GothicNeo" w:hAnsi="Sitka Heading" w:cs="Shonar Bangla"/>
      <w:b/>
      <w:bCs/>
      <w:sz w:val="32"/>
      <w:szCs w:val="36"/>
      <w:lang w:eastAsia="ko-KR" w:bidi="ar-SA"/>
      <w14:ligatures w14:val="none"/>
    </w:rPr>
  </w:style>
  <w:style w:type="character" w:customStyle="1" w:styleId="AuthorsChar">
    <w:name w:val="Authors Char"/>
    <w:basedOn w:val="DefaultParagraphFont"/>
    <w:link w:val="Authors"/>
    <w:rsid w:val="007915A0"/>
    <w:rPr>
      <w:rFonts w:ascii="Palatino Linotype" w:eastAsia="Microsoft GothicNeo" w:hAnsi="Palatino Linotype" w:cs="Shonar Bangla"/>
      <w:b/>
      <w:bCs/>
      <w:sz w:val="18"/>
      <w:szCs w:val="18"/>
    </w:rPr>
  </w:style>
  <w:style w:type="paragraph" w:customStyle="1" w:styleId="Authors">
    <w:name w:val="Authors"/>
    <w:basedOn w:val="Normal"/>
    <w:link w:val="AuthorsChar"/>
    <w:qFormat/>
    <w:rsid w:val="007915A0"/>
    <w:pPr>
      <w:widowControl w:val="0"/>
      <w:wordWrap w:val="0"/>
      <w:autoSpaceDE w:val="0"/>
      <w:autoSpaceDN w:val="0"/>
      <w:spacing w:after="0" w:line="240" w:lineRule="auto"/>
      <w:jc w:val="both"/>
    </w:pPr>
    <w:rPr>
      <w:rFonts w:ascii="Palatino Linotype" w:eastAsia="Microsoft GothicNeo" w:hAnsi="Palatino Linotype" w:cs="Shonar Bangla"/>
      <w:b/>
      <w:bCs/>
      <w:sz w:val="18"/>
      <w:szCs w:val="18"/>
    </w:rPr>
  </w:style>
  <w:style w:type="character" w:customStyle="1" w:styleId="AffiliationChar">
    <w:name w:val="Affiliation Char"/>
    <w:basedOn w:val="DefaultParagraphFont"/>
    <w:link w:val="Affiliation"/>
    <w:rsid w:val="007915A0"/>
    <w:rPr>
      <w:rFonts w:ascii="Palatino Linotype" w:eastAsia="Microsoft GothicNeo" w:hAnsi="Palatino Linotype" w:cs="Shonar Bangla"/>
      <w:sz w:val="18"/>
      <w:szCs w:val="18"/>
    </w:rPr>
  </w:style>
  <w:style w:type="paragraph" w:customStyle="1" w:styleId="Affiliation">
    <w:name w:val="Affiliation"/>
    <w:basedOn w:val="Normal"/>
    <w:link w:val="AffiliationChar"/>
    <w:qFormat/>
    <w:rsid w:val="007915A0"/>
    <w:pPr>
      <w:widowControl w:val="0"/>
      <w:wordWrap w:val="0"/>
      <w:autoSpaceDE w:val="0"/>
      <w:autoSpaceDN w:val="0"/>
      <w:spacing w:after="0" w:line="240" w:lineRule="auto"/>
      <w:jc w:val="both"/>
    </w:pPr>
    <w:rPr>
      <w:rFonts w:ascii="Palatino Linotype" w:eastAsia="Microsoft GothicNeo" w:hAnsi="Palatino Linotype" w:cs="Shonar Bangla"/>
      <w:sz w:val="18"/>
      <w:szCs w:val="18"/>
    </w:rPr>
  </w:style>
  <w:style w:type="paragraph" w:customStyle="1" w:styleId="Heading10">
    <w:name w:val="Heading1"/>
    <w:basedOn w:val="Normal"/>
    <w:link w:val="Heading1Char0"/>
    <w:qFormat/>
    <w:rsid w:val="00840D09"/>
    <w:pPr>
      <w:widowControl w:val="0"/>
      <w:wordWrap w:val="0"/>
      <w:autoSpaceDE w:val="0"/>
      <w:autoSpaceDN w:val="0"/>
      <w:spacing w:after="0" w:line="240" w:lineRule="auto"/>
      <w:jc w:val="both"/>
    </w:pPr>
    <w:rPr>
      <w:rFonts w:ascii="Arial" w:eastAsia="Microsoft GothicNeo" w:hAnsi="Arial" w:cs="Shonar Bangla"/>
      <w:b/>
      <w:bCs/>
      <w:caps/>
      <w:szCs w:val="24"/>
      <w:lang w:eastAsia="ko-KR" w:bidi="ar-SA"/>
      <w14:ligatures w14:val="none"/>
    </w:rPr>
  </w:style>
  <w:style w:type="character" w:customStyle="1" w:styleId="Heading1Char0">
    <w:name w:val="Heading1 Char"/>
    <w:basedOn w:val="DefaultParagraphFont"/>
    <w:link w:val="Heading10"/>
    <w:rsid w:val="00840D09"/>
    <w:rPr>
      <w:rFonts w:ascii="Arial" w:eastAsia="Microsoft GothicNeo" w:hAnsi="Arial" w:cs="Shonar Bangla"/>
      <w:b/>
      <w:bCs/>
      <w:caps/>
      <w:szCs w:val="24"/>
      <w:lang w:eastAsia="ko-KR" w:bidi="ar-SA"/>
      <w14:ligatures w14:val="none"/>
    </w:rPr>
  </w:style>
  <w:style w:type="table" w:customStyle="1" w:styleId="TableGridLight1">
    <w:name w:val="Table Grid Light1"/>
    <w:basedOn w:val="TableNormal"/>
    <w:next w:val="TableNormal"/>
    <w:uiPriority w:val="40"/>
    <w:rsid w:val="006B2D23"/>
    <w:pPr>
      <w:spacing w:after="0" w:line="240" w:lineRule="auto"/>
    </w:pPr>
    <w:rPr>
      <w:rFonts w:ascii="Times New Roman" w:eastAsiaTheme="minorHAnsi" w:hAnsi="Times New Roman" w:cs="SutonnyOMJ"/>
      <w:kern w:val="0"/>
      <w:sz w:val="24"/>
      <w:szCs w:val="22"/>
      <w:lang w:eastAsia="en-US" w:bidi="ar-S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ormalGrid">
    <w:name w:val="Normal Grid"/>
    <w:basedOn w:val="TableNormal"/>
    <w:uiPriority w:val="39"/>
    <w:rsid w:val="006B2D23"/>
    <w:pPr>
      <w:spacing w:after="0" w:line="240" w:lineRule="auto"/>
    </w:pPr>
    <w:rPr>
      <w:rFonts w:ascii="Georgia" w:eastAsiaTheme="minorHAnsi"/>
      <w:kern w:val="0"/>
      <w:sz w:val="21"/>
      <w:szCs w:val="22"/>
      <w:lang w:eastAsia="en-US" w:bidi="ar-SA"/>
      <w14:ligatures w14:val="none"/>
    </w:rPr>
    <w:tblPr>
      <w:tblCellMar>
        <w:top w:w="80" w:type="dxa"/>
        <w:left w:w="160" w:type="dxa"/>
        <w:bottom w:w="80" w:type="dxa"/>
        <w:right w:w="160" w:type="dxa"/>
      </w:tblCellMar>
    </w:tblPr>
  </w:style>
  <w:style w:type="character" w:styleId="Hyperlink">
    <w:name w:val="Hyperlink"/>
    <w:basedOn w:val="DefaultParagraphFont"/>
    <w:uiPriority w:val="99"/>
    <w:unhideWhenUsed/>
    <w:rsid w:val="00EA05FC"/>
    <w:rPr>
      <w:color w:val="0563C1" w:themeColor="hyperlink"/>
      <w:u w:val="single"/>
    </w:rPr>
  </w:style>
  <w:style w:type="character" w:styleId="Emphasis">
    <w:name w:val="Emphasis"/>
    <w:basedOn w:val="DefaultParagraphFont"/>
    <w:uiPriority w:val="20"/>
    <w:qFormat/>
    <w:rsid w:val="00EA05FC"/>
    <w:rPr>
      <w:i/>
      <w:iCs/>
    </w:rPr>
  </w:style>
  <w:style w:type="paragraph" w:customStyle="1" w:styleId="MDPI61Supplementary">
    <w:name w:val="MDPI_6.1_Supplementary"/>
    <w:basedOn w:val="Normal"/>
    <w:rsid w:val="00EA05FC"/>
    <w:pPr>
      <w:snapToGrid w:val="0"/>
      <w:spacing w:before="240" w:after="0" w:line="200" w:lineRule="atLeast"/>
      <w:jc w:val="both"/>
    </w:pPr>
    <w:rPr>
      <w:rFonts w:ascii="Palatino Linotype" w:eastAsia="Times New Roman" w:hAnsi="Palatino Linotype" w:cs="Times New Roman"/>
      <w:snapToGrid w:val="0"/>
      <w:color w:val="000000"/>
      <w:kern w:val="0"/>
      <w:sz w:val="18"/>
      <w:szCs w:val="20"/>
      <w:lang w:eastAsia="en-US" w:bidi="en-US"/>
      <w14:ligatures w14:val="none"/>
    </w:rPr>
  </w:style>
  <w:style w:type="character" w:styleId="UnresolvedMention">
    <w:name w:val="Unresolved Mention"/>
    <w:basedOn w:val="DefaultParagraphFont"/>
    <w:uiPriority w:val="99"/>
    <w:semiHidden/>
    <w:unhideWhenUsed/>
    <w:rsid w:val="00226522"/>
    <w:rPr>
      <w:color w:val="605E5C"/>
      <w:shd w:val="clear" w:color="auto" w:fill="E1DFDD"/>
    </w:rPr>
  </w:style>
  <w:style w:type="character" w:styleId="LineNumber">
    <w:name w:val="line number"/>
    <w:basedOn w:val="DefaultParagraphFont"/>
    <w:uiPriority w:val="99"/>
    <w:semiHidden/>
    <w:unhideWhenUsed/>
    <w:rsid w:val="00FD5CD0"/>
  </w:style>
  <w:style w:type="paragraph" w:styleId="Header">
    <w:name w:val="header"/>
    <w:basedOn w:val="Normal"/>
    <w:link w:val="HeaderChar"/>
    <w:uiPriority w:val="99"/>
    <w:unhideWhenUsed/>
    <w:rsid w:val="003A1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996"/>
    <w:rPr>
      <w:rFonts w:cs="Vrinda"/>
    </w:rPr>
  </w:style>
  <w:style w:type="paragraph" w:styleId="Footer">
    <w:name w:val="footer"/>
    <w:basedOn w:val="Normal"/>
    <w:link w:val="FooterChar"/>
    <w:uiPriority w:val="99"/>
    <w:unhideWhenUsed/>
    <w:rsid w:val="003A1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996"/>
    <w:rPr>
      <w:rFonts w:cs="Vrinda"/>
    </w:rPr>
  </w:style>
  <w:style w:type="character" w:styleId="FollowedHyperlink">
    <w:name w:val="FollowedHyperlink"/>
    <w:basedOn w:val="DefaultParagraphFont"/>
    <w:uiPriority w:val="99"/>
    <w:semiHidden/>
    <w:unhideWhenUsed/>
    <w:rsid w:val="009024F5"/>
    <w:rPr>
      <w:color w:val="954F72" w:themeColor="followedHyperlink"/>
      <w:u w:val="single"/>
    </w:rPr>
  </w:style>
  <w:style w:type="table" w:styleId="TableGrid">
    <w:name w:val="Table Grid"/>
    <w:basedOn w:val="TableNormal"/>
    <w:uiPriority w:val="39"/>
    <w:rsid w:val="00EA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100535"/>
    <w:pPr>
      <w:keepNext/>
      <w:spacing w:after="240" w:line="240" w:lineRule="auto"/>
    </w:pPr>
    <w:rPr>
      <w:rFonts w:ascii="Helvetica" w:eastAsia="Times New Roman" w:hAnsi="Helvetica" w:cs="Times New Roman"/>
      <w:b/>
      <w:caps/>
      <w:kern w:val="0"/>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opus.govst.edu/capstones/348" TargetMode="External"/><Relationship Id="rId26" Type="http://schemas.openxmlformats.org/officeDocument/2006/relationships/hyperlink" Target="https://doi.org/10.15835/buasvmcn-asb:12156" TargetMode="External"/><Relationship Id="rId39" Type="http://schemas.openxmlformats.org/officeDocument/2006/relationships/hyperlink" Target="https://doi.org/10.9734/ijpr/2019/v2i230066" TargetMode="External"/><Relationship Id="rId21" Type="http://schemas.openxmlformats.org/officeDocument/2006/relationships/hyperlink" Target="https://www.thebeefsite.com/articles/1223/what-if-cows-dont-drink-enough-water-part-2/" TargetMode="External"/><Relationship Id="rId34" Type="http://schemas.openxmlformats.org/officeDocument/2006/relationships/hyperlink" Target="https://www.actascientific.com/ASNH/pdf/ASNH-05-0896.pdf" TargetMode="External"/><Relationship Id="rId42" Type="http://schemas.openxmlformats.org/officeDocument/2006/relationships/hyperlink" Target="https://doi.org/10.1071/AR04086%20" TargetMode="External"/><Relationship Id="rId47" Type="http://schemas.openxmlformats.org/officeDocument/2006/relationships/hyperlink" Target="https://doi.org/10.2460/ajvr.1995.56.11.1470" TargetMode="External"/><Relationship Id="rId50" Type="http://schemas.openxmlformats.org/officeDocument/2006/relationships/hyperlink" Target="https://gjms.com.pk/index.php/journal/article/view/194" TargetMode="External"/><Relationship Id="rId55" Type="http://schemas.openxmlformats.org/officeDocument/2006/relationships/hyperlink" Target="https://extension.psu.edu/interpreting-drinking-water-tests-for-dairy-cow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07/s11356-012-0761-7" TargetMode="External"/><Relationship Id="rId29" Type="http://schemas.openxmlformats.org/officeDocument/2006/relationships/hyperlink" Target="https://doi.org/10.24925/turjaf.v6i9.1108-1113.1788" TargetMode="External"/><Relationship Id="rId11" Type="http://schemas.openxmlformats.org/officeDocument/2006/relationships/footer" Target="footer2.xml"/><Relationship Id="rId24" Type="http://schemas.openxmlformats.org/officeDocument/2006/relationships/hyperlink" Target="https://rasayanjournal.co.in/vol-6/issue-3/14_Vol.6(3),%20245-257,%202013,RJC-1069.pdf" TargetMode="External"/><Relationship Id="rId32" Type="http://schemas.openxmlformats.org/officeDocument/2006/relationships/hyperlink" Target="https://www.dlib.si/details/URN:NBN:SI:doc-KQI0ONKA" TargetMode="External"/><Relationship Id="rId37" Type="http://schemas.openxmlformats.org/officeDocument/2006/relationships/hyperlink" Target="https://doi.org/10.3329/bvet.v41i1.78673" TargetMode="External"/><Relationship Id="rId40" Type="http://schemas.openxmlformats.org/officeDocument/2006/relationships/hyperlink" Target="https://doi.org/https://doi.org/10.1155/ijm/5654730" TargetMode="External"/><Relationship Id="rId45" Type="http://schemas.openxmlformats.org/officeDocument/2006/relationships/hyperlink" Target="https://www.jircas.go.jp/sites/default/files/publication/jarq/jarq55-5_533-541.pdf" TargetMode="External"/><Relationship Id="rId53" Type="http://schemas.openxmlformats.org/officeDocument/2006/relationships/hyperlink" Target="https://doi.org/10.3389/fmolb.2025.1628725" TargetMode="External"/><Relationship Id="rId58" Type="http://schemas.openxmlformats.org/officeDocument/2006/relationships/hyperlink" Target="https://www.who.int/publications/i/item/9789241549950"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epa.gov/sites/default/files/2015-10/documents/giardia-report.pdf" TargetMode="External"/><Relationship Id="rId14" Type="http://schemas.openxmlformats.org/officeDocument/2006/relationships/image" Target="media/image2.png"/><Relationship Id="rId22" Type="http://schemas.openxmlformats.org/officeDocument/2006/relationships/hyperlink" Target="https://law.resource.org/pub/in/bis/S06/is.10500.2012.pdf" TargetMode="External"/><Relationship Id="rId27" Type="http://schemas.openxmlformats.org/officeDocument/2006/relationships/hyperlink" Target="https://www.jstage.jst.go.jp/article/jgeography/132/2/132_132.107/_pdf/-char/ja" TargetMode="External"/><Relationship Id="rId30" Type="http://schemas.openxmlformats.org/officeDocument/2006/relationships/hyperlink" Target="https://doi.org/10.1038/s41579-025-01213-7" TargetMode="External"/><Relationship Id="rId35" Type="http://schemas.openxmlformats.org/officeDocument/2006/relationships/hyperlink" Target="https://doi.org/10.2166/wpt.2024.030" TargetMode="External"/><Relationship Id="rId43" Type="http://schemas.openxmlformats.org/officeDocument/2006/relationships/hyperlink" Target="https://doi.org/10.1080/17518253.2024.2317824" TargetMode="External"/><Relationship Id="rId48" Type="http://schemas.openxmlformats.org/officeDocument/2006/relationships/hyperlink" Target="https://doi.org/10.4314/cajost.v6i3.8" TargetMode="External"/><Relationship Id="rId56" Type="http://schemas.openxmlformats.org/officeDocument/2006/relationships/hyperlink" Target="https://doi.org/10.1080/23311932.2024.2306726" TargetMode="External"/><Relationship Id="rId8" Type="http://schemas.openxmlformats.org/officeDocument/2006/relationships/header" Target="header1.xml"/><Relationship Id="rId51" Type="http://schemas.openxmlformats.org/officeDocument/2006/relationships/hyperlink" Target="https://openprairie.sdstate.edu/sd_beefreport_2004/10"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doi.org/10.1007/s12517-015-1980-3" TargetMode="External"/><Relationship Id="rId25" Type="http://schemas.openxmlformats.org/officeDocument/2006/relationships/hyperlink" Target="https://msipublishers.com/wp-content/uploads/2025/05/MSIJMR682025-GS.pdf" TargetMode="External"/><Relationship Id="rId33" Type="http://schemas.openxmlformats.org/officeDocument/2006/relationships/hyperlink" Target="https://www.proquest.com/docview/1824176311" TargetMode="External"/><Relationship Id="rId38" Type="http://schemas.openxmlformats.org/officeDocument/2006/relationships/hyperlink" Target="https://doi.org/10.1128/AEM.64.12.5046-5048.1998" TargetMode="External"/><Relationship Id="rId46" Type="http://schemas.openxmlformats.org/officeDocument/2006/relationships/hyperlink" Target="https://doi.org/10.5296/emsd.v6i2.11982" TargetMode="External"/><Relationship Id="rId59" Type="http://schemas.openxmlformats.org/officeDocument/2006/relationships/hyperlink" Target="https://doi.org/10.1007/s11356-021-13570-w" TargetMode="External"/><Relationship Id="rId20" Type="http://schemas.openxmlformats.org/officeDocument/2006/relationships/hyperlink" Target="http://highplainsdairy.org/2006/Beede.pdf" TargetMode="External"/><Relationship Id="rId41" Type="http://schemas.openxmlformats.org/officeDocument/2006/relationships/hyperlink" Target="https://dx.doi.org/10.19045/bspab.2016.50089" TargetMode="External"/><Relationship Id="rId54" Type="http://schemas.openxmlformats.org/officeDocument/2006/relationships/hyperlink" Target="https://extension.psu.edu/interpreting-drinking-water-tests-for-dairy-cows/"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DOI:%2010.5829/idosi.aejts.2014.6.3.1111" TargetMode="External"/><Relationship Id="rId23" Type="http://schemas.openxmlformats.org/officeDocument/2006/relationships/hyperlink" Target="https://doi.org/10.1128/aem.58.4.1335-1343.1992" TargetMode="External"/><Relationship Id="rId28" Type="http://schemas.openxmlformats.org/officeDocument/2006/relationships/hyperlink" Target="https://doi.org/10.1002/j.1551-8833.1998.tb08396.x" TargetMode="External"/><Relationship Id="rId36" Type="http://schemas.openxmlformats.org/officeDocument/2006/relationships/hyperlink" Target="https://www.journalajravs.com/index.php/AJRAVS/article/view/309" TargetMode="External"/><Relationship Id="rId49" Type="http://schemas.openxmlformats.org/officeDocument/2006/relationships/hyperlink" Target="https://doi.org/10.3389/fmicb.2022.824084" TargetMode="External"/><Relationship Id="rId57" Type="http://schemas.openxmlformats.org/officeDocument/2006/relationships/hyperlink" Target="https://www.researchgate.net/publication/284550968_Effects_of_Water_Quality_on_Productivity_and_Performance_of_Livestock_A_Mini_Review" TargetMode="External"/><Relationship Id="rId10" Type="http://schemas.openxmlformats.org/officeDocument/2006/relationships/footer" Target="footer1.xml"/><Relationship Id="rId31" Type="http://schemas.openxmlformats.org/officeDocument/2006/relationships/hyperlink" Target="https://doi.org/10.3329/bjvm.v3i1.11336" TargetMode="External"/><Relationship Id="rId44" Type="http://schemas.openxmlformats.org/officeDocument/2006/relationships/hyperlink" Target="https://doi.org/10.1016/j.scitotenv.2013.10.079" TargetMode="External"/><Relationship Id="rId52" Type="http://schemas.openxmlformats.org/officeDocument/2006/relationships/hyperlink" Target="https://doi.org/10.1111/jfs.12636" TargetMode="External"/><Relationship Id="rId60" Type="http://schemas.openxmlformats.org/officeDocument/2006/relationships/hyperlink" Target="https://doi.org/10.3748/wjg.v10.i3.458"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7761</Words>
  <Characters>44239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KBM Saiful Islam</dc:creator>
  <cp:keywords/>
  <dc:description/>
  <cp:lastModifiedBy>SDI 1158</cp:lastModifiedBy>
  <cp:revision>11</cp:revision>
  <cp:lastPrinted>2025-11-06T10:55:00Z</cp:lastPrinted>
  <dcterms:created xsi:type="dcterms:W3CDTF">2025-11-10T02:39:00Z</dcterms:created>
  <dcterms:modified xsi:type="dcterms:W3CDTF">2025-11-14T06:59:00Z</dcterms:modified>
</cp:coreProperties>
</file>