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3A4B2" w14:textId="47D7271F" w:rsidR="00356A87" w:rsidRPr="009F2C9D" w:rsidRDefault="00356A87" w:rsidP="00712C10">
      <w:pPr>
        <w:pStyle w:val="Author"/>
        <w:spacing w:line="276" w:lineRule="auto"/>
        <w:rPr>
          <w:rFonts w:ascii="Arial" w:hAnsi="Arial" w:cs="Arial"/>
          <w:bCs/>
          <w:i/>
          <w:iCs/>
          <w:kern w:val="28"/>
          <w:sz w:val="40"/>
          <w:u w:val="single"/>
          <w:lang w:val="en-IN"/>
        </w:rPr>
      </w:pPr>
      <w:r w:rsidRPr="009F2C9D">
        <w:rPr>
          <w:rFonts w:ascii="Arial" w:hAnsi="Arial" w:cs="Arial"/>
          <w:bCs/>
          <w:i/>
          <w:iCs/>
          <w:kern w:val="28"/>
          <w:sz w:val="40"/>
          <w:u w:val="single"/>
          <w:lang w:val="en-IN"/>
        </w:rPr>
        <w:t>Original Research Article</w:t>
      </w:r>
    </w:p>
    <w:p w14:paraId="2404A35C" w14:textId="77777777" w:rsidR="00356A87" w:rsidRPr="009F2C9D" w:rsidRDefault="00356A87" w:rsidP="00712C10">
      <w:pPr>
        <w:pStyle w:val="Author"/>
        <w:spacing w:line="276" w:lineRule="auto"/>
        <w:rPr>
          <w:rFonts w:ascii="Arial" w:hAnsi="Arial" w:cs="Arial"/>
          <w:bCs/>
          <w:i/>
          <w:iCs/>
          <w:kern w:val="28"/>
          <w:sz w:val="40"/>
          <w:u w:val="single"/>
          <w:lang w:val="en-IN"/>
        </w:rPr>
      </w:pPr>
    </w:p>
    <w:p w14:paraId="05BCDDE5" w14:textId="4A5A0D0C" w:rsidR="00A258C3" w:rsidRDefault="007E3D86" w:rsidP="00712C10">
      <w:pPr>
        <w:pStyle w:val="Author"/>
        <w:spacing w:line="276" w:lineRule="auto"/>
        <w:jc w:val="both"/>
        <w:rPr>
          <w:rFonts w:ascii="Arial" w:hAnsi="Arial" w:cs="Arial"/>
          <w:bCs/>
          <w:iCs/>
          <w:kern w:val="28"/>
          <w:sz w:val="36"/>
        </w:rPr>
      </w:pPr>
      <w:r w:rsidRPr="00AB7944">
        <w:rPr>
          <w:rFonts w:ascii="Arial" w:hAnsi="Arial" w:cs="Arial"/>
          <w:bCs/>
          <w:iCs/>
          <w:kern w:val="28"/>
          <w:sz w:val="36"/>
          <w:highlight w:val="yellow"/>
        </w:rPr>
        <w:t>Balancing of oxidative stress and antioxidant accumulation in finger millet under high temperature and elevated CO</w:t>
      </w:r>
      <w:r w:rsidRPr="00AB7944">
        <w:rPr>
          <w:rFonts w:ascii="Cambria Math" w:hAnsi="Cambria Math" w:cs="Cambria Math"/>
          <w:bCs/>
          <w:iCs/>
          <w:kern w:val="28"/>
          <w:sz w:val="36"/>
          <w:highlight w:val="yellow"/>
        </w:rPr>
        <w:t>₂</w:t>
      </w:r>
      <w:r w:rsidRPr="00AB7944">
        <w:rPr>
          <w:rFonts w:ascii="Arial" w:hAnsi="Arial" w:cs="Arial"/>
          <w:bCs/>
          <w:iCs/>
          <w:kern w:val="28"/>
          <w:sz w:val="36"/>
          <w:highlight w:val="yellow"/>
        </w:rPr>
        <w:t xml:space="preserve"> × drought stres</w:t>
      </w:r>
      <w:r w:rsidRPr="001D11F4">
        <w:rPr>
          <w:rFonts w:ascii="Arial" w:hAnsi="Arial" w:cs="Arial"/>
          <w:bCs/>
          <w:iCs/>
          <w:kern w:val="28"/>
          <w:sz w:val="36"/>
          <w:highlight w:val="yellow"/>
        </w:rPr>
        <w:t xml:space="preserve">s </w:t>
      </w:r>
      <w:r w:rsidR="001D11F4" w:rsidRPr="00BF0F0E">
        <w:rPr>
          <w:rFonts w:ascii="Arial" w:hAnsi="Arial" w:cs="Arial"/>
          <w:bCs/>
          <w:iCs/>
          <w:kern w:val="28"/>
          <w:sz w:val="36"/>
          <w:highlight w:val="yellow"/>
        </w:rPr>
        <w:t>interaction</w:t>
      </w:r>
      <w:r w:rsidR="00BF0F0E" w:rsidRPr="00BF0F0E">
        <w:rPr>
          <w:rFonts w:ascii="Arial" w:hAnsi="Arial" w:cs="Arial"/>
          <w:bCs/>
          <w:iCs/>
          <w:kern w:val="28"/>
          <w:sz w:val="36"/>
          <w:highlight w:val="yellow"/>
        </w:rPr>
        <w:t>s</w:t>
      </w:r>
      <w:r w:rsidR="001D11F4" w:rsidRPr="00BF0F0E">
        <w:rPr>
          <w:rFonts w:ascii="Arial" w:hAnsi="Arial" w:cs="Arial"/>
          <w:bCs/>
          <w:iCs/>
          <w:kern w:val="28"/>
          <w:sz w:val="36"/>
          <w:highlight w:val="yellow"/>
        </w:rPr>
        <w:t>.</w:t>
      </w:r>
    </w:p>
    <w:p w14:paraId="34316069" w14:textId="77777777" w:rsidR="007E3D86" w:rsidRPr="009F2C9D" w:rsidRDefault="007E3D86" w:rsidP="00712C10">
      <w:pPr>
        <w:pStyle w:val="Author"/>
        <w:spacing w:line="276" w:lineRule="auto"/>
        <w:jc w:val="both"/>
        <w:rPr>
          <w:rFonts w:ascii="Arial" w:hAnsi="Arial" w:cs="Arial"/>
          <w:sz w:val="36"/>
          <w:lang w:val="en-IN"/>
        </w:rPr>
      </w:pPr>
    </w:p>
    <w:p w14:paraId="3C9F67FB" w14:textId="48DFBA01" w:rsidR="00B01FCD" w:rsidRPr="009F2C9D" w:rsidRDefault="00B01FCD" w:rsidP="00712C10">
      <w:pPr>
        <w:pStyle w:val="AbstHead"/>
        <w:spacing w:after="0" w:line="276" w:lineRule="auto"/>
        <w:jc w:val="both"/>
        <w:rPr>
          <w:rFonts w:ascii="Arial" w:hAnsi="Arial" w:cs="Arial"/>
        </w:rPr>
      </w:pPr>
      <w:r w:rsidRPr="009F2C9D">
        <w:rPr>
          <w:rFonts w:ascii="Arial" w:hAnsi="Arial" w:cs="Arial"/>
        </w:rPr>
        <w:t>ABSTRACT</w:t>
      </w:r>
      <w:r w:rsidR="0066510A" w:rsidRPr="009F2C9D">
        <w:rPr>
          <w:rFonts w:ascii="Arial" w:hAnsi="Arial" w:cs="Arial"/>
        </w:rPr>
        <w:t xml:space="preserve"> </w:t>
      </w:r>
    </w:p>
    <w:p w14:paraId="4A64CACB" w14:textId="77777777" w:rsidR="00790ADA" w:rsidRPr="009F2C9D" w:rsidRDefault="00790ADA" w:rsidP="00712C10">
      <w:pPr>
        <w:pStyle w:val="AbstHead"/>
        <w:spacing w:after="0" w:line="276"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747"/>
      </w:tblGrid>
      <w:tr w:rsidR="00296529" w:rsidRPr="009F2C9D" w14:paraId="60B405B5" w14:textId="77777777" w:rsidTr="005D563C">
        <w:tc>
          <w:tcPr>
            <w:tcW w:w="9747" w:type="dxa"/>
            <w:shd w:val="clear" w:color="auto" w:fill="F2F2F2"/>
          </w:tcPr>
          <w:p w14:paraId="08ED4449" w14:textId="731090D9" w:rsidR="00F60961" w:rsidRPr="009F2C9D" w:rsidRDefault="00F60961" w:rsidP="00712C10">
            <w:pPr>
              <w:pStyle w:val="Body"/>
              <w:spacing w:after="0" w:line="276" w:lineRule="auto"/>
              <w:rPr>
                <w:rFonts w:ascii="Arial" w:eastAsia="Calibri" w:hAnsi="Arial" w:cs="Arial"/>
                <w:szCs w:val="22"/>
                <w:lang w:val="en-IN"/>
              </w:rPr>
            </w:pPr>
            <w:r w:rsidRPr="009F2C9D">
              <w:rPr>
                <w:rFonts w:ascii="Arial" w:eastAsia="Calibri" w:hAnsi="Arial" w:cs="Arial"/>
                <w:b/>
                <w:bCs/>
                <w:szCs w:val="22"/>
                <w:lang w:val="en-IN"/>
              </w:rPr>
              <w:t>Aims:</w:t>
            </w:r>
            <w:r w:rsidRPr="009F2C9D">
              <w:rPr>
                <w:rFonts w:ascii="Arial" w:eastAsia="Calibri" w:hAnsi="Arial" w:cs="Arial"/>
                <w:szCs w:val="22"/>
                <w:lang w:val="en-IN"/>
              </w:rPr>
              <w:br/>
              <w:t>The study aimed to evaluate the oxidative stress response</w:t>
            </w:r>
            <w:r w:rsidR="005D563C" w:rsidRPr="009F2C9D">
              <w:rPr>
                <w:rFonts w:ascii="Arial" w:eastAsia="Calibri" w:hAnsi="Arial" w:cs="Arial"/>
                <w:szCs w:val="22"/>
                <w:lang w:val="en-IN"/>
              </w:rPr>
              <w:t>s</w:t>
            </w:r>
            <w:r w:rsidRPr="009F2C9D">
              <w:rPr>
                <w:rFonts w:ascii="Arial" w:eastAsia="Calibri" w:hAnsi="Arial" w:cs="Arial"/>
                <w:szCs w:val="22"/>
                <w:lang w:val="en-IN"/>
              </w:rPr>
              <w:t xml:space="preserve"> and antioxidant regulation in four finger millet genotypes (GPU 28, ML 365, GPU 66, and GPU 67) under high temperature and elevated CO</w:t>
            </w:r>
            <w:r w:rsidRPr="009F2C9D">
              <w:rPr>
                <w:rFonts w:ascii="Cambria Math" w:eastAsia="Calibri" w:hAnsi="Cambria Math" w:cs="Cambria Math"/>
                <w:szCs w:val="22"/>
                <w:lang w:val="en-IN"/>
              </w:rPr>
              <w:t>₂</w:t>
            </w:r>
            <w:r w:rsidRPr="009F2C9D">
              <w:rPr>
                <w:rFonts w:ascii="Arial" w:eastAsia="Calibri" w:hAnsi="Arial" w:cs="Arial"/>
                <w:szCs w:val="22"/>
                <w:lang w:val="en-IN"/>
              </w:rPr>
              <w:t xml:space="preserve"> </w:t>
            </w:r>
            <w:r w:rsidR="00031DF8" w:rsidRPr="009F2C9D">
              <w:rPr>
                <w:rFonts w:ascii="Arial" w:eastAsia="Calibri" w:hAnsi="Arial" w:cs="Arial"/>
                <w:szCs w:val="22"/>
                <w:lang w:val="en-IN"/>
              </w:rPr>
              <w:t xml:space="preserve">x </w:t>
            </w:r>
            <w:r w:rsidRPr="009F2C9D">
              <w:rPr>
                <w:rFonts w:ascii="Arial" w:eastAsia="Calibri" w:hAnsi="Arial" w:cs="Arial"/>
                <w:szCs w:val="22"/>
                <w:lang w:val="en-IN"/>
              </w:rPr>
              <w:t xml:space="preserve">drought </w:t>
            </w:r>
            <w:r w:rsidR="00031DF8" w:rsidRPr="009F2C9D">
              <w:rPr>
                <w:rFonts w:ascii="Arial" w:eastAsia="Calibri" w:hAnsi="Arial" w:cs="Arial"/>
                <w:szCs w:val="22"/>
                <w:lang w:val="en-IN"/>
              </w:rPr>
              <w:t>stress interaction</w:t>
            </w:r>
            <w:r w:rsidRPr="009F2C9D">
              <w:rPr>
                <w:rFonts w:ascii="Arial" w:eastAsia="Calibri" w:hAnsi="Arial" w:cs="Arial"/>
                <w:szCs w:val="22"/>
                <w:lang w:val="en-IN"/>
              </w:rPr>
              <w:t>.</w:t>
            </w:r>
          </w:p>
          <w:p w14:paraId="11614EDB" w14:textId="77F6E693" w:rsidR="00F60961" w:rsidRPr="009F2C9D" w:rsidRDefault="00F60961" w:rsidP="00712C10">
            <w:pPr>
              <w:pStyle w:val="Body"/>
              <w:spacing w:after="0" w:line="276" w:lineRule="auto"/>
              <w:jc w:val="left"/>
              <w:rPr>
                <w:rFonts w:ascii="Arial" w:eastAsia="Calibri" w:hAnsi="Arial" w:cs="Arial"/>
                <w:szCs w:val="22"/>
                <w:lang w:val="en-IN"/>
              </w:rPr>
            </w:pPr>
            <w:r w:rsidRPr="009F2C9D">
              <w:rPr>
                <w:rFonts w:ascii="Arial" w:eastAsia="Calibri" w:hAnsi="Arial" w:cs="Arial"/>
                <w:b/>
                <w:bCs/>
                <w:szCs w:val="22"/>
                <w:lang w:val="en-IN"/>
              </w:rPr>
              <w:t>Study Design:</w:t>
            </w:r>
            <w:r w:rsidRPr="009F2C9D">
              <w:rPr>
                <w:rFonts w:ascii="Arial" w:eastAsia="Calibri" w:hAnsi="Arial" w:cs="Arial"/>
                <w:szCs w:val="22"/>
                <w:lang w:val="en-IN"/>
              </w:rPr>
              <w:br/>
              <w:t>A controlled pot experiment was conducted</w:t>
            </w:r>
            <w:r w:rsidR="000A680B" w:rsidRPr="009F2C9D">
              <w:rPr>
                <w:rFonts w:ascii="Arial" w:eastAsia="Calibri" w:hAnsi="Arial" w:cs="Arial"/>
                <w:szCs w:val="22"/>
                <w:lang w:val="en-IN"/>
              </w:rPr>
              <w:t xml:space="preserve"> with </w:t>
            </w:r>
            <w:r w:rsidR="000A680B" w:rsidRPr="009F2C9D">
              <w:rPr>
                <w:rFonts w:ascii="Arial" w:eastAsia="Calibri" w:hAnsi="Arial" w:cs="Arial"/>
                <w:szCs w:val="22"/>
              </w:rPr>
              <w:t>two-factorial Completely Randomized Design (CRD)</w:t>
            </w:r>
            <w:r w:rsidRPr="009F2C9D">
              <w:rPr>
                <w:rFonts w:ascii="Arial" w:eastAsia="Calibri" w:hAnsi="Arial" w:cs="Arial"/>
                <w:szCs w:val="22"/>
                <w:lang w:val="en-IN"/>
              </w:rPr>
              <w:t xml:space="preserve"> to assess oxidative stress indicators and antioxidant activity under varied environmental stress</w:t>
            </w:r>
            <w:r w:rsidR="005D563C" w:rsidRPr="009F2C9D">
              <w:rPr>
                <w:rFonts w:ascii="Arial" w:eastAsia="Calibri" w:hAnsi="Arial" w:cs="Arial"/>
                <w:szCs w:val="22"/>
                <w:lang w:val="en-IN"/>
              </w:rPr>
              <w:t xml:space="preserve"> </w:t>
            </w:r>
            <w:r w:rsidRPr="009F2C9D">
              <w:rPr>
                <w:rFonts w:ascii="Arial" w:eastAsia="Calibri" w:hAnsi="Arial" w:cs="Arial"/>
                <w:szCs w:val="22"/>
                <w:lang w:val="en-IN"/>
              </w:rPr>
              <w:t>combinations.</w:t>
            </w:r>
          </w:p>
          <w:p w14:paraId="5D1AF316" w14:textId="77777777" w:rsidR="00F60961" w:rsidRPr="009F2C9D" w:rsidRDefault="00F60961" w:rsidP="00712C10">
            <w:pPr>
              <w:pStyle w:val="Body"/>
              <w:spacing w:after="0" w:line="276" w:lineRule="auto"/>
              <w:jc w:val="left"/>
              <w:rPr>
                <w:rFonts w:ascii="Arial" w:eastAsia="Calibri" w:hAnsi="Arial" w:cs="Arial"/>
                <w:szCs w:val="22"/>
                <w:lang w:val="en-IN"/>
              </w:rPr>
            </w:pPr>
            <w:r w:rsidRPr="009F2C9D">
              <w:rPr>
                <w:rFonts w:ascii="Arial" w:eastAsia="Calibri" w:hAnsi="Arial" w:cs="Arial"/>
                <w:b/>
                <w:bCs/>
                <w:szCs w:val="22"/>
                <w:lang w:val="en-IN"/>
              </w:rPr>
              <w:t>Place and Duration of Study:</w:t>
            </w:r>
            <w:r w:rsidRPr="009F2C9D">
              <w:rPr>
                <w:rFonts w:ascii="Arial" w:eastAsia="Calibri" w:hAnsi="Arial" w:cs="Arial"/>
                <w:szCs w:val="22"/>
                <w:lang w:val="en-IN"/>
              </w:rPr>
              <w:br/>
              <w:t>The experiment was carried out at the College of Agriculture, Vellayani, using Polyhouse and Open Top Chamber (OTC) facilities during the 2023–2025 cropping seasons.</w:t>
            </w:r>
          </w:p>
          <w:p w14:paraId="6DEC706D" w14:textId="7BCD9543" w:rsidR="00F60961" w:rsidRPr="009F2C9D" w:rsidRDefault="00F60961" w:rsidP="00712C10">
            <w:pPr>
              <w:pStyle w:val="Body"/>
              <w:spacing w:after="0" w:line="276" w:lineRule="auto"/>
              <w:rPr>
                <w:rFonts w:ascii="Arial" w:eastAsia="Calibri" w:hAnsi="Arial" w:cs="Arial"/>
                <w:szCs w:val="22"/>
                <w:lang w:val="en-IN"/>
              </w:rPr>
            </w:pPr>
            <w:r w:rsidRPr="009F2C9D">
              <w:rPr>
                <w:rFonts w:ascii="Arial" w:eastAsia="Calibri" w:hAnsi="Arial" w:cs="Arial"/>
                <w:b/>
                <w:bCs/>
                <w:szCs w:val="22"/>
                <w:lang w:val="en-IN"/>
              </w:rPr>
              <w:t>Methodology:</w:t>
            </w:r>
            <w:r w:rsidRPr="009F2C9D">
              <w:rPr>
                <w:rFonts w:ascii="Arial" w:eastAsia="Calibri" w:hAnsi="Arial" w:cs="Arial"/>
                <w:szCs w:val="22"/>
                <w:lang w:val="en-IN"/>
              </w:rPr>
              <w:br/>
              <w:t>Four finger millet genotypes were exposed to high temperature and elevated CO</w:t>
            </w:r>
            <w:r w:rsidRPr="009F2C9D">
              <w:rPr>
                <w:rFonts w:ascii="Cambria Math" w:eastAsia="Calibri" w:hAnsi="Cambria Math" w:cs="Cambria Math"/>
                <w:szCs w:val="22"/>
                <w:lang w:val="en-IN"/>
              </w:rPr>
              <w:t>₂</w:t>
            </w:r>
            <w:r w:rsidRPr="009F2C9D">
              <w:rPr>
                <w:rFonts w:ascii="Arial" w:eastAsia="Calibri" w:hAnsi="Arial" w:cs="Arial"/>
                <w:szCs w:val="22"/>
                <w:lang w:val="en-IN"/>
              </w:rPr>
              <w:t xml:space="preserve"> with drought treatments. Hydrogen peroxide (H</w:t>
            </w:r>
            <w:r w:rsidRPr="009F2C9D">
              <w:rPr>
                <w:rFonts w:ascii="Cambria Math" w:eastAsia="Calibri" w:hAnsi="Cambria Math" w:cs="Cambria Math"/>
                <w:szCs w:val="22"/>
                <w:lang w:val="en-IN"/>
              </w:rPr>
              <w:t>₂</w:t>
            </w:r>
            <w:r w:rsidRPr="009F2C9D">
              <w:rPr>
                <w:rFonts w:ascii="Arial" w:eastAsia="Calibri" w:hAnsi="Arial" w:cs="Arial"/>
                <w:szCs w:val="22"/>
                <w:lang w:val="en-IN"/>
              </w:rPr>
              <w:t>O</w:t>
            </w:r>
            <w:r w:rsidRPr="009F2C9D">
              <w:rPr>
                <w:rFonts w:ascii="Cambria Math" w:eastAsia="Calibri" w:hAnsi="Cambria Math" w:cs="Cambria Math"/>
                <w:szCs w:val="22"/>
                <w:lang w:val="en-IN"/>
              </w:rPr>
              <w:t>₂</w:t>
            </w:r>
            <w:r w:rsidRPr="009F2C9D">
              <w:rPr>
                <w:rFonts w:ascii="Arial" w:eastAsia="Calibri" w:hAnsi="Arial" w:cs="Arial"/>
                <w:szCs w:val="22"/>
                <w:lang w:val="en-IN"/>
              </w:rPr>
              <w:t xml:space="preserve">) accumulation in leaves was detected by 3,3′-diaminobenzidine (DAB) staining to visualize oxidative damage, while total antioxidant activity was estimated using the ferric reducing antioxidant power (FRAP) assay. The intensity of DAB staining and FRAP values were compared among genotypes and treatments to assess stress-induced variations in reactive oxygen species (ROS) accumulation and antioxidant </w:t>
            </w:r>
            <w:r w:rsidR="000A680B" w:rsidRPr="009F2C9D">
              <w:rPr>
                <w:rFonts w:ascii="Arial" w:eastAsia="Calibri" w:hAnsi="Arial" w:cs="Arial"/>
                <w:szCs w:val="22"/>
                <w:lang w:val="en-IN"/>
              </w:rPr>
              <w:t>defence</w:t>
            </w:r>
            <w:r w:rsidRPr="009F2C9D">
              <w:rPr>
                <w:rFonts w:ascii="Arial" w:eastAsia="Calibri" w:hAnsi="Arial" w:cs="Arial"/>
                <w:szCs w:val="22"/>
                <w:lang w:val="en-IN"/>
              </w:rPr>
              <w:t>.</w:t>
            </w:r>
          </w:p>
          <w:p w14:paraId="22A1F2D8" w14:textId="5352FA6E" w:rsidR="00F60961" w:rsidRPr="009F2C9D" w:rsidRDefault="00F60961" w:rsidP="00712C10">
            <w:pPr>
              <w:pStyle w:val="Body"/>
              <w:spacing w:after="0" w:line="276" w:lineRule="auto"/>
              <w:rPr>
                <w:rFonts w:ascii="Arial" w:eastAsia="Calibri" w:hAnsi="Arial" w:cs="Arial"/>
                <w:szCs w:val="22"/>
                <w:lang w:val="en-IN"/>
              </w:rPr>
            </w:pPr>
            <w:r w:rsidRPr="009F2C9D">
              <w:rPr>
                <w:rFonts w:ascii="Arial" w:eastAsia="Calibri" w:hAnsi="Arial" w:cs="Arial"/>
                <w:b/>
                <w:bCs/>
                <w:szCs w:val="22"/>
                <w:lang w:val="en-IN"/>
              </w:rPr>
              <w:t>Results:</w:t>
            </w:r>
            <w:r w:rsidRPr="009F2C9D">
              <w:rPr>
                <w:rFonts w:ascii="Arial" w:eastAsia="Calibri" w:hAnsi="Arial" w:cs="Arial"/>
                <w:szCs w:val="22"/>
                <w:lang w:val="en-IN"/>
              </w:rPr>
              <w:br/>
              <w:t>High temperature stress caused intense DAB staining in all genotypes, indicating severe oxidative stress, with GPU 67 showing the highest H</w:t>
            </w:r>
            <w:r w:rsidRPr="009F2C9D">
              <w:rPr>
                <w:rFonts w:ascii="Cambria Math" w:eastAsia="Calibri" w:hAnsi="Cambria Math" w:cs="Cambria Math"/>
                <w:szCs w:val="22"/>
                <w:lang w:val="en-IN"/>
              </w:rPr>
              <w:t>₂</w:t>
            </w:r>
            <w:r w:rsidRPr="009F2C9D">
              <w:rPr>
                <w:rFonts w:ascii="Arial" w:eastAsia="Calibri" w:hAnsi="Arial" w:cs="Arial"/>
                <w:szCs w:val="22"/>
                <w:lang w:val="en-IN"/>
              </w:rPr>
              <w:t>O</w:t>
            </w:r>
            <w:r w:rsidRPr="009F2C9D">
              <w:rPr>
                <w:rFonts w:ascii="Cambria Math" w:eastAsia="Calibri" w:hAnsi="Cambria Math" w:cs="Cambria Math"/>
                <w:szCs w:val="22"/>
                <w:lang w:val="en-IN"/>
              </w:rPr>
              <w:t>₂</w:t>
            </w:r>
            <w:r w:rsidRPr="009F2C9D">
              <w:rPr>
                <w:rFonts w:ascii="Arial" w:eastAsia="Calibri" w:hAnsi="Arial" w:cs="Arial"/>
                <w:szCs w:val="22"/>
                <w:lang w:val="en-IN"/>
              </w:rPr>
              <w:t xml:space="preserve"> accumulation and GPU 28 the lowest. Under elevated CO</w:t>
            </w:r>
            <w:r w:rsidRPr="009F2C9D">
              <w:rPr>
                <w:rFonts w:ascii="Cambria Math" w:eastAsia="Calibri" w:hAnsi="Cambria Math" w:cs="Cambria Math"/>
                <w:szCs w:val="22"/>
                <w:lang w:val="en-IN"/>
              </w:rPr>
              <w:t>₂</w:t>
            </w:r>
            <w:r w:rsidR="005D563C" w:rsidRPr="009F2C9D">
              <w:rPr>
                <w:rFonts w:ascii="Arial" w:eastAsia="Calibri" w:hAnsi="Arial" w:cs="Arial"/>
                <w:szCs w:val="22"/>
                <w:lang w:val="en-IN"/>
              </w:rPr>
              <w:t xml:space="preserve"> x</w:t>
            </w:r>
            <w:r w:rsidRPr="009F2C9D">
              <w:rPr>
                <w:rFonts w:ascii="Arial" w:eastAsia="Calibri" w:hAnsi="Arial" w:cs="Arial"/>
                <w:szCs w:val="22"/>
                <w:lang w:val="en-IN"/>
              </w:rPr>
              <w:t xml:space="preserve"> drought</w:t>
            </w:r>
            <w:r w:rsidR="005D563C" w:rsidRPr="009F2C9D">
              <w:rPr>
                <w:rFonts w:ascii="Arial" w:eastAsia="Calibri" w:hAnsi="Arial" w:cs="Arial"/>
                <w:szCs w:val="22"/>
                <w:lang w:val="en-IN"/>
              </w:rPr>
              <w:t xml:space="preserve"> interaction</w:t>
            </w:r>
            <w:r w:rsidRPr="009F2C9D">
              <w:rPr>
                <w:rFonts w:ascii="Arial" w:eastAsia="Calibri" w:hAnsi="Arial" w:cs="Arial"/>
                <w:szCs w:val="22"/>
                <w:lang w:val="en-IN"/>
              </w:rPr>
              <w:t>, lighter staining patterns were observed, suggesting reduced ROS buildup due to CO</w:t>
            </w:r>
            <w:r w:rsidRPr="009F2C9D">
              <w:rPr>
                <w:rFonts w:ascii="Cambria Math" w:eastAsia="Calibri" w:hAnsi="Cambria Math" w:cs="Cambria Math"/>
                <w:szCs w:val="22"/>
                <w:lang w:val="en-IN"/>
              </w:rPr>
              <w:t>₂</w:t>
            </w:r>
            <w:r w:rsidRPr="009F2C9D">
              <w:rPr>
                <w:rFonts w:ascii="Arial" w:eastAsia="Calibri" w:hAnsi="Arial" w:cs="Arial"/>
                <w:szCs w:val="22"/>
                <w:lang w:val="en-IN"/>
              </w:rPr>
              <w:t>-induced mitigation of oxidative injury. Antioxidant activity increased significantly under both stress conditions, with the maximum increase recorded in ML 365</w:t>
            </w:r>
            <w:r w:rsidR="00F5138E" w:rsidRPr="009F2C9D">
              <w:rPr>
                <w:rFonts w:ascii="Arial" w:eastAsia="Calibri" w:hAnsi="Arial" w:cs="Arial"/>
                <w:szCs w:val="22"/>
                <w:lang w:val="en-IN"/>
              </w:rPr>
              <w:t xml:space="preserve"> </w:t>
            </w:r>
            <w:r w:rsidR="00F5138E" w:rsidRPr="009F2C9D">
              <w:rPr>
                <w:rFonts w:ascii="Arial" w:eastAsia="Calibri" w:hAnsi="Arial" w:cs="Arial"/>
                <w:szCs w:val="22"/>
                <w:highlight w:val="yellow"/>
                <w:lang w:val="en-IN"/>
              </w:rPr>
              <w:t>(</w:t>
            </w:r>
            <w:proofErr w:type="gramStart"/>
            <w:r w:rsidR="00F5138E" w:rsidRPr="009F2C9D">
              <w:rPr>
                <w:rFonts w:ascii="Arial" w:eastAsia="Calibri" w:hAnsi="Arial" w:cs="Arial"/>
                <w:szCs w:val="22"/>
                <w:highlight w:val="yellow"/>
                <w:lang w:val="en-IN"/>
              </w:rPr>
              <w:t>5 fold</w:t>
            </w:r>
            <w:proofErr w:type="gramEnd"/>
            <w:r w:rsidR="00F5138E" w:rsidRPr="009F2C9D">
              <w:rPr>
                <w:rFonts w:ascii="Arial" w:eastAsia="Calibri" w:hAnsi="Arial" w:cs="Arial"/>
                <w:szCs w:val="22"/>
                <w:highlight w:val="yellow"/>
                <w:lang w:val="en-IN"/>
              </w:rPr>
              <w:t>)</w:t>
            </w:r>
            <w:r w:rsidRPr="009F2C9D">
              <w:rPr>
                <w:rFonts w:ascii="Arial" w:eastAsia="Calibri" w:hAnsi="Arial" w:cs="Arial"/>
                <w:szCs w:val="22"/>
                <w:lang w:val="en-IN"/>
              </w:rPr>
              <w:t xml:space="preserve"> and GPU 28</w:t>
            </w:r>
            <w:r w:rsidR="000A680B" w:rsidRPr="009F2C9D">
              <w:rPr>
                <w:rFonts w:ascii="Arial" w:eastAsia="Calibri" w:hAnsi="Arial" w:cs="Arial"/>
                <w:szCs w:val="22"/>
                <w:lang w:val="en-IN"/>
              </w:rPr>
              <w:t xml:space="preserve"> </w:t>
            </w:r>
            <w:r w:rsidR="000A680B" w:rsidRPr="009F2C9D">
              <w:rPr>
                <w:rFonts w:ascii="Arial" w:eastAsia="Calibri" w:hAnsi="Arial" w:cs="Arial"/>
                <w:szCs w:val="22"/>
                <w:highlight w:val="yellow"/>
                <w:lang w:val="en-IN"/>
              </w:rPr>
              <w:t>(</w:t>
            </w:r>
            <w:proofErr w:type="gramStart"/>
            <w:r w:rsidR="000A680B" w:rsidRPr="009F2C9D">
              <w:rPr>
                <w:rFonts w:ascii="Arial" w:eastAsia="Calibri" w:hAnsi="Arial" w:cs="Arial"/>
                <w:szCs w:val="22"/>
                <w:highlight w:val="yellow"/>
                <w:lang w:val="en-IN"/>
              </w:rPr>
              <w:t>4</w:t>
            </w:r>
            <w:r w:rsidR="00F5138E" w:rsidRPr="009F2C9D">
              <w:rPr>
                <w:rFonts w:ascii="Arial" w:eastAsia="Calibri" w:hAnsi="Arial" w:cs="Arial"/>
                <w:szCs w:val="22"/>
                <w:highlight w:val="yellow"/>
                <w:lang w:val="en-IN"/>
              </w:rPr>
              <w:t xml:space="preserve"> fold</w:t>
            </w:r>
            <w:proofErr w:type="gramEnd"/>
            <w:r w:rsidR="000A680B" w:rsidRPr="009F2C9D">
              <w:rPr>
                <w:rFonts w:ascii="Arial" w:eastAsia="Calibri" w:hAnsi="Arial" w:cs="Arial"/>
                <w:szCs w:val="22"/>
                <w:highlight w:val="yellow"/>
                <w:lang w:val="en-IN"/>
              </w:rPr>
              <w:t>)</w:t>
            </w:r>
            <w:r w:rsidRPr="009F2C9D">
              <w:rPr>
                <w:rFonts w:ascii="Arial" w:eastAsia="Calibri" w:hAnsi="Arial" w:cs="Arial"/>
                <w:szCs w:val="22"/>
                <w:lang w:val="en-IN"/>
              </w:rPr>
              <w:t xml:space="preserve"> under heat stress. Elevated CO</w:t>
            </w:r>
            <w:r w:rsidRPr="009F2C9D">
              <w:rPr>
                <w:rFonts w:ascii="Cambria Math" w:eastAsia="Calibri" w:hAnsi="Cambria Math" w:cs="Cambria Math"/>
                <w:szCs w:val="22"/>
                <w:lang w:val="en-IN"/>
              </w:rPr>
              <w:t>₂</w:t>
            </w:r>
            <w:r w:rsidRPr="009F2C9D">
              <w:rPr>
                <w:rFonts w:ascii="Arial" w:eastAsia="Calibri" w:hAnsi="Arial" w:cs="Arial"/>
                <w:szCs w:val="22"/>
                <w:lang w:val="en-IN"/>
              </w:rPr>
              <w:t xml:space="preserve"> and drought also enhanced antioxidant levels, though to a lesser degree.</w:t>
            </w:r>
          </w:p>
          <w:p w14:paraId="17EFAC5C" w14:textId="6030BEDC" w:rsidR="00505F06" w:rsidRPr="009F2C9D" w:rsidRDefault="00F60961" w:rsidP="00712C10">
            <w:pPr>
              <w:pStyle w:val="Body"/>
              <w:spacing w:after="0" w:line="276" w:lineRule="auto"/>
              <w:rPr>
                <w:rFonts w:ascii="Arial" w:eastAsia="Calibri" w:hAnsi="Arial" w:cs="Arial"/>
                <w:szCs w:val="22"/>
                <w:lang w:val="en-IN"/>
              </w:rPr>
            </w:pPr>
            <w:r w:rsidRPr="009F2C9D">
              <w:rPr>
                <w:rFonts w:ascii="Arial" w:eastAsia="Calibri" w:hAnsi="Arial" w:cs="Arial"/>
                <w:b/>
                <w:bCs/>
                <w:szCs w:val="22"/>
                <w:lang w:val="en-IN"/>
              </w:rPr>
              <w:t>Conclusion:</w:t>
            </w:r>
            <w:r w:rsidRPr="009F2C9D">
              <w:rPr>
                <w:rFonts w:ascii="Arial" w:eastAsia="Calibri" w:hAnsi="Arial" w:cs="Arial"/>
                <w:szCs w:val="22"/>
                <w:lang w:val="en-IN"/>
              </w:rPr>
              <w:br/>
              <w:t>High temperature imposed the greatest oxidative load on finger millet, while elevated CO</w:t>
            </w:r>
            <w:r w:rsidRPr="009F2C9D">
              <w:rPr>
                <w:rFonts w:ascii="Cambria Math" w:eastAsia="Calibri" w:hAnsi="Cambria Math" w:cs="Cambria Math"/>
                <w:szCs w:val="22"/>
                <w:lang w:val="en-IN"/>
              </w:rPr>
              <w:t>₂</w:t>
            </w:r>
            <w:r w:rsidRPr="009F2C9D">
              <w:rPr>
                <w:rFonts w:ascii="Arial" w:eastAsia="Calibri" w:hAnsi="Arial" w:cs="Arial"/>
                <w:szCs w:val="22"/>
                <w:lang w:val="en-IN"/>
              </w:rPr>
              <w:t xml:space="preserve"> alleviated stress effects. </w:t>
            </w:r>
            <w:r w:rsidR="00DD0548" w:rsidRPr="009F2C9D">
              <w:rPr>
                <w:rFonts w:ascii="Arial" w:eastAsia="Calibri" w:hAnsi="Arial" w:cs="Arial"/>
                <w:szCs w:val="22"/>
                <w:lang w:val="en-IN"/>
              </w:rPr>
              <w:t>E</w:t>
            </w:r>
            <w:r w:rsidRPr="009F2C9D">
              <w:rPr>
                <w:rFonts w:ascii="Arial" w:eastAsia="Calibri" w:hAnsi="Arial" w:cs="Arial"/>
                <w:szCs w:val="22"/>
                <w:lang w:val="en-IN"/>
              </w:rPr>
              <w:t xml:space="preserve">fficient antioxidant regulation </w:t>
            </w:r>
            <w:r w:rsidR="002336B4" w:rsidRPr="009F2C9D">
              <w:rPr>
                <w:rFonts w:ascii="Arial" w:eastAsia="Calibri" w:hAnsi="Arial" w:cs="Arial"/>
                <w:szCs w:val="22"/>
                <w:lang w:val="en-IN"/>
              </w:rPr>
              <w:t>indicates</w:t>
            </w:r>
            <w:r w:rsidRPr="009F2C9D">
              <w:rPr>
                <w:rFonts w:ascii="Arial" w:eastAsia="Calibri" w:hAnsi="Arial" w:cs="Arial"/>
                <w:szCs w:val="22"/>
                <w:lang w:val="en-IN"/>
              </w:rPr>
              <w:t xml:space="preserve"> their potential resilience and productivity under future climate change scenarios.</w:t>
            </w:r>
            <w:r w:rsidR="00677161" w:rsidRPr="009F2C9D">
              <w:rPr>
                <w:rFonts w:ascii="Arial" w:hAnsi="Arial" w:cs="Arial"/>
                <w:i/>
              </w:rPr>
              <w:t xml:space="preserve"> </w:t>
            </w:r>
            <w:r w:rsidR="00677161" w:rsidRPr="009F2C9D">
              <w:rPr>
                <w:rFonts w:ascii="Arial" w:hAnsi="Arial" w:cs="Arial"/>
                <w:iCs/>
                <w:highlight w:val="yellow"/>
              </w:rPr>
              <w:t>These</w:t>
            </w:r>
            <w:r w:rsidR="00677161" w:rsidRPr="009F2C9D">
              <w:rPr>
                <w:rFonts w:ascii="Arial" w:hAnsi="Arial" w:cs="Arial"/>
                <w:iCs/>
                <w:spacing w:val="-3"/>
                <w:highlight w:val="yellow"/>
              </w:rPr>
              <w:t xml:space="preserve"> </w:t>
            </w:r>
            <w:r w:rsidR="00677161" w:rsidRPr="009F2C9D">
              <w:rPr>
                <w:rFonts w:ascii="Arial" w:hAnsi="Arial" w:cs="Arial"/>
                <w:iCs/>
                <w:highlight w:val="yellow"/>
              </w:rPr>
              <w:t>findings</w:t>
            </w:r>
            <w:r w:rsidR="00677161" w:rsidRPr="009F2C9D">
              <w:rPr>
                <w:rFonts w:ascii="Arial" w:hAnsi="Arial" w:cs="Arial"/>
                <w:iCs/>
                <w:spacing w:val="-4"/>
                <w:highlight w:val="yellow"/>
              </w:rPr>
              <w:t xml:space="preserve"> </w:t>
            </w:r>
            <w:r w:rsidR="00677161" w:rsidRPr="009F2C9D">
              <w:rPr>
                <w:rFonts w:ascii="Arial" w:hAnsi="Arial" w:cs="Arial"/>
                <w:iCs/>
                <w:highlight w:val="yellow"/>
              </w:rPr>
              <w:t>provide</w:t>
            </w:r>
            <w:r w:rsidR="00677161" w:rsidRPr="009F2C9D">
              <w:rPr>
                <w:rFonts w:ascii="Arial" w:hAnsi="Arial" w:cs="Arial"/>
                <w:iCs/>
                <w:spacing w:val="-3"/>
                <w:highlight w:val="yellow"/>
              </w:rPr>
              <w:t xml:space="preserve"> </w:t>
            </w:r>
            <w:r w:rsidR="00677161" w:rsidRPr="009F2C9D">
              <w:rPr>
                <w:rFonts w:ascii="Arial" w:hAnsi="Arial" w:cs="Arial"/>
                <w:iCs/>
                <w:highlight w:val="yellow"/>
              </w:rPr>
              <w:t>valuable</w:t>
            </w:r>
            <w:r w:rsidR="00677161" w:rsidRPr="009F2C9D">
              <w:rPr>
                <w:rFonts w:ascii="Arial" w:hAnsi="Arial" w:cs="Arial"/>
                <w:iCs/>
                <w:spacing w:val="-3"/>
                <w:highlight w:val="yellow"/>
              </w:rPr>
              <w:t xml:space="preserve"> </w:t>
            </w:r>
            <w:r w:rsidR="00677161" w:rsidRPr="009F2C9D">
              <w:rPr>
                <w:rFonts w:ascii="Arial" w:hAnsi="Arial" w:cs="Arial"/>
                <w:iCs/>
                <w:highlight w:val="yellow"/>
              </w:rPr>
              <w:t>insights</w:t>
            </w:r>
            <w:r w:rsidR="00677161" w:rsidRPr="009F2C9D">
              <w:rPr>
                <w:rFonts w:ascii="Arial" w:hAnsi="Arial" w:cs="Arial"/>
                <w:iCs/>
                <w:spacing w:val="-4"/>
                <w:highlight w:val="yellow"/>
              </w:rPr>
              <w:t xml:space="preserve"> </w:t>
            </w:r>
            <w:r w:rsidR="00677161" w:rsidRPr="009F2C9D">
              <w:rPr>
                <w:rFonts w:ascii="Arial" w:hAnsi="Arial" w:cs="Arial"/>
                <w:iCs/>
                <w:highlight w:val="yellow"/>
              </w:rPr>
              <w:t>for</w:t>
            </w:r>
            <w:r w:rsidR="00677161" w:rsidRPr="009F2C9D">
              <w:rPr>
                <w:rFonts w:ascii="Arial" w:hAnsi="Arial" w:cs="Arial"/>
                <w:iCs/>
                <w:spacing w:val="-4"/>
                <w:highlight w:val="yellow"/>
              </w:rPr>
              <w:t xml:space="preserve"> </w:t>
            </w:r>
            <w:r w:rsidR="00677161" w:rsidRPr="009F2C9D">
              <w:rPr>
                <w:rFonts w:ascii="Arial" w:hAnsi="Arial" w:cs="Arial"/>
                <w:iCs/>
                <w:highlight w:val="yellow"/>
              </w:rPr>
              <w:t>breeding</w:t>
            </w:r>
            <w:r w:rsidR="00677161" w:rsidRPr="009F2C9D">
              <w:rPr>
                <w:rFonts w:ascii="Arial" w:hAnsi="Arial" w:cs="Arial"/>
                <w:iCs/>
                <w:spacing w:val="-2"/>
                <w:highlight w:val="yellow"/>
              </w:rPr>
              <w:t xml:space="preserve"> </w:t>
            </w:r>
            <w:r w:rsidR="00677161" w:rsidRPr="009F2C9D">
              <w:rPr>
                <w:rFonts w:ascii="Arial" w:hAnsi="Arial" w:cs="Arial"/>
                <w:iCs/>
                <w:highlight w:val="yellow"/>
              </w:rPr>
              <w:t>heat-</w:t>
            </w:r>
            <w:r w:rsidR="00677161" w:rsidRPr="009F2C9D">
              <w:rPr>
                <w:rFonts w:ascii="Arial" w:hAnsi="Arial" w:cs="Arial"/>
                <w:iCs/>
                <w:spacing w:val="-5"/>
                <w:highlight w:val="yellow"/>
              </w:rPr>
              <w:t xml:space="preserve"> </w:t>
            </w:r>
            <w:r w:rsidR="00677161" w:rsidRPr="009F2C9D">
              <w:rPr>
                <w:rFonts w:ascii="Arial" w:hAnsi="Arial" w:cs="Arial"/>
                <w:iCs/>
                <w:highlight w:val="yellow"/>
              </w:rPr>
              <w:t>and</w:t>
            </w:r>
            <w:r w:rsidR="00677161" w:rsidRPr="009F2C9D">
              <w:rPr>
                <w:rFonts w:ascii="Arial" w:hAnsi="Arial" w:cs="Arial"/>
                <w:iCs/>
                <w:spacing w:val="-2"/>
                <w:highlight w:val="yellow"/>
              </w:rPr>
              <w:t xml:space="preserve"> </w:t>
            </w:r>
            <w:r w:rsidR="00677161" w:rsidRPr="009F2C9D">
              <w:rPr>
                <w:rFonts w:ascii="Arial" w:hAnsi="Arial" w:cs="Arial"/>
                <w:iCs/>
                <w:highlight w:val="yellow"/>
              </w:rPr>
              <w:t>drought-resilient</w:t>
            </w:r>
            <w:r w:rsidR="00677161" w:rsidRPr="009F2C9D">
              <w:rPr>
                <w:rFonts w:ascii="Arial" w:hAnsi="Arial" w:cs="Arial"/>
                <w:iCs/>
                <w:spacing w:val="-4"/>
                <w:highlight w:val="yellow"/>
              </w:rPr>
              <w:t xml:space="preserve"> </w:t>
            </w:r>
            <w:r w:rsidR="00677161" w:rsidRPr="009F2C9D">
              <w:rPr>
                <w:rFonts w:ascii="Arial" w:hAnsi="Arial" w:cs="Arial"/>
                <w:iCs/>
                <w:highlight w:val="yellow"/>
              </w:rPr>
              <w:t>finger millet genotypes under future climate change scenarios</w:t>
            </w:r>
            <w:r w:rsidR="00677161" w:rsidRPr="009F2C9D">
              <w:rPr>
                <w:rFonts w:ascii="Arial" w:hAnsi="Arial" w:cs="Arial"/>
                <w:iCs/>
              </w:rPr>
              <w:t>.</w:t>
            </w:r>
          </w:p>
        </w:tc>
      </w:tr>
    </w:tbl>
    <w:p w14:paraId="754BEB1C" w14:textId="77777777" w:rsidR="00636EB2" w:rsidRPr="009F2C9D" w:rsidRDefault="00636EB2" w:rsidP="00712C10">
      <w:pPr>
        <w:pStyle w:val="Body"/>
        <w:spacing w:after="0" w:line="276" w:lineRule="auto"/>
        <w:rPr>
          <w:rFonts w:ascii="Arial" w:hAnsi="Arial" w:cs="Arial"/>
          <w:i/>
        </w:rPr>
      </w:pPr>
    </w:p>
    <w:p w14:paraId="6640F431" w14:textId="559124C8" w:rsidR="000A680B" w:rsidRPr="009F2C9D" w:rsidRDefault="000A680B" w:rsidP="00712C10">
      <w:pPr>
        <w:pStyle w:val="Body"/>
        <w:spacing w:after="0" w:line="276" w:lineRule="auto"/>
        <w:rPr>
          <w:rFonts w:ascii="Arial" w:hAnsi="Arial" w:cs="Arial"/>
          <w:i/>
          <w:lang w:val="en-IN"/>
        </w:rPr>
      </w:pPr>
      <w:r w:rsidRPr="009F2C9D">
        <w:rPr>
          <w:rFonts w:ascii="Arial" w:hAnsi="Arial" w:cs="Arial"/>
          <w:b/>
          <w:bCs/>
          <w:i/>
          <w:lang w:val="en-IN"/>
        </w:rPr>
        <w:t>Key words:</w:t>
      </w:r>
      <w:r w:rsidRPr="009F2C9D">
        <w:rPr>
          <w:rFonts w:ascii="Arial" w:hAnsi="Arial" w:cs="Arial"/>
          <w:i/>
          <w:lang w:val="en-IN"/>
        </w:rPr>
        <w:t xml:space="preserve"> DAB staining; </w:t>
      </w:r>
      <w:r w:rsidR="00DD0548" w:rsidRPr="009F2C9D">
        <w:rPr>
          <w:rFonts w:ascii="Arial" w:hAnsi="Arial" w:cs="Arial"/>
          <w:i/>
          <w:lang w:val="en-IN"/>
        </w:rPr>
        <w:t>A</w:t>
      </w:r>
      <w:proofErr w:type="spellStart"/>
      <w:r w:rsidR="00DD0548" w:rsidRPr="009F2C9D">
        <w:rPr>
          <w:rFonts w:ascii="Arial" w:hAnsi="Arial" w:cs="Arial"/>
          <w:i/>
          <w:lang w:val="en-GB"/>
        </w:rPr>
        <w:t>ntioxidant</w:t>
      </w:r>
      <w:proofErr w:type="spellEnd"/>
      <w:r w:rsidR="00DD0548" w:rsidRPr="009F2C9D">
        <w:rPr>
          <w:rFonts w:ascii="Arial" w:hAnsi="Arial" w:cs="Arial"/>
          <w:i/>
          <w:lang w:val="en-GB"/>
        </w:rPr>
        <w:t xml:space="preserve"> regulation; ROS accumulation</w:t>
      </w:r>
      <w:r w:rsidRPr="009F2C9D">
        <w:rPr>
          <w:rFonts w:ascii="Arial" w:hAnsi="Arial" w:cs="Arial"/>
          <w:i/>
          <w:lang w:val="en-IN"/>
        </w:rPr>
        <w:t>; high temperature; elevated CO</w:t>
      </w:r>
      <w:r w:rsidRPr="009F2C9D">
        <w:rPr>
          <w:rFonts w:ascii="Arial" w:hAnsi="Arial" w:cs="Arial"/>
          <w:i/>
          <w:vertAlign w:val="subscript"/>
          <w:lang w:val="en-IN"/>
        </w:rPr>
        <w:t xml:space="preserve">2 </w:t>
      </w:r>
      <w:r w:rsidRPr="009F2C9D">
        <w:rPr>
          <w:rFonts w:ascii="Arial" w:hAnsi="Arial" w:cs="Arial"/>
          <w:i/>
          <w:lang w:val="en-IN"/>
        </w:rPr>
        <w:t>and drought</w:t>
      </w:r>
    </w:p>
    <w:p w14:paraId="4B32C3D0" w14:textId="77777777" w:rsidR="00505F06" w:rsidRPr="009F2C9D" w:rsidRDefault="00505F06" w:rsidP="00712C10">
      <w:pPr>
        <w:pStyle w:val="Body"/>
        <w:spacing w:after="0" w:line="276" w:lineRule="auto"/>
        <w:rPr>
          <w:rFonts w:ascii="Arial" w:hAnsi="Arial" w:cs="Arial"/>
          <w:i/>
          <w:lang w:val="en-IN"/>
        </w:rPr>
      </w:pPr>
    </w:p>
    <w:p w14:paraId="07A6CAB1" w14:textId="69ACEEB9" w:rsidR="00790ADA" w:rsidRPr="009F2C9D" w:rsidRDefault="00902823" w:rsidP="00712C10">
      <w:pPr>
        <w:pStyle w:val="AbstHead"/>
        <w:spacing w:after="0" w:line="276" w:lineRule="auto"/>
        <w:jc w:val="both"/>
        <w:rPr>
          <w:rFonts w:ascii="Arial" w:hAnsi="Arial" w:cs="Arial"/>
        </w:rPr>
      </w:pPr>
      <w:r w:rsidRPr="009F2C9D">
        <w:rPr>
          <w:rFonts w:ascii="Arial" w:hAnsi="Arial" w:cs="Arial"/>
        </w:rPr>
        <w:t xml:space="preserve">1. </w:t>
      </w:r>
      <w:r w:rsidR="00B01FCD" w:rsidRPr="009F2C9D">
        <w:rPr>
          <w:rFonts w:ascii="Arial" w:hAnsi="Arial" w:cs="Arial"/>
        </w:rPr>
        <w:t>INTRODUCTION</w:t>
      </w:r>
      <w:r w:rsidR="007F7B32" w:rsidRPr="009F2C9D">
        <w:rPr>
          <w:rFonts w:ascii="Arial" w:hAnsi="Arial" w:cs="Arial"/>
        </w:rPr>
        <w:t xml:space="preserve"> </w:t>
      </w:r>
    </w:p>
    <w:p w14:paraId="2E6F80E9" w14:textId="77777777" w:rsidR="00EA0723" w:rsidRPr="009F2C9D" w:rsidRDefault="00EA0723" w:rsidP="00712C10">
      <w:pPr>
        <w:pStyle w:val="AbstHead"/>
        <w:spacing w:after="0" w:line="276" w:lineRule="auto"/>
        <w:jc w:val="both"/>
        <w:rPr>
          <w:rFonts w:ascii="Arial" w:hAnsi="Arial" w:cs="Arial"/>
        </w:rPr>
      </w:pPr>
    </w:p>
    <w:p w14:paraId="268A5699" w14:textId="77777777" w:rsidR="0090793C" w:rsidRPr="009F2C9D" w:rsidRDefault="0090793C" w:rsidP="00712C10">
      <w:pPr>
        <w:pStyle w:val="Body"/>
        <w:spacing w:line="276" w:lineRule="auto"/>
        <w:ind w:firstLine="720"/>
        <w:rPr>
          <w:rFonts w:ascii="Arial" w:hAnsi="Arial" w:cs="Arial"/>
        </w:rPr>
      </w:pPr>
      <w:r w:rsidRPr="009F2C9D">
        <w:rPr>
          <w:rFonts w:ascii="Arial" w:hAnsi="Arial" w:cs="Arial"/>
        </w:rPr>
        <w:t xml:space="preserve">Plants grow and reproduce in environments influenced by a complex interplay of abiotic and biotic factors. Biotic stresses such as pathogen invasion, insect infestation, and herbivore damage, together with abiotic stresses like heat, salinity, drought, cold, and heavy metal toxicity, collectively limit crop productivity worldwide. Fluctuations in these stress factors often trigger a generalized defense mechanism in plants, known as oxidative stress, which disrupts normal cellular </w:t>
      </w:r>
      <w:r w:rsidRPr="009F2C9D">
        <w:rPr>
          <w:rFonts w:ascii="Arial" w:hAnsi="Arial" w:cs="Arial"/>
        </w:rPr>
        <w:lastRenderedPageBreak/>
        <w:t>functions by damaging biomolecules and organelles. Oxidative stress arises primarily from the excessive generation of reactive oxygen species (ROS), including superoxide anion (O</w:t>
      </w:r>
      <w:r w:rsidRPr="009F2C9D">
        <w:rPr>
          <w:rFonts w:ascii="Cambria Math" w:hAnsi="Cambria Math" w:cs="Cambria Math"/>
        </w:rPr>
        <w:t>₂</w:t>
      </w:r>
      <w:r w:rsidRPr="009F2C9D">
        <w:rPr>
          <w:rFonts w:ascii="Arial" w:hAnsi="Arial" w:cs="Arial"/>
        </w:rPr>
        <w:t>•</w:t>
      </w:r>
      <w:r w:rsidRPr="009F2C9D">
        <w:rPr>
          <w:rFonts w:ascii="Cambria Math" w:hAnsi="Cambria Math" w:cs="Cambria Math"/>
        </w:rPr>
        <w:t>⁻</w:t>
      </w:r>
      <w:r w:rsidRPr="009F2C9D">
        <w:rPr>
          <w:rFonts w:ascii="Arial" w:hAnsi="Arial" w:cs="Arial"/>
        </w:rPr>
        <w:t>), hydroxyl radical (OH•), hydrogen peroxide (H</w:t>
      </w:r>
      <w:r w:rsidRPr="009F2C9D">
        <w:rPr>
          <w:rFonts w:ascii="Cambria Math" w:hAnsi="Cambria Math" w:cs="Cambria Math"/>
        </w:rPr>
        <w:t>₂</w:t>
      </w:r>
      <w:r w:rsidRPr="009F2C9D">
        <w:rPr>
          <w:rFonts w:ascii="Arial" w:hAnsi="Arial" w:cs="Arial"/>
        </w:rPr>
        <w:t>O</w:t>
      </w:r>
      <w:r w:rsidRPr="009F2C9D">
        <w:rPr>
          <w:rFonts w:ascii="Cambria Math" w:hAnsi="Cambria Math" w:cs="Cambria Math"/>
        </w:rPr>
        <w:t>₂</w:t>
      </w:r>
      <w:r w:rsidRPr="009F2C9D">
        <w:rPr>
          <w:rFonts w:ascii="Arial" w:hAnsi="Arial" w:cs="Arial"/>
        </w:rPr>
        <w:t>), nitric oxide (NO), and singlet oxygen (¹O</w:t>
      </w:r>
      <w:r w:rsidRPr="009F2C9D">
        <w:rPr>
          <w:rFonts w:ascii="Cambria Math" w:hAnsi="Cambria Math" w:cs="Cambria Math"/>
        </w:rPr>
        <w:t>₂</w:t>
      </w:r>
      <w:r w:rsidRPr="009F2C9D">
        <w:rPr>
          <w:rFonts w:ascii="Arial" w:hAnsi="Arial" w:cs="Arial"/>
        </w:rPr>
        <w:t>) (Apel and Hirt, 2004). These ROS are highly reactive because of their unpaired electrons and short lifespans. In addition to oxygen-centered radicals, carbon-centered radicals also contribute to oxidative damage. Both ROS and free radicals are mainly produced through the activity of enzymes such as NADPH oxidases and peroxidases (</w:t>
      </w:r>
      <w:proofErr w:type="spellStart"/>
      <w:r w:rsidRPr="009F2C9D">
        <w:rPr>
          <w:rFonts w:ascii="Arial" w:hAnsi="Arial" w:cs="Arial"/>
        </w:rPr>
        <w:t>Hasanuzzaman</w:t>
      </w:r>
      <w:proofErr w:type="spellEnd"/>
      <w:r w:rsidRPr="009F2C9D">
        <w:rPr>
          <w:rFonts w:ascii="Arial" w:hAnsi="Arial" w:cs="Arial"/>
        </w:rPr>
        <w:t xml:space="preserve"> and Fujita, 2022).</w:t>
      </w:r>
    </w:p>
    <w:p w14:paraId="7CED4887" w14:textId="77777777" w:rsidR="00753D40" w:rsidRPr="009F2C9D" w:rsidRDefault="00EA0723" w:rsidP="00753D40">
      <w:pPr>
        <w:pStyle w:val="Body"/>
        <w:spacing w:line="276" w:lineRule="auto"/>
        <w:ind w:firstLine="720"/>
        <w:rPr>
          <w:rFonts w:ascii="Arial" w:hAnsi="Arial" w:cs="Arial"/>
        </w:rPr>
      </w:pPr>
      <w:r w:rsidRPr="009F2C9D">
        <w:rPr>
          <w:rFonts w:ascii="Arial" w:hAnsi="Arial" w:cs="Arial"/>
        </w:rPr>
        <w:t>Under stress conditions, ROS levels increase drastically within cellular organelles—H</w:t>
      </w:r>
      <w:r w:rsidRPr="009F2C9D">
        <w:rPr>
          <w:rFonts w:ascii="Cambria Math" w:hAnsi="Cambria Math" w:cs="Cambria Math"/>
        </w:rPr>
        <w:t>₂</w:t>
      </w:r>
      <w:r w:rsidRPr="009F2C9D">
        <w:rPr>
          <w:rFonts w:ascii="Arial" w:hAnsi="Arial" w:cs="Arial"/>
        </w:rPr>
        <w:t>O</w:t>
      </w:r>
      <w:r w:rsidRPr="009F2C9D">
        <w:rPr>
          <w:rFonts w:ascii="Cambria Math" w:hAnsi="Cambria Math" w:cs="Cambria Math"/>
        </w:rPr>
        <w:t>₂</w:t>
      </w:r>
      <w:r w:rsidRPr="009F2C9D">
        <w:rPr>
          <w:rFonts w:ascii="Arial" w:hAnsi="Arial" w:cs="Arial"/>
        </w:rPr>
        <w:t xml:space="preserve"> accumulates in peroxisomes, while O</w:t>
      </w:r>
      <w:r w:rsidRPr="009F2C9D">
        <w:rPr>
          <w:rFonts w:ascii="Cambria Math" w:hAnsi="Cambria Math" w:cs="Cambria Math"/>
        </w:rPr>
        <w:t>₂</w:t>
      </w:r>
      <w:r w:rsidRPr="009F2C9D">
        <w:rPr>
          <w:rFonts w:ascii="Arial" w:hAnsi="Arial" w:cs="Arial"/>
        </w:rPr>
        <w:t>•</w:t>
      </w:r>
      <w:r w:rsidRPr="009F2C9D">
        <w:rPr>
          <w:rFonts w:ascii="Cambria Math" w:hAnsi="Cambria Math" w:cs="Cambria Math"/>
        </w:rPr>
        <w:t>⁻</w:t>
      </w:r>
      <w:r w:rsidRPr="009F2C9D">
        <w:rPr>
          <w:rFonts w:ascii="Arial" w:hAnsi="Arial" w:cs="Arial"/>
        </w:rPr>
        <w:t xml:space="preserve"> is generated via the electron transport chains of chloroplasts and mitochondria (Apel and Hirt, 2004). </w:t>
      </w:r>
      <w:r w:rsidR="00522CA6" w:rsidRPr="009F2C9D">
        <w:rPr>
          <w:rFonts w:ascii="Arial" w:hAnsi="Arial" w:cs="Arial"/>
        </w:rPr>
        <w:t>The plasma membrane serves as a key site for ROS generation in response to both internal and external stimuli.</w:t>
      </w:r>
      <w:r w:rsidRPr="009F2C9D">
        <w:rPr>
          <w:rFonts w:ascii="Arial" w:hAnsi="Arial" w:cs="Arial"/>
        </w:rPr>
        <w:t xml:space="preserve"> </w:t>
      </w:r>
      <w:r w:rsidR="00522CA6" w:rsidRPr="009F2C9D">
        <w:rPr>
          <w:rFonts w:ascii="Arial" w:hAnsi="Arial" w:cs="Arial"/>
        </w:rPr>
        <w:t xml:space="preserve">To counteract oxidative damage, plants have evolved a complex antioxidant defense system consisting of both enzymatic and non-enzymatic components. The enzymatic antioxidants—such as superoxide dismutase (SOD), ascorbate peroxidase (APX), peroxidase (POX), catalase (CAT), and glutathione reductase (GR)—play vital roles in detoxifying reactive oxygen species (ROS) and maintaining cellular redox balance. </w:t>
      </w:r>
      <w:r w:rsidR="00753D40" w:rsidRPr="009F2C9D">
        <w:rPr>
          <w:rFonts w:ascii="Arial" w:hAnsi="Arial" w:cs="Arial"/>
        </w:rPr>
        <w:t>In addition, the mitochondrial alternative oxidase (AOX) pathway contributes to minimizing ROS formation by maintaining the balance of electron transport (</w:t>
      </w:r>
      <w:proofErr w:type="spellStart"/>
      <w:r w:rsidR="00753D40" w:rsidRPr="009F2C9D">
        <w:rPr>
          <w:rFonts w:ascii="Arial" w:hAnsi="Arial" w:cs="Arial"/>
        </w:rPr>
        <w:t>Cannea</w:t>
      </w:r>
      <w:proofErr w:type="spellEnd"/>
      <w:r w:rsidR="00753D40" w:rsidRPr="009F2C9D">
        <w:rPr>
          <w:rFonts w:ascii="Arial" w:hAnsi="Arial" w:cs="Arial"/>
        </w:rPr>
        <w:t xml:space="preserve"> et al., 2025). Alongside these enzymatic defenses, non-enzymatic antioxidants such as ascorbate, glutathione, vitamins, flavonoids, phenolic acids, and anthocyanins also play vital roles in scavenging reactive oxygen species and protecting cellular components from oxidative damage.</w:t>
      </w:r>
    </w:p>
    <w:p w14:paraId="644F9C6B" w14:textId="098400E8" w:rsidR="00F60961" w:rsidRPr="009F2C9D" w:rsidRDefault="00547BF7" w:rsidP="00547BF7">
      <w:pPr>
        <w:pStyle w:val="Body"/>
        <w:spacing w:after="0" w:line="276" w:lineRule="auto"/>
        <w:ind w:firstLine="720"/>
        <w:rPr>
          <w:rFonts w:ascii="Arial" w:hAnsi="Arial" w:cs="Arial"/>
        </w:rPr>
      </w:pPr>
      <w:r w:rsidRPr="009F2C9D">
        <w:rPr>
          <w:rFonts w:ascii="Arial" w:hAnsi="Arial" w:cs="Arial"/>
        </w:rPr>
        <w:t>Several analytical and histochemical techniques have been developed for detecting reactive oxygen species (ROS) in plants, each offering distinct advantages and limitations. Among these, 3,3′-diaminobenzidine (DAB) staining is widely employed to visualize hydrogen peroxide (H</w:t>
      </w:r>
      <w:r w:rsidRPr="009F2C9D">
        <w:rPr>
          <w:rFonts w:ascii="Cambria Math" w:hAnsi="Cambria Math" w:cs="Cambria Math"/>
        </w:rPr>
        <w:t>₂</w:t>
      </w:r>
      <w:r w:rsidRPr="009F2C9D">
        <w:rPr>
          <w:rFonts w:ascii="Arial" w:hAnsi="Arial" w:cs="Arial"/>
        </w:rPr>
        <w:t>O</w:t>
      </w:r>
      <w:r w:rsidRPr="009F2C9D">
        <w:rPr>
          <w:rFonts w:ascii="Cambria Math" w:hAnsi="Cambria Math" w:cs="Cambria Math"/>
        </w:rPr>
        <w:t>₂</w:t>
      </w:r>
      <w:r w:rsidRPr="009F2C9D">
        <w:rPr>
          <w:rFonts w:ascii="Arial" w:hAnsi="Arial" w:cs="Arial"/>
        </w:rPr>
        <w:t>) accumulation, where the formation of brown-colored precipitates signifies sites of ROS production (Ramel et al., 2009).</w:t>
      </w:r>
    </w:p>
    <w:p w14:paraId="7338B78F" w14:textId="77777777" w:rsidR="00547BF7" w:rsidRPr="009F2C9D" w:rsidRDefault="00547BF7" w:rsidP="00547BF7">
      <w:pPr>
        <w:pStyle w:val="Body"/>
        <w:spacing w:after="0" w:line="276" w:lineRule="auto"/>
        <w:ind w:firstLine="720"/>
        <w:rPr>
          <w:rFonts w:ascii="Arial" w:hAnsi="Arial" w:cs="Arial"/>
        </w:rPr>
      </w:pPr>
    </w:p>
    <w:p w14:paraId="32ECE764" w14:textId="6A32CFA8" w:rsidR="007F7B32" w:rsidRPr="009F2C9D" w:rsidRDefault="00902823" w:rsidP="00712C10">
      <w:pPr>
        <w:pStyle w:val="AbstHead"/>
        <w:spacing w:after="0" w:line="276" w:lineRule="auto"/>
        <w:jc w:val="both"/>
        <w:rPr>
          <w:rFonts w:ascii="Arial" w:hAnsi="Arial" w:cs="Arial"/>
        </w:rPr>
      </w:pPr>
      <w:r w:rsidRPr="009F2C9D">
        <w:rPr>
          <w:rFonts w:ascii="Arial" w:hAnsi="Arial" w:cs="Arial"/>
        </w:rPr>
        <w:t>2. material and method</w:t>
      </w:r>
      <w:r w:rsidR="00000F8F" w:rsidRPr="009F2C9D">
        <w:rPr>
          <w:rFonts w:ascii="Arial" w:hAnsi="Arial" w:cs="Arial"/>
        </w:rPr>
        <w:t xml:space="preserve">s </w:t>
      </w:r>
    </w:p>
    <w:p w14:paraId="4575B867" w14:textId="77777777" w:rsidR="00790ADA" w:rsidRPr="009F2C9D" w:rsidRDefault="00790ADA" w:rsidP="00712C10">
      <w:pPr>
        <w:pStyle w:val="AbstHead"/>
        <w:spacing w:after="0" w:line="276" w:lineRule="auto"/>
        <w:jc w:val="both"/>
        <w:rPr>
          <w:rFonts w:ascii="Arial" w:hAnsi="Arial" w:cs="Arial"/>
        </w:rPr>
      </w:pPr>
    </w:p>
    <w:p w14:paraId="5364902B" w14:textId="642C3764" w:rsidR="00677161" w:rsidRPr="009F2C9D" w:rsidRDefault="00EA0723" w:rsidP="00712C10">
      <w:pPr>
        <w:pStyle w:val="Body"/>
        <w:spacing w:after="0" w:line="276" w:lineRule="auto"/>
        <w:ind w:firstLine="720"/>
        <w:rPr>
          <w:rFonts w:ascii="Arial" w:hAnsi="Arial" w:cs="Arial"/>
          <w:lang w:val="en-IN"/>
        </w:rPr>
      </w:pPr>
      <w:r w:rsidRPr="009F2C9D">
        <w:rPr>
          <w:rFonts w:ascii="Arial" w:hAnsi="Arial" w:cs="Arial"/>
          <w:lang w:val="en-IN"/>
        </w:rPr>
        <w:t>The impact of high temperature, elevated CO</w:t>
      </w:r>
      <w:r w:rsidRPr="009F2C9D">
        <w:rPr>
          <w:rFonts w:ascii="Cambria Math" w:hAnsi="Cambria Math" w:cs="Cambria Math"/>
          <w:lang w:val="en-IN"/>
        </w:rPr>
        <w:t>₂</w:t>
      </w:r>
      <w:r w:rsidRPr="009F2C9D">
        <w:rPr>
          <w:rFonts w:ascii="Arial" w:hAnsi="Arial" w:cs="Arial"/>
          <w:lang w:val="en-IN"/>
        </w:rPr>
        <w:t xml:space="preserve">, and drought stress was assessed in four finger millet genotypes GPU 28, ML 365, GPU 66, and GPU 67 using the Polyhouse and Open Top Chamber system (OTCs) facilities available at the Department of Plant Physiology, College of Agriculture, Vellayani. </w:t>
      </w:r>
      <w:r w:rsidR="00677161" w:rsidRPr="009F2C9D">
        <w:rPr>
          <w:rFonts w:ascii="Arial" w:eastAsia="Calibri" w:hAnsi="Arial" w:cs="Arial"/>
          <w:szCs w:val="22"/>
          <w:highlight w:val="yellow"/>
        </w:rPr>
        <w:t>The design was factorial Completely Randomized Design (CRD)</w:t>
      </w:r>
      <w:r w:rsidR="00677161" w:rsidRPr="009F2C9D">
        <w:rPr>
          <w:rFonts w:ascii="Arial" w:eastAsia="Calibri" w:hAnsi="Arial" w:cs="Arial"/>
          <w:szCs w:val="22"/>
          <w:highlight w:val="yellow"/>
          <w:lang w:val="en-IN"/>
        </w:rPr>
        <w:t xml:space="preserve"> with two factors (genotype and stress condition) with three replications in each.</w:t>
      </w:r>
      <w:r w:rsidR="00DD0548" w:rsidRPr="009F2C9D">
        <w:rPr>
          <w:rFonts w:ascii="Arial" w:eastAsia="Calibri" w:hAnsi="Arial" w:cs="Arial"/>
          <w:szCs w:val="22"/>
          <w:highlight w:val="yellow"/>
          <w:lang w:val="en-IN"/>
        </w:rPr>
        <w:t xml:space="preserve"> </w:t>
      </w:r>
      <w:r w:rsidR="00B609E8" w:rsidRPr="009F2C9D">
        <w:rPr>
          <w:rFonts w:ascii="Arial" w:eastAsia="Calibri" w:hAnsi="Arial" w:cs="Arial"/>
          <w:szCs w:val="22"/>
          <w:highlight w:val="yellow"/>
          <w:lang w:val="en-IN"/>
        </w:rPr>
        <w:t xml:space="preserve">The statistical analysis was made using </w:t>
      </w:r>
      <w:proofErr w:type="gramStart"/>
      <w:r w:rsidR="00B609E8" w:rsidRPr="009F2C9D">
        <w:rPr>
          <w:rFonts w:ascii="Arial" w:eastAsia="Calibri" w:hAnsi="Arial" w:cs="Arial"/>
          <w:szCs w:val="22"/>
          <w:highlight w:val="yellow"/>
          <w:lang w:val="en-IN"/>
        </w:rPr>
        <w:t>two way</w:t>
      </w:r>
      <w:proofErr w:type="gramEnd"/>
      <w:r w:rsidR="00B609E8" w:rsidRPr="009F2C9D">
        <w:rPr>
          <w:rFonts w:ascii="Arial" w:eastAsia="Calibri" w:hAnsi="Arial" w:cs="Arial"/>
          <w:szCs w:val="22"/>
          <w:highlight w:val="yellow"/>
          <w:lang w:val="en-IN"/>
        </w:rPr>
        <w:t xml:space="preserve"> ANOVA in GRAPES KAU software.</w:t>
      </w:r>
    </w:p>
    <w:p w14:paraId="53FB952A" w14:textId="77777777" w:rsidR="00677161" w:rsidRPr="009F2C9D" w:rsidRDefault="00677161" w:rsidP="00712C10">
      <w:pPr>
        <w:pStyle w:val="Body"/>
        <w:spacing w:after="0" w:line="276" w:lineRule="auto"/>
        <w:rPr>
          <w:rFonts w:ascii="Arial" w:hAnsi="Arial" w:cs="Arial"/>
          <w:b/>
          <w:bCs/>
          <w:lang w:val="en-IN"/>
        </w:rPr>
      </w:pPr>
    </w:p>
    <w:p w14:paraId="774D01C4" w14:textId="75965A66" w:rsidR="00EA0723" w:rsidRPr="009F2C9D" w:rsidRDefault="00EA0723" w:rsidP="00712C10">
      <w:pPr>
        <w:pStyle w:val="Body"/>
        <w:spacing w:after="0" w:line="276" w:lineRule="auto"/>
        <w:ind w:firstLine="720"/>
        <w:rPr>
          <w:rFonts w:ascii="Arial" w:eastAsia="Calibri" w:hAnsi="Arial" w:cs="Arial"/>
          <w:szCs w:val="22"/>
        </w:rPr>
      </w:pPr>
      <w:r w:rsidRPr="009F2C9D">
        <w:rPr>
          <w:rFonts w:ascii="Arial" w:hAnsi="Arial" w:cs="Arial"/>
          <w:lang w:val="en-IN"/>
        </w:rPr>
        <w:t>Pot experiments were conducted under three environmental conditions: ambient (with a maximum temperature of 35°C), high temperature in the polyhouse (up to 40°C), and elevated CO</w:t>
      </w:r>
      <w:r w:rsidRPr="009F2C9D">
        <w:rPr>
          <w:rFonts w:ascii="Cambria Math" w:hAnsi="Cambria Math" w:cs="Cambria Math"/>
          <w:lang w:val="en-IN"/>
        </w:rPr>
        <w:t>₂</w:t>
      </w:r>
      <w:r w:rsidRPr="009F2C9D">
        <w:rPr>
          <w:rFonts w:ascii="Arial" w:hAnsi="Arial" w:cs="Arial"/>
          <w:lang w:val="en-IN"/>
        </w:rPr>
        <w:t xml:space="preserve"> (500 ppm) combined with drought stress (maintained at 60% field capacity using the gravimetric method) in the OTCs facility.</w:t>
      </w:r>
      <w:r w:rsidR="00677161" w:rsidRPr="009F2C9D">
        <w:rPr>
          <w:rFonts w:ascii="Arial" w:eastAsia="Calibri" w:hAnsi="Arial" w:cs="Arial"/>
          <w:szCs w:val="22"/>
        </w:rPr>
        <w:t xml:space="preserve"> </w:t>
      </w:r>
    </w:p>
    <w:p w14:paraId="23919F45" w14:textId="77777777" w:rsidR="00677161" w:rsidRPr="009F2C9D" w:rsidRDefault="00677161" w:rsidP="00712C10">
      <w:pPr>
        <w:pStyle w:val="Body"/>
        <w:spacing w:after="0" w:line="276" w:lineRule="auto"/>
        <w:ind w:firstLine="720"/>
        <w:rPr>
          <w:rFonts w:ascii="Arial" w:hAnsi="Arial" w:cs="Arial"/>
          <w:b/>
          <w:bCs/>
          <w:lang w:val="en-IN"/>
        </w:rPr>
      </w:pPr>
    </w:p>
    <w:p w14:paraId="260BFC10" w14:textId="08549DC5" w:rsidR="00EA0723" w:rsidRPr="009F2C9D" w:rsidRDefault="00EA0723" w:rsidP="00712C10">
      <w:pPr>
        <w:pStyle w:val="Body"/>
        <w:spacing w:after="0" w:line="276" w:lineRule="auto"/>
        <w:rPr>
          <w:rFonts w:ascii="Arial" w:hAnsi="Arial" w:cs="Arial"/>
          <w:b/>
          <w:bCs/>
          <w:sz w:val="22"/>
          <w:szCs w:val="22"/>
          <w:lang w:val="en-IN"/>
        </w:rPr>
      </w:pPr>
      <w:r w:rsidRPr="009F2C9D">
        <w:rPr>
          <w:rFonts w:ascii="Arial" w:hAnsi="Arial" w:cs="Arial"/>
          <w:b/>
          <w:bCs/>
          <w:sz w:val="22"/>
          <w:szCs w:val="22"/>
          <w:lang w:val="en-IN"/>
        </w:rPr>
        <w:t>2.1 Estimation of H</w:t>
      </w:r>
      <w:r w:rsidRPr="009F2C9D">
        <w:rPr>
          <w:rFonts w:ascii="Arial" w:hAnsi="Arial" w:cs="Arial"/>
          <w:b/>
          <w:bCs/>
          <w:sz w:val="22"/>
          <w:szCs w:val="22"/>
          <w:vertAlign w:val="subscript"/>
          <w:lang w:val="en-IN"/>
        </w:rPr>
        <w:t>2</w:t>
      </w:r>
      <w:r w:rsidRPr="009F2C9D">
        <w:rPr>
          <w:rFonts w:ascii="Arial" w:hAnsi="Arial" w:cs="Arial"/>
          <w:b/>
          <w:bCs/>
          <w:sz w:val="22"/>
          <w:szCs w:val="22"/>
          <w:lang w:val="en-IN"/>
        </w:rPr>
        <w:t>O</w:t>
      </w:r>
      <w:r w:rsidRPr="009F2C9D">
        <w:rPr>
          <w:rFonts w:ascii="Arial" w:hAnsi="Arial" w:cs="Arial"/>
          <w:b/>
          <w:bCs/>
          <w:sz w:val="22"/>
          <w:szCs w:val="22"/>
          <w:vertAlign w:val="subscript"/>
          <w:lang w:val="en-IN"/>
        </w:rPr>
        <w:t>2</w:t>
      </w:r>
      <w:r w:rsidRPr="009F2C9D">
        <w:rPr>
          <w:rFonts w:ascii="Arial" w:hAnsi="Arial" w:cs="Arial"/>
          <w:b/>
          <w:bCs/>
          <w:sz w:val="22"/>
          <w:szCs w:val="22"/>
          <w:lang w:val="en-IN"/>
        </w:rPr>
        <w:t xml:space="preserve"> by DAB Staining</w:t>
      </w:r>
    </w:p>
    <w:p w14:paraId="512C3E09" w14:textId="77777777" w:rsidR="00677161" w:rsidRPr="009F2C9D" w:rsidRDefault="00677161" w:rsidP="00712C10">
      <w:pPr>
        <w:pStyle w:val="Body"/>
        <w:spacing w:after="0" w:line="276" w:lineRule="auto"/>
        <w:rPr>
          <w:rFonts w:ascii="Arial" w:hAnsi="Arial" w:cs="Arial"/>
          <w:b/>
          <w:bCs/>
          <w:sz w:val="22"/>
          <w:szCs w:val="22"/>
          <w:lang w:val="en-IN"/>
        </w:rPr>
      </w:pPr>
    </w:p>
    <w:p w14:paraId="34D1AA29" w14:textId="779A4AAA" w:rsidR="00EA0723" w:rsidRPr="009F2C9D" w:rsidRDefault="00EA0723" w:rsidP="00712C10">
      <w:pPr>
        <w:pStyle w:val="Body"/>
        <w:spacing w:after="0" w:line="276" w:lineRule="auto"/>
        <w:ind w:firstLine="720"/>
        <w:rPr>
          <w:rFonts w:ascii="Arial" w:hAnsi="Arial" w:cs="Arial"/>
          <w:lang w:val="en-IN"/>
        </w:rPr>
      </w:pPr>
      <w:r w:rsidRPr="009F2C9D">
        <w:rPr>
          <w:rFonts w:ascii="Arial" w:hAnsi="Arial" w:cs="Arial"/>
          <w:lang w:val="en-IN"/>
        </w:rPr>
        <w:t>H</w:t>
      </w:r>
      <w:r w:rsidRPr="009F2C9D">
        <w:rPr>
          <w:rFonts w:ascii="Arial" w:hAnsi="Arial" w:cs="Arial"/>
          <w:vertAlign w:val="subscript"/>
          <w:lang w:val="en-IN"/>
        </w:rPr>
        <w:t>2</w:t>
      </w:r>
      <w:r w:rsidRPr="009F2C9D">
        <w:rPr>
          <w:rFonts w:ascii="Arial" w:hAnsi="Arial" w:cs="Arial"/>
          <w:lang w:val="en-IN"/>
        </w:rPr>
        <w:t>O</w:t>
      </w:r>
      <w:r w:rsidRPr="009F2C9D">
        <w:rPr>
          <w:rFonts w:ascii="Arial" w:hAnsi="Arial" w:cs="Arial"/>
          <w:vertAlign w:val="subscript"/>
          <w:lang w:val="en-IN"/>
        </w:rPr>
        <w:t xml:space="preserve">2 </w:t>
      </w:r>
      <w:r w:rsidRPr="009F2C9D">
        <w:rPr>
          <w:rFonts w:ascii="Arial" w:hAnsi="Arial" w:cs="Arial"/>
          <w:lang w:val="en-IN"/>
        </w:rPr>
        <w:t xml:space="preserve">generation in plant samples were determined by 3, 3-Diaminobenzidine (DAB) staining technique described by (Kumar </w:t>
      </w:r>
      <w:r w:rsidRPr="009F2C9D">
        <w:rPr>
          <w:rFonts w:ascii="Arial" w:hAnsi="Arial" w:cs="Arial"/>
          <w:i/>
          <w:iCs/>
          <w:lang w:val="en-IN"/>
        </w:rPr>
        <w:t>et al</w:t>
      </w:r>
      <w:r w:rsidRPr="009F2C9D">
        <w:rPr>
          <w:rFonts w:ascii="Arial" w:hAnsi="Arial" w:cs="Arial"/>
          <w:lang w:val="en-IN"/>
        </w:rPr>
        <w:t xml:space="preserve">., 2014). The </w:t>
      </w:r>
      <w:proofErr w:type="spellStart"/>
      <w:r w:rsidRPr="009F2C9D">
        <w:rPr>
          <w:rFonts w:ascii="Arial" w:hAnsi="Arial" w:cs="Arial"/>
          <w:lang w:val="en-IN"/>
        </w:rPr>
        <w:t>treatmented</w:t>
      </w:r>
      <w:proofErr w:type="spellEnd"/>
      <w:r w:rsidRPr="009F2C9D">
        <w:rPr>
          <w:rFonts w:ascii="Arial" w:hAnsi="Arial" w:cs="Arial"/>
          <w:lang w:val="en-IN"/>
        </w:rPr>
        <w:t xml:space="preserve"> and control leaves after 60 days of planting were dipped in DAB solution prepared by dissolving 50 mg DAB in 45 ml distilled water in an amber-coloured bottle. The pH was adjusted to 3.8 using 0.l N HCl while mixing properly on a magnetic stirrer, the volume was made to 50 ml to get 1 mg ml</w:t>
      </w:r>
      <w:r w:rsidRPr="009F2C9D">
        <w:rPr>
          <w:rFonts w:ascii="Arial" w:hAnsi="Arial" w:cs="Arial"/>
          <w:vertAlign w:val="superscript"/>
          <w:lang w:val="en-IN"/>
        </w:rPr>
        <w:t>-1</w:t>
      </w:r>
      <w:r w:rsidRPr="009F2C9D">
        <w:rPr>
          <w:rFonts w:ascii="Arial" w:hAnsi="Arial" w:cs="Arial"/>
          <w:lang w:val="en-IN"/>
        </w:rPr>
        <w:t xml:space="preserve"> solution. DAB staining solution was prepared freshly before use. Chlorophyll was removed for proper visualization of the stain. This was done by immersing the leaves in 3:1 (ethanol: glacial acetic acid (85 %)) and heating in a boiling water bath at 50-55°</w:t>
      </w:r>
      <w:r w:rsidRPr="009F2C9D">
        <w:rPr>
          <w:rFonts w:ascii="Cambria Math" w:hAnsi="Cambria Math" w:cs="Cambria Math"/>
          <w:lang w:val="en-IN"/>
        </w:rPr>
        <w:t>℃</w:t>
      </w:r>
      <w:r w:rsidRPr="009F2C9D">
        <w:rPr>
          <w:rFonts w:ascii="Arial" w:hAnsi="Arial" w:cs="Arial"/>
          <w:lang w:val="en-IN"/>
        </w:rPr>
        <w:t>. The stained leaves were photographed against a contrast background for proper documentation.</w:t>
      </w:r>
    </w:p>
    <w:p w14:paraId="1C54B76D" w14:textId="77777777" w:rsidR="00EA0723" w:rsidRPr="009F2C9D" w:rsidRDefault="00EA0723" w:rsidP="00712C10">
      <w:pPr>
        <w:pStyle w:val="Body"/>
        <w:spacing w:after="0" w:line="276" w:lineRule="auto"/>
        <w:rPr>
          <w:rFonts w:ascii="Arial" w:hAnsi="Arial" w:cs="Arial"/>
          <w:b/>
          <w:bCs/>
          <w:lang w:val="en-IN"/>
        </w:rPr>
      </w:pPr>
    </w:p>
    <w:p w14:paraId="6A79B125" w14:textId="382CE42C" w:rsidR="00EA0723" w:rsidRPr="009F2C9D" w:rsidRDefault="00EA0723" w:rsidP="00712C10">
      <w:pPr>
        <w:pStyle w:val="Body"/>
        <w:spacing w:after="0" w:line="276" w:lineRule="auto"/>
        <w:rPr>
          <w:rFonts w:ascii="Arial" w:hAnsi="Arial" w:cs="Arial"/>
          <w:b/>
          <w:bCs/>
          <w:sz w:val="22"/>
          <w:szCs w:val="22"/>
          <w:lang w:val="en-IN"/>
        </w:rPr>
      </w:pPr>
      <w:r w:rsidRPr="009F2C9D">
        <w:rPr>
          <w:rFonts w:ascii="Arial" w:hAnsi="Arial" w:cs="Arial"/>
          <w:b/>
          <w:bCs/>
          <w:sz w:val="22"/>
          <w:szCs w:val="22"/>
          <w:lang w:val="en-IN"/>
        </w:rPr>
        <w:t>2.2 Estimation of total antioxidants</w:t>
      </w:r>
    </w:p>
    <w:p w14:paraId="346AA088" w14:textId="77777777" w:rsidR="00677161" w:rsidRPr="009F2C9D" w:rsidRDefault="00677161" w:rsidP="00712C10">
      <w:pPr>
        <w:pStyle w:val="Body"/>
        <w:spacing w:after="0" w:line="276" w:lineRule="auto"/>
        <w:rPr>
          <w:rFonts w:ascii="Arial" w:hAnsi="Arial" w:cs="Arial"/>
          <w:b/>
          <w:bCs/>
          <w:sz w:val="22"/>
          <w:szCs w:val="22"/>
          <w:lang w:val="en-IN"/>
        </w:rPr>
      </w:pPr>
    </w:p>
    <w:p w14:paraId="3313D670" w14:textId="77777777" w:rsidR="00B7785E" w:rsidRPr="009F2C9D" w:rsidRDefault="00B7785E" w:rsidP="00B7785E">
      <w:pPr>
        <w:pStyle w:val="Body"/>
        <w:spacing w:after="0" w:line="276" w:lineRule="auto"/>
        <w:ind w:firstLine="720"/>
        <w:rPr>
          <w:rFonts w:ascii="Arial" w:hAnsi="Arial" w:cs="Arial"/>
          <w:lang w:val="en-IN"/>
        </w:rPr>
      </w:pPr>
      <w:r w:rsidRPr="009F2C9D">
        <w:rPr>
          <w:rFonts w:ascii="Arial" w:hAnsi="Arial" w:cs="Arial"/>
          <w:lang w:val="en-IN"/>
        </w:rPr>
        <w:t>Total antioxidant activity was determined using the ferric reducing antioxidant power (FRAP) assay, following the method of Benzie and Strain (1999). The FRAP assay estimates the total reducing power of antioxidants in a sample through a redox-linked colorimetric reaction, where antioxidants act as reductants and convert ferric (Fe³</w:t>
      </w:r>
      <w:r w:rsidRPr="009F2C9D">
        <w:rPr>
          <w:rFonts w:ascii="Cambria Math" w:hAnsi="Cambria Math" w:cs="Cambria Math"/>
          <w:lang w:val="en-IN"/>
        </w:rPr>
        <w:t>⁺</w:t>
      </w:r>
      <w:r w:rsidRPr="009F2C9D">
        <w:rPr>
          <w:rFonts w:ascii="Arial" w:hAnsi="Arial" w:cs="Arial"/>
          <w:lang w:val="en-IN"/>
        </w:rPr>
        <w:t>) ions to ferrous (Fe²</w:t>
      </w:r>
      <w:r w:rsidRPr="009F2C9D">
        <w:rPr>
          <w:rFonts w:ascii="Cambria Math" w:hAnsi="Cambria Math" w:cs="Cambria Math"/>
          <w:lang w:val="en-IN"/>
        </w:rPr>
        <w:t>⁺</w:t>
      </w:r>
      <w:r w:rsidRPr="009F2C9D">
        <w:rPr>
          <w:rFonts w:ascii="Arial" w:hAnsi="Arial" w:cs="Arial"/>
          <w:lang w:val="en-IN"/>
        </w:rPr>
        <w:t>) ions in the presence of an easily reducible oxidant system in stoichiometric excess.</w:t>
      </w:r>
    </w:p>
    <w:p w14:paraId="1B16451B" w14:textId="77777777" w:rsidR="00B7785E" w:rsidRPr="009F2C9D" w:rsidRDefault="00B7785E" w:rsidP="00B7785E">
      <w:pPr>
        <w:pStyle w:val="Body"/>
        <w:spacing w:after="0" w:line="276" w:lineRule="auto"/>
        <w:ind w:firstLine="720"/>
        <w:rPr>
          <w:rFonts w:ascii="Arial" w:hAnsi="Arial" w:cs="Arial"/>
          <w:lang w:val="en-IN"/>
        </w:rPr>
      </w:pPr>
      <w:r w:rsidRPr="009F2C9D">
        <w:rPr>
          <w:rFonts w:ascii="Arial" w:hAnsi="Arial" w:cs="Arial"/>
          <w:lang w:val="en-IN"/>
        </w:rPr>
        <w:lastRenderedPageBreak/>
        <w:t xml:space="preserve">For the assay, 0.5 g of leaf tissue was collected from the middle portion of the index leaf and homogenized in acetate buffer (pH 3.6). The homogenate was centrifuged, and the supernatant was used for analysis. A 250 µL aliquot of the sample extract was mixed with 3 mL of freshly prepared FRAP reagent, and absorbance was recorded at 593 nm immediately after </w:t>
      </w:r>
      <w:proofErr w:type="spellStart"/>
      <w:r w:rsidRPr="009F2C9D">
        <w:rPr>
          <w:rFonts w:ascii="Arial" w:hAnsi="Arial" w:cs="Arial"/>
          <w:lang w:val="en-IN"/>
        </w:rPr>
        <w:t>vortexing</w:t>
      </w:r>
      <w:proofErr w:type="spellEnd"/>
      <w:r w:rsidRPr="009F2C9D">
        <w:rPr>
          <w:rFonts w:ascii="Arial" w:hAnsi="Arial" w:cs="Arial"/>
          <w:lang w:val="en-IN"/>
        </w:rPr>
        <w:t xml:space="preserve"> (0 min) and again after 4 minutes of incubation. Ascorbic acid standards (100–1000 µM) were prepared and processed in the same manner for calibration.</w:t>
      </w:r>
    </w:p>
    <w:p w14:paraId="598DD8DE" w14:textId="6ADFBB14" w:rsidR="00EA0723" w:rsidRPr="009F2C9D" w:rsidRDefault="00EA0723" w:rsidP="00B7785E">
      <w:pPr>
        <w:pStyle w:val="Body"/>
        <w:spacing w:after="0" w:line="276" w:lineRule="auto"/>
        <w:rPr>
          <w:rFonts w:ascii="Arial" w:hAnsi="Arial" w:cs="Arial"/>
        </w:rPr>
      </w:pPr>
    </w:p>
    <w:p w14:paraId="70A3EB3F" w14:textId="77777777" w:rsidR="00790ADA" w:rsidRPr="009F2C9D" w:rsidRDefault="00790ADA" w:rsidP="00712C10">
      <w:pPr>
        <w:pStyle w:val="Body"/>
        <w:spacing w:after="0" w:line="276" w:lineRule="auto"/>
        <w:rPr>
          <w:rFonts w:ascii="Arial" w:hAnsi="Arial" w:cs="Arial"/>
        </w:rPr>
      </w:pPr>
    </w:p>
    <w:p w14:paraId="5B84B603" w14:textId="77777777" w:rsidR="00902823" w:rsidRPr="009F2C9D" w:rsidRDefault="00000F8F" w:rsidP="00712C10">
      <w:pPr>
        <w:pStyle w:val="Head1"/>
        <w:spacing w:after="0" w:line="276" w:lineRule="auto"/>
        <w:jc w:val="both"/>
        <w:rPr>
          <w:rFonts w:ascii="Arial" w:hAnsi="Arial" w:cs="Arial"/>
        </w:rPr>
      </w:pPr>
      <w:r w:rsidRPr="009F2C9D">
        <w:rPr>
          <w:rFonts w:ascii="Arial" w:hAnsi="Arial" w:cs="Arial"/>
        </w:rPr>
        <w:t>3</w:t>
      </w:r>
      <w:r w:rsidR="00902823" w:rsidRPr="009F2C9D">
        <w:rPr>
          <w:rFonts w:ascii="Arial" w:hAnsi="Arial" w:cs="Arial"/>
        </w:rPr>
        <w:t xml:space="preserve">. </w:t>
      </w:r>
      <w:r w:rsidRPr="009F2C9D">
        <w:rPr>
          <w:rFonts w:ascii="Arial" w:hAnsi="Arial" w:cs="Arial"/>
        </w:rPr>
        <w:t>results and discussion</w:t>
      </w:r>
    </w:p>
    <w:p w14:paraId="0D47811C" w14:textId="77777777" w:rsidR="00790ADA" w:rsidRPr="009F2C9D" w:rsidRDefault="00790ADA" w:rsidP="00712C10">
      <w:pPr>
        <w:pStyle w:val="Head1"/>
        <w:spacing w:after="0" w:line="276" w:lineRule="auto"/>
        <w:jc w:val="both"/>
        <w:rPr>
          <w:rFonts w:ascii="Arial" w:hAnsi="Arial" w:cs="Arial"/>
        </w:rPr>
      </w:pPr>
    </w:p>
    <w:p w14:paraId="3A2833E9" w14:textId="3DD6AE43" w:rsidR="009F2C9D" w:rsidRPr="00655718" w:rsidRDefault="009F2C9D" w:rsidP="009F2C9D">
      <w:pPr>
        <w:ind w:firstLine="720"/>
        <w:jc w:val="both"/>
        <w:rPr>
          <w:rFonts w:ascii="Arial" w:hAnsi="Arial" w:cs="Arial"/>
        </w:rPr>
      </w:pPr>
      <w:r w:rsidRPr="00655718">
        <w:rPr>
          <w:rFonts w:ascii="Arial" w:hAnsi="Arial" w:cs="Arial"/>
        </w:rPr>
        <w:t>Visualization of hydrogen peroxide accumulation using DAB (3,3′-diaminobenzidine) staining revealed distinct differences among the finger millet genotypes GPU 28, ML 365, GPU 66, and GPU 67 when exposed to high temperature and elevated CO</w:t>
      </w:r>
      <w:r w:rsidRPr="00655718">
        <w:rPr>
          <w:rFonts w:ascii="Cambria Math" w:hAnsi="Cambria Math" w:cs="Cambria Math"/>
        </w:rPr>
        <w:t>₂</w:t>
      </w:r>
      <w:r w:rsidRPr="00655718">
        <w:rPr>
          <w:rFonts w:ascii="Arial" w:hAnsi="Arial" w:cs="Arial"/>
        </w:rPr>
        <w:t xml:space="preserve"> x drought interaction. The extent of brown coloration, indicative of H</w:t>
      </w:r>
      <w:r w:rsidRPr="00655718">
        <w:rPr>
          <w:rFonts w:ascii="Cambria Math" w:hAnsi="Cambria Math" w:cs="Cambria Math"/>
        </w:rPr>
        <w:t>₂</w:t>
      </w:r>
      <w:r w:rsidRPr="00655718">
        <w:rPr>
          <w:rFonts w:ascii="Arial" w:hAnsi="Arial" w:cs="Arial"/>
        </w:rPr>
        <w:t>O</w:t>
      </w:r>
      <w:r w:rsidRPr="00655718">
        <w:rPr>
          <w:rFonts w:ascii="Cambria Math" w:hAnsi="Cambria Math" w:cs="Cambria Math"/>
        </w:rPr>
        <w:t>₂</w:t>
      </w:r>
      <w:r w:rsidRPr="00655718">
        <w:rPr>
          <w:rFonts w:ascii="Arial" w:hAnsi="Arial" w:cs="Arial"/>
        </w:rPr>
        <w:t xml:space="preserve"> accumulation and oxidative stress, varied both across genotypes and treatments.</w:t>
      </w:r>
      <w:r w:rsidR="00F30D28" w:rsidRPr="00F30D28">
        <w:t xml:space="preserve"> </w:t>
      </w:r>
      <w:r w:rsidR="00F30D28" w:rsidRPr="00F30D28">
        <w:rPr>
          <w:rFonts w:ascii="Arial" w:hAnsi="Arial" w:cs="Arial"/>
        </w:rPr>
        <w:t>Similar approaches have been employed to assess thermotolerance in maize and other crops, where temperature induction response (TIR) techniques have been standardized for identifying heat-resilient genotypes (</w:t>
      </w:r>
      <w:proofErr w:type="spellStart"/>
      <w:r w:rsidR="00F30D28" w:rsidRPr="00F30D28">
        <w:rPr>
          <w:rFonts w:ascii="Arial" w:hAnsi="Arial" w:cs="Arial"/>
        </w:rPr>
        <w:t>Doddaghatta</w:t>
      </w:r>
      <w:proofErr w:type="spellEnd"/>
      <w:r w:rsidR="00F30D28" w:rsidRPr="00F30D28">
        <w:rPr>
          <w:rFonts w:ascii="Arial" w:hAnsi="Arial" w:cs="Arial"/>
        </w:rPr>
        <w:t xml:space="preserve"> et al., 2023). Moreover, hormonal regulation plays a crucial role in determining plant stress responses, as growth hormones such as abscisic acid, </w:t>
      </w:r>
      <w:proofErr w:type="spellStart"/>
      <w:r w:rsidR="00F30D28" w:rsidRPr="00F30D28">
        <w:rPr>
          <w:rFonts w:ascii="Arial" w:hAnsi="Arial" w:cs="Arial"/>
        </w:rPr>
        <w:t>cytokinins</w:t>
      </w:r>
      <w:proofErr w:type="spellEnd"/>
      <w:r w:rsidR="00F30D28" w:rsidRPr="00F30D28">
        <w:rPr>
          <w:rFonts w:ascii="Arial" w:hAnsi="Arial" w:cs="Arial"/>
        </w:rPr>
        <w:t>, and gibberellins modulate physiological adaptation under thermal and oxidative stress (Bhattacharya, 2022).</w:t>
      </w:r>
    </w:p>
    <w:p w14:paraId="60AD189A" w14:textId="77777777" w:rsidR="009F2C9D" w:rsidRPr="00655718" w:rsidRDefault="009F2C9D" w:rsidP="009F2C9D">
      <w:pPr>
        <w:ind w:firstLine="720"/>
        <w:jc w:val="both"/>
        <w:rPr>
          <w:rFonts w:ascii="Arial" w:hAnsi="Arial" w:cs="Arial"/>
        </w:rPr>
      </w:pPr>
    </w:p>
    <w:p w14:paraId="335C3B3A" w14:textId="297AA232" w:rsidR="009F2C9D" w:rsidRPr="00655718" w:rsidRDefault="009F2C9D" w:rsidP="009F2C9D">
      <w:pPr>
        <w:ind w:firstLine="720"/>
        <w:jc w:val="both"/>
        <w:rPr>
          <w:rFonts w:ascii="Arial" w:hAnsi="Arial" w:cs="Arial"/>
        </w:rPr>
      </w:pPr>
      <w:r w:rsidRPr="00655718">
        <w:rPr>
          <w:rFonts w:ascii="Arial" w:hAnsi="Arial" w:cs="Arial"/>
        </w:rPr>
        <w:t>Under high temperature stress, the degree of DAB staining increased sharply in all genotypes, signifying an elevated level of oxidative stress. The brown coloration was particularly intense in GPU 67, followed by GPU66, ML365 and GPU 28 (fig1). The darker brown deposits in GPU 67 indicate excessive H</w:t>
      </w:r>
      <w:r w:rsidRPr="00655718">
        <w:rPr>
          <w:rFonts w:ascii="Cambria Math" w:hAnsi="Cambria Math" w:cs="Cambria Math"/>
        </w:rPr>
        <w:t>₂</w:t>
      </w:r>
      <w:r w:rsidRPr="00655718">
        <w:rPr>
          <w:rFonts w:ascii="Arial" w:hAnsi="Arial" w:cs="Arial"/>
        </w:rPr>
        <w:t>O</w:t>
      </w:r>
      <w:r w:rsidRPr="00655718">
        <w:rPr>
          <w:rFonts w:ascii="Cambria Math" w:hAnsi="Cambria Math" w:cs="Cambria Math"/>
        </w:rPr>
        <w:t>₂</w:t>
      </w:r>
      <w:r w:rsidRPr="00655718">
        <w:rPr>
          <w:rFonts w:ascii="Arial" w:hAnsi="Arial" w:cs="Arial"/>
        </w:rPr>
        <w:t xml:space="preserve"> accumulation, which may be attributed to enhanced ROS generation through heat-induced disruption of chloroplast and mitochondrial electron transport chains. The comparatively lighter staining in GPU 28 suggests better maintenance of redox homeostasis and indicates its relative tolerance to thermal stress. Similar genotype-dependent variations in ROS accumulation and oxidative injury under drought and temperature stress were also reported in finger millet by Bhatt et al. (2011), who observed that tolerant varieties maintained lower ROS levels and higher antioxidant enzyme activities. Comparable findings were noted by Srikanth et al. (2025), who highlighted that the antioxidant potential and osmolyte accumulation are key determinants of stress resilience in finger millet. Moreover, Mondal et al. (2023) also emphasized that excessive ROS production under heat stress is mainly due to impaired electron transport in chloroplasts and mitochondria, aligning with our present observations in GPU 67.</w:t>
      </w:r>
    </w:p>
    <w:p w14:paraId="683C53B9" w14:textId="77777777" w:rsidR="009F2C9D" w:rsidRPr="00655718" w:rsidRDefault="009F2C9D" w:rsidP="009F2C9D">
      <w:pPr>
        <w:ind w:firstLine="720"/>
        <w:jc w:val="both"/>
        <w:rPr>
          <w:rFonts w:ascii="Arial" w:hAnsi="Arial" w:cs="Arial"/>
        </w:rPr>
      </w:pPr>
    </w:p>
    <w:p w14:paraId="7458E1C8" w14:textId="6B95ADE0" w:rsidR="009F2C9D" w:rsidRPr="00655718" w:rsidRDefault="009F2C9D" w:rsidP="009F2C9D">
      <w:pPr>
        <w:ind w:firstLine="720"/>
        <w:jc w:val="both"/>
        <w:rPr>
          <w:rFonts w:ascii="Arial" w:hAnsi="Arial" w:cs="Arial"/>
        </w:rPr>
      </w:pPr>
      <w:r w:rsidRPr="00655718">
        <w:rPr>
          <w:rFonts w:ascii="Arial" w:hAnsi="Arial" w:cs="Arial"/>
        </w:rPr>
        <w:t xml:space="preserve">Recent studies further confirm that such genotype-specific ROS signatures are strongly influenced by differential activation of </w:t>
      </w:r>
      <w:proofErr w:type="spellStart"/>
      <w:r w:rsidRPr="00655718">
        <w:rPr>
          <w:rFonts w:ascii="Arial" w:hAnsi="Arial" w:cs="Arial"/>
        </w:rPr>
        <w:t>chloroplastic</w:t>
      </w:r>
      <w:proofErr w:type="spellEnd"/>
      <w:r w:rsidRPr="00655718">
        <w:rPr>
          <w:rFonts w:ascii="Arial" w:hAnsi="Arial" w:cs="Arial"/>
        </w:rPr>
        <w:t xml:space="preserve"> and </w:t>
      </w:r>
      <w:proofErr w:type="spellStart"/>
      <w:r w:rsidRPr="00655718">
        <w:rPr>
          <w:rFonts w:ascii="Arial" w:hAnsi="Arial" w:cs="Arial"/>
        </w:rPr>
        <w:t>apoplastic</w:t>
      </w:r>
      <w:proofErr w:type="spellEnd"/>
      <w:r w:rsidRPr="00655718">
        <w:rPr>
          <w:rFonts w:ascii="Arial" w:hAnsi="Arial" w:cs="Arial"/>
        </w:rPr>
        <w:t xml:space="preserve"> oxidases. For instance, Singh et al. (2022) demonstrated that heat-tolerant pearl millet cultivars maintained lower </w:t>
      </w:r>
      <w:proofErr w:type="spellStart"/>
      <w:r w:rsidRPr="00655718">
        <w:rPr>
          <w:rFonts w:ascii="Arial" w:hAnsi="Arial" w:cs="Arial"/>
        </w:rPr>
        <w:t>apoplastic</w:t>
      </w:r>
      <w:proofErr w:type="spellEnd"/>
      <w:r w:rsidRPr="00655718">
        <w:rPr>
          <w:rFonts w:ascii="Arial" w:hAnsi="Arial" w:cs="Arial"/>
        </w:rPr>
        <w:t xml:space="preserve"> ROS by enhancing SOD and CAT activity, while Singh et al. (2024) observed that contrasting millet genotypes exhibit varying NADPH oxidase regulation under high temperature. </w:t>
      </w:r>
    </w:p>
    <w:p w14:paraId="4E81162A" w14:textId="77777777" w:rsidR="009F2C9D" w:rsidRPr="00655718" w:rsidRDefault="009F2C9D" w:rsidP="009F2C9D">
      <w:pPr>
        <w:ind w:firstLine="720"/>
        <w:jc w:val="both"/>
        <w:rPr>
          <w:rFonts w:ascii="Arial" w:hAnsi="Arial" w:cs="Arial"/>
        </w:rPr>
      </w:pPr>
    </w:p>
    <w:p w14:paraId="10DA9AF6" w14:textId="6D64C907" w:rsidR="009F2C9D" w:rsidRPr="00655718" w:rsidRDefault="009F2C9D" w:rsidP="009F2C9D">
      <w:pPr>
        <w:ind w:firstLine="720"/>
        <w:jc w:val="both"/>
        <w:rPr>
          <w:rFonts w:ascii="Arial" w:hAnsi="Arial" w:cs="Arial"/>
        </w:rPr>
      </w:pPr>
      <w:r w:rsidRPr="00655718">
        <w:rPr>
          <w:rFonts w:ascii="Arial" w:hAnsi="Arial" w:cs="Arial"/>
        </w:rPr>
        <w:t>Leaf tissues collected from all the genotypes under elevated CO</w:t>
      </w:r>
      <w:r w:rsidRPr="00655718">
        <w:rPr>
          <w:rFonts w:ascii="Cambria Math" w:hAnsi="Cambria Math" w:cs="Cambria Math"/>
        </w:rPr>
        <w:t>₂</w:t>
      </w:r>
      <w:r w:rsidRPr="00655718">
        <w:rPr>
          <w:rFonts w:ascii="Arial" w:hAnsi="Arial" w:cs="Arial"/>
        </w:rPr>
        <w:t xml:space="preserve"> x drought interaction exhibited relatively lighter brown </w:t>
      </w:r>
      <w:proofErr w:type="spellStart"/>
      <w:r w:rsidRPr="00655718">
        <w:rPr>
          <w:rFonts w:ascii="Arial" w:hAnsi="Arial" w:cs="Arial"/>
        </w:rPr>
        <w:t>colouration</w:t>
      </w:r>
      <w:proofErr w:type="spellEnd"/>
      <w:r w:rsidRPr="00655718">
        <w:rPr>
          <w:rFonts w:ascii="Arial" w:hAnsi="Arial" w:cs="Arial"/>
        </w:rPr>
        <w:t xml:space="preserve"> compared to those collected from the experimental plants maintained under high temperature stress. This indicated reduced accumulation of H</w:t>
      </w:r>
      <w:r w:rsidRPr="00655718">
        <w:rPr>
          <w:rFonts w:ascii="Cambria Math" w:hAnsi="Cambria Math" w:cs="Cambria Math"/>
        </w:rPr>
        <w:t>₂</w:t>
      </w:r>
      <w:r w:rsidRPr="00655718">
        <w:rPr>
          <w:rFonts w:ascii="Arial" w:hAnsi="Arial" w:cs="Arial"/>
        </w:rPr>
        <w:t>O</w:t>
      </w:r>
      <w:r w:rsidRPr="00655718">
        <w:rPr>
          <w:rFonts w:ascii="Cambria Math" w:hAnsi="Cambria Math" w:cs="Cambria Math"/>
        </w:rPr>
        <w:t>₂</w:t>
      </w:r>
      <w:r w:rsidRPr="00655718">
        <w:rPr>
          <w:rFonts w:ascii="Arial" w:hAnsi="Arial" w:cs="Arial"/>
        </w:rPr>
        <w:t>, suggesting that elevated CO</w:t>
      </w:r>
      <w:r w:rsidRPr="00655718">
        <w:rPr>
          <w:rFonts w:ascii="Cambria Math" w:hAnsi="Cambria Math" w:cs="Cambria Math"/>
        </w:rPr>
        <w:t>₂</w:t>
      </w:r>
      <w:r w:rsidRPr="00655718">
        <w:rPr>
          <w:rFonts w:ascii="Arial" w:hAnsi="Arial" w:cs="Arial"/>
        </w:rPr>
        <w:t xml:space="preserve"> potentially alleviated oxidative stress through enhanced carbon assimilation and downregulation of photorespiration. Among these, GPU 66 showed slightly higher brown </w:t>
      </w:r>
      <w:proofErr w:type="spellStart"/>
      <w:r w:rsidRPr="00655718">
        <w:rPr>
          <w:rFonts w:ascii="Arial" w:hAnsi="Arial" w:cs="Arial"/>
        </w:rPr>
        <w:t>colouration</w:t>
      </w:r>
      <w:proofErr w:type="spellEnd"/>
      <w:r w:rsidRPr="00655718">
        <w:rPr>
          <w:rFonts w:ascii="Arial" w:hAnsi="Arial" w:cs="Arial"/>
        </w:rPr>
        <w:t xml:space="preserve"> compared to other genotypes, suggesting relatively greater ROS accumulation, while GPU 28 and ML 365 showed visibly lighter staining, indicating more efficient oxidative balance (fig 2). Overall, the DAB staining pattern demonstrated that high temperature stress imposed the most severe oxidative load, while in the case of elevated CO</w:t>
      </w:r>
      <w:r w:rsidRPr="00655718">
        <w:rPr>
          <w:rFonts w:ascii="Cambria Math" w:hAnsi="Cambria Math" w:cs="Cambria Math"/>
        </w:rPr>
        <w:t>₂</w:t>
      </w:r>
      <w:r w:rsidRPr="00655718">
        <w:rPr>
          <w:rFonts w:ascii="Arial" w:hAnsi="Arial" w:cs="Arial"/>
        </w:rPr>
        <w:t xml:space="preserve"> x drought interaction, elevated CO</w:t>
      </w:r>
      <w:r w:rsidRPr="00655718">
        <w:rPr>
          <w:rFonts w:ascii="Cambria Math" w:hAnsi="Cambria Math" w:cs="Cambria Math"/>
        </w:rPr>
        <w:t>₂</w:t>
      </w:r>
      <w:r w:rsidRPr="00655718">
        <w:rPr>
          <w:rFonts w:ascii="Arial" w:hAnsi="Arial" w:cs="Arial"/>
        </w:rPr>
        <w:t xml:space="preserve"> was found to exerted a protective effect by minimizing ROS buildup.</w:t>
      </w:r>
      <w:r w:rsidRPr="00655718">
        <w:rPr>
          <w:rFonts w:ascii="Arial" w:hAnsi="Arial" w:cs="Arial"/>
        </w:rPr>
        <w:br/>
        <w:t>These results are consistent with the observations of Shanker et al. (2022), who reported that elevated CO</w:t>
      </w:r>
      <w:r w:rsidRPr="00655718">
        <w:rPr>
          <w:rFonts w:ascii="Arial" w:hAnsi="Arial" w:cs="Arial"/>
          <w:vertAlign w:val="subscript"/>
        </w:rPr>
        <w:t xml:space="preserve">2 </w:t>
      </w:r>
      <w:r w:rsidRPr="00655718">
        <w:rPr>
          <w:rFonts w:ascii="Arial" w:hAnsi="Arial" w:cs="Arial"/>
        </w:rPr>
        <w:t>mitigates water stress effects by improving photosynthetic efficiency and enhancing ROS-scavenging mechanisms. Recent evidence from Vanaja et al. (2024) in maize also demonstrated that elevated CO</w:t>
      </w:r>
      <w:r w:rsidRPr="00655718">
        <w:rPr>
          <w:rFonts w:ascii="Arial" w:hAnsi="Arial" w:cs="Arial"/>
          <w:vertAlign w:val="subscript"/>
        </w:rPr>
        <w:t>2</w:t>
      </w:r>
      <w:r w:rsidRPr="00655718">
        <w:rPr>
          <w:rFonts w:ascii="Arial" w:hAnsi="Arial" w:cs="Arial"/>
        </w:rPr>
        <w:t xml:space="preserve"> can alleviate heat-induced oxidative stress through improved carbon fixation and reduced photorespiratory losses. Similarly, studies on combined CO</w:t>
      </w:r>
      <w:r w:rsidRPr="00655718">
        <w:rPr>
          <w:rFonts w:ascii="Arial" w:hAnsi="Arial" w:cs="Arial"/>
          <w:vertAlign w:val="subscript"/>
        </w:rPr>
        <w:t>2</w:t>
      </w:r>
      <w:r w:rsidRPr="00655718">
        <w:rPr>
          <w:rFonts w:ascii="Arial" w:hAnsi="Arial" w:cs="Arial"/>
        </w:rPr>
        <w:t xml:space="preserve"> × drought and heat stress interactions have shown that CO</w:t>
      </w:r>
      <w:r w:rsidRPr="00655718">
        <w:rPr>
          <w:rFonts w:ascii="Arial" w:hAnsi="Arial" w:cs="Arial"/>
          <w:vertAlign w:val="subscript"/>
        </w:rPr>
        <w:t>2</w:t>
      </w:r>
      <w:r w:rsidRPr="00655718">
        <w:rPr>
          <w:rFonts w:ascii="Arial" w:hAnsi="Arial" w:cs="Arial"/>
        </w:rPr>
        <w:t xml:space="preserve"> enrichment generally reduces oxidative injury while maintaining antioxidant equilibrium (</w:t>
      </w:r>
      <w:r w:rsidRPr="00655718">
        <w:rPr>
          <w:rFonts w:ascii="Arial" w:eastAsia="Calibri" w:hAnsi="Arial" w:cs="Arial"/>
          <w:kern w:val="2"/>
        </w:rPr>
        <w:t>Kadam</w:t>
      </w:r>
      <w:r w:rsidRPr="00655718">
        <w:rPr>
          <w:rFonts w:ascii="Arial" w:eastAsia="Calibri" w:hAnsi="Arial" w:cs="Arial"/>
        </w:rPr>
        <w:t xml:space="preserve"> et al., 2014</w:t>
      </w:r>
      <w:r w:rsidRPr="00655718">
        <w:rPr>
          <w:rFonts w:ascii="Arial" w:hAnsi="Arial" w:cs="Arial"/>
        </w:rPr>
        <w:t>) Parallel observations were made in wheat and rice where elevated CO</w:t>
      </w:r>
      <w:r w:rsidRPr="00655718">
        <w:rPr>
          <w:rFonts w:ascii="Cambria Math" w:hAnsi="Cambria Math" w:cs="Cambria Math"/>
        </w:rPr>
        <w:t>₂</w:t>
      </w:r>
      <w:r w:rsidRPr="00655718">
        <w:rPr>
          <w:rFonts w:ascii="Arial" w:hAnsi="Arial" w:cs="Arial"/>
        </w:rPr>
        <w:t xml:space="preserve"> reduced the accumulation of malondialdehyde (MDA) and H</w:t>
      </w:r>
      <w:r w:rsidRPr="00655718">
        <w:rPr>
          <w:rFonts w:ascii="Cambria Math" w:hAnsi="Cambria Math" w:cs="Cambria Math"/>
        </w:rPr>
        <w:t>₂</w:t>
      </w:r>
      <w:r w:rsidRPr="00655718">
        <w:rPr>
          <w:rFonts w:ascii="Arial" w:hAnsi="Arial" w:cs="Arial"/>
        </w:rPr>
        <w:t>O</w:t>
      </w:r>
      <w:r w:rsidRPr="00655718">
        <w:rPr>
          <w:rFonts w:ascii="Cambria Math" w:hAnsi="Cambria Math" w:cs="Cambria Math"/>
        </w:rPr>
        <w:t>₂</w:t>
      </w:r>
      <w:r w:rsidRPr="00655718">
        <w:rPr>
          <w:rFonts w:ascii="Arial" w:hAnsi="Arial" w:cs="Arial"/>
        </w:rPr>
        <w:t xml:space="preserve"> by sustaining ascorbate–glutathione cycle efficiency (Zhang et al., 2024). </w:t>
      </w:r>
    </w:p>
    <w:p w14:paraId="2606A622" w14:textId="77777777" w:rsidR="009F2C9D" w:rsidRPr="00655718" w:rsidRDefault="009F2C9D" w:rsidP="009F2C9D">
      <w:pPr>
        <w:ind w:firstLine="720"/>
        <w:jc w:val="both"/>
        <w:rPr>
          <w:rFonts w:ascii="Arial" w:hAnsi="Arial" w:cs="Arial"/>
        </w:rPr>
      </w:pPr>
    </w:p>
    <w:p w14:paraId="2D779906" w14:textId="493C3694" w:rsidR="009F2C9D" w:rsidRPr="00655718" w:rsidRDefault="009F2C9D" w:rsidP="009F2C9D">
      <w:pPr>
        <w:ind w:firstLine="720"/>
        <w:jc w:val="both"/>
        <w:rPr>
          <w:rFonts w:ascii="Arial" w:hAnsi="Arial" w:cs="Arial"/>
        </w:rPr>
      </w:pPr>
      <w:r w:rsidRPr="00655718">
        <w:rPr>
          <w:rFonts w:ascii="Arial" w:hAnsi="Arial" w:cs="Arial"/>
        </w:rPr>
        <w:t xml:space="preserve">The quantitative estimation of total antioxidant activity provided insight into the capacities of different genotypes to counteract oxidative stress. Marked increases in total antioxidant activities were observed under all stress conditions, though the magnitude varied among genotypes and treatments. Under high temperature stress, all genotypes exhibited a substantial increase in total antioxidant content compared to ambient condition. The maximum increase was recorded in ML 365 (522.40%) and GPU 28 (403.78%), followed by GPU 66 (366.94%) and GPU 67 (311.11%) (Table1). The strong </w:t>
      </w:r>
      <w:r w:rsidRPr="00655718">
        <w:rPr>
          <w:rFonts w:ascii="Arial" w:hAnsi="Arial" w:cs="Arial"/>
        </w:rPr>
        <w:lastRenderedPageBreak/>
        <w:t xml:space="preserve">antioxidant enhancement in ML 365 and GPU 28 corresponds with their relatively lower DAB staining intensity, indicating efficient activation of antioxidant </w:t>
      </w:r>
      <w:proofErr w:type="spellStart"/>
      <w:r w:rsidRPr="00655718">
        <w:rPr>
          <w:rFonts w:ascii="Arial" w:hAnsi="Arial" w:cs="Arial"/>
        </w:rPr>
        <w:t>defence</w:t>
      </w:r>
      <w:proofErr w:type="spellEnd"/>
      <w:r w:rsidRPr="00655718">
        <w:rPr>
          <w:rFonts w:ascii="Arial" w:hAnsi="Arial" w:cs="Arial"/>
        </w:rPr>
        <w:t xml:space="preserve"> mechanisms that could effectively scavenge H</w:t>
      </w:r>
      <w:r w:rsidRPr="00655718">
        <w:rPr>
          <w:rFonts w:ascii="Cambria Math" w:hAnsi="Cambria Math" w:cs="Cambria Math"/>
        </w:rPr>
        <w:t>₂</w:t>
      </w:r>
      <w:r w:rsidRPr="00655718">
        <w:rPr>
          <w:rFonts w:ascii="Arial" w:hAnsi="Arial" w:cs="Arial"/>
        </w:rPr>
        <w:t>O</w:t>
      </w:r>
      <w:r w:rsidRPr="00655718">
        <w:rPr>
          <w:rFonts w:ascii="Cambria Math" w:hAnsi="Cambria Math" w:cs="Cambria Math"/>
        </w:rPr>
        <w:t>₂</w:t>
      </w:r>
      <w:r w:rsidRPr="00655718">
        <w:rPr>
          <w:rFonts w:ascii="Arial" w:hAnsi="Arial" w:cs="Arial"/>
        </w:rPr>
        <w:t xml:space="preserve"> and other ROS. In contrast, the intense DAB staining in GPU 67, despite a moderate increase in antioxidant levels, suggested that ROS production outpaced detoxification capacity, leading to cellular oxidative damage. Such observations imply that the inherent thermotolerance of finger millet genotypes is closely linked to their ability to upregulate antioxidant metabolism in response to heat-induced oxidative stress. Parallel increases in antioxidant enzyme activities, including SOD, CAT, and APX, were reported in finger millet genotypes exposed to drought and heavy metal stress by </w:t>
      </w:r>
      <w:proofErr w:type="spellStart"/>
      <w:r w:rsidRPr="00655718">
        <w:rPr>
          <w:rFonts w:ascii="Arial" w:hAnsi="Arial" w:cs="Arial"/>
        </w:rPr>
        <w:t>Rakkammal</w:t>
      </w:r>
      <w:proofErr w:type="spellEnd"/>
      <w:r w:rsidRPr="00655718">
        <w:rPr>
          <w:rFonts w:ascii="Arial" w:hAnsi="Arial" w:cs="Arial"/>
        </w:rPr>
        <w:t xml:space="preserve"> et al. (2024), confirming that activation of antioxidant metabolism is a central adaptive response to oxidative stress. Similarly, Mishra et al. (2023) emphasized that plants exhibiting higher enzymatic and non-enzymatic antioxidant potential under combined stresses show improved redox regulation and survival.</w:t>
      </w:r>
    </w:p>
    <w:p w14:paraId="32E1E7CF" w14:textId="77777777" w:rsidR="009F2C9D" w:rsidRPr="00655718" w:rsidRDefault="009F2C9D" w:rsidP="009F2C9D">
      <w:pPr>
        <w:ind w:firstLine="720"/>
        <w:jc w:val="both"/>
        <w:rPr>
          <w:rFonts w:ascii="Arial" w:hAnsi="Arial" w:cs="Arial"/>
        </w:rPr>
      </w:pPr>
    </w:p>
    <w:p w14:paraId="603643DC" w14:textId="68201C13" w:rsidR="009F2C9D" w:rsidRPr="00655718" w:rsidRDefault="009F2C9D" w:rsidP="009F2C9D">
      <w:pPr>
        <w:ind w:firstLine="720"/>
        <w:jc w:val="both"/>
        <w:rPr>
          <w:rFonts w:ascii="Arial" w:hAnsi="Arial" w:cs="Arial"/>
        </w:rPr>
      </w:pPr>
      <w:r w:rsidRPr="00655718">
        <w:rPr>
          <w:rFonts w:ascii="Arial" w:hAnsi="Arial" w:cs="Arial"/>
        </w:rPr>
        <w:t>Under elevated CO</w:t>
      </w:r>
      <w:r w:rsidRPr="00655718">
        <w:rPr>
          <w:rFonts w:ascii="Cambria Math" w:hAnsi="Cambria Math" w:cs="Cambria Math"/>
        </w:rPr>
        <w:t>₂</w:t>
      </w:r>
      <w:r w:rsidRPr="00655718">
        <w:rPr>
          <w:rFonts w:ascii="Arial" w:hAnsi="Arial" w:cs="Arial"/>
        </w:rPr>
        <w:t xml:space="preserve"> and drought conditions, total antioxidant content also increased substantially, though to a lesser extent than under high temperature. GPU 66 recorded the highest increase (260%), followed by GPU 67 (180.19%), GPU 28 (158.36%), and ML 365 (158.14%). This pattern partially aligns with the DAB staining results, where GPU 66 showed slightly higher staining intensity under elevated CO</w:t>
      </w:r>
      <w:r w:rsidRPr="00655718">
        <w:rPr>
          <w:rFonts w:ascii="Cambria Math" w:hAnsi="Cambria Math" w:cs="Cambria Math"/>
        </w:rPr>
        <w:t>₂</w:t>
      </w:r>
      <w:r w:rsidRPr="00655718">
        <w:rPr>
          <w:rFonts w:ascii="Arial" w:hAnsi="Arial" w:cs="Arial"/>
        </w:rPr>
        <w:t xml:space="preserve"> x drought interaction, indicating moderate ROS accumulation and corresponding antioxidant activation. The general reduction in staining in the presence of elevated CO</w:t>
      </w:r>
      <w:r w:rsidRPr="00655718">
        <w:rPr>
          <w:rFonts w:ascii="Cambria Math" w:hAnsi="Cambria Math" w:cs="Cambria Math"/>
        </w:rPr>
        <w:t>₂</w:t>
      </w:r>
      <w:r w:rsidRPr="00655718">
        <w:rPr>
          <w:rFonts w:ascii="Arial" w:hAnsi="Arial" w:cs="Arial"/>
        </w:rPr>
        <w:t xml:space="preserve"> confirmed the mitigating power of CO</w:t>
      </w:r>
      <w:r w:rsidRPr="00655718">
        <w:rPr>
          <w:rFonts w:ascii="Cambria Math" w:hAnsi="Cambria Math" w:cs="Cambria Math"/>
        </w:rPr>
        <w:t>₂</w:t>
      </w:r>
      <w:r w:rsidRPr="00655718">
        <w:rPr>
          <w:rFonts w:ascii="Arial" w:hAnsi="Arial" w:cs="Arial"/>
        </w:rPr>
        <w:t xml:space="preserve"> enrichment on oxidative stress which could be through improving carbon fixation efficiency, lowering photorespiration, and enhancing the production of non-enzymatic antioxidants such as ascorbate, glutathione, and phenolic compounds (Xu et al., 2015; Manik et al., 2025). This observation aligns with Hill and Shlisel (2024), who reported that elevated CO</w:t>
      </w:r>
      <w:r w:rsidRPr="00655718">
        <w:rPr>
          <w:rFonts w:ascii="Cambria Math" w:hAnsi="Cambria Math" w:cs="Cambria Math"/>
        </w:rPr>
        <w:t>₂</w:t>
      </w:r>
      <w:r w:rsidRPr="00655718">
        <w:rPr>
          <w:rFonts w:ascii="Arial" w:hAnsi="Arial" w:cs="Arial"/>
        </w:rPr>
        <w:t xml:space="preserve"> upregulates phenolic and terpenoid antioxidants, improving redox balance under stress. Similar protective trends were noted in cereals exposed to CO</w:t>
      </w:r>
      <w:r w:rsidRPr="00655718">
        <w:rPr>
          <w:rFonts w:ascii="Arial" w:hAnsi="Arial" w:cs="Arial"/>
          <w:vertAlign w:val="subscript"/>
        </w:rPr>
        <w:t>2</w:t>
      </w:r>
      <w:r w:rsidRPr="00655718">
        <w:rPr>
          <w:rFonts w:ascii="Arial" w:hAnsi="Arial" w:cs="Arial"/>
        </w:rPr>
        <w:t xml:space="preserve"> × heat interactions, where CO</w:t>
      </w:r>
      <w:r w:rsidRPr="00655718">
        <w:rPr>
          <w:rFonts w:ascii="Arial" w:hAnsi="Arial" w:cs="Arial"/>
          <w:vertAlign w:val="subscript"/>
        </w:rPr>
        <w:t>2</w:t>
      </w:r>
      <w:r w:rsidRPr="00655718">
        <w:rPr>
          <w:rFonts w:ascii="Arial" w:hAnsi="Arial" w:cs="Arial"/>
        </w:rPr>
        <w:t xml:space="preserve"> enrichment promoted the synthesis of ascorbate and glutathione, maintaining cellular redox equilibrium (</w:t>
      </w:r>
      <w:r w:rsidRPr="00655718">
        <w:rPr>
          <w:rFonts w:ascii="Arial" w:eastAsia="Calibri" w:hAnsi="Arial" w:cs="Arial"/>
          <w:kern w:val="2"/>
        </w:rPr>
        <w:t>Abdelhakim</w:t>
      </w:r>
      <w:r w:rsidRPr="00655718">
        <w:rPr>
          <w:rFonts w:ascii="Arial" w:hAnsi="Arial" w:cs="Arial"/>
        </w:rPr>
        <w:t xml:space="preserve"> et al., 2021).</w:t>
      </w:r>
    </w:p>
    <w:p w14:paraId="0FA8C2D4" w14:textId="77777777" w:rsidR="009F2C9D" w:rsidRPr="00655718" w:rsidRDefault="009F2C9D" w:rsidP="009F2C9D">
      <w:pPr>
        <w:ind w:firstLine="720"/>
        <w:jc w:val="both"/>
        <w:rPr>
          <w:rFonts w:ascii="Arial" w:hAnsi="Arial" w:cs="Arial"/>
        </w:rPr>
      </w:pPr>
    </w:p>
    <w:p w14:paraId="1CD6301B" w14:textId="1F86C10D" w:rsidR="009F2C9D" w:rsidRPr="00655718" w:rsidRDefault="009F2C9D" w:rsidP="009F2C9D">
      <w:pPr>
        <w:ind w:firstLine="720"/>
        <w:jc w:val="both"/>
        <w:rPr>
          <w:rFonts w:ascii="Arial" w:hAnsi="Arial" w:cs="Arial"/>
        </w:rPr>
      </w:pPr>
      <w:r w:rsidRPr="00655718">
        <w:rPr>
          <w:rFonts w:ascii="Arial" w:hAnsi="Arial" w:cs="Arial"/>
        </w:rPr>
        <w:t>Furthermore, Rai et al. (2023) demonstrated in sorghum that CO</w:t>
      </w:r>
      <w:r w:rsidRPr="00655718">
        <w:rPr>
          <w:rFonts w:ascii="Cambria Math" w:hAnsi="Cambria Math" w:cs="Cambria Math"/>
        </w:rPr>
        <w:t>₂</w:t>
      </w:r>
      <w:r w:rsidRPr="00655718">
        <w:rPr>
          <w:rFonts w:ascii="Arial" w:hAnsi="Arial" w:cs="Arial"/>
        </w:rPr>
        <w:t>-induced enhancement of antioxidant metabolism coincided with improved water-use efficiency and stomatal conductance regulation. Elevated CO</w:t>
      </w:r>
      <w:r w:rsidRPr="00655718">
        <w:rPr>
          <w:rFonts w:ascii="Cambria Math" w:hAnsi="Cambria Math" w:cs="Cambria Math"/>
        </w:rPr>
        <w:t>₂</w:t>
      </w:r>
      <w:r w:rsidRPr="00655718">
        <w:rPr>
          <w:rFonts w:ascii="Arial" w:hAnsi="Arial" w:cs="Arial"/>
        </w:rPr>
        <w:t xml:space="preserve"> was also shown to induce nitric oxide (NO)-mediated signaling that enhances redox buffering capacity (Chavan et al., 2019). These mechanisms together may explain the reduced oxidative load observed in GPU 28 and ML 365 under elevated CO</w:t>
      </w:r>
      <w:r w:rsidRPr="00655718">
        <w:rPr>
          <w:rFonts w:ascii="Cambria Math" w:hAnsi="Cambria Math" w:cs="Cambria Math"/>
        </w:rPr>
        <w:t>₂</w:t>
      </w:r>
      <w:r w:rsidRPr="00655718">
        <w:rPr>
          <w:rFonts w:ascii="Arial" w:hAnsi="Arial" w:cs="Arial"/>
        </w:rPr>
        <w:t xml:space="preserve"> × drought treatment. In agreement, </w:t>
      </w:r>
      <w:proofErr w:type="spellStart"/>
      <w:r w:rsidRPr="00655718">
        <w:rPr>
          <w:rFonts w:ascii="Arial" w:eastAsia="Calibri" w:hAnsi="Arial" w:cs="Arial"/>
          <w:kern w:val="2"/>
        </w:rPr>
        <w:t>AbdElgawad</w:t>
      </w:r>
      <w:proofErr w:type="spellEnd"/>
      <w:r w:rsidRPr="00655718">
        <w:rPr>
          <w:rFonts w:ascii="Arial" w:hAnsi="Arial" w:cs="Arial"/>
        </w:rPr>
        <w:t xml:space="preserve"> et al. (2015) highlighted that the synergistic CO</w:t>
      </w:r>
      <w:r w:rsidRPr="00655718">
        <w:rPr>
          <w:rFonts w:ascii="Cambria Math" w:hAnsi="Cambria Math" w:cs="Cambria Math"/>
        </w:rPr>
        <w:t>₂</w:t>
      </w:r>
      <w:r w:rsidRPr="00655718">
        <w:rPr>
          <w:rFonts w:ascii="Arial" w:hAnsi="Arial" w:cs="Arial"/>
        </w:rPr>
        <w:t xml:space="preserve"> × drought response in cereals promotes higher accumulation of compatible solutes, indirectly supporting antioxidant enzyme function and reducing H</w:t>
      </w:r>
      <w:r w:rsidRPr="00655718">
        <w:rPr>
          <w:rFonts w:ascii="Cambria Math" w:hAnsi="Cambria Math" w:cs="Cambria Math"/>
        </w:rPr>
        <w:t>₂</w:t>
      </w:r>
      <w:r w:rsidRPr="00655718">
        <w:rPr>
          <w:rFonts w:ascii="Arial" w:hAnsi="Arial" w:cs="Arial"/>
        </w:rPr>
        <w:t>O</w:t>
      </w:r>
      <w:r w:rsidRPr="00655718">
        <w:rPr>
          <w:rFonts w:ascii="Cambria Math" w:hAnsi="Cambria Math" w:cs="Cambria Math"/>
        </w:rPr>
        <w:t>₂</w:t>
      </w:r>
      <w:r w:rsidRPr="00655718">
        <w:rPr>
          <w:rFonts w:ascii="Arial" w:hAnsi="Arial" w:cs="Arial"/>
        </w:rPr>
        <w:t xml:space="preserve"> accumulation.</w:t>
      </w:r>
    </w:p>
    <w:p w14:paraId="341F6577" w14:textId="77777777" w:rsidR="009F2C9D" w:rsidRPr="00655718" w:rsidRDefault="009F2C9D" w:rsidP="009F2C9D">
      <w:pPr>
        <w:ind w:firstLine="720"/>
        <w:jc w:val="both"/>
        <w:rPr>
          <w:rFonts w:ascii="Arial" w:hAnsi="Arial" w:cs="Arial"/>
        </w:rPr>
      </w:pPr>
    </w:p>
    <w:p w14:paraId="600045D6" w14:textId="5846EDD8" w:rsidR="009F2C9D" w:rsidRPr="00655718" w:rsidRDefault="009F2C9D" w:rsidP="009F2C9D">
      <w:pPr>
        <w:ind w:firstLine="720"/>
        <w:jc w:val="both"/>
        <w:rPr>
          <w:rFonts w:ascii="Arial" w:hAnsi="Arial" w:cs="Arial"/>
        </w:rPr>
      </w:pPr>
      <w:r w:rsidRPr="00655718">
        <w:rPr>
          <w:rFonts w:ascii="Arial" w:hAnsi="Arial" w:cs="Arial"/>
        </w:rPr>
        <w:t xml:space="preserve">The differential response among genotypes suggests a complex interplay between ROS generation and antioxidant </w:t>
      </w:r>
      <w:proofErr w:type="spellStart"/>
      <w:r w:rsidRPr="00655718">
        <w:rPr>
          <w:rFonts w:ascii="Arial" w:hAnsi="Arial" w:cs="Arial"/>
        </w:rPr>
        <w:t>defence</w:t>
      </w:r>
      <w:proofErr w:type="spellEnd"/>
      <w:r w:rsidRPr="00655718">
        <w:rPr>
          <w:rFonts w:ascii="Arial" w:hAnsi="Arial" w:cs="Arial"/>
        </w:rPr>
        <w:t>. Elevated CO</w:t>
      </w:r>
      <w:r w:rsidRPr="00655718">
        <w:rPr>
          <w:rFonts w:ascii="Cambria Math" w:hAnsi="Cambria Math" w:cs="Cambria Math"/>
        </w:rPr>
        <w:t>₂</w:t>
      </w:r>
      <w:r w:rsidRPr="00655718">
        <w:rPr>
          <w:rFonts w:ascii="Arial" w:hAnsi="Arial" w:cs="Arial"/>
        </w:rPr>
        <w:t xml:space="preserve"> appears to induce a mild oxidative signal that may act as a regulatory mechanism, triggering adaptive antioxidant responses (</w:t>
      </w:r>
      <w:r w:rsidRPr="00655718">
        <w:rPr>
          <w:rFonts w:ascii="Arial" w:eastAsia="Calibri" w:hAnsi="Arial" w:cs="Arial"/>
          <w:kern w:val="2"/>
        </w:rPr>
        <w:t>Rao</w:t>
      </w:r>
      <w:r w:rsidRPr="00655718">
        <w:rPr>
          <w:rFonts w:ascii="Arial" w:hAnsi="Arial" w:cs="Arial"/>
        </w:rPr>
        <w:t xml:space="preserve"> et al., 2025). Strong antioxidant response of GPU 28 coupled with lower staining intensity suggests a pre-emptive activation of ROS-scavenging enzymes and non-enzymatic antioxidants, conferring it a protective advantage. GPU 67, on the other hand, exhibited higher oxidative stress, reflecting its relatively weaker antioxidant </w:t>
      </w:r>
      <w:proofErr w:type="spellStart"/>
      <w:r w:rsidRPr="00655718">
        <w:rPr>
          <w:rFonts w:ascii="Arial" w:hAnsi="Arial" w:cs="Arial"/>
        </w:rPr>
        <w:t>defence</w:t>
      </w:r>
      <w:proofErr w:type="spellEnd"/>
      <w:r w:rsidRPr="00655718">
        <w:rPr>
          <w:rFonts w:ascii="Arial" w:hAnsi="Arial" w:cs="Arial"/>
        </w:rPr>
        <w:t xml:space="preserve"> system and reduced capacity to limit H</w:t>
      </w:r>
      <w:r w:rsidRPr="00655718">
        <w:rPr>
          <w:rFonts w:ascii="Cambria Math" w:hAnsi="Cambria Math" w:cs="Cambria Math"/>
        </w:rPr>
        <w:t>₂</w:t>
      </w:r>
      <w:r w:rsidRPr="00655718">
        <w:rPr>
          <w:rFonts w:ascii="Arial" w:hAnsi="Arial" w:cs="Arial"/>
        </w:rPr>
        <w:t>O</w:t>
      </w:r>
      <w:r w:rsidRPr="00655718">
        <w:rPr>
          <w:rFonts w:ascii="Cambria Math" w:hAnsi="Cambria Math" w:cs="Cambria Math"/>
        </w:rPr>
        <w:t>₂</w:t>
      </w:r>
      <w:r w:rsidRPr="00655718">
        <w:rPr>
          <w:rFonts w:ascii="Arial" w:hAnsi="Arial" w:cs="Arial"/>
        </w:rPr>
        <w:t xml:space="preserve"> buildup. Such genotype-specific antioxidant strategies under combined stresses have also been reported in other cereals, where tolerant genotypes exhibited pre-emptive activation of ROS-scavenging pathways and higher accumulation of ascorbate-glutathione cycle components (Bao et al., 2024).</w:t>
      </w:r>
    </w:p>
    <w:p w14:paraId="7660FB7D" w14:textId="77777777" w:rsidR="009F2C9D" w:rsidRPr="00655718" w:rsidRDefault="009F2C9D" w:rsidP="009F2C9D">
      <w:pPr>
        <w:ind w:firstLine="720"/>
        <w:jc w:val="both"/>
        <w:rPr>
          <w:rFonts w:ascii="Arial" w:hAnsi="Arial" w:cs="Arial"/>
        </w:rPr>
      </w:pPr>
    </w:p>
    <w:p w14:paraId="05840E45" w14:textId="33845295" w:rsidR="009F2C9D" w:rsidRPr="00655718" w:rsidRDefault="009F2C9D" w:rsidP="009F2C9D">
      <w:pPr>
        <w:ind w:firstLine="720"/>
        <w:jc w:val="both"/>
        <w:rPr>
          <w:rFonts w:ascii="Arial" w:hAnsi="Arial" w:cs="Arial"/>
        </w:rPr>
      </w:pPr>
      <w:r w:rsidRPr="00655718">
        <w:rPr>
          <w:rFonts w:ascii="Arial" w:hAnsi="Arial" w:cs="Arial"/>
        </w:rPr>
        <w:t xml:space="preserve">In a similar context, Debnath et al. (2024) noted that tolerant barley cultivars sustain a stronger </w:t>
      </w:r>
      <w:proofErr w:type="spellStart"/>
      <w:r w:rsidRPr="00655718">
        <w:rPr>
          <w:rFonts w:ascii="Arial" w:hAnsi="Arial" w:cs="Arial"/>
        </w:rPr>
        <w:t>AsA</w:t>
      </w:r>
      <w:proofErr w:type="spellEnd"/>
      <w:r w:rsidRPr="00655718">
        <w:rPr>
          <w:rFonts w:ascii="Arial" w:hAnsi="Arial" w:cs="Arial"/>
        </w:rPr>
        <w:t xml:space="preserve">–GSH cycle under combined drought and heat stress through the coordinated regulation of GR and DHAR. This is consistent with our observation in GPU 28 and ML 365, suggesting that efficient ROS detoxification is crucial for maintaining metabolic stability. Additionally, </w:t>
      </w:r>
      <w:r w:rsidRPr="00655718">
        <w:rPr>
          <w:rFonts w:ascii="Arial" w:eastAsia="Calibri" w:hAnsi="Arial" w:cs="Arial"/>
          <w:kern w:val="2"/>
        </w:rPr>
        <w:t>Abdelhakim</w:t>
      </w:r>
      <w:r w:rsidRPr="00655718">
        <w:rPr>
          <w:rFonts w:ascii="Arial" w:hAnsi="Arial" w:cs="Arial"/>
        </w:rPr>
        <w:t xml:space="preserve"> et al. (2021) reported that antioxidant induction under elevated CO</w:t>
      </w:r>
      <w:r w:rsidRPr="00655718">
        <w:rPr>
          <w:rFonts w:ascii="Cambria Math" w:hAnsi="Cambria Math" w:cs="Cambria Math"/>
        </w:rPr>
        <w:t>₂</w:t>
      </w:r>
      <w:r w:rsidRPr="00655718">
        <w:rPr>
          <w:rFonts w:ascii="Arial" w:hAnsi="Arial" w:cs="Arial"/>
        </w:rPr>
        <w:t xml:space="preserve"> is often genotype-dependent, highlighting that the degree of redox buffering capacity determines the extent of stress tolerance. These findings support the hypothesis that GPU 28 and ML 365 employ anticipatory antioxidant activation as a protective strategy.</w:t>
      </w:r>
    </w:p>
    <w:p w14:paraId="77FEC787" w14:textId="77777777" w:rsidR="009F2C9D" w:rsidRPr="00655718" w:rsidRDefault="009F2C9D" w:rsidP="009F2C9D">
      <w:pPr>
        <w:ind w:firstLine="720"/>
        <w:jc w:val="both"/>
        <w:rPr>
          <w:rFonts w:ascii="Arial" w:hAnsi="Arial" w:cs="Arial"/>
        </w:rPr>
      </w:pPr>
    </w:p>
    <w:p w14:paraId="36241348" w14:textId="62741001" w:rsidR="009F2C9D" w:rsidRPr="00655718" w:rsidRDefault="009F2C9D" w:rsidP="009F2C9D">
      <w:pPr>
        <w:ind w:firstLine="720"/>
        <w:jc w:val="both"/>
        <w:rPr>
          <w:rFonts w:ascii="Arial" w:hAnsi="Arial" w:cs="Arial"/>
        </w:rPr>
      </w:pPr>
      <w:r w:rsidRPr="00655718">
        <w:rPr>
          <w:rFonts w:ascii="Arial" w:hAnsi="Arial" w:cs="Arial"/>
        </w:rPr>
        <w:t>Collectively, these findings demonstrate a clear relationship between ROS visualization and total antioxidant accumulation in finger millet under combined abiotic stresses. High temperature stress emerges as the most potent inducer of oxidative imbalance, while elevated CO</w:t>
      </w:r>
      <w:r w:rsidRPr="00655718">
        <w:rPr>
          <w:rFonts w:ascii="Cambria Math" w:hAnsi="Cambria Math" w:cs="Cambria Math"/>
        </w:rPr>
        <w:t>₂</w:t>
      </w:r>
      <w:r w:rsidRPr="00655718">
        <w:rPr>
          <w:rFonts w:ascii="Arial" w:hAnsi="Arial" w:cs="Arial"/>
        </w:rPr>
        <w:t xml:space="preserve"> exerts a mitigating influence. The genotypic differences highlight that GPU 28 and ML 365 possess superior oxidative stress management capacity compared to GPU 66 and GPU 67. This enhanced antioxidant capacity is likely linked to their physiological resilience and may contribute to better photosynthetic stability and cellular integrity under combined stress environments. These results reinforce previous reports that genotypic variability in antioxidant potential determines stress tolerance in finger millet (Bhatt et al., 2011; Srikanth et al., 2025). Moreover, under interactive CO</w:t>
      </w:r>
      <w:r w:rsidRPr="00655718">
        <w:rPr>
          <w:rFonts w:ascii="Arial" w:hAnsi="Arial" w:cs="Arial"/>
          <w:vertAlign w:val="subscript"/>
        </w:rPr>
        <w:t>2</w:t>
      </w:r>
      <w:r w:rsidRPr="00655718">
        <w:rPr>
          <w:rFonts w:ascii="Arial" w:hAnsi="Arial" w:cs="Arial"/>
        </w:rPr>
        <w:t xml:space="preserve"> × drought and temperature regimes, elevated CO</w:t>
      </w:r>
      <w:r w:rsidRPr="00655718">
        <w:rPr>
          <w:rFonts w:ascii="Arial" w:hAnsi="Arial" w:cs="Arial"/>
          <w:vertAlign w:val="subscript"/>
        </w:rPr>
        <w:t xml:space="preserve">2 </w:t>
      </w:r>
      <w:r w:rsidRPr="00655718">
        <w:rPr>
          <w:rFonts w:ascii="Arial" w:hAnsi="Arial" w:cs="Arial"/>
        </w:rPr>
        <w:t>generally acts as a protective factor, minimizing oxidative load and supporting metabolic stability (Shanker et al., 2022; Vanaja et al., 2024). Overall, our findings agree with recent insights that elevated CO</w:t>
      </w:r>
      <w:r w:rsidRPr="00655718">
        <w:rPr>
          <w:rFonts w:ascii="Arial" w:hAnsi="Arial" w:cs="Arial"/>
          <w:vertAlign w:val="subscript"/>
        </w:rPr>
        <w:t>2</w:t>
      </w:r>
      <w:r w:rsidRPr="00655718">
        <w:rPr>
          <w:rFonts w:ascii="Arial" w:hAnsi="Arial" w:cs="Arial"/>
        </w:rPr>
        <w:t xml:space="preserve"> and antioxidant activation can synergistically enhance stress resilience in C</w:t>
      </w:r>
      <w:r w:rsidRPr="00655718">
        <w:rPr>
          <w:rFonts w:ascii="Arial" w:hAnsi="Arial" w:cs="Arial"/>
          <w:vertAlign w:val="subscript"/>
        </w:rPr>
        <w:t xml:space="preserve">4 </w:t>
      </w:r>
      <w:r w:rsidRPr="00655718">
        <w:rPr>
          <w:rFonts w:ascii="Arial" w:hAnsi="Arial" w:cs="Arial"/>
        </w:rPr>
        <w:t>crops under complex climatic conditions (</w:t>
      </w:r>
      <w:r w:rsidRPr="00655718">
        <w:rPr>
          <w:rFonts w:ascii="Arial" w:eastAsia="Calibri" w:hAnsi="Arial" w:cs="Arial"/>
          <w:kern w:val="2"/>
        </w:rPr>
        <w:t>Kadam</w:t>
      </w:r>
      <w:r w:rsidRPr="00655718">
        <w:rPr>
          <w:rFonts w:ascii="Arial" w:eastAsia="Calibri" w:hAnsi="Arial" w:cs="Arial"/>
        </w:rPr>
        <w:t xml:space="preserve"> et </w:t>
      </w:r>
      <w:r w:rsidR="00721DFD" w:rsidRPr="00655718">
        <w:rPr>
          <w:rFonts w:ascii="Arial" w:eastAsia="Calibri" w:hAnsi="Arial" w:cs="Arial"/>
        </w:rPr>
        <w:t>al,</w:t>
      </w:r>
      <w:r w:rsidRPr="00655718">
        <w:rPr>
          <w:rFonts w:ascii="Arial" w:eastAsia="Calibri" w:hAnsi="Arial" w:cs="Arial"/>
        </w:rPr>
        <w:t xml:space="preserve"> </w:t>
      </w:r>
      <w:r w:rsidR="00721DFD" w:rsidRPr="00655718">
        <w:rPr>
          <w:rFonts w:ascii="Arial" w:eastAsia="Calibri" w:hAnsi="Arial" w:cs="Arial"/>
        </w:rPr>
        <w:t>2014;</w:t>
      </w:r>
      <w:r w:rsidRPr="00655718">
        <w:rPr>
          <w:rFonts w:ascii="Arial" w:hAnsi="Arial" w:cs="Arial"/>
        </w:rPr>
        <w:t xml:space="preserve"> Hill &amp; Shlisel, 2024).</w:t>
      </w:r>
    </w:p>
    <w:p w14:paraId="21047D10" w14:textId="77777777" w:rsidR="009F2C9D" w:rsidRPr="00655718" w:rsidRDefault="009F2C9D" w:rsidP="009F2C9D">
      <w:pPr>
        <w:jc w:val="both"/>
        <w:rPr>
          <w:rFonts w:ascii="Arial" w:hAnsi="Arial" w:cs="Arial"/>
        </w:rPr>
      </w:pPr>
    </w:p>
    <w:p w14:paraId="6DED87C5" w14:textId="77777777" w:rsidR="00EA0723" w:rsidRPr="009F2C9D" w:rsidRDefault="00EA0723" w:rsidP="00712C10">
      <w:pPr>
        <w:pStyle w:val="Body"/>
        <w:spacing w:after="0" w:line="276" w:lineRule="auto"/>
        <w:rPr>
          <w:rFonts w:ascii="Arial" w:hAnsi="Arial" w:cs="Arial"/>
          <w:lang w:val="en-IN"/>
        </w:rPr>
      </w:pPr>
      <w:r w:rsidRPr="009F2C9D">
        <w:rPr>
          <w:rFonts w:ascii="Arial" w:hAnsi="Arial" w:cs="Arial"/>
          <w:lang w:val="en-IN"/>
        </w:rPr>
        <w:t xml:space="preserve">                           </w:t>
      </w:r>
      <w:r w:rsidRPr="009F2C9D">
        <w:rPr>
          <w:rFonts w:ascii="Arial" w:hAnsi="Arial" w:cs="Arial"/>
          <w:noProof/>
          <w:lang w:val="en-IN"/>
        </w:rPr>
        <w:drawing>
          <wp:inline distT="0" distB="0" distL="0" distR="0" wp14:anchorId="13C17C50" wp14:editId="00CAB50D">
            <wp:extent cx="1052945" cy="2841189"/>
            <wp:effectExtent l="0" t="0" r="0" b="0"/>
            <wp:docPr id="11121588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293" cy="2912284"/>
                    </a:xfrm>
                    <a:prstGeom prst="rect">
                      <a:avLst/>
                    </a:prstGeom>
                    <a:noFill/>
                    <a:ln>
                      <a:noFill/>
                    </a:ln>
                  </pic:spPr>
                </pic:pic>
              </a:graphicData>
            </a:graphic>
          </wp:inline>
        </w:drawing>
      </w:r>
      <w:r w:rsidRPr="009F2C9D">
        <w:rPr>
          <w:rFonts w:ascii="Arial" w:hAnsi="Arial" w:cs="Arial"/>
          <w:lang w:val="en-IN"/>
        </w:rPr>
        <w:t xml:space="preserve"> </w:t>
      </w:r>
      <w:r w:rsidRPr="009F2C9D">
        <w:rPr>
          <w:rFonts w:ascii="Arial" w:hAnsi="Arial" w:cs="Arial"/>
          <w:noProof/>
          <w:lang w:val="en-IN"/>
        </w:rPr>
        <w:drawing>
          <wp:inline distT="0" distB="0" distL="0" distR="0" wp14:anchorId="7B9058BC" wp14:editId="6BA91A28">
            <wp:extent cx="990600" cy="2843941"/>
            <wp:effectExtent l="0" t="0" r="0" b="0"/>
            <wp:docPr id="8761750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5283" cy="2914805"/>
                    </a:xfrm>
                    <a:prstGeom prst="rect">
                      <a:avLst/>
                    </a:prstGeom>
                    <a:noFill/>
                    <a:ln>
                      <a:noFill/>
                    </a:ln>
                  </pic:spPr>
                </pic:pic>
              </a:graphicData>
            </a:graphic>
          </wp:inline>
        </w:drawing>
      </w:r>
      <w:r w:rsidRPr="009F2C9D">
        <w:rPr>
          <w:rFonts w:ascii="Arial" w:hAnsi="Arial" w:cs="Arial"/>
          <w:lang w:val="en-IN"/>
        </w:rPr>
        <w:t xml:space="preserve"> </w:t>
      </w:r>
      <w:r w:rsidRPr="009F2C9D">
        <w:rPr>
          <w:rFonts w:ascii="Arial" w:hAnsi="Arial" w:cs="Arial"/>
          <w:noProof/>
          <w:lang w:val="en-IN"/>
        </w:rPr>
        <w:drawing>
          <wp:inline distT="0" distB="0" distL="0" distR="0" wp14:anchorId="515D71A2" wp14:editId="08DD2C7F">
            <wp:extent cx="838200" cy="2845218"/>
            <wp:effectExtent l="0" t="0" r="0" b="0"/>
            <wp:docPr id="10028652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8875" cy="2915399"/>
                    </a:xfrm>
                    <a:prstGeom prst="rect">
                      <a:avLst/>
                    </a:prstGeom>
                    <a:noFill/>
                    <a:ln>
                      <a:noFill/>
                    </a:ln>
                  </pic:spPr>
                </pic:pic>
              </a:graphicData>
            </a:graphic>
          </wp:inline>
        </w:drawing>
      </w:r>
      <w:r w:rsidRPr="009F2C9D">
        <w:rPr>
          <w:rFonts w:ascii="Arial" w:hAnsi="Arial" w:cs="Arial"/>
          <w:lang w:val="en-IN"/>
        </w:rPr>
        <w:t xml:space="preserve"> </w:t>
      </w:r>
      <w:r w:rsidRPr="009F2C9D">
        <w:rPr>
          <w:rFonts w:ascii="Arial" w:hAnsi="Arial" w:cs="Arial"/>
          <w:noProof/>
          <w:lang w:val="en-IN"/>
        </w:rPr>
        <w:drawing>
          <wp:inline distT="0" distB="0" distL="0" distR="0" wp14:anchorId="2800B30B" wp14:editId="3DE17B99">
            <wp:extent cx="1025236" cy="2900705"/>
            <wp:effectExtent l="0" t="0" r="3810" b="0"/>
            <wp:docPr id="16985197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1845" cy="2947696"/>
                    </a:xfrm>
                    <a:prstGeom prst="rect">
                      <a:avLst/>
                    </a:prstGeom>
                    <a:noFill/>
                    <a:ln>
                      <a:noFill/>
                    </a:ln>
                  </pic:spPr>
                </pic:pic>
              </a:graphicData>
            </a:graphic>
          </wp:inline>
        </w:drawing>
      </w:r>
    </w:p>
    <w:p w14:paraId="4C7E8A06" w14:textId="77777777" w:rsidR="00EA0723" w:rsidRPr="009F2C9D" w:rsidRDefault="00EA0723" w:rsidP="00712C10">
      <w:pPr>
        <w:pStyle w:val="Body"/>
        <w:spacing w:after="0" w:line="276" w:lineRule="auto"/>
        <w:rPr>
          <w:rFonts w:ascii="Arial" w:hAnsi="Arial" w:cs="Arial"/>
          <w:lang w:val="en-IN"/>
        </w:rPr>
      </w:pPr>
    </w:p>
    <w:p w14:paraId="2D81F2F4" w14:textId="4F580C18" w:rsidR="00EA0723" w:rsidRPr="009F2C9D" w:rsidRDefault="00EA0723" w:rsidP="00712C10">
      <w:pPr>
        <w:pStyle w:val="Body"/>
        <w:spacing w:after="0" w:line="276" w:lineRule="auto"/>
        <w:rPr>
          <w:rFonts w:ascii="Arial" w:hAnsi="Arial" w:cs="Arial"/>
          <w:lang w:val="en-IN"/>
        </w:rPr>
      </w:pPr>
      <w:r w:rsidRPr="009F2C9D">
        <w:rPr>
          <w:rFonts w:ascii="Arial" w:hAnsi="Arial" w:cs="Arial"/>
          <w:b/>
          <w:bCs/>
          <w:lang w:val="en-IN"/>
        </w:rPr>
        <w:t xml:space="preserve">Figure 1: </w:t>
      </w:r>
      <w:r w:rsidRPr="009F2C9D">
        <w:rPr>
          <w:rFonts w:ascii="Arial" w:hAnsi="Arial" w:cs="Arial"/>
          <w:lang w:val="en-IN"/>
        </w:rPr>
        <w:t>Determination of H</w:t>
      </w:r>
      <w:r w:rsidRPr="009F2C9D">
        <w:rPr>
          <w:rFonts w:ascii="Arial" w:hAnsi="Arial" w:cs="Arial"/>
          <w:vertAlign w:val="subscript"/>
          <w:lang w:val="en-IN"/>
        </w:rPr>
        <w:t>2</w:t>
      </w:r>
      <w:r w:rsidRPr="009F2C9D">
        <w:rPr>
          <w:rFonts w:ascii="Arial" w:hAnsi="Arial" w:cs="Arial"/>
          <w:lang w:val="en-IN"/>
        </w:rPr>
        <w:t>O</w:t>
      </w:r>
      <w:r w:rsidRPr="009F2C9D">
        <w:rPr>
          <w:rFonts w:ascii="Arial" w:hAnsi="Arial" w:cs="Arial"/>
          <w:vertAlign w:val="subscript"/>
          <w:lang w:val="en-IN"/>
        </w:rPr>
        <w:t>2</w:t>
      </w:r>
      <w:r w:rsidRPr="009F2C9D">
        <w:rPr>
          <w:rFonts w:ascii="Arial" w:hAnsi="Arial" w:cs="Arial"/>
          <w:lang w:val="en-IN"/>
        </w:rPr>
        <w:t xml:space="preserve"> by 3,3-Diaminobenzidine staining at flowering stage under </w:t>
      </w:r>
      <w:r w:rsidR="00066F3D" w:rsidRPr="009F2C9D">
        <w:rPr>
          <w:rFonts w:ascii="Arial" w:hAnsi="Arial" w:cs="Arial"/>
          <w:lang w:val="en-IN"/>
        </w:rPr>
        <w:t>h</w:t>
      </w:r>
      <w:r w:rsidRPr="009F2C9D">
        <w:rPr>
          <w:rFonts w:ascii="Arial" w:hAnsi="Arial" w:cs="Arial"/>
          <w:lang w:val="en-IN"/>
        </w:rPr>
        <w:t>igh temperature stress condition (AT-ambient</w:t>
      </w:r>
      <w:r w:rsidR="00066F3D" w:rsidRPr="009F2C9D">
        <w:rPr>
          <w:rFonts w:ascii="Arial" w:hAnsi="Arial" w:cs="Arial"/>
          <w:lang w:val="en-IN"/>
        </w:rPr>
        <w:t xml:space="preserve"> temperature</w:t>
      </w:r>
      <w:r w:rsidRPr="009F2C9D">
        <w:rPr>
          <w:rFonts w:ascii="Arial" w:hAnsi="Arial" w:cs="Arial"/>
          <w:lang w:val="en-IN"/>
        </w:rPr>
        <w:t>, HT-high temperature)</w:t>
      </w:r>
    </w:p>
    <w:p w14:paraId="6D524E42" w14:textId="77777777" w:rsidR="00EA0723" w:rsidRPr="009F2C9D" w:rsidRDefault="00EA0723" w:rsidP="00712C10">
      <w:pPr>
        <w:pStyle w:val="Body"/>
        <w:spacing w:after="0" w:line="276" w:lineRule="auto"/>
        <w:rPr>
          <w:rFonts w:ascii="Arial" w:hAnsi="Arial" w:cs="Arial"/>
          <w:lang w:val="en-IN"/>
        </w:rPr>
      </w:pPr>
    </w:p>
    <w:p w14:paraId="16C3097C" w14:textId="77777777" w:rsidR="00712C10" w:rsidRPr="009F2C9D" w:rsidRDefault="00712C10" w:rsidP="00712C10">
      <w:pPr>
        <w:pStyle w:val="Body"/>
        <w:spacing w:after="0" w:line="276" w:lineRule="auto"/>
        <w:rPr>
          <w:rFonts w:ascii="Arial" w:hAnsi="Arial" w:cs="Arial"/>
          <w:lang w:val="en-IN"/>
        </w:rPr>
      </w:pPr>
    </w:p>
    <w:p w14:paraId="2CD88C28" w14:textId="77777777" w:rsidR="00712C10" w:rsidRPr="009F2C9D" w:rsidRDefault="00712C10" w:rsidP="00712C10">
      <w:pPr>
        <w:pStyle w:val="Body"/>
        <w:spacing w:after="0" w:line="276" w:lineRule="auto"/>
        <w:rPr>
          <w:rFonts w:ascii="Arial" w:hAnsi="Arial" w:cs="Arial"/>
          <w:lang w:val="en-IN"/>
        </w:rPr>
      </w:pPr>
    </w:p>
    <w:p w14:paraId="443AAB25" w14:textId="77777777" w:rsidR="00712C10" w:rsidRPr="009F2C9D" w:rsidRDefault="00712C10" w:rsidP="00712C10">
      <w:pPr>
        <w:pStyle w:val="Body"/>
        <w:spacing w:after="0" w:line="276" w:lineRule="auto"/>
        <w:rPr>
          <w:rFonts w:ascii="Arial" w:hAnsi="Arial" w:cs="Arial"/>
          <w:lang w:val="en-IN"/>
        </w:rPr>
      </w:pPr>
    </w:p>
    <w:p w14:paraId="21788253" w14:textId="77777777" w:rsidR="00712C10" w:rsidRPr="009F2C9D" w:rsidRDefault="00712C10" w:rsidP="00712C10">
      <w:pPr>
        <w:pStyle w:val="Body"/>
        <w:spacing w:after="0" w:line="276" w:lineRule="auto"/>
        <w:rPr>
          <w:rFonts w:ascii="Arial" w:hAnsi="Arial" w:cs="Arial"/>
          <w:lang w:val="en-IN"/>
        </w:rPr>
      </w:pPr>
    </w:p>
    <w:p w14:paraId="6E134402" w14:textId="77777777" w:rsidR="00712C10" w:rsidRPr="009F2C9D" w:rsidRDefault="00712C10" w:rsidP="00712C10">
      <w:pPr>
        <w:pStyle w:val="Body"/>
        <w:spacing w:after="0" w:line="276" w:lineRule="auto"/>
        <w:rPr>
          <w:rFonts w:ascii="Arial" w:hAnsi="Arial" w:cs="Arial"/>
          <w:lang w:val="en-IN"/>
        </w:rPr>
      </w:pPr>
    </w:p>
    <w:p w14:paraId="493FEC0A" w14:textId="77777777" w:rsidR="00712C10" w:rsidRPr="009F2C9D" w:rsidRDefault="00712C10" w:rsidP="00712C10">
      <w:pPr>
        <w:pStyle w:val="Body"/>
        <w:spacing w:after="0" w:line="276" w:lineRule="auto"/>
        <w:rPr>
          <w:rFonts w:ascii="Arial" w:hAnsi="Arial" w:cs="Arial"/>
          <w:lang w:val="en-IN"/>
        </w:rPr>
      </w:pPr>
    </w:p>
    <w:p w14:paraId="5A22872D" w14:textId="77777777" w:rsidR="00712C10" w:rsidRPr="009F2C9D" w:rsidRDefault="00712C10" w:rsidP="00712C10">
      <w:pPr>
        <w:pStyle w:val="Body"/>
        <w:spacing w:after="0" w:line="276" w:lineRule="auto"/>
        <w:rPr>
          <w:rFonts w:ascii="Arial" w:hAnsi="Arial" w:cs="Arial"/>
          <w:lang w:val="en-IN"/>
        </w:rPr>
      </w:pPr>
    </w:p>
    <w:p w14:paraId="09912F18" w14:textId="77777777" w:rsidR="00EA0723" w:rsidRPr="009F2C9D" w:rsidRDefault="00EA0723" w:rsidP="00712C10">
      <w:pPr>
        <w:pStyle w:val="Body"/>
        <w:spacing w:after="0" w:line="276" w:lineRule="auto"/>
        <w:rPr>
          <w:rFonts w:ascii="Arial" w:hAnsi="Arial" w:cs="Arial"/>
          <w:lang w:val="en-IN"/>
        </w:rPr>
      </w:pPr>
      <w:r w:rsidRPr="009F2C9D">
        <w:rPr>
          <w:rFonts w:ascii="Arial" w:hAnsi="Arial" w:cs="Arial"/>
          <w:lang w:val="en-IN"/>
        </w:rPr>
        <w:t xml:space="preserve">                              </w:t>
      </w:r>
      <w:r w:rsidRPr="009F2C9D">
        <w:rPr>
          <w:rFonts w:ascii="Arial" w:hAnsi="Arial" w:cs="Arial"/>
          <w:noProof/>
          <w:lang w:val="en-IN"/>
        </w:rPr>
        <w:drawing>
          <wp:inline distT="0" distB="0" distL="0" distR="0" wp14:anchorId="0E4F64D1" wp14:editId="16DB5D4D">
            <wp:extent cx="923260" cy="2798618"/>
            <wp:effectExtent l="0" t="0" r="0" b="0"/>
            <wp:docPr id="872195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260" cy="2798618"/>
                    </a:xfrm>
                    <a:prstGeom prst="rect">
                      <a:avLst/>
                    </a:prstGeom>
                    <a:noFill/>
                    <a:ln>
                      <a:noFill/>
                    </a:ln>
                  </pic:spPr>
                </pic:pic>
              </a:graphicData>
            </a:graphic>
          </wp:inline>
        </w:drawing>
      </w:r>
      <w:r w:rsidRPr="009F2C9D">
        <w:rPr>
          <w:rFonts w:ascii="Arial" w:hAnsi="Arial" w:cs="Arial"/>
          <w:lang w:val="en-IN"/>
        </w:rPr>
        <w:t xml:space="preserve"> </w:t>
      </w:r>
      <w:r w:rsidRPr="009F2C9D">
        <w:rPr>
          <w:rFonts w:ascii="Arial" w:hAnsi="Arial" w:cs="Arial"/>
          <w:noProof/>
          <w:lang w:val="en-IN"/>
        </w:rPr>
        <w:drawing>
          <wp:inline distT="0" distB="0" distL="0" distR="0" wp14:anchorId="78970F5D" wp14:editId="56354C0F">
            <wp:extent cx="980129" cy="2798791"/>
            <wp:effectExtent l="0" t="0" r="0" b="0"/>
            <wp:docPr id="182590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6208" cy="2816150"/>
                    </a:xfrm>
                    <a:prstGeom prst="rect">
                      <a:avLst/>
                    </a:prstGeom>
                    <a:noFill/>
                    <a:ln>
                      <a:noFill/>
                    </a:ln>
                  </pic:spPr>
                </pic:pic>
              </a:graphicData>
            </a:graphic>
          </wp:inline>
        </w:drawing>
      </w:r>
      <w:r w:rsidRPr="009F2C9D">
        <w:rPr>
          <w:rFonts w:ascii="Arial" w:hAnsi="Arial" w:cs="Arial"/>
          <w:lang w:val="en-IN"/>
        </w:rPr>
        <w:t xml:space="preserve"> </w:t>
      </w:r>
      <w:r w:rsidRPr="009F2C9D">
        <w:rPr>
          <w:rFonts w:ascii="Arial" w:hAnsi="Arial" w:cs="Arial"/>
          <w:noProof/>
          <w:lang w:val="en-IN"/>
        </w:rPr>
        <w:drawing>
          <wp:inline distT="0" distB="0" distL="0" distR="0" wp14:anchorId="55B3BD3B" wp14:editId="6B6F5BD8">
            <wp:extent cx="1093649" cy="2798734"/>
            <wp:effectExtent l="0" t="0" r="0" b="1905"/>
            <wp:docPr id="316285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5051" cy="2827912"/>
                    </a:xfrm>
                    <a:prstGeom prst="rect">
                      <a:avLst/>
                    </a:prstGeom>
                    <a:noFill/>
                    <a:ln>
                      <a:noFill/>
                    </a:ln>
                  </pic:spPr>
                </pic:pic>
              </a:graphicData>
            </a:graphic>
          </wp:inline>
        </w:drawing>
      </w:r>
      <w:r w:rsidRPr="009F2C9D">
        <w:rPr>
          <w:rFonts w:ascii="Arial" w:hAnsi="Arial" w:cs="Arial"/>
          <w:lang w:val="en-IN"/>
        </w:rPr>
        <w:t xml:space="preserve"> </w:t>
      </w:r>
      <w:r w:rsidRPr="009F2C9D">
        <w:rPr>
          <w:rFonts w:ascii="Arial" w:hAnsi="Arial" w:cs="Arial"/>
          <w:noProof/>
          <w:lang w:val="en-IN"/>
        </w:rPr>
        <w:drawing>
          <wp:inline distT="0" distB="0" distL="0" distR="0" wp14:anchorId="2A235E63" wp14:editId="29E8CB9E">
            <wp:extent cx="904240" cy="2804947"/>
            <wp:effectExtent l="0" t="0" r="0" b="0"/>
            <wp:docPr id="1146929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9142" cy="2851173"/>
                    </a:xfrm>
                    <a:prstGeom prst="rect">
                      <a:avLst/>
                    </a:prstGeom>
                    <a:noFill/>
                    <a:ln>
                      <a:noFill/>
                    </a:ln>
                  </pic:spPr>
                </pic:pic>
              </a:graphicData>
            </a:graphic>
          </wp:inline>
        </w:drawing>
      </w:r>
    </w:p>
    <w:p w14:paraId="21C85B9A" w14:textId="11B03B15" w:rsidR="00EA0723" w:rsidRPr="009F2C9D" w:rsidRDefault="00EA0723" w:rsidP="00712C10">
      <w:pPr>
        <w:pStyle w:val="Body"/>
        <w:spacing w:after="0" w:line="276" w:lineRule="auto"/>
        <w:rPr>
          <w:rFonts w:ascii="Arial" w:hAnsi="Arial" w:cs="Arial"/>
          <w:lang w:val="en-IN"/>
        </w:rPr>
      </w:pPr>
      <w:r w:rsidRPr="009F2C9D">
        <w:rPr>
          <w:rFonts w:ascii="Arial" w:hAnsi="Arial" w:cs="Arial"/>
          <w:b/>
          <w:bCs/>
          <w:lang w:val="en-IN"/>
        </w:rPr>
        <w:t xml:space="preserve">Figure 2: </w:t>
      </w:r>
      <w:r w:rsidRPr="009F2C9D">
        <w:rPr>
          <w:rFonts w:ascii="Arial" w:hAnsi="Arial" w:cs="Arial"/>
          <w:lang w:val="en-IN"/>
        </w:rPr>
        <w:t>Determination of H</w:t>
      </w:r>
      <w:r w:rsidRPr="009F2C9D">
        <w:rPr>
          <w:rFonts w:ascii="Arial" w:hAnsi="Arial" w:cs="Arial"/>
          <w:vertAlign w:val="subscript"/>
          <w:lang w:val="en-IN"/>
        </w:rPr>
        <w:t>2</w:t>
      </w:r>
      <w:r w:rsidRPr="009F2C9D">
        <w:rPr>
          <w:rFonts w:ascii="Arial" w:hAnsi="Arial" w:cs="Arial"/>
          <w:lang w:val="en-IN"/>
        </w:rPr>
        <w:t>O</w:t>
      </w:r>
      <w:r w:rsidRPr="009F2C9D">
        <w:rPr>
          <w:rFonts w:ascii="Arial" w:hAnsi="Arial" w:cs="Arial"/>
          <w:vertAlign w:val="subscript"/>
          <w:lang w:val="en-IN"/>
        </w:rPr>
        <w:t>2</w:t>
      </w:r>
      <w:r w:rsidRPr="009F2C9D">
        <w:rPr>
          <w:rFonts w:ascii="Arial" w:hAnsi="Arial" w:cs="Arial"/>
          <w:lang w:val="en-IN"/>
        </w:rPr>
        <w:t xml:space="preserve"> by 3,3-Diaminobenzidine staining at flowering stage under elevated CO</w:t>
      </w:r>
      <w:r w:rsidRPr="009F2C9D">
        <w:rPr>
          <w:rFonts w:ascii="Arial" w:hAnsi="Arial" w:cs="Arial"/>
          <w:vertAlign w:val="subscript"/>
          <w:lang w:val="en-IN"/>
        </w:rPr>
        <w:t>2</w:t>
      </w:r>
      <w:r w:rsidRPr="009F2C9D">
        <w:rPr>
          <w:rFonts w:ascii="Arial" w:hAnsi="Arial" w:cs="Arial"/>
          <w:lang w:val="en-IN"/>
        </w:rPr>
        <w:t xml:space="preserve"> and drought stress </w:t>
      </w:r>
      <w:r w:rsidR="00814779" w:rsidRPr="009F2C9D">
        <w:rPr>
          <w:rFonts w:ascii="Arial" w:hAnsi="Arial" w:cs="Arial"/>
          <w:lang w:val="en-IN"/>
        </w:rPr>
        <w:t>interaction</w:t>
      </w:r>
      <w:r w:rsidRPr="009F2C9D">
        <w:rPr>
          <w:rFonts w:ascii="Arial" w:hAnsi="Arial" w:cs="Arial"/>
          <w:lang w:val="en-IN"/>
        </w:rPr>
        <w:t xml:space="preserve"> (AT-ambient</w:t>
      </w:r>
      <w:r w:rsidR="00814779" w:rsidRPr="009F2C9D">
        <w:rPr>
          <w:rFonts w:ascii="Arial" w:hAnsi="Arial" w:cs="Arial"/>
          <w:lang w:val="en-IN"/>
        </w:rPr>
        <w:t xml:space="preserve"> condition</w:t>
      </w:r>
      <w:r w:rsidRPr="009F2C9D">
        <w:rPr>
          <w:rFonts w:ascii="Arial" w:hAnsi="Arial" w:cs="Arial"/>
          <w:lang w:val="en-IN"/>
        </w:rPr>
        <w:t>)</w:t>
      </w:r>
    </w:p>
    <w:p w14:paraId="1E6ED90C" w14:textId="77777777" w:rsidR="00EA0723" w:rsidRPr="009F2C9D" w:rsidRDefault="00EA0723" w:rsidP="00712C10">
      <w:pPr>
        <w:pStyle w:val="Body"/>
        <w:spacing w:after="0" w:line="276" w:lineRule="auto"/>
        <w:rPr>
          <w:rFonts w:ascii="Arial" w:hAnsi="Arial" w:cs="Arial"/>
          <w:b/>
          <w:bCs/>
          <w:lang w:val="en-IN"/>
        </w:rPr>
      </w:pPr>
    </w:p>
    <w:p w14:paraId="1D895A62" w14:textId="77777777" w:rsidR="00EA0723" w:rsidRPr="009F2C9D" w:rsidRDefault="00EA0723" w:rsidP="00712C10">
      <w:pPr>
        <w:pStyle w:val="Body"/>
        <w:spacing w:after="0" w:line="276" w:lineRule="auto"/>
        <w:rPr>
          <w:rFonts w:ascii="Arial" w:hAnsi="Arial" w:cs="Arial"/>
          <w:b/>
          <w:bCs/>
          <w:lang w:val="en-IN"/>
        </w:rPr>
      </w:pPr>
    </w:p>
    <w:p w14:paraId="0A560468" w14:textId="77777777" w:rsidR="00EA0723" w:rsidRPr="009F2C9D" w:rsidRDefault="00EA0723" w:rsidP="00712C10">
      <w:pPr>
        <w:pStyle w:val="Body"/>
        <w:spacing w:after="0" w:line="276" w:lineRule="auto"/>
        <w:rPr>
          <w:rFonts w:ascii="Arial" w:hAnsi="Arial" w:cs="Arial"/>
          <w:b/>
          <w:bCs/>
          <w:lang w:val="en-IN"/>
        </w:rPr>
      </w:pPr>
    </w:p>
    <w:p w14:paraId="2C676210" w14:textId="77777777" w:rsidR="00712C10" w:rsidRPr="009F2C9D" w:rsidRDefault="00712C10" w:rsidP="00712C10">
      <w:pPr>
        <w:pStyle w:val="Body"/>
        <w:spacing w:after="0" w:line="276" w:lineRule="auto"/>
        <w:rPr>
          <w:rFonts w:ascii="Arial" w:hAnsi="Arial" w:cs="Arial"/>
          <w:b/>
          <w:bCs/>
          <w:lang w:val="en-IN"/>
        </w:rPr>
      </w:pPr>
    </w:p>
    <w:p w14:paraId="7CA4A5FB" w14:textId="77777777" w:rsidR="00712C10" w:rsidRPr="009F2C9D" w:rsidRDefault="00712C10" w:rsidP="00712C10">
      <w:pPr>
        <w:pStyle w:val="Body"/>
        <w:spacing w:after="0" w:line="276" w:lineRule="auto"/>
        <w:rPr>
          <w:rFonts w:ascii="Arial" w:hAnsi="Arial" w:cs="Arial"/>
          <w:b/>
          <w:bCs/>
          <w:lang w:val="en-IN"/>
        </w:rPr>
      </w:pPr>
    </w:p>
    <w:p w14:paraId="061CBB21" w14:textId="77777777" w:rsidR="00712C10" w:rsidRPr="009F2C9D" w:rsidRDefault="00712C10" w:rsidP="00712C10">
      <w:pPr>
        <w:pStyle w:val="Body"/>
        <w:spacing w:after="0" w:line="276" w:lineRule="auto"/>
        <w:rPr>
          <w:rFonts w:ascii="Arial" w:hAnsi="Arial" w:cs="Arial"/>
          <w:b/>
          <w:bCs/>
          <w:lang w:val="en-IN"/>
        </w:rPr>
      </w:pPr>
    </w:p>
    <w:p w14:paraId="395D1DD8" w14:textId="77777777" w:rsidR="00EA0723" w:rsidRPr="009F2C9D" w:rsidRDefault="00EA0723" w:rsidP="00712C10">
      <w:pPr>
        <w:pStyle w:val="Body"/>
        <w:spacing w:after="0" w:line="276" w:lineRule="auto"/>
        <w:rPr>
          <w:rFonts w:ascii="Arial" w:hAnsi="Arial" w:cs="Arial"/>
          <w:b/>
          <w:bCs/>
          <w:lang w:val="en-IN"/>
        </w:rPr>
      </w:pPr>
    </w:p>
    <w:tbl>
      <w:tblPr>
        <w:tblStyle w:val="TableGrid"/>
        <w:tblpPr w:leftFromText="180" w:rightFromText="180" w:vertAnchor="text" w:horzAnchor="margin" w:tblpXSpec="center" w:tblpY="893"/>
        <w:tblW w:w="9918" w:type="dxa"/>
        <w:jc w:val="center"/>
        <w:tblLook w:val="04A0" w:firstRow="1" w:lastRow="0" w:firstColumn="1" w:lastColumn="0" w:noHBand="0" w:noVBand="1"/>
      </w:tblPr>
      <w:tblGrid>
        <w:gridCol w:w="1321"/>
        <w:gridCol w:w="1268"/>
        <w:gridCol w:w="1297"/>
        <w:gridCol w:w="1065"/>
        <w:gridCol w:w="1296"/>
        <w:gridCol w:w="1308"/>
        <w:gridCol w:w="1295"/>
        <w:gridCol w:w="1068"/>
      </w:tblGrid>
      <w:tr w:rsidR="00EA0723" w:rsidRPr="009F2C9D" w14:paraId="1C9442C9" w14:textId="77777777" w:rsidTr="00964500">
        <w:trPr>
          <w:trHeight w:val="76"/>
          <w:jc w:val="center"/>
        </w:trPr>
        <w:tc>
          <w:tcPr>
            <w:tcW w:w="9918" w:type="dxa"/>
            <w:gridSpan w:val="8"/>
            <w:vAlign w:val="center"/>
          </w:tcPr>
          <w:p w14:paraId="444EC2CE"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Total antioxidants (U/mg protein)</w:t>
            </w:r>
          </w:p>
        </w:tc>
      </w:tr>
      <w:tr w:rsidR="00EA0723" w:rsidRPr="009F2C9D" w14:paraId="3ABFC845" w14:textId="77777777" w:rsidTr="00964500">
        <w:trPr>
          <w:trHeight w:val="631"/>
          <w:jc w:val="center"/>
        </w:trPr>
        <w:tc>
          <w:tcPr>
            <w:tcW w:w="1321" w:type="dxa"/>
            <w:vAlign w:val="center"/>
          </w:tcPr>
          <w:p w14:paraId="7ED2ECB6"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Genotypes</w:t>
            </w:r>
          </w:p>
        </w:tc>
        <w:tc>
          <w:tcPr>
            <w:tcW w:w="1268" w:type="dxa"/>
            <w:vAlign w:val="center"/>
          </w:tcPr>
          <w:p w14:paraId="7CCFFE32"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Ambient</w:t>
            </w:r>
          </w:p>
        </w:tc>
        <w:tc>
          <w:tcPr>
            <w:tcW w:w="1297" w:type="dxa"/>
            <w:vAlign w:val="center"/>
          </w:tcPr>
          <w:p w14:paraId="5257BC93"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HT</w:t>
            </w:r>
          </w:p>
        </w:tc>
        <w:tc>
          <w:tcPr>
            <w:tcW w:w="1065" w:type="dxa"/>
            <w:vAlign w:val="center"/>
          </w:tcPr>
          <w:p w14:paraId="0AEA2959" w14:textId="741C4C6A"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 xml:space="preserve">% </w:t>
            </w:r>
            <w:r w:rsidR="00F924DD" w:rsidRPr="009F2C9D">
              <w:rPr>
                <w:rFonts w:ascii="Arial" w:eastAsia="Times New Roman" w:hAnsi="Arial" w:cs="Arial"/>
                <w:b/>
                <w:bCs/>
                <w:sz w:val="20"/>
                <w:szCs w:val="20"/>
                <w:lang w:val="en-IN"/>
              </w:rPr>
              <w:t>change</w:t>
            </w:r>
          </w:p>
        </w:tc>
        <w:tc>
          <w:tcPr>
            <w:tcW w:w="1296" w:type="dxa"/>
            <w:vAlign w:val="center"/>
          </w:tcPr>
          <w:p w14:paraId="5440FBEB"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Genotypes</w:t>
            </w:r>
          </w:p>
        </w:tc>
        <w:tc>
          <w:tcPr>
            <w:tcW w:w="1308" w:type="dxa"/>
            <w:vAlign w:val="center"/>
          </w:tcPr>
          <w:p w14:paraId="5C0D563D"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Ambient</w:t>
            </w:r>
          </w:p>
        </w:tc>
        <w:tc>
          <w:tcPr>
            <w:tcW w:w="1295" w:type="dxa"/>
            <w:vAlign w:val="center"/>
          </w:tcPr>
          <w:p w14:paraId="06B24345"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Elevated CO</w:t>
            </w:r>
            <w:r w:rsidRPr="009F2C9D">
              <w:rPr>
                <w:rFonts w:ascii="Arial" w:eastAsia="Times New Roman" w:hAnsi="Arial" w:cs="Arial"/>
                <w:b/>
                <w:bCs/>
                <w:sz w:val="20"/>
                <w:szCs w:val="20"/>
                <w:vertAlign w:val="subscript"/>
                <w:lang w:val="en-IN"/>
              </w:rPr>
              <w:t>2</w:t>
            </w:r>
            <w:r w:rsidRPr="009F2C9D">
              <w:rPr>
                <w:rFonts w:ascii="Arial" w:eastAsia="Times New Roman" w:hAnsi="Arial" w:cs="Arial"/>
                <w:b/>
                <w:bCs/>
                <w:sz w:val="20"/>
                <w:szCs w:val="20"/>
                <w:lang w:val="en-IN"/>
              </w:rPr>
              <w:t xml:space="preserve"> and drought</w:t>
            </w:r>
          </w:p>
        </w:tc>
        <w:tc>
          <w:tcPr>
            <w:tcW w:w="1068" w:type="dxa"/>
            <w:vAlign w:val="center"/>
          </w:tcPr>
          <w:p w14:paraId="7FCB7120" w14:textId="01D7640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 xml:space="preserve">% </w:t>
            </w:r>
            <w:r w:rsidR="00F924DD" w:rsidRPr="009F2C9D">
              <w:rPr>
                <w:rFonts w:ascii="Arial" w:eastAsia="Times New Roman" w:hAnsi="Arial" w:cs="Arial"/>
                <w:b/>
                <w:bCs/>
                <w:sz w:val="20"/>
                <w:szCs w:val="20"/>
                <w:lang w:val="en-IN"/>
              </w:rPr>
              <w:t>change</w:t>
            </w:r>
          </w:p>
        </w:tc>
      </w:tr>
      <w:tr w:rsidR="00EA0723" w:rsidRPr="009F2C9D" w14:paraId="29EBAAED" w14:textId="77777777" w:rsidTr="00964500">
        <w:trPr>
          <w:trHeight w:val="363"/>
          <w:jc w:val="center"/>
        </w:trPr>
        <w:tc>
          <w:tcPr>
            <w:tcW w:w="1321" w:type="dxa"/>
            <w:vAlign w:val="center"/>
          </w:tcPr>
          <w:p w14:paraId="6A72CB6B"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GPU28</w:t>
            </w:r>
          </w:p>
        </w:tc>
        <w:tc>
          <w:tcPr>
            <w:tcW w:w="1268" w:type="dxa"/>
            <w:vAlign w:val="center"/>
          </w:tcPr>
          <w:p w14:paraId="50F2A53B"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1.32±0.01</w:t>
            </w:r>
            <w:r w:rsidRPr="009F2C9D">
              <w:rPr>
                <w:rFonts w:ascii="Arial" w:eastAsia="Times New Roman" w:hAnsi="Arial" w:cs="Arial"/>
                <w:sz w:val="20"/>
                <w:szCs w:val="20"/>
                <w:vertAlign w:val="superscript"/>
                <w:lang w:val="en-IN"/>
              </w:rPr>
              <w:t>d</w:t>
            </w:r>
          </w:p>
        </w:tc>
        <w:tc>
          <w:tcPr>
            <w:tcW w:w="1297" w:type="dxa"/>
            <w:vAlign w:val="center"/>
          </w:tcPr>
          <w:p w14:paraId="07B9AEB7"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6.65±0.11</w:t>
            </w:r>
            <w:r w:rsidRPr="009F2C9D">
              <w:rPr>
                <w:rFonts w:ascii="Arial" w:eastAsia="Times New Roman" w:hAnsi="Arial" w:cs="Arial"/>
                <w:sz w:val="20"/>
                <w:szCs w:val="20"/>
                <w:vertAlign w:val="superscript"/>
                <w:lang w:val="en-IN"/>
              </w:rPr>
              <w:t>a</w:t>
            </w:r>
          </w:p>
        </w:tc>
        <w:tc>
          <w:tcPr>
            <w:tcW w:w="1065" w:type="dxa"/>
            <w:vAlign w:val="center"/>
          </w:tcPr>
          <w:p w14:paraId="797053A1"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403.78</w:t>
            </w:r>
          </w:p>
        </w:tc>
        <w:tc>
          <w:tcPr>
            <w:tcW w:w="1296" w:type="dxa"/>
            <w:vAlign w:val="center"/>
          </w:tcPr>
          <w:p w14:paraId="65454DAF"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GPU28</w:t>
            </w:r>
          </w:p>
        </w:tc>
        <w:tc>
          <w:tcPr>
            <w:tcW w:w="1308" w:type="dxa"/>
            <w:vAlign w:val="center"/>
          </w:tcPr>
          <w:p w14:paraId="2EC218B4"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3.05±0.06</w:t>
            </w:r>
          </w:p>
        </w:tc>
        <w:tc>
          <w:tcPr>
            <w:tcW w:w="1295" w:type="dxa"/>
            <w:vAlign w:val="center"/>
          </w:tcPr>
          <w:p w14:paraId="673A7AF8"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7.88±0.52</w:t>
            </w:r>
          </w:p>
        </w:tc>
        <w:tc>
          <w:tcPr>
            <w:tcW w:w="1068" w:type="dxa"/>
            <w:vAlign w:val="center"/>
          </w:tcPr>
          <w:p w14:paraId="498C642B"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158.36</w:t>
            </w:r>
          </w:p>
        </w:tc>
      </w:tr>
      <w:tr w:rsidR="00EA0723" w:rsidRPr="009F2C9D" w14:paraId="33C87608" w14:textId="77777777" w:rsidTr="00964500">
        <w:trPr>
          <w:trHeight w:val="363"/>
          <w:jc w:val="center"/>
        </w:trPr>
        <w:tc>
          <w:tcPr>
            <w:tcW w:w="1321" w:type="dxa"/>
            <w:vAlign w:val="center"/>
          </w:tcPr>
          <w:p w14:paraId="51090FC0"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ML365</w:t>
            </w:r>
          </w:p>
        </w:tc>
        <w:tc>
          <w:tcPr>
            <w:tcW w:w="1268" w:type="dxa"/>
            <w:vAlign w:val="center"/>
          </w:tcPr>
          <w:p w14:paraId="63AE27CB"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1.25±0.01</w:t>
            </w:r>
            <w:r w:rsidRPr="009F2C9D">
              <w:rPr>
                <w:rFonts w:ascii="Arial" w:eastAsia="Times New Roman" w:hAnsi="Arial" w:cs="Arial"/>
                <w:sz w:val="20"/>
                <w:szCs w:val="20"/>
                <w:vertAlign w:val="superscript"/>
                <w:lang w:val="en-IN"/>
              </w:rPr>
              <w:t>d</w:t>
            </w:r>
          </w:p>
        </w:tc>
        <w:tc>
          <w:tcPr>
            <w:tcW w:w="1297" w:type="dxa"/>
            <w:vAlign w:val="center"/>
          </w:tcPr>
          <w:p w14:paraId="2B3977EE"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7.78±0.01</w:t>
            </w:r>
            <w:r w:rsidRPr="009F2C9D">
              <w:rPr>
                <w:rFonts w:ascii="Arial" w:eastAsia="Times New Roman" w:hAnsi="Arial" w:cs="Arial"/>
                <w:sz w:val="20"/>
                <w:szCs w:val="20"/>
                <w:vertAlign w:val="superscript"/>
                <w:lang w:val="en-IN"/>
              </w:rPr>
              <w:t>b</w:t>
            </w:r>
          </w:p>
        </w:tc>
        <w:tc>
          <w:tcPr>
            <w:tcW w:w="1065" w:type="dxa"/>
            <w:vAlign w:val="center"/>
          </w:tcPr>
          <w:p w14:paraId="56BAAF7D"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522.40</w:t>
            </w:r>
          </w:p>
        </w:tc>
        <w:tc>
          <w:tcPr>
            <w:tcW w:w="1296" w:type="dxa"/>
            <w:vAlign w:val="center"/>
          </w:tcPr>
          <w:p w14:paraId="52EB39EE"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ML365</w:t>
            </w:r>
          </w:p>
        </w:tc>
        <w:tc>
          <w:tcPr>
            <w:tcW w:w="1308" w:type="dxa"/>
            <w:vAlign w:val="center"/>
          </w:tcPr>
          <w:p w14:paraId="251A5267"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3.01±0.07</w:t>
            </w:r>
          </w:p>
        </w:tc>
        <w:tc>
          <w:tcPr>
            <w:tcW w:w="1295" w:type="dxa"/>
            <w:vAlign w:val="center"/>
          </w:tcPr>
          <w:p w14:paraId="7DD80551"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7.77±1.04</w:t>
            </w:r>
          </w:p>
        </w:tc>
        <w:tc>
          <w:tcPr>
            <w:tcW w:w="1068" w:type="dxa"/>
            <w:vAlign w:val="center"/>
          </w:tcPr>
          <w:p w14:paraId="6350F4B4"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158.14</w:t>
            </w:r>
          </w:p>
        </w:tc>
      </w:tr>
      <w:tr w:rsidR="00EA0723" w:rsidRPr="009F2C9D" w14:paraId="6ED7CCE0" w14:textId="77777777" w:rsidTr="00964500">
        <w:trPr>
          <w:trHeight w:val="346"/>
          <w:jc w:val="center"/>
        </w:trPr>
        <w:tc>
          <w:tcPr>
            <w:tcW w:w="1321" w:type="dxa"/>
            <w:vAlign w:val="center"/>
          </w:tcPr>
          <w:p w14:paraId="2C64E62D"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GPU66</w:t>
            </w:r>
          </w:p>
        </w:tc>
        <w:tc>
          <w:tcPr>
            <w:tcW w:w="1268" w:type="dxa"/>
            <w:vAlign w:val="center"/>
          </w:tcPr>
          <w:p w14:paraId="35DF1AF3"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1.21±0.11</w:t>
            </w:r>
            <w:r w:rsidRPr="009F2C9D">
              <w:rPr>
                <w:rFonts w:ascii="Arial" w:eastAsia="Times New Roman" w:hAnsi="Arial" w:cs="Arial"/>
                <w:sz w:val="20"/>
                <w:szCs w:val="20"/>
                <w:vertAlign w:val="superscript"/>
                <w:lang w:val="en-IN"/>
              </w:rPr>
              <w:t>e</w:t>
            </w:r>
          </w:p>
        </w:tc>
        <w:tc>
          <w:tcPr>
            <w:tcW w:w="1297" w:type="dxa"/>
            <w:vAlign w:val="center"/>
          </w:tcPr>
          <w:p w14:paraId="4B19A482"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5.65±0.06</w:t>
            </w:r>
            <w:r w:rsidRPr="009F2C9D">
              <w:rPr>
                <w:rFonts w:ascii="Arial" w:eastAsia="Times New Roman" w:hAnsi="Arial" w:cs="Arial"/>
                <w:sz w:val="20"/>
                <w:szCs w:val="20"/>
                <w:vertAlign w:val="superscript"/>
                <w:lang w:val="en-IN"/>
              </w:rPr>
              <w:t>c</w:t>
            </w:r>
          </w:p>
        </w:tc>
        <w:tc>
          <w:tcPr>
            <w:tcW w:w="1065" w:type="dxa"/>
            <w:vAlign w:val="center"/>
          </w:tcPr>
          <w:p w14:paraId="31C8ECF7"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366.94</w:t>
            </w:r>
          </w:p>
        </w:tc>
        <w:tc>
          <w:tcPr>
            <w:tcW w:w="1296" w:type="dxa"/>
            <w:vAlign w:val="center"/>
          </w:tcPr>
          <w:p w14:paraId="04377C20"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GPU66</w:t>
            </w:r>
          </w:p>
        </w:tc>
        <w:tc>
          <w:tcPr>
            <w:tcW w:w="1308" w:type="dxa"/>
            <w:vAlign w:val="center"/>
          </w:tcPr>
          <w:p w14:paraId="5FA19A89"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1.75±0.63</w:t>
            </w:r>
          </w:p>
        </w:tc>
        <w:tc>
          <w:tcPr>
            <w:tcW w:w="1295" w:type="dxa"/>
            <w:vAlign w:val="center"/>
          </w:tcPr>
          <w:p w14:paraId="55B25B7A"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6.30±0.10</w:t>
            </w:r>
          </w:p>
        </w:tc>
        <w:tc>
          <w:tcPr>
            <w:tcW w:w="1068" w:type="dxa"/>
            <w:vAlign w:val="center"/>
          </w:tcPr>
          <w:p w14:paraId="366C2BC4"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260.00</w:t>
            </w:r>
          </w:p>
        </w:tc>
      </w:tr>
      <w:tr w:rsidR="00EA0723" w:rsidRPr="009F2C9D" w14:paraId="27AF2CAC" w14:textId="77777777" w:rsidTr="00964500">
        <w:trPr>
          <w:trHeight w:val="363"/>
          <w:jc w:val="center"/>
        </w:trPr>
        <w:tc>
          <w:tcPr>
            <w:tcW w:w="1321" w:type="dxa"/>
            <w:vAlign w:val="center"/>
          </w:tcPr>
          <w:p w14:paraId="67DBA2EF"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GPU67</w:t>
            </w:r>
          </w:p>
        </w:tc>
        <w:tc>
          <w:tcPr>
            <w:tcW w:w="1268" w:type="dxa"/>
            <w:vAlign w:val="center"/>
          </w:tcPr>
          <w:p w14:paraId="7006AAE0"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1.35±0.01</w:t>
            </w:r>
            <w:r w:rsidRPr="009F2C9D">
              <w:rPr>
                <w:rFonts w:ascii="Arial" w:eastAsia="Times New Roman" w:hAnsi="Arial" w:cs="Arial"/>
                <w:sz w:val="20"/>
                <w:szCs w:val="20"/>
                <w:vertAlign w:val="superscript"/>
                <w:lang w:val="en-IN"/>
              </w:rPr>
              <w:t>d</w:t>
            </w:r>
          </w:p>
        </w:tc>
        <w:tc>
          <w:tcPr>
            <w:tcW w:w="1297" w:type="dxa"/>
            <w:vAlign w:val="center"/>
          </w:tcPr>
          <w:p w14:paraId="4AD63D79"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5.55±0.03</w:t>
            </w:r>
            <w:r w:rsidRPr="009F2C9D">
              <w:rPr>
                <w:rFonts w:ascii="Arial" w:eastAsia="Times New Roman" w:hAnsi="Arial" w:cs="Arial"/>
                <w:sz w:val="20"/>
                <w:szCs w:val="20"/>
                <w:vertAlign w:val="superscript"/>
                <w:lang w:val="en-IN"/>
              </w:rPr>
              <w:t>c</w:t>
            </w:r>
          </w:p>
        </w:tc>
        <w:tc>
          <w:tcPr>
            <w:tcW w:w="1065" w:type="dxa"/>
            <w:vAlign w:val="center"/>
          </w:tcPr>
          <w:p w14:paraId="18012C97"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311.11</w:t>
            </w:r>
          </w:p>
        </w:tc>
        <w:tc>
          <w:tcPr>
            <w:tcW w:w="1296" w:type="dxa"/>
            <w:vAlign w:val="center"/>
          </w:tcPr>
          <w:p w14:paraId="00186A56"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GPU67</w:t>
            </w:r>
          </w:p>
        </w:tc>
        <w:tc>
          <w:tcPr>
            <w:tcW w:w="1308" w:type="dxa"/>
            <w:vAlign w:val="center"/>
          </w:tcPr>
          <w:p w14:paraId="43B411AD"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2.02±0.06</w:t>
            </w:r>
          </w:p>
        </w:tc>
        <w:tc>
          <w:tcPr>
            <w:tcW w:w="1295" w:type="dxa"/>
            <w:vAlign w:val="center"/>
          </w:tcPr>
          <w:p w14:paraId="6E16E8AC"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5.66±0.32</w:t>
            </w:r>
          </w:p>
        </w:tc>
        <w:tc>
          <w:tcPr>
            <w:tcW w:w="1068" w:type="dxa"/>
            <w:vAlign w:val="center"/>
          </w:tcPr>
          <w:p w14:paraId="7FE8F941"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180.19</w:t>
            </w:r>
          </w:p>
        </w:tc>
      </w:tr>
      <w:tr w:rsidR="00EA0723" w:rsidRPr="009F2C9D" w14:paraId="265830D4" w14:textId="77777777" w:rsidTr="00964500">
        <w:trPr>
          <w:trHeight w:val="363"/>
          <w:jc w:val="center"/>
        </w:trPr>
        <w:tc>
          <w:tcPr>
            <w:tcW w:w="1321" w:type="dxa"/>
            <w:vAlign w:val="center"/>
          </w:tcPr>
          <w:p w14:paraId="06519848"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Mean</w:t>
            </w:r>
          </w:p>
        </w:tc>
        <w:tc>
          <w:tcPr>
            <w:tcW w:w="1268" w:type="dxa"/>
            <w:vAlign w:val="center"/>
          </w:tcPr>
          <w:p w14:paraId="034BB4D0"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1.28±0.09</w:t>
            </w:r>
            <w:r w:rsidRPr="009F2C9D">
              <w:rPr>
                <w:rFonts w:ascii="Arial" w:eastAsia="Times New Roman" w:hAnsi="Arial" w:cs="Arial"/>
                <w:b/>
                <w:bCs/>
                <w:sz w:val="20"/>
                <w:szCs w:val="20"/>
                <w:vertAlign w:val="superscript"/>
                <w:lang w:val="en-IN"/>
              </w:rPr>
              <w:t>b</w:t>
            </w:r>
          </w:p>
        </w:tc>
        <w:tc>
          <w:tcPr>
            <w:tcW w:w="1297" w:type="dxa"/>
            <w:vAlign w:val="center"/>
          </w:tcPr>
          <w:p w14:paraId="0A643AF3"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6.40±0.60</w:t>
            </w:r>
            <w:r w:rsidRPr="009F2C9D">
              <w:rPr>
                <w:rFonts w:ascii="Arial" w:eastAsia="Times New Roman" w:hAnsi="Arial" w:cs="Arial"/>
                <w:b/>
                <w:bCs/>
                <w:sz w:val="20"/>
                <w:szCs w:val="20"/>
                <w:vertAlign w:val="superscript"/>
                <w:lang w:val="en-IN"/>
              </w:rPr>
              <w:t>a</w:t>
            </w:r>
          </w:p>
        </w:tc>
        <w:tc>
          <w:tcPr>
            <w:tcW w:w="1065" w:type="dxa"/>
            <w:vAlign w:val="center"/>
          </w:tcPr>
          <w:p w14:paraId="42363646"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
        </w:tc>
        <w:tc>
          <w:tcPr>
            <w:tcW w:w="1296" w:type="dxa"/>
            <w:vAlign w:val="center"/>
          </w:tcPr>
          <w:p w14:paraId="34CCFC87"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
        </w:tc>
        <w:tc>
          <w:tcPr>
            <w:tcW w:w="1308" w:type="dxa"/>
            <w:vAlign w:val="center"/>
          </w:tcPr>
          <w:p w14:paraId="3700A12F"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2.46±0.66</w:t>
            </w:r>
            <w:r w:rsidRPr="009F2C9D">
              <w:rPr>
                <w:rFonts w:ascii="Arial" w:eastAsia="Times New Roman" w:hAnsi="Arial" w:cs="Arial"/>
                <w:b/>
                <w:bCs/>
                <w:sz w:val="20"/>
                <w:szCs w:val="20"/>
                <w:vertAlign w:val="superscript"/>
                <w:lang w:val="en-IN"/>
              </w:rPr>
              <w:t>b</w:t>
            </w:r>
          </w:p>
        </w:tc>
        <w:tc>
          <w:tcPr>
            <w:tcW w:w="1295" w:type="dxa"/>
            <w:vAlign w:val="center"/>
          </w:tcPr>
          <w:p w14:paraId="2E344F42"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6.90±1.12</w:t>
            </w:r>
            <w:r w:rsidRPr="009F2C9D">
              <w:rPr>
                <w:rFonts w:ascii="Arial" w:eastAsia="Times New Roman" w:hAnsi="Arial" w:cs="Arial"/>
                <w:b/>
                <w:bCs/>
                <w:sz w:val="20"/>
                <w:szCs w:val="20"/>
                <w:vertAlign w:val="superscript"/>
                <w:lang w:val="en-IN"/>
              </w:rPr>
              <w:t>a</w:t>
            </w:r>
          </w:p>
        </w:tc>
        <w:tc>
          <w:tcPr>
            <w:tcW w:w="1068" w:type="dxa"/>
            <w:vAlign w:val="center"/>
          </w:tcPr>
          <w:p w14:paraId="27D15FE2"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
        </w:tc>
      </w:tr>
      <w:tr w:rsidR="00EA0723" w:rsidRPr="009F2C9D" w14:paraId="4764602C" w14:textId="77777777" w:rsidTr="00964500">
        <w:trPr>
          <w:trHeight w:val="363"/>
          <w:jc w:val="center"/>
        </w:trPr>
        <w:tc>
          <w:tcPr>
            <w:tcW w:w="1321" w:type="dxa"/>
            <w:vAlign w:val="center"/>
          </w:tcPr>
          <w:p w14:paraId="2055F2AF"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
        </w:tc>
        <w:tc>
          <w:tcPr>
            <w:tcW w:w="1268" w:type="dxa"/>
            <w:vAlign w:val="center"/>
          </w:tcPr>
          <w:p w14:paraId="1C4BE9DC"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roofErr w:type="spellStart"/>
            <w:r w:rsidRPr="009F2C9D">
              <w:rPr>
                <w:rFonts w:ascii="Arial" w:eastAsia="Times New Roman" w:hAnsi="Arial" w:cs="Arial"/>
                <w:b/>
                <w:bCs/>
                <w:sz w:val="20"/>
                <w:szCs w:val="20"/>
                <w:lang w:val="en-IN"/>
              </w:rPr>
              <w:t>SEm</w:t>
            </w:r>
            <w:proofErr w:type="spellEnd"/>
            <w:r w:rsidRPr="009F2C9D">
              <w:rPr>
                <w:rFonts w:ascii="Arial" w:eastAsia="Times New Roman" w:hAnsi="Arial" w:cs="Arial"/>
                <w:b/>
                <w:bCs/>
                <w:sz w:val="20"/>
                <w:szCs w:val="20"/>
                <w:lang w:val="en-IN"/>
              </w:rPr>
              <w:t>±</w:t>
            </w:r>
          </w:p>
        </w:tc>
        <w:tc>
          <w:tcPr>
            <w:tcW w:w="1297" w:type="dxa"/>
            <w:vAlign w:val="center"/>
          </w:tcPr>
          <w:p w14:paraId="27575EEF"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CD (0.05)</w:t>
            </w:r>
          </w:p>
        </w:tc>
        <w:tc>
          <w:tcPr>
            <w:tcW w:w="1065" w:type="dxa"/>
            <w:vAlign w:val="center"/>
          </w:tcPr>
          <w:p w14:paraId="5DE1D1A3"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
        </w:tc>
        <w:tc>
          <w:tcPr>
            <w:tcW w:w="1296" w:type="dxa"/>
            <w:vAlign w:val="center"/>
          </w:tcPr>
          <w:p w14:paraId="3B3439C0"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
        </w:tc>
        <w:tc>
          <w:tcPr>
            <w:tcW w:w="1308" w:type="dxa"/>
            <w:vAlign w:val="center"/>
          </w:tcPr>
          <w:p w14:paraId="5D9844ED"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roofErr w:type="spellStart"/>
            <w:r w:rsidRPr="009F2C9D">
              <w:rPr>
                <w:rFonts w:ascii="Arial" w:eastAsia="Times New Roman" w:hAnsi="Arial" w:cs="Arial"/>
                <w:b/>
                <w:bCs/>
                <w:sz w:val="20"/>
                <w:szCs w:val="20"/>
                <w:lang w:val="en-IN"/>
              </w:rPr>
              <w:t>SEm</w:t>
            </w:r>
            <w:proofErr w:type="spellEnd"/>
            <w:r w:rsidRPr="009F2C9D">
              <w:rPr>
                <w:rFonts w:ascii="Arial" w:eastAsia="Times New Roman" w:hAnsi="Arial" w:cs="Arial"/>
                <w:b/>
                <w:bCs/>
                <w:sz w:val="20"/>
                <w:szCs w:val="20"/>
                <w:lang w:val="en-IN"/>
              </w:rPr>
              <w:t>±</w:t>
            </w:r>
          </w:p>
        </w:tc>
        <w:tc>
          <w:tcPr>
            <w:tcW w:w="1295" w:type="dxa"/>
            <w:vAlign w:val="center"/>
          </w:tcPr>
          <w:p w14:paraId="3599318F"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CD (0.05)</w:t>
            </w:r>
          </w:p>
        </w:tc>
        <w:tc>
          <w:tcPr>
            <w:tcW w:w="1068" w:type="dxa"/>
            <w:vAlign w:val="center"/>
          </w:tcPr>
          <w:p w14:paraId="510EFF48"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
        </w:tc>
      </w:tr>
      <w:tr w:rsidR="00EA0723" w:rsidRPr="009F2C9D" w14:paraId="33028715" w14:textId="77777777" w:rsidTr="00964500">
        <w:trPr>
          <w:trHeight w:val="363"/>
          <w:jc w:val="center"/>
        </w:trPr>
        <w:tc>
          <w:tcPr>
            <w:tcW w:w="1321" w:type="dxa"/>
            <w:vAlign w:val="center"/>
          </w:tcPr>
          <w:p w14:paraId="70CA4ADA"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Genotype</w:t>
            </w:r>
          </w:p>
        </w:tc>
        <w:tc>
          <w:tcPr>
            <w:tcW w:w="1268" w:type="dxa"/>
            <w:vAlign w:val="center"/>
          </w:tcPr>
          <w:p w14:paraId="1BA6895B"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0.02</w:t>
            </w:r>
          </w:p>
        </w:tc>
        <w:tc>
          <w:tcPr>
            <w:tcW w:w="1297" w:type="dxa"/>
            <w:vAlign w:val="center"/>
          </w:tcPr>
          <w:p w14:paraId="5EF01AC9"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0.07</w:t>
            </w:r>
          </w:p>
        </w:tc>
        <w:tc>
          <w:tcPr>
            <w:tcW w:w="1065" w:type="dxa"/>
            <w:vAlign w:val="center"/>
          </w:tcPr>
          <w:p w14:paraId="3C4069BC" w14:textId="77777777" w:rsidR="00EA0723" w:rsidRPr="009F2C9D" w:rsidRDefault="00EA0723" w:rsidP="00712C10">
            <w:pPr>
              <w:pStyle w:val="Body"/>
              <w:spacing w:line="276" w:lineRule="auto"/>
              <w:jc w:val="center"/>
              <w:rPr>
                <w:rFonts w:ascii="Arial" w:eastAsia="Times New Roman" w:hAnsi="Arial" w:cs="Arial"/>
                <w:sz w:val="20"/>
                <w:szCs w:val="20"/>
                <w:lang w:val="en-IN"/>
              </w:rPr>
            </w:pPr>
          </w:p>
        </w:tc>
        <w:tc>
          <w:tcPr>
            <w:tcW w:w="1296" w:type="dxa"/>
            <w:vAlign w:val="center"/>
          </w:tcPr>
          <w:p w14:paraId="0E252D89" w14:textId="77777777" w:rsidR="00EA0723" w:rsidRPr="009F2C9D" w:rsidRDefault="00EA0723" w:rsidP="00712C10">
            <w:pPr>
              <w:pStyle w:val="Body"/>
              <w:spacing w:line="276" w:lineRule="auto"/>
              <w:jc w:val="center"/>
              <w:rPr>
                <w:rFonts w:ascii="Arial" w:eastAsia="Times New Roman" w:hAnsi="Arial" w:cs="Arial"/>
                <w:sz w:val="20"/>
                <w:szCs w:val="20"/>
                <w:lang w:val="en-IN"/>
              </w:rPr>
            </w:pPr>
          </w:p>
        </w:tc>
        <w:tc>
          <w:tcPr>
            <w:tcW w:w="1308" w:type="dxa"/>
            <w:vAlign w:val="center"/>
          </w:tcPr>
          <w:p w14:paraId="4350AB40"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0.19</w:t>
            </w:r>
          </w:p>
        </w:tc>
        <w:tc>
          <w:tcPr>
            <w:tcW w:w="1295" w:type="dxa"/>
            <w:vAlign w:val="center"/>
          </w:tcPr>
          <w:p w14:paraId="08C67EDC"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0.59</w:t>
            </w:r>
          </w:p>
        </w:tc>
        <w:tc>
          <w:tcPr>
            <w:tcW w:w="1068" w:type="dxa"/>
            <w:vAlign w:val="center"/>
          </w:tcPr>
          <w:p w14:paraId="41FD71C6"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
        </w:tc>
      </w:tr>
      <w:tr w:rsidR="00EA0723" w:rsidRPr="009F2C9D" w14:paraId="246C7C5F" w14:textId="77777777" w:rsidTr="00964500">
        <w:trPr>
          <w:trHeight w:val="363"/>
          <w:jc w:val="center"/>
        </w:trPr>
        <w:tc>
          <w:tcPr>
            <w:tcW w:w="1321" w:type="dxa"/>
            <w:vAlign w:val="center"/>
          </w:tcPr>
          <w:p w14:paraId="0304F56B"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r w:rsidRPr="009F2C9D">
              <w:rPr>
                <w:rFonts w:ascii="Arial" w:eastAsia="Times New Roman" w:hAnsi="Arial" w:cs="Arial"/>
                <w:b/>
                <w:bCs/>
                <w:sz w:val="20"/>
                <w:szCs w:val="20"/>
                <w:lang w:val="en-IN"/>
              </w:rPr>
              <w:t>Treatment</w:t>
            </w:r>
          </w:p>
        </w:tc>
        <w:tc>
          <w:tcPr>
            <w:tcW w:w="1268" w:type="dxa"/>
            <w:vAlign w:val="center"/>
          </w:tcPr>
          <w:p w14:paraId="7047B39B"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0.02</w:t>
            </w:r>
          </w:p>
        </w:tc>
        <w:tc>
          <w:tcPr>
            <w:tcW w:w="1297" w:type="dxa"/>
            <w:vAlign w:val="center"/>
          </w:tcPr>
          <w:p w14:paraId="09C221D2"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0.05</w:t>
            </w:r>
          </w:p>
        </w:tc>
        <w:tc>
          <w:tcPr>
            <w:tcW w:w="1065" w:type="dxa"/>
            <w:vAlign w:val="center"/>
          </w:tcPr>
          <w:p w14:paraId="77983E0B" w14:textId="77777777" w:rsidR="00EA0723" w:rsidRPr="009F2C9D" w:rsidRDefault="00EA0723" w:rsidP="00712C10">
            <w:pPr>
              <w:pStyle w:val="Body"/>
              <w:spacing w:line="276" w:lineRule="auto"/>
              <w:jc w:val="center"/>
              <w:rPr>
                <w:rFonts w:ascii="Arial" w:eastAsia="Times New Roman" w:hAnsi="Arial" w:cs="Arial"/>
                <w:sz w:val="20"/>
                <w:szCs w:val="20"/>
                <w:lang w:val="en-IN"/>
              </w:rPr>
            </w:pPr>
          </w:p>
        </w:tc>
        <w:tc>
          <w:tcPr>
            <w:tcW w:w="1296" w:type="dxa"/>
            <w:vAlign w:val="center"/>
          </w:tcPr>
          <w:p w14:paraId="26911426" w14:textId="77777777" w:rsidR="00EA0723" w:rsidRPr="009F2C9D" w:rsidRDefault="00EA0723" w:rsidP="00712C10">
            <w:pPr>
              <w:pStyle w:val="Body"/>
              <w:spacing w:line="276" w:lineRule="auto"/>
              <w:jc w:val="center"/>
              <w:rPr>
                <w:rFonts w:ascii="Arial" w:eastAsia="Times New Roman" w:hAnsi="Arial" w:cs="Arial"/>
                <w:sz w:val="20"/>
                <w:szCs w:val="20"/>
                <w:lang w:val="en-IN"/>
              </w:rPr>
            </w:pPr>
          </w:p>
        </w:tc>
        <w:tc>
          <w:tcPr>
            <w:tcW w:w="1308" w:type="dxa"/>
            <w:vAlign w:val="center"/>
          </w:tcPr>
          <w:p w14:paraId="26BEBBDD"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0.14</w:t>
            </w:r>
          </w:p>
        </w:tc>
        <w:tc>
          <w:tcPr>
            <w:tcW w:w="1295" w:type="dxa"/>
            <w:vAlign w:val="center"/>
          </w:tcPr>
          <w:p w14:paraId="7E39E0C0"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0.42</w:t>
            </w:r>
          </w:p>
        </w:tc>
        <w:tc>
          <w:tcPr>
            <w:tcW w:w="1068" w:type="dxa"/>
            <w:vAlign w:val="center"/>
          </w:tcPr>
          <w:p w14:paraId="0D70334B"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
        </w:tc>
      </w:tr>
      <w:tr w:rsidR="00EA0723" w:rsidRPr="009F2C9D" w14:paraId="366F9660" w14:textId="77777777" w:rsidTr="00964500">
        <w:trPr>
          <w:trHeight w:val="363"/>
          <w:jc w:val="center"/>
        </w:trPr>
        <w:tc>
          <w:tcPr>
            <w:tcW w:w="1321" w:type="dxa"/>
            <w:vAlign w:val="center"/>
          </w:tcPr>
          <w:p w14:paraId="70EBFDDC"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roofErr w:type="spellStart"/>
            <w:r w:rsidRPr="009F2C9D">
              <w:rPr>
                <w:rFonts w:ascii="Arial" w:eastAsia="Times New Roman" w:hAnsi="Arial" w:cs="Arial"/>
                <w:b/>
                <w:bCs/>
                <w:sz w:val="20"/>
                <w:szCs w:val="20"/>
                <w:lang w:val="en-IN"/>
              </w:rPr>
              <w:t>GxT</w:t>
            </w:r>
            <w:proofErr w:type="spellEnd"/>
          </w:p>
        </w:tc>
        <w:tc>
          <w:tcPr>
            <w:tcW w:w="1268" w:type="dxa"/>
            <w:vAlign w:val="center"/>
          </w:tcPr>
          <w:p w14:paraId="2876C75A"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0.03</w:t>
            </w:r>
          </w:p>
        </w:tc>
        <w:tc>
          <w:tcPr>
            <w:tcW w:w="1297" w:type="dxa"/>
            <w:vAlign w:val="center"/>
          </w:tcPr>
          <w:p w14:paraId="6FCA86DB"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0.1</w:t>
            </w:r>
          </w:p>
        </w:tc>
        <w:tc>
          <w:tcPr>
            <w:tcW w:w="1065" w:type="dxa"/>
            <w:vAlign w:val="center"/>
          </w:tcPr>
          <w:p w14:paraId="47A4847B" w14:textId="77777777" w:rsidR="00EA0723" w:rsidRPr="009F2C9D" w:rsidRDefault="00EA0723" w:rsidP="00712C10">
            <w:pPr>
              <w:pStyle w:val="Body"/>
              <w:spacing w:line="276" w:lineRule="auto"/>
              <w:jc w:val="center"/>
              <w:rPr>
                <w:rFonts w:ascii="Arial" w:eastAsia="Times New Roman" w:hAnsi="Arial" w:cs="Arial"/>
                <w:sz w:val="20"/>
                <w:szCs w:val="20"/>
                <w:lang w:val="en-IN"/>
              </w:rPr>
            </w:pPr>
          </w:p>
        </w:tc>
        <w:tc>
          <w:tcPr>
            <w:tcW w:w="1296" w:type="dxa"/>
            <w:vAlign w:val="center"/>
          </w:tcPr>
          <w:p w14:paraId="0D7B4584" w14:textId="77777777" w:rsidR="00EA0723" w:rsidRPr="009F2C9D" w:rsidRDefault="00EA0723" w:rsidP="00712C10">
            <w:pPr>
              <w:pStyle w:val="Body"/>
              <w:spacing w:line="276" w:lineRule="auto"/>
              <w:jc w:val="center"/>
              <w:rPr>
                <w:rFonts w:ascii="Arial" w:eastAsia="Times New Roman" w:hAnsi="Arial" w:cs="Arial"/>
                <w:sz w:val="20"/>
                <w:szCs w:val="20"/>
                <w:lang w:val="en-IN"/>
              </w:rPr>
            </w:pPr>
          </w:p>
        </w:tc>
        <w:tc>
          <w:tcPr>
            <w:tcW w:w="1308" w:type="dxa"/>
            <w:vAlign w:val="center"/>
          </w:tcPr>
          <w:p w14:paraId="4D26A2D5"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0.28</w:t>
            </w:r>
          </w:p>
        </w:tc>
        <w:tc>
          <w:tcPr>
            <w:tcW w:w="1295" w:type="dxa"/>
            <w:vAlign w:val="center"/>
          </w:tcPr>
          <w:p w14:paraId="5E41A2F6" w14:textId="77777777" w:rsidR="00EA0723" w:rsidRPr="009F2C9D" w:rsidRDefault="00EA0723" w:rsidP="00712C10">
            <w:pPr>
              <w:pStyle w:val="Body"/>
              <w:spacing w:line="276" w:lineRule="auto"/>
              <w:jc w:val="center"/>
              <w:rPr>
                <w:rFonts w:ascii="Arial" w:eastAsia="Times New Roman" w:hAnsi="Arial" w:cs="Arial"/>
                <w:sz w:val="20"/>
                <w:szCs w:val="20"/>
                <w:lang w:val="en-IN"/>
              </w:rPr>
            </w:pPr>
            <w:r w:rsidRPr="009F2C9D">
              <w:rPr>
                <w:rFonts w:ascii="Arial" w:eastAsia="Times New Roman" w:hAnsi="Arial" w:cs="Arial"/>
                <w:sz w:val="20"/>
                <w:szCs w:val="20"/>
                <w:lang w:val="en-IN"/>
              </w:rPr>
              <w:t>NS</w:t>
            </w:r>
          </w:p>
        </w:tc>
        <w:tc>
          <w:tcPr>
            <w:tcW w:w="1068" w:type="dxa"/>
            <w:vAlign w:val="center"/>
          </w:tcPr>
          <w:p w14:paraId="1715B28D" w14:textId="77777777" w:rsidR="00EA0723" w:rsidRPr="009F2C9D" w:rsidRDefault="00EA0723" w:rsidP="00712C10">
            <w:pPr>
              <w:pStyle w:val="Body"/>
              <w:spacing w:line="276" w:lineRule="auto"/>
              <w:jc w:val="center"/>
              <w:rPr>
                <w:rFonts w:ascii="Arial" w:eastAsia="Times New Roman" w:hAnsi="Arial" w:cs="Arial"/>
                <w:b/>
                <w:bCs/>
                <w:sz w:val="20"/>
                <w:szCs w:val="20"/>
                <w:lang w:val="en-IN"/>
              </w:rPr>
            </w:pPr>
          </w:p>
        </w:tc>
      </w:tr>
    </w:tbl>
    <w:p w14:paraId="71E8C1D4" w14:textId="4A516530" w:rsidR="00EA0723" w:rsidRPr="009F2C9D" w:rsidRDefault="00EA0723" w:rsidP="00712C10">
      <w:pPr>
        <w:pStyle w:val="Body"/>
        <w:spacing w:after="0" w:line="276" w:lineRule="auto"/>
        <w:rPr>
          <w:rFonts w:ascii="Arial" w:hAnsi="Arial" w:cs="Arial"/>
          <w:b/>
          <w:bCs/>
          <w:lang w:val="en-IN"/>
        </w:rPr>
      </w:pPr>
      <w:r w:rsidRPr="009F2C9D">
        <w:rPr>
          <w:rFonts w:ascii="Arial" w:hAnsi="Arial" w:cs="Arial"/>
          <w:b/>
          <w:bCs/>
          <w:lang w:val="en-IN"/>
        </w:rPr>
        <w:t>Table 1: Effect of high temperature stress and elevated CO</w:t>
      </w:r>
      <w:r w:rsidRPr="009F2C9D">
        <w:rPr>
          <w:rFonts w:ascii="Arial" w:hAnsi="Arial" w:cs="Arial"/>
          <w:b/>
          <w:bCs/>
          <w:vertAlign w:val="subscript"/>
          <w:lang w:val="en-IN"/>
        </w:rPr>
        <w:t>2</w:t>
      </w:r>
      <w:r w:rsidR="00814779" w:rsidRPr="009F2C9D">
        <w:rPr>
          <w:rFonts w:ascii="Arial" w:hAnsi="Arial" w:cs="Arial"/>
          <w:b/>
          <w:bCs/>
          <w:lang w:val="en-IN"/>
        </w:rPr>
        <w:t xml:space="preserve"> x</w:t>
      </w:r>
      <w:r w:rsidRPr="009F2C9D">
        <w:rPr>
          <w:rFonts w:ascii="Arial" w:hAnsi="Arial" w:cs="Arial"/>
          <w:b/>
          <w:bCs/>
          <w:lang w:val="en-IN"/>
        </w:rPr>
        <w:t xml:space="preserve"> drought interaction on total antioxidants of finger millet genotypes at flowering stage</w:t>
      </w:r>
    </w:p>
    <w:p w14:paraId="0960E3DF" w14:textId="77777777" w:rsidR="00EA0723" w:rsidRPr="009F2C9D" w:rsidRDefault="00EA0723" w:rsidP="00712C10">
      <w:pPr>
        <w:pStyle w:val="Body"/>
        <w:spacing w:after="0" w:line="276" w:lineRule="auto"/>
        <w:rPr>
          <w:rFonts w:ascii="Arial" w:hAnsi="Arial" w:cs="Arial"/>
          <w:b/>
          <w:bCs/>
          <w:lang w:val="en-IN"/>
        </w:rPr>
      </w:pPr>
    </w:p>
    <w:p w14:paraId="4A9EB054" w14:textId="77777777" w:rsidR="00F60961" w:rsidRPr="009F2C9D" w:rsidRDefault="00F60961" w:rsidP="00712C10">
      <w:pPr>
        <w:pStyle w:val="ConcHead"/>
        <w:spacing w:after="0" w:line="276" w:lineRule="auto"/>
        <w:jc w:val="both"/>
        <w:rPr>
          <w:rFonts w:ascii="Arial" w:hAnsi="Arial" w:cs="Arial"/>
        </w:rPr>
      </w:pPr>
    </w:p>
    <w:p w14:paraId="5F7EE9EC" w14:textId="77777777" w:rsidR="00F60961" w:rsidRPr="009F2C9D" w:rsidRDefault="00F60961" w:rsidP="00712C10">
      <w:pPr>
        <w:pStyle w:val="ConcHead"/>
        <w:spacing w:after="0" w:line="276" w:lineRule="auto"/>
        <w:jc w:val="both"/>
        <w:rPr>
          <w:rFonts w:ascii="Arial" w:hAnsi="Arial" w:cs="Arial"/>
        </w:rPr>
      </w:pPr>
    </w:p>
    <w:p w14:paraId="34F1B9A3" w14:textId="063FFAA3" w:rsidR="00B01FCD" w:rsidRPr="009F2C9D" w:rsidRDefault="00000F8F" w:rsidP="00712C10">
      <w:pPr>
        <w:pStyle w:val="ConcHead"/>
        <w:spacing w:after="0" w:line="276" w:lineRule="auto"/>
        <w:jc w:val="both"/>
        <w:rPr>
          <w:rFonts w:ascii="Arial" w:hAnsi="Arial" w:cs="Arial"/>
        </w:rPr>
      </w:pPr>
      <w:r w:rsidRPr="009F2C9D">
        <w:rPr>
          <w:rFonts w:ascii="Arial" w:hAnsi="Arial" w:cs="Arial"/>
        </w:rPr>
        <w:t xml:space="preserve">4. </w:t>
      </w:r>
      <w:r w:rsidR="00B01FCD" w:rsidRPr="009F2C9D">
        <w:rPr>
          <w:rFonts w:ascii="Arial" w:hAnsi="Arial" w:cs="Arial"/>
        </w:rPr>
        <w:t>Conclusion</w:t>
      </w:r>
    </w:p>
    <w:p w14:paraId="386B832C" w14:textId="77777777" w:rsidR="00790ADA" w:rsidRPr="009F2C9D" w:rsidRDefault="00790ADA" w:rsidP="00712C10">
      <w:pPr>
        <w:pStyle w:val="ConcHead"/>
        <w:spacing w:after="0" w:line="276" w:lineRule="auto"/>
        <w:jc w:val="both"/>
        <w:rPr>
          <w:rFonts w:ascii="Arial" w:hAnsi="Arial" w:cs="Arial"/>
        </w:rPr>
      </w:pPr>
    </w:p>
    <w:p w14:paraId="39CD6375" w14:textId="08FFCC79" w:rsidR="00EA0723" w:rsidRPr="009F2C9D" w:rsidRDefault="00EA0723" w:rsidP="00E84E17">
      <w:pPr>
        <w:pStyle w:val="Body"/>
        <w:spacing w:after="0" w:line="276" w:lineRule="auto"/>
        <w:ind w:firstLine="720"/>
        <w:rPr>
          <w:rFonts w:ascii="Arial" w:hAnsi="Arial" w:cs="Arial"/>
          <w:lang w:val="en-IN"/>
        </w:rPr>
      </w:pPr>
      <w:r w:rsidRPr="009F2C9D">
        <w:rPr>
          <w:rFonts w:ascii="Arial" w:hAnsi="Arial" w:cs="Arial"/>
          <w:lang w:val="en-IN"/>
        </w:rPr>
        <w:t>The DAB staining pattern and total antioxidant response together illustrate the contrasting oxidative stress dynamics in finger millet genotypes under high temperature</w:t>
      </w:r>
      <w:r w:rsidR="00814779" w:rsidRPr="009F2C9D">
        <w:rPr>
          <w:rFonts w:ascii="Arial" w:hAnsi="Arial" w:cs="Arial"/>
          <w:lang w:val="en-IN"/>
        </w:rPr>
        <w:t xml:space="preserve"> and</w:t>
      </w:r>
      <w:r w:rsidRPr="009F2C9D">
        <w:rPr>
          <w:rFonts w:ascii="Arial" w:hAnsi="Arial" w:cs="Arial"/>
          <w:lang w:val="en-IN"/>
        </w:rPr>
        <w:t xml:space="preserve"> elevated CO</w:t>
      </w:r>
      <w:r w:rsidRPr="009F2C9D">
        <w:rPr>
          <w:rFonts w:ascii="Cambria Math" w:hAnsi="Cambria Math" w:cs="Cambria Math"/>
          <w:lang w:val="en-IN"/>
        </w:rPr>
        <w:t>₂</w:t>
      </w:r>
      <w:r w:rsidR="00814779" w:rsidRPr="009F2C9D">
        <w:rPr>
          <w:rFonts w:ascii="Arial" w:hAnsi="Arial" w:cs="Arial"/>
          <w:lang w:val="en-IN"/>
        </w:rPr>
        <w:t xml:space="preserve"> x</w:t>
      </w:r>
      <w:r w:rsidRPr="009F2C9D">
        <w:rPr>
          <w:rFonts w:ascii="Arial" w:hAnsi="Arial" w:cs="Arial"/>
          <w:lang w:val="en-IN"/>
        </w:rPr>
        <w:t xml:space="preserve"> drought</w:t>
      </w:r>
      <w:r w:rsidR="00814779" w:rsidRPr="009F2C9D">
        <w:rPr>
          <w:rFonts w:ascii="Arial" w:hAnsi="Arial" w:cs="Arial"/>
          <w:lang w:val="en-IN"/>
        </w:rPr>
        <w:t xml:space="preserve"> interaction</w:t>
      </w:r>
      <w:r w:rsidRPr="009F2C9D">
        <w:rPr>
          <w:rFonts w:ascii="Arial" w:hAnsi="Arial" w:cs="Arial"/>
          <w:lang w:val="en-IN"/>
        </w:rPr>
        <w:t xml:space="preserve">. The intense brown coloration under high temperature stress confirmed </w:t>
      </w:r>
      <w:r w:rsidR="00814779" w:rsidRPr="009F2C9D">
        <w:rPr>
          <w:rFonts w:ascii="Arial" w:hAnsi="Arial" w:cs="Arial"/>
          <w:lang w:val="en-IN"/>
        </w:rPr>
        <w:t xml:space="preserve">higher </w:t>
      </w:r>
      <w:r w:rsidRPr="009F2C9D">
        <w:rPr>
          <w:rFonts w:ascii="Arial" w:hAnsi="Arial" w:cs="Arial"/>
          <w:lang w:val="en-IN"/>
        </w:rPr>
        <w:t>H</w:t>
      </w:r>
      <w:r w:rsidRPr="009F2C9D">
        <w:rPr>
          <w:rFonts w:ascii="Cambria Math" w:hAnsi="Cambria Math" w:cs="Cambria Math"/>
          <w:lang w:val="en-IN"/>
        </w:rPr>
        <w:t>₂</w:t>
      </w:r>
      <w:r w:rsidRPr="009F2C9D">
        <w:rPr>
          <w:rFonts w:ascii="Arial" w:hAnsi="Arial" w:cs="Arial"/>
          <w:lang w:val="en-IN"/>
        </w:rPr>
        <w:t>O</w:t>
      </w:r>
      <w:r w:rsidRPr="009F2C9D">
        <w:rPr>
          <w:rFonts w:ascii="Cambria Math" w:hAnsi="Cambria Math" w:cs="Cambria Math"/>
          <w:lang w:val="en-IN"/>
        </w:rPr>
        <w:t>₂</w:t>
      </w:r>
      <w:r w:rsidRPr="009F2C9D">
        <w:rPr>
          <w:rFonts w:ascii="Arial" w:hAnsi="Arial" w:cs="Arial"/>
          <w:lang w:val="en-IN"/>
        </w:rPr>
        <w:t xml:space="preserve"> accumulation, indicating severe oxidative stress, whereas lighter staining under elevated CO</w:t>
      </w:r>
      <w:r w:rsidRPr="009F2C9D">
        <w:rPr>
          <w:rFonts w:ascii="Cambria Math" w:hAnsi="Cambria Math" w:cs="Cambria Math"/>
          <w:lang w:val="en-IN"/>
        </w:rPr>
        <w:t>₂</w:t>
      </w:r>
      <w:r w:rsidRPr="009F2C9D">
        <w:rPr>
          <w:rFonts w:ascii="Arial" w:hAnsi="Arial" w:cs="Arial"/>
          <w:lang w:val="en-IN"/>
        </w:rPr>
        <w:t xml:space="preserve"> and drought reflected an alleviation of ROS production. The corresponding increase in total antioxidant content across treatments suggest</w:t>
      </w:r>
      <w:r w:rsidR="00814779" w:rsidRPr="009F2C9D">
        <w:rPr>
          <w:rFonts w:ascii="Arial" w:hAnsi="Arial" w:cs="Arial"/>
          <w:lang w:val="en-IN"/>
        </w:rPr>
        <w:t>ed</w:t>
      </w:r>
      <w:r w:rsidRPr="009F2C9D">
        <w:rPr>
          <w:rFonts w:ascii="Arial" w:hAnsi="Arial" w:cs="Arial"/>
          <w:lang w:val="en-IN"/>
        </w:rPr>
        <w:t xml:space="preserve"> an adaptive enhancement of the antioxidant defence system to mitigate oxidative damage. Among the genotypes, GPU 28 and ML 365 displayed greater antioxidant induction and lower DAB staining intensity, signifying superior oxidative stress management and higher tolerance potential. In contrast, GPU 67 exhibited pronounced H</w:t>
      </w:r>
      <w:r w:rsidRPr="009F2C9D">
        <w:rPr>
          <w:rFonts w:ascii="Cambria Math" w:hAnsi="Cambria Math" w:cs="Cambria Math"/>
          <w:lang w:val="en-IN"/>
        </w:rPr>
        <w:t>₂</w:t>
      </w:r>
      <w:r w:rsidRPr="009F2C9D">
        <w:rPr>
          <w:rFonts w:ascii="Arial" w:hAnsi="Arial" w:cs="Arial"/>
          <w:lang w:val="en-IN"/>
        </w:rPr>
        <w:t>O</w:t>
      </w:r>
      <w:r w:rsidRPr="009F2C9D">
        <w:rPr>
          <w:rFonts w:ascii="Cambria Math" w:hAnsi="Cambria Math" w:cs="Cambria Math"/>
          <w:lang w:val="en-IN"/>
        </w:rPr>
        <w:t>₂</w:t>
      </w:r>
      <w:r w:rsidRPr="009F2C9D">
        <w:rPr>
          <w:rFonts w:ascii="Arial" w:hAnsi="Arial" w:cs="Arial"/>
          <w:lang w:val="en-IN"/>
        </w:rPr>
        <w:t xml:space="preserve"> accumulation with comparatively weaker antioxidant enhancement, indicating limited detoxification efficiency under heat stress. The integration of these results clearly establishes a genotype-dependent balance between ROS generation and antioxidant defence, emphasizing the central role of antioxidant metabolism in stress adaptation. This relationship is further substantiated by the subsequent analysis of enzymatic antioxidants such as catalase, peroxidase, and superoxide dismutase, which provide deeper insights into the biochemical mechanisms conferring stress resilience in finger millet.</w:t>
      </w:r>
      <w:r w:rsidR="00956250" w:rsidRPr="009F2C9D">
        <w:rPr>
          <w:rFonts w:ascii="Arial" w:hAnsi="Arial" w:cs="Arial"/>
          <w:lang w:val="en-IN"/>
        </w:rPr>
        <w:t xml:space="preserve"> Variation exhibited by selected genotypes in terms of oxidative stress levels experienced and activation of antioxidant mechanism clearly shows the possibilities for selection of genotypes suitable for different stress situation which are unique features of the changing climate.</w:t>
      </w:r>
    </w:p>
    <w:p w14:paraId="0F940A7A" w14:textId="22E5DE88" w:rsidR="00B01FCD" w:rsidRPr="009F2C9D" w:rsidRDefault="00B01FCD" w:rsidP="00712C10">
      <w:pPr>
        <w:pStyle w:val="Body"/>
        <w:spacing w:after="0" w:line="276" w:lineRule="auto"/>
        <w:rPr>
          <w:rFonts w:ascii="Arial" w:hAnsi="Arial" w:cs="Arial"/>
          <w:lang w:val="en-IN"/>
        </w:rPr>
      </w:pPr>
    </w:p>
    <w:p w14:paraId="3D62957B" w14:textId="7513ACB5" w:rsidR="00790ADA" w:rsidRPr="009F2C9D" w:rsidRDefault="00790ADA" w:rsidP="00712C10">
      <w:pPr>
        <w:pStyle w:val="Body"/>
        <w:spacing w:after="0" w:line="276" w:lineRule="auto"/>
        <w:rPr>
          <w:rFonts w:ascii="Arial" w:hAnsi="Arial" w:cs="Arial"/>
        </w:rPr>
      </w:pPr>
    </w:p>
    <w:p w14:paraId="08FE567E" w14:textId="77777777" w:rsidR="00DF335D" w:rsidRPr="009F2C9D" w:rsidRDefault="00DF335D" w:rsidP="00712C10">
      <w:pPr>
        <w:pStyle w:val="Body"/>
        <w:spacing w:after="0" w:line="276" w:lineRule="auto"/>
        <w:rPr>
          <w:rFonts w:ascii="Arial" w:hAnsi="Arial" w:cs="Arial"/>
        </w:rPr>
      </w:pPr>
    </w:p>
    <w:p w14:paraId="235BE141" w14:textId="77777777" w:rsidR="00DF335D" w:rsidRPr="009F2C9D" w:rsidRDefault="00DF335D" w:rsidP="00712C10">
      <w:pPr>
        <w:pStyle w:val="Body"/>
        <w:spacing w:after="0" w:line="276" w:lineRule="auto"/>
        <w:rPr>
          <w:rFonts w:ascii="Arial" w:hAnsi="Arial" w:cs="Arial"/>
        </w:rPr>
      </w:pPr>
    </w:p>
    <w:p w14:paraId="71C6B948" w14:textId="77777777" w:rsidR="00031DAB" w:rsidRPr="00031DAB" w:rsidRDefault="00031DAB" w:rsidP="00031DAB">
      <w:pPr>
        <w:spacing w:line="276" w:lineRule="auto"/>
        <w:rPr>
          <w:rFonts w:ascii="Arial" w:eastAsia="Calibri" w:hAnsi="Arial" w:cs="Arial"/>
          <w:b/>
          <w:bCs/>
          <w:kern w:val="2"/>
        </w:rPr>
      </w:pPr>
      <w:r w:rsidRPr="00031DAB">
        <w:rPr>
          <w:rFonts w:ascii="Arial" w:eastAsia="Calibri" w:hAnsi="Arial" w:cs="Arial"/>
          <w:b/>
          <w:bCs/>
          <w:kern w:val="2"/>
        </w:rPr>
        <w:t>COMPETING INTERESTS</w:t>
      </w:r>
    </w:p>
    <w:p w14:paraId="6FBF0607" w14:textId="77777777" w:rsidR="00031DAB" w:rsidRPr="00031DAB" w:rsidRDefault="00031DAB" w:rsidP="00031DAB">
      <w:pPr>
        <w:spacing w:line="276" w:lineRule="auto"/>
        <w:rPr>
          <w:rFonts w:ascii="Arial" w:eastAsia="Calibri" w:hAnsi="Arial" w:cs="Arial"/>
          <w:kern w:val="2"/>
        </w:rPr>
      </w:pPr>
      <w:r w:rsidRPr="00031DAB">
        <w:rPr>
          <w:rFonts w:ascii="Arial" w:eastAsia="Calibri" w:hAnsi="Arial" w:cs="Arial"/>
          <w:kern w:val="2"/>
        </w:rPr>
        <w:t>Authors have declared that no competing interests exist</w:t>
      </w:r>
    </w:p>
    <w:p w14:paraId="0E571E20" w14:textId="77777777" w:rsidR="00031DAB" w:rsidRPr="00031DAB" w:rsidRDefault="00031DAB" w:rsidP="00031DAB">
      <w:pPr>
        <w:spacing w:line="276" w:lineRule="auto"/>
        <w:rPr>
          <w:rFonts w:ascii="Arial" w:eastAsia="Calibri" w:hAnsi="Arial" w:cs="Arial"/>
          <w:b/>
          <w:bCs/>
          <w:kern w:val="2"/>
        </w:rPr>
      </w:pPr>
      <w:r w:rsidRPr="00031DAB">
        <w:rPr>
          <w:rFonts w:ascii="Arial" w:eastAsia="Calibri" w:hAnsi="Arial" w:cs="Arial"/>
          <w:b/>
          <w:bCs/>
          <w:kern w:val="2"/>
        </w:rPr>
        <w:t>DISCLAIMER (ARTIFICIAL INTELLIGENCE</w:t>
      </w:r>
    </w:p>
    <w:p w14:paraId="1E1CA871" w14:textId="25E0C735" w:rsidR="00031DAB" w:rsidRDefault="00031DAB" w:rsidP="00031DAB">
      <w:pPr>
        <w:spacing w:line="276" w:lineRule="auto"/>
        <w:rPr>
          <w:rFonts w:ascii="Arial" w:eastAsia="Calibri" w:hAnsi="Arial" w:cs="Arial"/>
          <w:kern w:val="2"/>
        </w:rPr>
      </w:pPr>
      <w:r w:rsidRPr="00031DAB">
        <w:rPr>
          <w:rFonts w:ascii="Arial" w:eastAsia="Calibri" w:hAnsi="Arial" w:cs="Arial"/>
          <w:kern w:val="2"/>
        </w:rPr>
        <w:t>Author(s) hereby declares that NO generative AI technologies such as Large Language</w:t>
      </w:r>
      <w:r>
        <w:rPr>
          <w:rFonts w:ascii="Arial" w:eastAsia="Calibri" w:hAnsi="Arial" w:cs="Arial"/>
          <w:kern w:val="2"/>
        </w:rPr>
        <w:t xml:space="preserve"> </w:t>
      </w:r>
      <w:r w:rsidRPr="00031DAB">
        <w:rPr>
          <w:rFonts w:ascii="Arial" w:eastAsia="Calibri" w:hAnsi="Arial" w:cs="Arial"/>
          <w:kern w:val="2"/>
        </w:rPr>
        <w:t xml:space="preserve">Models (ChatGPT, COPILOT, </w:t>
      </w:r>
      <w:proofErr w:type="spellStart"/>
      <w:r w:rsidRPr="00031DAB">
        <w:rPr>
          <w:rFonts w:ascii="Arial" w:eastAsia="Calibri" w:hAnsi="Arial" w:cs="Arial"/>
          <w:kern w:val="2"/>
        </w:rPr>
        <w:t>etc</w:t>
      </w:r>
      <w:proofErr w:type="spellEnd"/>
      <w:r w:rsidRPr="00031DAB">
        <w:rPr>
          <w:rFonts w:ascii="Arial" w:eastAsia="Calibri" w:hAnsi="Arial" w:cs="Arial"/>
          <w:kern w:val="2"/>
        </w:rPr>
        <w:t>) and text-to-image generators have been used during</w:t>
      </w:r>
      <w:r>
        <w:rPr>
          <w:rFonts w:ascii="Arial" w:eastAsia="Calibri" w:hAnsi="Arial" w:cs="Arial"/>
          <w:kern w:val="2"/>
        </w:rPr>
        <w:t xml:space="preserve"> </w:t>
      </w:r>
      <w:r w:rsidRPr="00031DAB">
        <w:rPr>
          <w:rFonts w:ascii="Arial" w:eastAsia="Calibri" w:hAnsi="Arial" w:cs="Arial"/>
          <w:kern w:val="2"/>
        </w:rPr>
        <w:t>writing or editing of this manuscript.</w:t>
      </w:r>
    </w:p>
    <w:p w14:paraId="75BAC0DF" w14:textId="2CD90EE1" w:rsidR="003C12C3" w:rsidRDefault="000C4599" w:rsidP="00031DAB">
      <w:pPr>
        <w:spacing w:line="276" w:lineRule="auto"/>
        <w:rPr>
          <w:rFonts w:ascii="Arial" w:eastAsia="Calibri" w:hAnsi="Arial" w:cs="Arial"/>
          <w:kern w:val="2"/>
          <w:highlight w:val="yellow"/>
        </w:rPr>
      </w:pPr>
      <w:r>
        <w:rPr>
          <w:rFonts w:ascii="Arial" w:eastAsia="Calibri" w:hAnsi="Arial" w:cs="Arial"/>
          <w:kern w:val="2"/>
          <w:highlight w:val="yellow"/>
        </w:rPr>
        <w:t xml:space="preserve">  </w:t>
      </w:r>
    </w:p>
    <w:p w14:paraId="436F5514" w14:textId="70D598B5" w:rsidR="000C4599" w:rsidRPr="00031DAB" w:rsidRDefault="000C4599" w:rsidP="00553224">
      <w:pPr>
        <w:spacing w:line="276" w:lineRule="auto"/>
        <w:rPr>
          <w:rFonts w:ascii="Arial" w:eastAsia="Calibri" w:hAnsi="Arial" w:cs="Arial"/>
          <w:b/>
          <w:bCs/>
          <w:kern w:val="2"/>
        </w:rPr>
      </w:pPr>
      <w:r w:rsidRPr="00031DAB">
        <w:rPr>
          <w:rFonts w:ascii="Arial" w:eastAsia="Calibri" w:hAnsi="Arial" w:cs="Arial"/>
          <w:b/>
          <w:bCs/>
          <w:kern w:val="2"/>
        </w:rPr>
        <w:t>REFERENCES</w:t>
      </w:r>
    </w:p>
    <w:p w14:paraId="211FC7BE" w14:textId="77777777" w:rsidR="000C4599" w:rsidRDefault="000C4599" w:rsidP="00553224">
      <w:pPr>
        <w:spacing w:line="276" w:lineRule="auto"/>
        <w:rPr>
          <w:rFonts w:ascii="Arial" w:eastAsia="Calibri" w:hAnsi="Arial" w:cs="Arial"/>
          <w:kern w:val="2"/>
          <w:lang w:val="en-IN"/>
        </w:rPr>
      </w:pPr>
    </w:p>
    <w:p w14:paraId="5B3E97F1" w14:textId="2A186963"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proofErr w:type="spellStart"/>
      <w:r w:rsidRPr="00031DAB">
        <w:rPr>
          <w:rFonts w:ascii="Arial" w:eastAsia="Calibri" w:hAnsi="Arial" w:cs="Arial"/>
          <w:kern w:val="2"/>
          <w:lang w:val="en-IN"/>
        </w:rPr>
        <w:t>AbdElgawad</w:t>
      </w:r>
      <w:proofErr w:type="spellEnd"/>
      <w:r w:rsidRPr="00031DAB">
        <w:rPr>
          <w:rFonts w:ascii="Arial" w:eastAsia="Calibri" w:hAnsi="Arial" w:cs="Arial"/>
          <w:kern w:val="2"/>
          <w:lang w:val="en-IN"/>
        </w:rPr>
        <w:t xml:space="preserve"> H, Farfan-Vignolo ER, De Vos D, </w:t>
      </w:r>
      <w:proofErr w:type="spellStart"/>
      <w:r w:rsidRPr="00031DAB">
        <w:rPr>
          <w:rFonts w:ascii="Arial" w:eastAsia="Calibri" w:hAnsi="Arial" w:cs="Arial"/>
          <w:kern w:val="2"/>
          <w:lang w:val="en-IN"/>
        </w:rPr>
        <w:t>Asard</w:t>
      </w:r>
      <w:proofErr w:type="spellEnd"/>
      <w:r w:rsidRPr="00031DAB">
        <w:rPr>
          <w:rFonts w:ascii="Arial" w:eastAsia="Calibri" w:hAnsi="Arial" w:cs="Arial"/>
          <w:kern w:val="2"/>
          <w:lang w:val="en-IN"/>
        </w:rPr>
        <w:t xml:space="preserve"> H. Elevated CO</w:t>
      </w:r>
      <w:r w:rsidRPr="00031DAB">
        <w:rPr>
          <w:rFonts w:ascii="Cambria Math" w:eastAsia="Calibri" w:hAnsi="Cambria Math" w:cs="Cambria Math"/>
          <w:kern w:val="2"/>
          <w:lang w:val="en-IN"/>
        </w:rPr>
        <w:t>₂</w:t>
      </w:r>
      <w:r w:rsidRPr="00031DAB">
        <w:rPr>
          <w:rFonts w:ascii="Arial" w:eastAsia="Calibri" w:hAnsi="Arial" w:cs="Arial"/>
          <w:kern w:val="2"/>
          <w:lang w:val="en-IN"/>
        </w:rPr>
        <w:t xml:space="preserve"> mitigates drought and temperature-induced oxidative stress differently in grasses and legumes. Plant Sci. </w:t>
      </w:r>
      <w:proofErr w:type="gramStart"/>
      <w:r w:rsidRPr="00031DAB">
        <w:rPr>
          <w:rFonts w:ascii="Arial" w:eastAsia="Calibri" w:hAnsi="Arial" w:cs="Arial"/>
          <w:kern w:val="2"/>
          <w:lang w:val="en-IN"/>
        </w:rPr>
        <w:t>2015;231:1</w:t>
      </w:r>
      <w:proofErr w:type="gramEnd"/>
      <w:r w:rsidRPr="00031DAB">
        <w:rPr>
          <w:rFonts w:ascii="Arial" w:eastAsia="Calibri" w:hAnsi="Arial" w:cs="Arial"/>
          <w:kern w:val="2"/>
          <w:lang w:val="en-IN"/>
        </w:rPr>
        <w:t>–10.</w:t>
      </w:r>
    </w:p>
    <w:p w14:paraId="0B57E32D" w14:textId="57608CA1"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Abdelhakim LOA, Palma CFF, Zhou R, Wollenweber B, Ottosen CO, Rosenqvist E. The effect of individual and combined drought and heat stress under elevated CO</w:t>
      </w:r>
      <w:r w:rsidRPr="00031DAB">
        <w:rPr>
          <w:rFonts w:ascii="Cambria Math" w:eastAsia="Calibri" w:hAnsi="Cambria Math" w:cs="Cambria Math"/>
          <w:kern w:val="2"/>
          <w:lang w:val="en-IN"/>
        </w:rPr>
        <w:t>₂</w:t>
      </w:r>
      <w:r w:rsidRPr="00031DAB">
        <w:rPr>
          <w:rFonts w:ascii="Arial" w:eastAsia="Calibri" w:hAnsi="Arial" w:cs="Arial"/>
          <w:kern w:val="2"/>
          <w:lang w:val="en-IN"/>
        </w:rPr>
        <w:t xml:space="preserve"> on physiological responses in spring wheat genotypes. Plant </w:t>
      </w:r>
      <w:proofErr w:type="spellStart"/>
      <w:r w:rsidRPr="00031DAB">
        <w:rPr>
          <w:rFonts w:ascii="Arial" w:eastAsia="Calibri" w:hAnsi="Arial" w:cs="Arial"/>
          <w:kern w:val="2"/>
          <w:lang w:val="en-IN"/>
        </w:rPr>
        <w:t>Physiol</w:t>
      </w:r>
      <w:proofErr w:type="spellEnd"/>
      <w:r w:rsidRPr="00031DAB">
        <w:rPr>
          <w:rFonts w:ascii="Arial" w:eastAsia="Calibri" w:hAnsi="Arial" w:cs="Arial"/>
          <w:kern w:val="2"/>
          <w:lang w:val="en-IN"/>
        </w:rPr>
        <w:t xml:space="preserve"> </w:t>
      </w:r>
      <w:proofErr w:type="spellStart"/>
      <w:r w:rsidRPr="00031DAB">
        <w:rPr>
          <w:rFonts w:ascii="Arial" w:eastAsia="Calibri" w:hAnsi="Arial" w:cs="Arial"/>
          <w:kern w:val="2"/>
          <w:lang w:val="en-IN"/>
        </w:rPr>
        <w:t>Biochem</w:t>
      </w:r>
      <w:proofErr w:type="spellEnd"/>
      <w:r w:rsidRPr="00031DAB">
        <w:rPr>
          <w:rFonts w:ascii="Arial" w:eastAsia="Calibri" w:hAnsi="Arial" w:cs="Arial"/>
          <w:kern w:val="2"/>
          <w:lang w:val="en-IN"/>
        </w:rPr>
        <w:t xml:space="preserve">. </w:t>
      </w:r>
      <w:proofErr w:type="gramStart"/>
      <w:r w:rsidRPr="00031DAB">
        <w:rPr>
          <w:rFonts w:ascii="Arial" w:eastAsia="Calibri" w:hAnsi="Arial" w:cs="Arial"/>
          <w:kern w:val="2"/>
          <w:lang w:val="en-IN"/>
        </w:rPr>
        <w:t>2021;162:301</w:t>
      </w:r>
      <w:proofErr w:type="gramEnd"/>
      <w:r w:rsidRPr="00031DAB">
        <w:rPr>
          <w:rFonts w:ascii="Arial" w:eastAsia="Calibri" w:hAnsi="Arial" w:cs="Arial"/>
          <w:kern w:val="2"/>
          <w:lang w:val="en-IN"/>
        </w:rPr>
        <w:t>–14.</w:t>
      </w:r>
    </w:p>
    <w:p w14:paraId="45B2FB08" w14:textId="77777777"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Apel K, Hirt H. Reactive oxygen species: metabolism, oxidative stress, and signal transduction. Annu Rev Plant Biol. 2004;55(1):373–99.</w:t>
      </w:r>
    </w:p>
    <w:p w14:paraId="7E5538E5" w14:textId="77777777" w:rsidR="000C4599"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Bao L, Liu J, Mao T, Zhao L, Wang D, Zhai Y. Nanobiotechnology-mediated regulation of reactive oxygen species homeostasis under heat and drought stress in plants. Front Plant Sci. </w:t>
      </w:r>
      <w:proofErr w:type="gramStart"/>
      <w:r w:rsidRPr="00031DAB">
        <w:rPr>
          <w:rFonts w:ascii="Arial" w:eastAsia="Calibri" w:hAnsi="Arial" w:cs="Arial"/>
          <w:kern w:val="2"/>
          <w:lang w:val="en-IN"/>
        </w:rPr>
        <w:t>2024;15:1418515</w:t>
      </w:r>
      <w:proofErr w:type="gramEnd"/>
      <w:r w:rsidRPr="00031DAB">
        <w:rPr>
          <w:rFonts w:ascii="Arial" w:eastAsia="Calibri" w:hAnsi="Arial" w:cs="Arial"/>
          <w:kern w:val="2"/>
          <w:lang w:val="en-IN"/>
        </w:rPr>
        <w:t>.</w:t>
      </w:r>
    </w:p>
    <w:p w14:paraId="26B8D7DB" w14:textId="0F69E577" w:rsidR="00895E7F" w:rsidRPr="00031DAB" w:rsidRDefault="00895E7F" w:rsidP="00031DAB">
      <w:pPr>
        <w:pStyle w:val="ListParagraph"/>
        <w:numPr>
          <w:ilvl w:val="0"/>
          <w:numId w:val="33"/>
        </w:numPr>
        <w:spacing w:line="276" w:lineRule="auto"/>
        <w:jc w:val="both"/>
        <w:rPr>
          <w:rFonts w:ascii="Arial" w:eastAsia="Calibri" w:hAnsi="Arial" w:cs="Arial"/>
          <w:kern w:val="2"/>
          <w:lang w:val="en-IN"/>
        </w:rPr>
      </w:pPr>
      <w:r w:rsidRPr="00895E7F">
        <w:rPr>
          <w:rFonts w:ascii="Arial" w:eastAsia="Calibri" w:hAnsi="Arial" w:cs="Arial"/>
          <w:kern w:val="2"/>
        </w:rPr>
        <w:t xml:space="preserve">Bhattacharya A. Plant growth hormones in plants under low-temperature stress: A review. </w:t>
      </w:r>
      <w:proofErr w:type="spellStart"/>
      <w:r w:rsidRPr="00895E7F">
        <w:rPr>
          <w:rFonts w:ascii="Arial" w:eastAsia="Calibri" w:hAnsi="Arial" w:cs="Arial"/>
          <w:i/>
          <w:iCs/>
          <w:kern w:val="2"/>
        </w:rPr>
        <w:t>Physiol</w:t>
      </w:r>
      <w:proofErr w:type="spellEnd"/>
      <w:r w:rsidRPr="00895E7F">
        <w:rPr>
          <w:rFonts w:ascii="Arial" w:eastAsia="Calibri" w:hAnsi="Arial" w:cs="Arial"/>
          <w:i/>
          <w:iCs/>
          <w:kern w:val="2"/>
        </w:rPr>
        <w:t xml:space="preserve"> Process Plants Low Temp Stress.</w:t>
      </w:r>
      <w:r w:rsidRPr="00895E7F">
        <w:rPr>
          <w:rFonts w:ascii="Arial" w:eastAsia="Calibri" w:hAnsi="Arial" w:cs="Arial"/>
          <w:kern w:val="2"/>
        </w:rPr>
        <w:t xml:space="preserve"> 2022;517–627.</w:t>
      </w:r>
    </w:p>
    <w:p w14:paraId="2674A4FA" w14:textId="77777777"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Benzie IF, Strain JJ. Ferric reducing/antioxidant power assay: direct measure of total antioxidant activity of biological fluids and modified version for simultaneous measurement of total antioxidant power and ascorbic acid concentration. Methods </w:t>
      </w:r>
      <w:proofErr w:type="spellStart"/>
      <w:r w:rsidRPr="00031DAB">
        <w:rPr>
          <w:rFonts w:ascii="Arial" w:eastAsia="Calibri" w:hAnsi="Arial" w:cs="Arial"/>
          <w:kern w:val="2"/>
          <w:lang w:val="en-IN"/>
        </w:rPr>
        <w:t>Enzymol</w:t>
      </w:r>
      <w:proofErr w:type="spellEnd"/>
      <w:r w:rsidRPr="00031DAB">
        <w:rPr>
          <w:rFonts w:ascii="Arial" w:eastAsia="Calibri" w:hAnsi="Arial" w:cs="Arial"/>
          <w:kern w:val="2"/>
          <w:lang w:val="en-IN"/>
        </w:rPr>
        <w:t xml:space="preserve">. </w:t>
      </w:r>
      <w:proofErr w:type="gramStart"/>
      <w:r w:rsidRPr="00031DAB">
        <w:rPr>
          <w:rFonts w:ascii="Arial" w:eastAsia="Calibri" w:hAnsi="Arial" w:cs="Arial"/>
          <w:kern w:val="2"/>
          <w:lang w:val="en-IN"/>
        </w:rPr>
        <w:t>1999;299:15</w:t>
      </w:r>
      <w:proofErr w:type="gramEnd"/>
      <w:r w:rsidRPr="00031DAB">
        <w:rPr>
          <w:rFonts w:ascii="Arial" w:eastAsia="Calibri" w:hAnsi="Arial" w:cs="Arial"/>
          <w:kern w:val="2"/>
          <w:lang w:val="en-IN"/>
        </w:rPr>
        <w:t>–27.</w:t>
      </w:r>
    </w:p>
    <w:p w14:paraId="63E9C0FE" w14:textId="4C6057DC"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Bhatt D, Negi M, Sharma P, Saxena SC, Dobriyal AK, Arora S. Responses to drought-induced oxidative stress in five finger millet varieties differing in their geographical distribution. </w:t>
      </w:r>
      <w:proofErr w:type="spellStart"/>
      <w:r w:rsidRPr="00031DAB">
        <w:rPr>
          <w:rFonts w:ascii="Arial" w:eastAsia="Calibri" w:hAnsi="Arial" w:cs="Arial"/>
          <w:kern w:val="2"/>
          <w:lang w:val="en-IN"/>
        </w:rPr>
        <w:t>Physiol</w:t>
      </w:r>
      <w:proofErr w:type="spellEnd"/>
      <w:r w:rsidRPr="00031DAB">
        <w:rPr>
          <w:rFonts w:ascii="Arial" w:eastAsia="Calibri" w:hAnsi="Arial" w:cs="Arial"/>
          <w:kern w:val="2"/>
          <w:lang w:val="en-IN"/>
        </w:rPr>
        <w:t xml:space="preserve"> Mol </w:t>
      </w:r>
      <w:proofErr w:type="spellStart"/>
      <w:r w:rsidRPr="00031DAB">
        <w:rPr>
          <w:rFonts w:ascii="Arial" w:eastAsia="Calibri" w:hAnsi="Arial" w:cs="Arial"/>
          <w:kern w:val="2"/>
          <w:lang w:val="en-IN"/>
        </w:rPr>
        <w:t>Biol</w:t>
      </w:r>
      <w:proofErr w:type="spellEnd"/>
      <w:r w:rsidRPr="00031DAB">
        <w:rPr>
          <w:rFonts w:ascii="Arial" w:eastAsia="Calibri" w:hAnsi="Arial" w:cs="Arial"/>
          <w:kern w:val="2"/>
          <w:lang w:val="en-IN"/>
        </w:rPr>
        <w:t xml:space="preserve"> Plants. 2011;17(4):347–53.</w:t>
      </w:r>
    </w:p>
    <w:p w14:paraId="199DB6A1" w14:textId="77777777"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proofErr w:type="spellStart"/>
      <w:r w:rsidRPr="00031DAB">
        <w:rPr>
          <w:rFonts w:ascii="Arial" w:eastAsia="Calibri" w:hAnsi="Arial" w:cs="Arial"/>
          <w:kern w:val="2"/>
          <w:lang w:val="en-IN"/>
        </w:rPr>
        <w:t>Cannea</w:t>
      </w:r>
      <w:proofErr w:type="spellEnd"/>
      <w:r w:rsidRPr="00031DAB">
        <w:rPr>
          <w:rFonts w:ascii="Arial" w:eastAsia="Calibri" w:hAnsi="Arial" w:cs="Arial"/>
          <w:kern w:val="2"/>
          <w:lang w:val="en-IN"/>
        </w:rPr>
        <w:t xml:space="preserve"> FB, </w:t>
      </w:r>
      <w:proofErr w:type="spellStart"/>
      <w:r w:rsidRPr="00031DAB">
        <w:rPr>
          <w:rFonts w:ascii="Arial" w:eastAsia="Calibri" w:hAnsi="Arial" w:cs="Arial"/>
          <w:kern w:val="2"/>
          <w:lang w:val="en-IN"/>
        </w:rPr>
        <w:t>Padiglia</w:t>
      </w:r>
      <w:proofErr w:type="spellEnd"/>
      <w:r w:rsidRPr="00031DAB">
        <w:rPr>
          <w:rFonts w:ascii="Arial" w:eastAsia="Calibri" w:hAnsi="Arial" w:cs="Arial"/>
          <w:kern w:val="2"/>
          <w:lang w:val="en-IN"/>
        </w:rPr>
        <w:t xml:space="preserve"> A. Antioxidant </w:t>
      </w:r>
      <w:proofErr w:type="spellStart"/>
      <w:r w:rsidRPr="00031DAB">
        <w:rPr>
          <w:rFonts w:ascii="Arial" w:eastAsia="Calibri" w:hAnsi="Arial" w:cs="Arial"/>
          <w:kern w:val="2"/>
          <w:lang w:val="en-IN"/>
        </w:rPr>
        <w:t>defense</w:t>
      </w:r>
      <w:proofErr w:type="spellEnd"/>
      <w:r w:rsidRPr="00031DAB">
        <w:rPr>
          <w:rFonts w:ascii="Arial" w:eastAsia="Calibri" w:hAnsi="Arial" w:cs="Arial"/>
          <w:kern w:val="2"/>
          <w:lang w:val="en-IN"/>
        </w:rPr>
        <w:t xml:space="preserve"> systems in plants: mechanisms, regulation, and biotechnological strategies for enhanced oxidative stress tolerance. Life. 2025;15(8):1293.</w:t>
      </w:r>
    </w:p>
    <w:p w14:paraId="5273F69C" w14:textId="331ED1D2"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Chavan SG, </w:t>
      </w:r>
      <w:proofErr w:type="spellStart"/>
      <w:r w:rsidRPr="00031DAB">
        <w:rPr>
          <w:rFonts w:ascii="Arial" w:eastAsia="Calibri" w:hAnsi="Arial" w:cs="Arial"/>
          <w:kern w:val="2"/>
          <w:lang w:val="en-IN"/>
        </w:rPr>
        <w:t>Duursma</w:t>
      </w:r>
      <w:proofErr w:type="spellEnd"/>
      <w:r w:rsidRPr="00031DAB">
        <w:rPr>
          <w:rFonts w:ascii="Arial" w:eastAsia="Calibri" w:hAnsi="Arial" w:cs="Arial"/>
          <w:kern w:val="2"/>
          <w:lang w:val="en-IN"/>
        </w:rPr>
        <w:t xml:space="preserve"> RA, Tausz M, Ghannoum O. Elevated CO</w:t>
      </w:r>
      <w:r w:rsidRPr="00031DAB">
        <w:rPr>
          <w:rFonts w:ascii="Cambria Math" w:eastAsia="Calibri" w:hAnsi="Cambria Math" w:cs="Cambria Math"/>
          <w:kern w:val="2"/>
          <w:lang w:val="en-IN"/>
        </w:rPr>
        <w:t>₂</w:t>
      </w:r>
      <w:r w:rsidRPr="00031DAB">
        <w:rPr>
          <w:rFonts w:ascii="Arial" w:eastAsia="Calibri" w:hAnsi="Arial" w:cs="Arial"/>
          <w:kern w:val="2"/>
          <w:lang w:val="en-IN"/>
        </w:rPr>
        <w:t xml:space="preserve"> alleviates the negative impact of heat stress on wheat physiology but not on grain yield. J Exp Bot. 2019;70(21):6447–59.</w:t>
      </w:r>
    </w:p>
    <w:p w14:paraId="45C89A62" w14:textId="36BAF487" w:rsidR="000C4599"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Debnath T, Dhar DG, Dhar P. Molecular switches in plant stress adaptation. Mol </w:t>
      </w:r>
      <w:proofErr w:type="spellStart"/>
      <w:r w:rsidRPr="00031DAB">
        <w:rPr>
          <w:rFonts w:ascii="Arial" w:eastAsia="Calibri" w:hAnsi="Arial" w:cs="Arial"/>
          <w:kern w:val="2"/>
          <w:lang w:val="en-IN"/>
        </w:rPr>
        <w:t>Biol</w:t>
      </w:r>
      <w:proofErr w:type="spellEnd"/>
      <w:r w:rsidRPr="00031DAB">
        <w:rPr>
          <w:rFonts w:ascii="Arial" w:eastAsia="Calibri" w:hAnsi="Arial" w:cs="Arial"/>
          <w:kern w:val="2"/>
          <w:lang w:val="en-IN"/>
        </w:rPr>
        <w:t xml:space="preserve"> Rep. 2024;51(1):20.</w:t>
      </w:r>
    </w:p>
    <w:p w14:paraId="0DB488C7" w14:textId="4A9AB713" w:rsidR="00895E7F" w:rsidRPr="00031DAB" w:rsidRDefault="00895E7F" w:rsidP="00031DAB">
      <w:pPr>
        <w:pStyle w:val="ListParagraph"/>
        <w:numPr>
          <w:ilvl w:val="0"/>
          <w:numId w:val="33"/>
        </w:numPr>
        <w:spacing w:line="276" w:lineRule="auto"/>
        <w:jc w:val="both"/>
        <w:rPr>
          <w:rFonts w:ascii="Arial" w:eastAsia="Calibri" w:hAnsi="Arial" w:cs="Arial"/>
          <w:kern w:val="2"/>
          <w:lang w:val="en-IN"/>
        </w:rPr>
      </w:pPr>
      <w:proofErr w:type="spellStart"/>
      <w:r w:rsidRPr="00895E7F">
        <w:rPr>
          <w:rFonts w:ascii="Arial" w:eastAsia="Calibri" w:hAnsi="Arial" w:cs="Arial"/>
          <w:kern w:val="2"/>
        </w:rPr>
        <w:t>Doddaghatta</w:t>
      </w:r>
      <w:proofErr w:type="spellEnd"/>
      <w:r w:rsidRPr="00895E7F">
        <w:rPr>
          <w:rFonts w:ascii="Arial" w:eastAsia="Calibri" w:hAnsi="Arial" w:cs="Arial"/>
          <w:kern w:val="2"/>
        </w:rPr>
        <w:t xml:space="preserve"> H, Raviteja M, </w:t>
      </w:r>
      <w:proofErr w:type="spellStart"/>
      <w:r w:rsidRPr="00895E7F">
        <w:rPr>
          <w:rFonts w:ascii="Arial" w:eastAsia="Calibri" w:hAnsi="Arial" w:cs="Arial"/>
          <w:kern w:val="2"/>
        </w:rPr>
        <w:t>Dhanoji</w:t>
      </w:r>
      <w:proofErr w:type="spellEnd"/>
      <w:r w:rsidRPr="00895E7F">
        <w:rPr>
          <w:rFonts w:ascii="Arial" w:eastAsia="Calibri" w:hAnsi="Arial" w:cs="Arial"/>
          <w:kern w:val="2"/>
        </w:rPr>
        <w:t xml:space="preserve"> MM, </w:t>
      </w:r>
      <w:proofErr w:type="spellStart"/>
      <w:r w:rsidRPr="00895E7F">
        <w:rPr>
          <w:rFonts w:ascii="Arial" w:eastAsia="Calibri" w:hAnsi="Arial" w:cs="Arial"/>
          <w:kern w:val="2"/>
        </w:rPr>
        <w:t>Kuchanur</w:t>
      </w:r>
      <w:proofErr w:type="spellEnd"/>
      <w:r w:rsidRPr="00895E7F">
        <w:rPr>
          <w:rFonts w:ascii="Arial" w:eastAsia="Calibri" w:hAnsi="Arial" w:cs="Arial"/>
          <w:kern w:val="2"/>
        </w:rPr>
        <w:t xml:space="preserve"> PH, </w:t>
      </w:r>
      <w:proofErr w:type="spellStart"/>
      <w:r w:rsidRPr="00895E7F">
        <w:rPr>
          <w:rFonts w:ascii="Arial" w:eastAsia="Calibri" w:hAnsi="Arial" w:cs="Arial"/>
          <w:kern w:val="2"/>
        </w:rPr>
        <w:t>Amaregouda</w:t>
      </w:r>
      <w:proofErr w:type="spellEnd"/>
      <w:r w:rsidRPr="00895E7F">
        <w:rPr>
          <w:rFonts w:ascii="Arial" w:eastAsia="Calibri" w:hAnsi="Arial" w:cs="Arial"/>
          <w:kern w:val="2"/>
        </w:rPr>
        <w:t xml:space="preserve"> A, Patil RP, Shrikanth B. </w:t>
      </w:r>
      <w:proofErr w:type="spellStart"/>
      <w:r w:rsidRPr="00895E7F">
        <w:rPr>
          <w:rFonts w:ascii="Arial" w:eastAsia="Calibri" w:hAnsi="Arial" w:cs="Arial"/>
          <w:kern w:val="2"/>
        </w:rPr>
        <w:t>Standardisation</w:t>
      </w:r>
      <w:proofErr w:type="spellEnd"/>
      <w:r w:rsidRPr="00895E7F">
        <w:rPr>
          <w:rFonts w:ascii="Arial" w:eastAsia="Calibri" w:hAnsi="Arial" w:cs="Arial"/>
          <w:kern w:val="2"/>
        </w:rPr>
        <w:t xml:space="preserve"> of Temperature Induction Response Technique: A promising method for screening of maize genotypes for thermotolerance at seed level. </w:t>
      </w:r>
      <w:r w:rsidRPr="00895E7F">
        <w:rPr>
          <w:rFonts w:ascii="Arial" w:eastAsia="Calibri" w:hAnsi="Arial" w:cs="Arial"/>
          <w:i/>
          <w:iCs/>
          <w:kern w:val="2"/>
        </w:rPr>
        <w:t>Int J Plant Soil Sci.</w:t>
      </w:r>
      <w:r w:rsidRPr="00895E7F">
        <w:rPr>
          <w:rFonts w:ascii="Arial" w:eastAsia="Calibri" w:hAnsi="Arial" w:cs="Arial"/>
          <w:kern w:val="2"/>
        </w:rPr>
        <w:t xml:space="preserve"> 2023;35(22):791–800.</w:t>
      </w:r>
    </w:p>
    <w:p w14:paraId="3BD78807" w14:textId="03816DAD"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proofErr w:type="spellStart"/>
      <w:r w:rsidRPr="00031DAB">
        <w:rPr>
          <w:rFonts w:ascii="Arial" w:eastAsia="Calibri" w:hAnsi="Arial" w:cs="Arial"/>
          <w:kern w:val="2"/>
          <w:lang w:val="en-IN"/>
        </w:rPr>
        <w:t>Hasanuzzaman</w:t>
      </w:r>
      <w:proofErr w:type="spellEnd"/>
      <w:r w:rsidRPr="00031DAB">
        <w:rPr>
          <w:rFonts w:ascii="Arial" w:eastAsia="Calibri" w:hAnsi="Arial" w:cs="Arial"/>
          <w:kern w:val="2"/>
          <w:lang w:val="en-IN"/>
        </w:rPr>
        <w:t xml:space="preserve"> M, Fujita M. Plant oxidative stress: biology, </w:t>
      </w:r>
      <w:proofErr w:type="gramStart"/>
      <w:r w:rsidRPr="00031DAB">
        <w:rPr>
          <w:rFonts w:ascii="Arial" w:eastAsia="Calibri" w:hAnsi="Arial" w:cs="Arial"/>
          <w:kern w:val="2"/>
          <w:lang w:val="en-IN"/>
        </w:rPr>
        <w:t>physiology</w:t>
      </w:r>
      <w:proofErr w:type="gramEnd"/>
      <w:r w:rsidRPr="00031DAB">
        <w:rPr>
          <w:rFonts w:ascii="Arial" w:eastAsia="Calibri" w:hAnsi="Arial" w:cs="Arial"/>
          <w:kern w:val="2"/>
          <w:lang w:val="en-IN"/>
        </w:rPr>
        <w:t xml:space="preserve"> and mitigation. Plants. 2022;11(9):1185.</w:t>
      </w:r>
    </w:p>
    <w:p w14:paraId="568A59FF" w14:textId="79E3EB6C"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Hill AJ, Shlisel M. Impact of elevated atmospheric and intercellular CO</w:t>
      </w:r>
      <w:r w:rsidRPr="00031DAB">
        <w:rPr>
          <w:rFonts w:ascii="Cambria Math" w:eastAsia="Calibri" w:hAnsi="Cambria Math" w:cs="Cambria Math"/>
          <w:kern w:val="2"/>
          <w:lang w:val="en-IN"/>
        </w:rPr>
        <w:t>₂</w:t>
      </w:r>
      <w:r w:rsidRPr="00031DAB">
        <w:rPr>
          <w:rFonts w:ascii="Arial" w:eastAsia="Calibri" w:hAnsi="Arial" w:cs="Arial"/>
          <w:kern w:val="2"/>
          <w:lang w:val="en-IN"/>
        </w:rPr>
        <w:t xml:space="preserve"> on plant </w:t>
      </w:r>
      <w:proofErr w:type="spellStart"/>
      <w:r w:rsidRPr="00031DAB">
        <w:rPr>
          <w:rFonts w:ascii="Arial" w:eastAsia="Calibri" w:hAnsi="Arial" w:cs="Arial"/>
          <w:kern w:val="2"/>
          <w:lang w:val="en-IN"/>
        </w:rPr>
        <w:t>defense</w:t>
      </w:r>
      <w:proofErr w:type="spellEnd"/>
      <w:r w:rsidRPr="00031DAB">
        <w:rPr>
          <w:rFonts w:ascii="Arial" w:eastAsia="Calibri" w:hAnsi="Arial" w:cs="Arial"/>
          <w:kern w:val="2"/>
          <w:lang w:val="en-IN"/>
        </w:rPr>
        <w:t xml:space="preserve"> mechanisms. J Crop Health. 2024;76(6):1307–15.</w:t>
      </w:r>
    </w:p>
    <w:p w14:paraId="14AB633B" w14:textId="29465920"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Kadam NN, Xiao G, Melgar RJ, Bahuguna RN, Quinones C, Tamilselvan A, Prasad PVV, Jagadish KS. Agronomic and physiological responses to high temperature, drought, and elevated CO</w:t>
      </w:r>
      <w:r w:rsidRPr="00031DAB">
        <w:rPr>
          <w:rFonts w:ascii="Cambria Math" w:eastAsia="Calibri" w:hAnsi="Cambria Math" w:cs="Cambria Math"/>
          <w:kern w:val="2"/>
          <w:lang w:val="en-IN"/>
        </w:rPr>
        <w:t>₂</w:t>
      </w:r>
      <w:r w:rsidRPr="00031DAB">
        <w:rPr>
          <w:rFonts w:ascii="Arial" w:eastAsia="Calibri" w:hAnsi="Arial" w:cs="Arial"/>
          <w:kern w:val="2"/>
          <w:lang w:val="en-IN"/>
        </w:rPr>
        <w:t xml:space="preserve"> interactions in cereals. Adv Agron. </w:t>
      </w:r>
      <w:proofErr w:type="gramStart"/>
      <w:r w:rsidRPr="00031DAB">
        <w:rPr>
          <w:rFonts w:ascii="Arial" w:eastAsia="Calibri" w:hAnsi="Arial" w:cs="Arial"/>
          <w:kern w:val="2"/>
          <w:lang w:val="en-IN"/>
        </w:rPr>
        <w:t>2014;127:111</w:t>
      </w:r>
      <w:proofErr w:type="gramEnd"/>
      <w:r w:rsidRPr="00031DAB">
        <w:rPr>
          <w:rFonts w:ascii="Arial" w:eastAsia="Calibri" w:hAnsi="Arial" w:cs="Arial"/>
          <w:kern w:val="2"/>
          <w:lang w:val="en-IN"/>
        </w:rPr>
        <w:t>–56.</w:t>
      </w:r>
    </w:p>
    <w:p w14:paraId="0E0A8EE0" w14:textId="77777777"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it-IT"/>
        </w:rPr>
        <w:t xml:space="preserve">Kumar D, Yusuf MA, Singh P, Sardar M, Sarin NB. </w:t>
      </w:r>
      <w:r w:rsidRPr="00031DAB">
        <w:rPr>
          <w:rFonts w:ascii="Arial" w:eastAsia="Calibri" w:hAnsi="Arial" w:cs="Arial"/>
          <w:kern w:val="2"/>
          <w:lang w:val="en-IN"/>
        </w:rPr>
        <w:t>Histochemical detection of superoxide and H</w:t>
      </w:r>
      <w:r w:rsidRPr="00031DAB">
        <w:rPr>
          <w:rFonts w:ascii="Cambria Math" w:eastAsia="Calibri" w:hAnsi="Cambria Math" w:cs="Cambria Math"/>
          <w:kern w:val="2"/>
          <w:lang w:val="en-IN"/>
        </w:rPr>
        <w:t>₂</w:t>
      </w:r>
      <w:r w:rsidRPr="00031DAB">
        <w:rPr>
          <w:rFonts w:ascii="Arial" w:eastAsia="Calibri" w:hAnsi="Arial" w:cs="Arial"/>
          <w:kern w:val="2"/>
          <w:lang w:val="en-IN"/>
        </w:rPr>
        <w:t>O</w:t>
      </w:r>
      <w:r w:rsidRPr="00031DAB">
        <w:rPr>
          <w:rFonts w:ascii="Cambria Math" w:eastAsia="Calibri" w:hAnsi="Cambria Math" w:cs="Cambria Math"/>
          <w:kern w:val="2"/>
          <w:lang w:val="en-IN"/>
        </w:rPr>
        <w:t>₂</w:t>
      </w:r>
      <w:r w:rsidRPr="00031DAB">
        <w:rPr>
          <w:rFonts w:ascii="Arial" w:eastAsia="Calibri" w:hAnsi="Arial" w:cs="Arial"/>
          <w:kern w:val="2"/>
          <w:lang w:val="en-IN"/>
        </w:rPr>
        <w:t xml:space="preserve"> accumulation in Brassica juncea seedlings. Bio </w:t>
      </w:r>
      <w:proofErr w:type="spellStart"/>
      <w:r w:rsidRPr="00031DAB">
        <w:rPr>
          <w:rFonts w:ascii="Arial" w:eastAsia="Calibri" w:hAnsi="Arial" w:cs="Arial"/>
          <w:kern w:val="2"/>
          <w:lang w:val="en-IN"/>
        </w:rPr>
        <w:t>Protoc</w:t>
      </w:r>
      <w:proofErr w:type="spellEnd"/>
      <w:r w:rsidRPr="00031DAB">
        <w:rPr>
          <w:rFonts w:ascii="Arial" w:eastAsia="Calibri" w:hAnsi="Arial" w:cs="Arial"/>
          <w:kern w:val="2"/>
          <w:lang w:val="en-IN"/>
        </w:rPr>
        <w:t>. 2014;4(8</w:t>
      </w:r>
      <w:proofErr w:type="gramStart"/>
      <w:r w:rsidRPr="00031DAB">
        <w:rPr>
          <w:rFonts w:ascii="Arial" w:eastAsia="Calibri" w:hAnsi="Arial" w:cs="Arial"/>
          <w:kern w:val="2"/>
          <w:lang w:val="en-IN"/>
        </w:rPr>
        <w:t>):e</w:t>
      </w:r>
      <w:proofErr w:type="gramEnd"/>
      <w:r w:rsidRPr="00031DAB">
        <w:rPr>
          <w:rFonts w:ascii="Arial" w:eastAsia="Calibri" w:hAnsi="Arial" w:cs="Arial"/>
          <w:kern w:val="2"/>
          <w:lang w:val="en-IN"/>
        </w:rPr>
        <w:t>1108.</w:t>
      </w:r>
    </w:p>
    <w:p w14:paraId="4617E2F1" w14:textId="41B84FE1"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Mishra N, Jiang C, Chen L, Paul A, Chatterjee A, Shen G. Achieving abiotic stress tolerance in plants through antioxidative </w:t>
      </w:r>
      <w:proofErr w:type="spellStart"/>
      <w:r w:rsidRPr="00031DAB">
        <w:rPr>
          <w:rFonts w:ascii="Arial" w:eastAsia="Calibri" w:hAnsi="Arial" w:cs="Arial"/>
          <w:kern w:val="2"/>
          <w:lang w:val="en-IN"/>
        </w:rPr>
        <w:t>defense</w:t>
      </w:r>
      <w:proofErr w:type="spellEnd"/>
      <w:r w:rsidRPr="00031DAB">
        <w:rPr>
          <w:rFonts w:ascii="Arial" w:eastAsia="Calibri" w:hAnsi="Arial" w:cs="Arial"/>
          <w:kern w:val="2"/>
          <w:lang w:val="en-IN"/>
        </w:rPr>
        <w:t xml:space="preserve"> mechanisms. Front Plant Sci. </w:t>
      </w:r>
      <w:proofErr w:type="gramStart"/>
      <w:r w:rsidRPr="00031DAB">
        <w:rPr>
          <w:rFonts w:ascii="Arial" w:eastAsia="Calibri" w:hAnsi="Arial" w:cs="Arial"/>
          <w:kern w:val="2"/>
          <w:lang w:val="en-IN"/>
        </w:rPr>
        <w:t>2023;14:1110622</w:t>
      </w:r>
      <w:proofErr w:type="gramEnd"/>
      <w:r w:rsidRPr="00031DAB">
        <w:rPr>
          <w:rFonts w:ascii="Arial" w:eastAsia="Calibri" w:hAnsi="Arial" w:cs="Arial"/>
          <w:kern w:val="2"/>
          <w:lang w:val="en-IN"/>
        </w:rPr>
        <w:t>.</w:t>
      </w:r>
    </w:p>
    <w:p w14:paraId="1D6A20E7" w14:textId="358BD722"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Mondal S, Karmakar S, Panda D, Pramanik K, Bose B, Singhal RK. Crucial plant processes under heat stress and tolerance through heat shock proteins. Plant Stress. </w:t>
      </w:r>
      <w:proofErr w:type="gramStart"/>
      <w:r w:rsidRPr="00031DAB">
        <w:rPr>
          <w:rFonts w:ascii="Arial" w:eastAsia="Calibri" w:hAnsi="Arial" w:cs="Arial"/>
          <w:kern w:val="2"/>
          <w:lang w:val="en-IN"/>
        </w:rPr>
        <w:t>2023;10:100227</w:t>
      </w:r>
      <w:proofErr w:type="gramEnd"/>
      <w:r w:rsidRPr="00031DAB">
        <w:rPr>
          <w:rFonts w:ascii="Arial" w:eastAsia="Calibri" w:hAnsi="Arial" w:cs="Arial"/>
          <w:kern w:val="2"/>
          <w:lang w:val="en-IN"/>
        </w:rPr>
        <w:t>.</w:t>
      </w:r>
    </w:p>
    <w:p w14:paraId="0B7D003C" w14:textId="3A21C9E1"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proofErr w:type="spellStart"/>
      <w:r w:rsidRPr="00031DAB">
        <w:rPr>
          <w:rFonts w:ascii="Arial" w:eastAsia="Calibri" w:hAnsi="Arial" w:cs="Arial"/>
          <w:kern w:val="2"/>
          <w:lang w:val="en-IN"/>
        </w:rPr>
        <w:t>Rakkammal</w:t>
      </w:r>
      <w:proofErr w:type="spellEnd"/>
      <w:r w:rsidRPr="00031DAB">
        <w:rPr>
          <w:rFonts w:ascii="Arial" w:eastAsia="Calibri" w:hAnsi="Arial" w:cs="Arial"/>
          <w:kern w:val="2"/>
          <w:lang w:val="en-IN"/>
        </w:rPr>
        <w:t xml:space="preserve"> K, Pandian S, Ramesh M. Physiological and biochemical response of finger millet plants exposed to arsenic and nickel stress. Plant Stress. </w:t>
      </w:r>
      <w:proofErr w:type="gramStart"/>
      <w:r w:rsidRPr="00031DAB">
        <w:rPr>
          <w:rFonts w:ascii="Arial" w:eastAsia="Calibri" w:hAnsi="Arial" w:cs="Arial"/>
          <w:kern w:val="2"/>
          <w:lang w:val="en-IN"/>
        </w:rPr>
        <w:t>2024;11:100389</w:t>
      </w:r>
      <w:proofErr w:type="gramEnd"/>
      <w:r w:rsidRPr="00031DAB">
        <w:rPr>
          <w:rFonts w:ascii="Arial" w:eastAsia="Calibri" w:hAnsi="Arial" w:cs="Arial"/>
          <w:kern w:val="2"/>
          <w:lang w:val="en-IN"/>
        </w:rPr>
        <w:t>.</w:t>
      </w:r>
    </w:p>
    <w:p w14:paraId="557EA7C1" w14:textId="5014A6A9"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Ramel F, </w:t>
      </w:r>
      <w:proofErr w:type="spellStart"/>
      <w:r w:rsidRPr="00031DAB">
        <w:rPr>
          <w:rFonts w:ascii="Arial" w:eastAsia="Calibri" w:hAnsi="Arial" w:cs="Arial"/>
          <w:kern w:val="2"/>
          <w:lang w:val="en-IN"/>
        </w:rPr>
        <w:t>Sulmon</w:t>
      </w:r>
      <w:proofErr w:type="spellEnd"/>
      <w:r w:rsidRPr="00031DAB">
        <w:rPr>
          <w:rFonts w:ascii="Arial" w:eastAsia="Calibri" w:hAnsi="Arial" w:cs="Arial"/>
          <w:kern w:val="2"/>
          <w:lang w:val="en-IN"/>
        </w:rPr>
        <w:t xml:space="preserve"> C, Bogard M, </w:t>
      </w:r>
      <w:proofErr w:type="spellStart"/>
      <w:r w:rsidRPr="00031DAB">
        <w:rPr>
          <w:rFonts w:ascii="Arial" w:eastAsia="Calibri" w:hAnsi="Arial" w:cs="Arial"/>
          <w:kern w:val="2"/>
          <w:lang w:val="en-IN"/>
        </w:rPr>
        <w:t>Couée</w:t>
      </w:r>
      <w:proofErr w:type="spellEnd"/>
      <w:r w:rsidRPr="00031DAB">
        <w:rPr>
          <w:rFonts w:ascii="Arial" w:eastAsia="Calibri" w:hAnsi="Arial" w:cs="Arial"/>
          <w:kern w:val="2"/>
          <w:lang w:val="en-IN"/>
        </w:rPr>
        <w:t xml:space="preserve"> I, </w:t>
      </w:r>
      <w:proofErr w:type="spellStart"/>
      <w:r w:rsidRPr="00031DAB">
        <w:rPr>
          <w:rFonts w:ascii="Arial" w:eastAsia="Calibri" w:hAnsi="Arial" w:cs="Arial"/>
          <w:kern w:val="2"/>
          <w:lang w:val="en-IN"/>
        </w:rPr>
        <w:t>Gouesbet</w:t>
      </w:r>
      <w:proofErr w:type="spellEnd"/>
      <w:r w:rsidRPr="00031DAB">
        <w:rPr>
          <w:rFonts w:ascii="Arial" w:eastAsia="Calibri" w:hAnsi="Arial" w:cs="Arial"/>
          <w:kern w:val="2"/>
          <w:lang w:val="en-IN"/>
        </w:rPr>
        <w:t xml:space="preserve"> G. Differential patterns of reactive oxygen species and antioxidative mechanisms during atrazine injury and sucrose-induced tolerance in Arabidopsis thaliana plantlets. BMC Plant Biol. </w:t>
      </w:r>
      <w:proofErr w:type="gramStart"/>
      <w:r w:rsidRPr="00031DAB">
        <w:rPr>
          <w:rFonts w:ascii="Arial" w:eastAsia="Calibri" w:hAnsi="Arial" w:cs="Arial"/>
          <w:kern w:val="2"/>
          <w:lang w:val="en-IN"/>
        </w:rPr>
        <w:t>2009;9:28</w:t>
      </w:r>
      <w:proofErr w:type="gramEnd"/>
      <w:r w:rsidRPr="00031DAB">
        <w:rPr>
          <w:rFonts w:ascii="Arial" w:eastAsia="Calibri" w:hAnsi="Arial" w:cs="Arial"/>
          <w:kern w:val="2"/>
          <w:lang w:val="en-IN"/>
        </w:rPr>
        <w:t>.</w:t>
      </w:r>
    </w:p>
    <w:p w14:paraId="76F68C86" w14:textId="402178D5"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Rao MJ, Duan M, Ikram M, Zheng B. ROS regulation and antioxidant responses in plants under air pollution: molecular </w:t>
      </w:r>
      <w:proofErr w:type="spellStart"/>
      <w:r w:rsidRPr="00031DAB">
        <w:rPr>
          <w:rFonts w:ascii="Arial" w:eastAsia="Calibri" w:hAnsi="Arial" w:cs="Arial"/>
          <w:kern w:val="2"/>
          <w:lang w:val="en-IN"/>
        </w:rPr>
        <w:t>signaling</w:t>
      </w:r>
      <w:proofErr w:type="spellEnd"/>
      <w:r w:rsidRPr="00031DAB">
        <w:rPr>
          <w:rFonts w:ascii="Arial" w:eastAsia="Calibri" w:hAnsi="Arial" w:cs="Arial"/>
          <w:kern w:val="2"/>
          <w:lang w:val="en-IN"/>
        </w:rPr>
        <w:t>, metabolic adaptation, and biotechnological solutions. Antioxidants. 2025;14(8):907.</w:t>
      </w:r>
    </w:p>
    <w:p w14:paraId="6B79E2B8" w14:textId="11F61BBC"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lastRenderedPageBreak/>
        <w:t xml:space="preserve">Shanker AK, </w:t>
      </w:r>
      <w:proofErr w:type="spellStart"/>
      <w:r w:rsidRPr="00031DAB">
        <w:rPr>
          <w:rFonts w:ascii="Arial" w:eastAsia="Calibri" w:hAnsi="Arial" w:cs="Arial"/>
          <w:kern w:val="2"/>
          <w:lang w:val="en-IN"/>
        </w:rPr>
        <w:t>Gunnapaneni</w:t>
      </w:r>
      <w:proofErr w:type="spellEnd"/>
      <w:r w:rsidRPr="00031DAB">
        <w:rPr>
          <w:rFonts w:ascii="Arial" w:eastAsia="Calibri" w:hAnsi="Arial" w:cs="Arial"/>
          <w:kern w:val="2"/>
          <w:lang w:val="en-IN"/>
        </w:rPr>
        <w:t xml:space="preserve"> D, Bhanu D, Vanaja M, Lakshmi NJ, Yadav SK, Prabhakar M, Singh VK. Elevated CO</w:t>
      </w:r>
      <w:r w:rsidRPr="00031DAB">
        <w:rPr>
          <w:rFonts w:ascii="Cambria Math" w:eastAsia="Calibri" w:hAnsi="Cambria Math" w:cs="Cambria Math"/>
          <w:kern w:val="2"/>
          <w:lang w:val="en-IN"/>
        </w:rPr>
        <w:t>₂</w:t>
      </w:r>
      <w:r w:rsidRPr="00031DAB">
        <w:rPr>
          <w:rFonts w:ascii="Arial" w:eastAsia="Calibri" w:hAnsi="Arial" w:cs="Arial"/>
          <w:kern w:val="2"/>
          <w:lang w:val="en-IN"/>
        </w:rPr>
        <w:t xml:space="preserve"> and water stress in combination in plants: brothers in arms or partners in crime? </w:t>
      </w:r>
      <w:proofErr w:type="spellStart"/>
      <w:r w:rsidRPr="00031DAB">
        <w:rPr>
          <w:rFonts w:ascii="Arial" w:eastAsia="Calibri" w:hAnsi="Arial" w:cs="Arial"/>
          <w:kern w:val="2"/>
          <w:lang w:val="en-IN"/>
        </w:rPr>
        <w:t>Biol</w:t>
      </w:r>
      <w:proofErr w:type="spellEnd"/>
      <w:r w:rsidRPr="00031DAB">
        <w:rPr>
          <w:rFonts w:ascii="Arial" w:eastAsia="Calibri" w:hAnsi="Arial" w:cs="Arial"/>
          <w:kern w:val="2"/>
          <w:lang w:val="en-IN"/>
        </w:rPr>
        <w:t xml:space="preserve"> (Basel). 2022;11(9):1330.</w:t>
      </w:r>
    </w:p>
    <w:p w14:paraId="3DFB985E" w14:textId="457464FF"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Singh A, Mehta S, Yadav S, Nagar G, Ghosh R, Roy A, Chakraborty A, Singh IK. How to cope with the challenges of environmental stresses in the era of global climate change: an update on ROS </w:t>
      </w:r>
      <w:proofErr w:type="gramStart"/>
      <w:r w:rsidRPr="00031DAB">
        <w:rPr>
          <w:rFonts w:ascii="Arial" w:eastAsia="Calibri" w:hAnsi="Arial" w:cs="Arial"/>
          <w:kern w:val="2"/>
          <w:lang w:val="en-IN"/>
        </w:rPr>
        <w:t>stave</w:t>
      </w:r>
      <w:proofErr w:type="gramEnd"/>
      <w:r w:rsidRPr="00031DAB">
        <w:rPr>
          <w:rFonts w:ascii="Arial" w:eastAsia="Calibri" w:hAnsi="Arial" w:cs="Arial"/>
          <w:kern w:val="2"/>
          <w:lang w:val="en-IN"/>
        </w:rPr>
        <w:t xml:space="preserve"> off in plants. Int J Mol Sci. 2022;23(4):1995.</w:t>
      </w:r>
    </w:p>
    <w:p w14:paraId="78111ACC" w14:textId="77777777"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Singh S, Viswanath A, Chakraborty A, Narayanan N, </w:t>
      </w:r>
      <w:proofErr w:type="spellStart"/>
      <w:r w:rsidRPr="00031DAB">
        <w:rPr>
          <w:rFonts w:ascii="Arial" w:eastAsia="Calibri" w:hAnsi="Arial" w:cs="Arial"/>
          <w:kern w:val="2"/>
          <w:lang w:val="en-IN"/>
        </w:rPr>
        <w:t>Malipatil</w:t>
      </w:r>
      <w:proofErr w:type="spellEnd"/>
      <w:r w:rsidRPr="00031DAB">
        <w:rPr>
          <w:rFonts w:ascii="Arial" w:eastAsia="Calibri" w:hAnsi="Arial" w:cs="Arial"/>
          <w:kern w:val="2"/>
          <w:lang w:val="en-IN"/>
        </w:rPr>
        <w:t xml:space="preserve"> R, Jacob J, Mittal S, Satyavathi TC, Thirunavukkarasu N. Identification of key genes and molecular pathways regulating heat stress tolerance in pearl millet to sustain productivity in challenging ecologies. Front Plant Sci. </w:t>
      </w:r>
      <w:proofErr w:type="gramStart"/>
      <w:r w:rsidRPr="00031DAB">
        <w:rPr>
          <w:rFonts w:ascii="Arial" w:eastAsia="Calibri" w:hAnsi="Arial" w:cs="Arial"/>
          <w:kern w:val="2"/>
          <w:lang w:val="en-IN"/>
        </w:rPr>
        <w:t>2024;15:1443681</w:t>
      </w:r>
      <w:proofErr w:type="gramEnd"/>
      <w:r w:rsidRPr="00031DAB">
        <w:rPr>
          <w:rFonts w:ascii="Arial" w:eastAsia="Calibri" w:hAnsi="Arial" w:cs="Arial"/>
          <w:kern w:val="2"/>
          <w:lang w:val="en-IN"/>
        </w:rPr>
        <w:t>.</w:t>
      </w:r>
    </w:p>
    <w:p w14:paraId="433DFD58" w14:textId="767FE3B2"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 xml:space="preserve">Srikanth K, </w:t>
      </w:r>
      <w:proofErr w:type="spellStart"/>
      <w:r w:rsidRPr="00031DAB">
        <w:rPr>
          <w:rFonts w:ascii="Arial" w:eastAsia="Calibri" w:hAnsi="Arial" w:cs="Arial"/>
          <w:kern w:val="2"/>
          <w:lang w:val="en-IN"/>
        </w:rPr>
        <w:t>Binodh</w:t>
      </w:r>
      <w:proofErr w:type="spellEnd"/>
      <w:r w:rsidRPr="00031DAB">
        <w:rPr>
          <w:rFonts w:ascii="Arial" w:eastAsia="Calibri" w:hAnsi="Arial" w:cs="Arial"/>
          <w:kern w:val="2"/>
          <w:lang w:val="en-IN"/>
        </w:rPr>
        <w:t xml:space="preserve"> A, Rajasekaran R, Senthil A, Boopathi NM, Francia E. Exploring morpho-physiological, biochemical, and molecular strategies of finger millet (Eleusine coracana) for drought stress tolerance: a review. Crop Pasture Sci. 2025;76(4).</w:t>
      </w:r>
    </w:p>
    <w:p w14:paraId="3C2CEEE9" w14:textId="76827C30"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Vanaja M, Sarkar B, Sathish P, Jyothi Lakshmi N, Yadav SK, Mohan C, Sushma A, Yashavanth BS, Srinivasa Rao M, Prabhakar M, Singh VK. Elevated CO</w:t>
      </w:r>
      <w:r w:rsidRPr="00031DAB">
        <w:rPr>
          <w:rFonts w:ascii="Cambria Math" w:eastAsia="Calibri" w:hAnsi="Cambria Math" w:cs="Cambria Math"/>
          <w:kern w:val="2"/>
          <w:lang w:val="en-IN"/>
        </w:rPr>
        <w:t>₂</w:t>
      </w:r>
      <w:r w:rsidRPr="00031DAB">
        <w:rPr>
          <w:rFonts w:ascii="Arial" w:eastAsia="Calibri" w:hAnsi="Arial" w:cs="Arial"/>
          <w:kern w:val="2"/>
          <w:lang w:val="en-IN"/>
        </w:rPr>
        <w:t xml:space="preserve"> ameliorates the high temperature stress effects on physio-biochemical, growth, yield traits of maize hybrids. Sci Rep. 2024;14(1):2928.</w:t>
      </w:r>
    </w:p>
    <w:p w14:paraId="22D64799" w14:textId="561811AF"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Xu Z, Jiang Y, Zhou G. Response and adaptation of photosynthesis, respiration, and antioxidant systems to elevated CO</w:t>
      </w:r>
      <w:r w:rsidRPr="00031DAB">
        <w:rPr>
          <w:rFonts w:ascii="Cambria Math" w:eastAsia="Calibri" w:hAnsi="Cambria Math" w:cs="Cambria Math"/>
          <w:kern w:val="2"/>
          <w:lang w:val="en-IN"/>
        </w:rPr>
        <w:t>₂</w:t>
      </w:r>
      <w:r w:rsidRPr="00031DAB">
        <w:rPr>
          <w:rFonts w:ascii="Arial" w:eastAsia="Calibri" w:hAnsi="Arial" w:cs="Arial"/>
          <w:kern w:val="2"/>
          <w:lang w:val="en-IN"/>
        </w:rPr>
        <w:t xml:space="preserve"> with environmental stress in plants. Front Plant Sci. </w:t>
      </w:r>
      <w:proofErr w:type="gramStart"/>
      <w:r w:rsidRPr="00031DAB">
        <w:rPr>
          <w:rFonts w:ascii="Arial" w:eastAsia="Calibri" w:hAnsi="Arial" w:cs="Arial"/>
          <w:kern w:val="2"/>
          <w:lang w:val="en-IN"/>
        </w:rPr>
        <w:t>2015;6:701</w:t>
      </w:r>
      <w:proofErr w:type="gramEnd"/>
      <w:r w:rsidRPr="00031DAB">
        <w:rPr>
          <w:rFonts w:ascii="Arial" w:eastAsia="Calibri" w:hAnsi="Arial" w:cs="Arial"/>
          <w:kern w:val="2"/>
          <w:lang w:val="en-IN"/>
        </w:rPr>
        <w:t>.</w:t>
      </w:r>
    </w:p>
    <w:p w14:paraId="11858217" w14:textId="77777777" w:rsidR="000C4599" w:rsidRPr="00031DAB" w:rsidRDefault="000C4599" w:rsidP="00031DAB">
      <w:pPr>
        <w:pStyle w:val="ListParagraph"/>
        <w:numPr>
          <w:ilvl w:val="0"/>
          <w:numId w:val="33"/>
        </w:numPr>
        <w:spacing w:line="276" w:lineRule="auto"/>
        <w:jc w:val="both"/>
        <w:rPr>
          <w:rFonts w:ascii="Arial" w:eastAsia="Calibri" w:hAnsi="Arial" w:cs="Arial"/>
          <w:kern w:val="2"/>
          <w:lang w:val="en-IN"/>
        </w:rPr>
      </w:pPr>
      <w:r w:rsidRPr="00031DAB">
        <w:rPr>
          <w:rFonts w:ascii="Arial" w:eastAsia="Calibri" w:hAnsi="Arial" w:cs="Arial"/>
          <w:kern w:val="2"/>
          <w:lang w:val="en-IN"/>
        </w:rPr>
        <w:t>Zhang X, Duan Y, Xing Q, Duan R, Shen J, Zong Y, Zhang D, Shi X, Li P, Hao X. Elevated CO</w:t>
      </w:r>
      <w:r w:rsidRPr="00031DAB">
        <w:rPr>
          <w:rFonts w:ascii="Cambria Math" w:eastAsia="Calibri" w:hAnsi="Cambria Math" w:cs="Cambria Math"/>
          <w:kern w:val="2"/>
          <w:lang w:val="en-IN"/>
        </w:rPr>
        <w:t>₂</w:t>
      </w:r>
      <w:r w:rsidRPr="00031DAB">
        <w:rPr>
          <w:rFonts w:ascii="Arial" w:eastAsia="Calibri" w:hAnsi="Arial" w:cs="Arial"/>
          <w:kern w:val="2"/>
          <w:lang w:val="en-IN"/>
        </w:rPr>
        <w:t xml:space="preserve"> concentration enhances drought tolerance by mitigating oxidative stress and enhancing carbon assimilation in foxtail millet (</w:t>
      </w:r>
      <w:proofErr w:type="spellStart"/>
      <w:r w:rsidRPr="00031DAB">
        <w:rPr>
          <w:rFonts w:ascii="Arial" w:eastAsia="Calibri" w:hAnsi="Arial" w:cs="Arial"/>
          <w:kern w:val="2"/>
          <w:lang w:val="en-IN"/>
        </w:rPr>
        <w:t>Setaria</w:t>
      </w:r>
      <w:proofErr w:type="spellEnd"/>
      <w:r w:rsidRPr="00031DAB">
        <w:rPr>
          <w:rFonts w:ascii="Arial" w:eastAsia="Calibri" w:hAnsi="Arial" w:cs="Arial"/>
          <w:kern w:val="2"/>
          <w:lang w:val="en-IN"/>
        </w:rPr>
        <w:t xml:space="preserve"> italica). J Agron Crop Sci. 2024;210(6</w:t>
      </w:r>
      <w:proofErr w:type="gramStart"/>
      <w:r w:rsidRPr="00031DAB">
        <w:rPr>
          <w:rFonts w:ascii="Arial" w:eastAsia="Calibri" w:hAnsi="Arial" w:cs="Arial"/>
          <w:kern w:val="2"/>
          <w:lang w:val="en-IN"/>
        </w:rPr>
        <w:t>):e</w:t>
      </w:r>
      <w:proofErr w:type="gramEnd"/>
      <w:r w:rsidRPr="00031DAB">
        <w:rPr>
          <w:rFonts w:ascii="Arial" w:eastAsia="Calibri" w:hAnsi="Arial" w:cs="Arial"/>
          <w:kern w:val="2"/>
          <w:lang w:val="en-IN"/>
        </w:rPr>
        <w:t>12778.</w:t>
      </w:r>
    </w:p>
    <w:p w14:paraId="5F149448" w14:textId="2A4F774A" w:rsidR="009F2C9D" w:rsidRPr="00553224" w:rsidRDefault="009F2C9D" w:rsidP="000C4599">
      <w:pPr>
        <w:spacing w:line="276" w:lineRule="auto"/>
        <w:ind w:left="720" w:hanging="720"/>
        <w:jc w:val="both"/>
        <w:rPr>
          <w:rFonts w:ascii="Arial" w:eastAsia="Calibri" w:hAnsi="Arial" w:cs="Arial"/>
          <w:kern w:val="2"/>
          <w:lang w:val="en-IN"/>
        </w:rPr>
      </w:pPr>
    </w:p>
    <w:sectPr w:rsidR="009F2C9D" w:rsidRPr="00553224" w:rsidSect="00852E4E">
      <w:headerReference w:type="even" r:id="rId16"/>
      <w:headerReference w:type="default" r:id="rId17"/>
      <w:footerReference w:type="even" r:id="rId18"/>
      <w:footerReference w:type="default" r:id="rId19"/>
      <w:headerReference w:type="first" r:id="rId20"/>
      <w:foot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8DA2C" w14:textId="77777777" w:rsidR="00726950" w:rsidRDefault="00726950" w:rsidP="00C37E61">
      <w:r>
        <w:separator/>
      </w:r>
    </w:p>
  </w:endnote>
  <w:endnote w:type="continuationSeparator" w:id="0">
    <w:p w14:paraId="170B861B" w14:textId="77777777" w:rsidR="00726950" w:rsidRDefault="0072695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F1B3" w14:textId="77777777" w:rsidR="001230C9" w:rsidRDefault="00123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02C0C"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69A9D" w14:textId="77777777" w:rsidR="001230C9" w:rsidRDefault="00123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02341" w14:textId="77777777" w:rsidR="00726950" w:rsidRDefault="00726950" w:rsidP="00C37E61">
      <w:r>
        <w:separator/>
      </w:r>
    </w:p>
  </w:footnote>
  <w:footnote w:type="continuationSeparator" w:id="0">
    <w:p w14:paraId="063BBB97" w14:textId="77777777" w:rsidR="00726950" w:rsidRDefault="0072695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1B6FD" w14:textId="6617140D" w:rsidR="001230C9" w:rsidRDefault="00000000">
    <w:pPr>
      <w:pStyle w:val="Header"/>
    </w:pPr>
    <w:r>
      <w:rPr>
        <w:noProof/>
      </w:rPr>
      <w:pict w14:anchorId="71ABC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854079"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F78CE" w14:textId="5A0F3FC5" w:rsidR="001230C9" w:rsidRDefault="00000000">
    <w:pPr>
      <w:pStyle w:val="Header"/>
    </w:pPr>
    <w:r>
      <w:rPr>
        <w:noProof/>
      </w:rPr>
      <w:pict w14:anchorId="2342F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854080"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BFD4" w14:textId="1EB853A1" w:rsidR="001230C9" w:rsidRDefault="00000000">
    <w:pPr>
      <w:pStyle w:val="Header"/>
    </w:pPr>
    <w:r>
      <w:rPr>
        <w:noProof/>
      </w:rPr>
      <w:pict w14:anchorId="08D99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854078" o:spid="_x0000_s1025"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69033E7"/>
    <w:multiLevelType w:val="hybridMultilevel"/>
    <w:tmpl w:val="AD426D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5EC6A41"/>
    <w:multiLevelType w:val="multilevel"/>
    <w:tmpl w:val="3D78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839669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0359181">
    <w:abstractNumId w:val="17"/>
  </w:num>
  <w:num w:numId="3" w16cid:durableId="1468090164">
    <w:abstractNumId w:val="26"/>
  </w:num>
  <w:num w:numId="4" w16cid:durableId="15803924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43066735">
    <w:abstractNumId w:val="8"/>
  </w:num>
  <w:num w:numId="6" w16cid:durableId="208807170">
    <w:abstractNumId w:val="7"/>
  </w:num>
  <w:num w:numId="7" w16cid:durableId="1009679512">
    <w:abstractNumId w:val="2"/>
  </w:num>
  <w:num w:numId="8" w16cid:durableId="1167750696">
    <w:abstractNumId w:val="13"/>
  </w:num>
  <w:num w:numId="9" w16cid:durableId="315959093">
    <w:abstractNumId w:val="28"/>
  </w:num>
  <w:num w:numId="10" w16cid:durableId="1239485955">
    <w:abstractNumId w:val="3"/>
  </w:num>
  <w:num w:numId="11" w16cid:durableId="990057741">
    <w:abstractNumId w:val="21"/>
  </w:num>
  <w:num w:numId="12" w16cid:durableId="1367289351">
    <w:abstractNumId w:val="4"/>
  </w:num>
  <w:num w:numId="13" w16cid:durableId="1816946172">
    <w:abstractNumId w:val="19"/>
  </w:num>
  <w:num w:numId="14" w16cid:durableId="536311513">
    <w:abstractNumId w:val="9"/>
  </w:num>
  <w:num w:numId="15" w16cid:durableId="1021205098">
    <w:abstractNumId w:val="24"/>
  </w:num>
  <w:num w:numId="16" w16cid:durableId="85738666">
    <w:abstractNumId w:val="6"/>
  </w:num>
  <w:num w:numId="17" w16cid:durableId="1870753975">
    <w:abstractNumId w:val="25"/>
  </w:num>
  <w:num w:numId="18" w16cid:durableId="567688560">
    <w:abstractNumId w:val="15"/>
  </w:num>
  <w:num w:numId="19" w16cid:durableId="2127849336">
    <w:abstractNumId w:val="31"/>
  </w:num>
  <w:num w:numId="20" w16cid:durableId="222639186">
    <w:abstractNumId w:val="12"/>
  </w:num>
  <w:num w:numId="21" w16cid:durableId="297883009">
    <w:abstractNumId w:val="10"/>
  </w:num>
  <w:num w:numId="22" w16cid:durableId="1388532216">
    <w:abstractNumId w:val="14"/>
  </w:num>
  <w:num w:numId="23" w16cid:durableId="482476447">
    <w:abstractNumId w:val="22"/>
  </w:num>
  <w:num w:numId="24" w16cid:durableId="1335839348">
    <w:abstractNumId w:val="29"/>
  </w:num>
  <w:num w:numId="25" w16cid:durableId="1238516946">
    <w:abstractNumId w:val="5"/>
  </w:num>
  <w:num w:numId="26" w16cid:durableId="713621570">
    <w:abstractNumId w:val="18"/>
  </w:num>
  <w:num w:numId="27" w16cid:durableId="1655909268">
    <w:abstractNumId w:val="23"/>
  </w:num>
  <w:num w:numId="28" w16cid:durableId="2030836565">
    <w:abstractNumId w:val="30"/>
  </w:num>
  <w:num w:numId="29" w16cid:durableId="1555115893">
    <w:abstractNumId w:val="27"/>
  </w:num>
  <w:num w:numId="30" w16cid:durableId="738482148">
    <w:abstractNumId w:val="11"/>
  </w:num>
  <w:num w:numId="31" w16cid:durableId="1393429265">
    <w:abstractNumId w:val="1"/>
  </w:num>
  <w:num w:numId="32" w16cid:durableId="603655606">
    <w:abstractNumId w:val="20"/>
  </w:num>
  <w:num w:numId="33" w16cid:durableId="11772275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1BC3"/>
    <w:rsid w:val="00030174"/>
    <w:rsid w:val="000311B0"/>
    <w:rsid w:val="00031DAB"/>
    <w:rsid w:val="00031DF8"/>
    <w:rsid w:val="0004579C"/>
    <w:rsid w:val="00066F3D"/>
    <w:rsid w:val="000A47FA"/>
    <w:rsid w:val="000A65D3"/>
    <w:rsid w:val="000A680B"/>
    <w:rsid w:val="000B1E33"/>
    <w:rsid w:val="000C4599"/>
    <w:rsid w:val="000D689F"/>
    <w:rsid w:val="000E4945"/>
    <w:rsid w:val="000E6105"/>
    <w:rsid w:val="000E7B7B"/>
    <w:rsid w:val="000E7D62"/>
    <w:rsid w:val="000F7594"/>
    <w:rsid w:val="00103357"/>
    <w:rsid w:val="001230C9"/>
    <w:rsid w:val="00123C9F"/>
    <w:rsid w:val="00126190"/>
    <w:rsid w:val="00130F17"/>
    <w:rsid w:val="001320BF"/>
    <w:rsid w:val="00163BC4"/>
    <w:rsid w:val="0016677C"/>
    <w:rsid w:val="00185D66"/>
    <w:rsid w:val="00191062"/>
    <w:rsid w:val="0019278D"/>
    <w:rsid w:val="00192B72"/>
    <w:rsid w:val="001A29D8"/>
    <w:rsid w:val="001A5CAA"/>
    <w:rsid w:val="001B0427"/>
    <w:rsid w:val="001D11F4"/>
    <w:rsid w:val="001D3A51"/>
    <w:rsid w:val="001E10D2"/>
    <w:rsid w:val="001E25B4"/>
    <w:rsid w:val="001E44FE"/>
    <w:rsid w:val="00200595"/>
    <w:rsid w:val="00204835"/>
    <w:rsid w:val="00231920"/>
    <w:rsid w:val="0023195C"/>
    <w:rsid w:val="002336B4"/>
    <w:rsid w:val="0024282C"/>
    <w:rsid w:val="002460DC"/>
    <w:rsid w:val="00250985"/>
    <w:rsid w:val="002556F6"/>
    <w:rsid w:val="00283105"/>
    <w:rsid w:val="00284C4C"/>
    <w:rsid w:val="00287E68"/>
    <w:rsid w:val="00296529"/>
    <w:rsid w:val="002A7627"/>
    <w:rsid w:val="002B27FB"/>
    <w:rsid w:val="002B685A"/>
    <w:rsid w:val="002C57D2"/>
    <w:rsid w:val="002D3639"/>
    <w:rsid w:val="002E0D56"/>
    <w:rsid w:val="0030341D"/>
    <w:rsid w:val="003042D5"/>
    <w:rsid w:val="00315186"/>
    <w:rsid w:val="0033343E"/>
    <w:rsid w:val="0034664E"/>
    <w:rsid w:val="003512C2"/>
    <w:rsid w:val="00356A87"/>
    <w:rsid w:val="00371FB6"/>
    <w:rsid w:val="003763C1"/>
    <w:rsid w:val="00376BBE"/>
    <w:rsid w:val="0039224F"/>
    <w:rsid w:val="003A43A4"/>
    <w:rsid w:val="003A7E18"/>
    <w:rsid w:val="003B1050"/>
    <w:rsid w:val="003C12C3"/>
    <w:rsid w:val="003C4C86"/>
    <w:rsid w:val="003C6258"/>
    <w:rsid w:val="003E2904"/>
    <w:rsid w:val="003E3F7F"/>
    <w:rsid w:val="003F59D1"/>
    <w:rsid w:val="00401927"/>
    <w:rsid w:val="0041027F"/>
    <w:rsid w:val="00412475"/>
    <w:rsid w:val="00423789"/>
    <w:rsid w:val="00425712"/>
    <w:rsid w:val="00440F43"/>
    <w:rsid w:val="00441B6F"/>
    <w:rsid w:val="004455AF"/>
    <w:rsid w:val="00446221"/>
    <w:rsid w:val="00450E62"/>
    <w:rsid w:val="004539DB"/>
    <w:rsid w:val="0046151E"/>
    <w:rsid w:val="00471A80"/>
    <w:rsid w:val="004D305E"/>
    <w:rsid w:val="004D4277"/>
    <w:rsid w:val="00502516"/>
    <w:rsid w:val="00505F06"/>
    <w:rsid w:val="00506828"/>
    <w:rsid w:val="00522CA6"/>
    <w:rsid w:val="0053056E"/>
    <w:rsid w:val="00547BF7"/>
    <w:rsid w:val="00553224"/>
    <w:rsid w:val="00554FDA"/>
    <w:rsid w:val="00582496"/>
    <w:rsid w:val="005B6FB8"/>
    <w:rsid w:val="005B7AD1"/>
    <w:rsid w:val="005C784C"/>
    <w:rsid w:val="005D17F6"/>
    <w:rsid w:val="005D563C"/>
    <w:rsid w:val="005E5539"/>
    <w:rsid w:val="00602BF5"/>
    <w:rsid w:val="00617FDD"/>
    <w:rsid w:val="00624B44"/>
    <w:rsid w:val="00633614"/>
    <w:rsid w:val="00633F68"/>
    <w:rsid w:val="00636EB2"/>
    <w:rsid w:val="006375B8"/>
    <w:rsid w:val="00655718"/>
    <w:rsid w:val="0066510A"/>
    <w:rsid w:val="00673F9F"/>
    <w:rsid w:val="00677161"/>
    <w:rsid w:val="00686953"/>
    <w:rsid w:val="00687D44"/>
    <w:rsid w:val="00687DEA"/>
    <w:rsid w:val="00687E67"/>
    <w:rsid w:val="006967F7"/>
    <w:rsid w:val="006A250C"/>
    <w:rsid w:val="006B0F62"/>
    <w:rsid w:val="006B21D3"/>
    <w:rsid w:val="006B57D0"/>
    <w:rsid w:val="006D30FF"/>
    <w:rsid w:val="006D546B"/>
    <w:rsid w:val="006D6940"/>
    <w:rsid w:val="006F11EC"/>
    <w:rsid w:val="0070082C"/>
    <w:rsid w:val="00712C10"/>
    <w:rsid w:val="00721DFD"/>
    <w:rsid w:val="00726950"/>
    <w:rsid w:val="007369E6"/>
    <w:rsid w:val="007424F7"/>
    <w:rsid w:val="00744A10"/>
    <w:rsid w:val="00746E59"/>
    <w:rsid w:val="00753D40"/>
    <w:rsid w:val="00754C9A"/>
    <w:rsid w:val="0075599A"/>
    <w:rsid w:val="007566F6"/>
    <w:rsid w:val="00761D52"/>
    <w:rsid w:val="0077749E"/>
    <w:rsid w:val="00785FA1"/>
    <w:rsid w:val="00790ADA"/>
    <w:rsid w:val="00792B96"/>
    <w:rsid w:val="007C541F"/>
    <w:rsid w:val="007D2288"/>
    <w:rsid w:val="007E088F"/>
    <w:rsid w:val="007E3D86"/>
    <w:rsid w:val="007F7B32"/>
    <w:rsid w:val="00804BC2"/>
    <w:rsid w:val="0081431A"/>
    <w:rsid w:val="00814779"/>
    <w:rsid w:val="0083216F"/>
    <w:rsid w:val="008375B3"/>
    <w:rsid w:val="00852E4E"/>
    <w:rsid w:val="00860000"/>
    <w:rsid w:val="00863BD3"/>
    <w:rsid w:val="008641ED"/>
    <w:rsid w:val="00866D66"/>
    <w:rsid w:val="008671C6"/>
    <w:rsid w:val="00875803"/>
    <w:rsid w:val="00895E7F"/>
    <w:rsid w:val="008B2494"/>
    <w:rsid w:val="008B459E"/>
    <w:rsid w:val="008E13AE"/>
    <w:rsid w:val="008E1506"/>
    <w:rsid w:val="008E710C"/>
    <w:rsid w:val="008F69D6"/>
    <w:rsid w:val="00902823"/>
    <w:rsid w:val="0090793C"/>
    <w:rsid w:val="00915CA6"/>
    <w:rsid w:val="00927834"/>
    <w:rsid w:val="009500A6"/>
    <w:rsid w:val="00956250"/>
    <w:rsid w:val="00957C18"/>
    <w:rsid w:val="009659BA"/>
    <w:rsid w:val="00983040"/>
    <w:rsid w:val="009907A8"/>
    <w:rsid w:val="009B3FB9"/>
    <w:rsid w:val="009C2465"/>
    <w:rsid w:val="009D35A0"/>
    <w:rsid w:val="009D6832"/>
    <w:rsid w:val="009D7EB7"/>
    <w:rsid w:val="009E048A"/>
    <w:rsid w:val="009E08E9"/>
    <w:rsid w:val="009E3DB9"/>
    <w:rsid w:val="009E6E35"/>
    <w:rsid w:val="009F0EDA"/>
    <w:rsid w:val="009F2C9D"/>
    <w:rsid w:val="009F42A8"/>
    <w:rsid w:val="009F4F83"/>
    <w:rsid w:val="00A03B96"/>
    <w:rsid w:val="00A05B19"/>
    <w:rsid w:val="00A1134E"/>
    <w:rsid w:val="00A24E7E"/>
    <w:rsid w:val="00A258C3"/>
    <w:rsid w:val="00A347C0"/>
    <w:rsid w:val="00A4073E"/>
    <w:rsid w:val="00A51431"/>
    <w:rsid w:val="00A539AD"/>
    <w:rsid w:val="00A54175"/>
    <w:rsid w:val="00A63763"/>
    <w:rsid w:val="00A92BFE"/>
    <w:rsid w:val="00A94063"/>
    <w:rsid w:val="00AA6219"/>
    <w:rsid w:val="00AA74E0"/>
    <w:rsid w:val="00AB703F"/>
    <w:rsid w:val="00AB7944"/>
    <w:rsid w:val="00AC6BB8"/>
    <w:rsid w:val="00AE008F"/>
    <w:rsid w:val="00AF3900"/>
    <w:rsid w:val="00AF7D0C"/>
    <w:rsid w:val="00B01FCD"/>
    <w:rsid w:val="00B1776C"/>
    <w:rsid w:val="00B21EA4"/>
    <w:rsid w:val="00B32D80"/>
    <w:rsid w:val="00B52232"/>
    <w:rsid w:val="00B52583"/>
    <w:rsid w:val="00B52896"/>
    <w:rsid w:val="00B609E8"/>
    <w:rsid w:val="00B7785E"/>
    <w:rsid w:val="00B946FA"/>
    <w:rsid w:val="00B95236"/>
    <w:rsid w:val="00B96BD9"/>
    <w:rsid w:val="00BA1B01"/>
    <w:rsid w:val="00BA2641"/>
    <w:rsid w:val="00BB37AA"/>
    <w:rsid w:val="00BC53A0"/>
    <w:rsid w:val="00BE4C8E"/>
    <w:rsid w:val="00BE62AD"/>
    <w:rsid w:val="00BF0F0E"/>
    <w:rsid w:val="00BF121F"/>
    <w:rsid w:val="00BF1F80"/>
    <w:rsid w:val="00BF5DCE"/>
    <w:rsid w:val="00C166EF"/>
    <w:rsid w:val="00C17EB0"/>
    <w:rsid w:val="00C27F5F"/>
    <w:rsid w:val="00C30A0F"/>
    <w:rsid w:val="00C37E61"/>
    <w:rsid w:val="00C70F1B"/>
    <w:rsid w:val="00C71A47"/>
    <w:rsid w:val="00C7464C"/>
    <w:rsid w:val="00C85588"/>
    <w:rsid w:val="00CD6755"/>
    <w:rsid w:val="00CD6856"/>
    <w:rsid w:val="00CE0089"/>
    <w:rsid w:val="00CE42D8"/>
    <w:rsid w:val="00CE793C"/>
    <w:rsid w:val="00CF193C"/>
    <w:rsid w:val="00D12EC2"/>
    <w:rsid w:val="00D13979"/>
    <w:rsid w:val="00D173F1"/>
    <w:rsid w:val="00D400EE"/>
    <w:rsid w:val="00D74CB0"/>
    <w:rsid w:val="00D769D5"/>
    <w:rsid w:val="00D8295D"/>
    <w:rsid w:val="00DA72A3"/>
    <w:rsid w:val="00DB67CC"/>
    <w:rsid w:val="00DC2A65"/>
    <w:rsid w:val="00DD0548"/>
    <w:rsid w:val="00DD6A4D"/>
    <w:rsid w:val="00DE15F0"/>
    <w:rsid w:val="00DE5663"/>
    <w:rsid w:val="00DE78AA"/>
    <w:rsid w:val="00DF335D"/>
    <w:rsid w:val="00DF5125"/>
    <w:rsid w:val="00E053D0"/>
    <w:rsid w:val="00E15994"/>
    <w:rsid w:val="00E3114E"/>
    <w:rsid w:val="00E31A70"/>
    <w:rsid w:val="00E35B02"/>
    <w:rsid w:val="00E66496"/>
    <w:rsid w:val="00E66B35"/>
    <w:rsid w:val="00E66E10"/>
    <w:rsid w:val="00E769F6"/>
    <w:rsid w:val="00E8407C"/>
    <w:rsid w:val="00E84E17"/>
    <w:rsid w:val="00E84F3C"/>
    <w:rsid w:val="00EA012C"/>
    <w:rsid w:val="00EA0723"/>
    <w:rsid w:val="00EC6A55"/>
    <w:rsid w:val="00ED0288"/>
    <w:rsid w:val="00EE4B34"/>
    <w:rsid w:val="00EE52CB"/>
    <w:rsid w:val="00EF4DA1"/>
    <w:rsid w:val="00EF581D"/>
    <w:rsid w:val="00EF7FD8"/>
    <w:rsid w:val="00F06F59"/>
    <w:rsid w:val="00F17988"/>
    <w:rsid w:val="00F30D28"/>
    <w:rsid w:val="00F469F0"/>
    <w:rsid w:val="00F5138E"/>
    <w:rsid w:val="00F53273"/>
    <w:rsid w:val="00F60961"/>
    <w:rsid w:val="00F755E4"/>
    <w:rsid w:val="00F77D02"/>
    <w:rsid w:val="00F86A3B"/>
    <w:rsid w:val="00F924DD"/>
    <w:rsid w:val="00F96DBD"/>
    <w:rsid w:val="00FB3A86"/>
    <w:rsid w:val="00FD36C8"/>
    <w:rsid w:val="00FD4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070C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31D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026667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0277792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93C9D-CA62-4A7B-9F72-3161981EC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197</TotalTime>
  <Pages>8</Pages>
  <Words>4141</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27690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anusree k</cp:lastModifiedBy>
  <cp:revision>68</cp:revision>
  <cp:lastPrinted>1999-07-06T11:00:00Z</cp:lastPrinted>
  <dcterms:created xsi:type="dcterms:W3CDTF">2014-10-25T14:34:00Z</dcterms:created>
  <dcterms:modified xsi:type="dcterms:W3CDTF">2025-10-29T17:11:00Z</dcterms:modified>
</cp:coreProperties>
</file>