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7D54A" w14:textId="77777777" w:rsid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Mangrove Forests in a Changing World: Distribution, Change, Drivers, and Climate Relevance</w:t>
      </w:r>
    </w:p>
    <w:p w14:paraId="712F3508" w14:textId="77777777" w:rsidR="00761E7B" w:rsidRPr="00A373FB" w:rsidRDefault="00761E7B" w:rsidP="00A52E57">
      <w:pPr>
        <w:spacing w:line="360" w:lineRule="auto"/>
        <w:rPr>
          <w:rFonts w:ascii="Times New Roman" w:hAnsi="Times New Roman" w:cs="Times New Roman"/>
          <w:b/>
          <w:bCs/>
          <w:color w:val="002060"/>
          <w:sz w:val="24"/>
          <w:szCs w:val="24"/>
          <w:u w:val="single"/>
        </w:rPr>
      </w:pPr>
    </w:p>
    <w:p w14:paraId="780E5C95" w14:textId="62BFBFD5"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Abstract</w:t>
      </w:r>
    </w:p>
    <w:p w14:paraId="5A02C520" w14:textId="18D655BE"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Mangrove forests are critical coastal ecosystems distributed across tropical and subtropical intertidal zones, forming a unique interface between land and sea. Although they occupy a relatively small global area, their ecological, socio-economic</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and climatic significance is disproportionately large. </w:t>
      </w:r>
      <w:r w:rsidR="00C741EE" w:rsidRPr="000F6DD7">
        <w:rPr>
          <w:rFonts w:ascii="Times New Roman" w:hAnsi="Times New Roman" w:cs="Times New Roman"/>
          <w:sz w:val="24"/>
          <w:szCs w:val="24"/>
          <w:highlight w:val="yellow"/>
        </w:rPr>
        <w:t xml:space="preserve">This review </w:t>
      </w:r>
      <w:proofErr w:type="spellStart"/>
      <w:r w:rsidR="00C741EE" w:rsidRPr="000F6DD7">
        <w:rPr>
          <w:rFonts w:ascii="Times New Roman" w:hAnsi="Times New Roman" w:cs="Times New Roman"/>
          <w:sz w:val="24"/>
          <w:szCs w:val="24"/>
          <w:highlight w:val="yellow"/>
        </w:rPr>
        <w:t>synthesises</w:t>
      </w:r>
      <w:proofErr w:type="spellEnd"/>
      <w:r w:rsidR="00C741EE" w:rsidRPr="000F6DD7">
        <w:rPr>
          <w:rFonts w:ascii="Times New Roman" w:hAnsi="Times New Roman" w:cs="Times New Roman"/>
          <w:sz w:val="24"/>
          <w:szCs w:val="24"/>
          <w:highlight w:val="yellow"/>
        </w:rPr>
        <w:t xml:space="preserve"> </w:t>
      </w:r>
      <w:r w:rsidR="00C741EE" w:rsidRPr="000F6DD7">
        <w:rPr>
          <w:rFonts w:ascii="Times New Roman" w:hAnsi="Times New Roman" w:cs="Times New Roman"/>
          <w:sz w:val="24"/>
          <w:szCs w:val="24"/>
          <w:highlight w:val="yellow"/>
        </w:rPr>
        <w:t xml:space="preserve">current understanding of mangrove distribution, ecological roles, drivers of change and conservation strategies, drawing on recent datasets, case studies, and projections. </w:t>
      </w:r>
      <w:r w:rsidRPr="000F6DD7">
        <w:rPr>
          <w:rFonts w:ascii="Times New Roman" w:hAnsi="Times New Roman" w:cs="Times New Roman"/>
          <w:sz w:val="24"/>
          <w:szCs w:val="24"/>
          <w:highlight w:val="yellow"/>
        </w:rPr>
        <w:t>Mangroves</w:t>
      </w:r>
      <w:r w:rsidRPr="00A52E57">
        <w:rPr>
          <w:rFonts w:ascii="Times New Roman" w:hAnsi="Times New Roman" w:cs="Times New Roman"/>
          <w:sz w:val="24"/>
          <w:szCs w:val="24"/>
        </w:rPr>
        <w:t xml:space="preserve"> </w:t>
      </w:r>
      <w:proofErr w:type="spellStart"/>
      <w:r w:rsidR="005A79C1" w:rsidRPr="000F6DD7">
        <w:rPr>
          <w:rFonts w:ascii="Times New Roman" w:hAnsi="Times New Roman" w:cs="Times New Roman"/>
          <w:sz w:val="24"/>
          <w:szCs w:val="24"/>
          <w:highlight w:val="yellow"/>
        </w:rPr>
        <w:t>stabilise</w:t>
      </w:r>
      <w:proofErr w:type="spellEnd"/>
      <w:r w:rsidR="005A79C1" w:rsidRPr="00A52E57">
        <w:rPr>
          <w:rFonts w:ascii="Times New Roman" w:hAnsi="Times New Roman" w:cs="Times New Roman"/>
          <w:sz w:val="24"/>
          <w:szCs w:val="24"/>
        </w:rPr>
        <w:t xml:space="preserve"> </w:t>
      </w:r>
      <w:r w:rsidRPr="00A52E57">
        <w:rPr>
          <w:rFonts w:ascii="Times New Roman" w:hAnsi="Times New Roman" w:cs="Times New Roman"/>
          <w:sz w:val="24"/>
          <w:szCs w:val="24"/>
        </w:rPr>
        <w:t>coastlines, reduce erosion, act as nursery grounds for fish and crustaceans</w:t>
      </w:r>
      <w:r w:rsidRPr="00A373FB">
        <w:rPr>
          <w:rFonts w:ascii="Times New Roman" w:hAnsi="Times New Roman" w:cs="Times New Roman"/>
          <w:color w:val="0070C0"/>
          <w:sz w:val="24"/>
          <w:szCs w:val="24"/>
        </w:rPr>
        <w:t>,</w:t>
      </w:r>
      <w:r w:rsidRPr="00A52E57">
        <w:rPr>
          <w:rFonts w:ascii="Times New Roman" w:hAnsi="Times New Roman" w:cs="Times New Roman"/>
          <w:sz w:val="24"/>
          <w:szCs w:val="24"/>
        </w:rPr>
        <w:t xml:space="preserve"> and support coastal livelihoods through fisheries, timber, and cultural practices. They are also among the most carbon-dense ecosystems, with mean carbon stocks exceeding 1,000 Mg C</w:t>
      </w:r>
      <w:r w:rsidR="00872A03">
        <w:rPr>
          <w:rFonts w:ascii="Times New Roman" w:hAnsi="Times New Roman" w:cs="Times New Roman"/>
          <w:sz w:val="24"/>
          <w:szCs w:val="24"/>
        </w:rPr>
        <w:t xml:space="preserve"> ha</w:t>
      </w:r>
      <w:r w:rsidR="00872A03" w:rsidRPr="00872A03">
        <w:rPr>
          <w:rFonts w:ascii="Times New Roman" w:hAnsi="Times New Roman" w:cs="Times New Roman"/>
          <w:sz w:val="24"/>
          <w:szCs w:val="24"/>
          <w:vertAlign w:val="superscript"/>
        </w:rPr>
        <w:t>-</w:t>
      </w:r>
      <w:r w:rsidRPr="00A52E57">
        <w:rPr>
          <w:rFonts w:ascii="Times New Roman" w:hAnsi="Times New Roman" w:cs="Times New Roman"/>
          <w:sz w:val="24"/>
          <w:szCs w:val="24"/>
        </w:rPr>
        <w:t>¹, most of which is stored in soils. Their role in blue carbon sequestration and storage elevates them as a priority in climate mitigation strategies. Yet, over the past century, mangroves have faced extensive degradation, particularly in Asia, driven by aquaculture, agricultural expansion, fuelwood harvesting</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and urban encroachment. Between 1996 and 2020</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global mangrove cover declined by approximately 3.4</w:t>
      </w:r>
      <w:r w:rsidR="00872A03">
        <w:rPr>
          <w:rFonts w:ascii="Times New Roman" w:hAnsi="Times New Roman" w:cs="Times New Roman"/>
          <w:sz w:val="24"/>
          <w:szCs w:val="24"/>
        </w:rPr>
        <w:t xml:space="preserve"> %, w</w:t>
      </w:r>
      <w:r w:rsidRPr="00A52E57">
        <w:rPr>
          <w:rFonts w:ascii="Times New Roman" w:hAnsi="Times New Roman" w:cs="Times New Roman"/>
          <w:sz w:val="24"/>
          <w:szCs w:val="24"/>
        </w:rPr>
        <w:t xml:space="preserve">ith losses concentrated in Southeast Asia. Recent evidence, however, indicates </w:t>
      </w:r>
      <w:proofErr w:type="spellStart"/>
      <w:r w:rsidR="005A79C1" w:rsidRPr="000F6DD7">
        <w:rPr>
          <w:rFonts w:ascii="Times New Roman" w:hAnsi="Times New Roman" w:cs="Times New Roman"/>
          <w:sz w:val="24"/>
          <w:szCs w:val="24"/>
          <w:highlight w:val="yellow"/>
        </w:rPr>
        <w:t>stabilisation</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and</w:t>
      </w:r>
      <w:r w:rsidRPr="00A52E57">
        <w:rPr>
          <w:rFonts w:ascii="Times New Roman" w:hAnsi="Times New Roman" w:cs="Times New Roman"/>
          <w:sz w:val="24"/>
          <w:szCs w:val="24"/>
        </w:rPr>
        <w:t xml:space="preserve"> </w:t>
      </w:r>
      <w:proofErr w:type="spellStart"/>
      <w:r w:rsidR="005A79C1" w:rsidRPr="000F6DD7">
        <w:rPr>
          <w:rFonts w:ascii="Times New Roman" w:hAnsi="Times New Roman" w:cs="Times New Roman"/>
          <w:sz w:val="24"/>
          <w:szCs w:val="24"/>
          <w:highlight w:val="yellow"/>
        </w:rPr>
        <w:t>localised</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recovery</w:t>
      </w:r>
      <w:r w:rsidRPr="00A52E57">
        <w:rPr>
          <w:rFonts w:ascii="Times New Roman" w:hAnsi="Times New Roman" w:cs="Times New Roman"/>
          <w:sz w:val="24"/>
          <w:szCs w:val="24"/>
        </w:rPr>
        <w:t>, attributed to improved policy frameworks, restoration efforts</w:t>
      </w:r>
      <w:r w:rsidRPr="00A373FB">
        <w:rPr>
          <w:rFonts w:ascii="Times New Roman" w:hAnsi="Times New Roman" w:cs="Times New Roman"/>
          <w:strike/>
          <w:color w:val="0070C0"/>
          <w:sz w:val="24"/>
          <w:szCs w:val="24"/>
        </w:rPr>
        <w:t>,</w:t>
      </w:r>
      <w:r w:rsidRPr="00A52E57">
        <w:rPr>
          <w:rFonts w:ascii="Times New Roman" w:hAnsi="Times New Roman" w:cs="Times New Roman"/>
          <w:sz w:val="24"/>
          <w:szCs w:val="24"/>
        </w:rPr>
        <w:t xml:space="preserve"> and recognition of their ecosystem services. Remote sensing datasets such as the Global Mangrove Watch (GMW v3.0) and the High-resolution Global Mangrove Forest map (HGMF</w:t>
      </w:r>
      <w:r w:rsidR="00872A03">
        <w:rPr>
          <w:rFonts w:ascii="Times New Roman" w:hAnsi="Times New Roman" w:cs="Times New Roman"/>
          <w:sz w:val="24"/>
          <w:szCs w:val="24"/>
        </w:rPr>
        <w:t xml:space="preserve"> 2</w:t>
      </w:r>
      <w:r w:rsidRPr="00A52E57">
        <w:rPr>
          <w:rFonts w:ascii="Times New Roman" w:hAnsi="Times New Roman" w:cs="Times New Roman"/>
          <w:sz w:val="24"/>
          <w:szCs w:val="24"/>
        </w:rPr>
        <w:t xml:space="preserve">020) have provided robust quantification of global and regional mangrove dynamics. These datasets reveal stark regional disparities, with Southeast Asia continuing to experience the highest losses, while South America and Oceania remain comparatively stable. Climate change presents an additional existential threat, with nearly 70% of Indo-Pacific mangroves projected to lack the vertical accretion capacity required to keep pace with sea-level rise. Nonetheless, evidence from successful restoration initiatives highlights the resilience of mangroves when hydrological processes are maintained. </w:t>
      </w:r>
      <w:r w:rsidRPr="000F6DD7">
        <w:rPr>
          <w:rFonts w:ascii="Times New Roman" w:hAnsi="Times New Roman" w:cs="Times New Roman"/>
          <w:sz w:val="24"/>
          <w:szCs w:val="24"/>
          <w:highlight w:val="yellow"/>
        </w:rPr>
        <w:t>It concludes</w:t>
      </w:r>
      <w:r w:rsidRPr="00A52E57">
        <w:rPr>
          <w:rFonts w:ascii="Times New Roman" w:hAnsi="Times New Roman" w:cs="Times New Roman"/>
          <w:sz w:val="24"/>
          <w:szCs w:val="24"/>
        </w:rPr>
        <w:t xml:space="preserve"> by outlining pathways for future research and management that integrate monitoring technologies, </w:t>
      </w:r>
      <w:r w:rsidRPr="00A52E57">
        <w:rPr>
          <w:rFonts w:ascii="Times New Roman" w:hAnsi="Times New Roman" w:cs="Times New Roman"/>
          <w:sz w:val="24"/>
          <w:szCs w:val="24"/>
        </w:rPr>
        <w:lastRenderedPageBreak/>
        <w:t>ecological engineering, community co-management, and policy frameworks to secure mangroves’ role in climate adaptation and mitigation.</w:t>
      </w:r>
    </w:p>
    <w:p w14:paraId="3751465A" w14:textId="77777777" w:rsidR="00A52E57" w:rsidRPr="000F6DD7" w:rsidRDefault="00A52E57" w:rsidP="00A52E57">
      <w:pPr>
        <w:spacing w:line="360" w:lineRule="auto"/>
        <w:rPr>
          <w:rFonts w:ascii="Times New Roman" w:hAnsi="Times New Roman" w:cs="Times New Roman"/>
          <w:b/>
          <w:bCs/>
          <w:i/>
          <w:iCs/>
          <w:sz w:val="24"/>
          <w:szCs w:val="24"/>
        </w:rPr>
      </w:pPr>
      <w:r w:rsidRPr="00A52E57">
        <w:rPr>
          <w:rFonts w:ascii="Times New Roman" w:hAnsi="Times New Roman" w:cs="Times New Roman"/>
          <w:b/>
          <w:bCs/>
          <w:sz w:val="24"/>
          <w:szCs w:val="24"/>
        </w:rPr>
        <w:t xml:space="preserve">Keywords: </w:t>
      </w:r>
      <w:r w:rsidRPr="000F6DD7">
        <w:rPr>
          <w:rFonts w:ascii="Times New Roman" w:hAnsi="Times New Roman" w:cs="Times New Roman"/>
          <w:i/>
          <w:iCs/>
          <w:sz w:val="24"/>
          <w:szCs w:val="24"/>
        </w:rPr>
        <w:t>Mangrove forests; Blue carbon; Coastal ecosystems; Climate resilience; Sea-level rise; Restoration</w:t>
      </w:r>
    </w:p>
    <w:p w14:paraId="01E6DC22"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Introduction</w:t>
      </w:r>
    </w:p>
    <w:p w14:paraId="1097AEEA" w14:textId="3EE5D652"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are globally significant ecosystems occupying the intertidal zones of tropical and subtropical coastlines across more than 120 countries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2007). These systems are </w:t>
      </w:r>
      <w:proofErr w:type="spellStart"/>
      <w:r w:rsidR="005A79C1" w:rsidRPr="000F6DD7">
        <w:rPr>
          <w:rFonts w:ascii="Times New Roman" w:hAnsi="Times New Roman" w:cs="Times New Roman"/>
          <w:sz w:val="24"/>
          <w:szCs w:val="24"/>
          <w:highlight w:val="yellow"/>
        </w:rPr>
        <w:t>characterised</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 xml:space="preserve">by </w:t>
      </w:r>
      <w:proofErr w:type="spellStart"/>
      <w:r w:rsidR="005A79C1" w:rsidRPr="000F6DD7">
        <w:rPr>
          <w:rFonts w:ascii="Times New Roman" w:hAnsi="Times New Roman" w:cs="Times New Roman"/>
          <w:sz w:val="24"/>
          <w:szCs w:val="24"/>
          <w:highlight w:val="yellow"/>
        </w:rPr>
        <w:t>specialised</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halophytic tree</w:t>
      </w:r>
      <w:r w:rsidRPr="00A52E57">
        <w:rPr>
          <w:rFonts w:ascii="Times New Roman" w:hAnsi="Times New Roman" w:cs="Times New Roman"/>
          <w:sz w:val="24"/>
          <w:szCs w:val="24"/>
        </w:rPr>
        <w:t xml:space="preserve"> and shrub species such as </w:t>
      </w:r>
      <w:r w:rsidRPr="00A52E57">
        <w:rPr>
          <w:rFonts w:ascii="Times New Roman" w:hAnsi="Times New Roman" w:cs="Times New Roman"/>
          <w:i/>
          <w:iCs/>
          <w:sz w:val="24"/>
          <w:szCs w:val="24"/>
        </w:rPr>
        <w:t>Rhizophora</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Avicennia</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Bruguiera</w:t>
      </w:r>
      <w:r w:rsidRPr="00A52E57">
        <w:rPr>
          <w:rFonts w:ascii="Times New Roman" w:hAnsi="Times New Roman" w:cs="Times New Roman"/>
          <w:sz w:val="24"/>
          <w:szCs w:val="24"/>
        </w:rPr>
        <w:t xml:space="preserve">, and </w:t>
      </w:r>
      <w:r w:rsidRPr="00A52E57">
        <w:rPr>
          <w:rFonts w:ascii="Times New Roman" w:hAnsi="Times New Roman" w:cs="Times New Roman"/>
          <w:i/>
          <w:iCs/>
          <w:sz w:val="24"/>
          <w:szCs w:val="24"/>
        </w:rPr>
        <w:t>Sonneratia</w:t>
      </w:r>
      <w:r w:rsidRPr="00A52E57">
        <w:rPr>
          <w:rFonts w:ascii="Times New Roman" w:hAnsi="Times New Roman" w:cs="Times New Roman"/>
          <w:sz w:val="24"/>
          <w:szCs w:val="24"/>
        </w:rPr>
        <w:t xml:space="preserve"> that exhibit remarkable physiological adaptations to saline and waterlogged soils. Features such as aerial roots that enable oxygen exchange, salt-excreting glands that regulate osmotic balance, and viviparous propagules that aid dispersal highlight their evolutionary resilience (Alongi, 2014).</w:t>
      </w:r>
      <w:r w:rsidR="00BD0A0B">
        <w:rPr>
          <w:rFonts w:ascii="Times New Roman" w:hAnsi="Times New Roman" w:cs="Times New Roman"/>
          <w:sz w:val="24"/>
          <w:szCs w:val="24"/>
        </w:rPr>
        <w:t xml:space="preserve"> </w:t>
      </w:r>
      <w:r w:rsidR="00BD0A0B" w:rsidRPr="000F6DD7">
        <w:rPr>
          <w:rFonts w:ascii="Times New Roman" w:hAnsi="Times New Roman" w:cs="Times New Roman"/>
          <w:sz w:val="24"/>
          <w:szCs w:val="24"/>
          <w:highlight w:val="yellow"/>
        </w:rPr>
        <w:t xml:space="preserve">Soil salinity directly influences mangrove distribution, physiological processes, productivity, </w:t>
      </w:r>
      <w:r w:rsidR="00BD0A0B" w:rsidRPr="000F6DD7">
        <w:rPr>
          <w:rFonts w:ascii="Times New Roman" w:hAnsi="Times New Roman" w:cs="Times New Roman"/>
          <w:sz w:val="24"/>
          <w:szCs w:val="24"/>
          <w:highlight w:val="yellow"/>
        </w:rPr>
        <w:t xml:space="preserve">and </w:t>
      </w:r>
      <w:r w:rsidR="00BD0A0B" w:rsidRPr="000F6DD7">
        <w:rPr>
          <w:rFonts w:ascii="Times New Roman" w:hAnsi="Times New Roman" w:cs="Times New Roman"/>
          <w:sz w:val="24"/>
          <w:szCs w:val="24"/>
          <w:highlight w:val="yellow"/>
        </w:rPr>
        <w:t>seedling establishment and is critical to predict future mangrove distribution under changing climatic conditions</w:t>
      </w:r>
      <w:r w:rsidR="00BD0A0B" w:rsidRPr="000F6DD7">
        <w:rPr>
          <w:rFonts w:ascii="Times New Roman" w:hAnsi="Times New Roman" w:cs="Times New Roman"/>
          <w:sz w:val="24"/>
          <w:szCs w:val="24"/>
          <w:highlight w:val="yellow"/>
        </w:rPr>
        <w:t xml:space="preserve"> (</w:t>
      </w:r>
      <w:r w:rsidR="00BD0A0B" w:rsidRPr="00BD0A0B">
        <w:rPr>
          <w:rFonts w:ascii="Times New Roman" w:hAnsi="Times New Roman" w:cs="Times New Roman"/>
          <w:sz w:val="24"/>
          <w:szCs w:val="24"/>
          <w:highlight w:val="yellow"/>
        </w:rPr>
        <w:t>Sunkur</w:t>
      </w:r>
      <w:r w:rsidR="00BD0A0B">
        <w:rPr>
          <w:rFonts w:ascii="Times New Roman" w:hAnsi="Times New Roman" w:cs="Times New Roman"/>
          <w:sz w:val="24"/>
          <w:szCs w:val="24"/>
          <w:highlight w:val="yellow"/>
        </w:rPr>
        <w:t xml:space="preserve"> et al., 2025</w:t>
      </w:r>
      <w:r w:rsidR="00BD0A0B" w:rsidRPr="000F6DD7">
        <w:rPr>
          <w:rFonts w:ascii="Times New Roman" w:hAnsi="Times New Roman" w:cs="Times New Roman"/>
          <w:sz w:val="24"/>
          <w:szCs w:val="24"/>
          <w:highlight w:val="yellow"/>
        </w:rPr>
        <w:t>)</w:t>
      </w:r>
      <w:r w:rsidR="00BD0A0B" w:rsidRPr="000F6DD7">
        <w:rPr>
          <w:rFonts w:ascii="Times New Roman" w:hAnsi="Times New Roman" w:cs="Times New Roman"/>
          <w:sz w:val="24"/>
          <w:szCs w:val="24"/>
          <w:highlight w:val="yellow"/>
        </w:rPr>
        <w:t>.</w:t>
      </w:r>
    </w:p>
    <w:p w14:paraId="261E0115" w14:textId="66C113A1"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ecological importance of mangroves lies in their multifunctionality. They </w:t>
      </w:r>
      <w:proofErr w:type="spellStart"/>
      <w:r w:rsidR="005A79C1" w:rsidRPr="000F6DD7">
        <w:rPr>
          <w:rFonts w:ascii="Times New Roman" w:hAnsi="Times New Roman" w:cs="Times New Roman"/>
          <w:sz w:val="24"/>
          <w:szCs w:val="24"/>
          <w:highlight w:val="yellow"/>
        </w:rPr>
        <w:t>stabilise</w:t>
      </w:r>
      <w:proofErr w:type="spellEnd"/>
      <w:r w:rsidR="005A79C1" w:rsidRPr="00A52E57">
        <w:rPr>
          <w:rFonts w:ascii="Times New Roman" w:hAnsi="Times New Roman" w:cs="Times New Roman"/>
          <w:sz w:val="24"/>
          <w:szCs w:val="24"/>
        </w:rPr>
        <w:t xml:space="preserve"> </w:t>
      </w:r>
      <w:r w:rsidRPr="00A52E57">
        <w:rPr>
          <w:rFonts w:ascii="Times New Roman" w:hAnsi="Times New Roman" w:cs="Times New Roman"/>
          <w:sz w:val="24"/>
          <w:szCs w:val="24"/>
        </w:rPr>
        <w:t>shorelines by binding sediments, thereby reducing erosion and mitigating storm surge impacts</w:t>
      </w:r>
      <w:r w:rsidR="00CA0A64">
        <w:rPr>
          <w:rFonts w:ascii="Times New Roman" w:hAnsi="Times New Roman" w:cs="Times New Roman"/>
          <w:sz w:val="24"/>
          <w:szCs w:val="24"/>
        </w:rPr>
        <w:t xml:space="preserve"> </w:t>
      </w:r>
      <w:r w:rsidR="00CA0A64" w:rsidRPr="000F6DD7">
        <w:rPr>
          <w:rFonts w:ascii="Times New Roman" w:hAnsi="Times New Roman" w:cs="Times New Roman"/>
          <w:sz w:val="24"/>
          <w:szCs w:val="24"/>
          <w:highlight w:val="yellow"/>
        </w:rPr>
        <w:t>(</w:t>
      </w:r>
      <w:r w:rsidR="00CA0A64" w:rsidRPr="000F6DD7">
        <w:rPr>
          <w:rFonts w:ascii="Times New Roman" w:hAnsi="Times New Roman" w:cs="Times New Roman"/>
          <w:sz w:val="24"/>
          <w:szCs w:val="24"/>
          <w:highlight w:val="yellow"/>
        </w:rPr>
        <w:t>Jariah</w:t>
      </w:r>
      <w:r w:rsidR="00CA0A64" w:rsidRPr="000F6DD7">
        <w:rPr>
          <w:rFonts w:ascii="Times New Roman" w:hAnsi="Times New Roman" w:cs="Times New Roman"/>
          <w:sz w:val="24"/>
          <w:szCs w:val="24"/>
          <w:highlight w:val="yellow"/>
        </w:rPr>
        <w:t xml:space="preserve"> et al., 2024)</w:t>
      </w:r>
      <w:r w:rsidRPr="000F6DD7">
        <w:rPr>
          <w:rFonts w:ascii="Times New Roman" w:hAnsi="Times New Roman" w:cs="Times New Roman"/>
          <w:sz w:val="24"/>
          <w:szCs w:val="24"/>
          <w:highlight w:val="yellow"/>
        </w:rPr>
        <w:t>.</w:t>
      </w:r>
      <w:r w:rsidRPr="00A52E57">
        <w:rPr>
          <w:rFonts w:ascii="Times New Roman" w:hAnsi="Times New Roman" w:cs="Times New Roman"/>
          <w:sz w:val="24"/>
          <w:szCs w:val="24"/>
        </w:rPr>
        <w:t xml:space="preserve"> The protective role of mangroves has been demonstrated empirically, such as during the 1999 Odisha super-cyclone in India, where mortality rates were significantly lower in villages protected by intact mangroves compared to those lacking this buffer (Das &amp; Vincent, 2009). Hydrodynamic studies confirm that mangroves reduce wave energy by approximately 50% within the first 100 m of forest, with efficiency depending on species composition and root density (Mazda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2006; Horstman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2014). Beyond protection, mangroves function as nurseries for juvenile fish, shrimp, </w:t>
      </w:r>
      <w:r w:rsidRPr="000F6DD7">
        <w:rPr>
          <w:rFonts w:ascii="Times New Roman" w:hAnsi="Times New Roman" w:cs="Times New Roman"/>
          <w:sz w:val="24"/>
          <w:szCs w:val="24"/>
          <w:highlight w:val="yellow"/>
        </w:rPr>
        <w:t xml:space="preserve">and </w:t>
      </w:r>
      <w:proofErr w:type="spellStart"/>
      <w:r w:rsidR="005A79C1" w:rsidRPr="000F6DD7">
        <w:rPr>
          <w:rFonts w:ascii="Times New Roman" w:hAnsi="Times New Roman" w:cs="Times New Roman"/>
          <w:sz w:val="24"/>
          <w:szCs w:val="24"/>
          <w:highlight w:val="yellow"/>
        </w:rPr>
        <w:t>molluscs</w:t>
      </w:r>
      <w:proofErr w:type="spellEnd"/>
      <w:r w:rsidRPr="000F6DD7">
        <w:rPr>
          <w:rFonts w:ascii="Times New Roman" w:hAnsi="Times New Roman" w:cs="Times New Roman"/>
          <w:sz w:val="24"/>
          <w:szCs w:val="24"/>
          <w:highlight w:val="yellow"/>
        </w:rPr>
        <w:t>, sustaining</w:t>
      </w:r>
      <w:r w:rsidRPr="00A52E57">
        <w:rPr>
          <w:rFonts w:ascii="Times New Roman" w:hAnsi="Times New Roman" w:cs="Times New Roman"/>
          <w:sz w:val="24"/>
          <w:szCs w:val="24"/>
        </w:rPr>
        <w:t xml:space="preserve"> coastal fisheries and ensuring food security for millions of people (Nagelkerken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w:t>
      </w:r>
    </w:p>
    <w:p w14:paraId="681C4457" w14:textId="2B632FE4"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Equally important are their biogeochemical functions. Mangroves are among the most carbon-rich ecosystems on Earth, with mean ecosystem carbon stocks exceeding 1,000 Mg C ha⁻¹, of which soils account for up to 98% (Donato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2011). Alongi </w:t>
      </w:r>
      <w:r w:rsidRPr="00A52E57">
        <w:rPr>
          <w:rFonts w:ascii="Times New Roman" w:hAnsi="Times New Roman" w:cs="Times New Roman"/>
          <w:sz w:val="24"/>
          <w:szCs w:val="24"/>
        </w:rPr>
        <w:lastRenderedPageBreak/>
        <w:t xml:space="preserve">(2014) estimated global mangrove burial of approximately 24 Tg C yr⁻¹, despite mangroves occupying less than 1% of coastal zones. Destruction of these ecosystems results in significant greenhouse gas emissions, with 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 projecting cumulative losses of 2.4–3.4 Pg CO₂-eq by 2100 if deforestation persists.</w:t>
      </w:r>
    </w:p>
    <w:p w14:paraId="1F76A2E9" w14:textId="181AEC1F"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Despite their ecological and climatic importance, mangroves have undergone extensive degradation. </w:t>
      </w:r>
      <w:r w:rsidR="00472E9E" w:rsidRPr="000F6DD7">
        <w:rPr>
          <w:rFonts w:ascii="Times New Roman" w:hAnsi="Times New Roman" w:cs="Times New Roman"/>
          <w:sz w:val="24"/>
          <w:szCs w:val="24"/>
          <w:highlight w:val="yellow"/>
        </w:rPr>
        <w:t xml:space="preserve">Coastal mangrove forests are at particular risk of climate change impacts beyond </w:t>
      </w:r>
      <w:r w:rsidR="00472E9E" w:rsidRPr="000F6DD7">
        <w:rPr>
          <w:rFonts w:ascii="Times New Roman" w:hAnsi="Times New Roman" w:cs="Times New Roman"/>
          <w:sz w:val="24"/>
          <w:szCs w:val="24"/>
          <w:highlight w:val="yellow"/>
        </w:rPr>
        <w:t xml:space="preserve">2 </w:t>
      </w:r>
      <w:r w:rsidR="00472E9E" w:rsidRPr="000F6DD7">
        <w:rPr>
          <w:rFonts w:ascii="Times New Roman" w:hAnsi="Times New Roman" w:cs="Times New Roman"/>
          <w:sz w:val="24"/>
          <w:szCs w:val="24"/>
          <w:highlight w:val="yellow"/>
        </w:rPr>
        <w:t>°C</w:t>
      </w:r>
      <w:r w:rsidR="00472E9E" w:rsidRPr="000F6DD7">
        <w:rPr>
          <w:rFonts w:ascii="Times New Roman" w:hAnsi="Times New Roman" w:cs="Times New Roman"/>
          <w:sz w:val="24"/>
          <w:szCs w:val="24"/>
          <w:highlight w:val="yellow"/>
        </w:rPr>
        <w:t xml:space="preserve"> </w:t>
      </w:r>
      <w:r w:rsidR="00472E9E" w:rsidRPr="000F6DD7">
        <w:rPr>
          <w:rFonts w:ascii="Times New Roman" w:hAnsi="Times New Roman" w:cs="Times New Roman"/>
          <w:sz w:val="24"/>
          <w:szCs w:val="24"/>
          <w:highlight w:val="yellow"/>
        </w:rPr>
        <w:t xml:space="preserve">warming. </w:t>
      </w:r>
      <w:r w:rsidR="00472E9E" w:rsidRPr="000F6DD7">
        <w:rPr>
          <w:rFonts w:ascii="Times New Roman" w:hAnsi="Times New Roman" w:cs="Times New Roman"/>
          <w:sz w:val="24"/>
          <w:szCs w:val="24"/>
          <w:highlight w:val="yellow"/>
        </w:rPr>
        <w:t>Their</w:t>
      </w:r>
      <w:r w:rsidR="00472E9E" w:rsidRPr="000F6DD7">
        <w:rPr>
          <w:rFonts w:ascii="Times New Roman" w:hAnsi="Times New Roman" w:cs="Times New Roman"/>
          <w:sz w:val="24"/>
          <w:szCs w:val="24"/>
          <w:highlight w:val="yellow"/>
        </w:rPr>
        <w:t xml:space="preserve"> predominantly tropical and sub-tropical distribution overlaps with areas of the planet that are expected to face some of the worst impacts of climate change</w:t>
      </w:r>
      <w:r w:rsidR="00472E9E" w:rsidRPr="000F6DD7">
        <w:rPr>
          <w:rFonts w:ascii="Times New Roman" w:hAnsi="Times New Roman" w:cs="Times New Roman"/>
          <w:sz w:val="24"/>
          <w:szCs w:val="24"/>
          <w:highlight w:val="yellow"/>
        </w:rPr>
        <w:t xml:space="preserve"> (</w:t>
      </w:r>
      <w:r w:rsidR="00472E9E" w:rsidRPr="00472E9E">
        <w:rPr>
          <w:rFonts w:ascii="Times New Roman" w:hAnsi="Times New Roman" w:cs="Times New Roman"/>
          <w:sz w:val="24"/>
          <w:szCs w:val="24"/>
          <w:highlight w:val="yellow"/>
        </w:rPr>
        <w:t>Friess</w:t>
      </w:r>
      <w:r w:rsidR="00472E9E">
        <w:rPr>
          <w:rFonts w:ascii="Times New Roman" w:hAnsi="Times New Roman" w:cs="Times New Roman"/>
          <w:sz w:val="24"/>
          <w:szCs w:val="24"/>
          <w:highlight w:val="yellow"/>
        </w:rPr>
        <w:t xml:space="preserve"> et al., 2022</w:t>
      </w:r>
      <w:r w:rsidR="00472E9E" w:rsidRPr="000F6DD7">
        <w:rPr>
          <w:rFonts w:ascii="Times New Roman" w:hAnsi="Times New Roman" w:cs="Times New Roman"/>
          <w:sz w:val="24"/>
          <w:szCs w:val="24"/>
          <w:highlight w:val="yellow"/>
        </w:rPr>
        <w:t>).</w:t>
      </w:r>
      <w:r w:rsidR="00472E9E">
        <w:rPr>
          <w:rFonts w:ascii="Times New Roman" w:hAnsi="Times New Roman" w:cs="Times New Roman"/>
          <w:sz w:val="24"/>
          <w:szCs w:val="24"/>
        </w:rPr>
        <w:t xml:space="preserve"> </w:t>
      </w:r>
      <w:r w:rsidRPr="00A52E57">
        <w:rPr>
          <w:rFonts w:ascii="Times New Roman" w:hAnsi="Times New Roman" w:cs="Times New Roman"/>
          <w:sz w:val="24"/>
          <w:szCs w:val="24"/>
        </w:rPr>
        <w:t xml:space="preserve">Between the mid-20th century and the early 2000s, global mangrove cover declined rapidly due to aquaculture expansion, agricultural conversion, and urban development (Hamilton &amp; Casey, 2016; Richards &amp; Friess, 2016). Southeast Asia alone accounted for nearly 30% of global losses during 2000–2012, driven largely by shrimp aquaculture and rice cultivation. However, recent evidence suggests a slowing of losses and </w:t>
      </w:r>
      <w:proofErr w:type="spellStart"/>
      <w:r w:rsidR="005A79C1" w:rsidRPr="000F6DD7">
        <w:rPr>
          <w:rFonts w:ascii="Times New Roman" w:hAnsi="Times New Roman" w:cs="Times New Roman"/>
          <w:sz w:val="24"/>
          <w:szCs w:val="24"/>
          <w:highlight w:val="yellow"/>
        </w:rPr>
        <w:t>localised</w:t>
      </w:r>
      <w:proofErr w:type="spellEnd"/>
      <w:r w:rsidR="005A79C1" w:rsidRPr="00A52E57">
        <w:rPr>
          <w:rFonts w:ascii="Times New Roman" w:hAnsi="Times New Roman" w:cs="Times New Roman"/>
          <w:sz w:val="24"/>
          <w:szCs w:val="24"/>
        </w:rPr>
        <w:t xml:space="preserve"> </w:t>
      </w:r>
      <w:r w:rsidRPr="00A52E57">
        <w:rPr>
          <w:rFonts w:ascii="Times New Roman" w:hAnsi="Times New Roman" w:cs="Times New Roman"/>
          <w:sz w:val="24"/>
          <w:szCs w:val="24"/>
        </w:rPr>
        <w:t xml:space="preserve">recovery, coinciding with stronger protection measures, ecological restoration, and improved awareness of their climate role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25548E4D" w14:textId="5BE11290"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advent of high-resolution remote sensing </w:t>
      </w:r>
      <w:r w:rsidRPr="000F6DD7">
        <w:rPr>
          <w:rFonts w:ascii="Times New Roman" w:hAnsi="Times New Roman" w:cs="Times New Roman"/>
          <w:sz w:val="24"/>
          <w:szCs w:val="24"/>
          <w:highlight w:val="yellow"/>
        </w:rPr>
        <w:t xml:space="preserve">has </w:t>
      </w:r>
      <w:proofErr w:type="spellStart"/>
      <w:r w:rsidR="005A79C1" w:rsidRPr="000F6DD7">
        <w:rPr>
          <w:rFonts w:ascii="Times New Roman" w:hAnsi="Times New Roman" w:cs="Times New Roman"/>
          <w:sz w:val="24"/>
          <w:szCs w:val="24"/>
          <w:highlight w:val="yellow"/>
        </w:rPr>
        <w:t>revolutionised</w:t>
      </w:r>
      <w:proofErr w:type="spellEnd"/>
      <w:r w:rsidR="005A79C1" w:rsidRPr="00A52E57">
        <w:rPr>
          <w:rFonts w:ascii="Times New Roman" w:hAnsi="Times New Roman" w:cs="Times New Roman"/>
          <w:sz w:val="24"/>
          <w:szCs w:val="24"/>
        </w:rPr>
        <w:t xml:space="preserve"> </w:t>
      </w:r>
      <w:r w:rsidRPr="00A52E57">
        <w:rPr>
          <w:rFonts w:ascii="Times New Roman" w:hAnsi="Times New Roman" w:cs="Times New Roman"/>
          <w:sz w:val="24"/>
          <w:szCs w:val="24"/>
        </w:rPr>
        <w:t xml:space="preserve">mangrove monitoring. The Global Mangrove Watch (GMW v3.0) dataset provides long-term global coverage from 1996 to 2020, while the High-resolution Global Mangrove Forest map (HGMF_2020) derived from Sentinel-2 offers unprecedented 10 m resolution (Bunting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2022;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2023). These datasets form the empirical basis for much of our current understanding of global and regional mangrove dynamics.</w:t>
      </w:r>
    </w:p>
    <w:p w14:paraId="3D612FDA"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Global Distribution and Recent Change</w:t>
      </w:r>
    </w:p>
    <w:p w14:paraId="54758839" w14:textId="51E65F70"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are distributed unevenly across the tropics, with strong concentrations in Southeast Asia, northern South America, West Africa, and northern Australia. According to GMW v3.0, global mangrove cover declined from 152,604 km² in 1996 to 147,359 km² in 2020, reflecting a 3.4% net loss (Bunting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2022). Losses were most pronounced between 1996 and 2010, when </w:t>
      </w:r>
      <w:r w:rsidR="005A79C1" w:rsidRPr="000F6DD7">
        <w:rPr>
          <w:rFonts w:ascii="Times New Roman" w:hAnsi="Times New Roman" w:cs="Times New Roman"/>
          <w:sz w:val="24"/>
          <w:szCs w:val="24"/>
          <w:highlight w:val="yellow"/>
        </w:rPr>
        <w:t>the</w:t>
      </w:r>
      <w:r w:rsidR="005A79C1">
        <w:rPr>
          <w:rFonts w:ascii="Times New Roman" w:hAnsi="Times New Roman" w:cs="Times New Roman"/>
          <w:sz w:val="24"/>
          <w:szCs w:val="24"/>
        </w:rPr>
        <w:t xml:space="preserve"> </w:t>
      </w:r>
      <w:r w:rsidRPr="00A52E57">
        <w:rPr>
          <w:rFonts w:ascii="Times New Roman" w:hAnsi="Times New Roman" w:cs="Times New Roman"/>
          <w:sz w:val="24"/>
          <w:szCs w:val="24"/>
        </w:rPr>
        <w:t xml:space="preserve">extent dropped to 140,260 km², coinciding </w:t>
      </w:r>
      <w:r w:rsidRPr="00A52E57">
        <w:rPr>
          <w:rFonts w:ascii="Times New Roman" w:hAnsi="Times New Roman" w:cs="Times New Roman"/>
          <w:sz w:val="24"/>
          <w:szCs w:val="24"/>
        </w:rPr>
        <w:lastRenderedPageBreak/>
        <w:t xml:space="preserve">with rapid aquaculture development. However, partial recovery by 2020 demonstrates that </w:t>
      </w:r>
      <w:proofErr w:type="spellStart"/>
      <w:r w:rsidR="005A79C1" w:rsidRPr="000F6DD7">
        <w:rPr>
          <w:rFonts w:ascii="Times New Roman" w:hAnsi="Times New Roman" w:cs="Times New Roman"/>
          <w:sz w:val="24"/>
          <w:szCs w:val="24"/>
          <w:highlight w:val="yellow"/>
        </w:rPr>
        <w:t>stabilisation</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is</w:t>
      </w:r>
      <w:r w:rsidRPr="00A52E57">
        <w:rPr>
          <w:rFonts w:ascii="Times New Roman" w:hAnsi="Times New Roman" w:cs="Times New Roman"/>
          <w:sz w:val="24"/>
          <w:szCs w:val="24"/>
        </w:rPr>
        <w:t xml:space="preserve"> possible when policy and ecological conditions are </w:t>
      </w:r>
      <w:proofErr w:type="spellStart"/>
      <w:r w:rsidR="005A79C1" w:rsidRPr="000F6DD7">
        <w:rPr>
          <w:rFonts w:ascii="Times New Roman" w:hAnsi="Times New Roman" w:cs="Times New Roman"/>
          <w:sz w:val="24"/>
          <w:szCs w:val="24"/>
          <w:highlight w:val="yellow"/>
        </w:rPr>
        <w:t>favourable</w:t>
      </w:r>
      <w:proofErr w:type="spellEnd"/>
      <w:r w:rsidRPr="000F6DD7">
        <w:rPr>
          <w:rFonts w:ascii="Times New Roman" w:hAnsi="Times New Roman" w:cs="Times New Roman"/>
          <w:sz w:val="24"/>
          <w:szCs w:val="24"/>
          <w:highlight w:val="yellow"/>
        </w:rPr>
        <w:t>.</w:t>
      </w:r>
    </w:p>
    <w:p w14:paraId="3BF7DE3B" w14:textId="2055E24D"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HGMF_2020 dataset corroborates these findings, reporting 145,068 km² in 2020 and </w:t>
      </w:r>
      <w:proofErr w:type="spellStart"/>
      <w:r w:rsidR="005A79C1" w:rsidRPr="000F6DD7">
        <w:rPr>
          <w:rFonts w:ascii="Times New Roman" w:hAnsi="Times New Roman" w:cs="Times New Roman"/>
          <w:sz w:val="24"/>
          <w:szCs w:val="24"/>
          <w:highlight w:val="yellow"/>
        </w:rPr>
        <w:t>emphasising</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Asia’s</w:t>
      </w:r>
      <w:r w:rsidRPr="00A52E57">
        <w:rPr>
          <w:rFonts w:ascii="Times New Roman" w:hAnsi="Times New Roman" w:cs="Times New Roman"/>
          <w:sz w:val="24"/>
          <w:szCs w:val="24"/>
        </w:rPr>
        <w:t xml:space="preserve"> dominance, which accounts for 39.2% of global mangroves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2023). Table 1 </w:t>
      </w:r>
      <w:proofErr w:type="spellStart"/>
      <w:r w:rsidR="005A79C1" w:rsidRPr="000F6DD7">
        <w:rPr>
          <w:rFonts w:ascii="Times New Roman" w:hAnsi="Times New Roman" w:cs="Times New Roman"/>
          <w:sz w:val="24"/>
          <w:szCs w:val="24"/>
          <w:highlight w:val="yellow"/>
        </w:rPr>
        <w:t>summarises</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global extent</w:t>
      </w:r>
      <w:r w:rsidRPr="00A52E57">
        <w:rPr>
          <w:rFonts w:ascii="Times New Roman" w:hAnsi="Times New Roman" w:cs="Times New Roman"/>
          <w:sz w:val="24"/>
          <w:szCs w:val="24"/>
        </w:rPr>
        <w:t xml:space="preserve"> across datasets, while Figure 1 depicts the temporal trajectory of loss and recovery. Figure 2 compares extent estimates for 2020 across GMW and HGMF, highlighting the robustness of independent datasets.</w:t>
      </w:r>
    </w:p>
    <w:p w14:paraId="2F154A03" w14:textId="6E53C9FF" w:rsidR="00A52E57" w:rsidRP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Table 1. Global mangrove extent across datasets, 1996–2020</w:t>
      </w:r>
    </w:p>
    <w:tbl>
      <w:tblPr>
        <w:tblStyle w:val="TableGrid"/>
        <w:tblW w:w="0" w:type="auto"/>
        <w:jc w:val="center"/>
        <w:tblLook w:val="04A0" w:firstRow="1" w:lastRow="0" w:firstColumn="1" w:lastColumn="0" w:noHBand="0" w:noVBand="1"/>
      </w:tblPr>
      <w:tblGrid>
        <w:gridCol w:w="1510"/>
        <w:gridCol w:w="976"/>
        <w:gridCol w:w="1522"/>
        <w:gridCol w:w="3635"/>
      </w:tblGrid>
      <w:tr w:rsidR="00A52E57" w:rsidRPr="00A52E57" w14:paraId="2914E65F" w14:textId="77777777" w:rsidTr="00A52E57">
        <w:trPr>
          <w:jc w:val="center"/>
        </w:trPr>
        <w:tc>
          <w:tcPr>
            <w:tcW w:w="0" w:type="auto"/>
            <w:hideMark/>
          </w:tcPr>
          <w:p w14:paraId="5EC520FE"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Dataset</w:t>
            </w:r>
          </w:p>
        </w:tc>
        <w:tc>
          <w:tcPr>
            <w:tcW w:w="0" w:type="auto"/>
            <w:hideMark/>
          </w:tcPr>
          <w:p w14:paraId="4B8F8A30"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Year(s)</w:t>
            </w:r>
          </w:p>
        </w:tc>
        <w:tc>
          <w:tcPr>
            <w:tcW w:w="0" w:type="auto"/>
            <w:hideMark/>
          </w:tcPr>
          <w:p w14:paraId="5CB52C14"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Extent (km²)</w:t>
            </w:r>
          </w:p>
        </w:tc>
        <w:tc>
          <w:tcPr>
            <w:tcW w:w="0" w:type="auto"/>
            <w:hideMark/>
          </w:tcPr>
          <w:p w14:paraId="2D68D089"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Notes</w:t>
            </w:r>
          </w:p>
        </w:tc>
      </w:tr>
      <w:tr w:rsidR="00A52E57" w:rsidRPr="00A52E57" w14:paraId="2F4AFE76" w14:textId="77777777" w:rsidTr="00A52E57">
        <w:trPr>
          <w:jc w:val="center"/>
        </w:trPr>
        <w:tc>
          <w:tcPr>
            <w:tcW w:w="0" w:type="auto"/>
            <w:hideMark/>
          </w:tcPr>
          <w:p w14:paraId="21D692BF"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3FC860C2"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1996</w:t>
            </w:r>
          </w:p>
        </w:tc>
        <w:tc>
          <w:tcPr>
            <w:tcW w:w="0" w:type="auto"/>
            <w:hideMark/>
          </w:tcPr>
          <w:p w14:paraId="0534D53C"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152,604</w:t>
            </w:r>
          </w:p>
        </w:tc>
        <w:tc>
          <w:tcPr>
            <w:tcW w:w="0" w:type="auto"/>
            <w:hideMark/>
          </w:tcPr>
          <w:p w14:paraId="56E521B5"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Global SAR baseline</w:t>
            </w:r>
          </w:p>
        </w:tc>
      </w:tr>
      <w:tr w:rsidR="00A52E57" w:rsidRPr="00A52E57" w14:paraId="74AB048C" w14:textId="77777777" w:rsidTr="00A52E57">
        <w:trPr>
          <w:jc w:val="center"/>
        </w:trPr>
        <w:tc>
          <w:tcPr>
            <w:tcW w:w="0" w:type="auto"/>
            <w:hideMark/>
          </w:tcPr>
          <w:p w14:paraId="6B10C94F"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7E07D0BC"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2010</w:t>
            </w:r>
          </w:p>
        </w:tc>
        <w:tc>
          <w:tcPr>
            <w:tcW w:w="0" w:type="auto"/>
            <w:hideMark/>
          </w:tcPr>
          <w:p w14:paraId="0CDFB203"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140,260</w:t>
            </w:r>
          </w:p>
        </w:tc>
        <w:tc>
          <w:tcPr>
            <w:tcW w:w="0" w:type="auto"/>
            <w:hideMark/>
          </w:tcPr>
          <w:p w14:paraId="7CBCDE59"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Peak of aquaculture-driven loss</w:t>
            </w:r>
          </w:p>
        </w:tc>
      </w:tr>
      <w:tr w:rsidR="00A52E57" w:rsidRPr="00A52E57" w14:paraId="328651C5" w14:textId="77777777" w:rsidTr="00A52E57">
        <w:trPr>
          <w:jc w:val="center"/>
        </w:trPr>
        <w:tc>
          <w:tcPr>
            <w:tcW w:w="0" w:type="auto"/>
            <w:hideMark/>
          </w:tcPr>
          <w:p w14:paraId="5FDA77C0"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5B30FB8E"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2020</w:t>
            </w:r>
          </w:p>
        </w:tc>
        <w:tc>
          <w:tcPr>
            <w:tcW w:w="0" w:type="auto"/>
            <w:hideMark/>
          </w:tcPr>
          <w:p w14:paraId="012F6BA1"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147,359</w:t>
            </w:r>
          </w:p>
        </w:tc>
        <w:tc>
          <w:tcPr>
            <w:tcW w:w="0" w:type="auto"/>
            <w:hideMark/>
          </w:tcPr>
          <w:p w14:paraId="1340A854" w14:textId="767EDA38" w:rsidR="00A52E57" w:rsidRPr="00A52E57" w:rsidRDefault="005A79C1" w:rsidP="00A52E57">
            <w:pPr>
              <w:spacing w:after="200" w:line="360" w:lineRule="auto"/>
              <w:rPr>
                <w:rFonts w:ascii="Times New Roman" w:hAnsi="Times New Roman" w:cs="Times New Roman"/>
                <w:sz w:val="24"/>
                <w:szCs w:val="24"/>
              </w:rPr>
            </w:pPr>
            <w:proofErr w:type="spellStart"/>
            <w:r w:rsidRPr="000F6DD7">
              <w:rPr>
                <w:rFonts w:ascii="Times New Roman" w:hAnsi="Times New Roman" w:cs="Times New Roman"/>
                <w:sz w:val="24"/>
                <w:szCs w:val="24"/>
                <w:highlight w:val="yellow"/>
              </w:rPr>
              <w:t>Stabilisation</w:t>
            </w:r>
            <w:proofErr w:type="spellEnd"/>
            <w:r w:rsidRPr="000F6DD7">
              <w:rPr>
                <w:rFonts w:ascii="Times New Roman" w:hAnsi="Times New Roman" w:cs="Times New Roman"/>
                <w:sz w:val="24"/>
                <w:szCs w:val="24"/>
                <w:highlight w:val="yellow"/>
              </w:rPr>
              <w:t xml:space="preserve"> </w:t>
            </w:r>
            <w:r w:rsidR="00A52E57" w:rsidRPr="000F6DD7">
              <w:rPr>
                <w:rFonts w:ascii="Times New Roman" w:hAnsi="Times New Roman" w:cs="Times New Roman"/>
                <w:sz w:val="24"/>
                <w:szCs w:val="24"/>
                <w:highlight w:val="yellow"/>
              </w:rPr>
              <w:t xml:space="preserve">and </w:t>
            </w:r>
            <w:proofErr w:type="spellStart"/>
            <w:r w:rsidRPr="000F6DD7">
              <w:rPr>
                <w:rFonts w:ascii="Times New Roman" w:hAnsi="Times New Roman" w:cs="Times New Roman"/>
                <w:sz w:val="24"/>
                <w:szCs w:val="24"/>
                <w:highlight w:val="yellow"/>
              </w:rPr>
              <w:t>localised</w:t>
            </w:r>
            <w:proofErr w:type="spellEnd"/>
            <w:r w:rsidRPr="00A52E57">
              <w:rPr>
                <w:rFonts w:ascii="Times New Roman" w:hAnsi="Times New Roman" w:cs="Times New Roman"/>
                <w:sz w:val="24"/>
                <w:szCs w:val="24"/>
              </w:rPr>
              <w:t xml:space="preserve"> </w:t>
            </w:r>
            <w:r w:rsidR="00A52E57" w:rsidRPr="00A52E57">
              <w:rPr>
                <w:rFonts w:ascii="Times New Roman" w:hAnsi="Times New Roman" w:cs="Times New Roman"/>
                <w:sz w:val="24"/>
                <w:szCs w:val="24"/>
              </w:rPr>
              <w:t>recovery</w:t>
            </w:r>
          </w:p>
        </w:tc>
      </w:tr>
      <w:tr w:rsidR="00A52E57" w:rsidRPr="00A52E57" w14:paraId="69AB8AA1" w14:textId="77777777" w:rsidTr="00A52E57">
        <w:trPr>
          <w:jc w:val="center"/>
        </w:trPr>
        <w:tc>
          <w:tcPr>
            <w:tcW w:w="0" w:type="auto"/>
            <w:hideMark/>
          </w:tcPr>
          <w:p w14:paraId="65FBBAD5"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HGMF_2020</w:t>
            </w:r>
          </w:p>
        </w:tc>
        <w:tc>
          <w:tcPr>
            <w:tcW w:w="0" w:type="auto"/>
            <w:hideMark/>
          </w:tcPr>
          <w:p w14:paraId="053B71C9"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2020</w:t>
            </w:r>
          </w:p>
        </w:tc>
        <w:tc>
          <w:tcPr>
            <w:tcW w:w="0" w:type="auto"/>
            <w:hideMark/>
          </w:tcPr>
          <w:p w14:paraId="5488D322"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145,068</w:t>
            </w:r>
          </w:p>
        </w:tc>
        <w:tc>
          <w:tcPr>
            <w:tcW w:w="0" w:type="auto"/>
            <w:hideMark/>
          </w:tcPr>
          <w:p w14:paraId="20189226"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Sentinel-2, 10 m resolution</w:t>
            </w:r>
          </w:p>
        </w:tc>
      </w:tr>
    </w:tbl>
    <w:p w14:paraId="1CF2F49C" w14:textId="77777777" w:rsidR="00CA5F7D" w:rsidRDefault="00CA5F7D" w:rsidP="00FE2202">
      <w:pPr>
        <w:spacing w:line="360" w:lineRule="auto"/>
        <w:jc w:val="center"/>
        <w:rPr>
          <w:rFonts w:ascii="Times New Roman" w:hAnsi="Times New Roman" w:cs="Times New Roman"/>
          <w:b/>
          <w:bCs/>
          <w:sz w:val="24"/>
          <w:szCs w:val="24"/>
        </w:rPr>
      </w:pPr>
    </w:p>
    <w:p w14:paraId="72A6B42D" w14:textId="1D8F4912" w:rsidR="00FE2202" w:rsidRDefault="00FE2202" w:rsidP="00FE2202">
      <w:pPr>
        <w:spacing w:line="360" w:lineRule="auto"/>
        <w:jc w:val="center"/>
        <w:rPr>
          <w:rFonts w:ascii="Times New Roman" w:hAnsi="Times New Roman" w:cs="Times New Roman"/>
          <w:b/>
          <w:bCs/>
          <w:sz w:val="24"/>
          <w:szCs w:val="24"/>
        </w:rPr>
      </w:pPr>
      <w:r w:rsidRPr="00FE2202">
        <w:rPr>
          <w:rFonts w:ascii="Times New Roman" w:hAnsi="Times New Roman" w:cs="Times New Roman"/>
          <w:b/>
          <w:bCs/>
          <w:noProof/>
          <w:sz w:val="24"/>
          <w:szCs w:val="24"/>
          <w:lang w:val="en-IN" w:eastAsia="en-IN" w:bidi="ta-IN"/>
        </w:rPr>
        <w:drawing>
          <wp:inline distT="0" distB="0" distL="0" distR="0" wp14:anchorId="311E4E18" wp14:editId="26F9026D">
            <wp:extent cx="4523105" cy="3215497"/>
            <wp:effectExtent l="0" t="0" r="0" b="4445"/>
            <wp:docPr id="182694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8">
                      <a:extLst>
                        <a:ext uri="{28A0092B-C50C-407E-A947-70E740481C1C}">
                          <a14:useLocalDpi xmlns:a14="http://schemas.microsoft.com/office/drawing/2010/main" val="0"/>
                        </a:ext>
                      </a:extLst>
                    </a:blip>
                    <a:srcRect t="5168"/>
                    <a:stretch>
                      <a:fillRect/>
                    </a:stretch>
                  </pic:blipFill>
                  <pic:spPr bwMode="auto">
                    <a:xfrm>
                      <a:off x="0" y="0"/>
                      <a:ext cx="4541138" cy="3228317"/>
                    </a:xfrm>
                    <a:prstGeom prst="rect">
                      <a:avLst/>
                    </a:prstGeom>
                    <a:noFill/>
                    <a:ln>
                      <a:noFill/>
                    </a:ln>
                    <a:extLst>
                      <a:ext uri="{53640926-AAD7-44D8-BBD7-CCE9431645EC}">
                        <a14:shadowObscured xmlns:a14="http://schemas.microsoft.com/office/drawing/2010/main"/>
                      </a:ext>
                    </a:extLst>
                  </pic:spPr>
                </pic:pic>
              </a:graphicData>
            </a:graphic>
          </wp:inline>
        </w:drawing>
      </w:r>
    </w:p>
    <w:p w14:paraId="7C9F3E4E" w14:textId="77777777" w:rsidR="00CA5F7D" w:rsidRDefault="00CA5F7D"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lastRenderedPageBreak/>
        <w:t>Figure 1. Global mangrove extent (1996–2020) from GMW v3.0.</w:t>
      </w:r>
    </w:p>
    <w:p w14:paraId="0D1AEB0E" w14:textId="77777777" w:rsidR="00CA5F7D" w:rsidRPr="00FE2202" w:rsidRDefault="00CA5F7D" w:rsidP="00FE2202">
      <w:pPr>
        <w:spacing w:line="360" w:lineRule="auto"/>
        <w:jc w:val="center"/>
        <w:rPr>
          <w:rFonts w:ascii="Times New Roman" w:hAnsi="Times New Roman" w:cs="Times New Roman"/>
          <w:b/>
          <w:bCs/>
          <w:sz w:val="24"/>
          <w:szCs w:val="24"/>
        </w:rPr>
      </w:pPr>
    </w:p>
    <w:p w14:paraId="532BB503" w14:textId="13462985" w:rsidR="00CA5F7D" w:rsidRDefault="00CA5F7D" w:rsidP="00CA5F7D">
      <w:pPr>
        <w:spacing w:line="360" w:lineRule="auto"/>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0E685258" wp14:editId="7D63B44B">
            <wp:extent cx="5486400" cy="3488690"/>
            <wp:effectExtent l="0" t="0" r="0" b="0"/>
            <wp:docPr id="2037729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9">
                      <a:extLst>
                        <a:ext uri="{28A0092B-C50C-407E-A947-70E740481C1C}">
                          <a14:useLocalDpi xmlns:a14="http://schemas.microsoft.com/office/drawing/2010/main" val="0"/>
                        </a:ext>
                      </a:extLst>
                    </a:blip>
                    <a:srcRect t="7102"/>
                    <a:stretch>
                      <a:fillRect/>
                    </a:stretch>
                  </pic:blipFill>
                  <pic:spPr bwMode="auto">
                    <a:xfrm>
                      <a:off x="0" y="0"/>
                      <a:ext cx="5486400" cy="3488690"/>
                    </a:xfrm>
                    <a:prstGeom prst="rect">
                      <a:avLst/>
                    </a:prstGeom>
                    <a:noFill/>
                    <a:ln>
                      <a:noFill/>
                    </a:ln>
                    <a:extLst>
                      <a:ext uri="{53640926-AAD7-44D8-BBD7-CCE9431645EC}">
                        <a14:shadowObscured xmlns:a14="http://schemas.microsoft.com/office/drawing/2010/main"/>
                      </a:ext>
                    </a:extLst>
                  </pic:spPr>
                </pic:pic>
              </a:graphicData>
            </a:graphic>
          </wp:inline>
        </w:drawing>
      </w:r>
    </w:p>
    <w:p w14:paraId="40DDB78E" w14:textId="7B869D23" w:rsidR="00CA5F7D" w:rsidRDefault="00CA5F7D"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2. Comparison of global mangrove extent in 2020 across GMW v3.0 and HGMF_2020</w:t>
      </w:r>
    </w:p>
    <w:p w14:paraId="219D022B"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Regional Patterns and Top Countries</w:t>
      </w:r>
    </w:p>
    <w:p w14:paraId="1F68F1E8" w14:textId="2651631F"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Regional analyses reveal stark differences in extent, drivers, and trends. Asia is the global </w:t>
      </w:r>
      <w:proofErr w:type="spellStart"/>
      <w:r w:rsidR="005A79C1" w:rsidRPr="000F6DD7">
        <w:rPr>
          <w:rFonts w:ascii="Times New Roman" w:hAnsi="Times New Roman" w:cs="Times New Roman"/>
          <w:sz w:val="24"/>
          <w:szCs w:val="24"/>
          <w:highlight w:val="yellow"/>
        </w:rPr>
        <w:t>epicentre</w:t>
      </w:r>
      <w:proofErr w:type="spellEnd"/>
      <w:r w:rsidRPr="000F6DD7">
        <w:rPr>
          <w:rFonts w:ascii="Times New Roman" w:hAnsi="Times New Roman" w:cs="Times New Roman"/>
          <w:sz w:val="24"/>
          <w:szCs w:val="24"/>
          <w:highlight w:val="yellow"/>
        </w:rPr>
        <w:t>, hosting</w:t>
      </w:r>
      <w:r w:rsidRPr="00A52E57">
        <w:rPr>
          <w:rFonts w:ascii="Times New Roman" w:hAnsi="Times New Roman" w:cs="Times New Roman"/>
          <w:sz w:val="24"/>
          <w:szCs w:val="24"/>
        </w:rPr>
        <w:t xml:space="preserve"> approximately 39.2% of mangroves, with Indonesia alone contributing ~45,000 km², or one-third of the global total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2023). Brazil follows with ~13,000 km², concentrated along the Amazon estuary, while Australia supports ~10,000 km² along its northern coast. Nigeria and Mozambique represent Africa’s largest mangrove holders. Figure 3 shows regional contributions, </w:t>
      </w:r>
      <w:proofErr w:type="spellStart"/>
      <w:r w:rsidR="005A79C1" w:rsidRPr="000F6DD7">
        <w:rPr>
          <w:rFonts w:ascii="Times New Roman" w:hAnsi="Times New Roman" w:cs="Times New Roman"/>
          <w:sz w:val="24"/>
          <w:szCs w:val="24"/>
          <w:highlight w:val="yellow"/>
        </w:rPr>
        <w:t>emphasising</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Asia’s overwhelming</w:t>
      </w:r>
      <w:r w:rsidRPr="00A52E57">
        <w:rPr>
          <w:rFonts w:ascii="Times New Roman" w:hAnsi="Times New Roman" w:cs="Times New Roman"/>
          <w:sz w:val="24"/>
          <w:szCs w:val="24"/>
        </w:rPr>
        <w:t xml:space="preserve"> dominance</w:t>
      </w:r>
      <w:r w:rsidR="00872A03">
        <w:rPr>
          <w:rFonts w:ascii="Times New Roman" w:hAnsi="Times New Roman" w:cs="Times New Roman"/>
          <w:sz w:val="24"/>
          <w:szCs w:val="24"/>
        </w:rPr>
        <w:t>.</w:t>
      </w:r>
    </w:p>
    <w:p w14:paraId="1815134C" w14:textId="1B546804"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Losses remain concentrated in Southeast Asia, where aquaculture and rice agriculture continue to drive conversion (Richards </w:t>
      </w:r>
      <w:r w:rsidR="00872A03" w:rsidRPr="00872A03">
        <w:rPr>
          <w:rFonts w:ascii="Times New Roman" w:hAnsi="Times New Roman" w:cs="Times New Roman"/>
          <w:color w:val="000000" w:themeColor="text1"/>
          <w:sz w:val="24"/>
          <w:szCs w:val="24"/>
        </w:rPr>
        <w:t>and</w:t>
      </w:r>
      <w:r w:rsidR="00A373FB">
        <w:rPr>
          <w:rFonts w:ascii="Times New Roman" w:hAnsi="Times New Roman" w:cs="Times New Roman"/>
          <w:sz w:val="24"/>
          <w:szCs w:val="24"/>
        </w:rPr>
        <w:t xml:space="preserve"> </w:t>
      </w:r>
      <w:r w:rsidRPr="00A52E57">
        <w:rPr>
          <w:rFonts w:ascii="Times New Roman" w:hAnsi="Times New Roman" w:cs="Times New Roman"/>
          <w:sz w:val="24"/>
          <w:szCs w:val="24"/>
        </w:rPr>
        <w:t xml:space="preserve">Friess, 2016). By contrast, South America shows relative stability due to high sediment supply in the Amazon delta </w:t>
      </w:r>
      <w:r w:rsidRPr="00A52E57">
        <w:rPr>
          <w:rFonts w:ascii="Times New Roman" w:hAnsi="Times New Roman" w:cs="Times New Roman"/>
          <w:sz w:val="24"/>
          <w:szCs w:val="24"/>
        </w:rPr>
        <w:lastRenderedPageBreak/>
        <w:t xml:space="preserve">(Thomas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Africa exhibits </w:t>
      </w:r>
      <w:proofErr w:type="spellStart"/>
      <w:r w:rsidR="005A79C1" w:rsidRPr="000F6DD7">
        <w:rPr>
          <w:rFonts w:ascii="Times New Roman" w:hAnsi="Times New Roman" w:cs="Times New Roman"/>
          <w:sz w:val="24"/>
          <w:szCs w:val="24"/>
          <w:highlight w:val="yellow"/>
        </w:rPr>
        <w:t>localised</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degradation</w:t>
      </w:r>
      <w:r w:rsidRPr="00A52E57">
        <w:rPr>
          <w:rFonts w:ascii="Times New Roman" w:hAnsi="Times New Roman" w:cs="Times New Roman"/>
          <w:sz w:val="24"/>
          <w:szCs w:val="24"/>
        </w:rPr>
        <w:t xml:space="preserve"> from fuelwood harvesting, though community-based initiatives have emerged to counteract losses (Ward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2016). Oceania demonstrates general stability but episodic dieback linked to extreme drought, as documented in northern Australia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2346ACBD" w14:textId="49A83006" w:rsidR="00CA5F7D" w:rsidRPr="00CA5F7D" w:rsidRDefault="00CA5F7D" w:rsidP="00CA5F7D">
      <w:pPr>
        <w:spacing w:line="360" w:lineRule="auto"/>
        <w:ind w:firstLine="720"/>
        <w:jc w:val="both"/>
        <w:rPr>
          <w:rFonts w:ascii="Times New Roman" w:hAnsi="Times New Roman" w:cs="Times New Roman"/>
          <w:sz w:val="24"/>
          <w:szCs w:val="24"/>
        </w:rPr>
      </w:pPr>
      <w:r w:rsidRPr="00CA5F7D">
        <w:rPr>
          <w:rFonts w:ascii="Times New Roman" w:hAnsi="Times New Roman" w:cs="Times New Roman"/>
          <w:noProof/>
          <w:sz w:val="24"/>
          <w:szCs w:val="24"/>
          <w:lang w:val="en-IN" w:eastAsia="en-IN" w:bidi="ta-IN"/>
        </w:rPr>
        <w:drawing>
          <wp:inline distT="0" distB="0" distL="0" distR="0" wp14:anchorId="3082C184" wp14:editId="30163703">
            <wp:extent cx="5486400" cy="3611880"/>
            <wp:effectExtent l="0" t="0" r="0" b="7620"/>
            <wp:docPr id="625497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0">
                      <a:extLst>
                        <a:ext uri="{28A0092B-C50C-407E-A947-70E740481C1C}">
                          <a14:useLocalDpi xmlns:a14="http://schemas.microsoft.com/office/drawing/2010/main" val="0"/>
                        </a:ext>
                      </a:extLst>
                    </a:blip>
                    <a:srcRect t="11628" b="8496"/>
                    <a:stretch>
                      <a:fillRect/>
                    </a:stretch>
                  </pic:blipFill>
                  <pic:spPr bwMode="auto">
                    <a:xfrm>
                      <a:off x="0" y="0"/>
                      <a:ext cx="5486400"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7B91FF0E" w14:textId="2C7082BA" w:rsidR="00A52E57" w:rsidRDefault="00A52E57"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 xml:space="preserve">Figure 3. Regional share of mangroves in 2020 (Asia vs. </w:t>
      </w:r>
      <w:r w:rsidR="005A79C1" w:rsidRPr="000F6DD7">
        <w:rPr>
          <w:rFonts w:ascii="Times New Roman" w:hAnsi="Times New Roman" w:cs="Times New Roman"/>
          <w:b/>
          <w:bCs/>
          <w:i/>
          <w:iCs/>
          <w:sz w:val="24"/>
          <w:szCs w:val="24"/>
          <w:highlight w:val="yellow"/>
        </w:rPr>
        <w:t xml:space="preserve">the </w:t>
      </w:r>
      <w:r w:rsidRPr="000F6DD7">
        <w:rPr>
          <w:rFonts w:ascii="Times New Roman" w:hAnsi="Times New Roman" w:cs="Times New Roman"/>
          <w:b/>
          <w:bCs/>
          <w:i/>
          <w:iCs/>
          <w:sz w:val="24"/>
          <w:szCs w:val="24"/>
          <w:highlight w:val="yellow"/>
        </w:rPr>
        <w:t xml:space="preserve">rest of </w:t>
      </w:r>
      <w:r w:rsidR="005A79C1" w:rsidRPr="000F6DD7">
        <w:rPr>
          <w:rFonts w:ascii="Times New Roman" w:hAnsi="Times New Roman" w:cs="Times New Roman"/>
          <w:b/>
          <w:bCs/>
          <w:i/>
          <w:iCs/>
          <w:sz w:val="24"/>
          <w:szCs w:val="24"/>
          <w:highlight w:val="yellow"/>
        </w:rPr>
        <w:t xml:space="preserve">the </w:t>
      </w:r>
      <w:r w:rsidRPr="000F6DD7">
        <w:rPr>
          <w:rFonts w:ascii="Times New Roman" w:hAnsi="Times New Roman" w:cs="Times New Roman"/>
          <w:b/>
          <w:bCs/>
          <w:i/>
          <w:iCs/>
          <w:sz w:val="24"/>
          <w:szCs w:val="24"/>
          <w:highlight w:val="yellow"/>
        </w:rPr>
        <w:t>world</w:t>
      </w:r>
      <w:r w:rsidRPr="00A52E57">
        <w:rPr>
          <w:rFonts w:ascii="Times New Roman" w:hAnsi="Times New Roman" w:cs="Times New Roman"/>
          <w:b/>
          <w:bCs/>
          <w:i/>
          <w:iCs/>
          <w:sz w:val="24"/>
          <w:szCs w:val="24"/>
        </w:rPr>
        <w:t>) based on HGMF_2020.</w:t>
      </w:r>
    </w:p>
    <w:p w14:paraId="3E08AACD"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Ecosystem Services and Blue Carbon</w:t>
      </w:r>
    </w:p>
    <w:p w14:paraId="6D8D5489" w14:textId="10272D6F"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provide multiple ecosystem services that are disproportionately large relative to their area. In terms of carbon storage, 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(2011) quantified mean stocks at 1,023 Mg C ha⁻¹, with soils contributing 49–98%. Alongi (2014) estimated annual global burial rates of 24 Tg C, underscoring their global role in carbon cycling. Table 2 </w:t>
      </w:r>
      <w:proofErr w:type="spellStart"/>
      <w:r w:rsidR="005A79C1" w:rsidRPr="000F6DD7">
        <w:rPr>
          <w:rFonts w:ascii="Times New Roman" w:hAnsi="Times New Roman" w:cs="Times New Roman"/>
          <w:sz w:val="24"/>
          <w:szCs w:val="24"/>
          <w:highlight w:val="yellow"/>
        </w:rPr>
        <w:t>summarises</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key carbon</w:t>
      </w:r>
      <w:r w:rsidRPr="00A52E57">
        <w:rPr>
          <w:rFonts w:ascii="Times New Roman" w:hAnsi="Times New Roman" w:cs="Times New Roman"/>
          <w:sz w:val="24"/>
          <w:szCs w:val="24"/>
        </w:rPr>
        <w:t xml:space="preserve"> values, while Figure 4 illustrates mean carbon stocks across sites.</w:t>
      </w:r>
    </w:p>
    <w:p w14:paraId="61F0F258" w14:textId="7A680487" w:rsidR="00A52E57" w:rsidRP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Table 2. Mangrove carbon storage and sequestration</w:t>
      </w:r>
    </w:p>
    <w:tbl>
      <w:tblPr>
        <w:tblStyle w:val="TableGrid"/>
        <w:tblW w:w="0" w:type="auto"/>
        <w:jc w:val="center"/>
        <w:tblLook w:val="04A0" w:firstRow="1" w:lastRow="0" w:firstColumn="1" w:lastColumn="0" w:noHBand="0" w:noVBand="1"/>
      </w:tblPr>
      <w:tblGrid>
        <w:gridCol w:w="3089"/>
        <w:gridCol w:w="2022"/>
        <w:gridCol w:w="2063"/>
      </w:tblGrid>
      <w:tr w:rsidR="00A52E57" w:rsidRPr="00A52E57" w14:paraId="0DFCDBFE" w14:textId="77777777" w:rsidTr="00A52E57">
        <w:trPr>
          <w:jc w:val="center"/>
        </w:trPr>
        <w:tc>
          <w:tcPr>
            <w:tcW w:w="0" w:type="auto"/>
            <w:hideMark/>
          </w:tcPr>
          <w:p w14:paraId="738E0D6E"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lastRenderedPageBreak/>
              <w:t>Parameter</w:t>
            </w:r>
          </w:p>
        </w:tc>
        <w:tc>
          <w:tcPr>
            <w:tcW w:w="0" w:type="auto"/>
            <w:hideMark/>
          </w:tcPr>
          <w:p w14:paraId="2BA631A5"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Value</w:t>
            </w:r>
          </w:p>
        </w:tc>
        <w:tc>
          <w:tcPr>
            <w:tcW w:w="0" w:type="auto"/>
            <w:hideMark/>
          </w:tcPr>
          <w:p w14:paraId="21CB4403"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Source</w:t>
            </w:r>
          </w:p>
        </w:tc>
      </w:tr>
      <w:tr w:rsidR="00A52E57" w:rsidRPr="00A52E57" w14:paraId="78431216" w14:textId="77777777" w:rsidTr="00A52E57">
        <w:trPr>
          <w:jc w:val="center"/>
        </w:trPr>
        <w:tc>
          <w:tcPr>
            <w:tcW w:w="0" w:type="auto"/>
            <w:hideMark/>
          </w:tcPr>
          <w:p w14:paraId="38905BE4"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Mean carbon stock</w:t>
            </w:r>
          </w:p>
        </w:tc>
        <w:tc>
          <w:tcPr>
            <w:tcW w:w="0" w:type="auto"/>
            <w:hideMark/>
          </w:tcPr>
          <w:p w14:paraId="152211A6"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1,023 Mg C ha⁻¹</w:t>
            </w:r>
          </w:p>
        </w:tc>
        <w:tc>
          <w:tcPr>
            <w:tcW w:w="0" w:type="auto"/>
            <w:hideMark/>
          </w:tcPr>
          <w:p w14:paraId="570BBC49" w14:textId="4F01C626"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w:t>
            </w:r>
          </w:p>
        </w:tc>
      </w:tr>
      <w:tr w:rsidR="00A52E57" w:rsidRPr="00A52E57" w14:paraId="5B0F09AA" w14:textId="77777777" w:rsidTr="00A52E57">
        <w:trPr>
          <w:jc w:val="center"/>
        </w:trPr>
        <w:tc>
          <w:tcPr>
            <w:tcW w:w="0" w:type="auto"/>
            <w:hideMark/>
          </w:tcPr>
          <w:p w14:paraId="4019C077"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Soil contribution</w:t>
            </w:r>
          </w:p>
        </w:tc>
        <w:tc>
          <w:tcPr>
            <w:tcW w:w="0" w:type="auto"/>
            <w:hideMark/>
          </w:tcPr>
          <w:p w14:paraId="36F9736B"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49–98%</w:t>
            </w:r>
          </w:p>
        </w:tc>
        <w:tc>
          <w:tcPr>
            <w:tcW w:w="0" w:type="auto"/>
            <w:hideMark/>
          </w:tcPr>
          <w:p w14:paraId="1ACD8FB6" w14:textId="42EB628E"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w:t>
            </w:r>
          </w:p>
        </w:tc>
      </w:tr>
      <w:tr w:rsidR="00A52E57" w:rsidRPr="00A52E57" w14:paraId="237DE9E9" w14:textId="77777777" w:rsidTr="00A52E57">
        <w:trPr>
          <w:jc w:val="center"/>
        </w:trPr>
        <w:tc>
          <w:tcPr>
            <w:tcW w:w="0" w:type="auto"/>
            <w:hideMark/>
          </w:tcPr>
          <w:p w14:paraId="6AF2A2B6"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Global burial rate</w:t>
            </w:r>
          </w:p>
        </w:tc>
        <w:tc>
          <w:tcPr>
            <w:tcW w:w="0" w:type="auto"/>
            <w:hideMark/>
          </w:tcPr>
          <w:p w14:paraId="795905CB"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24 Tg C yr⁻¹</w:t>
            </w:r>
          </w:p>
        </w:tc>
        <w:tc>
          <w:tcPr>
            <w:tcW w:w="0" w:type="auto"/>
            <w:hideMark/>
          </w:tcPr>
          <w:p w14:paraId="67402951"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Alongi, 2014</w:t>
            </w:r>
          </w:p>
        </w:tc>
      </w:tr>
      <w:tr w:rsidR="00A52E57" w:rsidRPr="00A52E57" w14:paraId="2EB933DA" w14:textId="77777777" w:rsidTr="00A52E57">
        <w:trPr>
          <w:jc w:val="center"/>
        </w:trPr>
        <w:tc>
          <w:tcPr>
            <w:tcW w:w="0" w:type="auto"/>
            <w:hideMark/>
          </w:tcPr>
          <w:p w14:paraId="30834F2F"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Projected emissions by 2100</w:t>
            </w:r>
          </w:p>
        </w:tc>
        <w:tc>
          <w:tcPr>
            <w:tcW w:w="0" w:type="auto"/>
            <w:hideMark/>
          </w:tcPr>
          <w:p w14:paraId="3881991D"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2.4–3.4 Pg CO₂-eq</w:t>
            </w:r>
          </w:p>
        </w:tc>
        <w:tc>
          <w:tcPr>
            <w:tcW w:w="0" w:type="auto"/>
            <w:hideMark/>
          </w:tcPr>
          <w:p w14:paraId="5EDBBB9C" w14:textId="7545D0C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w:t>
            </w:r>
          </w:p>
        </w:tc>
      </w:tr>
    </w:tbl>
    <w:p w14:paraId="5FACFE8D" w14:textId="77777777" w:rsidR="00CA5F7D" w:rsidRDefault="00CA5F7D" w:rsidP="00CA5F7D">
      <w:pPr>
        <w:spacing w:line="360" w:lineRule="auto"/>
        <w:rPr>
          <w:rFonts w:ascii="Times New Roman" w:hAnsi="Times New Roman" w:cs="Times New Roman"/>
          <w:b/>
          <w:bCs/>
          <w:sz w:val="24"/>
          <w:szCs w:val="24"/>
        </w:rPr>
      </w:pPr>
    </w:p>
    <w:p w14:paraId="3DB206D3" w14:textId="3F7AA8DD" w:rsidR="00CA5F7D" w:rsidRPr="00CA5F7D" w:rsidRDefault="00CA5F7D" w:rsidP="00CA5F7D">
      <w:pPr>
        <w:spacing w:line="360" w:lineRule="auto"/>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301C0329" wp14:editId="53217F23">
            <wp:extent cx="5486400" cy="2815590"/>
            <wp:effectExtent l="0" t="0" r="0" b="3810"/>
            <wp:docPr id="1415363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1">
                      <a:extLst>
                        <a:ext uri="{28A0092B-C50C-407E-A947-70E740481C1C}">
                          <a14:useLocalDpi xmlns:a14="http://schemas.microsoft.com/office/drawing/2010/main" val="0"/>
                        </a:ext>
                      </a:extLst>
                    </a:blip>
                    <a:srcRect t="6574"/>
                    <a:stretch>
                      <a:fillRect/>
                    </a:stretch>
                  </pic:blipFill>
                  <pic:spPr bwMode="auto">
                    <a:xfrm>
                      <a:off x="0" y="0"/>
                      <a:ext cx="5486400" cy="2815590"/>
                    </a:xfrm>
                    <a:prstGeom prst="rect">
                      <a:avLst/>
                    </a:prstGeom>
                    <a:noFill/>
                    <a:ln>
                      <a:noFill/>
                    </a:ln>
                    <a:extLst>
                      <a:ext uri="{53640926-AAD7-44D8-BBD7-CCE9431645EC}">
                        <a14:shadowObscured xmlns:a14="http://schemas.microsoft.com/office/drawing/2010/main"/>
                      </a:ext>
                    </a:extLst>
                  </pic:spPr>
                </pic:pic>
              </a:graphicData>
            </a:graphic>
          </wp:inline>
        </w:drawing>
      </w:r>
    </w:p>
    <w:p w14:paraId="09E18E97" w14:textId="77777777" w:rsidR="00CA5F7D" w:rsidRDefault="00A52E57"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4. Mean mangrove ecosystem carbon stock (Donato et al., 2011).</w:t>
      </w:r>
    </w:p>
    <w:p w14:paraId="5B9044F9" w14:textId="030A84BC" w:rsidR="00CA5F7D" w:rsidRPr="00CA5F7D" w:rsidRDefault="00CA5F7D" w:rsidP="00CA5F7D">
      <w:pPr>
        <w:spacing w:line="360" w:lineRule="auto"/>
        <w:jc w:val="center"/>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lastRenderedPageBreak/>
        <w:drawing>
          <wp:inline distT="0" distB="0" distL="0" distR="0" wp14:anchorId="3845746D" wp14:editId="7852ED8D">
            <wp:extent cx="5486400" cy="3176270"/>
            <wp:effectExtent l="0" t="0" r="0" b="5080"/>
            <wp:docPr id="307319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2">
                      <a:extLst>
                        <a:ext uri="{28A0092B-C50C-407E-A947-70E740481C1C}">
                          <a14:useLocalDpi xmlns:a14="http://schemas.microsoft.com/office/drawing/2010/main" val="0"/>
                        </a:ext>
                      </a:extLst>
                    </a:blip>
                    <a:srcRect t="7336"/>
                    <a:stretch>
                      <a:fillRect/>
                    </a:stretch>
                  </pic:blipFill>
                  <pic:spPr bwMode="auto">
                    <a:xfrm>
                      <a:off x="0" y="0"/>
                      <a:ext cx="5486400" cy="3176270"/>
                    </a:xfrm>
                    <a:prstGeom prst="rect">
                      <a:avLst/>
                    </a:prstGeom>
                    <a:noFill/>
                    <a:ln>
                      <a:noFill/>
                    </a:ln>
                    <a:extLst>
                      <a:ext uri="{53640926-AAD7-44D8-BBD7-CCE9431645EC}">
                        <a14:shadowObscured xmlns:a14="http://schemas.microsoft.com/office/drawing/2010/main"/>
                      </a:ext>
                    </a:extLst>
                  </pic:spPr>
                </pic:pic>
              </a:graphicData>
            </a:graphic>
          </wp:inline>
        </w:drawing>
      </w:r>
    </w:p>
    <w:p w14:paraId="1207066B" w14:textId="676E49E5"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Figure 5. Projected global CO₂ emissions from mangrove loss by 2100 (Adame et al., 2021).</w:t>
      </w:r>
    </w:p>
    <w:p w14:paraId="328DF0A4" w14:textId="4A06B5D8"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also play a crucial role in coastal protection. Field evidence shows ~50% wave attenuation within 100 m of forest (Mazda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2006), while the Odisha cyclone case study (Das &amp; Vincent, 2009) highlights their socio-economic significance. Figure 6 demonstrates wave-energy reduction along a mangrove transect. Beyond carbon and coastal </w:t>
      </w:r>
      <w:proofErr w:type="spellStart"/>
      <w:r w:rsidR="005A79C1" w:rsidRPr="000F6DD7">
        <w:rPr>
          <w:rFonts w:ascii="Times New Roman" w:hAnsi="Times New Roman" w:cs="Times New Roman"/>
          <w:sz w:val="24"/>
          <w:szCs w:val="24"/>
          <w:highlight w:val="yellow"/>
        </w:rPr>
        <w:t>defence</w:t>
      </w:r>
      <w:proofErr w:type="spellEnd"/>
      <w:r w:rsidRPr="000F6DD7">
        <w:rPr>
          <w:rFonts w:ascii="Times New Roman" w:hAnsi="Times New Roman" w:cs="Times New Roman"/>
          <w:sz w:val="24"/>
          <w:szCs w:val="24"/>
          <w:highlight w:val="yellow"/>
        </w:rPr>
        <w:t>, m</w:t>
      </w:r>
      <w:r w:rsidRPr="00A52E57">
        <w:rPr>
          <w:rFonts w:ascii="Times New Roman" w:hAnsi="Times New Roman" w:cs="Times New Roman"/>
          <w:sz w:val="24"/>
          <w:szCs w:val="24"/>
        </w:rPr>
        <w:t xml:space="preserve">angroves sustain biodiversity by providing habitat complexity that supports fish, crustaceans, birds, and mammals (Nagelkerken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2008; Bosire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w:t>
      </w:r>
    </w:p>
    <w:p w14:paraId="0E7A2E05" w14:textId="38CFDBE1" w:rsidR="00CA5F7D" w:rsidRPr="00CA5F7D" w:rsidRDefault="00CA5F7D" w:rsidP="00CA5F7D">
      <w:pPr>
        <w:spacing w:line="360" w:lineRule="auto"/>
        <w:ind w:firstLine="720"/>
        <w:jc w:val="both"/>
        <w:rPr>
          <w:rFonts w:ascii="Times New Roman" w:hAnsi="Times New Roman" w:cs="Times New Roman"/>
          <w:sz w:val="24"/>
          <w:szCs w:val="24"/>
        </w:rPr>
      </w:pPr>
      <w:r w:rsidRPr="00CA5F7D">
        <w:rPr>
          <w:rFonts w:ascii="Times New Roman" w:hAnsi="Times New Roman" w:cs="Times New Roman"/>
          <w:noProof/>
          <w:sz w:val="24"/>
          <w:szCs w:val="24"/>
          <w:lang w:val="en-IN" w:eastAsia="en-IN" w:bidi="ta-IN"/>
        </w:rPr>
        <w:lastRenderedPageBreak/>
        <w:drawing>
          <wp:inline distT="0" distB="0" distL="0" distR="0" wp14:anchorId="64B4FDD1" wp14:editId="77CE0B63">
            <wp:extent cx="5486400" cy="3395980"/>
            <wp:effectExtent l="0" t="0" r="0" b="0"/>
            <wp:docPr id="162705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3">
                      <a:extLst>
                        <a:ext uri="{28A0092B-C50C-407E-A947-70E740481C1C}">
                          <a14:useLocalDpi xmlns:a14="http://schemas.microsoft.com/office/drawing/2010/main" val="0"/>
                        </a:ext>
                      </a:extLst>
                    </a:blip>
                    <a:srcRect t="6699"/>
                    <a:stretch>
                      <a:fillRect/>
                    </a:stretch>
                  </pic:blipFill>
                  <pic:spPr bwMode="auto">
                    <a:xfrm>
                      <a:off x="0" y="0"/>
                      <a:ext cx="5486400" cy="3395980"/>
                    </a:xfrm>
                    <a:prstGeom prst="rect">
                      <a:avLst/>
                    </a:prstGeom>
                    <a:noFill/>
                    <a:ln>
                      <a:noFill/>
                    </a:ln>
                    <a:extLst>
                      <a:ext uri="{53640926-AAD7-44D8-BBD7-CCE9431645EC}">
                        <a14:shadowObscured xmlns:a14="http://schemas.microsoft.com/office/drawing/2010/main"/>
                      </a:ext>
                    </a:extLst>
                  </pic:spPr>
                </pic:pic>
              </a:graphicData>
            </a:graphic>
          </wp:inline>
        </w:drawing>
      </w:r>
    </w:p>
    <w:p w14:paraId="0A559F25" w14:textId="77777777"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Figure 6. Illustrative wave attenuation profile across a mangrove belt.</w:t>
      </w:r>
    </w:p>
    <w:p w14:paraId="1A6DA860" w14:textId="7E7AF3FC"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 xml:space="preserve">Drivers of Loss, </w:t>
      </w:r>
      <w:proofErr w:type="spellStart"/>
      <w:r w:rsidR="005A79C1" w:rsidRPr="000F6DD7">
        <w:rPr>
          <w:rFonts w:ascii="Times New Roman" w:hAnsi="Times New Roman" w:cs="Times New Roman"/>
          <w:b/>
          <w:bCs/>
          <w:sz w:val="24"/>
          <w:szCs w:val="24"/>
          <w:highlight w:val="yellow"/>
        </w:rPr>
        <w:t>Stabilisation</w:t>
      </w:r>
      <w:proofErr w:type="spellEnd"/>
      <w:r w:rsidRPr="000F6DD7">
        <w:rPr>
          <w:rFonts w:ascii="Times New Roman" w:hAnsi="Times New Roman" w:cs="Times New Roman"/>
          <w:b/>
          <w:bCs/>
          <w:sz w:val="24"/>
          <w:szCs w:val="24"/>
          <w:highlight w:val="yellow"/>
        </w:rPr>
        <w:t>, a</w:t>
      </w:r>
      <w:r w:rsidRPr="00A52E57">
        <w:rPr>
          <w:rFonts w:ascii="Times New Roman" w:hAnsi="Times New Roman" w:cs="Times New Roman"/>
          <w:b/>
          <w:bCs/>
          <w:sz w:val="24"/>
          <w:szCs w:val="24"/>
        </w:rPr>
        <w:t>nd Gain</w:t>
      </w:r>
    </w:p>
    <w:p w14:paraId="7BE11B5A" w14:textId="65DB40B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history of mangrove deforestation is closely tied to the expansion of coastal economies. Anthropogenic pressures are the dominant drivers of loss, particularly in Asia, which has accounted for over 90% of global mangrove deforestation in recent decades (Richards &amp; Friess, 2016). The single largest factor has been aquaculture expansion, most notably shrimp farming, which rapidly converted vast tracts of mangroves into artificial ponds. For example, Thailand lost nearly half of its mangroves during the 1980s and 1990s due to intensive aquaculture (Alongi, 2002). Agriculture also plays a role, as conversion to rice paddies and oil palm plantations is widespread in Myanmar, Vietnam, and Indonesia (Hamilton &amp; Casey, 2016). </w:t>
      </w:r>
      <w:proofErr w:type="spellStart"/>
      <w:r w:rsidR="005A79C1" w:rsidRPr="000F6DD7">
        <w:rPr>
          <w:rFonts w:ascii="Times New Roman" w:hAnsi="Times New Roman" w:cs="Times New Roman"/>
          <w:sz w:val="24"/>
          <w:szCs w:val="24"/>
          <w:highlight w:val="yellow"/>
        </w:rPr>
        <w:t>Urbanisation</w:t>
      </w:r>
      <w:proofErr w:type="spellEnd"/>
      <w:r w:rsidR="005A79C1" w:rsidRPr="00A52E57">
        <w:rPr>
          <w:rFonts w:ascii="Times New Roman" w:hAnsi="Times New Roman" w:cs="Times New Roman"/>
          <w:sz w:val="24"/>
          <w:szCs w:val="24"/>
        </w:rPr>
        <w:t xml:space="preserve"> </w:t>
      </w:r>
      <w:r w:rsidRPr="00A52E57">
        <w:rPr>
          <w:rFonts w:ascii="Times New Roman" w:hAnsi="Times New Roman" w:cs="Times New Roman"/>
          <w:sz w:val="24"/>
          <w:szCs w:val="24"/>
        </w:rPr>
        <w:t xml:space="preserve">contributes significantly </w:t>
      </w:r>
      <w:r w:rsidR="005A79C1" w:rsidRPr="000F6DD7">
        <w:rPr>
          <w:rFonts w:ascii="Times New Roman" w:hAnsi="Times New Roman" w:cs="Times New Roman"/>
          <w:sz w:val="24"/>
          <w:szCs w:val="24"/>
          <w:highlight w:val="yellow"/>
        </w:rPr>
        <w:t>to</w:t>
      </w:r>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regions</w:t>
      </w:r>
      <w:r w:rsidRPr="00A52E57">
        <w:rPr>
          <w:rFonts w:ascii="Times New Roman" w:hAnsi="Times New Roman" w:cs="Times New Roman"/>
          <w:sz w:val="24"/>
          <w:szCs w:val="24"/>
        </w:rPr>
        <w:t xml:space="preserve"> of rapid coastal growth; major cities such as Jakarta, Lagos, and Manila have expanded into former mangrove belts (Goldberg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2020).</w:t>
      </w:r>
    </w:p>
    <w:p w14:paraId="05E3398B" w14:textId="19B09C20"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Fuelwood harvesting remains an important driver in Africa and South Asia. In countries such as Nigeria, Bangladesh, and India, mangroves are harvested for charcoal production and construction material, often without sustainable practices (Ward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w:t>
      </w:r>
      <w:r w:rsidRPr="00A52E57">
        <w:rPr>
          <w:rFonts w:ascii="Times New Roman" w:hAnsi="Times New Roman" w:cs="Times New Roman"/>
          <w:sz w:val="24"/>
          <w:szCs w:val="24"/>
        </w:rPr>
        <w:lastRenderedPageBreak/>
        <w:t>2016). Infrastructure projects such as roads, embankments, and dykes also fragment mangrove hydrology, preventing tidal exchange and altering salinity regimes that are vital for seedling recruitment (Lewis, 2005).</w:t>
      </w:r>
    </w:p>
    <w:p w14:paraId="7923480F" w14:textId="7974626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Natural drivers include cyclones, erosion, and pest outbreaks. For instance, the massive dieback of northern Australian mangroves during the 2015–2016 El Niño drought was attributed to hydrological stress combined with extreme heat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However, natural disturbances often lead to regeneration, provided sediment supply and hydrological connectivity remain intact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59905AFD" w14:textId="274F739F"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Encouragingly, evidence indicates that losses have slowed in the past decade. Global Mangrove Watch data show that after a sharp decline between 1996 and 2010, mangrove extent partially recovered by 2020 (Figure 1). </w:t>
      </w:r>
      <w:proofErr w:type="spellStart"/>
      <w:r w:rsidR="005A79C1" w:rsidRPr="000F6DD7">
        <w:rPr>
          <w:rFonts w:ascii="Times New Roman" w:hAnsi="Times New Roman" w:cs="Times New Roman"/>
          <w:sz w:val="24"/>
          <w:szCs w:val="24"/>
          <w:highlight w:val="yellow"/>
        </w:rPr>
        <w:t>Localised</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gains</w:t>
      </w:r>
      <w:r w:rsidRPr="00A52E57">
        <w:rPr>
          <w:rFonts w:ascii="Times New Roman" w:hAnsi="Times New Roman" w:cs="Times New Roman"/>
          <w:sz w:val="24"/>
          <w:szCs w:val="24"/>
        </w:rPr>
        <w:t xml:space="preserve"> are reported from hydrological restoration, such as in the Florida Everglades and the Philippines, where tidal reconnection allowed natural regeneration within a decade (Lewis, 2005). Similarly, mangroves have expanded into tidal flats in Bangladesh and northern Brazil, facilitated by sediment deposition and landward migration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10DF1238"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Climate Change: Risks, Responses, and Resilience</w:t>
      </w:r>
    </w:p>
    <w:p w14:paraId="58CA9B60" w14:textId="2E134FE3"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Climate change represents both a threat and an opportunity for mangroves. On one hand, warming temperatures are enabling poleward expansion into salt-marsh zones. Evidence from northern Australia and the Gulf of Mexico shows mangroves encroaching into marshlands at rates of several </w:t>
      </w:r>
      <w:proofErr w:type="spellStart"/>
      <w:r w:rsidR="005A79C1" w:rsidRPr="000F6DD7">
        <w:rPr>
          <w:rFonts w:ascii="Times New Roman" w:hAnsi="Times New Roman" w:cs="Times New Roman"/>
          <w:sz w:val="24"/>
          <w:szCs w:val="24"/>
          <w:highlight w:val="yellow"/>
        </w:rPr>
        <w:t>kilometres</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per</w:t>
      </w:r>
      <w:r w:rsidRPr="00A52E57">
        <w:rPr>
          <w:rFonts w:ascii="Times New Roman" w:hAnsi="Times New Roman" w:cs="Times New Roman"/>
          <w:sz w:val="24"/>
          <w:szCs w:val="24"/>
        </w:rPr>
        <w:t xml:space="preserve"> decade (Saintilan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2014). Such range expansions suggest potential gains in some regions.</w:t>
      </w:r>
    </w:p>
    <w:p w14:paraId="6FB79215" w14:textId="6E2E3A51"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On the other hand, accelerated sea-level rise poses one of the greatest threats to mangrove persistence. A multi-country Indo-Pacific assessment by Lovelock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(2015) found that approximately 70% of sites lack the vertical accretion capacity to keep pace with projected 21st-century sea-level rise, rendering them vulnerable to submergence. Figure 7 illustrates the proportion of sites considered at risk. Sediment supply and tidal dynamics will determine which forests survive, with deltas such as the Ganges–Brahmaputra retaining higher resilience compared to sediment-starved coasts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706C1228" w14:textId="4E0D0953"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lastRenderedPageBreak/>
        <w:t>Mangroves also face increasing cyclone intensity. While these ecosystems can recover after storms, as seen in Bangladesh and the Philippines</w:t>
      </w:r>
      <w:r w:rsidR="005A79C1">
        <w:rPr>
          <w:rFonts w:ascii="Times New Roman" w:hAnsi="Times New Roman" w:cs="Times New Roman"/>
          <w:sz w:val="24"/>
          <w:szCs w:val="24"/>
        </w:rPr>
        <w:t>,</w:t>
      </w:r>
      <w:r w:rsidRPr="00A52E57">
        <w:rPr>
          <w:rFonts w:ascii="Times New Roman" w:hAnsi="Times New Roman" w:cs="Times New Roman"/>
          <w:sz w:val="24"/>
          <w:szCs w:val="24"/>
        </w:rPr>
        <w:t xml:space="preserve"> where canopy recovery occurred within 4–6 years (Das &amp; Vincent, 2009), repeated extreme events could exceed resilience thresholds. Furthermore, climate-related stressors such as prolonged droughts, heatwaves, and salinity shifts will likely exacerbate mortality events, as observed in northern Australia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7D018356" w14:textId="35EC88F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Yet mangroves also provide climate adaptation benefits. By attenuating storm surges and </w:t>
      </w:r>
      <w:proofErr w:type="spellStart"/>
      <w:r w:rsidR="005A79C1" w:rsidRPr="000F6DD7">
        <w:rPr>
          <w:rFonts w:ascii="Times New Roman" w:hAnsi="Times New Roman" w:cs="Times New Roman"/>
          <w:sz w:val="24"/>
          <w:szCs w:val="24"/>
          <w:highlight w:val="yellow"/>
        </w:rPr>
        <w:t>stabilising</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sediments</w:t>
      </w:r>
      <w:r w:rsidRPr="00A52E57">
        <w:rPr>
          <w:rFonts w:ascii="Times New Roman" w:hAnsi="Times New Roman" w:cs="Times New Roman"/>
          <w:sz w:val="24"/>
          <w:szCs w:val="24"/>
        </w:rPr>
        <w:t>, they enhance coastal resilience for human populations. The Odisha super-cyclone example remains a landmark case demonstrating how intact mangroves reduce human vulnerability (Das &amp; Vincent, 2009).</w:t>
      </w:r>
    </w:p>
    <w:p w14:paraId="25622898" w14:textId="5A746A21" w:rsidR="00CA5F7D" w:rsidRPr="00CA5F7D" w:rsidRDefault="00CA5F7D" w:rsidP="00CA5F7D">
      <w:pPr>
        <w:spacing w:line="360" w:lineRule="auto"/>
        <w:jc w:val="both"/>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2D90C1A8" wp14:editId="75FAF8DF">
            <wp:extent cx="5486400" cy="2689860"/>
            <wp:effectExtent l="0" t="0" r="0" b="0"/>
            <wp:docPr id="1669147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50" b="7621"/>
                    <a:stretch>
                      <a:fillRect/>
                    </a:stretch>
                  </pic:blipFill>
                  <pic:spPr bwMode="auto">
                    <a:xfrm>
                      <a:off x="0" y="0"/>
                      <a:ext cx="548640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3E186F5B" w14:textId="793ED7F8"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 xml:space="preserve">Figure 7. Proportion of Indo-Pacific mangroves vulnerable to sea-level rise, based on elevation capital (Lovelock </w:t>
      </w:r>
      <w:r w:rsidRPr="00CA5F7D">
        <w:rPr>
          <w:rFonts w:ascii="Times New Roman" w:hAnsi="Times New Roman" w:cs="Times New Roman"/>
          <w:b/>
          <w:bCs/>
          <w:i/>
          <w:iCs/>
          <w:sz w:val="24"/>
          <w:szCs w:val="24"/>
        </w:rPr>
        <w:t>et al</w:t>
      </w:r>
      <w:r w:rsidRPr="00A52E57">
        <w:rPr>
          <w:rFonts w:ascii="Times New Roman" w:hAnsi="Times New Roman" w:cs="Times New Roman"/>
          <w:b/>
          <w:bCs/>
          <w:i/>
          <w:iCs/>
          <w:sz w:val="24"/>
          <w:szCs w:val="24"/>
        </w:rPr>
        <w:t>., 2015).</w:t>
      </w:r>
    </w:p>
    <w:p w14:paraId="7DCE826E"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Conservation, Restoration, and Policy Priorities</w:t>
      </w:r>
    </w:p>
    <w:p w14:paraId="766EBBB4" w14:textId="4E501D5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Given their ecological and socio-economic significance, mangroves have become a global conservation priority. The State of the World’s Mangroves 2024 report </w:t>
      </w:r>
      <w:proofErr w:type="spellStart"/>
      <w:r w:rsidR="005A79C1" w:rsidRPr="000F6DD7">
        <w:rPr>
          <w:rFonts w:ascii="Times New Roman" w:hAnsi="Times New Roman" w:cs="Times New Roman"/>
          <w:sz w:val="24"/>
          <w:szCs w:val="24"/>
          <w:highlight w:val="yellow"/>
        </w:rPr>
        <w:t>emphasises</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three</w:t>
      </w:r>
      <w:r w:rsidRPr="00A52E57">
        <w:rPr>
          <w:rFonts w:ascii="Times New Roman" w:hAnsi="Times New Roman" w:cs="Times New Roman"/>
          <w:sz w:val="24"/>
          <w:szCs w:val="24"/>
        </w:rPr>
        <w:t xml:space="preserve"> urgent targets: halting net loss, doubling protected areas, and restoring half of historically lost mangroves by 2030 (Global Mangrove Alliance, 2024).</w:t>
      </w:r>
    </w:p>
    <w:p w14:paraId="1123F170"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lastRenderedPageBreak/>
        <w:t>Restoration has emerged as a central strategy, but success depends on ecological principles. Lewis (2005) argues that simply planting mangrove seedlings, often in inappropriate sites, leads to high mortality and wasted resources. Instead, restoring tidal hydrology and allowing natural recruitment results in self-sustaining recovery. The Florida and Philippines case studies illustrate that ecological engineering approaches outperform monoculture plantations.</w:t>
      </w:r>
    </w:p>
    <w:p w14:paraId="2AF211B5" w14:textId="72834F40"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Policy frameworks are increasingly integrating mangroves into climate commitments. Incorporation into Nationally Determined Contributions (NDCs) under the Paris </w:t>
      </w:r>
      <w:r w:rsidRPr="000F6DD7">
        <w:rPr>
          <w:rFonts w:ascii="Times New Roman" w:hAnsi="Times New Roman" w:cs="Times New Roman"/>
          <w:sz w:val="24"/>
          <w:szCs w:val="24"/>
          <w:highlight w:val="yellow"/>
        </w:rPr>
        <w:t xml:space="preserve">Agreement </w:t>
      </w:r>
      <w:proofErr w:type="spellStart"/>
      <w:r w:rsidR="005A79C1" w:rsidRPr="000F6DD7">
        <w:rPr>
          <w:rFonts w:ascii="Times New Roman" w:hAnsi="Times New Roman" w:cs="Times New Roman"/>
          <w:sz w:val="24"/>
          <w:szCs w:val="24"/>
          <w:highlight w:val="yellow"/>
        </w:rPr>
        <w:t>recognises</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their</w:t>
      </w:r>
      <w:r w:rsidRPr="00A52E57">
        <w:rPr>
          <w:rFonts w:ascii="Times New Roman" w:hAnsi="Times New Roman" w:cs="Times New Roman"/>
          <w:sz w:val="24"/>
          <w:szCs w:val="24"/>
        </w:rPr>
        <w:t xml:space="preserve"> role in mitigation and adaptation. Blue carbon finance mechanisms are being piloted in Kenya, Indonesia, and Colombia, linking mangrove conservation to carbon markets (Adame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 However, concerns exist over ensuring social equity and preventing exploitation of local communities. Safeguards and participatory governance are therefore essential.</w:t>
      </w:r>
    </w:p>
    <w:p w14:paraId="239E1330" w14:textId="387E5B5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Community-based management is another pillar of conservation. In Kenya, the Mikoko Pamoja project exemplifies how local communities can co-manage mangroves, benefiting from both ecosystem services and carbon revenue (Bosire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 Similar initiatives in India’s Muthupet and Odisha demonstrate that co-management improves compliance, reduces illegal felling, and aligns conservation with livelihoods.</w:t>
      </w:r>
    </w:p>
    <w:p w14:paraId="41A9F089"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Case Studies: Sundarbans, Muthupet, and Pichavaram</w:t>
      </w:r>
    </w:p>
    <w:p w14:paraId="2F7D980E"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The Sundarbans, shared between India and Bangladesh, provide a compelling case of site-specific restoration. A recent pilot-scale experiment in degraded Sundarbans patches demonstrated that mixed species planting tailored to salinity and elevation, coupled with hydrological restoration, outperformed conventional monoculture plantations (Bardhan, 2024). Survival rates, canopy cover, and species richness were significantly higher in adaptive plots, supported by soil salinity and sediment data. Figures in that study illustrate survival and growth curves, highlighting that ecological tailoring improves resilience.</w:t>
      </w:r>
    </w:p>
    <w:p w14:paraId="003F2B3B" w14:textId="32843B9E"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In Tamil Nadu, the Muthupet and Pichavaram mangroves highlight the interplay between natural regeneration and risk reduction. Inundation </w:t>
      </w:r>
      <w:r w:rsidR="005A79C1" w:rsidRPr="000F6DD7">
        <w:rPr>
          <w:rFonts w:ascii="Times New Roman" w:hAnsi="Times New Roman" w:cs="Times New Roman"/>
          <w:sz w:val="24"/>
          <w:szCs w:val="24"/>
          <w:highlight w:val="yellow"/>
        </w:rPr>
        <w:t>modelling</w:t>
      </w:r>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under</w:t>
      </w:r>
      <w:r w:rsidRPr="00A52E57">
        <w:rPr>
          <w:rFonts w:ascii="Times New Roman" w:hAnsi="Times New Roman" w:cs="Times New Roman"/>
          <w:sz w:val="24"/>
          <w:szCs w:val="24"/>
        </w:rPr>
        <w:t xml:space="preserve"> various sea-</w:t>
      </w:r>
      <w:r w:rsidRPr="00A52E57">
        <w:rPr>
          <w:rFonts w:ascii="Times New Roman" w:hAnsi="Times New Roman" w:cs="Times New Roman"/>
          <w:sz w:val="24"/>
          <w:szCs w:val="24"/>
        </w:rPr>
        <w:lastRenderedPageBreak/>
        <w:t xml:space="preserve">level rise scenarios estimated that coastal exposure values declined significantly when mangroves were present: from 3.47 to 2.80 in Pichavaram, and from 4.78 to 2.10 in Muthupet (Selvaraj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2025). Hyperspectral remote sensing has further mapped degraded versus healthy patches, with datasets showing salinity, moisture, and pixel-based degradation indices. Figures from these studies include inundation maps and degraded-area maps, demonstrating how technology informs management.</w:t>
      </w:r>
    </w:p>
    <w:p w14:paraId="126A1741" w14:textId="15EFEF7F"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Together, these case studies </w:t>
      </w:r>
      <w:proofErr w:type="spellStart"/>
      <w:r w:rsidR="005A79C1" w:rsidRPr="000F6DD7">
        <w:rPr>
          <w:rFonts w:ascii="Times New Roman" w:hAnsi="Times New Roman" w:cs="Times New Roman"/>
          <w:sz w:val="24"/>
          <w:szCs w:val="24"/>
          <w:highlight w:val="yellow"/>
        </w:rPr>
        <w:t>emphasise</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that</w:t>
      </w:r>
      <w:r w:rsidRPr="00A52E57">
        <w:rPr>
          <w:rFonts w:ascii="Times New Roman" w:hAnsi="Times New Roman" w:cs="Times New Roman"/>
          <w:sz w:val="24"/>
          <w:szCs w:val="24"/>
        </w:rPr>
        <w:t xml:space="preserve"> site-specific, hydrology-informed restoration (Sundarbans) and monitoring-driven adaptive management (Muthupet, Pichavaram) provide pathways for resilience.</w:t>
      </w:r>
    </w:p>
    <w:p w14:paraId="3B7A8969"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Future Directions</w:t>
      </w:r>
    </w:p>
    <w:p w14:paraId="47A77504" w14:textId="63AF808A"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Future mangrove conservation must be grounded in science, technology, and social inclusivity. Improved monitoring is crucial, with high-resolution optical and radar sensors, coupled with machine learning, enabling near-real-time detection of mangrove change</w:t>
      </w:r>
      <w:r w:rsidR="00CA5F7D">
        <w:rPr>
          <w:rFonts w:ascii="Times New Roman" w:hAnsi="Times New Roman" w:cs="Times New Roman"/>
          <w:sz w:val="24"/>
          <w:szCs w:val="24"/>
        </w:rPr>
        <w:t xml:space="preserve">. </w:t>
      </w:r>
      <w:proofErr w:type="spellStart"/>
      <w:r w:rsidR="005A79C1" w:rsidRPr="000F6DD7">
        <w:rPr>
          <w:rFonts w:ascii="Times New Roman" w:hAnsi="Times New Roman" w:cs="Times New Roman"/>
          <w:sz w:val="24"/>
          <w:szCs w:val="24"/>
          <w:highlight w:val="yellow"/>
        </w:rPr>
        <w:t>Harmonising</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datasets</w:t>
      </w:r>
      <w:r w:rsidRPr="00A52E57">
        <w:rPr>
          <w:rFonts w:ascii="Times New Roman" w:hAnsi="Times New Roman" w:cs="Times New Roman"/>
          <w:sz w:val="24"/>
          <w:szCs w:val="24"/>
        </w:rPr>
        <w:t xml:space="preserve"> such as GMW and HGMF will provide consistent baselines for global monitoring.</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 xml:space="preserve">Research must </w:t>
      </w:r>
      <w:proofErr w:type="spellStart"/>
      <w:r w:rsidR="005A79C1" w:rsidRPr="000F6DD7">
        <w:rPr>
          <w:rFonts w:ascii="Times New Roman" w:hAnsi="Times New Roman" w:cs="Times New Roman"/>
          <w:sz w:val="24"/>
          <w:szCs w:val="24"/>
          <w:highlight w:val="yellow"/>
        </w:rPr>
        <w:t>prioritise</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resilience</w:t>
      </w:r>
      <w:r w:rsidRPr="00A52E57">
        <w:rPr>
          <w:rFonts w:ascii="Times New Roman" w:hAnsi="Times New Roman" w:cs="Times New Roman"/>
          <w:sz w:val="24"/>
          <w:szCs w:val="24"/>
        </w:rPr>
        <w:t xml:space="preserve"> under climate change, particularly the interaction between sediment supply, elevation capital, and coastal squeeze. Integrated models linking geomorphology, hydrology, and species-specific tolerances are needed to predict mangrove trajectories under different sea-level rise scenarios</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 xml:space="preserve">Restoration should shift away from plantation-centric approaches towards ecosystem-based interventions. Hydrological restoration, species diversification, and connectivity with adjacent ecosystems such as seagrass beds and coral reefs must be </w:t>
      </w:r>
      <w:proofErr w:type="spellStart"/>
      <w:r w:rsidR="005A79C1" w:rsidRPr="000F6DD7">
        <w:rPr>
          <w:rFonts w:ascii="Times New Roman" w:hAnsi="Times New Roman" w:cs="Times New Roman"/>
          <w:sz w:val="24"/>
          <w:szCs w:val="24"/>
          <w:highlight w:val="yellow"/>
        </w:rPr>
        <w:t>emphasised</w:t>
      </w:r>
      <w:proofErr w:type="spellEnd"/>
      <w:r w:rsidR="00CA5F7D"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Policy</w:t>
      </w:r>
      <w:r w:rsidRPr="00A52E57">
        <w:rPr>
          <w:rFonts w:ascii="Times New Roman" w:hAnsi="Times New Roman" w:cs="Times New Roman"/>
          <w:sz w:val="24"/>
          <w:szCs w:val="24"/>
        </w:rPr>
        <w:t xml:space="preserve"> frameworks must embed mangroves into national climate strategies. While blue carbon markets offer opportunities, equity safeguards are critical to ensure benefits reach local communities. Community participation remains essential, with traditional knowledge complementing scientific monitoring for sustainable outcomes</w:t>
      </w:r>
      <w:r w:rsidR="00CA5F7D">
        <w:rPr>
          <w:rFonts w:ascii="Times New Roman" w:hAnsi="Times New Roman" w:cs="Times New Roman"/>
          <w:sz w:val="24"/>
          <w:szCs w:val="24"/>
        </w:rPr>
        <w:t>.</w:t>
      </w:r>
    </w:p>
    <w:p w14:paraId="1F4A1781"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Conclusion</w:t>
      </w:r>
    </w:p>
    <w:p w14:paraId="78746BBA" w14:textId="1F444EFC"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 forests </w:t>
      </w:r>
      <w:proofErr w:type="spellStart"/>
      <w:r w:rsidR="005A79C1" w:rsidRPr="000F6DD7">
        <w:rPr>
          <w:rFonts w:ascii="Times New Roman" w:hAnsi="Times New Roman" w:cs="Times New Roman"/>
          <w:sz w:val="24"/>
          <w:szCs w:val="24"/>
          <w:highlight w:val="yellow"/>
        </w:rPr>
        <w:t>epitomise</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both</w:t>
      </w:r>
      <w:r w:rsidRPr="00A52E57">
        <w:rPr>
          <w:rFonts w:ascii="Times New Roman" w:hAnsi="Times New Roman" w:cs="Times New Roman"/>
          <w:sz w:val="24"/>
          <w:szCs w:val="24"/>
        </w:rPr>
        <w:t xml:space="preserve"> fragility and resilience in the Anthropocene. While they have experienced severe losses driven by aquaculture, agriculture, and </w:t>
      </w:r>
      <w:proofErr w:type="spellStart"/>
      <w:r w:rsidR="005A79C1" w:rsidRPr="000F6DD7">
        <w:rPr>
          <w:rFonts w:ascii="Times New Roman" w:hAnsi="Times New Roman" w:cs="Times New Roman"/>
          <w:sz w:val="24"/>
          <w:szCs w:val="24"/>
          <w:highlight w:val="yellow"/>
        </w:rPr>
        <w:t>urbanisation</w:t>
      </w:r>
      <w:proofErr w:type="spellEnd"/>
      <w:r w:rsidRPr="000F6DD7">
        <w:rPr>
          <w:rFonts w:ascii="Times New Roman" w:hAnsi="Times New Roman" w:cs="Times New Roman"/>
          <w:sz w:val="24"/>
          <w:szCs w:val="24"/>
          <w:highlight w:val="yellow"/>
        </w:rPr>
        <w:t>, recent</w:t>
      </w:r>
      <w:r w:rsidRPr="00A52E57">
        <w:rPr>
          <w:rFonts w:ascii="Times New Roman" w:hAnsi="Times New Roman" w:cs="Times New Roman"/>
          <w:sz w:val="24"/>
          <w:szCs w:val="24"/>
        </w:rPr>
        <w:t xml:space="preserve"> evidence </w:t>
      </w:r>
      <w:r w:rsidRPr="000F6DD7">
        <w:rPr>
          <w:rFonts w:ascii="Times New Roman" w:hAnsi="Times New Roman" w:cs="Times New Roman"/>
          <w:sz w:val="24"/>
          <w:szCs w:val="24"/>
          <w:highlight w:val="yellow"/>
        </w:rPr>
        <w:t xml:space="preserve">indicates </w:t>
      </w:r>
      <w:proofErr w:type="spellStart"/>
      <w:r w:rsidR="005A79C1" w:rsidRPr="000F6DD7">
        <w:rPr>
          <w:rFonts w:ascii="Times New Roman" w:hAnsi="Times New Roman" w:cs="Times New Roman"/>
          <w:sz w:val="24"/>
          <w:szCs w:val="24"/>
          <w:highlight w:val="yellow"/>
        </w:rPr>
        <w:t>stabilisation</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 xml:space="preserve">and </w:t>
      </w:r>
      <w:proofErr w:type="spellStart"/>
      <w:r w:rsidR="005A79C1" w:rsidRPr="000F6DD7">
        <w:rPr>
          <w:rFonts w:ascii="Times New Roman" w:hAnsi="Times New Roman" w:cs="Times New Roman"/>
          <w:sz w:val="24"/>
          <w:szCs w:val="24"/>
          <w:highlight w:val="yellow"/>
        </w:rPr>
        <w:t>localised</w:t>
      </w:r>
      <w:proofErr w:type="spellEnd"/>
      <w:r w:rsidR="005A79C1" w:rsidRPr="000F6DD7">
        <w:rPr>
          <w:rFonts w:ascii="Times New Roman" w:hAnsi="Times New Roman" w:cs="Times New Roman"/>
          <w:sz w:val="24"/>
          <w:szCs w:val="24"/>
          <w:highlight w:val="yellow"/>
        </w:rPr>
        <w:t xml:space="preserve"> </w:t>
      </w:r>
      <w:r w:rsidRPr="000F6DD7">
        <w:rPr>
          <w:rFonts w:ascii="Times New Roman" w:hAnsi="Times New Roman" w:cs="Times New Roman"/>
          <w:sz w:val="24"/>
          <w:szCs w:val="24"/>
          <w:highlight w:val="yellow"/>
        </w:rPr>
        <w:t>recovery</w:t>
      </w:r>
      <w:r w:rsidRPr="00A52E57">
        <w:rPr>
          <w:rFonts w:ascii="Times New Roman" w:hAnsi="Times New Roman" w:cs="Times New Roman"/>
          <w:sz w:val="24"/>
          <w:szCs w:val="24"/>
        </w:rPr>
        <w:t xml:space="preserve">. As blue </w:t>
      </w:r>
      <w:r w:rsidRPr="00A52E57">
        <w:rPr>
          <w:rFonts w:ascii="Times New Roman" w:hAnsi="Times New Roman" w:cs="Times New Roman"/>
          <w:sz w:val="24"/>
          <w:szCs w:val="24"/>
        </w:rPr>
        <w:lastRenderedPageBreak/>
        <w:t>carbon ecosystems, mangroves contribute disproportionately to climate mitigation while simultaneously enhancing coastal resilience. Yet, climate change, particularly sea-level rise, poses existential threats that will require proactive management.</w:t>
      </w:r>
    </w:p>
    <w:p w14:paraId="2555C3CB" w14:textId="77777777"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Conservation strategies must combine ecological engineering, community co-management, and policy integration. With strengthened monitoring, scientific restoration, and equitable financing, mangroves can remain vital allies in addressing global climate and biodiversity crises. Their future depends not on ecological limits but on political will, social inclusion, and sustained global investment.</w:t>
      </w:r>
    </w:p>
    <w:p w14:paraId="1DE3F4C6" w14:textId="77777777" w:rsidR="00872A03" w:rsidRPr="00872A03" w:rsidRDefault="00872A03" w:rsidP="00872A03">
      <w:pPr>
        <w:spacing w:line="360" w:lineRule="auto"/>
        <w:jc w:val="both"/>
        <w:rPr>
          <w:rFonts w:ascii="Times New Roman" w:hAnsi="Times New Roman" w:cs="Times New Roman"/>
          <w:sz w:val="24"/>
          <w:szCs w:val="24"/>
        </w:rPr>
      </w:pPr>
      <w:r w:rsidRPr="00872A03">
        <w:rPr>
          <w:rFonts w:ascii="Times New Roman" w:hAnsi="Times New Roman" w:cs="Times New Roman"/>
          <w:sz w:val="24"/>
          <w:szCs w:val="24"/>
        </w:rPr>
        <w:t>Disclaimer (Artificial intelligence)</w:t>
      </w:r>
    </w:p>
    <w:p w14:paraId="4D320E7F" w14:textId="77777777" w:rsidR="00872A03" w:rsidRPr="00872A03" w:rsidRDefault="00872A03" w:rsidP="00872A03">
      <w:pPr>
        <w:spacing w:line="360" w:lineRule="auto"/>
        <w:jc w:val="both"/>
        <w:rPr>
          <w:rFonts w:ascii="Times New Roman" w:hAnsi="Times New Roman" w:cs="Times New Roman"/>
          <w:sz w:val="24"/>
          <w:szCs w:val="24"/>
        </w:rPr>
      </w:pPr>
      <w:r w:rsidRPr="00872A03">
        <w:rPr>
          <w:rFonts w:ascii="Times New Roman" w:hAnsi="Times New Roman" w:cs="Times New Roman"/>
          <w:sz w:val="24"/>
          <w:szCs w:val="24"/>
        </w:rPr>
        <w:t>Option 1:</w:t>
      </w:r>
    </w:p>
    <w:p w14:paraId="64111DF3" w14:textId="60E231A3" w:rsidR="00872A03" w:rsidRPr="00A52E57" w:rsidRDefault="00872A03" w:rsidP="00872A03">
      <w:pPr>
        <w:spacing w:line="360" w:lineRule="auto"/>
        <w:jc w:val="both"/>
        <w:rPr>
          <w:rFonts w:ascii="Times New Roman" w:hAnsi="Times New Roman" w:cs="Times New Roman"/>
          <w:sz w:val="24"/>
          <w:szCs w:val="24"/>
        </w:rPr>
      </w:pPr>
      <w:r w:rsidRPr="00872A03">
        <w:rPr>
          <w:rFonts w:ascii="Times New Roman" w:hAnsi="Times New Roman" w:cs="Times New Roman"/>
          <w:sz w:val="24"/>
          <w:szCs w:val="24"/>
        </w:rPr>
        <w:t>Author(s) hereby declare that NO generative AI technologies such as Large Language Models</w:t>
      </w:r>
      <w:r>
        <w:rPr>
          <w:rFonts w:ascii="Times New Roman" w:hAnsi="Times New Roman" w:cs="Times New Roman"/>
          <w:sz w:val="24"/>
          <w:szCs w:val="24"/>
        </w:rPr>
        <w:t xml:space="preserve"> </w:t>
      </w:r>
      <w:r w:rsidRPr="00872A03">
        <w:rPr>
          <w:rFonts w:ascii="Times New Roman" w:hAnsi="Times New Roman" w:cs="Times New Roman"/>
          <w:sz w:val="24"/>
          <w:szCs w:val="24"/>
        </w:rPr>
        <w:t>(ChatGPT, COPILOT, etc.) and text-to-image generators have been used during the writing or</w:t>
      </w:r>
      <w:r>
        <w:rPr>
          <w:rFonts w:ascii="Times New Roman" w:hAnsi="Times New Roman" w:cs="Times New Roman"/>
          <w:sz w:val="24"/>
          <w:szCs w:val="24"/>
        </w:rPr>
        <w:t xml:space="preserve"> </w:t>
      </w:r>
      <w:r w:rsidRPr="00872A03">
        <w:rPr>
          <w:rFonts w:ascii="Times New Roman" w:hAnsi="Times New Roman" w:cs="Times New Roman"/>
          <w:sz w:val="24"/>
          <w:szCs w:val="24"/>
        </w:rPr>
        <w:t>editing of this manuscript.</w:t>
      </w:r>
    </w:p>
    <w:p w14:paraId="042CFAC1"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References</w:t>
      </w:r>
    </w:p>
    <w:p w14:paraId="4C9C76D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Adame, M. F., Connolly, R. M., Lovelock, C. E., &amp; Friess, D. A. (2021). Coastal wetlands as global carbon sinks. </w:t>
      </w:r>
      <w:r w:rsidRPr="00A52E57">
        <w:rPr>
          <w:rFonts w:ascii="Times New Roman" w:hAnsi="Times New Roman" w:cs="Times New Roman"/>
          <w:i/>
          <w:iCs/>
          <w:sz w:val="24"/>
          <w:szCs w:val="24"/>
        </w:rPr>
        <w:t>Nature Reviews Earth &amp; Environment, 2</w:t>
      </w:r>
      <w:r w:rsidRPr="00A52E57">
        <w:rPr>
          <w:rFonts w:ascii="Times New Roman" w:hAnsi="Times New Roman" w:cs="Times New Roman"/>
          <w:sz w:val="24"/>
          <w:szCs w:val="24"/>
        </w:rPr>
        <w:t>(12), 900–915. https://doi.org/10.1038/s43017-021-00241-8</w:t>
      </w:r>
    </w:p>
    <w:p w14:paraId="2987B67A"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Alongi, D. M. (2002). Present state and future of the world’s mangrove forests. </w:t>
      </w:r>
      <w:r w:rsidRPr="00A52E57">
        <w:rPr>
          <w:rFonts w:ascii="Times New Roman" w:hAnsi="Times New Roman" w:cs="Times New Roman"/>
          <w:i/>
          <w:iCs/>
          <w:sz w:val="24"/>
          <w:szCs w:val="24"/>
        </w:rPr>
        <w:t>Environmental Conservation, 29</w:t>
      </w:r>
      <w:r w:rsidRPr="00A52E57">
        <w:rPr>
          <w:rFonts w:ascii="Times New Roman" w:hAnsi="Times New Roman" w:cs="Times New Roman"/>
          <w:sz w:val="24"/>
          <w:szCs w:val="24"/>
        </w:rPr>
        <w:t>(3), 331–349. https://doi.org/10.1017/S0376892902000231</w:t>
      </w:r>
    </w:p>
    <w:p w14:paraId="56702BC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Alongi, D. M. (2014). Carbon cycling and storage in mangrove forests. </w:t>
      </w:r>
      <w:r w:rsidRPr="00A52E57">
        <w:rPr>
          <w:rFonts w:ascii="Times New Roman" w:hAnsi="Times New Roman" w:cs="Times New Roman"/>
          <w:i/>
          <w:iCs/>
          <w:sz w:val="24"/>
          <w:szCs w:val="24"/>
        </w:rPr>
        <w:t>Annual Review of Marine Science, 6</w:t>
      </w:r>
      <w:r w:rsidRPr="00A52E57">
        <w:rPr>
          <w:rFonts w:ascii="Times New Roman" w:hAnsi="Times New Roman" w:cs="Times New Roman"/>
          <w:sz w:val="24"/>
          <w:szCs w:val="24"/>
        </w:rPr>
        <w:t>(1), 195–219. https://doi.org/10.1146/annurev-marine-010213-135020</w:t>
      </w:r>
    </w:p>
    <w:p w14:paraId="284C59B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Bardhan, M. (2024). Ecological restoration at pilot-scale employing site-specific strategies in degraded mangrove patches in the Indian Sundarbans. </w:t>
      </w:r>
      <w:r w:rsidRPr="00A52E57">
        <w:rPr>
          <w:rFonts w:ascii="Times New Roman" w:hAnsi="Times New Roman" w:cs="Times New Roman"/>
          <w:i/>
          <w:iCs/>
          <w:sz w:val="24"/>
          <w:szCs w:val="24"/>
        </w:rPr>
        <w:t>Scientific Reports, 14</w:t>
      </w:r>
      <w:r w:rsidRPr="00A52E57">
        <w:rPr>
          <w:rFonts w:ascii="Times New Roman" w:hAnsi="Times New Roman" w:cs="Times New Roman"/>
          <w:sz w:val="24"/>
          <w:szCs w:val="24"/>
        </w:rPr>
        <w:t>, 63281. https://doi.org/10.1038/s41598-024-63281-8</w:t>
      </w:r>
    </w:p>
    <w:p w14:paraId="05344D41"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Bunting, P., Rosenqvist, A., Lucas, R. M., Rebelo, L. M., Hilarides, L., Thomas, N., Hardy, A., Itoh, T., Shimada, M., &amp; Finlayson, C. M. (2022). Global </w:t>
      </w:r>
      <w:r w:rsidRPr="00A52E57">
        <w:rPr>
          <w:rFonts w:ascii="Times New Roman" w:hAnsi="Times New Roman" w:cs="Times New Roman"/>
          <w:sz w:val="24"/>
          <w:szCs w:val="24"/>
        </w:rPr>
        <w:lastRenderedPageBreak/>
        <w:t xml:space="preserve">Mangrove Watch: Updated remote sensing data for global mangrove extent and change monitoring (1996–2020). </w:t>
      </w:r>
      <w:r w:rsidRPr="00A52E57">
        <w:rPr>
          <w:rFonts w:ascii="Times New Roman" w:hAnsi="Times New Roman" w:cs="Times New Roman"/>
          <w:i/>
          <w:iCs/>
          <w:sz w:val="24"/>
          <w:szCs w:val="24"/>
        </w:rPr>
        <w:t>Remote Sensing, 14</w:t>
      </w:r>
      <w:r w:rsidRPr="00A52E57">
        <w:rPr>
          <w:rFonts w:ascii="Times New Roman" w:hAnsi="Times New Roman" w:cs="Times New Roman"/>
          <w:sz w:val="24"/>
          <w:szCs w:val="24"/>
        </w:rPr>
        <w:t>(16), 3657. https://doi.org/10.3390/rs14163657</w:t>
      </w:r>
    </w:p>
    <w:p w14:paraId="42845ACE"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Das, S., &amp; Vincent, J. R. (2009). Mangroves protected villages and reduced death toll during Indian super cyclone. </w:t>
      </w:r>
      <w:r w:rsidRPr="00A52E57">
        <w:rPr>
          <w:rFonts w:ascii="Times New Roman" w:hAnsi="Times New Roman" w:cs="Times New Roman"/>
          <w:i/>
          <w:iCs/>
          <w:sz w:val="24"/>
          <w:szCs w:val="24"/>
        </w:rPr>
        <w:t>Proceedings of the National Academy of Sciences, 106</w:t>
      </w:r>
      <w:r w:rsidRPr="00A52E57">
        <w:rPr>
          <w:rFonts w:ascii="Times New Roman" w:hAnsi="Times New Roman" w:cs="Times New Roman"/>
          <w:sz w:val="24"/>
          <w:szCs w:val="24"/>
        </w:rPr>
        <w:t>(18), 7357–7360. https://doi.org/10.1073/pnas.0810440106</w:t>
      </w:r>
    </w:p>
    <w:p w14:paraId="6A9C6068"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373FB">
        <w:rPr>
          <w:rFonts w:ascii="Times New Roman" w:hAnsi="Times New Roman" w:cs="Times New Roman"/>
          <w:sz w:val="24"/>
          <w:szCs w:val="24"/>
          <w:lang w:val="fi-FI"/>
        </w:rPr>
        <w:t xml:space="preserve">Donato, D. C., Kauffman, J. B., Murdiyarso, D., Kurnianto, S., Stidham, M., &amp; Kanninen, M. (2011). </w:t>
      </w:r>
      <w:r w:rsidRPr="00A52E57">
        <w:rPr>
          <w:rFonts w:ascii="Times New Roman" w:hAnsi="Times New Roman" w:cs="Times New Roman"/>
          <w:sz w:val="24"/>
          <w:szCs w:val="24"/>
        </w:rPr>
        <w:t xml:space="preserve">Mangroves among the most carbon-rich forests in the tropics. </w:t>
      </w:r>
      <w:r w:rsidRPr="00A52E57">
        <w:rPr>
          <w:rFonts w:ascii="Times New Roman" w:hAnsi="Times New Roman" w:cs="Times New Roman"/>
          <w:i/>
          <w:iCs/>
          <w:sz w:val="24"/>
          <w:szCs w:val="24"/>
        </w:rPr>
        <w:t>Nature Geoscience, 4</w:t>
      </w:r>
      <w:r w:rsidRPr="00A52E57">
        <w:rPr>
          <w:rFonts w:ascii="Times New Roman" w:hAnsi="Times New Roman" w:cs="Times New Roman"/>
          <w:sz w:val="24"/>
          <w:szCs w:val="24"/>
        </w:rPr>
        <w:t>(5), 293–297. https://doi.org/10.1038/ngeo1123</w:t>
      </w:r>
    </w:p>
    <w:p w14:paraId="0C2B723E"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Duke, N. C., Meynecke, J. O., Dittmann, S., Ellison, A. M., Anger, K., Berger, U., … Dahdouh-Guebas, F. (2007). A world without mangroves? </w:t>
      </w:r>
      <w:r w:rsidRPr="00A52E57">
        <w:rPr>
          <w:rFonts w:ascii="Times New Roman" w:hAnsi="Times New Roman" w:cs="Times New Roman"/>
          <w:i/>
          <w:iCs/>
          <w:sz w:val="24"/>
          <w:szCs w:val="24"/>
        </w:rPr>
        <w:t>Science, 317</w:t>
      </w:r>
      <w:r w:rsidRPr="00A52E57">
        <w:rPr>
          <w:rFonts w:ascii="Times New Roman" w:hAnsi="Times New Roman" w:cs="Times New Roman"/>
          <w:sz w:val="24"/>
          <w:szCs w:val="24"/>
        </w:rPr>
        <w:t>(5834), 41–42. https://doi.org/10.1126/science.317.5834.41b</w:t>
      </w:r>
    </w:p>
    <w:p w14:paraId="79CA5CA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Duke, N. C., Kovacs, J. M., Griffiths, A. D., Preece, L., Hill, D. J. E., van Oosterzee, P., Mackenzie, J., Morning, H. S., &amp; Burrows, D. (2017). Large-scale dieback of mangroves in Australia. </w:t>
      </w:r>
      <w:r w:rsidRPr="00A52E57">
        <w:rPr>
          <w:rFonts w:ascii="Times New Roman" w:hAnsi="Times New Roman" w:cs="Times New Roman"/>
          <w:i/>
          <w:iCs/>
          <w:sz w:val="24"/>
          <w:szCs w:val="24"/>
        </w:rPr>
        <w:t>Marine and Freshwater Research, 68</w:t>
      </w:r>
      <w:r w:rsidRPr="00A52E57">
        <w:rPr>
          <w:rFonts w:ascii="Times New Roman" w:hAnsi="Times New Roman" w:cs="Times New Roman"/>
          <w:sz w:val="24"/>
          <w:szCs w:val="24"/>
        </w:rPr>
        <w:t>(10), 1816–1829. https://doi.org/10.1071/MF16322</w:t>
      </w:r>
    </w:p>
    <w:p w14:paraId="63528D33"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Friess, D. A., Rogers, K., Lovelock, C. E., Krauss, K. W., Hamilton, S. E., Lee, S. Y., Lucas, R., Primavera, J., Rajkaran, A., &amp; Shi, S. (2022). The state of the world’s mangrove forests: Past, present, and future. </w:t>
      </w:r>
      <w:r w:rsidRPr="00A52E57">
        <w:rPr>
          <w:rFonts w:ascii="Times New Roman" w:hAnsi="Times New Roman" w:cs="Times New Roman"/>
          <w:i/>
          <w:iCs/>
          <w:sz w:val="24"/>
          <w:szCs w:val="24"/>
        </w:rPr>
        <w:t>Annual Review of Environment and Resources, 47</w:t>
      </w:r>
      <w:r w:rsidRPr="00A52E57">
        <w:rPr>
          <w:rFonts w:ascii="Times New Roman" w:hAnsi="Times New Roman" w:cs="Times New Roman"/>
          <w:sz w:val="24"/>
          <w:szCs w:val="24"/>
        </w:rPr>
        <w:t>(1), 1–30. https://doi.org/10.1146/annurev-environ-120920-104849</w:t>
      </w:r>
    </w:p>
    <w:p w14:paraId="1E60D4DB"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Global Mangrove Alliance. (2024). </w:t>
      </w:r>
      <w:r w:rsidRPr="00A52E57">
        <w:rPr>
          <w:rFonts w:ascii="Times New Roman" w:hAnsi="Times New Roman" w:cs="Times New Roman"/>
          <w:i/>
          <w:iCs/>
          <w:sz w:val="24"/>
          <w:szCs w:val="24"/>
        </w:rPr>
        <w:t>The state of the world’s mangroves 2024</w:t>
      </w:r>
      <w:r w:rsidRPr="00A52E57">
        <w:rPr>
          <w:rFonts w:ascii="Times New Roman" w:hAnsi="Times New Roman" w:cs="Times New Roman"/>
          <w:sz w:val="24"/>
          <w:szCs w:val="24"/>
        </w:rPr>
        <w:t>. Global Mangrove Alliance. Retrieved from https://www.mangrovealliance.org</w:t>
      </w:r>
    </w:p>
    <w:p w14:paraId="03D29806"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Goldberg, L., Lagomasino, D., Thomas, N., &amp; Fatoyinbo, T. (2020). Global declines in human-driven mangrove loss. </w:t>
      </w:r>
      <w:r w:rsidRPr="00A52E57">
        <w:rPr>
          <w:rFonts w:ascii="Times New Roman" w:hAnsi="Times New Roman" w:cs="Times New Roman"/>
          <w:i/>
          <w:iCs/>
          <w:sz w:val="24"/>
          <w:szCs w:val="24"/>
        </w:rPr>
        <w:t>Global Change Biology, 26</w:t>
      </w:r>
      <w:r w:rsidRPr="00A52E57">
        <w:rPr>
          <w:rFonts w:ascii="Times New Roman" w:hAnsi="Times New Roman" w:cs="Times New Roman"/>
          <w:sz w:val="24"/>
          <w:szCs w:val="24"/>
        </w:rPr>
        <w:t>(10), 5844–5855. https://doi.org/10.1111/gcb.15275</w:t>
      </w:r>
    </w:p>
    <w:p w14:paraId="411ED61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Hamilton, S. E., &amp; Casey, D. (2016). Creation of a high spatio-temporal resolution global database of continuous mangrove forest cover for the 21st century (CGMFC-21). </w:t>
      </w:r>
      <w:r w:rsidRPr="00A52E57">
        <w:rPr>
          <w:rFonts w:ascii="Times New Roman" w:hAnsi="Times New Roman" w:cs="Times New Roman"/>
          <w:i/>
          <w:iCs/>
          <w:sz w:val="24"/>
          <w:szCs w:val="24"/>
        </w:rPr>
        <w:t>Global Ecology and Biogeography, 25</w:t>
      </w:r>
      <w:r w:rsidRPr="00A52E57">
        <w:rPr>
          <w:rFonts w:ascii="Times New Roman" w:hAnsi="Times New Roman" w:cs="Times New Roman"/>
          <w:sz w:val="24"/>
          <w:szCs w:val="24"/>
        </w:rPr>
        <w:t>(6), 729–738. https://doi.org/10.1111/geb.12449</w:t>
      </w:r>
    </w:p>
    <w:p w14:paraId="57078412"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lastRenderedPageBreak/>
        <w:t xml:space="preserve">Horstman, E. M., Dohmen-Janssen, C. M., Narra, P. M. F., van den Berg, N. J. F., Siemerink, M., &amp; Balke, T. (2014). Wave attenuation in mangroves: A quantitative approach to field observations. </w:t>
      </w:r>
      <w:r w:rsidRPr="00A52E57">
        <w:rPr>
          <w:rFonts w:ascii="Times New Roman" w:hAnsi="Times New Roman" w:cs="Times New Roman"/>
          <w:i/>
          <w:iCs/>
          <w:sz w:val="24"/>
          <w:szCs w:val="24"/>
        </w:rPr>
        <w:t>Coastal Engineering, 94</w:t>
      </w:r>
      <w:r w:rsidRPr="00A52E57">
        <w:rPr>
          <w:rFonts w:ascii="Times New Roman" w:hAnsi="Times New Roman" w:cs="Times New Roman"/>
          <w:sz w:val="24"/>
          <w:szCs w:val="24"/>
        </w:rPr>
        <w:t>, 47–62. https://doi.org/10.1016/j.coastaleng.2014.08.005</w:t>
      </w:r>
    </w:p>
    <w:p w14:paraId="5662995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Jia, M., Wang, Z., Mao, D., Ren, C., Wang, C., &amp; Zhu, Z. (2023). A high-resolution global map of mangroves and its spatio-temporal dynamics. </w:t>
      </w:r>
      <w:r w:rsidRPr="00A52E57">
        <w:rPr>
          <w:rFonts w:ascii="Times New Roman" w:hAnsi="Times New Roman" w:cs="Times New Roman"/>
          <w:i/>
          <w:iCs/>
          <w:sz w:val="24"/>
          <w:szCs w:val="24"/>
        </w:rPr>
        <w:t>Remote Sensing of Environment, 286</w:t>
      </w:r>
      <w:r w:rsidRPr="00A52E57">
        <w:rPr>
          <w:rFonts w:ascii="Times New Roman" w:hAnsi="Times New Roman" w:cs="Times New Roman"/>
          <w:sz w:val="24"/>
          <w:szCs w:val="24"/>
        </w:rPr>
        <w:t>, 113410. https://doi.org/10.1016/j.rse.2022.113410</w:t>
      </w:r>
    </w:p>
    <w:p w14:paraId="1FA10FD9"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Lewis, R. R. (2005). Ecological engineering for successful management and restoration of mangrove forests. </w:t>
      </w:r>
      <w:r w:rsidRPr="00A52E57">
        <w:rPr>
          <w:rFonts w:ascii="Times New Roman" w:hAnsi="Times New Roman" w:cs="Times New Roman"/>
          <w:i/>
          <w:iCs/>
          <w:sz w:val="24"/>
          <w:szCs w:val="24"/>
        </w:rPr>
        <w:t>Ecological Engineering, 24</w:t>
      </w:r>
      <w:r w:rsidRPr="00A52E57">
        <w:rPr>
          <w:rFonts w:ascii="Times New Roman" w:hAnsi="Times New Roman" w:cs="Times New Roman"/>
          <w:sz w:val="24"/>
          <w:szCs w:val="24"/>
        </w:rPr>
        <w:t>(4), 403–418. https://doi.org/10.1016/j.ecoleng.2004.10.003</w:t>
      </w:r>
    </w:p>
    <w:p w14:paraId="00E9B3A1"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Lovelock, C. E., Cahoon, D. R., Friess, D. A., Guntenspergen, G. R., Krauss, K. W., Reef, R., Rogers, K., Saunders, M. L., Sidik, F., Swales, A., Saintilan, N., Thuyen, L. X., &amp; Triet, T. (2015). The vulnerability of Indo-Pacific mangrove forests to sea-level rise. </w:t>
      </w:r>
      <w:r w:rsidRPr="00A52E57">
        <w:rPr>
          <w:rFonts w:ascii="Times New Roman" w:hAnsi="Times New Roman" w:cs="Times New Roman"/>
          <w:i/>
          <w:iCs/>
          <w:sz w:val="24"/>
          <w:szCs w:val="24"/>
        </w:rPr>
        <w:t>Nature, 526</w:t>
      </w:r>
      <w:r w:rsidRPr="00A52E57">
        <w:rPr>
          <w:rFonts w:ascii="Times New Roman" w:hAnsi="Times New Roman" w:cs="Times New Roman"/>
          <w:sz w:val="24"/>
          <w:szCs w:val="24"/>
        </w:rPr>
        <w:t>(7574), 559–563. https://doi.org/10.1038/nature15538</w:t>
      </w:r>
    </w:p>
    <w:p w14:paraId="209CD90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0F6DD7">
        <w:rPr>
          <w:rFonts w:ascii="Times New Roman" w:hAnsi="Times New Roman" w:cs="Times New Roman"/>
          <w:sz w:val="24"/>
          <w:szCs w:val="24"/>
          <w:lang w:val="es-US"/>
        </w:rPr>
        <w:t xml:space="preserve">Mazda, Y., Magi, M., </w:t>
      </w:r>
      <w:proofErr w:type="spellStart"/>
      <w:r w:rsidRPr="000F6DD7">
        <w:rPr>
          <w:rFonts w:ascii="Times New Roman" w:hAnsi="Times New Roman" w:cs="Times New Roman"/>
          <w:sz w:val="24"/>
          <w:szCs w:val="24"/>
          <w:lang w:val="es-US"/>
        </w:rPr>
        <w:t>Kogo</w:t>
      </w:r>
      <w:proofErr w:type="spellEnd"/>
      <w:r w:rsidRPr="000F6DD7">
        <w:rPr>
          <w:rFonts w:ascii="Times New Roman" w:hAnsi="Times New Roman" w:cs="Times New Roman"/>
          <w:sz w:val="24"/>
          <w:szCs w:val="24"/>
          <w:lang w:val="es-US"/>
        </w:rPr>
        <w:t xml:space="preserve">, M., &amp; Hong, P. N. (2006). </w:t>
      </w:r>
      <w:r w:rsidRPr="00A52E57">
        <w:rPr>
          <w:rFonts w:ascii="Times New Roman" w:hAnsi="Times New Roman" w:cs="Times New Roman"/>
          <w:sz w:val="24"/>
          <w:szCs w:val="24"/>
        </w:rPr>
        <w:t xml:space="preserve">Wave reduction in a mangrove forest dominated by </w:t>
      </w:r>
      <w:r w:rsidRPr="00A52E57">
        <w:rPr>
          <w:rFonts w:ascii="Times New Roman" w:hAnsi="Times New Roman" w:cs="Times New Roman"/>
          <w:i/>
          <w:iCs/>
          <w:sz w:val="24"/>
          <w:szCs w:val="24"/>
        </w:rPr>
        <w:t>Sonneratia sp.</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Wetlands Ecology and Management, 14</w:t>
      </w:r>
      <w:r w:rsidRPr="00A52E57">
        <w:rPr>
          <w:rFonts w:ascii="Times New Roman" w:hAnsi="Times New Roman" w:cs="Times New Roman"/>
          <w:sz w:val="24"/>
          <w:szCs w:val="24"/>
        </w:rPr>
        <w:t>(4), 365–378. https://doi.org/10.1007/s11273-005-5384-0</w:t>
      </w:r>
    </w:p>
    <w:p w14:paraId="3C3E4AC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Nagelkerken, I., Blaber, S. J. M., Bouillon, S., Green, P., Haywood, M., Kirton, L. G., … Somerfield, P. J. (2008). The habitat function of mangroves for terrestrial and marine fauna: A review. </w:t>
      </w:r>
      <w:r w:rsidRPr="00A52E57">
        <w:rPr>
          <w:rFonts w:ascii="Times New Roman" w:hAnsi="Times New Roman" w:cs="Times New Roman"/>
          <w:i/>
          <w:iCs/>
          <w:sz w:val="24"/>
          <w:szCs w:val="24"/>
        </w:rPr>
        <w:t>Aquatic Botany, 89</w:t>
      </w:r>
      <w:r w:rsidRPr="00A52E57">
        <w:rPr>
          <w:rFonts w:ascii="Times New Roman" w:hAnsi="Times New Roman" w:cs="Times New Roman"/>
          <w:sz w:val="24"/>
          <w:szCs w:val="24"/>
        </w:rPr>
        <w:t>(2), 155–185. https://doi.org/10.1016/j.aquabot.2007.12.007</w:t>
      </w:r>
    </w:p>
    <w:p w14:paraId="3CC71E2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Richards, D. R., &amp; Friess, D. A. (2016). Rates and drivers of mangrove deforestation in Southeast Asia, 2000–2012. </w:t>
      </w:r>
      <w:r w:rsidRPr="00A52E57">
        <w:rPr>
          <w:rFonts w:ascii="Times New Roman" w:hAnsi="Times New Roman" w:cs="Times New Roman"/>
          <w:i/>
          <w:iCs/>
          <w:sz w:val="24"/>
          <w:szCs w:val="24"/>
        </w:rPr>
        <w:t>Proceedings of the National Academy of Sciences, 113</w:t>
      </w:r>
      <w:r w:rsidRPr="00A52E57">
        <w:rPr>
          <w:rFonts w:ascii="Times New Roman" w:hAnsi="Times New Roman" w:cs="Times New Roman"/>
          <w:sz w:val="24"/>
          <w:szCs w:val="24"/>
        </w:rPr>
        <w:t>(2), 344–349. https://doi.org/10.1073/pnas.1510272113</w:t>
      </w:r>
    </w:p>
    <w:p w14:paraId="3DDC915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Saintilan, N., Wilson, N. C., Rogers, K., Rajkaran, A., &amp; Krauss, K. W. (2014). Mangrove expansion and salt marsh decline at mangrove poleward limits. </w:t>
      </w:r>
      <w:r w:rsidRPr="00A52E57">
        <w:rPr>
          <w:rFonts w:ascii="Times New Roman" w:hAnsi="Times New Roman" w:cs="Times New Roman"/>
          <w:i/>
          <w:iCs/>
          <w:sz w:val="24"/>
          <w:szCs w:val="24"/>
        </w:rPr>
        <w:t>Global Change Biology, 20</w:t>
      </w:r>
      <w:r w:rsidRPr="00A52E57">
        <w:rPr>
          <w:rFonts w:ascii="Times New Roman" w:hAnsi="Times New Roman" w:cs="Times New Roman"/>
          <w:sz w:val="24"/>
          <w:szCs w:val="24"/>
        </w:rPr>
        <w:t>(1), 147–157. https://doi.org/10.1111/gcb.12341</w:t>
      </w:r>
    </w:p>
    <w:p w14:paraId="51C081E8" w14:textId="497ABF7D"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Selvaraj, 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(2025). Enhancement of tropical degraded mangrove mapping using hyperspectral data in the Muthupet mangrove forest, Tamil Nadu, India. </w:t>
      </w:r>
      <w:r w:rsidRPr="00A52E57">
        <w:rPr>
          <w:rFonts w:ascii="Times New Roman" w:hAnsi="Times New Roman" w:cs="Times New Roman"/>
          <w:i/>
          <w:iCs/>
          <w:sz w:val="24"/>
          <w:szCs w:val="24"/>
        </w:rPr>
        <w:lastRenderedPageBreak/>
        <w:t>Applied Earth Observation and Geoinformation, 156</w:t>
      </w:r>
      <w:r w:rsidRPr="00A52E57">
        <w:rPr>
          <w:rFonts w:ascii="Times New Roman" w:hAnsi="Times New Roman" w:cs="Times New Roman"/>
          <w:sz w:val="24"/>
          <w:szCs w:val="24"/>
        </w:rPr>
        <w:t>, 337–352. https://doi.org/10.1016/j.jag.2024.103551</w:t>
      </w:r>
    </w:p>
    <w:p w14:paraId="6144902C" w14:textId="20D18428"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Thomas, N., Lucas, R., Bunting, P., Hardy, A., Rosenqvist, A., &amp; Simard, M. (2017). Distribution and drivers of global mangrove forest change, 1996–2010. </w:t>
      </w:r>
      <w:r w:rsidRPr="00A52E57">
        <w:rPr>
          <w:rFonts w:ascii="Times New Roman" w:hAnsi="Times New Roman" w:cs="Times New Roman"/>
          <w:i/>
          <w:iCs/>
          <w:sz w:val="24"/>
          <w:szCs w:val="24"/>
        </w:rPr>
        <w:t>PLoS ONE, 12</w:t>
      </w:r>
      <w:r w:rsidRPr="00A52E57">
        <w:rPr>
          <w:rFonts w:ascii="Times New Roman" w:hAnsi="Times New Roman" w:cs="Times New Roman"/>
          <w:sz w:val="24"/>
          <w:szCs w:val="24"/>
        </w:rPr>
        <w:t>(6), e0179302. https://doi.org/10.1371/journal.pone.0179302</w:t>
      </w:r>
    </w:p>
    <w:p w14:paraId="1E5BE198" w14:textId="38809655" w:rsid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Ward, R. D., Friess, D. A., Day, R. H., &amp; MacKenzie, R. A. (2016). Impacts of climate change on mangrove ecosystems: A region by region overview. </w:t>
      </w:r>
      <w:r w:rsidRPr="00A52E57">
        <w:rPr>
          <w:rFonts w:ascii="Times New Roman" w:hAnsi="Times New Roman" w:cs="Times New Roman"/>
          <w:i/>
          <w:iCs/>
          <w:sz w:val="24"/>
          <w:szCs w:val="24"/>
        </w:rPr>
        <w:t>Ecosystem Health and Sustainability, 2</w:t>
      </w:r>
      <w:r w:rsidRPr="00A52E57">
        <w:rPr>
          <w:rFonts w:ascii="Times New Roman" w:hAnsi="Times New Roman" w:cs="Times New Roman"/>
          <w:sz w:val="24"/>
          <w:szCs w:val="24"/>
        </w:rPr>
        <w:t xml:space="preserve">(4), e01211. </w:t>
      </w:r>
      <w:hyperlink r:id="rId15" w:history="1">
        <w:r w:rsidR="00472E9E" w:rsidRPr="00F4462E">
          <w:rPr>
            <w:rStyle w:val="Hyperlink"/>
            <w:rFonts w:ascii="Times New Roman" w:hAnsi="Times New Roman" w:cs="Times New Roman"/>
            <w:sz w:val="24"/>
            <w:szCs w:val="24"/>
          </w:rPr>
          <w:t>https://doi.org/10.1002/ehs2.1211</w:t>
        </w:r>
      </w:hyperlink>
    </w:p>
    <w:p w14:paraId="1512D948" w14:textId="5D70D13D" w:rsidR="00472E9E" w:rsidRPr="000F6DD7" w:rsidRDefault="00472E9E" w:rsidP="00A52E57">
      <w:pPr>
        <w:pStyle w:val="ListParagraph"/>
        <w:numPr>
          <w:ilvl w:val="0"/>
          <w:numId w:val="10"/>
        </w:numPr>
        <w:spacing w:line="360" w:lineRule="auto"/>
        <w:jc w:val="both"/>
        <w:rPr>
          <w:rFonts w:ascii="Times New Roman" w:hAnsi="Times New Roman" w:cs="Times New Roman"/>
          <w:sz w:val="24"/>
          <w:szCs w:val="24"/>
          <w:highlight w:val="yellow"/>
        </w:rPr>
      </w:pPr>
      <w:r w:rsidRPr="000F6DD7">
        <w:rPr>
          <w:rFonts w:ascii="Times New Roman" w:hAnsi="Times New Roman" w:cs="Times New Roman"/>
          <w:sz w:val="24"/>
          <w:szCs w:val="24"/>
          <w:highlight w:val="yellow"/>
        </w:rPr>
        <w:t>Friess, D. A., Adame, M. F., Adams, J. B., &amp; Lovelock, C. E. (2022). Mangrove forests under climate change in a 2 C world. </w:t>
      </w:r>
      <w:r w:rsidRPr="000F6DD7">
        <w:rPr>
          <w:rFonts w:ascii="Times New Roman" w:hAnsi="Times New Roman" w:cs="Times New Roman"/>
          <w:i/>
          <w:iCs/>
          <w:sz w:val="24"/>
          <w:szCs w:val="24"/>
          <w:highlight w:val="yellow"/>
        </w:rPr>
        <w:t>Wiley Interdisciplinary Reviews: Climate Change</w:t>
      </w:r>
      <w:r w:rsidRPr="000F6DD7">
        <w:rPr>
          <w:rFonts w:ascii="Times New Roman" w:hAnsi="Times New Roman" w:cs="Times New Roman"/>
          <w:sz w:val="24"/>
          <w:szCs w:val="24"/>
          <w:highlight w:val="yellow"/>
        </w:rPr>
        <w:t>, </w:t>
      </w:r>
      <w:r w:rsidRPr="000F6DD7">
        <w:rPr>
          <w:rFonts w:ascii="Times New Roman" w:hAnsi="Times New Roman" w:cs="Times New Roman"/>
          <w:i/>
          <w:iCs/>
          <w:sz w:val="24"/>
          <w:szCs w:val="24"/>
          <w:highlight w:val="yellow"/>
        </w:rPr>
        <w:t>13</w:t>
      </w:r>
      <w:r w:rsidRPr="000F6DD7">
        <w:rPr>
          <w:rFonts w:ascii="Times New Roman" w:hAnsi="Times New Roman" w:cs="Times New Roman"/>
          <w:sz w:val="24"/>
          <w:szCs w:val="24"/>
          <w:highlight w:val="yellow"/>
        </w:rPr>
        <w:t>(4), e792.</w:t>
      </w:r>
    </w:p>
    <w:p w14:paraId="62833B2C" w14:textId="72927812" w:rsidR="00472E9E" w:rsidRDefault="00BD0A0B" w:rsidP="00A52E57">
      <w:pPr>
        <w:pStyle w:val="ListParagraph"/>
        <w:numPr>
          <w:ilvl w:val="0"/>
          <w:numId w:val="10"/>
        </w:numPr>
        <w:spacing w:line="360" w:lineRule="auto"/>
        <w:jc w:val="both"/>
        <w:rPr>
          <w:rFonts w:ascii="Times New Roman" w:hAnsi="Times New Roman" w:cs="Times New Roman"/>
          <w:sz w:val="24"/>
          <w:szCs w:val="24"/>
          <w:highlight w:val="yellow"/>
        </w:rPr>
      </w:pPr>
      <w:r w:rsidRPr="00BD0A0B">
        <w:rPr>
          <w:rFonts w:ascii="Times New Roman" w:hAnsi="Times New Roman" w:cs="Times New Roman"/>
          <w:sz w:val="24"/>
          <w:szCs w:val="24"/>
          <w:highlight w:val="yellow"/>
        </w:rPr>
        <w:t xml:space="preserve">Sunkur, R., </w:t>
      </w:r>
      <w:proofErr w:type="spellStart"/>
      <w:r w:rsidRPr="00BD0A0B">
        <w:rPr>
          <w:rFonts w:ascii="Times New Roman" w:hAnsi="Times New Roman" w:cs="Times New Roman"/>
          <w:sz w:val="24"/>
          <w:szCs w:val="24"/>
          <w:highlight w:val="yellow"/>
        </w:rPr>
        <w:t>Kantamaneni</w:t>
      </w:r>
      <w:proofErr w:type="spellEnd"/>
      <w:r w:rsidRPr="00BD0A0B">
        <w:rPr>
          <w:rFonts w:ascii="Times New Roman" w:hAnsi="Times New Roman" w:cs="Times New Roman"/>
          <w:sz w:val="24"/>
          <w:szCs w:val="24"/>
          <w:highlight w:val="yellow"/>
        </w:rPr>
        <w:t xml:space="preserve">, K., </w:t>
      </w:r>
      <w:proofErr w:type="spellStart"/>
      <w:r w:rsidRPr="00BD0A0B">
        <w:rPr>
          <w:rFonts w:ascii="Times New Roman" w:hAnsi="Times New Roman" w:cs="Times New Roman"/>
          <w:sz w:val="24"/>
          <w:szCs w:val="24"/>
          <w:highlight w:val="yellow"/>
        </w:rPr>
        <w:t>Bokhoree</w:t>
      </w:r>
      <w:proofErr w:type="spellEnd"/>
      <w:r w:rsidRPr="00BD0A0B">
        <w:rPr>
          <w:rFonts w:ascii="Times New Roman" w:hAnsi="Times New Roman" w:cs="Times New Roman"/>
          <w:sz w:val="24"/>
          <w:szCs w:val="24"/>
          <w:highlight w:val="yellow"/>
        </w:rPr>
        <w:t>, C., Rathnayake, U., &amp; Fernando, M. (2025). Modelling mangrove dynamics in Mauritius: Implications for conservation and climate resilience. </w:t>
      </w:r>
      <w:r w:rsidRPr="00BD0A0B">
        <w:rPr>
          <w:rFonts w:ascii="Times New Roman" w:hAnsi="Times New Roman" w:cs="Times New Roman"/>
          <w:i/>
          <w:iCs/>
          <w:sz w:val="24"/>
          <w:szCs w:val="24"/>
          <w:highlight w:val="yellow"/>
        </w:rPr>
        <w:t>Journal for Nature Conservation</w:t>
      </w:r>
      <w:r w:rsidRPr="00BD0A0B">
        <w:rPr>
          <w:rFonts w:ascii="Times New Roman" w:hAnsi="Times New Roman" w:cs="Times New Roman"/>
          <w:sz w:val="24"/>
          <w:szCs w:val="24"/>
          <w:highlight w:val="yellow"/>
        </w:rPr>
        <w:t>, </w:t>
      </w:r>
      <w:r w:rsidRPr="00BD0A0B">
        <w:rPr>
          <w:rFonts w:ascii="Times New Roman" w:hAnsi="Times New Roman" w:cs="Times New Roman"/>
          <w:i/>
          <w:iCs/>
          <w:sz w:val="24"/>
          <w:szCs w:val="24"/>
          <w:highlight w:val="yellow"/>
        </w:rPr>
        <w:t>85</w:t>
      </w:r>
      <w:r w:rsidRPr="00BD0A0B">
        <w:rPr>
          <w:rFonts w:ascii="Times New Roman" w:hAnsi="Times New Roman" w:cs="Times New Roman"/>
          <w:sz w:val="24"/>
          <w:szCs w:val="24"/>
          <w:highlight w:val="yellow"/>
        </w:rPr>
        <w:t>, 126864.</w:t>
      </w:r>
    </w:p>
    <w:p w14:paraId="167AA221" w14:textId="112200BB" w:rsidR="00BD0A0B" w:rsidRPr="000F6DD7" w:rsidRDefault="00CA0A64" w:rsidP="00A52E57">
      <w:pPr>
        <w:pStyle w:val="ListParagraph"/>
        <w:numPr>
          <w:ilvl w:val="0"/>
          <w:numId w:val="10"/>
        </w:numPr>
        <w:spacing w:line="360" w:lineRule="auto"/>
        <w:jc w:val="both"/>
        <w:rPr>
          <w:rFonts w:ascii="Times New Roman" w:hAnsi="Times New Roman" w:cs="Times New Roman"/>
          <w:sz w:val="24"/>
          <w:szCs w:val="24"/>
          <w:highlight w:val="yellow"/>
        </w:rPr>
      </w:pPr>
      <w:proofErr w:type="spellStart"/>
      <w:r w:rsidRPr="000F6DD7">
        <w:rPr>
          <w:rFonts w:ascii="Times New Roman" w:hAnsi="Times New Roman" w:cs="Times New Roman"/>
          <w:sz w:val="24"/>
          <w:szCs w:val="24"/>
          <w:highlight w:val="yellow"/>
          <w:lang w:val="es-US"/>
        </w:rPr>
        <w:t>Jariah</w:t>
      </w:r>
      <w:proofErr w:type="spellEnd"/>
      <w:r w:rsidRPr="000F6DD7">
        <w:rPr>
          <w:rFonts w:ascii="Times New Roman" w:hAnsi="Times New Roman" w:cs="Times New Roman"/>
          <w:sz w:val="24"/>
          <w:szCs w:val="24"/>
          <w:highlight w:val="yellow"/>
          <w:lang w:val="es-US"/>
        </w:rPr>
        <w:t xml:space="preserve">, H., </w:t>
      </w:r>
      <w:proofErr w:type="spellStart"/>
      <w:r w:rsidRPr="000F6DD7">
        <w:rPr>
          <w:rFonts w:ascii="Times New Roman" w:hAnsi="Times New Roman" w:cs="Times New Roman"/>
          <w:sz w:val="24"/>
          <w:szCs w:val="24"/>
          <w:highlight w:val="yellow"/>
          <w:lang w:val="es-US"/>
        </w:rPr>
        <w:t>Sujalu</w:t>
      </w:r>
      <w:proofErr w:type="spellEnd"/>
      <w:r w:rsidRPr="000F6DD7">
        <w:rPr>
          <w:rFonts w:ascii="Times New Roman" w:hAnsi="Times New Roman" w:cs="Times New Roman"/>
          <w:sz w:val="24"/>
          <w:szCs w:val="24"/>
          <w:highlight w:val="yellow"/>
          <w:lang w:val="es-US"/>
        </w:rPr>
        <w:t xml:space="preserve">, A. P., &amp; </w:t>
      </w:r>
      <w:proofErr w:type="spellStart"/>
      <w:r w:rsidRPr="000F6DD7">
        <w:rPr>
          <w:rFonts w:ascii="Times New Roman" w:hAnsi="Times New Roman" w:cs="Times New Roman"/>
          <w:sz w:val="24"/>
          <w:szCs w:val="24"/>
          <w:highlight w:val="yellow"/>
          <w:lang w:val="es-US"/>
        </w:rPr>
        <w:t>Milasari</w:t>
      </w:r>
      <w:proofErr w:type="spellEnd"/>
      <w:r w:rsidRPr="000F6DD7">
        <w:rPr>
          <w:rFonts w:ascii="Times New Roman" w:hAnsi="Times New Roman" w:cs="Times New Roman"/>
          <w:sz w:val="24"/>
          <w:szCs w:val="24"/>
          <w:highlight w:val="yellow"/>
          <w:lang w:val="es-US"/>
        </w:rPr>
        <w:t xml:space="preserve">, L. A. (2024). </w:t>
      </w:r>
      <w:r w:rsidRPr="00CA0A64">
        <w:rPr>
          <w:rFonts w:ascii="Times New Roman" w:hAnsi="Times New Roman" w:cs="Times New Roman"/>
          <w:sz w:val="24"/>
          <w:szCs w:val="24"/>
          <w:highlight w:val="yellow"/>
        </w:rPr>
        <w:t xml:space="preserve">Mitigation of mangrove forest destruction in East Kalimantan Province. </w:t>
      </w:r>
      <w:r w:rsidRPr="00CA0A64">
        <w:rPr>
          <w:rFonts w:ascii="Times New Roman" w:hAnsi="Times New Roman" w:cs="Times New Roman"/>
          <w:i/>
          <w:iCs/>
          <w:sz w:val="24"/>
          <w:szCs w:val="24"/>
          <w:highlight w:val="yellow"/>
        </w:rPr>
        <w:t>Asian Journal of Research in Agriculture and Forestry, 10</w:t>
      </w:r>
      <w:r w:rsidRPr="00CA0A64">
        <w:rPr>
          <w:rFonts w:ascii="Times New Roman" w:hAnsi="Times New Roman" w:cs="Times New Roman"/>
          <w:sz w:val="24"/>
          <w:szCs w:val="24"/>
          <w:highlight w:val="yellow"/>
        </w:rPr>
        <w:t xml:space="preserve">(2), 97–101. </w:t>
      </w:r>
    </w:p>
    <w:p w14:paraId="44A227A7" w14:textId="44C0EFCC" w:rsidR="004300FA" w:rsidRPr="00A52E57" w:rsidRDefault="004300FA" w:rsidP="00A52E57">
      <w:pPr>
        <w:spacing w:line="360" w:lineRule="auto"/>
        <w:rPr>
          <w:rFonts w:ascii="Times New Roman" w:hAnsi="Times New Roman" w:cs="Times New Roman"/>
          <w:b/>
          <w:bCs/>
          <w:sz w:val="24"/>
          <w:szCs w:val="24"/>
        </w:rPr>
      </w:pPr>
    </w:p>
    <w:sectPr w:rsidR="004300FA" w:rsidRPr="00A52E57" w:rsidSect="00034616">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B508D" w14:textId="77777777" w:rsidR="00805ADF" w:rsidRDefault="00805ADF" w:rsidP="00761E7B">
      <w:pPr>
        <w:spacing w:after="0" w:line="240" w:lineRule="auto"/>
      </w:pPr>
      <w:r>
        <w:separator/>
      </w:r>
    </w:p>
  </w:endnote>
  <w:endnote w:type="continuationSeparator" w:id="0">
    <w:p w14:paraId="181DB930" w14:textId="77777777" w:rsidR="00805ADF" w:rsidRDefault="00805ADF" w:rsidP="0076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A9E8" w14:textId="77777777" w:rsidR="00761E7B" w:rsidRDefault="00761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083F" w14:textId="77777777" w:rsidR="00761E7B" w:rsidRDefault="00761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11C97" w14:textId="77777777" w:rsidR="00761E7B" w:rsidRDefault="00761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919BA" w14:textId="77777777" w:rsidR="00805ADF" w:rsidRDefault="00805ADF" w:rsidP="00761E7B">
      <w:pPr>
        <w:spacing w:after="0" w:line="240" w:lineRule="auto"/>
      </w:pPr>
      <w:r>
        <w:separator/>
      </w:r>
    </w:p>
  </w:footnote>
  <w:footnote w:type="continuationSeparator" w:id="0">
    <w:p w14:paraId="0EA28C48" w14:textId="77777777" w:rsidR="00805ADF" w:rsidRDefault="00805ADF" w:rsidP="0076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35F6" w14:textId="5CED6439" w:rsidR="00761E7B" w:rsidRDefault="00000000">
    <w:pPr>
      <w:pStyle w:val="Header"/>
    </w:pPr>
    <w:r>
      <w:rPr>
        <w:noProof/>
      </w:rPr>
      <w:pict w14:anchorId="5E5E2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5"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0FB2" w14:textId="27C489BF" w:rsidR="00761E7B" w:rsidRDefault="00000000">
    <w:pPr>
      <w:pStyle w:val="Header"/>
    </w:pPr>
    <w:r>
      <w:rPr>
        <w:noProof/>
      </w:rPr>
      <w:pict w14:anchorId="46E3A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6"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4C21" w14:textId="324E2E33" w:rsidR="00761E7B" w:rsidRDefault="00000000">
    <w:pPr>
      <w:pStyle w:val="Header"/>
    </w:pPr>
    <w:r>
      <w:rPr>
        <w:noProof/>
      </w:rPr>
      <w:pict w14:anchorId="682A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4"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57D95"/>
    <w:multiLevelType w:val="hybridMultilevel"/>
    <w:tmpl w:val="1B1C5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C480E"/>
    <w:multiLevelType w:val="hybridMultilevel"/>
    <w:tmpl w:val="020E2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77593157">
    <w:abstractNumId w:val="8"/>
  </w:num>
  <w:num w:numId="2" w16cid:durableId="886647161">
    <w:abstractNumId w:val="6"/>
  </w:num>
  <w:num w:numId="3" w16cid:durableId="704867598">
    <w:abstractNumId w:val="5"/>
  </w:num>
  <w:num w:numId="4" w16cid:durableId="1361130063">
    <w:abstractNumId w:val="4"/>
  </w:num>
  <w:num w:numId="5" w16cid:durableId="775487638">
    <w:abstractNumId w:val="7"/>
  </w:num>
  <w:num w:numId="6" w16cid:durableId="1941376283">
    <w:abstractNumId w:val="3"/>
  </w:num>
  <w:num w:numId="7" w16cid:durableId="165872058">
    <w:abstractNumId w:val="2"/>
  </w:num>
  <w:num w:numId="8" w16cid:durableId="1336809703">
    <w:abstractNumId w:val="1"/>
  </w:num>
  <w:num w:numId="9" w16cid:durableId="1826702452">
    <w:abstractNumId w:val="0"/>
  </w:num>
  <w:num w:numId="10" w16cid:durableId="1372219616">
    <w:abstractNumId w:val="9"/>
  </w:num>
  <w:num w:numId="11" w16cid:durableId="18759984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G0NDKzMLI0MzQwtjRV0lEKTi0uzszPAykwrAUAvR2ifCwAAAA="/>
  </w:docVars>
  <w:rsids>
    <w:rsidRoot w:val="00B47730"/>
    <w:rsid w:val="00034616"/>
    <w:rsid w:val="0006063C"/>
    <w:rsid w:val="000F6DD7"/>
    <w:rsid w:val="0015074B"/>
    <w:rsid w:val="0029639D"/>
    <w:rsid w:val="00326F90"/>
    <w:rsid w:val="004300FA"/>
    <w:rsid w:val="00472E9E"/>
    <w:rsid w:val="005A79C1"/>
    <w:rsid w:val="006143C0"/>
    <w:rsid w:val="006C614F"/>
    <w:rsid w:val="006E09CE"/>
    <w:rsid w:val="00761E7B"/>
    <w:rsid w:val="00805ADF"/>
    <w:rsid w:val="008143DC"/>
    <w:rsid w:val="00872A03"/>
    <w:rsid w:val="008958BA"/>
    <w:rsid w:val="008D4168"/>
    <w:rsid w:val="00945ACB"/>
    <w:rsid w:val="00960936"/>
    <w:rsid w:val="00A373FB"/>
    <w:rsid w:val="00A52E57"/>
    <w:rsid w:val="00AA1D8D"/>
    <w:rsid w:val="00B47730"/>
    <w:rsid w:val="00BA50D1"/>
    <w:rsid w:val="00BD0005"/>
    <w:rsid w:val="00BD0A0B"/>
    <w:rsid w:val="00C741EE"/>
    <w:rsid w:val="00CA0A64"/>
    <w:rsid w:val="00CA5F7D"/>
    <w:rsid w:val="00CB0664"/>
    <w:rsid w:val="00CC3210"/>
    <w:rsid w:val="00D011C9"/>
    <w:rsid w:val="00D10D59"/>
    <w:rsid w:val="00D90DAB"/>
    <w:rsid w:val="00EB1EB6"/>
    <w:rsid w:val="00EE1358"/>
    <w:rsid w:val="00F35C93"/>
    <w:rsid w:val="00FC693F"/>
    <w:rsid w:val="00FE2202"/>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ACA64D"/>
  <w14:defaultImageDpi w14:val="300"/>
  <w15:docId w15:val="{1CAA9B69-4F39-4309-8434-17E7C89B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945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ACB"/>
    <w:rPr>
      <w:rFonts w:ascii="Tahoma" w:hAnsi="Tahoma" w:cs="Tahoma"/>
      <w:sz w:val="16"/>
      <w:szCs w:val="16"/>
    </w:rPr>
  </w:style>
  <w:style w:type="character" w:styleId="Hyperlink">
    <w:name w:val="Hyperlink"/>
    <w:basedOn w:val="DefaultParagraphFont"/>
    <w:uiPriority w:val="99"/>
    <w:unhideWhenUsed/>
    <w:rsid w:val="00960936"/>
    <w:rPr>
      <w:color w:val="0000FF" w:themeColor="hyperlink"/>
      <w:u w:val="single"/>
    </w:rPr>
  </w:style>
  <w:style w:type="character" w:customStyle="1" w:styleId="UnresolvedMention1">
    <w:name w:val="Unresolved Mention1"/>
    <w:basedOn w:val="DefaultParagraphFont"/>
    <w:uiPriority w:val="99"/>
    <w:semiHidden/>
    <w:unhideWhenUsed/>
    <w:rsid w:val="00960936"/>
    <w:rPr>
      <w:color w:val="605E5C"/>
      <w:shd w:val="clear" w:color="auto" w:fill="E1DFDD"/>
    </w:rPr>
  </w:style>
  <w:style w:type="character" w:styleId="CommentReference">
    <w:name w:val="annotation reference"/>
    <w:basedOn w:val="DefaultParagraphFont"/>
    <w:uiPriority w:val="99"/>
    <w:semiHidden/>
    <w:unhideWhenUsed/>
    <w:rsid w:val="00A373FB"/>
    <w:rPr>
      <w:sz w:val="16"/>
      <w:szCs w:val="16"/>
    </w:rPr>
  </w:style>
  <w:style w:type="paragraph" w:styleId="CommentText">
    <w:name w:val="annotation text"/>
    <w:basedOn w:val="Normal"/>
    <w:link w:val="CommentTextChar"/>
    <w:uiPriority w:val="99"/>
    <w:unhideWhenUsed/>
    <w:rsid w:val="00A373FB"/>
    <w:pPr>
      <w:spacing w:line="240" w:lineRule="auto"/>
    </w:pPr>
    <w:rPr>
      <w:sz w:val="20"/>
      <w:szCs w:val="20"/>
    </w:rPr>
  </w:style>
  <w:style w:type="character" w:customStyle="1" w:styleId="CommentTextChar">
    <w:name w:val="Comment Text Char"/>
    <w:basedOn w:val="DefaultParagraphFont"/>
    <w:link w:val="CommentText"/>
    <w:uiPriority w:val="99"/>
    <w:rsid w:val="00A373FB"/>
    <w:rPr>
      <w:sz w:val="20"/>
      <w:szCs w:val="20"/>
    </w:rPr>
  </w:style>
  <w:style w:type="paragraph" w:styleId="CommentSubject">
    <w:name w:val="annotation subject"/>
    <w:basedOn w:val="CommentText"/>
    <w:next w:val="CommentText"/>
    <w:link w:val="CommentSubjectChar"/>
    <w:uiPriority w:val="99"/>
    <w:semiHidden/>
    <w:unhideWhenUsed/>
    <w:rsid w:val="00A373FB"/>
    <w:rPr>
      <w:b/>
      <w:bCs/>
    </w:rPr>
  </w:style>
  <w:style w:type="character" w:customStyle="1" w:styleId="CommentSubjectChar">
    <w:name w:val="Comment Subject Char"/>
    <w:basedOn w:val="CommentTextChar"/>
    <w:link w:val="CommentSubject"/>
    <w:uiPriority w:val="99"/>
    <w:semiHidden/>
    <w:rsid w:val="00A373FB"/>
    <w:rPr>
      <w:b/>
      <w:bCs/>
      <w:sz w:val="20"/>
      <w:szCs w:val="20"/>
    </w:rPr>
  </w:style>
  <w:style w:type="paragraph" w:styleId="Revision">
    <w:name w:val="Revision"/>
    <w:hidden/>
    <w:uiPriority w:val="99"/>
    <w:semiHidden/>
    <w:rsid w:val="005A79C1"/>
    <w:pPr>
      <w:spacing w:after="0" w:line="240" w:lineRule="auto"/>
    </w:pPr>
  </w:style>
  <w:style w:type="character" w:styleId="UnresolvedMention">
    <w:name w:val="Unresolved Mention"/>
    <w:basedOn w:val="DefaultParagraphFont"/>
    <w:uiPriority w:val="99"/>
    <w:semiHidden/>
    <w:unhideWhenUsed/>
    <w:rsid w:val="00472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849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02/ehs2.121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028F1-6E5F-43E8-B88E-6F9794AE2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3676</Words>
  <Characters>23343</Characters>
  <Application>Microsoft Office Word</Application>
  <DocSecurity>0</DocSecurity>
  <Lines>409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Editor-17</cp:lastModifiedBy>
  <cp:revision>10</cp:revision>
  <dcterms:created xsi:type="dcterms:W3CDTF">2025-10-08T06:55:00Z</dcterms:created>
  <dcterms:modified xsi:type="dcterms:W3CDTF">2025-10-15T09:38:00Z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0d532694-3ff6-4158-a280-1cfd7ef6a483</vt:lpwstr>
  </property>
</Properties>
</file>