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3D36F" w14:textId="77777777" w:rsidR="00754C9A" w:rsidRDefault="00754C9A" w:rsidP="00441B6F">
      <w:pPr>
        <w:pStyle w:val="Title"/>
        <w:spacing w:after="0"/>
        <w:jc w:val="both"/>
        <w:rPr>
          <w:rFonts w:ascii="Arial" w:hAnsi="Arial" w:cs="Arial"/>
        </w:rPr>
      </w:pPr>
    </w:p>
    <w:p w14:paraId="137AEB5A" w14:textId="77777777" w:rsidR="00F518CB" w:rsidRPr="00F518CB" w:rsidRDefault="00F518CB" w:rsidP="00F518CB">
      <w:pPr>
        <w:pStyle w:val="Author"/>
        <w:rPr>
          <w:rFonts w:ascii="Arial" w:hAnsi="Arial" w:cs="Arial"/>
          <w:bCs/>
          <w:i/>
          <w:iCs/>
          <w:kern w:val="28"/>
          <w:sz w:val="28"/>
          <w:szCs w:val="16"/>
          <w:u w:val="single"/>
        </w:rPr>
      </w:pPr>
      <w:r w:rsidRPr="00F518CB">
        <w:rPr>
          <w:rFonts w:ascii="Arial" w:hAnsi="Arial" w:cs="Arial"/>
          <w:bCs/>
          <w:i/>
          <w:iCs/>
          <w:kern w:val="28"/>
          <w:sz w:val="28"/>
          <w:szCs w:val="16"/>
          <w:u w:val="single"/>
        </w:rPr>
        <w:t>Short Research Article</w:t>
      </w:r>
    </w:p>
    <w:p w14:paraId="1DE63268" w14:textId="77777777" w:rsidR="00F518CB" w:rsidRDefault="00F518CB" w:rsidP="00441B6F">
      <w:pPr>
        <w:pStyle w:val="Author"/>
        <w:spacing w:line="240" w:lineRule="auto"/>
        <w:rPr>
          <w:rFonts w:ascii="Arial" w:hAnsi="Arial" w:cs="Arial"/>
          <w:bCs/>
          <w:iCs/>
          <w:kern w:val="28"/>
          <w:sz w:val="36"/>
          <w:lang w:val="en-GB"/>
        </w:rPr>
      </w:pPr>
    </w:p>
    <w:p w14:paraId="7D43075D" w14:textId="18B3A7B0" w:rsidR="00163BC4" w:rsidRPr="00163BC4" w:rsidRDefault="00B42B10" w:rsidP="00441B6F">
      <w:pPr>
        <w:pStyle w:val="Author"/>
        <w:spacing w:line="240" w:lineRule="auto"/>
        <w:rPr>
          <w:rFonts w:ascii="Arial" w:hAnsi="Arial" w:cs="Arial"/>
          <w:bCs/>
          <w:iCs/>
          <w:kern w:val="28"/>
          <w:sz w:val="36"/>
        </w:rPr>
      </w:pPr>
      <w:r w:rsidRPr="00B42B10">
        <w:rPr>
          <w:rFonts w:ascii="Arial" w:hAnsi="Arial" w:cs="Arial"/>
          <w:bCs/>
          <w:iCs/>
          <w:kern w:val="28"/>
          <w:sz w:val="36"/>
          <w:lang w:val="en-GB"/>
        </w:rPr>
        <w:t xml:space="preserve">Smudge </w:t>
      </w:r>
      <w:r w:rsidR="00740441" w:rsidRPr="00B42B10">
        <w:rPr>
          <w:rFonts w:ascii="Arial" w:hAnsi="Arial" w:cs="Arial"/>
          <w:bCs/>
          <w:iCs/>
          <w:kern w:val="28"/>
          <w:sz w:val="36"/>
          <w:lang w:val="en-GB"/>
        </w:rPr>
        <w:t>Cells</w:t>
      </w:r>
      <w:r w:rsidR="00740441">
        <w:rPr>
          <w:rFonts w:ascii="Arial" w:hAnsi="Arial" w:cs="Arial"/>
          <w:bCs/>
          <w:iCs/>
          <w:kern w:val="28"/>
          <w:sz w:val="36"/>
          <w:lang w:val="en-GB"/>
        </w:rPr>
        <w:t xml:space="preserve"> </w:t>
      </w:r>
      <w:r w:rsidR="00740441" w:rsidRPr="00727A79">
        <w:rPr>
          <w:rFonts w:ascii="Arial" w:hAnsi="Arial" w:cs="Arial"/>
          <w:bCs/>
          <w:iCs/>
          <w:kern w:val="28"/>
          <w:sz w:val="36"/>
          <w:lang w:val="en-GB"/>
        </w:rPr>
        <w:t>Reporting</w:t>
      </w:r>
      <w:r w:rsidR="00CA724F">
        <w:rPr>
          <w:rFonts w:ascii="Arial" w:hAnsi="Arial" w:cs="Arial"/>
          <w:bCs/>
          <w:iCs/>
          <w:kern w:val="28"/>
          <w:sz w:val="36"/>
          <w:lang w:val="en-GB"/>
        </w:rPr>
        <w:t xml:space="preserve"> </w:t>
      </w:r>
      <w:r w:rsidR="00DD5BEB">
        <w:rPr>
          <w:rFonts w:ascii="Arial" w:hAnsi="Arial" w:cs="Arial"/>
          <w:bCs/>
          <w:iCs/>
          <w:kern w:val="28"/>
          <w:sz w:val="36"/>
          <w:lang w:val="en-GB"/>
        </w:rPr>
        <w:t xml:space="preserve">in </w:t>
      </w:r>
      <w:r w:rsidR="00DD5BEB" w:rsidRPr="00DD5BEB">
        <w:rPr>
          <w:rFonts w:ascii="Arial" w:hAnsi="Arial" w:cs="Arial"/>
          <w:bCs/>
          <w:iCs/>
          <w:kern w:val="28"/>
          <w:sz w:val="36"/>
          <w:lang w:val="en-GB"/>
        </w:rPr>
        <w:t xml:space="preserve">Chronic Lymphocytic </w:t>
      </w:r>
      <w:proofErr w:type="spellStart"/>
      <w:r w:rsidR="00DD5BEB" w:rsidRPr="00DD5BEB">
        <w:rPr>
          <w:rFonts w:ascii="Arial" w:hAnsi="Arial" w:cs="Arial"/>
          <w:bCs/>
          <w:iCs/>
          <w:kern w:val="28"/>
          <w:sz w:val="36"/>
          <w:lang w:val="en-GB"/>
        </w:rPr>
        <w:t>Leukemia</w:t>
      </w:r>
      <w:proofErr w:type="spellEnd"/>
      <w:r w:rsidR="00DD5BEB" w:rsidRPr="00DD5BEB">
        <w:rPr>
          <w:rFonts w:ascii="Arial" w:hAnsi="Arial" w:cs="Arial"/>
          <w:bCs/>
          <w:iCs/>
          <w:kern w:val="28"/>
          <w:sz w:val="36"/>
          <w:lang w:val="en-GB"/>
        </w:rPr>
        <w:t>:</w:t>
      </w:r>
      <w:r w:rsidRPr="00B42B10">
        <w:rPr>
          <w:rFonts w:ascii="Arial" w:hAnsi="Arial" w:cs="Arial"/>
          <w:bCs/>
          <w:iCs/>
          <w:kern w:val="28"/>
          <w:sz w:val="36"/>
          <w:lang w:val="en-GB"/>
        </w:rPr>
        <w:t xml:space="preserve"> </w:t>
      </w:r>
      <w:r w:rsidR="004E0E16" w:rsidRPr="004E0E16">
        <w:rPr>
          <w:rFonts w:ascii="Arial" w:hAnsi="Arial" w:cs="Arial"/>
          <w:bCs/>
          <w:iCs/>
          <w:kern w:val="28"/>
          <w:sz w:val="36"/>
          <w:lang w:val="en-GB"/>
        </w:rPr>
        <w:t>Evaluation of</w:t>
      </w:r>
      <w:r w:rsidR="00104ED5">
        <w:rPr>
          <w:rFonts w:ascii="Arial" w:hAnsi="Arial" w:cs="Arial"/>
          <w:bCs/>
          <w:iCs/>
          <w:kern w:val="28"/>
          <w:sz w:val="36"/>
          <w:lang w:val="en-GB"/>
        </w:rPr>
        <w:t xml:space="preserve"> </w:t>
      </w:r>
      <w:r w:rsidR="007571D8" w:rsidRPr="007571D8">
        <w:rPr>
          <w:rFonts w:ascii="Arial" w:hAnsi="Arial" w:cs="Arial"/>
          <w:bCs/>
          <w:iCs/>
          <w:kern w:val="28"/>
          <w:sz w:val="36"/>
          <w:lang w:val="en-GB"/>
        </w:rPr>
        <w:t xml:space="preserve">Manual Differential </w:t>
      </w:r>
      <w:r w:rsidR="00D173F0" w:rsidRPr="007E6510">
        <w:rPr>
          <w:rFonts w:ascii="Arial" w:hAnsi="Arial" w:cs="Arial"/>
          <w:bCs/>
          <w:iCs/>
          <w:kern w:val="28"/>
          <w:sz w:val="36"/>
          <w:lang w:val="en-GB"/>
        </w:rPr>
        <w:t xml:space="preserve">Blood Count </w:t>
      </w:r>
      <w:r w:rsidR="007571D8" w:rsidRPr="007571D8">
        <w:rPr>
          <w:rFonts w:ascii="Arial" w:hAnsi="Arial" w:cs="Arial"/>
          <w:bCs/>
          <w:iCs/>
          <w:kern w:val="28"/>
          <w:sz w:val="36"/>
          <w:lang w:val="en-GB"/>
        </w:rPr>
        <w:t>and the Impact of Albumin Pre</w:t>
      </w:r>
      <w:r w:rsidR="00390E24">
        <w:rPr>
          <w:rFonts w:ascii="Arial" w:hAnsi="Arial" w:cs="Arial"/>
          <w:bCs/>
          <w:iCs/>
          <w:kern w:val="28"/>
          <w:sz w:val="36"/>
          <w:lang w:val="en-GB"/>
        </w:rPr>
        <w:t>-</w:t>
      </w:r>
      <w:r w:rsidR="007571D8" w:rsidRPr="007571D8">
        <w:rPr>
          <w:rFonts w:ascii="Arial" w:hAnsi="Arial" w:cs="Arial"/>
          <w:bCs/>
          <w:iCs/>
          <w:kern w:val="28"/>
          <w:sz w:val="36"/>
          <w:lang w:val="en-GB"/>
        </w:rPr>
        <w:t>treatment</w:t>
      </w:r>
    </w:p>
    <w:p w14:paraId="0F7E63EA" w14:textId="77777777" w:rsidR="00A258C3" w:rsidRPr="00790ADA" w:rsidRDefault="00A258C3" w:rsidP="00441B6F">
      <w:pPr>
        <w:pStyle w:val="Author"/>
        <w:spacing w:line="240" w:lineRule="auto"/>
        <w:jc w:val="both"/>
        <w:rPr>
          <w:rFonts w:ascii="Arial" w:hAnsi="Arial" w:cs="Arial"/>
          <w:sz w:val="36"/>
        </w:rPr>
      </w:pPr>
    </w:p>
    <w:p w14:paraId="643EB9BC" w14:textId="77777777" w:rsidR="00B01FCD" w:rsidRPr="00FB3A86" w:rsidRDefault="00222142" w:rsidP="00441B6F">
      <w:pPr>
        <w:pStyle w:val="Copyright"/>
        <w:spacing w:after="0" w:line="240" w:lineRule="auto"/>
        <w:jc w:val="both"/>
        <w:rPr>
          <w:rFonts w:ascii="Arial" w:hAnsi="Arial" w:cs="Arial"/>
        </w:rPr>
        <w:sectPr w:rsidR="00B01FCD" w:rsidRPr="00FB3A86" w:rsidSect="00B647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0EC419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5684E8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1D99FDE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63AA6AB" w14:textId="77777777" w:rsidTr="001E44FE">
        <w:tc>
          <w:tcPr>
            <w:tcW w:w="9576" w:type="dxa"/>
            <w:shd w:val="clear" w:color="auto" w:fill="F2F2F2"/>
          </w:tcPr>
          <w:p w14:paraId="0E1A4B1C" w14:textId="77777777" w:rsidR="00240003" w:rsidRPr="00914F19" w:rsidRDefault="00240003" w:rsidP="00240003">
            <w:pPr>
              <w:pStyle w:val="Body"/>
              <w:spacing w:after="0"/>
              <w:rPr>
                <w:rFonts w:ascii="Arial" w:eastAsia="Calibri" w:hAnsi="Arial" w:cs="Arial"/>
                <w:b/>
                <w:szCs w:val="22"/>
                <w:highlight w:val="yellow"/>
              </w:rPr>
            </w:pPr>
            <w:r w:rsidRPr="00914F19">
              <w:rPr>
                <w:rFonts w:ascii="Arial" w:eastAsia="Calibri" w:hAnsi="Arial" w:cs="Arial"/>
                <w:b/>
                <w:szCs w:val="22"/>
                <w:highlight w:val="yellow"/>
              </w:rPr>
              <w:t xml:space="preserve">Background: </w:t>
            </w:r>
            <w:r w:rsidRPr="00914F19">
              <w:rPr>
                <w:rFonts w:ascii="Arial" w:eastAsia="Calibri" w:hAnsi="Arial" w:cs="Arial"/>
                <w:bCs/>
                <w:szCs w:val="22"/>
                <w:highlight w:val="yellow"/>
              </w:rPr>
              <w:t>Smudge cells are damaged leukocytes commonly seen in blood smears of patients with chronic lymphocytic leukemia (CLL). Their number reflects lymphocyte fragility but varies widely</w:t>
            </w:r>
            <w:r>
              <w:rPr>
                <w:rFonts w:ascii="Arial" w:eastAsia="Calibri" w:hAnsi="Arial" w:cs="Arial"/>
                <w:bCs/>
                <w:szCs w:val="22"/>
                <w:highlight w:val="yellow"/>
              </w:rPr>
              <w:t xml:space="preserve"> among patients. Additionally</w:t>
            </w:r>
            <w:r w:rsidRPr="00914F19">
              <w:rPr>
                <w:rFonts w:ascii="Arial" w:eastAsia="Calibri" w:hAnsi="Arial" w:cs="Arial"/>
                <w:bCs/>
                <w:szCs w:val="22"/>
                <w:highlight w:val="yellow"/>
              </w:rPr>
              <w:t xml:space="preserve">, reporting practices </w:t>
            </w:r>
            <w:r>
              <w:rPr>
                <w:rFonts w:ascii="Arial" w:eastAsia="Calibri" w:hAnsi="Arial" w:cs="Arial"/>
                <w:bCs/>
                <w:szCs w:val="22"/>
                <w:highlight w:val="yellow"/>
              </w:rPr>
              <w:t xml:space="preserve">regarding smudge cell number significantly </w:t>
            </w:r>
            <w:r w:rsidRPr="00914F19">
              <w:rPr>
                <w:rFonts w:ascii="Arial" w:eastAsia="Calibri" w:hAnsi="Arial" w:cs="Arial"/>
                <w:bCs/>
                <w:szCs w:val="22"/>
                <w:highlight w:val="yellow"/>
              </w:rPr>
              <w:t>differ among laboratories</w:t>
            </w:r>
            <w:r>
              <w:rPr>
                <w:rFonts w:ascii="Arial" w:eastAsia="Calibri" w:hAnsi="Arial" w:cs="Arial"/>
                <w:bCs/>
                <w:szCs w:val="22"/>
                <w:highlight w:val="yellow"/>
              </w:rPr>
              <w:t xml:space="preserve">, sometimes also including sample </w:t>
            </w:r>
            <w:r w:rsidRPr="00914F19">
              <w:rPr>
                <w:rFonts w:ascii="Arial" w:eastAsia="Calibri" w:hAnsi="Arial" w:cs="Arial"/>
                <w:bCs/>
                <w:szCs w:val="22"/>
                <w:highlight w:val="yellow"/>
              </w:rPr>
              <w:t>pre-treatment</w:t>
            </w:r>
            <w:r>
              <w:rPr>
                <w:rFonts w:ascii="Arial" w:eastAsia="Calibri" w:hAnsi="Arial" w:cs="Arial"/>
                <w:bCs/>
                <w:szCs w:val="22"/>
                <w:highlight w:val="yellow"/>
              </w:rPr>
              <w:t xml:space="preserve"> with albumin,</w:t>
            </w:r>
            <w:r w:rsidRPr="00914F19">
              <w:rPr>
                <w:rFonts w:ascii="Arial" w:eastAsia="Calibri" w:hAnsi="Arial" w:cs="Arial"/>
                <w:bCs/>
                <w:szCs w:val="22"/>
                <w:highlight w:val="yellow"/>
              </w:rPr>
              <w:t xml:space="preserve"> </w:t>
            </w:r>
            <w:r>
              <w:rPr>
                <w:rFonts w:ascii="Arial" w:eastAsia="Calibri" w:hAnsi="Arial" w:cs="Arial"/>
                <w:bCs/>
                <w:szCs w:val="22"/>
                <w:highlight w:val="yellow"/>
              </w:rPr>
              <w:t xml:space="preserve">which </w:t>
            </w:r>
            <w:r w:rsidRPr="00914F19">
              <w:rPr>
                <w:rFonts w:ascii="Arial" w:eastAsia="Calibri" w:hAnsi="Arial" w:cs="Arial"/>
                <w:bCs/>
                <w:szCs w:val="22"/>
                <w:highlight w:val="yellow"/>
              </w:rPr>
              <w:t>can reduce their formation</w:t>
            </w:r>
            <w:r>
              <w:rPr>
                <w:rFonts w:ascii="Arial" w:eastAsia="Calibri" w:hAnsi="Arial" w:cs="Arial"/>
                <w:bCs/>
                <w:szCs w:val="22"/>
                <w:highlight w:val="yellow"/>
              </w:rPr>
              <w:t>. A</w:t>
            </w:r>
            <w:r w:rsidRPr="00914F19">
              <w:rPr>
                <w:rFonts w:ascii="Arial" w:eastAsia="Calibri" w:hAnsi="Arial" w:cs="Arial"/>
                <w:bCs/>
                <w:szCs w:val="22"/>
                <w:highlight w:val="yellow"/>
              </w:rPr>
              <w:t xml:space="preserve">lthough </w:t>
            </w:r>
            <w:r>
              <w:rPr>
                <w:rFonts w:ascii="Arial" w:eastAsia="Calibri" w:hAnsi="Arial" w:cs="Arial"/>
                <w:bCs/>
                <w:szCs w:val="22"/>
                <w:highlight w:val="yellow"/>
              </w:rPr>
              <w:t>this approach can substantially facilitate morphological differential count in CLL patients, its widespread</w:t>
            </w:r>
            <w:r w:rsidRPr="00914F19">
              <w:rPr>
                <w:rFonts w:ascii="Arial" w:eastAsia="Calibri" w:hAnsi="Arial" w:cs="Arial"/>
                <w:bCs/>
                <w:szCs w:val="22"/>
                <w:highlight w:val="yellow"/>
              </w:rPr>
              <w:t xml:space="preserve"> in routine hematology remains uncertain. </w:t>
            </w:r>
          </w:p>
          <w:p w14:paraId="21C01DFB" w14:textId="77777777" w:rsidR="00240003" w:rsidRDefault="00240003" w:rsidP="00240003">
            <w:pPr>
              <w:pStyle w:val="Body"/>
              <w:spacing w:after="0"/>
              <w:rPr>
                <w:rFonts w:ascii="Arial" w:eastAsia="Calibri" w:hAnsi="Arial" w:cs="Arial"/>
                <w:szCs w:val="22"/>
                <w:lang w:val="en-GB"/>
              </w:rPr>
            </w:pPr>
            <w:r w:rsidRPr="00914F19">
              <w:rPr>
                <w:rFonts w:ascii="Arial" w:eastAsia="Calibri" w:hAnsi="Arial" w:cs="Arial"/>
                <w:b/>
                <w:szCs w:val="22"/>
                <w:highlight w:val="yellow"/>
              </w:rPr>
              <w:t xml:space="preserve">Aims: </w:t>
            </w:r>
            <w:r w:rsidRPr="00914F19">
              <w:rPr>
                <w:rFonts w:ascii="Arial" w:eastAsia="Calibri" w:hAnsi="Arial" w:cs="Arial"/>
                <w:szCs w:val="22"/>
                <w:highlight w:val="yellow"/>
                <w:lang w:val="en-GB"/>
              </w:rPr>
              <w:t xml:space="preserve">This study aims to </w:t>
            </w:r>
            <w:r w:rsidRPr="00914F19">
              <w:rPr>
                <w:rFonts w:ascii="Arial" w:eastAsia="Calibri" w:hAnsi="Arial" w:cs="Arial"/>
                <w:szCs w:val="22"/>
                <w:highlight w:val="yellow"/>
              </w:rPr>
              <w:t>compare various manual approaches for smudge cell reporting with analyzer differentials in order to identify the most reliable and practical method for routine CLL diagnostics.</w:t>
            </w:r>
          </w:p>
          <w:p w14:paraId="2777DFCD" w14:textId="77777777" w:rsidR="001F6B49" w:rsidRDefault="00BA1B01" w:rsidP="001F6B49">
            <w:pPr>
              <w:pStyle w:val="Body"/>
              <w:spacing w:after="0"/>
              <w:rPr>
                <w:rFonts w:ascii="Arial" w:eastAsia="Calibri" w:hAnsi="Arial" w:cs="Arial"/>
                <w:szCs w:val="22"/>
                <w:lang w:val="en-GB"/>
              </w:rPr>
            </w:pPr>
            <w:r w:rsidRPr="00BA1B01">
              <w:rPr>
                <w:rFonts w:ascii="Arial" w:eastAsia="Calibri" w:hAnsi="Arial" w:cs="Arial"/>
                <w:b/>
                <w:bCs/>
                <w:szCs w:val="22"/>
              </w:rPr>
              <w:t>Methodology:</w:t>
            </w:r>
            <w:r w:rsidRPr="00BA1B01">
              <w:rPr>
                <w:rFonts w:ascii="Arial" w:eastAsia="Calibri" w:hAnsi="Arial" w:cs="Arial"/>
                <w:szCs w:val="22"/>
              </w:rPr>
              <w:t xml:space="preserve"> </w:t>
            </w:r>
            <w:r w:rsidR="001F6B49" w:rsidRPr="001F6B49">
              <w:rPr>
                <w:rFonts w:ascii="Arial" w:eastAsia="Calibri" w:hAnsi="Arial" w:cs="Arial"/>
                <w:szCs w:val="22"/>
                <w:lang w:val="en-GB"/>
              </w:rPr>
              <w:t>We conducted a comparative analysis of manual differential blood count (</w:t>
            </w:r>
            <w:proofErr w:type="spellStart"/>
            <w:r w:rsidR="001F6B49" w:rsidRPr="001F6B49">
              <w:rPr>
                <w:rFonts w:ascii="Arial" w:eastAsia="Calibri" w:hAnsi="Arial" w:cs="Arial"/>
                <w:szCs w:val="22"/>
                <w:lang w:val="en-GB"/>
              </w:rPr>
              <w:t>mDIFF</w:t>
            </w:r>
            <w:proofErr w:type="spellEnd"/>
            <w:r w:rsidR="001F6B49" w:rsidRPr="001F6B49">
              <w:rPr>
                <w:rFonts w:ascii="Arial" w:eastAsia="Calibri" w:hAnsi="Arial" w:cs="Arial"/>
                <w:szCs w:val="22"/>
                <w:lang w:val="en-GB"/>
              </w:rPr>
              <w:t xml:space="preserve">) to a </w:t>
            </w:r>
            <w:proofErr w:type="spellStart"/>
            <w:r w:rsidR="001F6B49" w:rsidRPr="001F6B49">
              <w:rPr>
                <w:rFonts w:ascii="Arial" w:eastAsia="Calibri" w:hAnsi="Arial" w:cs="Arial"/>
                <w:szCs w:val="22"/>
                <w:lang w:val="en-GB"/>
              </w:rPr>
              <w:t>hematological</w:t>
            </w:r>
            <w:proofErr w:type="spellEnd"/>
            <w:r w:rsidR="001F6B49" w:rsidRPr="001F6B49">
              <w:rPr>
                <w:rFonts w:ascii="Arial" w:eastAsia="Calibri" w:hAnsi="Arial" w:cs="Arial"/>
                <w:szCs w:val="22"/>
                <w:lang w:val="en-GB"/>
              </w:rPr>
              <w:t xml:space="preserve"> </w:t>
            </w:r>
            <w:proofErr w:type="spellStart"/>
            <w:r w:rsidR="001F6B49" w:rsidRPr="001F6B49">
              <w:rPr>
                <w:rFonts w:ascii="Arial" w:eastAsia="Calibri" w:hAnsi="Arial" w:cs="Arial"/>
                <w:szCs w:val="22"/>
                <w:lang w:val="en-GB"/>
              </w:rPr>
              <w:t>analyzer</w:t>
            </w:r>
            <w:proofErr w:type="spellEnd"/>
            <w:r w:rsidR="001F6B49" w:rsidRPr="001F6B49">
              <w:rPr>
                <w:rFonts w:ascii="Arial" w:eastAsia="Calibri" w:hAnsi="Arial" w:cs="Arial"/>
                <w:szCs w:val="22"/>
                <w:lang w:val="en-GB"/>
              </w:rPr>
              <w:t xml:space="preserve"> differential (</w:t>
            </w:r>
            <w:proofErr w:type="spellStart"/>
            <w:r w:rsidR="001F6B49" w:rsidRPr="001F6B49">
              <w:rPr>
                <w:rFonts w:ascii="Arial" w:eastAsia="Calibri" w:hAnsi="Arial" w:cs="Arial"/>
                <w:szCs w:val="22"/>
                <w:lang w:val="en-GB"/>
              </w:rPr>
              <w:t>aDIFF</w:t>
            </w:r>
            <w:proofErr w:type="spellEnd"/>
            <w:r w:rsidR="001F6B49" w:rsidRPr="001F6B49">
              <w:rPr>
                <w:rFonts w:ascii="Arial" w:eastAsia="Calibri" w:hAnsi="Arial" w:cs="Arial"/>
                <w:szCs w:val="22"/>
                <w:lang w:val="en-GB"/>
              </w:rPr>
              <w:t xml:space="preserve">). </w:t>
            </w:r>
            <w:proofErr w:type="spellStart"/>
            <w:r w:rsidR="001F6B49" w:rsidRPr="001F6B49">
              <w:rPr>
                <w:rFonts w:ascii="Arial" w:eastAsia="Calibri" w:hAnsi="Arial" w:cs="Arial"/>
                <w:szCs w:val="22"/>
                <w:lang w:val="en-GB"/>
              </w:rPr>
              <w:t>mDIFF</w:t>
            </w:r>
            <w:proofErr w:type="spellEnd"/>
            <w:r w:rsidR="001F6B49" w:rsidRPr="001F6B49">
              <w:rPr>
                <w:rFonts w:ascii="Arial" w:eastAsia="Calibri" w:hAnsi="Arial" w:cs="Arial"/>
                <w:szCs w:val="22"/>
                <w:lang w:val="en-GB"/>
              </w:rPr>
              <w:t xml:space="preserve"> was conducted in three manners: by excluding smudge cells from 100 leukocyte count (mDIFF1); by including smudge cells into lymphocyte count (mDIFF2); differential on an albumenized smear (</w:t>
            </w:r>
            <w:proofErr w:type="spellStart"/>
            <w:r w:rsidR="001F6B49" w:rsidRPr="001F6B49">
              <w:rPr>
                <w:rFonts w:ascii="Arial" w:eastAsia="Calibri" w:hAnsi="Arial" w:cs="Arial"/>
                <w:szCs w:val="22"/>
                <w:lang w:val="en-GB"/>
              </w:rPr>
              <w:t>mDIFF_alb</w:t>
            </w:r>
            <w:proofErr w:type="spellEnd"/>
            <w:r w:rsidR="001F6B49" w:rsidRPr="001F6B49">
              <w:rPr>
                <w:rFonts w:ascii="Arial" w:eastAsia="Calibri" w:hAnsi="Arial" w:cs="Arial"/>
                <w:szCs w:val="22"/>
                <w:lang w:val="en-GB"/>
              </w:rPr>
              <w:t>). The Mann-Whitney test was used for smudge cell count comparison in standard and albuminized smears, and Friedman’s test for comparison of differential counts (lymphocytes, neutrophils and their ratio). P-value &lt;0.05 was considered significant.</w:t>
            </w:r>
          </w:p>
          <w:p w14:paraId="3CD18FD8" w14:textId="5E544B9D" w:rsidR="001F6B49" w:rsidRDefault="00BA1B01" w:rsidP="001F6B49">
            <w:pPr>
              <w:pStyle w:val="Body"/>
              <w:spacing w:after="0"/>
              <w:rPr>
                <w:rFonts w:ascii="Arial" w:eastAsia="Calibri" w:hAnsi="Arial" w:cs="Arial"/>
                <w:szCs w:val="22"/>
                <w:lang w:val="en-GB"/>
              </w:rPr>
            </w:pPr>
            <w:r w:rsidRPr="00BA1B01">
              <w:rPr>
                <w:rFonts w:ascii="Arial" w:eastAsia="Calibri" w:hAnsi="Arial" w:cs="Arial"/>
                <w:b/>
                <w:bCs/>
                <w:szCs w:val="22"/>
              </w:rPr>
              <w:t>Results:</w:t>
            </w:r>
            <w:r w:rsidRPr="00BA1B01">
              <w:rPr>
                <w:rFonts w:ascii="Arial" w:eastAsia="Calibri" w:hAnsi="Arial" w:cs="Arial"/>
                <w:szCs w:val="22"/>
              </w:rPr>
              <w:t xml:space="preserve"> </w:t>
            </w:r>
            <w:r w:rsidR="001F6B49" w:rsidRPr="001F6B49">
              <w:rPr>
                <w:rFonts w:ascii="Arial" w:eastAsia="Calibri" w:hAnsi="Arial" w:cs="Arial"/>
                <w:szCs w:val="22"/>
                <w:lang w:val="en-GB"/>
              </w:rPr>
              <w:t xml:space="preserve">The smudge cell count was significantly lower in albumenized smears (median 7, </w:t>
            </w:r>
            <w:r w:rsidR="00E27E51" w:rsidRPr="00E27E51">
              <w:rPr>
                <w:rFonts w:ascii="Arial" w:hAnsi="Arial" w:cs="Arial"/>
                <w:highlight w:val="yellow"/>
                <w:lang w:val="en-GB"/>
              </w:rPr>
              <w:t>IQR 4 - 14</w:t>
            </w:r>
            <w:r w:rsidR="001F6B49" w:rsidRPr="001F6B49">
              <w:rPr>
                <w:rFonts w:ascii="Arial" w:eastAsia="Calibri" w:hAnsi="Arial" w:cs="Arial"/>
                <w:szCs w:val="22"/>
                <w:lang w:val="en-GB"/>
              </w:rPr>
              <w:t>), compared to standard smears (</w:t>
            </w:r>
            <w:r w:rsidR="00E27E51" w:rsidRPr="00DD21EF">
              <w:rPr>
                <w:rFonts w:ascii="Arial" w:hAnsi="Arial" w:cs="Arial"/>
                <w:lang w:val="en-GB"/>
              </w:rPr>
              <w:t xml:space="preserve">median 25, </w:t>
            </w:r>
            <w:r w:rsidR="00E27E51" w:rsidRPr="00E27E51">
              <w:rPr>
                <w:rFonts w:ascii="Arial" w:hAnsi="Arial" w:cs="Arial"/>
                <w:highlight w:val="yellow"/>
                <w:lang w:val="en-GB"/>
              </w:rPr>
              <w:t>IQR 17 - 81</w:t>
            </w:r>
            <w:r w:rsidR="001F6B49" w:rsidRPr="001F6B49">
              <w:rPr>
                <w:rFonts w:ascii="Arial" w:eastAsia="Calibri" w:hAnsi="Arial" w:cs="Arial"/>
                <w:szCs w:val="22"/>
                <w:lang w:val="en-GB"/>
              </w:rPr>
              <w:t xml:space="preserve">), P&lt;0,0001.  mDIFF2 results significantly differed in neutrophil and lymphocyte count compared to other methods (P&lt;0.05). The relative lymphocyte count in a manual method mDIFF1 did not significantly differ from the </w:t>
            </w:r>
            <w:proofErr w:type="spellStart"/>
            <w:r w:rsidR="001F6B49" w:rsidRPr="001F6B49">
              <w:rPr>
                <w:rFonts w:ascii="Arial" w:eastAsia="Calibri" w:hAnsi="Arial" w:cs="Arial"/>
                <w:szCs w:val="22"/>
                <w:lang w:val="en-GB"/>
              </w:rPr>
              <w:t>aDIFF</w:t>
            </w:r>
            <w:proofErr w:type="spellEnd"/>
            <w:r w:rsidR="001F6B49" w:rsidRPr="001F6B49">
              <w:rPr>
                <w:rFonts w:ascii="Arial" w:eastAsia="Calibri" w:hAnsi="Arial" w:cs="Arial"/>
                <w:szCs w:val="22"/>
                <w:lang w:val="en-GB"/>
              </w:rPr>
              <w:t>.</w:t>
            </w:r>
          </w:p>
          <w:p w14:paraId="4E88192D" w14:textId="77777777" w:rsidR="00505F06" w:rsidRPr="001F6B49" w:rsidRDefault="00BA1B01" w:rsidP="001F6B49">
            <w:pPr>
              <w:pStyle w:val="Body"/>
              <w:spacing w:after="0"/>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1F6B49" w:rsidRPr="001F6B49">
              <w:rPr>
                <w:rFonts w:ascii="Arial" w:eastAsia="Calibri" w:hAnsi="Arial" w:cs="Arial"/>
                <w:szCs w:val="22"/>
                <w:lang w:val="en-GB"/>
              </w:rPr>
              <w:t>Although albumin pre-treatment effectively reduces smudge cell formation, it is not essential for obtaining clinically reliable differentials in routine practice. Reporting smudge cells as their number per 100 leukocytes provides a suitable alternative to automated differential leukocyte counts.</w:t>
            </w:r>
          </w:p>
        </w:tc>
      </w:tr>
    </w:tbl>
    <w:p w14:paraId="2318C75D" w14:textId="77777777" w:rsidR="00636EB2" w:rsidRDefault="00636EB2" w:rsidP="00441B6F">
      <w:pPr>
        <w:pStyle w:val="Body"/>
        <w:spacing w:after="0"/>
        <w:rPr>
          <w:rFonts w:ascii="Arial" w:hAnsi="Arial" w:cs="Arial"/>
          <w:i/>
        </w:rPr>
      </w:pPr>
    </w:p>
    <w:p w14:paraId="08A4FB14" w14:textId="0DC77109" w:rsidR="00A24E7E" w:rsidRDefault="00A24E7E" w:rsidP="00441B6F">
      <w:pPr>
        <w:pStyle w:val="Body"/>
        <w:spacing w:after="0"/>
        <w:rPr>
          <w:rFonts w:ascii="Arial" w:hAnsi="Arial" w:cs="Arial"/>
          <w:i/>
        </w:rPr>
      </w:pPr>
      <w:r>
        <w:rPr>
          <w:rFonts w:ascii="Arial" w:hAnsi="Arial" w:cs="Arial"/>
          <w:i/>
        </w:rPr>
        <w:t xml:space="preserve">Keywords: </w:t>
      </w:r>
      <w:r w:rsidR="00791656" w:rsidRPr="00791656">
        <w:rPr>
          <w:rFonts w:ascii="Arial" w:hAnsi="Arial" w:cs="Arial"/>
          <w:i/>
          <w:lang w:val="en-GB"/>
        </w:rPr>
        <w:t>chronic lymphocytic leukemia (CLL), smudge cells, morphology</w:t>
      </w:r>
      <w:r w:rsidR="00481BB0">
        <w:rPr>
          <w:rFonts w:ascii="Arial" w:hAnsi="Arial" w:cs="Arial"/>
          <w:i/>
          <w:lang w:val="en-GB"/>
        </w:rPr>
        <w:t xml:space="preserve">, </w:t>
      </w:r>
      <w:r w:rsidR="00481BB0" w:rsidRPr="00481BB0">
        <w:rPr>
          <w:rFonts w:ascii="Arial" w:hAnsi="Arial" w:cs="Arial"/>
          <w:i/>
          <w:lang w:val="en-GB"/>
        </w:rPr>
        <w:t>Blood Count</w:t>
      </w:r>
      <w:r w:rsidR="00481BB0">
        <w:rPr>
          <w:rFonts w:ascii="Arial" w:hAnsi="Arial" w:cs="Arial"/>
          <w:i/>
          <w:lang w:val="en-GB"/>
        </w:rPr>
        <w:t xml:space="preserve">, </w:t>
      </w:r>
      <w:r w:rsidR="00481BB0" w:rsidRPr="00481BB0">
        <w:rPr>
          <w:rFonts w:ascii="Arial" w:hAnsi="Arial" w:cs="Arial"/>
          <w:i/>
          <w:lang w:val="en-GB"/>
        </w:rPr>
        <w:t>Albumin Pre-treatment</w:t>
      </w:r>
      <w:bookmarkStart w:id="0" w:name="_GoBack"/>
      <w:bookmarkEnd w:id="0"/>
    </w:p>
    <w:p w14:paraId="3C40DBE6" w14:textId="77777777" w:rsidR="00505F06" w:rsidRPr="00A24E7E" w:rsidRDefault="00505F06" w:rsidP="00441B6F">
      <w:pPr>
        <w:pStyle w:val="Body"/>
        <w:spacing w:after="0"/>
        <w:rPr>
          <w:rFonts w:ascii="Arial" w:hAnsi="Arial" w:cs="Arial"/>
          <w:i/>
        </w:rPr>
      </w:pPr>
    </w:p>
    <w:p w14:paraId="1F40D1C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BCCD96" w14:textId="77777777" w:rsidR="00790ADA" w:rsidRPr="00FB3A86" w:rsidRDefault="00790ADA" w:rsidP="00441B6F">
      <w:pPr>
        <w:pStyle w:val="AbstHead"/>
        <w:spacing w:after="0"/>
        <w:jc w:val="both"/>
        <w:rPr>
          <w:rFonts w:ascii="Arial" w:hAnsi="Arial" w:cs="Arial"/>
        </w:rPr>
      </w:pPr>
    </w:p>
    <w:p w14:paraId="3912445D" w14:textId="1DCDB6F1" w:rsidR="00221364" w:rsidRPr="00221364" w:rsidRDefault="00221364" w:rsidP="00221364">
      <w:pPr>
        <w:pStyle w:val="Body"/>
        <w:rPr>
          <w:rFonts w:ascii="Arial" w:hAnsi="Arial" w:cs="Arial"/>
        </w:rPr>
      </w:pPr>
      <w:r w:rsidRPr="00221364">
        <w:rPr>
          <w:rFonts w:ascii="Arial" w:hAnsi="Arial" w:cs="Arial"/>
          <w:highlight w:val="yellow"/>
        </w:rPr>
        <w:t>Chronic lymphocytic leukemia (CLL) is one of the most common types of leukemia, characterized by the clonal proliferation and accumulation of mature B lymphocytes in blood, bone marrow, and lymphoid tissues (</w:t>
      </w:r>
      <w:proofErr w:type="spellStart"/>
      <w:r w:rsidRPr="00221364">
        <w:rPr>
          <w:rFonts w:ascii="Arial" w:hAnsi="Arial" w:cs="Arial"/>
          <w:highlight w:val="yellow"/>
        </w:rPr>
        <w:t>Hallek</w:t>
      </w:r>
      <w:proofErr w:type="spellEnd"/>
      <w:r w:rsidRPr="00221364">
        <w:rPr>
          <w:rFonts w:ascii="Arial" w:hAnsi="Arial" w:cs="Arial"/>
          <w:highlight w:val="yellow"/>
        </w:rPr>
        <w:t xml:space="preserve">, 2018). The disease predominantly affects elderly individuals and exhibits a highly variable clinical course, ranging from indolent forms </w:t>
      </w:r>
      <w:r w:rsidRPr="00221364">
        <w:rPr>
          <w:rFonts w:ascii="Arial" w:hAnsi="Arial" w:cs="Arial"/>
          <w:highlight w:val="yellow"/>
        </w:rPr>
        <w:lastRenderedPageBreak/>
        <w:t>requiring only observation to aggressive variants needing early treatment. The diagnosis of CLL relies on a comprehensive and integrative approach, combining detailed clinical evaluation with morphological examination and immunophenotypic analysis to ensure an accurate and definitive diagnosis (</w:t>
      </w:r>
      <w:proofErr w:type="spellStart"/>
      <w:r w:rsidRPr="00221364">
        <w:rPr>
          <w:rFonts w:ascii="Arial" w:hAnsi="Arial" w:cs="Arial"/>
          <w:highlight w:val="yellow"/>
        </w:rPr>
        <w:t>Hallek</w:t>
      </w:r>
      <w:proofErr w:type="spellEnd"/>
      <w:r w:rsidRPr="00221364">
        <w:rPr>
          <w:rFonts w:ascii="Arial" w:hAnsi="Arial" w:cs="Arial"/>
          <w:highlight w:val="yellow"/>
        </w:rPr>
        <w:t>, 2021). Lymphocytosis is defined as the persistent presence of at least 5 × 10⁹/L B-lymphocytes in the peripheral blood for a minimum of three months. The clonal nature of these circulating B-lymphocytes must be confirmed by flow cytometric immunophenotyping (CD19</w:t>
      </w:r>
      <w:r w:rsidRPr="00221364">
        <w:rPr>
          <w:rFonts w:ascii="Cambria Math" w:hAnsi="Cambria Math" w:cs="Cambria Math"/>
          <w:highlight w:val="yellow"/>
        </w:rPr>
        <w:t>⁺</w:t>
      </w:r>
      <w:r w:rsidRPr="00221364">
        <w:rPr>
          <w:rFonts w:ascii="Arial" w:hAnsi="Arial" w:cs="Arial"/>
          <w:highlight w:val="yellow"/>
        </w:rPr>
        <w:t>, CD5</w:t>
      </w:r>
      <w:r w:rsidRPr="00221364">
        <w:rPr>
          <w:rFonts w:ascii="Cambria Math" w:hAnsi="Cambria Math" w:cs="Cambria Math"/>
          <w:highlight w:val="yellow"/>
        </w:rPr>
        <w:t>⁺</w:t>
      </w:r>
      <w:r w:rsidRPr="00221364">
        <w:rPr>
          <w:rFonts w:ascii="Arial" w:hAnsi="Arial" w:cs="Arial"/>
          <w:highlight w:val="yellow"/>
        </w:rPr>
        <w:t>, CD23</w:t>
      </w:r>
      <w:r w:rsidRPr="00221364">
        <w:rPr>
          <w:rFonts w:ascii="Cambria Math" w:hAnsi="Cambria Math" w:cs="Cambria Math"/>
          <w:highlight w:val="yellow"/>
        </w:rPr>
        <w:t>⁺</w:t>
      </w:r>
      <w:r w:rsidRPr="00221364">
        <w:rPr>
          <w:rFonts w:ascii="Arial" w:hAnsi="Arial" w:cs="Arial"/>
          <w:highlight w:val="yellow"/>
        </w:rPr>
        <w:t>, and dim surface immunoglobulin). Additional cytogenetic and molecular analyses, such as the detection of del(17p), del(11q), or TP53 mutations, are essential for risk stratification and therapy selection. On peripheral blood smears, CLL cells typically appear as small, mature lymphocytes with scant cytoplasm and dense, coarsely clumped chromatin without visible nucleoli. These cells may be accompanied by a variable proportion of larger or atypical lymphocytes, cleaved cells, or prolymphocytes, which may constitute up to approximately 55% of lymphoid cells; higher proportions suggest a diagnosis of B-cell prolymphocytic leukemia (PLL) (Melo, 1986). Another characteristic morphological finding in CLL is the presence of Gumprecht nuclear shadows or smudge cells, representing disrupted lymphocytes formed during smear preparation. Accurate laboratory diagnosis plays a pivotal role in the management of CLL, as it enables disease classification, informs prognosis, and guides individualized therapeutic strategies. Reliable microscopic evaluation and differential leukocyte counting remain fundamental in establishing the diagnosis and monitoring disease progression, especially in settings where automated analyzers may not fully capture subtle morphological features</w:t>
      </w:r>
      <w:r>
        <w:rPr>
          <w:rFonts w:ascii="Arial" w:hAnsi="Arial" w:cs="Arial"/>
        </w:rPr>
        <w:t>.</w:t>
      </w:r>
    </w:p>
    <w:p w14:paraId="2A27A47F" w14:textId="64D369ED" w:rsidR="00DD21EF" w:rsidRPr="00DD21EF" w:rsidRDefault="00785283" w:rsidP="00DD21EF">
      <w:pPr>
        <w:pStyle w:val="Body"/>
        <w:rPr>
          <w:rFonts w:ascii="Arial" w:hAnsi="Arial" w:cs="Arial"/>
          <w:lang w:val="en-GB"/>
        </w:rPr>
      </w:pPr>
      <w:r w:rsidRPr="00785283">
        <w:rPr>
          <w:rFonts w:ascii="Arial" w:hAnsi="Arial" w:cs="Arial"/>
          <w:highlight w:val="yellow"/>
        </w:rPr>
        <w:t>In this context, while performing manual differential blood counts on smears containing smudge cells, we observed variability in how their numbers are reported.</w:t>
      </w:r>
      <w:r w:rsidRPr="00785283">
        <w:rPr>
          <w:rFonts w:ascii="Arial" w:hAnsi="Arial" w:cs="Arial"/>
        </w:rPr>
        <w:t xml:space="preserve"> </w:t>
      </w:r>
      <w:r w:rsidR="00DD21EF" w:rsidRPr="00DD21EF">
        <w:rPr>
          <w:rFonts w:ascii="Arial" w:hAnsi="Arial" w:cs="Arial"/>
          <w:lang w:val="en-GB"/>
        </w:rPr>
        <w:t xml:space="preserve">Gumprecht shadows, shadow cells, or smudge cells are leukocytes damaged during smear-making. They can be observed in blood smears of patients with hematological cancers, solid cancers, infections, and out-of-hospital cardiac arrest </w:t>
      </w:r>
      <w:r w:rsidR="00E91A52">
        <w:rPr>
          <w:rFonts w:ascii="Arial" w:hAnsi="Arial" w:cs="Arial"/>
          <w:lang w:val="en-GB"/>
        </w:rPr>
        <w:t>(Chang</w:t>
      </w:r>
      <w:r w:rsidR="00705623">
        <w:rPr>
          <w:rFonts w:ascii="Arial" w:hAnsi="Arial" w:cs="Arial"/>
          <w:lang w:val="en-GB"/>
        </w:rPr>
        <w:t>, 2016)</w:t>
      </w:r>
      <w:r w:rsidR="00DD21EF" w:rsidRPr="00DD21EF">
        <w:rPr>
          <w:rFonts w:ascii="Arial" w:hAnsi="Arial" w:cs="Arial"/>
          <w:lang w:val="en-GB"/>
        </w:rPr>
        <w:t xml:space="preserve">. Smudge cells are one of the common morphologic abnormalities in smears of patients with chronic lymphocytic leukemia (CLL). Their number can vary from 1-75% of total leukocytes. Lymphocytes in CLL are more fragile than normal lymphocytes due to defects of proteins of the nuclear envelope and plasma membrane. These defects make them more prone to smudging while making a blood smear </w:t>
      </w:r>
      <w:r w:rsidR="00705623">
        <w:rPr>
          <w:rFonts w:ascii="Arial" w:hAnsi="Arial" w:cs="Arial"/>
          <w:lang w:val="en-GB"/>
        </w:rPr>
        <w:t>(Gogia, 2014)</w:t>
      </w:r>
      <w:r w:rsidR="00DD21EF" w:rsidRPr="00DD21EF">
        <w:rPr>
          <w:rFonts w:ascii="Arial" w:hAnsi="Arial" w:cs="Arial"/>
          <w:lang w:val="en-GB"/>
        </w:rPr>
        <w:t xml:space="preserve">. This phenomenon appears in vitro, but in vivo, these cells stay intact and, therefore, are counted as lymphocytes while performing a leukocyte differential count on a hematological analyser </w:t>
      </w:r>
      <w:r w:rsidR="00705623">
        <w:rPr>
          <w:rFonts w:ascii="Arial" w:hAnsi="Arial" w:cs="Arial"/>
          <w:lang w:val="en-GB"/>
        </w:rPr>
        <w:t>(Marionneaux, 2021)</w:t>
      </w:r>
      <w:r w:rsidR="00DD21EF" w:rsidRPr="00DD21EF">
        <w:rPr>
          <w:rFonts w:ascii="Arial" w:hAnsi="Arial" w:cs="Arial"/>
          <w:lang w:val="en-GB"/>
        </w:rPr>
        <w:t>.  If a blood smear is prepared with albumin, the formation of smudge cells could be decreased</w:t>
      </w:r>
      <w:r w:rsidR="00DD21EF" w:rsidRPr="00DD21EF">
        <w:rPr>
          <w:rFonts w:ascii="Arial" w:hAnsi="Arial" w:cs="Arial"/>
          <w:vertAlign w:val="superscript"/>
          <w:lang w:val="en-GB"/>
        </w:rPr>
        <w:t xml:space="preserve"> </w:t>
      </w:r>
      <w:r w:rsidR="00705623">
        <w:rPr>
          <w:rFonts w:ascii="Arial" w:hAnsi="Arial" w:cs="Arial"/>
          <w:lang w:val="en-GB"/>
        </w:rPr>
        <w:t>(Lunning, 2004)</w:t>
      </w:r>
      <w:r w:rsidR="00DD21EF" w:rsidRPr="00DD21EF">
        <w:rPr>
          <w:rFonts w:ascii="Arial" w:hAnsi="Arial" w:cs="Arial"/>
          <w:lang w:val="en-GB"/>
        </w:rPr>
        <w:t xml:space="preserve">. </w:t>
      </w:r>
    </w:p>
    <w:p w14:paraId="4DDE6E08" w14:textId="77777777" w:rsidR="00DD21EF" w:rsidRPr="00DD21EF" w:rsidRDefault="00DD21EF" w:rsidP="00DD21EF">
      <w:pPr>
        <w:pStyle w:val="Body"/>
        <w:rPr>
          <w:rFonts w:ascii="Arial" w:hAnsi="Arial" w:cs="Arial"/>
          <w:lang w:val="en-GB"/>
        </w:rPr>
      </w:pPr>
      <w:r w:rsidRPr="00DD21EF">
        <w:rPr>
          <w:rFonts w:ascii="Arial" w:hAnsi="Arial" w:cs="Arial"/>
          <w:lang w:val="en-GB"/>
        </w:rPr>
        <w:t>The issue we came across was a discrepancy in reporting between different guidelines, external quality control management systems, and digital tools. ICSH guidelines suggest that an automatic differential count from a hematological analyzer should be reported in case of a blood smear with a significant number of smudge cells, while their presence may be commented on the smear report. If the report from the analyzer is not available, smudge cells should be counted as the cell line from which they derived in manual differential count if their morphology is apparent</w:t>
      </w:r>
      <w:r w:rsidRPr="00DD21EF">
        <w:rPr>
          <w:rFonts w:ascii="Arial" w:hAnsi="Arial" w:cs="Arial"/>
          <w:vertAlign w:val="superscript"/>
          <w:lang w:val="en-GB"/>
        </w:rPr>
        <w:t xml:space="preserve"> </w:t>
      </w:r>
      <w:r w:rsidR="00705623">
        <w:rPr>
          <w:rFonts w:ascii="Arial" w:hAnsi="Arial" w:cs="Arial"/>
          <w:lang w:val="en-GB"/>
        </w:rPr>
        <w:t>(</w:t>
      </w:r>
      <w:r w:rsidR="00D74FD9">
        <w:rPr>
          <w:rFonts w:ascii="Arial" w:hAnsi="Arial" w:cs="Arial"/>
          <w:lang w:val="en-GB"/>
        </w:rPr>
        <w:t>Palmer, 2015</w:t>
      </w:r>
      <w:r w:rsidR="00705623">
        <w:rPr>
          <w:rFonts w:ascii="Arial" w:hAnsi="Arial" w:cs="Arial"/>
          <w:lang w:val="en-GB"/>
        </w:rPr>
        <w:t>)</w:t>
      </w:r>
      <w:r w:rsidRPr="00DD21EF">
        <w:rPr>
          <w:rFonts w:ascii="Arial" w:hAnsi="Arial" w:cs="Arial"/>
          <w:lang w:val="en-GB"/>
        </w:rPr>
        <w:t xml:space="preserve">. In patients with CLL those would be lymphocytes. If the smudge cells are not identifiable CLSI guidelines suggest their number should be classified separately and reported as others, including a comment on the laboratory report </w:t>
      </w:r>
      <w:r w:rsidR="00D74FD9">
        <w:rPr>
          <w:rFonts w:ascii="Arial" w:hAnsi="Arial" w:cs="Arial"/>
          <w:lang w:val="en-GB"/>
        </w:rPr>
        <w:t>(CLSI H20-A2, 2007)</w:t>
      </w:r>
      <w:r w:rsidRPr="00DD21EF">
        <w:rPr>
          <w:rFonts w:ascii="Arial" w:hAnsi="Arial" w:cs="Arial"/>
          <w:lang w:val="en-GB"/>
        </w:rPr>
        <w:t xml:space="preserve">. A study that questioned the feasibility of counting smudge cells as lymphocytes suggested an algorithm for reporting differential in patients with CLL </w:t>
      </w:r>
      <w:r w:rsidR="00D74FD9">
        <w:rPr>
          <w:rFonts w:ascii="Arial" w:hAnsi="Arial" w:cs="Arial"/>
          <w:lang w:val="en-GB"/>
        </w:rPr>
        <w:t>(Gulati, 2017)</w:t>
      </w:r>
      <w:r w:rsidRPr="00DD21EF">
        <w:rPr>
          <w:rFonts w:ascii="Arial" w:hAnsi="Arial" w:cs="Arial"/>
          <w:lang w:val="en-GB"/>
        </w:rPr>
        <w:t>. They suggest that the differential leukocyte count should be reported from the analyzer when no flags are present. If flags are generated, the differential should be performed on a non-albuminized peripheral blood smear, with smudge cells classified as lymphocytes. In cases with present blasts or more than 10% other lymphoid cells, an albuminized smear should be used.</w:t>
      </w:r>
    </w:p>
    <w:p w14:paraId="69301733" w14:textId="77777777" w:rsidR="00B95236" w:rsidRDefault="00DD21EF" w:rsidP="00DD21EF">
      <w:pPr>
        <w:pStyle w:val="Body"/>
        <w:spacing w:after="0"/>
        <w:rPr>
          <w:rFonts w:ascii="Arial" w:hAnsi="Arial" w:cs="Arial"/>
        </w:rPr>
      </w:pPr>
      <w:r w:rsidRPr="00DD21EF">
        <w:rPr>
          <w:rFonts w:ascii="Arial" w:hAnsi="Arial" w:cs="Arial"/>
          <w:lang w:val="en-GB"/>
        </w:rPr>
        <w:lastRenderedPageBreak/>
        <w:t>When it comes to slide quality control programs, some suggest that smudge cells should be counted as lymphocytes if manual differential is reported, while others include them in 100 leukocyte differentials as a separate categor</w:t>
      </w:r>
      <w:r w:rsidR="00D74FD9">
        <w:rPr>
          <w:rFonts w:ascii="Arial" w:hAnsi="Arial" w:cs="Arial"/>
          <w:lang w:val="en-GB"/>
        </w:rPr>
        <w:t xml:space="preserve">y (QSP, 2023; </w:t>
      </w:r>
      <w:proofErr w:type="spellStart"/>
      <w:r w:rsidR="00D74FD9">
        <w:rPr>
          <w:rFonts w:ascii="Arial" w:hAnsi="Arial" w:cs="Arial"/>
          <w:lang w:val="en-GB"/>
        </w:rPr>
        <w:t>RfB</w:t>
      </w:r>
      <w:proofErr w:type="spellEnd"/>
      <w:r w:rsidR="00D74FD9">
        <w:rPr>
          <w:rFonts w:ascii="Arial" w:hAnsi="Arial" w:cs="Arial"/>
          <w:lang w:val="en-GB"/>
        </w:rPr>
        <w:t>, 2012)</w:t>
      </w:r>
      <w:r w:rsidRPr="00DD21EF">
        <w:rPr>
          <w:rFonts w:ascii="Arial" w:hAnsi="Arial" w:cs="Arial"/>
          <w:lang w:val="en-GB"/>
        </w:rPr>
        <w:t xml:space="preserve">. Digital microscopy tools, such as Cellavision or Easycell, count such cells as fragments and report their number by expressing the total counted number per 100 leukocytes </w:t>
      </w:r>
      <w:r w:rsidR="00D74FD9">
        <w:rPr>
          <w:rFonts w:ascii="Arial" w:hAnsi="Arial" w:cs="Arial"/>
          <w:lang w:val="en-GB"/>
        </w:rPr>
        <w:t>(CellaVision, 2022)</w:t>
      </w:r>
      <w:r w:rsidRPr="00DD21EF">
        <w:rPr>
          <w:rFonts w:ascii="Arial" w:hAnsi="Arial" w:cs="Arial"/>
          <w:lang w:val="en-GB"/>
        </w:rPr>
        <w:t>. A common practice in laboratories is to exclude smudge cells from a 100-cell differential count and comment their presence on a smear report. Albumenized smears are not so common since albumin is not always easily available, especially in a small laboratory. In order to evaluate different approaches of result reporting, we compared three different methods of manual differential blood count to a differential of a haematological analyser. We conducted a comparative analysis of differential blood count in patients with confirmed CLL diagnosis. This was a group of choice since they have a great tendency of forming smudge cells due to fragility of lymphocytes and, also, we can be confident of the origin of the smudge cells.</w:t>
      </w:r>
    </w:p>
    <w:p w14:paraId="74F6E7C0" w14:textId="77777777" w:rsidR="00790ADA" w:rsidRPr="00FB3A86" w:rsidRDefault="00790ADA" w:rsidP="00441B6F">
      <w:pPr>
        <w:pStyle w:val="Body"/>
        <w:spacing w:after="0"/>
        <w:rPr>
          <w:rFonts w:ascii="Arial" w:hAnsi="Arial" w:cs="Arial"/>
        </w:rPr>
      </w:pPr>
    </w:p>
    <w:p w14:paraId="3F25A3F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21108D6" w14:textId="77777777" w:rsidR="00790ADA" w:rsidRPr="00FB3A86" w:rsidRDefault="00790ADA" w:rsidP="00441B6F">
      <w:pPr>
        <w:pStyle w:val="AbstHead"/>
        <w:spacing w:after="0"/>
        <w:jc w:val="both"/>
        <w:rPr>
          <w:rFonts w:ascii="Arial" w:hAnsi="Arial" w:cs="Arial"/>
        </w:rPr>
      </w:pPr>
    </w:p>
    <w:p w14:paraId="028CD11D" w14:textId="77777777" w:rsidR="00DD21EF" w:rsidRPr="00DD21EF" w:rsidRDefault="00DD21EF" w:rsidP="00DD21EF">
      <w:pPr>
        <w:pStyle w:val="Body"/>
        <w:rPr>
          <w:rFonts w:ascii="Arial" w:eastAsia="Calibri" w:hAnsi="Arial" w:cs="Arial"/>
          <w:szCs w:val="22"/>
          <w:lang w:val="hr-HR"/>
        </w:rPr>
      </w:pPr>
      <w:r w:rsidRPr="00DD21EF">
        <w:rPr>
          <w:rFonts w:ascii="Arial" w:eastAsia="Calibri" w:hAnsi="Arial" w:cs="Arial"/>
          <w:szCs w:val="22"/>
          <w:lang w:val="en-GB"/>
        </w:rPr>
        <w:t xml:space="preserve">Automatic differential leukocyte counts were performed on 27 samples from patients with CLL on the Siemens ADVIA 2120i hematology analyzer (Siemens, Marburg, Germany) (aDIFF). </w:t>
      </w:r>
      <w:r w:rsidRPr="00DD21EF">
        <w:rPr>
          <w:rFonts w:ascii="Arial" w:eastAsia="Calibri" w:hAnsi="Arial" w:cs="Arial"/>
          <w:szCs w:val="22"/>
          <w:lang w:val="hr-HR"/>
        </w:rPr>
        <w:t xml:space="preserve">For each sample, two blood smears were prepared following the protocol illustrated in Figure 1. </w:t>
      </w:r>
      <w:r w:rsidRPr="00DD21EF">
        <w:rPr>
          <w:rFonts w:ascii="Arial" w:eastAsia="Calibri" w:hAnsi="Arial" w:cs="Arial"/>
          <w:szCs w:val="22"/>
          <w:lang w:val="en-GB"/>
        </w:rPr>
        <w:t>One smear followed our usual laboratory routine protocol (without additives), and the other was made by using 20% human serum albumin (1 part of albumin solution to 4 parts of blood). Both types of smears were stained by standard May-Grünwald Giemsa protocol. Manual differential (</w:t>
      </w:r>
      <w:proofErr w:type="spellStart"/>
      <w:r w:rsidRPr="00DD21EF">
        <w:rPr>
          <w:rFonts w:ascii="Arial" w:eastAsia="Calibri" w:hAnsi="Arial" w:cs="Arial"/>
          <w:szCs w:val="22"/>
          <w:lang w:val="en-GB"/>
        </w:rPr>
        <w:t>mDIFF</w:t>
      </w:r>
      <w:proofErr w:type="spellEnd"/>
      <w:r w:rsidRPr="00DD21EF">
        <w:rPr>
          <w:rFonts w:ascii="Arial" w:eastAsia="Calibri" w:hAnsi="Arial" w:cs="Arial"/>
          <w:szCs w:val="22"/>
          <w:lang w:val="en-GB"/>
        </w:rPr>
        <w:t>) was performed in three manners:</w:t>
      </w:r>
    </w:p>
    <w:p w14:paraId="6F3EF111" w14:textId="77777777" w:rsidR="00DD21EF" w:rsidRPr="00DD21EF" w:rsidRDefault="00DD21EF" w:rsidP="00DD21EF">
      <w:pPr>
        <w:pStyle w:val="Body"/>
        <w:rPr>
          <w:rFonts w:ascii="Arial" w:eastAsia="Calibri" w:hAnsi="Arial" w:cs="Arial"/>
          <w:szCs w:val="22"/>
          <w:lang w:val="en-GB"/>
        </w:rPr>
      </w:pPr>
      <w:r w:rsidRPr="00DD21EF">
        <w:rPr>
          <w:rFonts w:ascii="Arial" w:eastAsia="Calibri" w:hAnsi="Arial" w:cs="Arial"/>
          <w:szCs w:val="22"/>
          <w:lang w:val="en-GB"/>
        </w:rPr>
        <w:t>1. On a routine blood smear: excluding smudge cells from 100 leukocyte count and reporting their number on 100 cells (mDIFF1),</w:t>
      </w:r>
    </w:p>
    <w:p w14:paraId="5CB30779" w14:textId="77777777" w:rsidR="00DD21EF" w:rsidRPr="00DD21EF" w:rsidRDefault="00DD21EF" w:rsidP="00DD21EF">
      <w:pPr>
        <w:pStyle w:val="Body"/>
        <w:rPr>
          <w:rFonts w:ascii="Arial" w:eastAsia="Calibri" w:hAnsi="Arial" w:cs="Arial"/>
          <w:szCs w:val="22"/>
          <w:lang w:val="en-GB"/>
        </w:rPr>
      </w:pPr>
      <w:r w:rsidRPr="00DD21EF">
        <w:rPr>
          <w:rFonts w:ascii="Arial" w:eastAsia="Calibri" w:hAnsi="Arial" w:cs="Arial"/>
          <w:szCs w:val="22"/>
          <w:lang w:val="en-GB"/>
        </w:rPr>
        <w:t>2. On a routine blood smear: including smudge cells into lymphocyte count (mDIFF2),</w:t>
      </w:r>
    </w:p>
    <w:p w14:paraId="5B3285E5" w14:textId="77777777" w:rsidR="00DD21EF" w:rsidRPr="00DD21EF" w:rsidRDefault="00DD21EF" w:rsidP="00DD21EF">
      <w:pPr>
        <w:pStyle w:val="Body"/>
        <w:rPr>
          <w:rFonts w:ascii="Arial" w:eastAsia="Calibri" w:hAnsi="Arial" w:cs="Arial"/>
          <w:szCs w:val="22"/>
          <w:lang w:val="en-GB"/>
        </w:rPr>
      </w:pPr>
      <w:r w:rsidRPr="00DD21EF">
        <w:rPr>
          <w:rFonts w:ascii="Arial" w:eastAsia="Calibri" w:hAnsi="Arial" w:cs="Arial"/>
          <w:szCs w:val="22"/>
          <w:lang w:val="en-GB"/>
        </w:rPr>
        <w:t>3. On an albumin smear: the presence of smudge cells was minimized, so they were excluded from 100 leukocyte count (mDIFF_alb).</w:t>
      </w:r>
    </w:p>
    <w:p w14:paraId="3C479355" w14:textId="77777777" w:rsidR="00DD21EF" w:rsidRPr="00DD21EF" w:rsidRDefault="00E74928" w:rsidP="00DD21EF">
      <w:pPr>
        <w:pStyle w:val="Body"/>
        <w:rPr>
          <w:rFonts w:ascii="Arial" w:eastAsia="Calibri" w:hAnsi="Arial" w:cs="Arial"/>
          <w:szCs w:val="22"/>
          <w:lang w:val="en-GB"/>
        </w:rPr>
      </w:pPr>
      <w:r>
        <w:rPr>
          <w:rFonts w:ascii="Arial" w:eastAsia="Calibri" w:hAnsi="Arial" w:cs="Arial"/>
          <w:noProof/>
          <w:szCs w:val="22"/>
        </w:rPr>
        <w:lastRenderedPageBreak/>
        <w:drawing>
          <wp:inline distT="0" distB="0" distL="0" distR="0" wp14:anchorId="029CEE30" wp14:editId="596A60FB">
            <wp:extent cx="5212080" cy="4245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14">
                      <a:extLst>
                        <a:ext uri="{28A0092B-C50C-407E-A947-70E740481C1C}">
                          <a14:useLocalDpi xmlns:a14="http://schemas.microsoft.com/office/drawing/2010/main" val="0"/>
                        </a:ext>
                      </a:extLst>
                    </a:blip>
                    <a:stretch>
                      <a:fillRect/>
                    </a:stretch>
                  </pic:blipFill>
                  <pic:spPr>
                    <a:xfrm>
                      <a:off x="0" y="0"/>
                      <a:ext cx="5212080" cy="4245610"/>
                    </a:xfrm>
                    <a:prstGeom prst="rect">
                      <a:avLst/>
                    </a:prstGeom>
                  </pic:spPr>
                </pic:pic>
              </a:graphicData>
            </a:graphic>
          </wp:inline>
        </w:drawing>
      </w:r>
    </w:p>
    <w:p w14:paraId="20EC085C" w14:textId="77777777" w:rsidR="00DD21EF" w:rsidRPr="008247A6" w:rsidRDefault="00DD21EF" w:rsidP="00DD21EF">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E74928" w:rsidRPr="00E74928">
        <w:rPr>
          <w:rFonts w:ascii="Arial" w:hAnsi="Arial" w:cs="Arial"/>
          <w:b/>
          <w:bCs/>
          <w:szCs w:val="22"/>
          <w:lang w:val="en-GB"/>
        </w:rPr>
        <w:t>Workflow of the study aimed at evaluating smudge cell reporting as part of differential leukocyte counts in CLL patients.</w:t>
      </w:r>
    </w:p>
    <w:p w14:paraId="1A097B27" w14:textId="77777777" w:rsidR="00DD21EF" w:rsidRPr="008247A6" w:rsidRDefault="00E74928" w:rsidP="00DD21EF">
      <w:pPr>
        <w:autoSpaceDE w:val="0"/>
        <w:autoSpaceDN w:val="0"/>
        <w:adjustRightInd w:val="0"/>
        <w:ind w:left="360"/>
        <w:jc w:val="both"/>
        <w:rPr>
          <w:rFonts w:ascii="Arial" w:hAnsi="Arial" w:cs="Arial"/>
          <w:i/>
          <w:sz w:val="18"/>
        </w:rPr>
      </w:pPr>
      <w:r>
        <w:rPr>
          <w:rFonts w:ascii="Arial" w:hAnsi="Arial" w:cs="Arial"/>
          <w:i/>
          <w:sz w:val="18"/>
        </w:rPr>
        <w:t>CLL-</w:t>
      </w:r>
      <w:r w:rsidRPr="00E74928">
        <w:rPr>
          <w:rFonts w:ascii="Arial" w:hAnsi="Arial" w:cs="Arial"/>
          <w:i/>
          <w:lang w:val="en-GB"/>
        </w:rPr>
        <w:t xml:space="preserve"> </w:t>
      </w:r>
      <w:r w:rsidRPr="00E74928">
        <w:rPr>
          <w:rFonts w:ascii="Arial" w:hAnsi="Arial" w:cs="Arial"/>
          <w:i/>
          <w:sz w:val="18"/>
          <w:lang w:val="en-GB"/>
        </w:rPr>
        <w:t xml:space="preserve">chronic lymphocytic leukemia, </w:t>
      </w:r>
      <w:r w:rsidR="002D249A">
        <w:rPr>
          <w:rFonts w:ascii="Arial" w:hAnsi="Arial" w:cs="Arial"/>
          <w:i/>
          <w:sz w:val="18"/>
          <w:lang w:val="en-GB"/>
        </w:rPr>
        <w:t xml:space="preserve">DIFF- </w:t>
      </w:r>
      <w:r w:rsidR="002D249A" w:rsidRPr="002D249A">
        <w:rPr>
          <w:rFonts w:ascii="Arial" w:hAnsi="Arial" w:cs="Arial"/>
          <w:i/>
          <w:sz w:val="18"/>
          <w:lang w:val="en-GB"/>
        </w:rPr>
        <w:t>differentials</w:t>
      </w:r>
      <w:r w:rsidR="002D249A">
        <w:rPr>
          <w:rFonts w:ascii="Arial" w:hAnsi="Arial" w:cs="Arial"/>
          <w:i/>
          <w:sz w:val="18"/>
          <w:lang w:val="en-GB"/>
        </w:rPr>
        <w:t xml:space="preserve">, </w:t>
      </w:r>
      <w:r>
        <w:rPr>
          <w:rFonts w:ascii="Arial" w:hAnsi="Arial" w:cs="Arial"/>
          <w:i/>
          <w:sz w:val="18"/>
          <w:lang w:val="en-GB"/>
        </w:rPr>
        <w:t xml:space="preserve">SCs- </w:t>
      </w:r>
      <w:r w:rsidRPr="00E74928">
        <w:rPr>
          <w:rFonts w:ascii="Arial" w:hAnsi="Arial" w:cs="Arial"/>
          <w:i/>
          <w:sz w:val="18"/>
          <w:lang w:val="en-GB"/>
        </w:rPr>
        <w:t>smudge cells</w:t>
      </w:r>
      <w:r w:rsidR="002D249A">
        <w:rPr>
          <w:rFonts w:ascii="Arial" w:hAnsi="Arial" w:cs="Arial"/>
          <w:i/>
          <w:sz w:val="18"/>
          <w:lang w:val="en-GB"/>
        </w:rPr>
        <w:t>.</w:t>
      </w:r>
    </w:p>
    <w:p w14:paraId="78C656D0" w14:textId="77777777" w:rsidR="002D249A" w:rsidRDefault="002D249A" w:rsidP="00DD21EF">
      <w:pPr>
        <w:pStyle w:val="Body"/>
        <w:spacing w:after="0"/>
        <w:rPr>
          <w:rFonts w:ascii="Arial" w:eastAsia="Calibri" w:hAnsi="Arial" w:cs="Arial"/>
          <w:szCs w:val="22"/>
          <w:lang w:val="en-GB"/>
        </w:rPr>
      </w:pPr>
    </w:p>
    <w:p w14:paraId="6BFD6CFC" w14:textId="77777777" w:rsidR="002D249A" w:rsidRDefault="002D249A" w:rsidP="00DD21EF">
      <w:pPr>
        <w:pStyle w:val="Body"/>
        <w:spacing w:after="0"/>
        <w:rPr>
          <w:rFonts w:ascii="Arial" w:eastAsia="Calibri" w:hAnsi="Arial" w:cs="Arial"/>
          <w:szCs w:val="22"/>
          <w:lang w:val="en-GB"/>
        </w:rPr>
      </w:pPr>
    </w:p>
    <w:p w14:paraId="744AF076" w14:textId="77777777" w:rsidR="00502516" w:rsidRDefault="00DD21EF" w:rsidP="00DD21EF">
      <w:pPr>
        <w:pStyle w:val="Body"/>
        <w:spacing w:after="0"/>
        <w:rPr>
          <w:rFonts w:ascii="Arial" w:hAnsi="Arial" w:cs="Arial"/>
        </w:rPr>
      </w:pPr>
      <w:r w:rsidRPr="00DD21EF">
        <w:rPr>
          <w:rFonts w:ascii="Arial" w:eastAsia="Calibri" w:hAnsi="Arial" w:cs="Arial"/>
          <w:szCs w:val="22"/>
          <w:lang w:val="en-GB"/>
        </w:rPr>
        <w:t xml:space="preserve">Our main focus were two leukocyte groups: lymphocytes and neutrophils, and their ratio. Atypical lymphocytes and prolymphocytes were categorized as lymphocytes for this study. Bands were included in the total </w:t>
      </w:r>
      <w:r w:rsidR="003823FD" w:rsidRPr="00DD21EF">
        <w:rPr>
          <w:rFonts w:ascii="Arial" w:eastAsia="Calibri" w:hAnsi="Arial" w:cs="Arial"/>
          <w:szCs w:val="22"/>
          <w:lang w:val="en-GB"/>
        </w:rPr>
        <w:t>neutrophil</w:t>
      </w:r>
      <w:r w:rsidRPr="00DD21EF">
        <w:rPr>
          <w:rFonts w:ascii="Arial" w:eastAsia="Calibri" w:hAnsi="Arial" w:cs="Arial"/>
          <w:szCs w:val="22"/>
          <w:lang w:val="en-GB"/>
        </w:rPr>
        <w:t xml:space="preserve"> count. Two results were excluded from statistical analysis because the patients were not in absolute lymphocytosis (absolute lymphocyte count &lt;5x10</w:t>
      </w:r>
      <w:r w:rsidRPr="00DD21EF">
        <w:rPr>
          <w:rFonts w:ascii="Arial" w:eastAsia="Calibri" w:hAnsi="Arial" w:cs="Arial"/>
          <w:szCs w:val="22"/>
          <w:vertAlign w:val="superscript"/>
          <w:lang w:val="en-GB"/>
        </w:rPr>
        <w:t>9</w:t>
      </w:r>
      <w:r w:rsidRPr="00DD21EF">
        <w:rPr>
          <w:rFonts w:ascii="Arial" w:eastAsia="Calibri" w:hAnsi="Arial" w:cs="Arial"/>
          <w:szCs w:val="22"/>
          <w:lang w:val="en-GB"/>
        </w:rPr>
        <w:t>/L). The whole study was performed on leftover routine samples. The Institutional Ethics Committee approved the use of residual patient blood samples for the purposes of laboratory method evaluation and quality improvement (approval number 01-2013).</w:t>
      </w:r>
    </w:p>
    <w:p w14:paraId="79F7D4E0" w14:textId="77777777" w:rsidR="00790ADA" w:rsidRPr="00FB3A86" w:rsidRDefault="00790ADA" w:rsidP="00441B6F">
      <w:pPr>
        <w:pStyle w:val="Body"/>
        <w:spacing w:after="0"/>
        <w:rPr>
          <w:rFonts w:ascii="Arial" w:hAnsi="Arial" w:cs="Arial"/>
        </w:rPr>
      </w:pPr>
    </w:p>
    <w:p w14:paraId="33AE98E0" w14:textId="0E2B0484" w:rsidR="00902823" w:rsidRDefault="00000F8F" w:rsidP="00441B6F">
      <w:pPr>
        <w:pStyle w:val="Head1"/>
        <w:spacing w:after="0"/>
        <w:jc w:val="both"/>
        <w:rPr>
          <w:rFonts w:ascii="Arial" w:hAnsi="Arial" w:cs="Arial"/>
        </w:rPr>
      </w:pPr>
      <w:bookmarkStart w:id="1" w:name="_Hlk213658864"/>
      <w:r w:rsidRPr="0006431C">
        <w:rPr>
          <w:rFonts w:ascii="Arial" w:hAnsi="Arial" w:cs="Arial"/>
          <w:highlight w:val="yellow"/>
        </w:rPr>
        <w:t>3</w:t>
      </w:r>
      <w:r w:rsidR="00902823" w:rsidRPr="0006431C">
        <w:rPr>
          <w:rFonts w:ascii="Arial" w:hAnsi="Arial" w:cs="Arial"/>
          <w:highlight w:val="yellow"/>
        </w:rPr>
        <w:t xml:space="preserve">. </w:t>
      </w:r>
      <w:r w:rsidRPr="0006431C">
        <w:rPr>
          <w:rFonts w:ascii="Arial" w:hAnsi="Arial" w:cs="Arial"/>
          <w:highlight w:val="yellow"/>
        </w:rPr>
        <w:t>results</w:t>
      </w:r>
    </w:p>
    <w:bookmarkEnd w:id="1"/>
    <w:p w14:paraId="4C2B9AD2" w14:textId="77777777" w:rsidR="00790ADA" w:rsidRPr="00FB3A86" w:rsidRDefault="00790ADA" w:rsidP="00441B6F">
      <w:pPr>
        <w:pStyle w:val="Head1"/>
        <w:spacing w:after="0"/>
        <w:jc w:val="both"/>
        <w:rPr>
          <w:rFonts w:ascii="Arial" w:hAnsi="Arial" w:cs="Arial"/>
        </w:rPr>
      </w:pPr>
    </w:p>
    <w:p w14:paraId="3FDF5523" w14:textId="20364890" w:rsidR="00DD21EF" w:rsidRDefault="00DD21EF" w:rsidP="00DD21EF">
      <w:pPr>
        <w:pStyle w:val="Body"/>
        <w:rPr>
          <w:rFonts w:ascii="Arial" w:hAnsi="Arial" w:cs="Arial"/>
          <w:lang w:val="en-GB"/>
        </w:rPr>
      </w:pPr>
      <w:r w:rsidRPr="00DD21EF">
        <w:rPr>
          <w:rFonts w:ascii="Arial" w:hAnsi="Arial" w:cs="Arial"/>
          <w:lang w:val="en-GB"/>
        </w:rPr>
        <w:t>Spearman’s rank correlation analysis showed that the number of smudge cells is dependent on total leukocyte count (r=</w:t>
      </w:r>
      <w:r w:rsidR="00E27E51">
        <w:rPr>
          <w:rFonts w:ascii="Arial" w:hAnsi="Arial" w:cs="Arial"/>
          <w:lang w:val="en-GB"/>
        </w:rPr>
        <w:t xml:space="preserve"> </w:t>
      </w:r>
      <w:r w:rsidRPr="00DD21EF">
        <w:rPr>
          <w:rFonts w:ascii="Arial" w:hAnsi="Arial" w:cs="Arial"/>
          <w:lang w:val="en-GB"/>
        </w:rPr>
        <w:t>0.562, 95%CI: 0.231 to 0.776, P=</w:t>
      </w:r>
      <w:r w:rsidR="00E27E51">
        <w:rPr>
          <w:rFonts w:ascii="Arial" w:hAnsi="Arial" w:cs="Arial"/>
          <w:lang w:val="en-GB"/>
        </w:rPr>
        <w:t xml:space="preserve"> </w:t>
      </w:r>
      <w:r w:rsidRPr="00DD21EF">
        <w:rPr>
          <w:rFonts w:ascii="Arial" w:hAnsi="Arial" w:cs="Arial"/>
          <w:lang w:val="en-GB"/>
        </w:rPr>
        <w:t xml:space="preserve">0.0023). The examples of smudged cells in CLL patient are shown in Figure 2. The smudge cell count was compared in standard (median 25, </w:t>
      </w:r>
      <w:r w:rsidR="00E27E51" w:rsidRPr="00E27E51">
        <w:rPr>
          <w:rFonts w:ascii="Arial" w:hAnsi="Arial" w:cs="Arial"/>
          <w:highlight w:val="yellow"/>
          <w:lang w:val="en-GB"/>
        </w:rPr>
        <w:t>IQR 17 - 81</w:t>
      </w:r>
      <w:r w:rsidRPr="00DD21EF">
        <w:rPr>
          <w:rFonts w:ascii="Arial" w:hAnsi="Arial" w:cs="Arial"/>
          <w:lang w:val="en-GB"/>
        </w:rPr>
        <w:t xml:space="preserve">) and albumenized smears (median 7, </w:t>
      </w:r>
      <w:r w:rsidR="00E27E51" w:rsidRPr="00E27E51">
        <w:rPr>
          <w:rFonts w:ascii="Arial" w:hAnsi="Arial" w:cs="Arial"/>
          <w:highlight w:val="yellow"/>
          <w:lang w:val="en-GB"/>
        </w:rPr>
        <w:t>IQR 4 - 14</w:t>
      </w:r>
      <w:r w:rsidRPr="00DD21EF">
        <w:rPr>
          <w:rFonts w:ascii="Arial" w:hAnsi="Arial" w:cs="Arial"/>
          <w:lang w:val="en-GB"/>
        </w:rPr>
        <w:t xml:space="preserve">) (mDIFF1 and </w:t>
      </w:r>
      <w:proofErr w:type="spellStart"/>
      <w:r w:rsidRPr="00DD21EF">
        <w:rPr>
          <w:rFonts w:ascii="Arial" w:hAnsi="Arial" w:cs="Arial"/>
          <w:lang w:val="en-GB"/>
        </w:rPr>
        <w:t>mDIFF_alb</w:t>
      </w:r>
      <w:proofErr w:type="spellEnd"/>
      <w:r w:rsidRPr="00DD21EF">
        <w:rPr>
          <w:rFonts w:ascii="Arial" w:hAnsi="Arial" w:cs="Arial"/>
          <w:lang w:val="en-GB"/>
        </w:rPr>
        <w:t xml:space="preserve">) by using the Mann-Whitney test. The reduction in smudge cell formation was statistically significant in albumenized smears (P&lt;0.0001). Medians and </w:t>
      </w:r>
      <w:r w:rsidRPr="00DD21EF">
        <w:rPr>
          <w:rFonts w:ascii="Arial" w:hAnsi="Arial" w:cs="Arial"/>
          <w:lang w:val="en-GB"/>
        </w:rPr>
        <w:lastRenderedPageBreak/>
        <w:t xml:space="preserve">ranges of relative </w:t>
      </w:r>
      <w:r w:rsidR="002D249A" w:rsidRPr="00DD21EF">
        <w:rPr>
          <w:rFonts w:ascii="Arial" w:hAnsi="Arial" w:cs="Arial"/>
          <w:lang w:val="en-GB"/>
        </w:rPr>
        <w:t>neutrophil</w:t>
      </w:r>
      <w:r w:rsidRPr="00DD21EF">
        <w:rPr>
          <w:rFonts w:ascii="Arial" w:hAnsi="Arial" w:cs="Arial"/>
          <w:lang w:val="en-GB"/>
        </w:rPr>
        <w:t xml:space="preserve">, lymphocyte counts, and their ratio for three manual differentials and automated differential are listed in Table 1. </w:t>
      </w:r>
    </w:p>
    <w:p w14:paraId="75D1FA4D" w14:textId="77777777" w:rsidR="002D249A" w:rsidRDefault="002D249A" w:rsidP="00DD21EF">
      <w:pPr>
        <w:pStyle w:val="Body"/>
        <w:rPr>
          <w:rFonts w:ascii="Arial" w:hAnsi="Arial" w:cs="Arial"/>
          <w:lang w:val="en-GB"/>
        </w:rPr>
      </w:pPr>
      <w:r>
        <w:rPr>
          <w:rFonts w:ascii="Arial" w:hAnsi="Arial" w:cs="Arial"/>
          <w:noProof/>
        </w:rPr>
        <w:drawing>
          <wp:inline distT="0" distB="0" distL="0" distR="0" wp14:anchorId="611775B4" wp14:editId="1681D6A9">
            <wp:extent cx="5212080" cy="3406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3406775"/>
                    </a:xfrm>
                    <a:prstGeom prst="rect">
                      <a:avLst/>
                    </a:prstGeom>
                  </pic:spPr>
                </pic:pic>
              </a:graphicData>
            </a:graphic>
          </wp:inline>
        </w:drawing>
      </w:r>
    </w:p>
    <w:p w14:paraId="137C4CF8" w14:textId="77777777" w:rsidR="00DD21EF" w:rsidRPr="008247A6" w:rsidRDefault="00DD21EF" w:rsidP="00DD21EF">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2D249A">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002D249A" w:rsidRPr="002D249A">
        <w:rPr>
          <w:rFonts w:ascii="Arial" w:hAnsi="Arial" w:cs="Arial"/>
          <w:b/>
          <w:bCs/>
          <w:szCs w:val="22"/>
          <w:lang w:val="en-GB"/>
        </w:rPr>
        <w:t>Smudged cells in a peripheral blood smear from a patient with chronic lymphocytic leukemia, acquired with the CellaVision DC-60 system.</w:t>
      </w:r>
    </w:p>
    <w:p w14:paraId="22A17646" w14:textId="77777777" w:rsidR="00DD21EF" w:rsidRDefault="00DD21EF" w:rsidP="00DD21EF">
      <w:pPr>
        <w:pStyle w:val="Body"/>
        <w:rPr>
          <w:rFonts w:ascii="Arial" w:hAnsi="Arial" w:cs="Arial"/>
          <w:lang w:val="en-GB"/>
        </w:rPr>
      </w:pPr>
    </w:p>
    <w:p w14:paraId="27432D67" w14:textId="77777777" w:rsidR="00111146" w:rsidRDefault="00111146" w:rsidP="00247C4A">
      <w:pPr>
        <w:tabs>
          <w:tab w:val="left" w:pos="1080"/>
        </w:tabs>
        <w:jc w:val="both"/>
        <w:rPr>
          <w:rFonts w:ascii="Arial" w:hAnsi="Arial"/>
          <w:b/>
        </w:rPr>
      </w:pPr>
    </w:p>
    <w:p w14:paraId="57319751" w14:textId="77777777" w:rsidR="00247C4A" w:rsidRDefault="00247C4A" w:rsidP="00247C4A">
      <w:pPr>
        <w:tabs>
          <w:tab w:val="left" w:pos="1080"/>
        </w:tabs>
        <w:jc w:val="both"/>
        <w:rPr>
          <w:rFonts w:ascii="Arial" w:hAnsi="Arial"/>
          <w:b/>
          <w:lang w:val="en-GB"/>
        </w:rPr>
      </w:pPr>
      <w:r>
        <w:rPr>
          <w:rFonts w:ascii="Arial" w:hAnsi="Arial"/>
          <w:b/>
        </w:rPr>
        <w:t>Table 1.</w:t>
      </w:r>
      <w:r w:rsidRPr="00DC3180">
        <w:rPr>
          <w:rFonts w:ascii="Arial" w:hAnsi="Arial"/>
          <w:b/>
        </w:rPr>
        <w:tab/>
      </w:r>
      <w:r w:rsidRPr="002D249A">
        <w:rPr>
          <w:rFonts w:ascii="Arial" w:hAnsi="Arial"/>
          <w:b/>
          <w:lang w:val="en-GB"/>
        </w:rPr>
        <w:t>Summary statistics on relative fractions of lymphocytes, neutrophils and their ratio (L/N) in automatic differential and three different manual differential types.</w:t>
      </w:r>
    </w:p>
    <w:p w14:paraId="2486E288" w14:textId="77777777" w:rsidR="00F878C7" w:rsidRPr="002D249A" w:rsidRDefault="00F878C7" w:rsidP="00247C4A">
      <w:pPr>
        <w:tabs>
          <w:tab w:val="left" w:pos="1080"/>
        </w:tabs>
        <w:jc w:val="both"/>
        <w:rPr>
          <w:rFonts w:ascii="Arial" w:hAnsi="Arial"/>
          <w:b/>
          <w:lang w:val="en-GB"/>
        </w:rPr>
      </w:pPr>
    </w:p>
    <w:tbl>
      <w:tblPr>
        <w:tblStyle w:val="TableGrid"/>
        <w:tblW w:w="9453" w:type="dxa"/>
        <w:jc w:val="center"/>
        <w:tblLayout w:type="fixed"/>
        <w:tblCellMar>
          <w:left w:w="28" w:type="dxa"/>
          <w:right w:w="28" w:type="dxa"/>
        </w:tblCellMar>
        <w:tblLook w:val="04A0" w:firstRow="1" w:lastRow="0" w:firstColumn="1" w:lastColumn="0" w:noHBand="0" w:noVBand="1"/>
      </w:tblPr>
      <w:tblGrid>
        <w:gridCol w:w="1314"/>
        <w:gridCol w:w="992"/>
        <w:gridCol w:w="1134"/>
        <w:gridCol w:w="709"/>
        <w:gridCol w:w="992"/>
        <w:gridCol w:w="709"/>
        <w:gridCol w:w="992"/>
        <w:gridCol w:w="709"/>
        <w:gridCol w:w="992"/>
        <w:gridCol w:w="910"/>
      </w:tblGrid>
      <w:tr w:rsidR="00247C4A" w:rsidRPr="002D249A" w14:paraId="27207173" w14:textId="77777777" w:rsidTr="00247C4A">
        <w:trPr>
          <w:trHeight w:val="111"/>
          <w:jc w:val="center"/>
        </w:trPr>
        <w:tc>
          <w:tcPr>
            <w:tcW w:w="1314" w:type="dxa"/>
            <w:vMerge w:val="restart"/>
            <w:tcBorders>
              <w:top w:val="single" w:sz="4" w:space="0" w:color="auto"/>
              <w:left w:val="nil"/>
              <w:right w:val="nil"/>
            </w:tcBorders>
            <w:vAlign w:val="center"/>
            <w:hideMark/>
          </w:tcPr>
          <w:p w14:paraId="65AD48A8" w14:textId="620A7FF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 xml:space="preserve">N = </w:t>
            </w:r>
            <w:r w:rsidR="0006431C" w:rsidRPr="0006431C">
              <w:rPr>
                <w:rFonts w:ascii="Arial" w:hAnsi="Arial" w:cs="Arial"/>
                <w:sz w:val="20"/>
                <w:highlight w:val="yellow"/>
                <w:lang w:val="en-GB"/>
              </w:rPr>
              <w:t>27</w:t>
            </w:r>
          </w:p>
        </w:tc>
        <w:tc>
          <w:tcPr>
            <w:tcW w:w="2126" w:type="dxa"/>
            <w:gridSpan w:val="2"/>
            <w:tcBorders>
              <w:top w:val="single" w:sz="4" w:space="0" w:color="auto"/>
              <w:left w:val="nil"/>
              <w:bottom w:val="single" w:sz="4" w:space="0" w:color="auto"/>
              <w:right w:val="nil"/>
            </w:tcBorders>
            <w:vAlign w:val="center"/>
            <w:hideMark/>
          </w:tcPr>
          <w:p w14:paraId="43C93949"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aDIFF</w:t>
            </w:r>
          </w:p>
        </w:tc>
        <w:tc>
          <w:tcPr>
            <w:tcW w:w="1701" w:type="dxa"/>
            <w:gridSpan w:val="2"/>
            <w:tcBorders>
              <w:top w:val="single" w:sz="4" w:space="0" w:color="auto"/>
              <w:left w:val="nil"/>
              <w:bottom w:val="single" w:sz="4" w:space="0" w:color="auto"/>
              <w:right w:val="nil"/>
            </w:tcBorders>
            <w:vAlign w:val="center"/>
            <w:hideMark/>
          </w:tcPr>
          <w:p w14:paraId="19A780B6"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mDIFF1</w:t>
            </w:r>
          </w:p>
        </w:tc>
        <w:tc>
          <w:tcPr>
            <w:tcW w:w="1701" w:type="dxa"/>
            <w:gridSpan w:val="2"/>
            <w:tcBorders>
              <w:top w:val="single" w:sz="4" w:space="0" w:color="auto"/>
              <w:left w:val="nil"/>
              <w:bottom w:val="single" w:sz="4" w:space="0" w:color="auto"/>
              <w:right w:val="nil"/>
            </w:tcBorders>
            <w:vAlign w:val="center"/>
            <w:hideMark/>
          </w:tcPr>
          <w:p w14:paraId="4A017BC4"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mDIFF2</w:t>
            </w:r>
          </w:p>
        </w:tc>
        <w:tc>
          <w:tcPr>
            <w:tcW w:w="1701" w:type="dxa"/>
            <w:gridSpan w:val="2"/>
            <w:tcBorders>
              <w:top w:val="single" w:sz="4" w:space="0" w:color="auto"/>
              <w:left w:val="nil"/>
              <w:bottom w:val="single" w:sz="4" w:space="0" w:color="auto"/>
              <w:right w:val="nil"/>
            </w:tcBorders>
            <w:vAlign w:val="center"/>
            <w:hideMark/>
          </w:tcPr>
          <w:p w14:paraId="35F5EA24"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mDIFF_alb</w:t>
            </w:r>
          </w:p>
        </w:tc>
        <w:tc>
          <w:tcPr>
            <w:tcW w:w="910" w:type="dxa"/>
            <w:tcBorders>
              <w:top w:val="single" w:sz="4" w:space="0" w:color="auto"/>
              <w:left w:val="nil"/>
              <w:bottom w:val="single" w:sz="4" w:space="0" w:color="auto"/>
              <w:right w:val="nil"/>
            </w:tcBorders>
            <w:vAlign w:val="center"/>
          </w:tcPr>
          <w:p w14:paraId="36243C0C" w14:textId="77777777" w:rsidR="00247C4A" w:rsidRPr="002D249A" w:rsidRDefault="00247C4A" w:rsidP="00247C4A">
            <w:pPr>
              <w:pStyle w:val="Body"/>
              <w:spacing w:after="0"/>
              <w:jc w:val="center"/>
              <w:rPr>
                <w:rFonts w:ascii="Arial" w:hAnsi="Arial" w:cs="Arial"/>
                <w:sz w:val="20"/>
                <w:lang w:val="en-GB"/>
              </w:rPr>
            </w:pPr>
          </w:p>
        </w:tc>
      </w:tr>
      <w:tr w:rsidR="00247C4A" w:rsidRPr="002D249A" w14:paraId="2150408D" w14:textId="77777777" w:rsidTr="00247C4A">
        <w:trPr>
          <w:trHeight w:val="103"/>
          <w:jc w:val="center"/>
        </w:trPr>
        <w:tc>
          <w:tcPr>
            <w:tcW w:w="1314" w:type="dxa"/>
            <w:vMerge/>
            <w:tcBorders>
              <w:left w:val="nil"/>
              <w:bottom w:val="single" w:sz="4" w:space="0" w:color="auto"/>
              <w:right w:val="nil"/>
            </w:tcBorders>
            <w:vAlign w:val="center"/>
          </w:tcPr>
          <w:p w14:paraId="22AD217F" w14:textId="77777777" w:rsidR="00247C4A" w:rsidRPr="002D249A" w:rsidRDefault="00247C4A" w:rsidP="00247C4A">
            <w:pPr>
              <w:pStyle w:val="Body"/>
              <w:spacing w:after="0"/>
              <w:jc w:val="center"/>
              <w:rPr>
                <w:rFonts w:ascii="Arial" w:hAnsi="Arial" w:cs="Arial"/>
                <w:sz w:val="20"/>
                <w:lang w:val="en-GB"/>
              </w:rPr>
            </w:pPr>
          </w:p>
        </w:tc>
        <w:tc>
          <w:tcPr>
            <w:tcW w:w="992" w:type="dxa"/>
            <w:tcBorders>
              <w:top w:val="single" w:sz="4" w:space="0" w:color="auto"/>
              <w:left w:val="nil"/>
              <w:bottom w:val="single" w:sz="4" w:space="0" w:color="auto"/>
              <w:right w:val="nil"/>
            </w:tcBorders>
            <w:vAlign w:val="center"/>
            <w:hideMark/>
          </w:tcPr>
          <w:p w14:paraId="66EABB02"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Range</w:t>
            </w:r>
          </w:p>
        </w:tc>
        <w:tc>
          <w:tcPr>
            <w:tcW w:w="1134" w:type="dxa"/>
            <w:tcBorders>
              <w:top w:val="single" w:sz="4" w:space="0" w:color="auto"/>
              <w:left w:val="nil"/>
              <w:bottom w:val="single" w:sz="4" w:space="0" w:color="auto"/>
              <w:right w:val="nil"/>
            </w:tcBorders>
            <w:vAlign w:val="center"/>
            <w:hideMark/>
          </w:tcPr>
          <w:p w14:paraId="56152C91"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Median (IQR)</w:t>
            </w:r>
          </w:p>
        </w:tc>
        <w:tc>
          <w:tcPr>
            <w:tcW w:w="709" w:type="dxa"/>
            <w:tcBorders>
              <w:top w:val="single" w:sz="4" w:space="0" w:color="auto"/>
              <w:left w:val="nil"/>
              <w:bottom w:val="single" w:sz="4" w:space="0" w:color="auto"/>
              <w:right w:val="nil"/>
            </w:tcBorders>
            <w:vAlign w:val="center"/>
            <w:hideMark/>
          </w:tcPr>
          <w:p w14:paraId="055BA5A6"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Range</w:t>
            </w:r>
          </w:p>
        </w:tc>
        <w:tc>
          <w:tcPr>
            <w:tcW w:w="992" w:type="dxa"/>
            <w:tcBorders>
              <w:top w:val="single" w:sz="4" w:space="0" w:color="auto"/>
              <w:left w:val="nil"/>
              <w:bottom w:val="single" w:sz="4" w:space="0" w:color="auto"/>
              <w:right w:val="nil"/>
            </w:tcBorders>
            <w:vAlign w:val="center"/>
            <w:hideMark/>
          </w:tcPr>
          <w:p w14:paraId="27EE8528"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Median (IQR)</w:t>
            </w:r>
          </w:p>
        </w:tc>
        <w:tc>
          <w:tcPr>
            <w:tcW w:w="709" w:type="dxa"/>
            <w:tcBorders>
              <w:top w:val="single" w:sz="4" w:space="0" w:color="auto"/>
              <w:left w:val="nil"/>
              <w:bottom w:val="single" w:sz="4" w:space="0" w:color="auto"/>
              <w:right w:val="nil"/>
            </w:tcBorders>
            <w:vAlign w:val="center"/>
            <w:hideMark/>
          </w:tcPr>
          <w:p w14:paraId="04771DAF"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Range</w:t>
            </w:r>
          </w:p>
        </w:tc>
        <w:tc>
          <w:tcPr>
            <w:tcW w:w="992" w:type="dxa"/>
            <w:tcBorders>
              <w:top w:val="single" w:sz="4" w:space="0" w:color="auto"/>
              <w:left w:val="nil"/>
              <w:bottom w:val="single" w:sz="4" w:space="0" w:color="auto"/>
              <w:right w:val="nil"/>
            </w:tcBorders>
            <w:vAlign w:val="center"/>
            <w:hideMark/>
          </w:tcPr>
          <w:p w14:paraId="68BA875B"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Median (IQR)</w:t>
            </w:r>
          </w:p>
        </w:tc>
        <w:tc>
          <w:tcPr>
            <w:tcW w:w="709" w:type="dxa"/>
            <w:tcBorders>
              <w:top w:val="single" w:sz="4" w:space="0" w:color="auto"/>
              <w:left w:val="nil"/>
              <w:bottom w:val="single" w:sz="4" w:space="0" w:color="auto"/>
              <w:right w:val="nil"/>
            </w:tcBorders>
            <w:vAlign w:val="center"/>
            <w:hideMark/>
          </w:tcPr>
          <w:p w14:paraId="56E7A485"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Range</w:t>
            </w:r>
          </w:p>
        </w:tc>
        <w:tc>
          <w:tcPr>
            <w:tcW w:w="992" w:type="dxa"/>
            <w:tcBorders>
              <w:top w:val="single" w:sz="4" w:space="0" w:color="auto"/>
              <w:left w:val="nil"/>
              <w:bottom w:val="single" w:sz="4" w:space="0" w:color="auto"/>
              <w:right w:val="nil"/>
            </w:tcBorders>
            <w:vAlign w:val="center"/>
            <w:hideMark/>
          </w:tcPr>
          <w:p w14:paraId="0F9F62D4"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Median (IQR)</w:t>
            </w:r>
          </w:p>
        </w:tc>
        <w:tc>
          <w:tcPr>
            <w:tcW w:w="910" w:type="dxa"/>
            <w:tcBorders>
              <w:top w:val="single" w:sz="4" w:space="0" w:color="auto"/>
              <w:left w:val="nil"/>
              <w:bottom w:val="single" w:sz="4" w:space="0" w:color="auto"/>
              <w:right w:val="nil"/>
            </w:tcBorders>
            <w:vAlign w:val="center"/>
            <w:hideMark/>
          </w:tcPr>
          <w:p w14:paraId="709F10B1" w14:textId="77777777" w:rsidR="00247C4A" w:rsidRPr="002D249A" w:rsidRDefault="00247C4A" w:rsidP="00247C4A">
            <w:pPr>
              <w:pStyle w:val="Body"/>
              <w:spacing w:after="0"/>
              <w:jc w:val="center"/>
              <w:rPr>
                <w:rFonts w:ascii="Arial" w:hAnsi="Arial" w:cs="Arial"/>
                <w:sz w:val="20"/>
                <w:lang w:val="en-GB"/>
              </w:rPr>
            </w:pPr>
            <w:r w:rsidRPr="002D249A">
              <w:rPr>
                <w:rFonts w:ascii="Arial" w:hAnsi="Arial" w:cs="Arial"/>
                <w:sz w:val="20"/>
                <w:lang w:val="en-GB"/>
              </w:rPr>
              <w:t>P</w:t>
            </w:r>
          </w:p>
        </w:tc>
      </w:tr>
      <w:tr w:rsidR="00247C4A" w:rsidRPr="002D249A" w14:paraId="642F8657" w14:textId="77777777" w:rsidTr="00247C4A">
        <w:trPr>
          <w:trHeight w:val="111"/>
          <w:jc w:val="center"/>
        </w:trPr>
        <w:tc>
          <w:tcPr>
            <w:tcW w:w="1314" w:type="dxa"/>
            <w:tcBorders>
              <w:top w:val="single" w:sz="4" w:space="0" w:color="auto"/>
              <w:left w:val="nil"/>
              <w:bottom w:val="single" w:sz="4" w:space="0" w:color="auto"/>
              <w:right w:val="nil"/>
            </w:tcBorders>
            <w:vAlign w:val="center"/>
            <w:hideMark/>
          </w:tcPr>
          <w:p w14:paraId="1EC92A94"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Lymphocytes (%)</w:t>
            </w:r>
          </w:p>
        </w:tc>
        <w:tc>
          <w:tcPr>
            <w:tcW w:w="992" w:type="dxa"/>
            <w:tcBorders>
              <w:top w:val="single" w:sz="4" w:space="0" w:color="auto"/>
              <w:left w:val="nil"/>
              <w:bottom w:val="single" w:sz="4" w:space="0" w:color="auto"/>
              <w:right w:val="nil"/>
            </w:tcBorders>
            <w:vAlign w:val="center"/>
            <w:hideMark/>
          </w:tcPr>
          <w:p w14:paraId="267342F0"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54.5–96.2</w:t>
            </w:r>
          </w:p>
        </w:tc>
        <w:tc>
          <w:tcPr>
            <w:tcW w:w="1134" w:type="dxa"/>
            <w:tcBorders>
              <w:top w:val="single" w:sz="4" w:space="0" w:color="auto"/>
              <w:left w:val="nil"/>
              <w:bottom w:val="single" w:sz="4" w:space="0" w:color="auto"/>
              <w:right w:val="nil"/>
            </w:tcBorders>
            <w:vAlign w:val="center"/>
            <w:hideMark/>
          </w:tcPr>
          <w:p w14:paraId="2EDBBC7E"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80.6</w:t>
            </w:r>
          </w:p>
          <w:p w14:paraId="3EDAF64E"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(70.2–91.1)</w:t>
            </w:r>
          </w:p>
        </w:tc>
        <w:tc>
          <w:tcPr>
            <w:tcW w:w="709" w:type="dxa"/>
            <w:tcBorders>
              <w:top w:val="single" w:sz="4" w:space="0" w:color="auto"/>
              <w:left w:val="nil"/>
              <w:bottom w:val="single" w:sz="4" w:space="0" w:color="auto"/>
              <w:right w:val="nil"/>
            </w:tcBorders>
            <w:vAlign w:val="center"/>
            <w:hideMark/>
          </w:tcPr>
          <w:p w14:paraId="7127E194"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52–98</w:t>
            </w:r>
          </w:p>
        </w:tc>
        <w:tc>
          <w:tcPr>
            <w:tcW w:w="992" w:type="dxa"/>
            <w:tcBorders>
              <w:top w:val="single" w:sz="4" w:space="0" w:color="auto"/>
              <w:left w:val="nil"/>
              <w:bottom w:val="single" w:sz="4" w:space="0" w:color="auto"/>
              <w:right w:val="nil"/>
            </w:tcBorders>
            <w:vAlign w:val="center"/>
            <w:hideMark/>
          </w:tcPr>
          <w:p w14:paraId="2205E367"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82</w:t>
            </w:r>
          </w:p>
          <w:p w14:paraId="56F1AAFA"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(63–92)</w:t>
            </w:r>
          </w:p>
        </w:tc>
        <w:tc>
          <w:tcPr>
            <w:tcW w:w="709" w:type="dxa"/>
            <w:tcBorders>
              <w:top w:val="single" w:sz="4" w:space="0" w:color="auto"/>
              <w:left w:val="nil"/>
              <w:bottom w:val="single" w:sz="4" w:space="0" w:color="auto"/>
              <w:right w:val="nil"/>
            </w:tcBorders>
            <w:vAlign w:val="center"/>
            <w:hideMark/>
          </w:tcPr>
          <w:p w14:paraId="10391A61"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58–99</w:t>
            </w:r>
          </w:p>
        </w:tc>
        <w:tc>
          <w:tcPr>
            <w:tcW w:w="992" w:type="dxa"/>
            <w:tcBorders>
              <w:top w:val="single" w:sz="4" w:space="0" w:color="auto"/>
              <w:left w:val="nil"/>
              <w:bottom w:val="single" w:sz="4" w:space="0" w:color="auto"/>
              <w:right w:val="nil"/>
            </w:tcBorders>
            <w:vAlign w:val="center"/>
            <w:hideMark/>
          </w:tcPr>
          <w:p w14:paraId="79B5C1BE"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86</w:t>
            </w:r>
          </w:p>
          <w:p w14:paraId="4CD6934E"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(79–97)</w:t>
            </w:r>
          </w:p>
        </w:tc>
        <w:tc>
          <w:tcPr>
            <w:tcW w:w="709" w:type="dxa"/>
            <w:tcBorders>
              <w:top w:val="single" w:sz="4" w:space="0" w:color="auto"/>
              <w:left w:val="nil"/>
              <w:bottom w:val="single" w:sz="4" w:space="0" w:color="auto"/>
              <w:right w:val="nil"/>
            </w:tcBorders>
            <w:vAlign w:val="center"/>
            <w:hideMark/>
          </w:tcPr>
          <w:p w14:paraId="5EDDE5C9"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44–99</w:t>
            </w:r>
          </w:p>
        </w:tc>
        <w:tc>
          <w:tcPr>
            <w:tcW w:w="992" w:type="dxa"/>
            <w:tcBorders>
              <w:top w:val="single" w:sz="4" w:space="0" w:color="auto"/>
              <w:left w:val="nil"/>
              <w:bottom w:val="single" w:sz="4" w:space="0" w:color="auto"/>
              <w:right w:val="nil"/>
            </w:tcBorders>
            <w:vAlign w:val="center"/>
            <w:hideMark/>
          </w:tcPr>
          <w:p w14:paraId="01C530AE"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84</w:t>
            </w:r>
          </w:p>
          <w:p w14:paraId="04E942D4"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(72–94)</w:t>
            </w:r>
          </w:p>
        </w:tc>
        <w:tc>
          <w:tcPr>
            <w:tcW w:w="910" w:type="dxa"/>
            <w:tcBorders>
              <w:top w:val="single" w:sz="4" w:space="0" w:color="auto"/>
              <w:left w:val="nil"/>
              <w:bottom w:val="single" w:sz="4" w:space="0" w:color="auto"/>
              <w:right w:val="nil"/>
            </w:tcBorders>
            <w:vAlign w:val="center"/>
            <w:hideMark/>
          </w:tcPr>
          <w:p w14:paraId="03B57AAA"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&lt;0.0001</w:t>
            </w:r>
          </w:p>
        </w:tc>
      </w:tr>
      <w:tr w:rsidR="00247C4A" w:rsidRPr="002D249A" w14:paraId="6F62262D" w14:textId="77777777" w:rsidTr="00247C4A">
        <w:trPr>
          <w:trHeight w:val="103"/>
          <w:jc w:val="center"/>
        </w:trPr>
        <w:tc>
          <w:tcPr>
            <w:tcW w:w="1314" w:type="dxa"/>
            <w:tcBorders>
              <w:top w:val="single" w:sz="4" w:space="0" w:color="auto"/>
              <w:left w:val="nil"/>
              <w:bottom w:val="single" w:sz="4" w:space="0" w:color="auto"/>
              <w:right w:val="nil"/>
            </w:tcBorders>
            <w:vAlign w:val="center"/>
            <w:hideMark/>
          </w:tcPr>
          <w:p w14:paraId="0E41AA34"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Neutrophils (%)</w:t>
            </w:r>
          </w:p>
        </w:tc>
        <w:tc>
          <w:tcPr>
            <w:tcW w:w="992" w:type="dxa"/>
            <w:tcBorders>
              <w:top w:val="single" w:sz="4" w:space="0" w:color="auto"/>
              <w:left w:val="nil"/>
              <w:bottom w:val="single" w:sz="4" w:space="0" w:color="auto"/>
              <w:right w:val="nil"/>
            </w:tcBorders>
            <w:vAlign w:val="center"/>
            <w:hideMark/>
          </w:tcPr>
          <w:p w14:paraId="082B3D5F"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3.1–40.0</w:t>
            </w:r>
          </w:p>
        </w:tc>
        <w:tc>
          <w:tcPr>
            <w:tcW w:w="1134" w:type="dxa"/>
            <w:tcBorders>
              <w:top w:val="single" w:sz="4" w:space="0" w:color="auto"/>
              <w:left w:val="nil"/>
              <w:bottom w:val="single" w:sz="4" w:space="0" w:color="auto"/>
              <w:right w:val="nil"/>
            </w:tcBorders>
            <w:vAlign w:val="center"/>
            <w:hideMark/>
          </w:tcPr>
          <w:p w14:paraId="7DDE2CFD"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16.7</w:t>
            </w:r>
          </w:p>
          <w:p w14:paraId="4F70F10D"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(6.0–25.1)</w:t>
            </w:r>
          </w:p>
        </w:tc>
        <w:tc>
          <w:tcPr>
            <w:tcW w:w="709" w:type="dxa"/>
            <w:tcBorders>
              <w:top w:val="single" w:sz="4" w:space="0" w:color="auto"/>
              <w:left w:val="nil"/>
              <w:bottom w:val="single" w:sz="4" w:space="0" w:color="auto"/>
              <w:right w:val="nil"/>
            </w:tcBorders>
            <w:vAlign w:val="center"/>
            <w:hideMark/>
          </w:tcPr>
          <w:p w14:paraId="3ADC6567"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2–48</w:t>
            </w:r>
          </w:p>
        </w:tc>
        <w:tc>
          <w:tcPr>
            <w:tcW w:w="992" w:type="dxa"/>
            <w:tcBorders>
              <w:top w:val="single" w:sz="4" w:space="0" w:color="auto"/>
              <w:left w:val="nil"/>
              <w:bottom w:val="single" w:sz="4" w:space="0" w:color="auto"/>
              <w:right w:val="nil"/>
            </w:tcBorders>
            <w:vAlign w:val="center"/>
            <w:hideMark/>
          </w:tcPr>
          <w:p w14:paraId="342AE68D"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16</w:t>
            </w:r>
          </w:p>
          <w:p w14:paraId="6CDB89A9"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(6–31)</w:t>
            </w:r>
          </w:p>
        </w:tc>
        <w:tc>
          <w:tcPr>
            <w:tcW w:w="709" w:type="dxa"/>
            <w:tcBorders>
              <w:top w:val="single" w:sz="4" w:space="0" w:color="auto"/>
              <w:left w:val="nil"/>
              <w:bottom w:val="single" w:sz="4" w:space="0" w:color="auto"/>
              <w:right w:val="nil"/>
            </w:tcBorders>
            <w:vAlign w:val="center"/>
            <w:hideMark/>
          </w:tcPr>
          <w:p w14:paraId="3D3CFB73"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1–35</w:t>
            </w:r>
          </w:p>
        </w:tc>
        <w:tc>
          <w:tcPr>
            <w:tcW w:w="992" w:type="dxa"/>
            <w:tcBorders>
              <w:top w:val="single" w:sz="4" w:space="0" w:color="auto"/>
              <w:left w:val="nil"/>
              <w:bottom w:val="single" w:sz="4" w:space="0" w:color="auto"/>
              <w:right w:val="nil"/>
            </w:tcBorders>
            <w:vAlign w:val="center"/>
            <w:hideMark/>
          </w:tcPr>
          <w:p w14:paraId="678749B6"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10</w:t>
            </w:r>
          </w:p>
          <w:p w14:paraId="4C23AA47"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(3–18)</w:t>
            </w:r>
          </w:p>
        </w:tc>
        <w:tc>
          <w:tcPr>
            <w:tcW w:w="709" w:type="dxa"/>
            <w:tcBorders>
              <w:top w:val="single" w:sz="4" w:space="0" w:color="auto"/>
              <w:left w:val="nil"/>
              <w:bottom w:val="single" w:sz="4" w:space="0" w:color="auto"/>
              <w:right w:val="nil"/>
            </w:tcBorders>
            <w:vAlign w:val="center"/>
            <w:hideMark/>
          </w:tcPr>
          <w:p w14:paraId="0F48337F"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0–41</w:t>
            </w:r>
          </w:p>
        </w:tc>
        <w:tc>
          <w:tcPr>
            <w:tcW w:w="992" w:type="dxa"/>
            <w:tcBorders>
              <w:top w:val="single" w:sz="4" w:space="0" w:color="auto"/>
              <w:left w:val="nil"/>
              <w:bottom w:val="single" w:sz="4" w:space="0" w:color="auto"/>
              <w:right w:val="nil"/>
            </w:tcBorders>
            <w:vAlign w:val="center"/>
            <w:hideMark/>
          </w:tcPr>
          <w:p w14:paraId="5FEC5079"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13</w:t>
            </w:r>
          </w:p>
          <w:p w14:paraId="07D81AC9"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(6–25)</w:t>
            </w:r>
          </w:p>
        </w:tc>
        <w:tc>
          <w:tcPr>
            <w:tcW w:w="910" w:type="dxa"/>
            <w:tcBorders>
              <w:top w:val="single" w:sz="4" w:space="0" w:color="auto"/>
              <w:left w:val="nil"/>
              <w:bottom w:val="single" w:sz="4" w:space="0" w:color="auto"/>
              <w:right w:val="nil"/>
            </w:tcBorders>
            <w:vAlign w:val="center"/>
            <w:hideMark/>
          </w:tcPr>
          <w:p w14:paraId="088848EB"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0.00001</w:t>
            </w:r>
          </w:p>
        </w:tc>
      </w:tr>
      <w:tr w:rsidR="00247C4A" w:rsidRPr="002D249A" w14:paraId="12FA2B21" w14:textId="77777777" w:rsidTr="00247C4A">
        <w:trPr>
          <w:trHeight w:val="111"/>
          <w:jc w:val="center"/>
        </w:trPr>
        <w:tc>
          <w:tcPr>
            <w:tcW w:w="1314" w:type="dxa"/>
            <w:tcBorders>
              <w:top w:val="single" w:sz="4" w:space="0" w:color="auto"/>
              <w:left w:val="nil"/>
              <w:bottom w:val="single" w:sz="4" w:space="0" w:color="auto"/>
              <w:right w:val="nil"/>
            </w:tcBorders>
            <w:vAlign w:val="center"/>
            <w:hideMark/>
          </w:tcPr>
          <w:p w14:paraId="235F7F24"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Lymphocytes/Neutrophils</w:t>
            </w:r>
          </w:p>
        </w:tc>
        <w:tc>
          <w:tcPr>
            <w:tcW w:w="992" w:type="dxa"/>
            <w:tcBorders>
              <w:top w:val="single" w:sz="4" w:space="0" w:color="auto"/>
              <w:left w:val="nil"/>
              <w:bottom w:val="single" w:sz="4" w:space="0" w:color="auto"/>
              <w:right w:val="nil"/>
            </w:tcBorders>
            <w:vAlign w:val="center"/>
            <w:hideMark/>
          </w:tcPr>
          <w:p w14:paraId="219D460C"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0.3–31 .0</w:t>
            </w:r>
          </w:p>
        </w:tc>
        <w:tc>
          <w:tcPr>
            <w:tcW w:w="1134" w:type="dxa"/>
            <w:tcBorders>
              <w:top w:val="single" w:sz="4" w:space="0" w:color="auto"/>
              <w:left w:val="nil"/>
              <w:bottom w:val="single" w:sz="4" w:space="0" w:color="auto"/>
              <w:right w:val="nil"/>
            </w:tcBorders>
            <w:vAlign w:val="center"/>
            <w:hideMark/>
          </w:tcPr>
          <w:p w14:paraId="2994F627"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4.3</w:t>
            </w:r>
          </w:p>
          <w:p w14:paraId="52B40E0F"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(2.2–15.2)</w:t>
            </w:r>
          </w:p>
        </w:tc>
        <w:tc>
          <w:tcPr>
            <w:tcW w:w="709" w:type="dxa"/>
            <w:tcBorders>
              <w:top w:val="single" w:sz="4" w:space="0" w:color="auto"/>
              <w:left w:val="nil"/>
              <w:bottom w:val="single" w:sz="4" w:space="0" w:color="auto"/>
              <w:right w:val="nil"/>
            </w:tcBorders>
            <w:vAlign w:val="center"/>
            <w:hideMark/>
          </w:tcPr>
          <w:p w14:paraId="608C31C2"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0.2–49</w:t>
            </w:r>
          </w:p>
        </w:tc>
        <w:tc>
          <w:tcPr>
            <w:tcW w:w="992" w:type="dxa"/>
            <w:tcBorders>
              <w:top w:val="single" w:sz="4" w:space="0" w:color="auto"/>
              <w:left w:val="nil"/>
              <w:bottom w:val="single" w:sz="4" w:space="0" w:color="auto"/>
              <w:right w:val="nil"/>
            </w:tcBorders>
            <w:vAlign w:val="center"/>
            <w:hideMark/>
          </w:tcPr>
          <w:p w14:paraId="7D5DD749"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4.1</w:t>
            </w:r>
          </w:p>
          <w:p w14:paraId="1418F65F"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(1.5–13.5)</w:t>
            </w:r>
          </w:p>
        </w:tc>
        <w:tc>
          <w:tcPr>
            <w:tcW w:w="709" w:type="dxa"/>
            <w:tcBorders>
              <w:top w:val="single" w:sz="4" w:space="0" w:color="auto"/>
              <w:left w:val="nil"/>
              <w:bottom w:val="single" w:sz="4" w:space="0" w:color="auto"/>
              <w:right w:val="nil"/>
            </w:tcBorders>
            <w:vAlign w:val="center"/>
            <w:hideMark/>
          </w:tcPr>
          <w:p w14:paraId="1CB04EE4"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0.4–99</w:t>
            </w:r>
          </w:p>
        </w:tc>
        <w:tc>
          <w:tcPr>
            <w:tcW w:w="992" w:type="dxa"/>
            <w:tcBorders>
              <w:top w:val="single" w:sz="4" w:space="0" w:color="auto"/>
              <w:left w:val="nil"/>
              <w:bottom w:val="single" w:sz="4" w:space="0" w:color="auto"/>
              <w:right w:val="nil"/>
            </w:tcBorders>
            <w:vAlign w:val="center"/>
            <w:hideMark/>
          </w:tcPr>
          <w:p w14:paraId="32CF3308"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5.4</w:t>
            </w:r>
          </w:p>
          <w:p w14:paraId="51E58835"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(3.1–32.1)</w:t>
            </w:r>
          </w:p>
        </w:tc>
        <w:tc>
          <w:tcPr>
            <w:tcW w:w="709" w:type="dxa"/>
            <w:tcBorders>
              <w:top w:val="single" w:sz="4" w:space="0" w:color="auto"/>
              <w:left w:val="nil"/>
              <w:bottom w:val="single" w:sz="4" w:space="0" w:color="auto"/>
              <w:right w:val="nil"/>
            </w:tcBorders>
            <w:vAlign w:val="center"/>
            <w:hideMark/>
          </w:tcPr>
          <w:p w14:paraId="6DA72BF9"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0.4–99</w:t>
            </w:r>
          </w:p>
        </w:tc>
        <w:tc>
          <w:tcPr>
            <w:tcW w:w="992" w:type="dxa"/>
            <w:tcBorders>
              <w:top w:val="single" w:sz="4" w:space="0" w:color="auto"/>
              <w:left w:val="nil"/>
              <w:bottom w:val="single" w:sz="4" w:space="0" w:color="auto"/>
              <w:right w:val="nil"/>
            </w:tcBorders>
            <w:vAlign w:val="center"/>
            <w:hideMark/>
          </w:tcPr>
          <w:p w14:paraId="414EDDAD"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4.1</w:t>
            </w:r>
          </w:p>
          <w:p w14:paraId="099B172F"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(2.3–15.7)</w:t>
            </w:r>
          </w:p>
        </w:tc>
        <w:tc>
          <w:tcPr>
            <w:tcW w:w="910" w:type="dxa"/>
            <w:tcBorders>
              <w:top w:val="single" w:sz="4" w:space="0" w:color="auto"/>
              <w:left w:val="nil"/>
              <w:bottom w:val="single" w:sz="4" w:space="0" w:color="auto"/>
              <w:right w:val="nil"/>
            </w:tcBorders>
            <w:vAlign w:val="center"/>
            <w:hideMark/>
          </w:tcPr>
          <w:p w14:paraId="1DD517AE" w14:textId="77777777" w:rsidR="002D249A" w:rsidRPr="002D249A" w:rsidRDefault="002D249A" w:rsidP="00247C4A">
            <w:pPr>
              <w:pStyle w:val="Body"/>
              <w:spacing w:after="0"/>
              <w:jc w:val="center"/>
              <w:rPr>
                <w:rFonts w:ascii="Arial" w:hAnsi="Arial" w:cs="Arial"/>
                <w:sz w:val="20"/>
                <w:lang w:val="en-GB"/>
              </w:rPr>
            </w:pPr>
            <w:r w:rsidRPr="002D249A">
              <w:rPr>
                <w:rFonts w:ascii="Arial" w:hAnsi="Arial" w:cs="Arial"/>
                <w:sz w:val="20"/>
                <w:lang w:val="en-GB"/>
              </w:rPr>
              <w:t>0.00001</w:t>
            </w:r>
          </w:p>
        </w:tc>
      </w:tr>
    </w:tbl>
    <w:p w14:paraId="22555E51" w14:textId="77777777" w:rsidR="00247C4A" w:rsidRPr="00247C4A" w:rsidRDefault="00247C4A" w:rsidP="00247C4A">
      <w:pPr>
        <w:pStyle w:val="Body"/>
        <w:spacing w:after="0"/>
        <w:rPr>
          <w:rFonts w:ascii="Arial" w:hAnsi="Arial"/>
          <w:bCs/>
          <w:i/>
          <w:sz w:val="18"/>
          <w:szCs w:val="16"/>
        </w:rPr>
      </w:pPr>
      <w:proofErr w:type="spellStart"/>
      <w:r w:rsidRPr="00247C4A">
        <w:rPr>
          <w:rFonts w:ascii="Arial" w:hAnsi="Arial"/>
          <w:bCs/>
          <w:i/>
          <w:sz w:val="18"/>
          <w:szCs w:val="16"/>
        </w:rPr>
        <w:t>aDIFF</w:t>
      </w:r>
      <w:proofErr w:type="spellEnd"/>
      <w:r w:rsidRPr="00247C4A">
        <w:rPr>
          <w:rFonts w:ascii="Arial" w:hAnsi="Arial"/>
          <w:bCs/>
          <w:i/>
          <w:sz w:val="18"/>
          <w:szCs w:val="16"/>
        </w:rPr>
        <w:t xml:space="preserve"> - Automatic differential leukocyte counts were performed on hematology </w:t>
      </w:r>
      <w:proofErr w:type="spellStart"/>
      <w:r w:rsidRPr="00247C4A">
        <w:rPr>
          <w:rFonts w:ascii="Arial" w:hAnsi="Arial"/>
          <w:bCs/>
          <w:i/>
          <w:sz w:val="18"/>
          <w:szCs w:val="16"/>
        </w:rPr>
        <w:t>analyser</w:t>
      </w:r>
      <w:proofErr w:type="spellEnd"/>
      <w:r w:rsidRPr="00247C4A">
        <w:rPr>
          <w:rFonts w:ascii="Arial" w:hAnsi="Arial"/>
          <w:bCs/>
          <w:i/>
          <w:sz w:val="18"/>
          <w:szCs w:val="16"/>
        </w:rPr>
        <w:t xml:space="preserve"> Siemens ADVIA 2120i; </w:t>
      </w:r>
    </w:p>
    <w:p w14:paraId="40100E49" w14:textId="77777777" w:rsidR="00247C4A" w:rsidRPr="00247C4A" w:rsidRDefault="00247C4A" w:rsidP="00247C4A">
      <w:pPr>
        <w:pStyle w:val="Body"/>
        <w:spacing w:after="0"/>
        <w:rPr>
          <w:rFonts w:ascii="Arial" w:hAnsi="Arial"/>
          <w:bCs/>
          <w:i/>
          <w:sz w:val="18"/>
          <w:szCs w:val="16"/>
        </w:rPr>
      </w:pPr>
      <w:r w:rsidRPr="00247C4A">
        <w:rPr>
          <w:rFonts w:ascii="Arial" w:hAnsi="Arial"/>
          <w:bCs/>
          <w:i/>
          <w:sz w:val="18"/>
          <w:szCs w:val="16"/>
        </w:rPr>
        <w:t xml:space="preserve">mDIFF1 - Manual differential by excluding smudge cells from 100 leukocyte count and reporting their number on 100 cells; </w:t>
      </w:r>
    </w:p>
    <w:p w14:paraId="4300DD96" w14:textId="77777777" w:rsidR="00247C4A" w:rsidRPr="00247C4A" w:rsidRDefault="00247C4A" w:rsidP="00247C4A">
      <w:pPr>
        <w:pStyle w:val="Body"/>
        <w:spacing w:after="0"/>
        <w:rPr>
          <w:rFonts w:ascii="Arial" w:hAnsi="Arial"/>
          <w:bCs/>
          <w:i/>
          <w:sz w:val="18"/>
          <w:szCs w:val="16"/>
        </w:rPr>
      </w:pPr>
      <w:r w:rsidRPr="00247C4A">
        <w:rPr>
          <w:rFonts w:ascii="Arial" w:hAnsi="Arial"/>
          <w:bCs/>
          <w:i/>
          <w:sz w:val="18"/>
          <w:szCs w:val="16"/>
        </w:rPr>
        <w:t xml:space="preserve">mDIFF2 - Manual differential by including smudge cells into lymphocyte count; </w:t>
      </w:r>
    </w:p>
    <w:p w14:paraId="13419FE2" w14:textId="77777777" w:rsidR="00DD21EF" w:rsidRPr="00247C4A" w:rsidRDefault="00247C4A" w:rsidP="00247C4A">
      <w:pPr>
        <w:pStyle w:val="Body"/>
        <w:rPr>
          <w:rFonts w:ascii="Arial" w:hAnsi="Arial"/>
          <w:bCs/>
          <w:i/>
          <w:sz w:val="18"/>
          <w:szCs w:val="16"/>
        </w:rPr>
      </w:pPr>
      <w:r w:rsidRPr="00247C4A">
        <w:rPr>
          <w:rFonts w:ascii="Arial" w:hAnsi="Arial"/>
          <w:bCs/>
          <w:i/>
          <w:sz w:val="18"/>
          <w:szCs w:val="16"/>
        </w:rPr>
        <w:t>mDIFF_alb - Manual differential on an albumenized smear.</w:t>
      </w:r>
    </w:p>
    <w:p w14:paraId="579F5327" w14:textId="77777777" w:rsidR="00DD21EF" w:rsidRDefault="00DD21EF" w:rsidP="00DD21EF">
      <w:pPr>
        <w:pStyle w:val="Body"/>
        <w:rPr>
          <w:rFonts w:ascii="Arial" w:hAnsi="Arial" w:cs="Arial"/>
          <w:lang w:val="en-GB"/>
        </w:rPr>
      </w:pPr>
      <w:r w:rsidRPr="00DD21EF">
        <w:rPr>
          <w:rFonts w:ascii="Arial" w:hAnsi="Arial" w:cs="Arial"/>
          <w:lang w:val="en-GB"/>
        </w:rPr>
        <w:t xml:space="preserve">Data on the differential counts were compared by using Friedman's test. A statistically significant difference (P&lt;0.05) was obtained for mDIFF2 results for all three variables </w:t>
      </w:r>
      <w:r w:rsidRPr="00DD21EF">
        <w:rPr>
          <w:rFonts w:ascii="Arial" w:hAnsi="Arial" w:cs="Arial"/>
          <w:lang w:val="en-GB"/>
        </w:rPr>
        <w:lastRenderedPageBreak/>
        <w:t xml:space="preserve">(neutrophil count, lymphocyte count, and their ratio) when compared to other methods. Lymphocyte count was also significantly different for mDIFF_alb (P&lt;0.05) compared to other three groups (aDIFF, mDIFF1 and mDIFF2), while they did not significantly differ between mDIFF1 and aDIFF. </w:t>
      </w:r>
    </w:p>
    <w:p w14:paraId="08086846" w14:textId="13DAE307" w:rsidR="0006431C" w:rsidRDefault="0006431C" w:rsidP="0006431C">
      <w:pPr>
        <w:pStyle w:val="Head1"/>
        <w:spacing w:after="0"/>
        <w:jc w:val="both"/>
        <w:rPr>
          <w:rFonts w:ascii="Arial" w:hAnsi="Arial" w:cs="Arial"/>
        </w:rPr>
      </w:pPr>
      <w:r w:rsidRPr="0006431C">
        <w:rPr>
          <w:rFonts w:ascii="Arial" w:hAnsi="Arial" w:cs="Arial"/>
          <w:highlight w:val="yellow"/>
        </w:rPr>
        <w:t>4. discussion</w:t>
      </w:r>
    </w:p>
    <w:p w14:paraId="0A97631C" w14:textId="77777777" w:rsidR="0006431C" w:rsidRDefault="0006431C" w:rsidP="0006431C">
      <w:pPr>
        <w:pStyle w:val="Body"/>
        <w:spacing w:after="0"/>
        <w:rPr>
          <w:rFonts w:ascii="Arial" w:hAnsi="Arial" w:cs="Arial"/>
          <w:lang w:val="en-GB"/>
        </w:rPr>
      </w:pPr>
    </w:p>
    <w:p w14:paraId="1645E5E6" w14:textId="4F444EFF" w:rsidR="00DD21EF" w:rsidRPr="00DD21EF" w:rsidRDefault="00DD21EF" w:rsidP="00DD21EF">
      <w:pPr>
        <w:pStyle w:val="Body"/>
        <w:rPr>
          <w:rFonts w:ascii="Arial" w:hAnsi="Arial" w:cs="Arial"/>
          <w:lang w:val="en-GB"/>
        </w:rPr>
      </w:pPr>
      <w:r w:rsidRPr="00DD21EF">
        <w:rPr>
          <w:rFonts w:ascii="Arial" w:hAnsi="Arial" w:cs="Arial"/>
          <w:lang w:val="en-GB"/>
        </w:rPr>
        <w:t>In this preliminary study, the relative lymphocyte count in a manual method that excluded smudge cells from a 100-cell differential did not differ significantly from the automatic differential, which is considered the preferred reporting option. This finding supports the practice already used in the majority of laboratories, where smudge cells are excluded from the manual differential and only commented upon in the morphological description. On the other hand, when smudge cells were included in the lymphocyte count, results significantly differed from aDIFF and other manual methods, confirming that such an approach may lead to overestimation of lymphocytes and underestimation of neutrophils, and therefore to clinically misleading results.</w:t>
      </w:r>
    </w:p>
    <w:p w14:paraId="6DAF8EA3" w14:textId="52E7F11F" w:rsidR="00DD21EF" w:rsidRDefault="00DD21EF" w:rsidP="00DD21EF">
      <w:pPr>
        <w:pStyle w:val="Body"/>
        <w:spacing w:after="0"/>
        <w:rPr>
          <w:rFonts w:ascii="Arial" w:hAnsi="Arial" w:cs="Arial"/>
          <w:lang w:val="en-GB"/>
        </w:rPr>
      </w:pPr>
      <w:r w:rsidRPr="00DD21EF">
        <w:rPr>
          <w:rFonts w:ascii="Arial" w:hAnsi="Arial" w:cs="Arial"/>
          <w:lang w:val="en-GB"/>
        </w:rPr>
        <w:t xml:space="preserve">The use of albumin pre-treatment substantially reduced the number of smudge cells in our study, consistent with earlier observations </w:t>
      </w:r>
      <w:r w:rsidR="00BA7D7C">
        <w:rPr>
          <w:rFonts w:ascii="Arial" w:hAnsi="Arial" w:cs="Arial"/>
          <w:lang w:val="en-GB"/>
        </w:rPr>
        <w:t>(Lunning, 2004)</w:t>
      </w:r>
      <w:r w:rsidRPr="00DD21EF">
        <w:rPr>
          <w:rFonts w:ascii="Arial" w:hAnsi="Arial" w:cs="Arial"/>
          <w:lang w:val="en-GB"/>
        </w:rPr>
        <w:t>. Although this method improves smear quality and minimizes artefacts, it is not widely implemented in routine laboratories, mainly due to limited availability of albumin and additional workload. Our results suggest that, in everyday practice, simply excluding smudge cells from the differential yields results most consistent with analyzer data, without the need for albumin pre-treatment. This is especially relevant for smaller laboratories where albumin preparations are not feasible.</w:t>
      </w:r>
      <w:r w:rsidR="00867A23">
        <w:rPr>
          <w:rFonts w:ascii="Arial" w:hAnsi="Arial" w:cs="Arial"/>
          <w:lang w:val="en-GB"/>
        </w:rPr>
        <w:t xml:space="preserve"> </w:t>
      </w:r>
      <w:r w:rsidRPr="00DD21EF">
        <w:rPr>
          <w:rFonts w:ascii="Arial" w:hAnsi="Arial" w:cs="Arial"/>
          <w:lang w:val="en-GB"/>
        </w:rPr>
        <w:t xml:space="preserve">Beyond analytical considerations, smudge cells have been investigated as potential prognostic markers in CLL. Some studies have reported that a higher percentage of smudge cells correlates with more indolent disease and longer survival, possibly reflecting increased lymphocyte fragility </w:t>
      </w:r>
      <w:r w:rsidR="00BA7D7C">
        <w:rPr>
          <w:rFonts w:ascii="Arial" w:hAnsi="Arial" w:cs="Arial"/>
          <w:lang w:val="en-GB"/>
        </w:rPr>
        <w:t>(Gogia, 2014)</w:t>
      </w:r>
      <w:r w:rsidRPr="00DD21EF">
        <w:rPr>
          <w:rFonts w:ascii="Arial" w:hAnsi="Arial" w:cs="Arial"/>
          <w:lang w:val="en-GB"/>
        </w:rPr>
        <w:t xml:space="preserve">. </w:t>
      </w:r>
      <w:r w:rsidR="00B25FDF" w:rsidRPr="00B25FDF">
        <w:rPr>
          <w:rFonts w:ascii="Arial" w:hAnsi="Arial" w:cs="Arial"/>
          <w:highlight w:val="yellow"/>
          <w:lang w:val="en-GB"/>
        </w:rPr>
        <w:t>In line with this, Nowakowski et al. demonstrated that the frequency of smudge cells on routine peripheral blood smears predicts disease and prolonged survival (Nowakowski, 2007). These findings underscore that, while smudge cells may complicate manual differential counts, their documentation carries biologic and prognostic significance. T</w:t>
      </w:r>
      <w:r w:rsidRPr="00B25FDF">
        <w:rPr>
          <w:rFonts w:ascii="Arial" w:hAnsi="Arial" w:cs="Arial"/>
          <w:highlight w:val="yellow"/>
          <w:lang w:val="en-GB"/>
        </w:rPr>
        <w:t>his aspect was beyond the scope of our study, which focused exclusively on their impact on leukocyte differential reporting. Still, the prognostic role of smudge cells reinforces the importance of documenting their presence, even if they are excluded from the manual count.</w:t>
      </w:r>
    </w:p>
    <w:p w14:paraId="124927AB" w14:textId="77777777" w:rsidR="00867A23" w:rsidRDefault="00867A23" w:rsidP="00DD21EF">
      <w:pPr>
        <w:pStyle w:val="Body"/>
        <w:spacing w:after="0"/>
        <w:rPr>
          <w:rFonts w:ascii="Arial" w:hAnsi="Arial" w:cs="Arial"/>
          <w:lang w:val="en-GB"/>
        </w:rPr>
      </w:pPr>
    </w:p>
    <w:p w14:paraId="6CD65033" w14:textId="39271047" w:rsidR="00867A23" w:rsidRDefault="00867A23" w:rsidP="00DD21EF">
      <w:pPr>
        <w:pStyle w:val="Body"/>
        <w:spacing w:after="0"/>
        <w:rPr>
          <w:rFonts w:ascii="Arial" w:hAnsi="Arial" w:cs="Arial"/>
          <w:lang w:val="en-GB"/>
        </w:rPr>
      </w:pPr>
      <w:r w:rsidRPr="0008578C">
        <w:rPr>
          <w:rFonts w:ascii="Arial" w:hAnsi="Arial" w:cs="Arial"/>
          <w:highlight w:val="yellow"/>
          <w:lang w:val="en-GB"/>
        </w:rPr>
        <w:t xml:space="preserve">One of the challenges in diagnosing CLL lies in the fact that, although its clinical and laboratory profile is relatively well-defined, rare cases may overlap with other hematologic malignancies, </w:t>
      </w:r>
      <w:r w:rsidR="00C867CC" w:rsidRPr="0008578C">
        <w:rPr>
          <w:rFonts w:ascii="Arial" w:hAnsi="Arial" w:cs="Arial"/>
          <w:highlight w:val="yellow"/>
          <w:lang w:val="en-GB"/>
        </w:rPr>
        <w:t>particularly</w:t>
      </w:r>
      <w:r w:rsidRPr="0008578C">
        <w:rPr>
          <w:rFonts w:ascii="Arial" w:hAnsi="Arial" w:cs="Arial"/>
          <w:highlight w:val="yellow"/>
          <w:lang w:val="en-GB"/>
        </w:rPr>
        <w:t xml:space="preserve"> AML. Reports exist of patients who </w:t>
      </w:r>
      <w:r w:rsidR="00C867CC" w:rsidRPr="0008578C">
        <w:rPr>
          <w:rFonts w:ascii="Arial" w:hAnsi="Arial" w:cs="Arial"/>
          <w:highlight w:val="yellow"/>
          <w:lang w:val="en-GB"/>
        </w:rPr>
        <w:t>concurrently</w:t>
      </w:r>
      <w:r w:rsidRPr="0008578C">
        <w:rPr>
          <w:rFonts w:ascii="Arial" w:hAnsi="Arial" w:cs="Arial"/>
          <w:highlight w:val="yellow"/>
          <w:lang w:val="en-GB"/>
        </w:rPr>
        <w:t xml:space="preserve"> had, or subsequently developed, AML in the setting of pre-existing CLL, further complicating both the clinical and laboratory </w:t>
      </w:r>
      <w:r w:rsidR="0008578C" w:rsidRPr="0008578C">
        <w:rPr>
          <w:rFonts w:ascii="Arial" w:hAnsi="Arial" w:cs="Arial"/>
          <w:highlight w:val="yellow"/>
          <w:lang w:val="en-GB"/>
        </w:rPr>
        <w:t>assessment</w:t>
      </w:r>
      <w:r w:rsidRPr="0008578C">
        <w:rPr>
          <w:rFonts w:ascii="Arial" w:hAnsi="Arial" w:cs="Arial"/>
          <w:highlight w:val="yellow"/>
          <w:lang w:val="en-GB"/>
        </w:rPr>
        <w:t xml:space="preserve"> </w:t>
      </w:r>
      <w:r w:rsidR="00C867CC" w:rsidRPr="0008578C">
        <w:rPr>
          <w:rFonts w:ascii="Arial" w:hAnsi="Arial" w:cs="Arial"/>
          <w:highlight w:val="yellow"/>
          <w:lang w:val="en-GB"/>
        </w:rPr>
        <w:t xml:space="preserve">(Al Mussaed, 2016, Rund, 2004, Meloni, 2000). </w:t>
      </w:r>
      <w:r w:rsidR="0008578C" w:rsidRPr="0008578C">
        <w:rPr>
          <w:rFonts w:ascii="Arial" w:hAnsi="Arial" w:cs="Arial"/>
          <w:highlight w:val="yellow"/>
          <w:lang w:val="en-GB"/>
        </w:rPr>
        <w:t>From a clinical perspective, this overlap has important prognostic and therapeutic implications. The development of AML in a patient with CLL is often associated with a more aggressive clinical course, and the treatment strategies for CLL and AML differ substantially. Therefore, early and precise differentiation is critical for optimal therapy selection. In the context of our own research and interpretation of analytical parameters, it is important to recognize that rare CLL patients may harbor a concomitant AML clone. Unexpected blast populations, unusually rapid disease progression, or serial laboratory findings inconsistent with classical CLL should prompt consideration of an AML component.</w:t>
      </w:r>
    </w:p>
    <w:p w14:paraId="22EE92CD" w14:textId="77777777" w:rsidR="00867A23" w:rsidRPr="00DD21EF" w:rsidRDefault="00867A23" w:rsidP="00DD21EF">
      <w:pPr>
        <w:pStyle w:val="Body"/>
        <w:spacing w:after="0"/>
        <w:rPr>
          <w:rFonts w:ascii="Arial" w:hAnsi="Arial" w:cs="Arial"/>
          <w:lang w:val="en-GB"/>
        </w:rPr>
      </w:pPr>
    </w:p>
    <w:p w14:paraId="02FFEB85" w14:textId="77777777" w:rsidR="00DD21EF" w:rsidRPr="00DD21EF" w:rsidRDefault="00DD21EF" w:rsidP="00DD21EF">
      <w:pPr>
        <w:pStyle w:val="Body"/>
        <w:spacing w:after="0"/>
        <w:rPr>
          <w:rFonts w:ascii="Arial" w:hAnsi="Arial" w:cs="Arial"/>
          <w:lang w:val="en-GB"/>
        </w:rPr>
      </w:pPr>
      <w:r w:rsidRPr="00DD21EF">
        <w:rPr>
          <w:rFonts w:ascii="Arial" w:hAnsi="Arial" w:cs="Arial"/>
          <w:lang w:val="en-GB"/>
        </w:rPr>
        <w:t xml:space="preserve">This study has some limitations. It is performed on a relatively small number of CLL patient samples. However, we did not </w:t>
      </w:r>
      <w:r w:rsidR="0078075E">
        <w:rPr>
          <w:rFonts w:ascii="Arial" w:hAnsi="Arial" w:cs="Arial"/>
          <w:lang w:val="en-GB"/>
        </w:rPr>
        <w:t xml:space="preserve">want </w:t>
      </w:r>
      <w:r w:rsidRPr="00DD21EF">
        <w:rPr>
          <w:rFonts w:ascii="Arial" w:hAnsi="Arial" w:cs="Arial"/>
          <w:lang w:val="en-GB"/>
        </w:rPr>
        <w:t xml:space="preserve">to duplicate the smears from the same patients, so the included number reveals the true incidence of CLL patients in our hospital. Additionally, the </w:t>
      </w:r>
      <w:r w:rsidRPr="00DD21EF">
        <w:rPr>
          <w:rFonts w:ascii="Arial" w:hAnsi="Arial" w:cs="Arial"/>
          <w:lang w:val="en-GB"/>
        </w:rPr>
        <w:lastRenderedPageBreak/>
        <w:t>cell count was performed only once on 100 cells manual count for all the samples. However, while recreating the everyday routine work, we were able to assess the real-life performance of this manual technique and understand the size of the uncertainty of the reported results. A study on a larger number of samples and an additional comparison of a 200-cell differential in the future could provide us with more insight into the selected procedure.</w:t>
      </w:r>
    </w:p>
    <w:p w14:paraId="2EFAFACD" w14:textId="06149A15" w:rsidR="00DD21EF" w:rsidRDefault="00DD21EF">
      <w:pPr>
        <w:rPr>
          <w:rFonts w:ascii="Arial" w:hAnsi="Arial" w:cs="Arial"/>
        </w:rPr>
      </w:pPr>
    </w:p>
    <w:p w14:paraId="6D7447C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F20B03" w14:textId="77777777" w:rsidR="00790ADA" w:rsidRPr="00FB3A86" w:rsidRDefault="00790ADA" w:rsidP="00441B6F">
      <w:pPr>
        <w:pStyle w:val="ConcHead"/>
        <w:spacing w:after="0"/>
        <w:jc w:val="both"/>
        <w:rPr>
          <w:rFonts w:ascii="Arial" w:hAnsi="Arial" w:cs="Arial"/>
        </w:rPr>
      </w:pPr>
    </w:p>
    <w:p w14:paraId="74560BED" w14:textId="77777777" w:rsidR="00AA5FC0" w:rsidRDefault="0085312D" w:rsidP="0085312D">
      <w:pPr>
        <w:pStyle w:val="Body"/>
        <w:spacing w:after="0"/>
        <w:rPr>
          <w:rFonts w:ascii="Arial" w:hAnsi="Arial" w:cs="Arial"/>
          <w:lang w:val="en-GB"/>
        </w:rPr>
      </w:pPr>
      <w:r w:rsidRPr="0085312D">
        <w:rPr>
          <w:rFonts w:ascii="Arial" w:hAnsi="Arial" w:cs="Arial"/>
          <w:lang w:val="en-GB"/>
        </w:rPr>
        <w:t xml:space="preserve">In conclusion, our findings indicate that excluding smudge cells from the 100-cell manual differential and reporting their presence separately provides results most consistent with hematology analyzer differentials. Including smudge cells into 100-cell differentials could possibly lead to erroneous results and therefore should be avoided. Although albumin pre-treatment effectively reduces smudge cell formation, it is not essential for obtaining clinically reliable differentials in routine practice. </w:t>
      </w:r>
    </w:p>
    <w:p w14:paraId="009D3FA5" w14:textId="6F72424F" w:rsidR="0085312D" w:rsidRDefault="00AA5FC0" w:rsidP="0085312D">
      <w:pPr>
        <w:pStyle w:val="Body"/>
        <w:spacing w:after="0"/>
        <w:rPr>
          <w:rFonts w:ascii="Arial" w:hAnsi="Arial" w:cs="Arial"/>
          <w:lang w:val="en-GB"/>
        </w:rPr>
      </w:pPr>
      <w:r w:rsidRPr="00AA5FC0">
        <w:rPr>
          <w:rFonts w:ascii="Arial" w:hAnsi="Arial" w:cs="Arial"/>
          <w:highlight w:val="yellow"/>
          <w:lang w:val="en-GB"/>
        </w:rPr>
        <w:t xml:space="preserve">Based on these results, we recommend that laboratories adopt the practice of excluding smudge cells from the manual differential while documenting their presence in the morphological description for patients suspected of having CLL. This approach align with the international guidelines, minimizes interlaboratory variability, and ensure that differential counts remain accurate and clinically meaningful. </w:t>
      </w:r>
      <w:r w:rsidR="0085312D" w:rsidRPr="00AA5FC0">
        <w:rPr>
          <w:rFonts w:ascii="Arial" w:hAnsi="Arial" w:cs="Arial"/>
          <w:highlight w:val="yellow"/>
          <w:lang w:val="en-GB"/>
        </w:rPr>
        <w:t xml:space="preserve">Standardization of reporting practices, </w:t>
      </w:r>
      <w:r w:rsidRPr="00AA5FC0">
        <w:rPr>
          <w:rFonts w:ascii="Arial" w:hAnsi="Arial" w:cs="Arial"/>
          <w:highlight w:val="yellow"/>
          <w:lang w:val="en-GB"/>
        </w:rPr>
        <w:t>together with awareness of smudge cell implications, could improve diagnostic accuracy, and ultimately support better patient care in CLL.</w:t>
      </w:r>
      <w:r>
        <w:rPr>
          <w:rFonts w:ascii="Arial" w:hAnsi="Arial" w:cs="Arial"/>
          <w:lang w:val="en-GB"/>
        </w:rPr>
        <w:t xml:space="preserve"> </w:t>
      </w:r>
    </w:p>
    <w:p w14:paraId="50A09AE2" w14:textId="77777777" w:rsidR="00C867CC" w:rsidRPr="0085312D" w:rsidRDefault="00C867CC" w:rsidP="0085312D">
      <w:pPr>
        <w:pStyle w:val="Body"/>
        <w:spacing w:after="0"/>
        <w:rPr>
          <w:rFonts w:ascii="Arial" w:hAnsi="Arial" w:cs="Arial"/>
          <w:lang w:val="en-GB"/>
        </w:rPr>
      </w:pPr>
    </w:p>
    <w:p w14:paraId="6CBEA598" w14:textId="77777777" w:rsidR="005C784C" w:rsidRDefault="005C784C" w:rsidP="00441B6F">
      <w:pPr>
        <w:pStyle w:val="ReferHead"/>
        <w:spacing w:after="0"/>
        <w:jc w:val="both"/>
        <w:rPr>
          <w:rFonts w:ascii="Arial" w:hAnsi="Arial" w:cs="Arial"/>
          <w:bCs/>
        </w:rPr>
      </w:pPr>
      <w:r>
        <w:rPr>
          <w:rFonts w:ascii="Arial" w:hAnsi="Arial" w:cs="Arial"/>
          <w:bCs/>
        </w:rPr>
        <w:t>Ethical approval</w:t>
      </w:r>
    </w:p>
    <w:p w14:paraId="68E3A8D5" w14:textId="77777777" w:rsidR="005C784C" w:rsidRPr="002B685A" w:rsidRDefault="005C784C" w:rsidP="00441B6F">
      <w:pPr>
        <w:pStyle w:val="ReferHead"/>
        <w:spacing w:after="0"/>
        <w:jc w:val="both"/>
        <w:rPr>
          <w:rFonts w:ascii="Arial" w:hAnsi="Arial" w:cs="Arial"/>
          <w:bCs/>
        </w:rPr>
      </w:pPr>
    </w:p>
    <w:p w14:paraId="00D0F3E3" w14:textId="77777777" w:rsidR="0041027F" w:rsidRDefault="001A29D8" w:rsidP="00441B6F">
      <w:pPr>
        <w:pStyle w:val="ReferHead"/>
        <w:spacing w:after="0"/>
        <w:jc w:val="both"/>
        <w:rPr>
          <w:rFonts w:ascii="Arial" w:hAnsi="Arial" w:cs="Arial"/>
          <w:b w:val="0"/>
          <w:caps w:val="0"/>
          <w:sz w:val="20"/>
        </w:rPr>
      </w:pPr>
      <w:r w:rsidRPr="00F21952">
        <w:rPr>
          <w:rFonts w:ascii="Arial" w:hAnsi="Arial" w:cs="Arial"/>
          <w:b w:val="0"/>
          <w:caps w:val="0"/>
          <w:sz w:val="20"/>
        </w:rPr>
        <w:t>All authors hereby declare that a</w:t>
      </w:r>
      <w:r w:rsidR="0041027F" w:rsidRPr="00F21952">
        <w:rPr>
          <w:rFonts w:ascii="Arial" w:hAnsi="Arial" w:cs="Arial"/>
          <w:b w:val="0"/>
          <w:caps w:val="0"/>
          <w:sz w:val="20"/>
        </w:rPr>
        <w:t xml:space="preserve">ll </w:t>
      </w:r>
      <w:r w:rsidR="00F469F0" w:rsidRPr="00F21952">
        <w:rPr>
          <w:rFonts w:ascii="Arial" w:hAnsi="Arial" w:cs="Arial"/>
          <w:b w:val="0"/>
          <w:caps w:val="0"/>
          <w:sz w:val="20"/>
        </w:rPr>
        <w:t>experiments</w:t>
      </w:r>
      <w:r w:rsidR="0041027F" w:rsidRPr="00F21952">
        <w:rPr>
          <w:rFonts w:ascii="Arial" w:hAnsi="Arial" w:cs="Arial"/>
          <w:b w:val="0"/>
          <w:caps w:val="0"/>
          <w:sz w:val="20"/>
        </w:rPr>
        <w:t xml:space="preserve"> have been examined</w:t>
      </w:r>
      <w:r w:rsidRPr="00F21952">
        <w:rPr>
          <w:rFonts w:ascii="Arial" w:hAnsi="Arial" w:cs="Arial"/>
          <w:b w:val="0"/>
          <w:caps w:val="0"/>
          <w:sz w:val="20"/>
        </w:rPr>
        <w:t xml:space="preserve"> and approved</w:t>
      </w:r>
      <w:r w:rsidR="0041027F" w:rsidRPr="00F21952">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5F699E34" w14:textId="77777777" w:rsidR="00F66097" w:rsidRDefault="00F66097" w:rsidP="00441B6F">
      <w:pPr>
        <w:pStyle w:val="ReferHead"/>
        <w:spacing w:after="0"/>
        <w:jc w:val="both"/>
        <w:rPr>
          <w:rFonts w:ascii="Arial" w:hAnsi="Arial" w:cs="Arial"/>
          <w:b w:val="0"/>
          <w:caps w:val="0"/>
          <w:sz w:val="20"/>
        </w:rPr>
      </w:pPr>
    </w:p>
    <w:p w14:paraId="6BF442D3" w14:textId="77777777" w:rsidR="00F66097" w:rsidRPr="003A29C6" w:rsidRDefault="00F66097" w:rsidP="00F66097">
      <w:pPr>
        <w:jc w:val="both"/>
        <w:outlineLvl w:val="0"/>
        <w:rPr>
          <w:rFonts w:ascii="Arial" w:hAnsi="Arial" w:cs="Arial"/>
        </w:rPr>
      </w:pPr>
      <w:r w:rsidRPr="003A29C6">
        <w:rPr>
          <w:rFonts w:ascii="Arial" w:hAnsi="Arial" w:cs="Arial"/>
          <w:b/>
          <w:bCs/>
        </w:rPr>
        <w:t>COMPETING INTERESTS DISCLAIMER:</w:t>
      </w:r>
    </w:p>
    <w:p w14:paraId="14B477AA" w14:textId="6AD3B25C" w:rsidR="00F66097" w:rsidRDefault="00F66097" w:rsidP="00F66097">
      <w:r w:rsidRPr="00A10EDE">
        <w:t>Authors have declared that they have no known competing financial interests OR non-financial interests OR personal relationships that could have appeared to influence the work reported in this paper.</w:t>
      </w:r>
    </w:p>
    <w:p w14:paraId="566E592C" w14:textId="625FE099" w:rsidR="00BB6329" w:rsidRDefault="00BB6329" w:rsidP="00F66097"/>
    <w:p w14:paraId="6DDCB9ED" w14:textId="77777777" w:rsidR="00BB6329" w:rsidRPr="00270720" w:rsidRDefault="00BB6329" w:rsidP="00BB6329">
      <w:pPr>
        <w:rPr>
          <w:highlight w:val="yellow"/>
        </w:rPr>
      </w:pPr>
      <w:r w:rsidRPr="00270720">
        <w:rPr>
          <w:highlight w:val="yellow"/>
        </w:rPr>
        <w:t>Disclaimer (Artificial intelligence)</w:t>
      </w:r>
    </w:p>
    <w:p w14:paraId="47D5BB79" w14:textId="77777777" w:rsidR="00BB6329" w:rsidRPr="00270720" w:rsidRDefault="00BB6329" w:rsidP="00BB6329">
      <w:pPr>
        <w:rPr>
          <w:highlight w:val="yellow"/>
        </w:rPr>
      </w:pPr>
    </w:p>
    <w:p w14:paraId="6C3A1822" w14:textId="77777777" w:rsidR="00BB6329" w:rsidRPr="00270720" w:rsidRDefault="00BB6329" w:rsidP="00BB6329">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BBCB702" w14:textId="77777777" w:rsidR="00BB6329" w:rsidRPr="00270720" w:rsidRDefault="00BB6329" w:rsidP="00BB6329">
      <w:pPr>
        <w:rPr>
          <w:highlight w:val="yellow"/>
        </w:rPr>
      </w:pPr>
    </w:p>
    <w:p w14:paraId="133831D7" w14:textId="77777777" w:rsidR="00BB6329" w:rsidRDefault="00BB6329" w:rsidP="00F66097"/>
    <w:p w14:paraId="39952326" w14:textId="77777777" w:rsidR="00F66097" w:rsidRPr="00F21952" w:rsidRDefault="00F66097" w:rsidP="00441B6F">
      <w:pPr>
        <w:pStyle w:val="ReferHead"/>
        <w:spacing w:after="0"/>
        <w:jc w:val="both"/>
        <w:rPr>
          <w:rFonts w:ascii="Arial" w:hAnsi="Arial" w:cs="Arial"/>
          <w:b w:val="0"/>
          <w:caps w:val="0"/>
          <w:sz w:val="20"/>
        </w:rPr>
      </w:pPr>
    </w:p>
    <w:p w14:paraId="6B28EC48" w14:textId="77777777" w:rsidR="00860000" w:rsidRDefault="00860000" w:rsidP="00441B6F">
      <w:pPr>
        <w:pStyle w:val="ReferHead"/>
        <w:spacing w:after="0"/>
        <w:jc w:val="both"/>
        <w:rPr>
          <w:rFonts w:ascii="Arial" w:hAnsi="Arial" w:cs="Arial"/>
        </w:rPr>
      </w:pPr>
    </w:p>
    <w:p w14:paraId="1BFD756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8EB1EF" w14:textId="77777777" w:rsidR="00F21952" w:rsidRDefault="00F21952" w:rsidP="00F21952">
      <w:pPr>
        <w:pStyle w:val="Body"/>
        <w:spacing w:after="0"/>
        <w:rPr>
          <w:rFonts w:ascii="Arial" w:hAnsi="Arial" w:cs="Arial"/>
          <w:lang w:val="en-GB"/>
        </w:rPr>
      </w:pPr>
      <w:r w:rsidRPr="00F21952">
        <w:rPr>
          <w:rFonts w:ascii="Arial" w:hAnsi="Arial" w:cs="Arial"/>
          <w:lang w:val="en-GB"/>
        </w:rPr>
        <w:fldChar w:fldCharType="begin"/>
      </w:r>
      <w:r w:rsidRPr="00F21952">
        <w:rPr>
          <w:rFonts w:ascii="Arial" w:hAnsi="Arial" w:cs="Arial"/>
          <w:lang w:val="en-GB"/>
        </w:rPr>
        <w:instrText xml:space="preserve"> ADDIN ZOTERO_BIBL {"uncited":[],"omitted":[],"custom":[]} CSL_BIBLIOGRAPHY </w:instrText>
      </w:r>
      <w:r w:rsidRPr="00F21952">
        <w:rPr>
          <w:rFonts w:ascii="Arial" w:hAnsi="Arial" w:cs="Arial"/>
          <w:lang w:val="en-GB"/>
        </w:rPr>
        <w:fldChar w:fldCharType="separate"/>
      </w:r>
    </w:p>
    <w:p w14:paraId="275D6109" w14:textId="2E4863B5" w:rsidR="00867A23" w:rsidRPr="00867A23" w:rsidRDefault="00456908" w:rsidP="00867A23">
      <w:pPr>
        <w:pStyle w:val="Body"/>
        <w:spacing w:after="0"/>
        <w:rPr>
          <w:rFonts w:ascii="Arial" w:hAnsi="Arial" w:cs="Arial"/>
          <w:highlight w:val="yellow"/>
        </w:rPr>
      </w:pPr>
      <w:r>
        <w:rPr>
          <w:rFonts w:ascii="Arial" w:hAnsi="Arial" w:cs="Arial"/>
          <w:highlight w:val="yellow"/>
        </w:rPr>
        <w:t xml:space="preserve">1. </w:t>
      </w:r>
      <w:r w:rsidR="00867A23" w:rsidRPr="00867A23">
        <w:rPr>
          <w:rFonts w:ascii="Arial" w:hAnsi="Arial" w:cs="Arial"/>
          <w:highlight w:val="yellow"/>
        </w:rPr>
        <w:t>Hallek, M., Cheson, B. D., Catovsky, D., Caligaris-Cappio, F., Dighiero, G., Döhner, H. et al. (2018). iwCLL guidelines for diagnosis, indications for treatment, response assessment, and supportive management of CLL. </w:t>
      </w:r>
      <w:r w:rsidR="00867A23" w:rsidRPr="00867A23">
        <w:rPr>
          <w:rFonts w:ascii="Arial" w:hAnsi="Arial" w:cs="Arial"/>
          <w:i/>
          <w:iCs/>
          <w:highlight w:val="yellow"/>
        </w:rPr>
        <w:t>Blood</w:t>
      </w:r>
      <w:r w:rsidR="00867A23" w:rsidRPr="00867A23">
        <w:rPr>
          <w:rFonts w:ascii="Arial" w:hAnsi="Arial" w:cs="Arial"/>
          <w:highlight w:val="yellow"/>
        </w:rPr>
        <w:t>, </w:t>
      </w:r>
      <w:r w:rsidR="00867A23" w:rsidRPr="00867A23">
        <w:rPr>
          <w:rFonts w:ascii="Arial" w:hAnsi="Arial" w:cs="Arial"/>
          <w:i/>
          <w:iCs/>
          <w:highlight w:val="yellow"/>
        </w:rPr>
        <w:t>131</w:t>
      </w:r>
      <w:r w:rsidR="00867A23" w:rsidRPr="00867A23">
        <w:rPr>
          <w:rFonts w:ascii="Arial" w:hAnsi="Arial" w:cs="Arial"/>
          <w:highlight w:val="yellow"/>
        </w:rPr>
        <w:t>(25), 2745–2760. https://doi.org/10.1182/blood-2017-09-806398</w:t>
      </w:r>
    </w:p>
    <w:p w14:paraId="4460561C" w14:textId="6F7A7583" w:rsidR="00867A23" w:rsidRPr="00867A23" w:rsidRDefault="00456908" w:rsidP="00867A23">
      <w:pPr>
        <w:pStyle w:val="Body"/>
        <w:spacing w:after="0"/>
        <w:rPr>
          <w:rFonts w:ascii="Arial" w:hAnsi="Arial" w:cs="Arial"/>
          <w:highlight w:val="yellow"/>
        </w:rPr>
      </w:pPr>
      <w:r>
        <w:rPr>
          <w:rFonts w:ascii="Arial" w:hAnsi="Arial" w:cs="Arial"/>
          <w:highlight w:val="yellow"/>
        </w:rPr>
        <w:t xml:space="preserve">2. </w:t>
      </w:r>
      <w:r w:rsidR="00867A23" w:rsidRPr="00867A23">
        <w:rPr>
          <w:rFonts w:ascii="Arial" w:hAnsi="Arial" w:cs="Arial"/>
          <w:highlight w:val="yellow"/>
        </w:rPr>
        <w:t>Hallek, M., &amp; Al-Sawaf, O. (2021). Chronic lymphocytic leukemia: 2022 update on diagnostic and therapeutic procedures. </w:t>
      </w:r>
      <w:r w:rsidR="00867A23" w:rsidRPr="00867A23">
        <w:rPr>
          <w:rFonts w:ascii="Arial" w:hAnsi="Arial" w:cs="Arial"/>
          <w:i/>
          <w:iCs/>
          <w:highlight w:val="yellow"/>
        </w:rPr>
        <w:t>American journal of hematology</w:t>
      </w:r>
      <w:r w:rsidR="00867A23" w:rsidRPr="00867A23">
        <w:rPr>
          <w:rFonts w:ascii="Arial" w:hAnsi="Arial" w:cs="Arial"/>
          <w:highlight w:val="yellow"/>
        </w:rPr>
        <w:t>, </w:t>
      </w:r>
      <w:r w:rsidR="00867A23" w:rsidRPr="00867A23">
        <w:rPr>
          <w:rFonts w:ascii="Arial" w:hAnsi="Arial" w:cs="Arial"/>
          <w:i/>
          <w:iCs/>
          <w:highlight w:val="yellow"/>
        </w:rPr>
        <w:t>96</w:t>
      </w:r>
      <w:r w:rsidR="00867A23" w:rsidRPr="00867A23">
        <w:rPr>
          <w:rFonts w:ascii="Arial" w:hAnsi="Arial" w:cs="Arial"/>
          <w:highlight w:val="yellow"/>
        </w:rPr>
        <w:t>(12), 1679–1705. https://doi.org/10.1002/ajh.26367</w:t>
      </w:r>
    </w:p>
    <w:p w14:paraId="1FFB357A" w14:textId="07AB6E93" w:rsidR="00867A23" w:rsidRPr="00867A23" w:rsidRDefault="00456908" w:rsidP="00F21952">
      <w:pPr>
        <w:pStyle w:val="Body"/>
        <w:spacing w:after="0"/>
        <w:rPr>
          <w:rFonts w:ascii="Arial" w:hAnsi="Arial" w:cs="Arial"/>
        </w:rPr>
      </w:pPr>
      <w:r>
        <w:rPr>
          <w:rFonts w:ascii="Arial" w:hAnsi="Arial" w:cs="Arial"/>
          <w:highlight w:val="yellow"/>
        </w:rPr>
        <w:t xml:space="preserve">3. </w:t>
      </w:r>
      <w:r w:rsidR="00867A23" w:rsidRPr="00867A23">
        <w:rPr>
          <w:rFonts w:ascii="Arial" w:hAnsi="Arial" w:cs="Arial"/>
          <w:highlight w:val="yellow"/>
        </w:rPr>
        <w:t xml:space="preserve">Melo, J. V., Catovsky, D., &amp; Galton, D. A. (1986). The relationship between chronic lymphocytic leukaemia and prolymphocytic leukaemia. I. Clinical and laboratory features of </w:t>
      </w:r>
      <w:r w:rsidR="00867A23" w:rsidRPr="00867A23">
        <w:rPr>
          <w:rFonts w:ascii="Arial" w:hAnsi="Arial" w:cs="Arial"/>
          <w:highlight w:val="yellow"/>
        </w:rPr>
        <w:lastRenderedPageBreak/>
        <w:t>300 patients and characterization of an intermediate group. </w:t>
      </w:r>
      <w:r w:rsidR="00867A23" w:rsidRPr="00867A23">
        <w:rPr>
          <w:rFonts w:ascii="Arial" w:hAnsi="Arial" w:cs="Arial"/>
          <w:i/>
          <w:iCs/>
          <w:highlight w:val="yellow"/>
        </w:rPr>
        <w:t>British journal of haematology</w:t>
      </w:r>
      <w:r w:rsidR="00867A23" w:rsidRPr="00867A23">
        <w:rPr>
          <w:rFonts w:ascii="Arial" w:hAnsi="Arial" w:cs="Arial"/>
          <w:highlight w:val="yellow"/>
        </w:rPr>
        <w:t>, </w:t>
      </w:r>
      <w:r w:rsidR="00867A23" w:rsidRPr="00867A23">
        <w:rPr>
          <w:rFonts w:ascii="Arial" w:hAnsi="Arial" w:cs="Arial"/>
          <w:i/>
          <w:iCs/>
          <w:highlight w:val="yellow"/>
        </w:rPr>
        <w:t>63</w:t>
      </w:r>
      <w:r w:rsidR="00867A23" w:rsidRPr="00867A23">
        <w:rPr>
          <w:rFonts w:ascii="Arial" w:hAnsi="Arial" w:cs="Arial"/>
          <w:highlight w:val="yellow"/>
        </w:rPr>
        <w:t>(2), 377–387.</w:t>
      </w:r>
    </w:p>
    <w:p w14:paraId="2E4D07C6" w14:textId="46BF76E3" w:rsidR="00591373" w:rsidRDefault="00456908" w:rsidP="00F21952">
      <w:pPr>
        <w:pStyle w:val="Body"/>
        <w:spacing w:after="0"/>
        <w:rPr>
          <w:rFonts w:ascii="Arial" w:hAnsi="Arial" w:cs="Arial"/>
        </w:rPr>
      </w:pPr>
      <w:r>
        <w:rPr>
          <w:rFonts w:ascii="Arial" w:hAnsi="Arial" w:cs="Arial"/>
          <w:lang w:val="en-GB"/>
        </w:rPr>
        <w:t xml:space="preserve">4. </w:t>
      </w:r>
      <w:r w:rsidR="00591373" w:rsidRPr="00591373">
        <w:rPr>
          <w:rFonts w:ascii="Arial" w:hAnsi="Arial" w:cs="Arial"/>
        </w:rPr>
        <w:t>Chang, C. C., Sun, J. T., Liou, T. H., Kuo, C. F., Bei, C. H., Lin, S. J.</w:t>
      </w:r>
      <w:r w:rsidR="00D67ECE">
        <w:rPr>
          <w:rFonts w:ascii="Arial" w:hAnsi="Arial" w:cs="Arial"/>
        </w:rPr>
        <w:t xml:space="preserve"> et al</w:t>
      </w:r>
      <w:r w:rsidR="00591373" w:rsidRPr="00591373">
        <w:rPr>
          <w:rFonts w:ascii="Arial" w:hAnsi="Arial" w:cs="Arial"/>
        </w:rPr>
        <w:t xml:space="preserve"> (2016). Clinical Significance of Smudge Cells in Peripheral Blood Smears in Hematological Malignancies and Other Diseases. </w:t>
      </w:r>
      <w:r w:rsidR="00591373" w:rsidRPr="00591373">
        <w:rPr>
          <w:rFonts w:ascii="Arial" w:hAnsi="Arial" w:cs="Arial"/>
          <w:i/>
          <w:iCs/>
        </w:rPr>
        <w:t>Asian Pacific journal of cancer prevention:</w:t>
      </w:r>
      <w:r w:rsidR="00591373">
        <w:rPr>
          <w:rFonts w:ascii="Arial" w:hAnsi="Arial" w:cs="Arial"/>
          <w:i/>
          <w:iCs/>
        </w:rPr>
        <w:t xml:space="preserve"> </w:t>
      </w:r>
      <w:r w:rsidR="00591373" w:rsidRPr="00591373">
        <w:rPr>
          <w:rFonts w:ascii="Arial" w:hAnsi="Arial" w:cs="Arial"/>
          <w:i/>
          <w:iCs/>
        </w:rPr>
        <w:t>APJCP</w:t>
      </w:r>
      <w:r w:rsidR="00591373" w:rsidRPr="00591373">
        <w:rPr>
          <w:rFonts w:ascii="Arial" w:hAnsi="Arial" w:cs="Arial"/>
        </w:rPr>
        <w:t>, </w:t>
      </w:r>
      <w:r w:rsidR="00591373" w:rsidRPr="00591373">
        <w:rPr>
          <w:rFonts w:ascii="Arial" w:hAnsi="Arial" w:cs="Arial"/>
          <w:i/>
          <w:iCs/>
        </w:rPr>
        <w:t>17</w:t>
      </w:r>
      <w:r w:rsidR="00591373" w:rsidRPr="00591373">
        <w:rPr>
          <w:rFonts w:ascii="Arial" w:hAnsi="Arial" w:cs="Arial"/>
        </w:rPr>
        <w:t>(4), 1847–1850. https://doi.org/10.7314/apjcp.2016.17.4.1847</w:t>
      </w:r>
    </w:p>
    <w:p w14:paraId="5C300AA0" w14:textId="0A4F1D6E" w:rsidR="001229AC" w:rsidRPr="00F21952" w:rsidRDefault="00456908" w:rsidP="00F21952">
      <w:pPr>
        <w:pStyle w:val="Body"/>
        <w:spacing w:after="0"/>
        <w:rPr>
          <w:rFonts w:ascii="Arial" w:hAnsi="Arial" w:cs="Arial"/>
          <w:lang w:val="en-GB"/>
        </w:rPr>
      </w:pPr>
      <w:r>
        <w:rPr>
          <w:rFonts w:ascii="Arial" w:hAnsi="Arial" w:cs="Arial"/>
          <w:lang w:val="en-GB"/>
        </w:rPr>
        <w:t xml:space="preserve">5. </w:t>
      </w:r>
      <w:r w:rsidR="001229AC" w:rsidRPr="001229AC">
        <w:rPr>
          <w:rFonts w:ascii="Arial" w:hAnsi="Arial" w:cs="Arial"/>
        </w:rPr>
        <w:t>Gogia, A., Raina, V., Gupta, R., Gajendra, S., Kumar, L., Sharma, A.</w:t>
      </w:r>
      <w:r w:rsidR="002462B0">
        <w:rPr>
          <w:rFonts w:ascii="Arial" w:hAnsi="Arial" w:cs="Arial"/>
        </w:rPr>
        <w:t xml:space="preserve"> et al</w:t>
      </w:r>
      <w:r w:rsidR="001229AC" w:rsidRPr="001229AC">
        <w:rPr>
          <w:rFonts w:ascii="Arial" w:hAnsi="Arial" w:cs="Arial"/>
        </w:rPr>
        <w:t xml:space="preserve"> (2014). Prognostic and predictive significance of smudge cell percentage on routine blood smear in chronic lymphocytic leukemia. </w:t>
      </w:r>
      <w:r w:rsidR="001229AC" w:rsidRPr="001229AC">
        <w:rPr>
          <w:rFonts w:ascii="Arial" w:hAnsi="Arial" w:cs="Arial"/>
          <w:i/>
          <w:iCs/>
        </w:rPr>
        <w:t>Clinical lymphoma, myeloma &amp; leukemia</w:t>
      </w:r>
      <w:r w:rsidR="001229AC" w:rsidRPr="001229AC">
        <w:rPr>
          <w:rFonts w:ascii="Arial" w:hAnsi="Arial" w:cs="Arial"/>
        </w:rPr>
        <w:t>, </w:t>
      </w:r>
      <w:r w:rsidR="001229AC" w:rsidRPr="001229AC">
        <w:rPr>
          <w:rFonts w:ascii="Arial" w:hAnsi="Arial" w:cs="Arial"/>
          <w:i/>
          <w:iCs/>
        </w:rPr>
        <w:t>14</w:t>
      </w:r>
      <w:r w:rsidR="001229AC" w:rsidRPr="001229AC">
        <w:rPr>
          <w:rFonts w:ascii="Arial" w:hAnsi="Arial" w:cs="Arial"/>
        </w:rPr>
        <w:t>(6), 514–517. https://doi.org/10.1016/j.clml.2014.02.007</w:t>
      </w:r>
    </w:p>
    <w:p w14:paraId="3A1471D8" w14:textId="6B21CA69" w:rsidR="00F21952" w:rsidRPr="00F21952" w:rsidRDefault="00456908" w:rsidP="00F21952">
      <w:pPr>
        <w:pStyle w:val="Body"/>
        <w:spacing w:after="0"/>
        <w:rPr>
          <w:rFonts w:ascii="Arial" w:hAnsi="Arial" w:cs="Arial"/>
          <w:lang w:val="en-GB"/>
        </w:rPr>
      </w:pPr>
      <w:r>
        <w:rPr>
          <w:rFonts w:ascii="Arial" w:hAnsi="Arial" w:cs="Arial"/>
          <w:lang w:val="en-GB"/>
        </w:rPr>
        <w:t>6</w:t>
      </w:r>
      <w:r w:rsidR="002462B0">
        <w:rPr>
          <w:rFonts w:ascii="Arial" w:hAnsi="Arial" w:cs="Arial"/>
          <w:lang w:val="en-GB"/>
        </w:rPr>
        <w:t xml:space="preserve">. </w:t>
      </w:r>
      <w:r w:rsidR="002462B0" w:rsidRPr="002462B0">
        <w:rPr>
          <w:rFonts w:ascii="Arial" w:hAnsi="Arial" w:cs="Arial"/>
        </w:rPr>
        <w:t>Marionneaux, S. M., Keohane, E. M., Lamanna, N., King, T. C., &amp; Mehta, S. R. (2021). Smudge Cells in Chronic Lymphocytic Leukemia: Pathophysiology, Laboratory Considerations, and Clinical Significance. </w:t>
      </w:r>
      <w:r w:rsidR="002462B0" w:rsidRPr="002462B0">
        <w:rPr>
          <w:rFonts w:ascii="Arial" w:hAnsi="Arial" w:cs="Arial"/>
          <w:i/>
          <w:iCs/>
        </w:rPr>
        <w:t>Laboratory medicine</w:t>
      </w:r>
      <w:r w:rsidR="002462B0" w:rsidRPr="002462B0">
        <w:rPr>
          <w:rFonts w:ascii="Arial" w:hAnsi="Arial" w:cs="Arial"/>
        </w:rPr>
        <w:t>, </w:t>
      </w:r>
      <w:r w:rsidR="002462B0" w:rsidRPr="002462B0">
        <w:rPr>
          <w:rFonts w:ascii="Arial" w:hAnsi="Arial" w:cs="Arial"/>
          <w:i/>
          <w:iCs/>
        </w:rPr>
        <w:t>52</w:t>
      </w:r>
      <w:r w:rsidR="002462B0" w:rsidRPr="002462B0">
        <w:rPr>
          <w:rFonts w:ascii="Arial" w:hAnsi="Arial" w:cs="Arial"/>
        </w:rPr>
        <w:t>(5), 426–438. https://doi.org/10.1093/labmed/lmaa119</w:t>
      </w:r>
    </w:p>
    <w:p w14:paraId="3D603D84" w14:textId="7DEE1025" w:rsidR="002462B0" w:rsidRDefault="00456908" w:rsidP="00F21952">
      <w:pPr>
        <w:pStyle w:val="Body"/>
        <w:spacing w:after="0"/>
        <w:rPr>
          <w:rFonts w:ascii="Arial" w:hAnsi="Arial" w:cs="Arial"/>
          <w:lang w:val="en-GB"/>
        </w:rPr>
      </w:pPr>
      <w:r>
        <w:rPr>
          <w:rFonts w:ascii="Arial" w:hAnsi="Arial" w:cs="Arial"/>
          <w:lang w:val="en-GB"/>
        </w:rPr>
        <w:t>7</w:t>
      </w:r>
      <w:r w:rsidR="002462B0">
        <w:rPr>
          <w:rFonts w:ascii="Arial" w:hAnsi="Arial" w:cs="Arial"/>
          <w:lang w:val="en-GB"/>
        </w:rPr>
        <w:t xml:space="preserve">. </w:t>
      </w:r>
      <w:r w:rsidR="002462B0" w:rsidRPr="002462B0">
        <w:rPr>
          <w:rFonts w:ascii="Arial" w:hAnsi="Arial" w:cs="Arial"/>
        </w:rPr>
        <w:t>Lunning, M. A., Zenger, V. E., Dreyfuss, R., Stetler-Stevenson, M., Rick, M. E., White, T. A., Wilson, W. H., &amp; Marti, G. E. (2004). Albumin enhanced morphometric image analysis in CLL. </w:t>
      </w:r>
      <w:r w:rsidR="002462B0" w:rsidRPr="002462B0">
        <w:rPr>
          <w:rFonts w:ascii="Arial" w:hAnsi="Arial" w:cs="Arial"/>
          <w:i/>
          <w:iCs/>
        </w:rPr>
        <w:t>Cytometry. Part B, Clinical cytometry</w:t>
      </w:r>
      <w:r w:rsidR="002462B0" w:rsidRPr="002462B0">
        <w:rPr>
          <w:rFonts w:ascii="Arial" w:hAnsi="Arial" w:cs="Arial"/>
        </w:rPr>
        <w:t>, </w:t>
      </w:r>
      <w:r w:rsidR="002462B0" w:rsidRPr="002462B0">
        <w:rPr>
          <w:rFonts w:ascii="Arial" w:hAnsi="Arial" w:cs="Arial"/>
          <w:i/>
          <w:iCs/>
        </w:rPr>
        <w:t>57</w:t>
      </w:r>
      <w:r w:rsidR="002462B0" w:rsidRPr="002462B0">
        <w:rPr>
          <w:rFonts w:ascii="Arial" w:hAnsi="Arial" w:cs="Arial"/>
        </w:rPr>
        <w:t>(1), 7–14. https://doi.org/10.1002/cyto.b.10059</w:t>
      </w:r>
    </w:p>
    <w:p w14:paraId="3024C6D2" w14:textId="429AC223" w:rsidR="002462B0" w:rsidRDefault="00456908" w:rsidP="00F21952">
      <w:pPr>
        <w:pStyle w:val="Body"/>
        <w:spacing w:after="0"/>
        <w:rPr>
          <w:rFonts w:ascii="Arial" w:hAnsi="Arial" w:cs="Arial"/>
          <w:lang w:val="en-GB"/>
        </w:rPr>
      </w:pPr>
      <w:r>
        <w:rPr>
          <w:rFonts w:ascii="Arial" w:hAnsi="Arial" w:cs="Arial"/>
          <w:lang w:val="en-GB"/>
        </w:rPr>
        <w:t>8</w:t>
      </w:r>
      <w:r w:rsidR="002462B0">
        <w:rPr>
          <w:rFonts w:ascii="Arial" w:hAnsi="Arial" w:cs="Arial"/>
          <w:lang w:val="en-GB"/>
        </w:rPr>
        <w:t xml:space="preserve">. </w:t>
      </w:r>
      <w:r w:rsidR="002462B0" w:rsidRPr="002462B0">
        <w:rPr>
          <w:rFonts w:ascii="Arial" w:hAnsi="Arial" w:cs="Arial"/>
        </w:rPr>
        <w:t>Palmer, L., Briggs, C., McFadden, S., Zini, G., Burthem, J., Rozenberg, G., Proytcheva, M., &amp; Machin, S. J. (2015). ICSH recommendations for the standardization of nomenclature and grading of peripheral blood cell morphological features. </w:t>
      </w:r>
      <w:r w:rsidR="002462B0" w:rsidRPr="002462B0">
        <w:rPr>
          <w:rFonts w:ascii="Arial" w:hAnsi="Arial" w:cs="Arial"/>
          <w:i/>
          <w:iCs/>
        </w:rPr>
        <w:t>International journal of laboratory hematology</w:t>
      </w:r>
      <w:r w:rsidR="002462B0" w:rsidRPr="002462B0">
        <w:rPr>
          <w:rFonts w:ascii="Arial" w:hAnsi="Arial" w:cs="Arial"/>
        </w:rPr>
        <w:t>, </w:t>
      </w:r>
      <w:r w:rsidR="002462B0" w:rsidRPr="002462B0">
        <w:rPr>
          <w:rFonts w:ascii="Arial" w:hAnsi="Arial" w:cs="Arial"/>
          <w:i/>
          <w:iCs/>
        </w:rPr>
        <w:t>37</w:t>
      </w:r>
      <w:r w:rsidR="002462B0" w:rsidRPr="002462B0">
        <w:rPr>
          <w:rFonts w:ascii="Arial" w:hAnsi="Arial" w:cs="Arial"/>
        </w:rPr>
        <w:t>(3), 287–303. https://doi.org/10.1111/ijlh.12327</w:t>
      </w:r>
    </w:p>
    <w:p w14:paraId="0DEC4647" w14:textId="67FBE60B" w:rsidR="00F21952" w:rsidRDefault="00456908" w:rsidP="00F21952">
      <w:pPr>
        <w:pStyle w:val="Body"/>
        <w:spacing w:after="0"/>
        <w:rPr>
          <w:rFonts w:ascii="Arial" w:hAnsi="Arial" w:cs="Arial"/>
          <w:lang w:val="en-GB"/>
        </w:rPr>
      </w:pPr>
      <w:r>
        <w:rPr>
          <w:rFonts w:ascii="Arial" w:hAnsi="Arial" w:cs="Arial"/>
          <w:lang w:val="en-GB"/>
        </w:rPr>
        <w:t>9</w:t>
      </w:r>
      <w:r w:rsidR="00F21952" w:rsidRPr="00F21952">
        <w:rPr>
          <w:rFonts w:ascii="Arial" w:hAnsi="Arial" w:cs="Arial"/>
          <w:lang w:val="en-GB"/>
        </w:rPr>
        <w:t>.</w:t>
      </w:r>
      <w:r w:rsidR="002462B0">
        <w:rPr>
          <w:rFonts w:ascii="Arial" w:hAnsi="Arial" w:cs="Arial"/>
          <w:lang w:val="en-GB"/>
        </w:rPr>
        <w:t xml:space="preserve"> Clinical and Laboratory Standards Institute (CLSI) </w:t>
      </w:r>
      <w:r w:rsidR="00F21952" w:rsidRPr="00F21952">
        <w:rPr>
          <w:rFonts w:ascii="Arial" w:hAnsi="Arial" w:cs="Arial"/>
          <w:lang w:val="en-GB"/>
        </w:rPr>
        <w:t>Reference Leukocyte (WBC) Differential Count (Proportional) and Evaluation of Instrumental Methods; Approved Standard—Second Edition.</w:t>
      </w:r>
      <w:r w:rsidR="00B81769">
        <w:rPr>
          <w:rFonts w:ascii="Arial" w:hAnsi="Arial" w:cs="Arial"/>
          <w:lang w:val="en-GB"/>
        </w:rPr>
        <w:t xml:space="preserve"> CLSI document H20-A2. Wayne, PA; 2007.</w:t>
      </w:r>
    </w:p>
    <w:p w14:paraId="3C50B90E" w14:textId="5F76C85E" w:rsidR="00B81769" w:rsidRPr="00F21952" w:rsidRDefault="00456908" w:rsidP="00F21952">
      <w:pPr>
        <w:pStyle w:val="Body"/>
        <w:spacing w:after="0"/>
        <w:rPr>
          <w:rFonts w:ascii="Arial" w:hAnsi="Arial" w:cs="Arial"/>
          <w:lang w:val="en-GB"/>
        </w:rPr>
      </w:pPr>
      <w:r>
        <w:rPr>
          <w:rFonts w:ascii="Arial" w:hAnsi="Arial" w:cs="Arial"/>
          <w:lang w:val="en-GB"/>
        </w:rPr>
        <w:t>10</w:t>
      </w:r>
      <w:r w:rsidR="00B81769">
        <w:rPr>
          <w:rFonts w:ascii="Arial" w:hAnsi="Arial" w:cs="Arial"/>
          <w:lang w:val="en-GB"/>
        </w:rPr>
        <w:t xml:space="preserve">. </w:t>
      </w:r>
      <w:r w:rsidR="00B81769" w:rsidRPr="00B81769">
        <w:rPr>
          <w:rFonts w:ascii="Arial" w:hAnsi="Arial" w:cs="Arial"/>
        </w:rPr>
        <w:t>Gulati, G., Ly, V., Uppal, G., &amp; Gong, J. (2017). Feasibility of Counting Smudge Cells as Lymphocytes in Differential Leukocyte Counts Performed on Blood Smears of Patients With Established or Suspected Chronic Lymphocytic Leukemia/Small Lymphocytic Lymphoma. </w:t>
      </w:r>
      <w:r w:rsidR="00B81769" w:rsidRPr="00B81769">
        <w:rPr>
          <w:rFonts w:ascii="Arial" w:hAnsi="Arial" w:cs="Arial"/>
          <w:i/>
          <w:iCs/>
        </w:rPr>
        <w:t>Laboratory medicine</w:t>
      </w:r>
      <w:r w:rsidR="00B81769" w:rsidRPr="00B81769">
        <w:rPr>
          <w:rFonts w:ascii="Arial" w:hAnsi="Arial" w:cs="Arial"/>
        </w:rPr>
        <w:t>, </w:t>
      </w:r>
      <w:r w:rsidR="00B81769" w:rsidRPr="00B81769">
        <w:rPr>
          <w:rFonts w:ascii="Arial" w:hAnsi="Arial" w:cs="Arial"/>
          <w:i/>
          <w:iCs/>
        </w:rPr>
        <w:t>48</w:t>
      </w:r>
      <w:r w:rsidR="00B81769" w:rsidRPr="00B81769">
        <w:rPr>
          <w:rFonts w:ascii="Arial" w:hAnsi="Arial" w:cs="Arial"/>
        </w:rPr>
        <w:t>(2), 137–147. https://doi.org/10.1093/labmed/lmx002</w:t>
      </w:r>
    </w:p>
    <w:p w14:paraId="7FD82ED1" w14:textId="368B50BE" w:rsidR="00F21952" w:rsidRPr="00F21952" w:rsidRDefault="00456908" w:rsidP="00F21952">
      <w:pPr>
        <w:pStyle w:val="Body"/>
        <w:spacing w:after="0"/>
        <w:rPr>
          <w:rFonts w:ascii="Arial" w:hAnsi="Arial" w:cs="Arial"/>
          <w:lang w:val="en-GB"/>
        </w:rPr>
      </w:pPr>
      <w:r>
        <w:rPr>
          <w:rFonts w:ascii="Arial" w:hAnsi="Arial" w:cs="Arial"/>
          <w:lang w:val="en-GB"/>
        </w:rPr>
        <w:t>11</w:t>
      </w:r>
      <w:r w:rsidR="00B81769">
        <w:rPr>
          <w:rFonts w:ascii="Arial" w:hAnsi="Arial" w:cs="Arial"/>
          <w:lang w:val="en-GB"/>
        </w:rPr>
        <w:t xml:space="preserve">. </w:t>
      </w:r>
      <w:r w:rsidR="00F21952" w:rsidRPr="00F21952">
        <w:rPr>
          <w:rFonts w:ascii="Arial" w:hAnsi="Arial" w:cs="Arial"/>
          <w:lang w:val="en-GB"/>
        </w:rPr>
        <w:t>QSP Newsletter #42</w:t>
      </w:r>
      <w:r w:rsidR="00B81769">
        <w:rPr>
          <w:rFonts w:ascii="Arial" w:hAnsi="Arial" w:cs="Arial"/>
          <w:lang w:val="en-GB"/>
        </w:rPr>
        <w:t>. Monthly Digital Case Study:</w:t>
      </w:r>
      <w:r w:rsidR="00F21952" w:rsidRPr="00F21952">
        <w:rPr>
          <w:rFonts w:ascii="Arial" w:hAnsi="Arial" w:cs="Arial"/>
          <w:lang w:val="en-GB"/>
        </w:rPr>
        <w:t xml:space="preserve"> Acute Leukemia</w:t>
      </w:r>
      <w:r w:rsidR="00B81769">
        <w:rPr>
          <w:rFonts w:ascii="Arial" w:hAnsi="Arial" w:cs="Arial"/>
          <w:lang w:val="en-GB"/>
        </w:rPr>
        <w:t xml:space="preserve"> (2023)</w:t>
      </w:r>
      <w:r w:rsidR="00F21952" w:rsidRPr="00F21952">
        <w:rPr>
          <w:rFonts w:ascii="Arial" w:hAnsi="Arial" w:cs="Arial"/>
          <w:lang w:val="en-GB"/>
        </w:rPr>
        <w:t xml:space="preserve"> https://yro2.mjt.lu/nl3/wQf-d78c6kGBZ8WcPxzzQg?m=AVoAADBlFOQAAc3H6YoAALHCktcAAYDOMdcAnsnQAAviVQBliveohvSigr_eRqeAxWEpnR4rGwAL9Xk&amp;b=d5049ce5&amp;e=5e32e65f&amp;x=PWRbu6pszQDfOY55WF3FnZOzEK0ndhH4qCFXMbPjWms</w:t>
      </w:r>
    </w:p>
    <w:p w14:paraId="2388F4E0" w14:textId="5E5DAA6D" w:rsidR="00F21952" w:rsidRPr="00F21952" w:rsidRDefault="00456908" w:rsidP="00F21952">
      <w:pPr>
        <w:pStyle w:val="Body"/>
        <w:spacing w:after="0"/>
        <w:rPr>
          <w:rFonts w:ascii="Arial" w:hAnsi="Arial" w:cs="Arial"/>
          <w:lang w:val="en-GB"/>
        </w:rPr>
      </w:pPr>
      <w:r>
        <w:rPr>
          <w:rFonts w:ascii="Arial" w:hAnsi="Arial" w:cs="Arial"/>
          <w:lang w:val="en-GB"/>
        </w:rPr>
        <w:t>12</w:t>
      </w:r>
      <w:r w:rsidR="00F21952" w:rsidRPr="00F21952">
        <w:rPr>
          <w:rFonts w:ascii="Arial" w:hAnsi="Arial" w:cs="Arial"/>
          <w:lang w:val="en-GB"/>
        </w:rPr>
        <w:t>.</w:t>
      </w:r>
      <w:r w:rsidR="00F21952" w:rsidRPr="00F21952">
        <w:rPr>
          <w:rFonts w:ascii="Arial" w:hAnsi="Arial" w:cs="Arial"/>
          <w:lang w:val="en-GB"/>
        </w:rPr>
        <w:tab/>
        <w:t>Reference Institute for Bioanalytics, RfB - Surveys for Laboratory Medicine</w:t>
      </w:r>
      <w:r w:rsidR="00B81769">
        <w:rPr>
          <w:rFonts w:ascii="Arial" w:hAnsi="Arial" w:cs="Arial"/>
          <w:lang w:val="en-GB"/>
        </w:rPr>
        <w:t xml:space="preserve"> (2012)</w:t>
      </w:r>
      <w:r w:rsidR="00F21952" w:rsidRPr="00F21952">
        <w:rPr>
          <w:rFonts w:ascii="Arial" w:hAnsi="Arial" w:cs="Arial"/>
          <w:lang w:val="en-GB"/>
        </w:rPr>
        <w:t>. https://www.rfb.bio/cgi/results?rv_type=all&amp;rvTypeForDetails=DF&amp;year=2012&amp;rv_num=4&amp;analyte=all&amp;searchType=rv_type</w:t>
      </w:r>
    </w:p>
    <w:p w14:paraId="5826ED0C" w14:textId="622E48AF" w:rsidR="00F21952" w:rsidRPr="00F21952" w:rsidRDefault="00456908" w:rsidP="00F21952">
      <w:pPr>
        <w:pStyle w:val="Body"/>
        <w:spacing w:after="0"/>
        <w:rPr>
          <w:rFonts w:ascii="Arial" w:hAnsi="Arial" w:cs="Arial"/>
          <w:lang w:val="en-GB"/>
        </w:rPr>
      </w:pPr>
      <w:r>
        <w:rPr>
          <w:rFonts w:ascii="Arial" w:hAnsi="Arial" w:cs="Arial"/>
          <w:lang w:val="en-GB"/>
        </w:rPr>
        <w:t>13</w:t>
      </w:r>
      <w:r w:rsidR="00F21952" w:rsidRPr="00F21952">
        <w:rPr>
          <w:rFonts w:ascii="Arial" w:hAnsi="Arial" w:cs="Arial"/>
          <w:lang w:val="en-GB"/>
        </w:rPr>
        <w:t>.</w:t>
      </w:r>
      <w:r w:rsidR="00F21952" w:rsidRPr="00F21952">
        <w:rPr>
          <w:rFonts w:ascii="Arial" w:hAnsi="Arial" w:cs="Arial"/>
          <w:lang w:val="en-GB"/>
        </w:rPr>
        <w:tab/>
      </w:r>
      <w:r w:rsidR="00D74FD9">
        <w:rPr>
          <w:rFonts w:ascii="Arial" w:hAnsi="Arial" w:cs="Arial"/>
          <w:lang w:val="en-GB"/>
        </w:rPr>
        <w:t xml:space="preserve">CellaVision, </w:t>
      </w:r>
      <w:r w:rsidR="00F21952" w:rsidRPr="00F21952">
        <w:rPr>
          <w:rFonts w:ascii="Arial" w:hAnsi="Arial" w:cs="Arial"/>
          <w:lang w:val="en-GB"/>
        </w:rPr>
        <w:t>Patient case #1 - Sezary Syndrome</w:t>
      </w:r>
      <w:r w:rsidR="00D74FD9">
        <w:rPr>
          <w:rFonts w:ascii="Arial" w:hAnsi="Arial" w:cs="Arial"/>
          <w:lang w:val="en-GB"/>
        </w:rPr>
        <w:t xml:space="preserve"> </w:t>
      </w:r>
      <w:r w:rsidR="00B81769">
        <w:rPr>
          <w:rFonts w:ascii="Arial" w:hAnsi="Arial" w:cs="Arial"/>
          <w:lang w:val="en-GB"/>
        </w:rPr>
        <w:t>(2022).</w:t>
      </w:r>
      <w:r w:rsidR="00F21952" w:rsidRPr="00F21952">
        <w:rPr>
          <w:rFonts w:ascii="Arial" w:hAnsi="Arial" w:cs="Arial"/>
          <w:lang w:val="en-GB"/>
        </w:rPr>
        <w:t xml:space="preserve"> https://www.cellavision.com/patient-case-sezary-syndrome</w:t>
      </w:r>
    </w:p>
    <w:p w14:paraId="2B655A7A" w14:textId="61ED7F49" w:rsidR="00456908" w:rsidRDefault="00F21952" w:rsidP="00C867CC">
      <w:pPr>
        <w:pStyle w:val="Body"/>
        <w:spacing w:after="0"/>
        <w:rPr>
          <w:rFonts w:ascii="Arial" w:hAnsi="Arial" w:cs="Arial"/>
        </w:rPr>
      </w:pPr>
      <w:r w:rsidRPr="00F21952">
        <w:rPr>
          <w:rFonts w:ascii="Arial" w:hAnsi="Arial" w:cs="Arial"/>
        </w:rPr>
        <w:fldChar w:fldCharType="end"/>
      </w:r>
      <w:r w:rsidR="00456908" w:rsidRPr="00456908">
        <w:rPr>
          <w:rFonts w:ascii="Arial" w:hAnsi="Arial" w:cs="Arial"/>
          <w:highlight w:val="yellow"/>
        </w:rPr>
        <w:t>14.</w:t>
      </w:r>
      <w:r w:rsidR="00456908">
        <w:rPr>
          <w:rFonts w:ascii="Arial" w:hAnsi="Arial" w:cs="Arial"/>
        </w:rPr>
        <w:t xml:space="preserve"> </w:t>
      </w:r>
      <w:r w:rsidR="00456908" w:rsidRPr="00456908">
        <w:rPr>
          <w:rFonts w:ascii="Arial" w:hAnsi="Arial" w:cs="Arial"/>
          <w:highlight w:val="yellow"/>
        </w:rPr>
        <w:t>Nowakowski, G. S., Hoyer, J. D., Shanafelt, T. D., Geyer, S. M., LaPlant, B. R., Call, T. G., Jelinek, D. F., Zent, C. S., &amp; Kay, N. E. (2007). Using smudge cells on routine blood smears to predict clinical outcome in chronic lymphocytic leukemia: a universally available prognostic test. </w:t>
      </w:r>
      <w:r w:rsidR="00456908" w:rsidRPr="00456908">
        <w:rPr>
          <w:rFonts w:ascii="Arial" w:hAnsi="Arial" w:cs="Arial"/>
          <w:i/>
          <w:iCs/>
          <w:highlight w:val="yellow"/>
        </w:rPr>
        <w:t>Mayo Clinic proceedings</w:t>
      </w:r>
      <w:r w:rsidR="00456908" w:rsidRPr="00456908">
        <w:rPr>
          <w:rFonts w:ascii="Arial" w:hAnsi="Arial" w:cs="Arial"/>
          <w:highlight w:val="yellow"/>
        </w:rPr>
        <w:t>, </w:t>
      </w:r>
      <w:r w:rsidR="00456908" w:rsidRPr="00456908">
        <w:rPr>
          <w:rFonts w:ascii="Arial" w:hAnsi="Arial" w:cs="Arial"/>
          <w:i/>
          <w:iCs/>
          <w:highlight w:val="yellow"/>
        </w:rPr>
        <w:t>82</w:t>
      </w:r>
      <w:r w:rsidR="00456908" w:rsidRPr="00456908">
        <w:rPr>
          <w:rFonts w:ascii="Arial" w:hAnsi="Arial" w:cs="Arial"/>
          <w:highlight w:val="yellow"/>
        </w:rPr>
        <w:t>(4), 449–453. https://doi.org/10.4065/82.4.449</w:t>
      </w:r>
    </w:p>
    <w:p w14:paraId="6860BD9F" w14:textId="0C8C169F" w:rsidR="00F21952" w:rsidRPr="00C867CC" w:rsidRDefault="00456908" w:rsidP="00C867CC">
      <w:pPr>
        <w:pStyle w:val="Body"/>
        <w:spacing w:after="0"/>
        <w:rPr>
          <w:rFonts w:ascii="Arial" w:hAnsi="Arial" w:cs="Arial"/>
        </w:rPr>
      </w:pPr>
      <w:r>
        <w:rPr>
          <w:rFonts w:ascii="Arial" w:hAnsi="Arial" w:cs="Arial"/>
          <w:highlight w:val="yellow"/>
        </w:rPr>
        <w:t xml:space="preserve">15. </w:t>
      </w:r>
      <w:r w:rsidR="00C867CC" w:rsidRPr="00C867CC">
        <w:rPr>
          <w:rFonts w:ascii="Arial" w:hAnsi="Arial" w:cs="Arial"/>
          <w:highlight w:val="yellow"/>
        </w:rPr>
        <w:t xml:space="preserve">Al Mussaed, E., Osman, H. &amp; </w:t>
      </w:r>
      <w:proofErr w:type="spellStart"/>
      <w:r w:rsidR="00C867CC" w:rsidRPr="00C867CC">
        <w:rPr>
          <w:rFonts w:ascii="Arial" w:hAnsi="Arial" w:cs="Arial"/>
          <w:highlight w:val="yellow"/>
        </w:rPr>
        <w:t>Elyamany</w:t>
      </w:r>
      <w:proofErr w:type="spellEnd"/>
      <w:r w:rsidR="00C867CC" w:rsidRPr="00C867CC">
        <w:rPr>
          <w:rFonts w:ascii="Arial" w:hAnsi="Arial" w:cs="Arial"/>
          <w:highlight w:val="yellow"/>
        </w:rPr>
        <w:t>, G. Simultaneous existence of acute myeloid leukemia and chronic lymphocytic leukemia: a case report. </w:t>
      </w:r>
      <w:r w:rsidR="00C867CC" w:rsidRPr="00C867CC">
        <w:rPr>
          <w:rFonts w:ascii="Arial" w:hAnsi="Arial" w:cs="Arial"/>
          <w:i/>
          <w:iCs/>
          <w:highlight w:val="yellow"/>
        </w:rPr>
        <w:t>BMC Cancer</w:t>
      </w:r>
      <w:r w:rsidR="00C867CC" w:rsidRPr="00C867CC">
        <w:rPr>
          <w:rFonts w:ascii="Arial" w:hAnsi="Arial" w:cs="Arial"/>
          <w:highlight w:val="yellow"/>
        </w:rPr>
        <w:t> 16, 739 (2016). https://doi.org/10.1186/s12885-016-2780-5</w:t>
      </w:r>
    </w:p>
    <w:p w14:paraId="26C989F9" w14:textId="62FDC97A" w:rsidR="00C867CC" w:rsidRPr="00C867CC" w:rsidRDefault="00456908" w:rsidP="00C867CC">
      <w:pPr>
        <w:jc w:val="both"/>
        <w:rPr>
          <w:rFonts w:ascii="Arial" w:hAnsi="Arial" w:cs="Arial"/>
          <w:bCs/>
          <w:highlight w:val="yellow"/>
        </w:rPr>
      </w:pPr>
      <w:r>
        <w:rPr>
          <w:rFonts w:ascii="Arial" w:hAnsi="Arial" w:cs="Arial"/>
          <w:bCs/>
          <w:highlight w:val="yellow"/>
        </w:rPr>
        <w:t xml:space="preserve">16. </w:t>
      </w:r>
      <w:r w:rsidR="00C867CC" w:rsidRPr="00C867CC">
        <w:rPr>
          <w:rFonts w:ascii="Arial" w:hAnsi="Arial" w:cs="Arial"/>
          <w:bCs/>
          <w:highlight w:val="yellow"/>
        </w:rPr>
        <w:t>Rund, D., &amp; Ben-Yehuda, D. (2004). Therapy-related leukemia and myelodysplasia: evolving concepts of pathogenesis and treatment. </w:t>
      </w:r>
      <w:r w:rsidR="00C867CC" w:rsidRPr="00C867CC">
        <w:rPr>
          <w:rFonts w:ascii="Arial" w:hAnsi="Arial" w:cs="Arial"/>
          <w:bCs/>
          <w:i/>
          <w:iCs/>
          <w:highlight w:val="yellow"/>
        </w:rPr>
        <w:t>Hematology (Amsterdam, Netherlands)</w:t>
      </w:r>
      <w:r w:rsidR="00C867CC" w:rsidRPr="00C867CC">
        <w:rPr>
          <w:rFonts w:ascii="Arial" w:hAnsi="Arial" w:cs="Arial"/>
          <w:bCs/>
          <w:highlight w:val="yellow"/>
        </w:rPr>
        <w:t>, </w:t>
      </w:r>
      <w:r w:rsidR="00C867CC" w:rsidRPr="00C867CC">
        <w:rPr>
          <w:rFonts w:ascii="Arial" w:hAnsi="Arial" w:cs="Arial"/>
          <w:bCs/>
          <w:i/>
          <w:iCs/>
          <w:highlight w:val="yellow"/>
        </w:rPr>
        <w:t>9</w:t>
      </w:r>
      <w:r w:rsidR="00C867CC" w:rsidRPr="00C867CC">
        <w:rPr>
          <w:rFonts w:ascii="Arial" w:hAnsi="Arial" w:cs="Arial"/>
          <w:bCs/>
          <w:highlight w:val="yellow"/>
        </w:rPr>
        <w:t>(3), 179–187. https://doi.org/10.1080/10245330410001701503</w:t>
      </w:r>
    </w:p>
    <w:p w14:paraId="62577BEA" w14:textId="414B75A2" w:rsidR="00C867CC" w:rsidRPr="00C867CC" w:rsidRDefault="00456908" w:rsidP="00C867CC">
      <w:pPr>
        <w:jc w:val="both"/>
        <w:rPr>
          <w:rFonts w:ascii="Arial" w:hAnsi="Arial" w:cs="Arial"/>
          <w:bCs/>
        </w:rPr>
        <w:sectPr w:rsidR="00C867CC" w:rsidRPr="00C867CC" w:rsidSect="00B6477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Pr>
          <w:rFonts w:ascii="Arial" w:hAnsi="Arial" w:cs="Arial"/>
          <w:bCs/>
          <w:highlight w:val="yellow"/>
        </w:rPr>
        <w:t xml:space="preserve">17. </w:t>
      </w:r>
      <w:r w:rsidR="00C867CC" w:rsidRPr="00C867CC">
        <w:rPr>
          <w:rFonts w:ascii="Arial" w:hAnsi="Arial" w:cs="Arial"/>
          <w:bCs/>
          <w:highlight w:val="yellow"/>
        </w:rPr>
        <w:t xml:space="preserve">Meloni, G., Proia, A., </w:t>
      </w:r>
      <w:proofErr w:type="spellStart"/>
      <w:r w:rsidR="00C867CC" w:rsidRPr="00C867CC">
        <w:rPr>
          <w:rFonts w:ascii="Arial" w:hAnsi="Arial" w:cs="Arial"/>
          <w:bCs/>
          <w:highlight w:val="yellow"/>
        </w:rPr>
        <w:t>Guerrisi</w:t>
      </w:r>
      <w:proofErr w:type="spellEnd"/>
      <w:r w:rsidR="00C867CC" w:rsidRPr="00C867CC">
        <w:rPr>
          <w:rFonts w:ascii="Arial" w:hAnsi="Arial" w:cs="Arial"/>
          <w:bCs/>
          <w:highlight w:val="yellow"/>
        </w:rPr>
        <w:t xml:space="preserve">, V., Cordone, I., De </w:t>
      </w:r>
      <w:proofErr w:type="spellStart"/>
      <w:r w:rsidR="00C867CC" w:rsidRPr="00C867CC">
        <w:rPr>
          <w:rFonts w:ascii="Arial" w:hAnsi="Arial" w:cs="Arial"/>
          <w:bCs/>
          <w:highlight w:val="yellow"/>
        </w:rPr>
        <w:t>Cuia</w:t>
      </w:r>
      <w:proofErr w:type="spellEnd"/>
      <w:r w:rsidR="00C867CC" w:rsidRPr="00C867CC">
        <w:rPr>
          <w:rFonts w:ascii="Arial" w:hAnsi="Arial" w:cs="Arial"/>
          <w:bCs/>
          <w:highlight w:val="yellow"/>
        </w:rPr>
        <w:t xml:space="preserve">, R., </w:t>
      </w:r>
      <w:proofErr w:type="spellStart"/>
      <w:r w:rsidR="00C867CC" w:rsidRPr="00C867CC">
        <w:rPr>
          <w:rFonts w:ascii="Arial" w:hAnsi="Arial" w:cs="Arial"/>
          <w:bCs/>
          <w:highlight w:val="yellow"/>
        </w:rPr>
        <w:t>Fenu</w:t>
      </w:r>
      <w:proofErr w:type="spellEnd"/>
      <w:r w:rsidR="00C867CC" w:rsidRPr="00C867CC">
        <w:rPr>
          <w:rFonts w:ascii="Arial" w:hAnsi="Arial" w:cs="Arial"/>
          <w:bCs/>
          <w:highlight w:val="yellow"/>
        </w:rPr>
        <w:t xml:space="preserve">, S., </w:t>
      </w:r>
      <w:r w:rsidR="00C867CC">
        <w:rPr>
          <w:rFonts w:ascii="Arial" w:hAnsi="Arial" w:cs="Arial"/>
          <w:bCs/>
          <w:highlight w:val="yellow"/>
        </w:rPr>
        <w:t>et al</w:t>
      </w:r>
      <w:r w:rsidR="00C867CC" w:rsidRPr="00C867CC">
        <w:rPr>
          <w:rFonts w:ascii="Arial" w:hAnsi="Arial" w:cs="Arial"/>
          <w:bCs/>
          <w:highlight w:val="yellow"/>
        </w:rPr>
        <w:t xml:space="preserve"> (2000). Acute myeloid leukemia and lung cancer occurring in a chronic lymphocytic leukemia patient treated with fludarabine and autologous peripheral blood stem-cell transplantation. </w:t>
      </w:r>
      <w:r w:rsidR="00C867CC" w:rsidRPr="00C867CC">
        <w:rPr>
          <w:rFonts w:ascii="Arial" w:hAnsi="Arial" w:cs="Arial"/>
          <w:bCs/>
          <w:i/>
          <w:iCs/>
          <w:highlight w:val="yellow"/>
        </w:rPr>
        <w:t>Annals of oncology: official journal of the European Society for Medical Oncology</w:t>
      </w:r>
      <w:r w:rsidR="00C867CC" w:rsidRPr="00C867CC">
        <w:rPr>
          <w:rFonts w:ascii="Arial" w:hAnsi="Arial" w:cs="Arial"/>
          <w:bCs/>
          <w:highlight w:val="yellow"/>
        </w:rPr>
        <w:t>, </w:t>
      </w:r>
      <w:r w:rsidR="00C867CC" w:rsidRPr="00C867CC">
        <w:rPr>
          <w:rFonts w:ascii="Arial" w:hAnsi="Arial" w:cs="Arial"/>
          <w:bCs/>
          <w:i/>
          <w:iCs/>
          <w:highlight w:val="yellow"/>
        </w:rPr>
        <w:t>11</w:t>
      </w:r>
      <w:r w:rsidR="00C867CC" w:rsidRPr="00C867CC">
        <w:rPr>
          <w:rFonts w:ascii="Arial" w:hAnsi="Arial" w:cs="Arial"/>
          <w:bCs/>
          <w:highlight w:val="yellow"/>
        </w:rPr>
        <w:t>(11), 1493–1495. https://doi.org/10.1023/a:1026505632679</w:t>
      </w:r>
    </w:p>
    <w:p w14:paraId="5139A336" w14:textId="77777777" w:rsidR="00B01FCD" w:rsidRPr="00FB3A86" w:rsidRDefault="00B01FCD" w:rsidP="00441B6F">
      <w:pPr>
        <w:pStyle w:val="Appendix"/>
        <w:spacing w:after="0"/>
        <w:jc w:val="both"/>
        <w:rPr>
          <w:rFonts w:ascii="Arial" w:hAnsi="Arial" w:cs="Arial"/>
          <w:b w:val="0"/>
        </w:rPr>
      </w:pPr>
    </w:p>
    <w:sectPr w:rsidR="00B01FCD" w:rsidRPr="00FB3A86" w:rsidSect="00B647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AF53E" w14:textId="77777777" w:rsidR="00222142" w:rsidRDefault="00222142" w:rsidP="00C37E61">
      <w:r>
        <w:separator/>
      </w:r>
    </w:p>
  </w:endnote>
  <w:endnote w:type="continuationSeparator" w:id="0">
    <w:p w14:paraId="75936C90" w14:textId="77777777" w:rsidR="00222142" w:rsidRDefault="002221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A073C" w14:textId="77777777" w:rsidR="00B64775" w:rsidRDefault="00B64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42812" w14:textId="1CE73EEE" w:rsidR="000248BA" w:rsidRPr="00F518CB" w:rsidRDefault="000248BA" w:rsidP="00F51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67E4F" w14:textId="63E626AE" w:rsidR="00754C9A" w:rsidRPr="007477D8" w:rsidRDefault="00754C9A" w:rsidP="007477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4B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AF468" w14:textId="77777777" w:rsidR="00222142" w:rsidRDefault="00222142" w:rsidP="00C37E61">
      <w:r>
        <w:separator/>
      </w:r>
    </w:p>
  </w:footnote>
  <w:footnote w:type="continuationSeparator" w:id="0">
    <w:p w14:paraId="61018B57" w14:textId="77777777" w:rsidR="00222142" w:rsidRDefault="002221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757C5" w14:textId="345A95AD" w:rsidR="00B64775" w:rsidRDefault="00222142">
    <w:pPr>
      <w:pStyle w:val="Header"/>
    </w:pPr>
    <w:r>
      <w:rPr>
        <w:noProof/>
      </w:rPr>
      <w:pict w14:anchorId="63AE6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91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F6959" w14:textId="7B3D5A87" w:rsidR="00B64775" w:rsidRDefault="00222142">
    <w:pPr>
      <w:pStyle w:val="Header"/>
    </w:pPr>
    <w:r>
      <w:rPr>
        <w:noProof/>
      </w:rPr>
      <w:pict w14:anchorId="38324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91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D6D7" w14:textId="0A52FE23" w:rsidR="00296529" w:rsidRPr="00296529" w:rsidRDefault="00222142" w:rsidP="00296529">
    <w:pPr>
      <w:ind w:left="2160"/>
      <w:jc w:val="center"/>
      <w:rPr>
        <w:rFonts w:ascii="Times New Roman" w:eastAsia="Calibri" w:hAnsi="Times New Roman"/>
        <w:i/>
        <w:sz w:val="18"/>
        <w:szCs w:val="22"/>
      </w:rPr>
    </w:pPr>
    <w:r>
      <w:rPr>
        <w:noProof/>
      </w:rPr>
      <w:pict w14:anchorId="4C3AE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91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8EA44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4073F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AE55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1A94F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D263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2E21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2581" w14:textId="27DA25E5" w:rsidR="00B64775" w:rsidRDefault="00222142">
    <w:pPr>
      <w:pStyle w:val="Header"/>
    </w:pPr>
    <w:r>
      <w:rPr>
        <w:noProof/>
      </w:rPr>
      <w:pict w14:anchorId="564B7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915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B093" w14:textId="1EE158CE" w:rsidR="00B64775" w:rsidRDefault="00222142">
    <w:pPr>
      <w:pStyle w:val="Header"/>
    </w:pPr>
    <w:r>
      <w:rPr>
        <w:noProof/>
      </w:rPr>
      <w:pict w14:anchorId="5BC49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915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8DE17" w14:textId="47E409ED" w:rsidR="00B64775" w:rsidRDefault="00222142">
    <w:pPr>
      <w:pStyle w:val="Header"/>
    </w:pPr>
    <w:r>
      <w:rPr>
        <w:noProof/>
      </w:rPr>
      <w:pict w14:anchorId="4C6B3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915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M0MDUyMTE0sjQzMjBU0lEKTi0uzszPAykwqgUAID2+HSwAAAA="/>
  </w:docVars>
  <w:rsids>
    <w:rsidRoot w:val="00AA6219"/>
    <w:rsid w:val="00000F8F"/>
    <w:rsid w:val="000248BA"/>
    <w:rsid w:val="00030174"/>
    <w:rsid w:val="00032ACC"/>
    <w:rsid w:val="0004579C"/>
    <w:rsid w:val="0006431C"/>
    <w:rsid w:val="0008578C"/>
    <w:rsid w:val="000A47FA"/>
    <w:rsid w:val="000A65D3"/>
    <w:rsid w:val="000B1E33"/>
    <w:rsid w:val="000D689F"/>
    <w:rsid w:val="000E7B7B"/>
    <w:rsid w:val="000E7D62"/>
    <w:rsid w:val="00103357"/>
    <w:rsid w:val="00104ED5"/>
    <w:rsid w:val="00111146"/>
    <w:rsid w:val="001229AC"/>
    <w:rsid w:val="00123C9F"/>
    <w:rsid w:val="00126190"/>
    <w:rsid w:val="00130F17"/>
    <w:rsid w:val="001320BF"/>
    <w:rsid w:val="00140377"/>
    <w:rsid w:val="00163BC4"/>
    <w:rsid w:val="00180F34"/>
    <w:rsid w:val="00181B51"/>
    <w:rsid w:val="00191062"/>
    <w:rsid w:val="00192B72"/>
    <w:rsid w:val="001A29D8"/>
    <w:rsid w:val="001A5CAA"/>
    <w:rsid w:val="001B0427"/>
    <w:rsid w:val="001D3A51"/>
    <w:rsid w:val="001E10D2"/>
    <w:rsid w:val="001E25B4"/>
    <w:rsid w:val="001E44FE"/>
    <w:rsid w:val="001F6B49"/>
    <w:rsid w:val="00200595"/>
    <w:rsid w:val="00204835"/>
    <w:rsid w:val="00206147"/>
    <w:rsid w:val="00221364"/>
    <w:rsid w:val="00222142"/>
    <w:rsid w:val="00231920"/>
    <w:rsid w:val="0023195C"/>
    <w:rsid w:val="00240003"/>
    <w:rsid w:val="0024282C"/>
    <w:rsid w:val="002460DC"/>
    <w:rsid w:val="002462B0"/>
    <w:rsid w:val="00247C4A"/>
    <w:rsid w:val="00250985"/>
    <w:rsid w:val="002556F6"/>
    <w:rsid w:val="00257A22"/>
    <w:rsid w:val="00280C04"/>
    <w:rsid w:val="00283105"/>
    <w:rsid w:val="00284C4C"/>
    <w:rsid w:val="00287E68"/>
    <w:rsid w:val="00296529"/>
    <w:rsid w:val="002A1221"/>
    <w:rsid w:val="002B27FB"/>
    <w:rsid w:val="002B685A"/>
    <w:rsid w:val="002C348A"/>
    <w:rsid w:val="002C57D2"/>
    <w:rsid w:val="002D249A"/>
    <w:rsid w:val="002E0D56"/>
    <w:rsid w:val="00315186"/>
    <w:rsid w:val="0033343E"/>
    <w:rsid w:val="00350AA6"/>
    <w:rsid w:val="003512C2"/>
    <w:rsid w:val="00371FB6"/>
    <w:rsid w:val="003763C1"/>
    <w:rsid w:val="00376BBE"/>
    <w:rsid w:val="003823FD"/>
    <w:rsid w:val="003824A9"/>
    <w:rsid w:val="00390E24"/>
    <w:rsid w:val="0039224F"/>
    <w:rsid w:val="003A43A4"/>
    <w:rsid w:val="003A7E18"/>
    <w:rsid w:val="003C37EF"/>
    <w:rsid w:val="003C4C86"/>
    <w:rsid w:val="003C6258"/>
    <w:rsid w:val="003E2904"/>
    <w:rsid w:val="00401927"/>
    <w:rsid w:val="00406FB7"/>
    <w:rsid w:val="0041027F"/>
    <w:rsid w:val="00412475"/>
    <w:rsid w:val="00423789"/>
    <w:rsid w:val="00440F43"/>
    <w:rsid w:val="00441B6F"/>
    <w:rsid w:val="00446221"/>
    <w:rsid w:val="00450E62"/>
    <w:rsid w:val="004539DB"/>
    <w:rsid w:val="00456908"/>
    <w:rsid w:val="00471A80"/>
    <w:rsid w:val="00481BB0"/>
    <w:rsid w:val="004D305E"/>
    <w:rsid w:val="004D4277"/>
    <w:rsid w:val="004E0E16"/>
    <w:rsid w:val="004F203D"/>
    <w:rsid w:val="00502516"/>
    <w:rsid w:val="00505F06"/>
    <w:rsid w:val="00506828"/>
    <w:rsid w:val="0053056E"/>
    <w:rsid w:val="00554FDA"/>
    <w:rsid w:val="005755C6"/>
    <w:rsid w:val="00591373"/>
    <w:rsid w:val="005C784C"/>
    <w:rsid w:val="005D17F6"/>
    <w:rsid w:val="005E5539"/>
    <w:rsid w:val="00602BF5"/>
    <w:rsid w:val="00606925"/>
    <w:rsid w:val="00617FDD"/>
    <w:rsid w:val="00633614"/>
    <w:rsid w:val="00633DC1"/>
    <w:rsid w:val="00633F68"/>
    <w:rsid w:val="00636EB2"/>
    <w:rsid w:val="006375B8"/>
    <w:rsid w:val="0066510A"/>
    <w:rsid w:val="00673F9F"/>
    <w:rsid w:val="00686953"/>
    <w:rsid w:val="00687DEA"/>
    <w:rsid w:val="00687E67"/>
    <w:rsid w:val="00694B3E"/>
    <w:rsid w:val="006967F7"/>
    <w:rsid w:val="006A1D6A"/>
    <w:rsid w:val="006A250C"/>
    <w:rsid w:val="006B21D3"/>
    <w:rsid w:val="006B57D0"/>
    <w:rsid w:val="006D30FF"/>
    <w:rsid w:val="006D6940"/>
    <w:rsid w:val="006D7F7B"/>
    <w:rsid w:val="006F11EC"/>
    <w:rsid w:val="0070082C"/>
    <w:rsid w:val="007017DB"/>
    <w:rsid w:val="00705623"/>
    <w:rsid w:val="00727A79"/>
    <w:rsid w:val="007369E6"/>
    <w:rsid w:val="00740441"/>
    <w:rsid w:val="00746E59"/>
    <w:rsid w:val="007477D8"/>
    <w:rsid w:val="00754C9A"/>
    <w:rsid w:val="0075599A"/>
    <w:rsid w:val="007571D8"/>
    <w:rsid w:val="00761D52"/>
    <w:rsid w:val="0077749E"/>
    <w:rsid w:val="0078075E"/>
    <w:rsid w:val="00785283"/>
    <w:rsid w:val="00790ADA"/>
    <w:rsid w:val="00791656"/>
    <w:rsid w:val="007D2288"/>
    <w:rsid w:val="007E088F"/>
    <w:rsid w:val="007E6510"/>
    <w:rsid w:val="007F7B32"/>
    <w:rsid w:val="00801B34"/>
    <w:rsid w:val="00804BC2"/>
    <w:rsid w:val="0081431A"/>
    <w:rsid w:val="0083216F"/>
    <w:rsid w:val="0085312D"/>
    <w:rsid w:val="00860000"/>
    <w:rsid w:val="00863BD3"/>
    <w:rsid w:val="008641ED"/>
    <w:rsid w:val="00866D66"/>
    <w:rsid w:val="008671C6"/>
    <w:rsid w:val="00867A23"/>
    <w:rsid w:val="00875803"/>
    <w:rsid w:val="00893E81"/>
    <w:rsid w:val="008B459E"/>
    <w:rsid w:val="008E13AE"/>
    <w:rsid w:val="008E1506"/>
    <w:rsid w:val="008E710C"/>
    <w:rsid w:val="008F69D6"/>
    <w:rsid w:val="00902823"/>
    <w:rsid w:val="00914F19"/>
    <w:rsid w:val="00915CA6"/>
    <w:rsid w:val="00927834"/>
    <w:rsid w:val="00940DED"/>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CAE"/>
    <w:rsid w:val="00A05B19"/>
    <w:rsid w:val="00A1134E"/>
    <w:rsid w:val="00A24E7E"/>
    <w:rsid w:val="00A258C3"/>
    <w:rsid w:val="00A347C0"/>
    <w:rsid w:val="00A51431"/>
    <w:rsid w:val="00A539AD"/>
    <w:rsid w:val="00A94063"/>
    <w:rsid w:val="00AA5FC0"/>
    <w:rsid w:val="00AA6219"/>
    <w:rsid w:val="00AA74E0"/>
    <w:rsid w:val="00AB703F"/>
    <w:rsid w:val="00AC6BB8"/>
    <w:rsid w:val="00AE008F"/>
    <w:rsid w:val="00B01FCD"/>
    <w:rsid w:val="00B1776C"/>
    <w:rsid w:val="00B25FDF"/>
    <w:rsid w:val="00B42B10"/>
    <w:rsid w:val="00B52583"/>
    <w:rsid w:val="00B52896"/>
    <w:rsid w:val="00B64775"/>
    <w:rsid w:val="00B72797"/>
    <w:rsid w:val="00B81769"/>
    <w:rsid w:val="00B95236"/>
    <w:rsid w:val="00B96BD9"/>
    <w:rsid w:val="00BA1B01"/>
    <w:rsid w:val="00BA2641"/>
    <w:rsid w:val="00BA7D7C"/>
    <w:rsid w:val="00BB37AA"/>
    <w:rsid w:val="00BB6329"/>
    <w:rsid w:val="00BC0491"/>
    <w:rsid w:val="00BC53A0"/>
    <w:rsid w:val="00BE62AD"/>
    <w:rsid w:val="00BE7A1E"/>
    <w:rsid w:val="00BF121F"/>
    <w:rsid w:val="00BF1F80"/>
    <w:rsid w:val="00C166EF"/>
    <w:rsid w:val="00C17EB0"/>
    <w:rsid w:val="00C27F5F"/>
    <w:rsid w:val="00C30A0F"/>
    <w:rsid w:val="00C37E61"/>
    <w:rsid w:val="00C70F1B"/>
    <w:rsid w:val="00C71A47"/>
    <w:rsid w:val="00C7464C"/>
    <w:rsid w:val="00C85588"/>
    <w:rsid w:val="00C867CC"/>
    <w:rsid w:val="00CA724F"/>
    <w:rsid w:val="00CC229E"/>
    <w:rsid w:val="00CD6755"/>
    <w:rsid w:val="00CD6856"/>
    <w:rsid w:val="00CE0089"/>
    <w:rsid w:val="00CE793C"/>
    <w:rsid w:val="00CF193C"/>
    <w:rsid w:val="00D02F9D"/>
    <w:rsid w:val="00D173F0"/>
    <w:rsid w:val="00D173F1"/>
    <w:rsid w:val="00D51FBB"/>
    <w:rsid w:val="00D5542A"/>
    <w:rsid w:val="00D67ECE"/>
    <w:rsid w:val="00D74CB0"/>
    <w:rsid w:val="00D74FD9"/>
    <w:rsid w:val="00D8295D"/>
    <w:rsid w:val="00DC2A65"/>
    <w:rsid w:val="00DD21EF"/>
    <w:rsid w:val="00DD5BEB"/>
    <w:rsid w:val="00DE15F0"/>
    <w:rsid w:val="00DE5663"/>
    <w:rsid w:val="00DE78AA"/>
    <w:rsid w:val="00E053D0"/>
    <w:rsid w:val="00E15994"/>
    <w:rsid w:val="00E171A7"/>
    <w:rsid w:val="00E27E51"/>
    <w:rsid w:val="00E3114E"/>
    <w:rsid w:val="00E31A70"/>
    <w:rsid w:val="00E35B02"/>
    <w:rsid w:val="00E66496"/>
    <w:rsid w:val="00E66B35"/>
    <w:rsid w:val="00E66E10"/>
    <w:rsid w:val="00E74928"/>
    <w:rsid w:val="00E769F6"/>
    <w:rsid w:val="00E8407C"/>
    <w:rsid w:val="00E84F3C"/>
    <w:rsid w:val="00E91A52"/>
    <w:rsid w:val="00EA012C"/>
    <w:rsid w:val="00EC6A55"/>
    <w:rsid w:val="00ED0288"/>
    <w:rsid w:val="00EE52CB"/>
    <w:rsid w:val="00EF581D"/>
    <w:rsid w:val="00EF7FD8"/>
    <w:rsid w:val="00F06F59"/>
    <w:rsid w:val="00F17988"/>
    <w:rsid w:val="00F21952"/>
    <w:rsid w:val="00F469F0"/>
    <w:rsid w:val="00F47FB5"/>
    <w:rsid w:val="00F518CB"/>
    <w:rsid w:val="00F53273"/>
    <w:rsid w:val="00F66097"/>
    <w:rsid w:val="00F755E4"/>
    <w:rsid w:val="00F77D02"/>
    <w:rsid w:val="00F878C7"/>
    <w:rsid w:val="00FB3A86"/>
    <w:rsid w:val="00FD36C8"/>
    <w:rsid w:val="00FE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80B52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F21952"/>
  </w:style>
  <w:style w:type="paragraph" w:styleId="CommentSubject">
    <w:name w:val="annotation subject"/>
    <w:basedOn w:val="CommentText"/>
    <w:next w:val="CommentText"/>
    <w:link w:val="CommentSubjectChar"/>
    <w:semiHidden/>
    <w:unhideWhenUsed/>
    <w:rsid w:val="00247C4A"/>
    <w:rPr>
      <w:rFonts w:ascii="Helvetica" w:hAnsi="Helvetica"/>
      <w:b/>
      <w:bCs/>
      <w:lang w:val="en-US" w:eastAsia="en-US"/>
    </w:rPr>
  </w:style>
  <w:style w:type="character" w:customStyle="1" w:styleId="CommentSubjectChar">
    <w:name w:val="Comment Subject Char"/>
    <w:basedOn w:val="CommentTextChar"/>
    <w:link w:val="CommentSubject"/>
    <w:semiHidden/>
    <w:rsid w:val="00247C4A"/>
    <w:rPr>
      <w:rFonts w:ascii="Helvetica" w:hAnsi="Helvetica"/>
      <w:b/>
      <w:bCs/>
      <w:lang w:val="nb-NO" w:eastAsia="nb-NO"/>
    </w:rPr>
  </w:style>
  <w:style w:type="character" w:customStyle="1" w:styleId="UnresolvedMention2">
    <w:name w:val="Unresolved Mention2"/>
    <w:basedOn w:val="DefaultParagraphFont"/>
    <w:uiPriority w:val="99"/>
    <w:semiHidden/>
    <w:unhideWhenUsed/>
    <w:rsid w:val="007477D8"/>
    <w:rPr>
      <w:color w:val="605E5C"/>
      <w:shd w:val="clear" w:color="auto" w:fill="E1DFDD"/>
    </w:rPr>
  </w:style>
  <w:style w:type="character" w:styleId="UnresolvedMention">
    <w:name w:val="Unresolved Mention"/>
    <w:basedOn w:val="DefaultParagraphFont"/>
    <w:uiPriority w:val="99"/>
    <w:semiHidden/>
    <w:unhideWhenUsed/>
    <w:rsid w:val="00867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FEE5D-7E65-4D85-B7FB-4B97A3C0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433</TotalTime>
  <Pages>9</Pages>
  <Words>3452</Words>
  <Characters>19681</Characters>
  <Application>Microsoft Office Word</Application>
  <DocSecurity>0</DocSecurity>
  <Lines>164</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Paper Template</vt:lpstr>
      <vt:lpstr>Paper Template</vt:lpstr>
    </vt:vector>
  </TitlesOfParts>
  <Company>aaaa</Company>
  <LinksUpToDate>false</LinksUpToDate>
  <CharactersWithSpaces>23087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69</cp:revision>
  <cp:lastPrinted>2025-11-05T18:56:00Z</cp:lastPrinted>
  <dcterms:created xsi:type="dcterms:W3CDTF">2014-10-25T14:34:00Z</dcterms:created>
  <dcterms:modified xsi:type="dcterms:W3CDTF">2025-11-12T10:54:00Z</dcterms:modified>
</cp:coreProperties>
</file>