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824D9" w14:textId="697E20C5" w:rsidR="00CB3427" w:rsidRDefault="00325B76" w:rsidP="009255BC">
      <w:pPr>
        <w:spacing w:line="360" w:lineRule="auto"/>
        <w:jc w:val="center"/>
        <w:rPr>
          <w:rFonts w:ascii="Times New Roman" w:eastAsia="Times New Roman" w:hAnsi="Times New Roman" w:cs="Times New Roman"/>
          <w:b/>
          <w:bCs/>
          <w:kern w:val="36"/>
          <w:sz w:val="32"/>
          <w:szCs w:val="32"/>
          <w:lang w:eastAsia="fr-FR"/>
        </w:rPr>
      </w:pPr>
      <w:r w:rsidRPr="009255BC">
        <w:rPr>
          <w:rFonts w:ascii="Times New Roman" w:eastAsia="Times New Roman" w:hAnsi="Times New Roman" w:cs="Times New Roman"/>
          <w:b/>
          <w:bCs/>
          <w:kern w:val="36"/>
          <w:sz w:val="32"/>
          <w:szCs w:val="32"/>
          <w:lang w:eastAsia="fr-FR"/>
        </w:rPr>
        <w:t xml:space="preserve">Physicochemical, phytochemical, and antinutritional characterization of seed shells from five </w:t>
      </w:r>
      <w:r w:rsidRPr="009255BC">
        <w:rPr>
          <w:rFonts w:ascii="Times New Roman" w:eastAsia="Times New Roman" w:hAnsi="Times New Roman" w:cs="Times New Roman"/>
          <w:b/>
          <w:bCs/>
          <w:i/>
          <w:iCs/>
          <w:kern w:val="36"/>
          <w:sz w:val="32"/>
          <w:szCs w:val="32"/>
          <w:lang w:eastAsia="fr-FR"/>
        </w:rPr>
        <w:t>Hevea brasiliensis</w:t>
      </w:r>
      <w:r w:rsidRPr="009255BC">
        <w:rPr>
          <w:rFonts w:ascii="Times New Roman" w:eastAsia="Times New Roman" w:hAnsi="Times New Roman" w:cs="Times New Roman"/>
          <w:b/>
          <w:bCs/>
          <w:kern w:val="36"/>
          <w:sz w:val="32"/>
          <w:szCs w:val="32"/>
          <w:lang w:eastAsia="fr-FR"/>
        </w:rPr>
        <w:t xml:space="preserve"> clones cultivated in Côte d’Ivoire</w:t>
      </w:r>
    </w:p>
    <w:p w14:paraId="0D1C5C3A" w14:textId="77777777" w:rsidR="009255BC" w:rsidRPr="00873D15" w:rsidRDefault="009255BC" w:rsidP="00873D15">
      <w:pPr>
        <w:spacing w:line="360" w:lineRule="auto"/>
        <w:jc w:val="both"/>
        <w:rPr>
          <w:rFonts w:ascii="Times New Roman" w:hAnsi="Times New Roman" w:cs="Times New Roman"/>
          <w:b/>
          <w:bCs/>
          <w:sz w:val="24"/>
          <w:szCs w:val="24"/>
        </w:rPr>
      </w:pPr>
      <w:bookmarkStart w:id="0" w:name="_GoBack"/>
      <w:bookmarkEnd w:id="0"/>
    </w:p>
    <w:p w14:paraId="7AEC9E31" w14:textId="744BD0DA" w:rsidR="00801973" w:rsidRPr="00873D15" w:rsidRDefault="00801973" w:rsidP="00873D15">
      <w:pPr>
        <w:spacing w:line="360" w:lineRule="auto"/>
        <w:jc w:val="both"/>
        <w:rPr>
          <w:rFonts w:ascii="Times New Roman" w:hAnsi="Times New Roman" w:cs="Times New Roman"/>
          <w:b/>
          <w:bCs/>
          <w:sz w:val="24"/>
          <w:szCs w:val="24"/>
        </w:rPr>
      </w:pPr>
      <w:r w:rsidRPr="00873D15">
        <w:rPr>
          <w:rFonts w:ascii="Times New Roman" w:hAnsi="Times New Roman" w:cs="Times New Roman"/>
          <w:b/>
          <w:bCs/>
          <w:sz w:val="24"/>
          <w:szCs w:val="24"/>
        </w:rPr>
        <w:t>Abstract</w:t>
      </w:r>
    </w:p>
    <w:p w14:paraId="670ECF13" w14:textId="5A92D1F6" w:rsidR="00197C47" w:rsidRPr="00197C47" w:rsidRDefault="00197C47" w:rsidP="00873D15">
      <w:pPr>
        <w:spacing w:line="360" w:lineRule="auto"/>
        <w:jc w:val="both"/>
        <w:rPr>
          <w:rFonts w:ascii="Times New Roman" w:hAnsi="Times New Roman" w:cs="Times New Roman"/>
          <w:sz w:val="24"/>
          <w:szCs w:val="24"/>
        </w:rPr>
      </w:pPr>
      <w:r w:rsidRPr="00197C47">
        <w:rPr>
          <w:rFonts w:ascii="Times New Roman" w:hAnsi="Times New Roman" w:cs="Times New Roman"/>
          <w:sz w:val="24"/>
          <w:szCs w:val="24"/>
        </w:rPr>
        <w:t xml:space="preserve">In the context of diversifying the incomes of rubber tree growers and promoting a circular bioeconomy, the valorisation of by-products from </w:t>
      </w:r>
      <w:r w:rsidRPr="00197C47">
        <w:rPr>
          <w:rFonts w:ascii="Times New Roman" w:hAnsi="Times New Roman" w:cs="Times New Roman"/>
          <w:i/>
          <w:iCs/>
          <w:sz w:val="24"/>
          <w:szCs w:val="24"/>
        </w:rPr>
        <w:t>Hevea brasiliensis</w:t>
      </w:r>
      <w:r w:rsidRPr="00197C47">
        <w:rPr>
          <w:rFonts w:ascii="Times New Roman" w:hAnsi="Times New Roman" w:cs="Times New Roman"/>
          <w:sz w:val="24"/>
          <w:szCs w:val="24"/>
        </w:rPr>
        <w:t xml:space="preserve"> cultivation represents a promising pathway toward the sustainable development of the sector. In Côte d’Ivoire, the National Agricultural Research Centre (CNRA) has developed processes for extracting oil and meal from rubber seeds, which generate abundant shell residues that remain underutilised. This study aimed to characterise the physicochemical, phytochemical and antinutritional properties of seed shells from five </w:t>
      </w:r>
      <w:r w:rsidRPr="00197C47">
        <w:rPr>
          <w:rFonts w:ascii="Times New Roman" w:hAnsi="Times New Roman" w:cs="Times New Roman"/>
          <w:i/>
          <w:iCs/>
          <w:sz w:val="24"/>
          <w:szCs w:val="24"/>
        </w:rPr>
        <w:t>Hevea brasiliensis</w:t>
      </w:r>
      <w:r w:rsidRPr="00197C47">
        <w:rPr>
          <w:rFonts w:ascii="Times New Roman" w:hAnsi="Times New Roman" w:cs="Times New Roman"/>
          <w:sz w:val="24"/>
          <w:szCs w:val="24"/>
        </w:rPr>
        <w:t xml:space="preserve"> clones commonly cultivated in Côte d’Ivoire (GT1, PB217, IRCA230, IRCA331 and IRCA41) in order to assess their potential for agro-industrial valorisation.</w:t>
      </w:r>
      <w:r w:rsidRPr="00873D15">
        <w:rPr>
          <w:rFonts w:ascii="Times New Roman" w:hAnsi="Times New Roman" w:cs="Times New Roman"/>
          <w:sz w:val="24"/>
          <w:szCs w:val="24"/>
        </w:rPr>
        <w:t xml:space="preserve"> </w:t>
      </w:r>
      <w:r w:rsidRPr="00197C47">
        <w:rPr>
          <w:rFonts w:ascii="Times New Roman" w:hAnsi="Times New Roman" w:cs="Times New Roman"/>
          <w:sz w:val="24"/>
          <w:szCs w:val="24"/>
        </w:rPr>
        <w:t>The analyses revealed significant inter-clonal variability. Clones IRCA230 and IRCA41 exhibited higher levels of lipids (up to 9.84%), tannins (3.43 mg EAT/100 g) and polyphenols (5.20 mg EAG/100 g), indicating strong antioxidant potential suitable for cosmetic, pharmaceutical and food applications. In contrast, GT1, PB217 and IRCA331 showed higher fibre contents (up to 83%) and total sugars (23 mg/100 g), suggesting potential for energy recovery and biomaterial production. Antinutritional factors such as phytates (30–186 mg/100 g), oxalates (55–81 mg/100 g) and hydrocyanic acid (16–21 mg/100 g) were present at moderate, non-toxic levels. Principal Component Analysis (PCA) and Hierarchical Cluster Analysis (HCA) clearly differentiated two groups of clones according to their biochemical profiles.</w:t>
      </w:r>
      <w:r w:rsidRPr="00873D15">
        <w:rPr>
          <w:rFonts w:ascii="Times New Roman" w:hAnsi="Times New Roman" w:cs="Times New Roman"/>
          <w:sz w:val="24"/>
          <w:szCs w:val="24"/>
        </w:rPr>
        <w:t xml:space="preserve"> </w:t>
      </w:r>
      <w:r w:rsidRPr="00197C47">
        <w:rPr>
          <w:rFonts w:ascii="Times New Roman" w:hAnsi="Times New Roman" w:cs="Times New Roman"/>
          <w:sz w:val="24"/>
          <w:szCs w:val="24"/>
        </w:rPr>
        <w:t>Overall, the results demonstrate that rubber seed shells</w:t>
      </w:r>
      <w:r w:rsidRPr="00873D15">
        <w:rPr>
          <w:rFonts w:ascii="Times New Roman" w:hAnsi="Times New Roman" w:cs="Times New Roman"/>
          <w:sz w:val="24"/>
          <w:szCs w:val="24"/>
        </w:rPr>
        <w:t xml:space="preserve"> </w:t>
      </w:r>
      <w:r w:rsidRPr="00197C47">
        <w:rPr>
          <w:rFonts w:ascii="Times New Roman" w:hAnsi="Times New Roman" w:cs="Times New Roman"/>
          <w:sz w:val="24"/>
          <w:szCs w:val="24"/>
        </w:rPr>
        <w:t>often considered waste</w:t>
      </w:r>
      <w:r w:rsidRPr="00873D15">
        <w:rPr>
          <w:rFonts w:ascii="Times New Roman" w:hAnsi="Times New Roman" w:cs="Times New Roman"/>
          <w:sz w:val="24"/>
          <w:szCs w:val="24"/>
        </w:rPr>
        <w:t xml:space="preserve"> </w:t>
      </w:r>
      <w:r w:rsidRPr="00197C47">
        <w:rPr>
          <w:rFonts w:ascii="Times New Roman" w:hAnsi="Times New Roman" w:cs="Times New Roman"/>
          <w:sz w:val="24"/>
          <w:szCs w:val="24"/>
        </w:rPr>
        <w:t>constitute a valuable lignocellulosic resource for the extraction of bioactive compounds and the development of eco-materials, thereby contributing to the sustainability and competitiveness of the Ivorian rubber sector.</w:t>
      </w:r>
    </w:p>
    <w:p w14:paraId="3E2AFDF2" w14:textId="77777777" w:rsidR="00197C47" w:rsidRPr="00197C47" w:rsidRDefault="00197C47" w:rsidP="00873D15">
      <w:pPr>
        <w:spacing w:line="360" w:lineRule="auto"/>
        <w:jc w:val="both"/>
        <w:rPr>
          <w:rFonts w:ascii="Times New Roman" w:hAnsi="Times New Roman" w:cs="Times New Roman"/>
          <w:sz w:val="24"/>
          <w:szCs w:val="24"/>
        </w:rPr>
      </w:pPr>
      <w:proofErr w:type="gramStart"/>
      <w:r w:rsidRPr="00197C47">
        <w:rPr>
          <w:rFonts w:ascii="Times New Roman" w:hAnsi="Times New Roman" w:cs="Times New Roman"/>
          <w:b/>
          <w:bCs/>
          <w:sz w:val="24"/>
          <w:szCs w:val="24"/>
        </w:rPr>
        <w:t>Keywords:</w:t>
      </w:r>
      <w:proofErr w:type="gramEnd"/>
      <w:r w:rsidRPr="00197C47">
        <w:rPr>
          <w:rFonts w:ascii="Times New Roman" w:hAnsi="Times New Roman" w:cs="Times New Roman"/>
          <w:sz w:val="24"/>
          <w:szCs w:val="24"/>
        </w:rPr>
        <w:t xml:space="preserve"> </w:t>
      </w:r>
      <w:r w:rsidRPr="00197C47">
        <w:rPr>
          <w:rFonts w:ascii="Times New Roman" w:hAnsi="Times New Roman" w:cs="Times New Roman"/>
          <w:i/>
          <w:iCs/>
          <w:sz w:val="24"/>
          <w:szCs w:val="24"/>
        </w:rPr>
        <w:t>Hevea brasiliensis</w:t>
      </w:r>
      <w:r w:rsidRPr="00197C47">
        <w:rPr>
          <w:rFonts w:ascii="Times New Roman" w:hAnsi="Times New Roman" w:cs="Times New Roman"/>
          <w:sz w:val="24"/>
          <w:szCs w:val="24"/>
        </w:rPr>
        <w:t>, seed shells, physicochemical composition, phytochemistry, valorisation, circular bioeconomy.</w:t>
      </w:r>
    </w:p>
    <w:p w14:paraId="05E5AB8D" w14:textId="4D8DAB06" w:rsidR="00801973" w:rsidRPr="00873D15" w:rsidRDefault="00801973" w:rsidP="00873D15">
      <w:pPr>
        <w:spacing w:line="360" w:lineRule="auto"/>
        <w:jc w:val="both"/>
        <w:rPr>
          <w:rFonts w:ascii="Times New Roman" w:hAnsi="Times New Roman" w:cs="Times New Roman"/>
          <w:b/>
          <w:bCs/>
          <w:sz w:val="24"/>
          <w:szCs w:val="24"/>
        </w:rPr>
      </w:pPr>
    </w:p>
    <w:p w14:paraId="4EE6EB28" w14:textId="0BD83F8A" w:rsidR="00197C47" w:rsidRPr="00873D15" w:rsidRDefault="00197C47" w:rsidP="00873D15">
      <w:pPr>
        <w:spacing w:line="360" w:lineRule="auto"/>
        <w:jc w:val="both"/>
        <w:rPr>
          <w:rFonts w:ascii="Times New Roman" w:hAnsi="Times New Roman" w:cs="Times New Roman"/>
          <w:b/>
          <w:bCs/>
          <w:sz w:val="24"/>
          <w:szCs w:val="24"/>
        </w:rPr>
      </w:pPr>
    </w:p>
    <w:p w14:paraId="587749D2" w14:textId="77777777" w:rsidR="00EA46DA" w:rsidRPr="00873D15" w:rsidRDefault="00EA46DA" w:rsidP="00873D15">
      <w:pPr>
        <w:spacing w:line="360" w:lineRule="auto"/>
        <w:jc w:val="both"/>
        <w:rPr>
          <w:rFonts w:ascii="Times New Roman" w:eastAsia="Times New Roman" w:hAnsi="Times New Roman" w:cs="Times New Roman"/>
          <w:b/>
          <w:bCs/>
          <w:sz w:val="24"/>
          <w:szCs w:val="24"/>
          <w:lang w:eastAsia="fr-FR"/>
        </w:rPr>
      </w:pPr>
    </w:p>
    <w:p w14:paraId="56F2F2E0" w14:textId="77777777" w:rsidR="00801973" w:rsidRPr="00873D15" w:rsidRDefault="00801973" w:rsidP="00873D15">
      <w:pPr>
        <w:pStyle w:val="ListParagraph"/>
        <w:numPr>
          <w:ilvl w:val="0"/>
          <w:numId w:val="1"/>
        </w:numPr>
        <w:spacing w:line="360" w:lineRule="auto"/>
        <w:jc w:val="both"/>
        <w:rPr>
          <w:rFonts w:ascii="Times New Roman" w:hAnsi="Times New Roman" w:cs="Times New Roman"/>
          <w:b/>
          <w:bCs/>
        </w:rPr>
      </w:pPr>
      <w:r w:rsidRPr="00873D15">
        <w:rPr>
          <w:rFonts w:ascii="Times New Roman" w:hAnsi="Times New Roman" w:cs="Times New Roman"/>
          <w:b/>
          <w:bCs/>
        </w:rPr>
        <w:t>Introduction</w:t>
      </w:r>
    </w:p>
    <w:p w14:paraId="00C5872F" w14:textId="5382B8A9" w:rsidR="00197C47" w:rsidRPr="00197C47" w:rsidRDefault="00197C47" w:rsidP="00873D15">
      <w:pPr>
        <w:spacing w:before="100" w:beforeAutospacing="1" w:after="100" w:afterAutospacing="1" w:line="360" w:lineRule="auto"/>
        <w:jc w:val="both"/>
        <w:rPr>
          <w:rFonts w:ascii="Times New Roman" w:eastAsia="Times New Roman" w:hAnsi="Times New Roman" w:cs="Times New Roman"/>
          <w:sz w:val="24"/>
          <w:szCs w:val="24"/>
          <w:lang w:eastAsia="fr-FR"/>
        </w:rPr>
      </w:pPr>
      <w:r w:rsidRPr="00197C47">
        <w:rPr>
          <w:rFonts w:ascii="Times New Roman" w:eastAsia="Times New Roman" w:hAnsi="Times New Roman" w:cs="Times New Roman"/>
          <w:sz w:val="24"/>
          <w:szCs w:val="24"/>
          <w:lang w:eastAsia="fr-FR"/>
        </w:rPr>
        <w:t xml:space="preserve">Native to the Amazon basin, </w:t>
      </w:r>
      <w:r w:rsidRPr="00197C47">
        <w:rPr>
          <w:rFonts w:ascii="Times New Roman" w:eastAsia="Times New Roman" w:hAnsi="Times New Roman" w:cs="Times New Roman"/>
          <w:i/>
          <w:iCs/>
          <w:sz w:val="24"/>
          <w:szCs w:val="24"/>
          <w:lang w:eastAsia="fr-FR"/>
        </w:rPr>
        <w:t>Hevea brasiliensis</w:t>
      </w:r>
      <w:r w:rsidRPr="00197C47">
        <w:rPr>
          <w:rFonts w:ascii="Times New Roman" w:eastAsia="Times New Roman" w:hAnsi="Times New Roman" w:cs="Times New Roman"/>
          <w:sz w:val="24"/>
          <w:szCs w:val="24"/>
          <w:lang w:eastAsia="fr-FR"/>
        </w:rPr>
        <w:t xml:space="preserve"> (Euphorbiaceae) is the primary global source of natural rubber and a key industrial crop in tropical regions. Rubber cultivation has expanded across Asia, Africa and Latin America, sustaining the economies of several producing countries (Rodrigo et al., </w:t>
      </w:r>
      <w:proofErr w:type="gramStart"/>
      <w:r w:rsidRPr="00197C47">
        <w:rPr>
          <w:rFonts w:ascii="Times New Roman" w:eastAsia="Times New Roman" w:hAnsi="Times New Roman" w:cs="Times New Roman"/>
          <w:sz w:val="24"/>
          <w:szCs w:val="24"/>
          <w:lang w:eastAsia="fr-FR"/>
        </w:rPr>
        <w:t>2011;</w:t>
      </w:r>
      <w:proofErr w:type="gramEnd"/>
      <w:r w:rsidRPr="00197C47">
        <w:rPr>
          <w:rFonts w:ascii="Times New Roman" w:eastAsia="Times New Roman" w:hAnsi="Times New Roman" w:cs="Times New Roman"/>
          <w:sz w:val="24"/>
          <w:szCs w:val="24"/>
          <w:lang w:eastAsia="fr-FR"/>
        </w:rPr>
        <w:t xml:space="preserve"> Gohet et al., 2019). In Côte d’Ivoire, where rubber was introduced in the 1950s, the sector occupies a strategic </w:t>
      </w:r>
      <w:proofErr w:type="gramStart"/>
      <w:r w:rsidRPr="00197C47">
        <w:rPr>
          <w:rFonts w:ascii="Times New Roman" w:eastAsia="Times New Roman" w:hAnsi="Times New Roman" w:cs="Times New Roman"/>
          <w:sz w:val="24"/>
          <w:szCs w:val="24"/>
          <w:lang w:eastAsia="fr-FR"/>
        </w:rPr>
        <w:t>position:</w:t>
      </w:r>
      <w:proofErr w:type="gramEnd"/>
      <w:r w:rsidRPr="00197C47">
        <w:rPr>
          <w:rFonts w:ascii="Times New Roman" w:eastAsia="Times New Roman" w:hAnsi="Times New Roman" w:cs="Times New Roman"/>
          <w:sz w:val="24"/>
          <w:szCs w:val="24"/>
          <w:lang w:eastAsia="fr-FR"/>
        </w:rPr>
        <w:t xml:space="preserve"> national production reached approximately 1.68 million tonnes in 2024, ranking the country third worldwide and first in Africa (APROMAC, 2024). Beyond its contribution to national exports, rubber production ensures rural income, employment and socio-economic resilience for thousands of smallholders.</w:t>
      </w:r>
      <w:r w:rsidRPr="00873D15">
        <w:rPr>
          <w:rFonts w:ascii="Times New Roman" w:eastAsia="Times New Roman" w:hAnsi="Times New Roman" w:cs="Times New Roman"/>
          <w:sz w:val="24"/>
          <w:szCs w:val="24"/>
          <w:lang w:eastAsia="fr-FR"/>
        </w:rPr>
        <w:t xml:space="preserve"> </w:t>
      </w:r>
      <w:r w:rsidRPr="00197C47">
        <w:rPr>
          <w:rFonts w:ascii="Times New Roman" w:eastAsia="Times New Roman" w:hAnsi="Times New Roman" w:cs="Times New Roman"/>
          <w:sz w:val="24"/>
          <w:szCs w:val="24"/>
          <w:lang w:eastAsia="fr-FR"/>
        </w:rPr>
        <w:t xml:space="preserve">Nevertheless, the strong dependence of producers on latex prices exposes them to significant income fluctuations due to volatility in the international rubber market (Euronews Business, 2025). To mitigate this vulnerability, the valorisation of secondary products from </w:t>
      </w:r>
      <w:r w:rsidRPr="00197C47">
        <w:rPr>
          <w:rFonts w:ascii="Times New Roman" w:eastAsia="Times New Roman" w:hAnsi="Times New Roman" w:cs="Times New Roman"/>
          <w:i/>
          <w:iCs/>
          <w:sz w:val="24"/>
          <w:szCs w:val="24"/>
          <w:lang w:eastAsia="fr-FR"/>
        </w:rPr>
        <w:t>Hevea brasiliensis</w:t>
      </w:r>
      <w:r w:rsidRPr="00197C47">
        <w:rPr>
          <w:rFonts w:ascii="Times New Roman" w:eastAsia="Times New Roman" w:hAnsi="Times New Roman" w:cs="Times New Roman"/>
          <w:sz w:val="24"/>
          <w:szCs w:val="24"/>
          <w:lang w:eastAsia="fr-FR"/>
        </w:rPr>
        <w:t xml:space="preserve"> cultivation—especially seeds and their derivatives—offers an effective and sustainable pathway to diversify income sources while supporting a circular bioeconomy (Ocho, </w:t>
      </w:r>
      <w:proofErr w:type="gramStart"/>
      <w:r w:rsidRPr="00197C47">
        <w:rPr>
          <w:rFonts w:ascii="Times New Roman" w:eastAsia="Times New Roman" w:hAnsi="Times New Roman" w:cs="Times New Roman"/>
          <w:sz w:val="24"/>
          <w:szCs w:val="24"/>
          <w:lang w:eastAsia="fr-FR"/>
        </w:rPr>
        <w:t>1999;</w:t>
      </w:r>
      <w:proofErr w:type="gramEnd"/>
      <w:r w:rsidRPr="00197C47">
        <w:rPr>
          <w:rFonts w:ascii="Times New Roman" w:eastAsia="Times New Roman" w:hAnsi="Times New Roman" w:cs="Times New Roman"/>
          <w:sz w:val="24"/>
          <w:szCs w:val="24"/>
          <w:lang w:eastAsia="fr-FR"/>
        </w:rPr>
        <w:t xml:space="preserve"> Adeoye et al., 2024). Rubber seeds, typically produced in large quantities during the rainy season, contain oil and protein in their kernels and a hard outer shell rich in lignocellulosic material, polyphenols and other functional compounds (Peng et al., </w:t>
      </w:r>
      <w:proofErr w:type="gramStart"/>
      <w:r w:rsidRPr="00197C47">
        <w:rPr>
          <w:rFonts w:ascii="Times New Roman" w:eastAsia="Times New Roman" w:hAnsi="Times New Roman" w:cs="Times New Roman"/>
          <w:sz w:val="24"/>
          <w:szCs w:val="24"/>
          <w:lang w:eastAsia="fr-FR"/>
        </w:rPr>
        <w:t>2018;</w:t>
      </w:r>
      <w:proofErr w:type="gramEnd"/>
      <w:r w:rsidRPr="00197C47">
        <w:rPr>
          <w:rFonts w:ascii="Times New Roman" w:eastAsia="Times New Roman" w:hAnsi="Times New Roman" w:cs="Times New Roman"/>
          <w:sz w:val="24"/>
          <w:szCs w:val="24"/>
          <w:lang w:eastAsia="fr-FR"/>
        </w:rPr>
        <w:t xml:space="preserve"> Zainuddin et al., 2021; Owolabi et al., 2023).</w:t>
      </w:r>
      <w:r w:rsidRPr="00873D15">
        <w:rPr>
          <w:rFonts w:ascii="Times New Roman" w:eastAsia="Times New Roman" w:hAnsi="Times New Roman" w:cs="Times New Roman"/>
          <w:sz w:val="24"/>
          <w:szCs w:val="24"/>
          <w:lang w:eastAsia="fr-FR"/>
        </w:rPr>
        <w:t xml:space="preserve"> </w:t>
      </w:r>
      <w:r w:rsidRPr="00197C47">
        <w:rPr>
          <w:rFonts w:ascii="Times New Roman" w:eastAsia="Times New Roman" w:hAnsi="Times New Roman" w:cs="Times New Roman"/>
          <w:sz w:val="24"/>
          <w:szCs w:val="24"/>
          <w:lang w:eastAsia="fr-FR"/>
        </w:rPr>
        <w:t xml:space="preserve">In many oilseed industries, seed shells are valuable raw materials for energy production, antioxidant extraction, or biomaterial manufacturing (Min et al., </w:t>
      </w:r>
      <w:proofErr w:type="gramStart"/>
      <w:r w:rsidRPr="00197C47">
        <w:rPr>
          <w:rFonts w:ascii="Times New Roman" w:eastAsia="Times New Roman" w:hAnsi="Times New Roman" w:cs="Times New Roman"/>
          <w:sz w:val="24"/>
          <w:szCs w:val="24"/>
          <w:lang w:eastAsia="fr-FR"/>
        </w:rPr>
        <w:t>2008;</w:t>
      </w:r>
      <w:proofErr w:type="gramEnd"/>
      <w:r w:rsidRPr="00197C47">
        <w:rPr>
          <w:rFonts w:ascii="Times New Roman" w:eastAsia="Times New Roman" w:hAnsi="Times New Roman" w:cs="Times New Roman"/>
          <w:sz w:val="24"/>
          <w:szCs w:val="24"/>
          <w:lang w:eastAsia="fr-FR"/>
        </w:rPr>
        <w:t xml:space="preserve"> Adeoye et al., 2024). Several studies have shown that controlled pyrolysis, enzymatic hydrolysis, or solvent extraction can transform lignocellulosic residues into bio-oils, fibres, and phenolic-rich extracts with high industrial value (Adeoye et al., </w:t>
      </w:r>
      <w:proofErr w:type="gramStart"/>
      <w:r w:rsidRPr="00197C47">
        <w:rPr>
          <w:rFonts w:ascii="Times New Roman" w:eastAsia="Times New Roman" w:hAnsi="Times New Roman" w:cs="Times New Roman"/>
          <w:sz w:val="24"/>
          <w:szCs w:val="24"/>
          <w:lang w:eastAsia="fr-FR"/>
        </w:rPr>
        <w:t>2024;</w:t>
      </w:r>
      <w:proofErr w:type="gramEnd"/>
      <w:r w:rsidRPr="00197C47">
        <w:rPr>
          <w:rFonts w:ascii="Times New Roman" w:eastAsia="Times New Roman" w:hAnsi="Times New Roman" w:cs="Times New Roman"/>
          <w:sz w:val="24"/>
          <w:szCs w:val="24"/>
          <w:lang w:eastAsia="fr-FR"/>
        </w:rPr>
        <w:t xml:space="preserve"> Zhou et al., 2024). However, in Côte d’Ivoire, the shells of </w:t>
      </w:r>
      <w:r w:rsidRPr="00197C47">
        <w:rPr>
          <w:rFonts w:ascii="Times New Roman" w:eastAsia="Times New Roman" w:hAnsi="Times New Roman" w:cs="Times New Roman"/>
          <w:i/>
          <w:iCs/>
          <w:sz w:val="24"/>
          <w:szCs w:val="24"/>
          <w:lang w:eastAsia="fr-FR"/>
        </w:rPr>
        <w:t>Hevea brasiliensis</w:t>
      </w:r>
      <w:r w:rsidRPr="00197C47">
        <w:rPr>
          <w:rFonts w:ascii="Times New Roman" w:eastAsia="Times New Roman" w:hAnsi="Times New Roman" w:cs="Times New Roman"/>
          <w:sz w:val="24"/>
          <w:szCs w:val="24"/>
          <w:lang w:eastAsia="fr-FR"/>
        </w:rPr>
        <w:t xml:space="preserve"> seeds remain largely unexploited and are often discarded, despite representing nearly 50 % of the seed’s mass. This underutilisation constitutes both an economic loss and an environmental management issue.</w:t>
      </w:r>
      <w:r w:rsidRPr="00873D15">
        <w:rPr>
          <w:rFonts w:ascii="Times New Roman" w:eastAsia="Times New Roman" w:hAnsi="Times New Roman" w:cs="Times New Roman"/>
          <w:sz w:val="24"/>
          <w:szCs w:val="24"/>
          <w:lang w:eastAsia="fr-FR"/>
        </w:rPr>
        <w:t xml:space="preserve"> </w:t>
      </w:r>
      <w:r w:rsidRPr="00197C47">
        <w:rPr>
          <w:rFonts w:ascii="Times New Roman" w:eastAsia="Times New Roman" w:hAnsi="Times New Roman" w:cs="Times New Roman"/>
          <w:sz w:val="24"/>
          <w:szCs w:val="24"/>
          <w:lang w:eastAsia="fr-FR"/>
        </w:rPr>
        <w:t xml:space="preserve">From a biochemical standpoint, rubber seed shells are complex matrices combining structural carbohydrates, lignin, lipids and phenolic compounds with known antioxidant and antimicrobial activities (Bahramsoltani et al., </w:t>
      </w:r>
      <w:proofErr w:type="gramStart"/>
      <w:r w:rsidRPr="00197C47">
        <w:rPr>
          <w:rFonts w:ascii="Times New Roman" w:eastAsia="Times New Roman" w:hAnsi="Times New Roman" w:cs="Times New Roman"/>
          <w:sz w:val="24"/>
          <w:szCs w:val="24"/>
          <w:lang w:eastAsia="fr-FR"/>
        </w:rPr>
        <w:t>2014;</w:t>
      </w:r>
      <w:proofErr w:type="gramEnd"/>
      <w:r w:rsidRPr="00197C47">
        <w:rPr>
          <w:rFonts w:ascii="Times New Roman" w:eastAsia="Times New Roman" w:hAnsi="Times New Roman" w:cs="Times New Roman"/>
          <w:sz w:val="24"/>
          <w:szCs w:val="24"/>
          <w:lang w:eastAsia="fr-FR"/>
        </w:rPr>
        <w:t xml:space="preserve"> Owolabi et al., 2023). The relative proportions of these constituents are influenced by genetic and environmental factors, notably the clone, soil fertility, and climatic conditions (Bamba et al., </w:t>
      </w:r>
      <w:proofErr w:type="gramStart"/>
      <w:r w:rsidRPr="00197C47">
        <w:rPr>
          <w:rFonts w:ascii="Times New Roman" w:eastAsia="Times New Roman" w:hAnsi="Times New Roman" w:cs="Times New Roman"/>
          <w:sz w:val="24"/>
          <w:szCs w:val="24"/>
          <w:lang w:eastAsia="fr-FR"/>
        </w:rPr>
        <w:t>2023;</w:t>
      </w:r>
      <w:proofErr w:type="gramEnd"/>
      <w:r w:rsidRPr="00197C47">
        <w:rPr>
          <w:rFonts w:ascii="Times New Roman" w:eastAsia="Times New Roman" w:hAnsi="Times New Roman" w:cs="Times New Roman"/>
          <w:sz w:val="24"/>
          <w:szCs w:val="24"/>
          <w:lang w:eastAsia="fr-FR"/>
        </w:rPr>
        <w:t xml:space="preserve"> Afolabi et al., 2025). Evaluating inter-clonal variability in shell composition is therefore essential to identify the most promising clones for targeted valorisation—whether biochemical (antioxidants, bio-oils) or industrial (fibres, biochar, biomaterials).</w:t>
      </w:r>
      <w:r w:rsidRPr="00873D15">
        <w:rPr>
          <w:rFonts w:ascii="Times New Roman" w:eastAsia="Times New Roman" w:hAnsi="Times New Roman" w:cs="Times New Roman"/>
          <w:sz w:val="24"/>
          <w:szCs w:val="24"/>
          <w:lang w:eastAsia="fr-FR"/>
        </w:rPr>
        <w:t xml:space="preserve"> </w:t>
      </w:r>
      <w:r w:rsidRPr="00197C47">
        <w:rPr>
          <w:rFonts w:ascii="Times New Roman" w:eastAsia="Times New Roman" w:hAnsi="Times New Roman" w:cs="Times New Roman"/>
          <w:sz w:val="24"/>
          <w:szCs w:val="24"/>
          <w:lang w:eastAsia="fr-FR"/>
        </w:rPr>
        <w:t xml:space="preserve">Consequently, </w:t>
      </w:r>
      <w:r w:rsidRPr="00197C47">
        <w:rPr>
          <w:rFonts w:ascii="Times New Roman" w:eastAsia="Times New Roman" w:hAnsi="Times New Roman" w:cs="Times New Roman"/>
          <w:sz w:val="24"/>
          <w:szCs w:val="24"/>
          <w:lang w:eastAsia="fr-FR"/>
        </w:rPr>
        <w:lastRenderedPageBreak/>
        <w:t xml:space="preserve">the present study aimed to characterise and compare the physicochemical, phytochemical and antinutritional properties of seed shells from five </w:t>
      </w:r>
      <w:r w:rsidRPr="00197C47">
        <w:rPr>
          <w:rFonts w:ascii="Times New Roman" w:eastAsia="Times New Roman" w:hAnsi="Times New Roman" w:cs="Times New Roman"/>
          <w:i/>
          <w:iCs/>
          <w:sz w:val="24"/>
          <w:szCs w:val="24"/>
          <w:lang w:eastAsia="fr-FR"/>
        </w:rPr>
        <w:t>Hevea brasiliensis</w:t>
      </w:r>
      <w:r w:rsidRPr="00197C47">
        <w:rPr>
          <w:rFonts w:ascii="Times New Roman" w:eastAsia="Times New Roman" w:hAnsi="Times New Roman" w:cs="Times New Roman"/>
          <w:sz w:val="24"/>
          <w:szCs w:val="24"/>
          <w:lang w:eastAsia="fr-FR"/>
        </w:rPr>
        <w:t xml:space="preserve"> clones commonly cultivated in Côte d’Ivoire (GT1, PB217, IRCA230, IRCA331 and IRCA41). Through analysis of variance (ANOVA), principal component analysis (PCA) and hierarchical cluster analysis (HCA), this work sought to establish biochemical profiles of the clones and evaluate their potential for agro-industrial and bioeconomic applications. The study ultimately contributes to the sustainable management of rubber by-products and supports Côte d’Ivoire’s transition towards a competitive circular bioeconomy.</w:t>
      </w:r>
    </w:p>
    <w:p w14:paraId="418425C0" w14:textId="77777777" w:rsidR="00801973" w:rsidRPr="00873D15" w:rsidRDefault="00801973" w:rsidP="00873D15">
      <w:pPr>
        <w:pStyle w:val="ListParagraph"/>
        <w:numPr>
          <w:ilvl w:val="0"/>
          <w:numId w:val="2"/>
        </w:numPr>
        <w:spacing w:line="360" w:lineRule="auto"/>
        <w:jc w:val="both"/>
        <w:rPr>
          <w:rFonts w:ascii="Times New Roman" w:hAnsi="Times New Roman" w:cs="Times New Roman"/>
        </w:rPr>
      </w:pPr>
      <w:r w:rsidRPr="00873D15">
        <w:rPr>
          <w:rFonts w:ascii="Times New Roman" w:hAnsi="Times New Roman" w:cs="Times New Roman"/>
          <w:b/>
          <w:bCs/>
        </w:rPr>
        <w:t xml:space="preserve">MATERIALS AND METHODS </w:t>
      </w:r>
    </w:p>
    <w:p w14:paraId="05A90308" w14:textId="77777777" w:rsidR="00801973" w:rsidRPr="00873D15" w:rsidRDefault="00801973" w:rsidP="00873D15">
      <w:pPr>
        <w:spacing w:line="360" w:lineRule="auto"/>
        <w:ind w:firstLine="708"/>
        <w:jc w:val="both"/>
        <w:rPr>
          <w:rFonts w:ascii="Times New Roman" w:hAnsi="Times New Roman" w:cs="Times New Roman"/>
          <w:b/>
          <w:bCs/>
          <w:sz w:val="24"/>
          <w:szCs w:val="24"/>
        </w:rPr>
      </w:pPr>
      <w:r w:rsidRPr="00873D15">
        <w:rPr>
          <w:rFonts w:ascii="Times New Roman" w:hAnsi="Times New Roman" w:cs="Times New Roman"/>
          <w:b/>
          <w:bCs/>
          <w:sz w:val="24"/>
          <w:szCs w:val="24"/>
        </w:rPr>
        <w:t>2.1. Plant material</w:t>
      </w:r>
    </w:p>
    <w:p w14:paraId="0E370F11" w14:textId="77777777" w:rsidR="007B791C" w:rsidRPr="00873D15" w:rsidRDefault="007B791C" w:rsidP="00873D15">
      <w:pPr>
        <w:spacing w:line="360" w:lineRule="auto"/>
        <w:jc w:val="both"/>
        <w:rPr>
          <w:rFonts w:ascii="Times New Roman" w:hAnsi="Times New Roman" w:cs="Times New Roman"/>
          <w:sz w:val="24"/>
          <w:szCs w:val="24"/>
        </w:rPr>
      </w:pPr>
      <w:r w:rsidRPr="00873D15">
        <w:rPr>
          <w:rFonts w:ascii="Times New Roman" w:hAnsi="Times New Roman" w:cs="Times New Roman"/>
          <w:sz w:val="24"/>
          <w:szCs w:val="24"/>
        </w:rPr>
        <w:t xml:space="preserve">The plant material used in this study consisted of seed shells from five commonly cultivated Hevea brasiliensis clones in Côte </w:t>
      </w:r>
      <w:proofErr w:type="gramStart"/>
      <w:r w:rsidRPr="00873D15">
        <w:rPr>
          <w:rFonts w:ascii="Times New Roman" w:hAnsi="Times New Roman" w:cs="Times New Roman"/>
          <w:sz w:val="24"/>
          <w:szCs w:val="24"/>
        </w:rPr>
        <w:t>d’Ivoire:</w:t>
      </w:r>
      <w:proofErr w:type="gramEnd"/>
      <w:r w:rsidRPr="00873D15">
        <w:rPr>
          <w:rFonts w:ascii="Times New Roman" w:hAnsi="Times New Roman" w:cs="Times New Roman"/>
          <w:sz w:val="24"/>
          <w:szCs w:val="24"/>
        </w:rPr>
        <w:t xml:space="preserve"> GT1 (Gondang Tapen 1), PB217 (Besar 217), and three clones developed by the Rubber Research Institute of Côte d’Ivoire (IRCA) ; namely IRCA41, IRCA230, and IRCA331. The seeds were collected from monoclonal plots located in both traditional and marginal rubber-growing zones. These included the Société Africaine de Plantation d’Hévéa (SAPH) in the Grands Ponts region, the Société Coopérative Agricole Sud-Ouest (SCASO) in the Bas-Sassandra region, and EXAT Agriculture (Kouamé Koffikro plantation) in the Prikro area. Because rubber seed production is seasonal (August–November), the sampling campaign was carried out between August and November 2024. From each site, composite samples were prepared from five one-hectare monoclonal plots to represent a broad range of agroecological conditions across the national territory</w:t>
      </w:r>
    </w:p>
    <w:p w14:paraId="74B23038" w14:textId="6DAFD97A" w:rsidR="00801973" w:rsidRPr="00873D15" w:rsidRDefault="007B791C" w:rsidP="00873D15">
      <w:pPr>
        <w:spacing w:line="360" w:lineRule="auto"/>
        <w:jc w:val="both"/>
        <w:rPr>
          <w:rFonts w:ascii="Times New Roman" w:hAnsi="Times New Roman" w:cs="Times New Roman"/>
          <w:sz w:val="24"/>
          <w:szCs w:val="24"/>
        </w:rPr>
      </w:pPr>
      <w:r w:rsidRPr="00873D15">
        <w:rPr>
          <w:rFonts w:ascii="Times New Roman" w:hAnsi="Times New Roman" w:cs="Times New Roman"/>
          <w:sz w:val="24"/>
          <w:szCs w:val="24"/>
        </w:rPr>
        <w:t>.</w:t>
      </w:r>
      <w:r w:rsidR="00801973" w:rsidRPr="00873D15">
        <w:rPr>
          <w:rFonts w:ascii="Times New Roman" w:hAnsi="Times New Roman" w:cs="Times New Roman"/>
          <w:b/>
          <w:bCs/>
          <w:sz w:val="24"/>
          <w:szCs w:val="24"/>
        </w:rPr>
        <w:t>2.2 Methods</w:t>
      </w:r>
    </w:p>
    <w:p w14:paraId="72F0D1D9" w14:textId="77777777" w:rsidR="00801973" w:rsidRPr="00873D15" w:rsidRDefault="00801973" w:rsidP="00873D15">
      <w:pPr>
        <w:spacing w:line="360" w:lineRule="auto"/>
        <w:ind w:firstLine="708"/>
        <w:jc w:val="both"/>
        <w:rPr>
          <w:rFonts w:ascii="Times New Roman" w:hAnsi="Times New Roman" w:cs="Times New Roman"/>
          <w:b/>
          <w:bCs/>
          <w:sz w:val="24"/>
          <w:szCs w:val="24"/>
        </w:rPr>
      </w:pPr>
      <w:r w:rsidRPr="00873D15">
        <w:rPr>
          <w:rFonts w:ascii="Times New Roman" w:hAnsi="Times New Roman" w:cs="Times New Roman"/>
          <w:b/>
          <w:bCs/>
          <w:sz w:val="24"/>
          <w:szCs w:val="24"/>
        </w:rPr>
        <w:t>2.2.1 Sampling</w:t>
      </w:r>
    </w:p>
    <w:p w14:paraId="57D800E0" w14:textId="77777777" w:rsidR="00D71213" w:rsidRPr="00D71213" w:rsidRDefault="00D71213" w:rsidP="00873D15">
      <w:pPr>
        <w:spacing w:line="360" w:lineRule="auto"/>
        <w:jc w:val="both"/>
        <w:rPr>
          <w:rFonts w:ascii="Times New Roman" w:hAnsi="Times New Roman" w:cs="Times New Roman"/>
          <w:sz w:val="24"/>
          <w:szCs w:val="24"/>
        </w:rPr>
      </w:pPr>
      <w:r w:rsidRPr="00D71213">
        <w:rPr>
          <w:rFonts w:ascii="Times New Roman" w:hAnsi="Times New Roman" w:cs="Times New Roman"/>
          <w:sz w:val="24"/>
          <w:szCs w:val="24"/>
        </w:rPr>
        <w:t>At each site, a composite sample of 10 kg of whole seeds per clone was collected from representative harvests, yielding 30 kg per clone overall. The seeds were manually cleaned and air-dried, then shelled using a mechanical shelling device to separate the kernels from the shells.</w:t>
      </w:r>
      <w:r w:rsidRPr="00D71213">
        <w:rPr>
          <w:rFonts w:ascii="Times New Roman" w:hAnsi="Times New Roman" w:cs="Times New Roman"/>
          <w:sz w:val="24"/>
          <w:szCs w:val="24"/>
        </w:rPr>
        <w:br/>
        <w:t>The shells obtained for each clone were homogenised and finely ground using a laboratory grinder (Retsch ZM200). The resulting powder was stored in hermetically sealed containers at ambient temperature prior to analysis. This homogenised powder served as the matrix for all physicochemical, phytochemical and antinutritional analyses.</w:t>
      </w:r>
    </w:p>
    <w:p w14:paraId="3066C6AE" w14:textId="060C343C" w:rsidR="00801973" w:rsidRPr="00873D15" w:rsidRDefault="00801973" w:rsidP="00873D15">
      <w:pPr>
        <w:spacing w:line="360" w:lineRule="auto"/>
        <w:jc w:val="both"/>
        <w:rPr>
          <w:rFonts w:ascii="Times New Roman" w:hAnsi="Times New Roman" w:cs="Times New Roman"/>
          <w:sz w:val="24"/>
          <w:szCs w:val="24"/>
        </w:rPr>
      </w:pPr>
      <w:r w:rsidRPr="00873D15">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690136B8" wp14:editId="700EE24A">
                <wp:simplePos x="0" y="0"/>
                <wp:positionH relativeFrom="column">
                  <wp:posOffset>3306445</wp:posOffset>
                </wp:positionH>
                <wp:positionV relativeFrom="paragraph">
                  <wp:posOffset>2093595</wp:posOffset>
                </wp:positionV>
                <wp:extent cx="2407920" cy="281940"/>
                <wp:effectExtent l="0" t="0" r="11430" b="2286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281940"/>
                        </a:xfrm>
                        <a:prstGeom prst="rect">
                          <a:avLst/>
                        </a:prstGeom>
                        <a:solidFill>
                          <a:srgbClr val="FFFFFF"/>
                        </a:solidFill>
                        <a:ln w="9525">
                          <a:solidFill>
                            <a:srgbClr val="000000"/>
                          </a:solidFill>
                          <a:miter lim="800000"/>
                          <a:headEnd/>
                          <a:tailEnd/>
                        </a:ln>
                      </wps:spPr>
                      <wps:txbx>
                        <w:txbxContent>
                          <w:p w14:paraId="7638BC21" w14:textId="77777777" w:rsidR="00801973" w:rsidRDefault="00801973" w:rsidP="00801973">
                            <w:pPr>
                              <w:rPr>
                                <w:rFonts w:ascii="Times New Roman" w:hAnsi="Times New Roman" w:cs="Times New Roman"/>
                              </w:rPr>
                            </w:pPr>
                            <w:r>
                              <w:rPr>
                                <w:rFonts w:ascii="Times New Roman" w:hAnsi="Times New Roman" w:cs="Times New Roman"/>
                              </w:rPr>
                              <w:t xml:space="preserve">Photo </w:t>
                            </w:r>
                            <w:proofErr w:type="gramStart"/>
                            <w:r>
                              <w:rPr>
                                <w:rFonts w:ascii="Times New Roman" w:hAnsi="Times New Roman" w:cs="Times New Roman"/>
                              </w:rPr>
                              <w:t>2:</w:t>
                            </w:r>
                            <w:proofErr w:type="gramEnd"/>
                            <w:r>
                              <w:rPr>
                                <w:rFonts w:ascii="Times New Roman" w:hAnsi="Times New Roman" w:cs="Times New Roman"/>
                              </w:rPr>
                              <w:t xml:space="preserve"> rubber seed kernels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136B8" id="_x0000_t202" coordsize="21600,21600" o:spt="202" path="m,l,21600r21600,l21600,xe">
                <v:stroke joinstyle="miter"/>
                <v:path gradientshapeok="t" o:connecttype="rect"/>
              </v:shapetype>
              <v:shape id="Zone de texte 8" o:spid="_x0000_s1026" type="#_x0000_t202" style="position:absolute;left:0;text-align:left;margin-left:260.35pt;margin-top:164.85pt;width:189.6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">
                <v:textbox>
                  <w:txbxContent>
                    <w:p w14:paraId="7638BC21" w14:textId="77777777" w:rsidR="00801973" w:rsidRDefault="00801973" w:rsidP="00801973">
                      <w:pPr>
                        <w:rPr>
                          <w:rFonts w:ascii="Times New Roman" w:hAnsi="Times New Roman" w:cs="Times New Roman"/>
                        </w:rPr>
                      </w:pPr>
                      <w:r>
                        <w:rPr>
                          <w:rFonts w:ascii="Times New Roman" w:hAnsi="Times New Roman" w:cs="Times New Roman"/>
                        </w:rPr>
                        <w:t xml:space="preserve">Photo </w:t>
                      </w:r>
                      <w:proofErr w:type="gramStart"/>
                      <w:r>
                        <w:rPr>
                          <w:rFonts w:ascii="Times New Roman" w:hAnsi="Times New Roman" w:cs="Times New Roman"/>
                        </w:rPr>
                        <w:t>2:</w:t>
                      </w:r>
                      <w:proofErr w:type="gramEnd"/>
                      <w:r>
                        <w:rPr>
                          <w:rFonts w:ascii="Times New Roman" w:hAnsi="Times New Roman" w:cs="Times New Roman"/>
                        </w:rPr>
                        <w:t xml:space="preserve"> rubber seed kernels</w:t>
                      </w:r>
                    </w:p>
                  </w:txbxContent>
                </v:textbox>
              </v:shape>
            </w:pict>
          </mc:Fallback>
        </mc:AlternateContent>
      </w:r>
      <w:r w:rsidRPr="00873D15">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E9D110D" wp14:editId="4F8FA11A">
                <wp:simplePos x="0" y="0"/>
                <wp:positionH relativeFrom="column">
                  <wp:posOffset>144145</wp:posOffset>
                </wp:positionH>
                <wp:positionV relativeFrom="paragraph">
                  <wp:posOffset>2154555</wp:posOffset>
                </wp:positionV>
                <wp:extent cx="1844040" cy="281940"/>
                <wp:effectExtent l="0" t="0" r="22860" b="2286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81940"/>
                        </a:xfrm>
                        <a:prstGeom prst="rect">
                          <a:avLst/>
                        </a:prstGeom>
                        <a:solidFill>
                          <a:srgbClr val="FFFFFF"/>
                        </a:solidFill>
                        <a:ln w="9525">
                          <a:solidFill>
                            <a:srgbClr val="000000"/>
                          </a:solidFill>
                          <a:miter lim="800000"/>
                          <a:headEnd/>
                          <a:tailEnd/>
                        </a:ln>
                      </wps:spPr>
                      <wps:txbx>
                        <w:txbxContent>
                          <w:p w14:paraId="11F9C547" w14:textId="77777777" w:rsidR="00801973" w:rsidRDefault="00801973" w:rsidP="00801973">
                            <w:pPr>
                              <w:rPr>
                                <w:rFonts w:ascii="Times New Roman" w:hAnsi="Times New Roman" w:cs="Times New Roman"/>
                              </w:rPr>
                            </w:pPr>
                            <w:r>
                              <w:rPr>
                                <w:rFonts w:ascii="Times New Roman" w:hAnsi="Times New Roman" w:cs="Times New Roman"/>
                              </w:rPr>
                              <w:t xml:space="preserve">Photo </w:t>
                            </w:r>
                            <w:proofErr w:type="gramStart"/>
                            <w:r>
                              <w:rPr>
                                <w:rFonts w:ascii="Times New Roman" w:hAnsi="Times New Roman" w:cs="Times New Roman"/>
                              </w:rPr>
                              <w:t>1:</w:t>
                            </w:r>
                            <w:proofErr w:type="gramEnd"/>
                            <w:r>
                              <w:rPr>
                                <w:rFonts w:ascii="Times New Roman" w:hAnsi="Times New Roman" w:cs="Times New Roman"/>
                              </w:rPr>
                              <w:t xml:space="preserve"> rubber tree seeds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D110D" id="Zone de texte 7" o:spid="_x0000_s1027" type="#_x0000_t202" style="position:absolute;left:0;text-align:left;margin-left:11.35pt;margin-top:169.65pt;width:145.2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">
                <v:textbox>
                  <w:txbxContent>
                    <w:p w14:paraId="11F9C547" w14:textId="77777777" w:rsidR="00801973" w:rsidRDefault="00801973" w:rsidP="00801973">
                      <w:pPr>
                        <w:rPr>
                          <w:rFonts w:ascii="Times New Roman" w:hAnsi="Times New Roman" w:cs="Times New Roman"/>
                        </w:rPr>
                      </w:pPr>
                      <w:r>
                        <w:rPr>
                          <w:rFonts w:ascii="Times New Roman" w:hAnsi="Times New Roman" w:cs="Times New Roman"/>
                        </w:rPr>
                        <w:t xml:space="preserve">Photo </w:t>
                      </w:r>
                      <w:proofErr w:type="gramStart"/>
                      <w:r>
                        <w:rPr>
                          <w:rFonts w:ascii="Times New Roman" w:hAnsi="Times New Roman" w:cs="Times New Roman"/>
                        </w:rPr>
                        <w:t>1:</w:t>
                      </w:r>
                      <w:proofErr w:type="gramEnd"/>
                      <w:r>
                        <w:rPr>
                          <w:rFonts w:ascii="Times New Roman" w:hAnsi="Times New Roman" w:cs="Times New Roman"/>
                        </w:rPr>
                        <w:t xml:space="preserve"> rubber tree seeds</w:t>
                      </w:r>
                    </w:p>
                  </w:txbxContent>
                </v:textbox>
              </v:shape>
            </w:pict>
          </mc:Fallback>
        </mc:AlternateContent>
      </w:r>
      <w:r w:rsidRPr="00873D15">
        <w:rPr>
          <w:rFonts w:ascii="Times New Roman" w:hAnsi="Times New Roman" w:cs="Times New Roman"/>
          <w:noProof/>
          <w:sz w:val="24"/>
          <w:szCs w:val="24"/>
        </w:rPr>
        <w:drawing>
          <wp:inline distT="0" distB="0" distL="0" distR="0" wp14:anchorId="1AA40242" wp14:editId="1C7C13B2">
            <wp:extent cx="1988820" cy="18973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8820" cy="1897380"/>
                    </a:xfrm>
                    <a:prstGeom prst="rect">
                      <a:avLst/>
                    </a:prstGeom>
                    <a:noFill/>
                    <a:ln>
                      <a:noFill/>
                    </a:ln>
                  </pic:spPr>
                </pic:pic>
              </a:graphicData>
            </a:graphic>
          </wp:inline>
        </w:drawing>
      </w:r>
      <w:r w:rsidRPr="00873D15">
        <w:rPr>
          <w:rFonts w:ascii="Times New Roman" w:hAnsi="Times New Roman" w:cs="Times New Roman"/>
          <w:sz w:val="24"/>
          <w:szCs w:val="24"/>
        </w:rPr>
        <w:t xml:space="preserve">                               </w:t>
      </w:r>
      <w:r w:rsidRPr="00873D15">
        <w:rPr>
          <w:rFonts w:ascii="Times New Roman" w:hAnsi="Times New Roman" w:cs="Times New Roman"/>
          <w:noProof/>
          <w:sz w:val="24"/>
          <w:szCs w:val="24"/>
        </w:rPr>
        <w:drawing>
          <wp:inline distT="0" distB="0" distL="0" distR="0" wp14:anchorId="20F74C0F" wp14:editId="1A9D9606">
            <wp:extent cx="2636520" cy="1988820"/>
            <wp:effectExtent l="0" t="0" r="0" b="0"/>
            <wp:docPr id="5" name="Image 5" descr="Une image contenant Graines et oléagineux, oléagineux, graine comesti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Une image contenant Graines et oléagineux, oléagineux, graine comestibl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r="-121" b="-32"/>
                    <a:stretch>
                      <a:fillRect/>
                    </a:stretch>
                  </pic:blipFill>
                  <pic:spPr bwMode="auto">
                    <a:xfrm>
                      <a:off x="0" y="0"/>
                      <a:ext cx="2636520" cy="1988820"/>
                    </a:xfrm>
                    <a:prstGeom prst="rect">
                      <a:avLst/>
                    </a:prstGeom>
                    <a:noFill/>
                    <a:ln>
                      <a:noFill/>
                    </a:ln>
                  </pic:spPr>
                </pic:pic>
              </a:graphicData>
            </a:graphic>
          </wp:inline>
        </w:drawing>
      </w:r>
    </w:p>
    <w:p w14:paraId="71E0C4CB" w14:textId="77777777" w:rsidR="00801973" w:rsidRPr="00873D15" w:rsidRDefault="00801973" w:rsidP="00873D15">
      <w:pPr>
        <w:spacing w:line="360" w:lineRule="auto"/>
        <w:jc w:val="both"/>
        <w:rPr>
          <w:rFonts w:ascii="Times New Roman" w:hAnsi="Times New Roman" w:cs="Times New Roman"/>
          <w:sz w:val="24"/>
          <w:szCs w:val="24"/>
        </w:rPr>
      </w:pPr>
    </w:p>
    <w:p w14:paraId="56EA99CE" w14:textId="0B2618AC" w:rsidR="00801973" w:rsidRPr="00873D15" w:rsidRDefault="00801973" w:rsidP="00873D15">
      <w:pPr>
        <w:spacing w:line="360" w:lineRule="auto"/>
        <w:jc w:val="both"/>
        <w:rPr>
          <w:rFonts w:ascii="Times New Roman" w:hAnsi="Times New Roman" w:cs="Times New Roman"/>
          <w:sz w:val="24"/>
          <w:szCs w:val="24"/>
        </w:rPr>
      </w:pPr>
    </w:p>
    <w:p w14:paraId="4F8D455E" w14:textId="77777777" w:rsidR="00D71213" w:rsidRPr="00873D15" w:rsidRDefault="00D71213" w:rsidP="00873D15">
      <w:pPr>
        <w:spacing w:line="360" w:lineRule="auto"/>
        <w:jc w:val="both"/>
        <w:rPr>
          <w:rFonts w:ascii="Times New Roman" w:hAnsi="Times New Roman" w:cs="Times New Roman"/>
          <w:sz w:val="24"/>
          <w:szCs w:val="24"/>
        </w:rPr>
      </w:pPr>
    </w:p>
    <w:p w14:paraId="011B49A2" w14:textId="77777777" w:rsidR="00801973" w:rsidRPr="00873D15" w:rsidRDefault="00801973" w:rsidP="00873D15">
      <w:pPr>
        <w:spacing w:line="360" w:lineRule="auto"/>
        <w:jc w:val="both"/>
        <w:rPr>
          <w:rFonts w:ascii="Times New Roman" w:hAnsi="Times New Roman" w:cs="Times New Roman"/>
          <w:b/>
          <w:bCs/>
          <w:sz w:val="24"/>
          <w:szCs w:val="24"/>
        </w:rPr>
      </w:pPr>
      <w:r w:rsidRPr="00873D15">
        <w:rPr>
          <w:rFonts w:ascii="Times New Roman" w:hAnsi="Times New Roman" w:cs="Times New Roman"/>
          <w:b/>
          <w:bCs/>
          <w:sz w:val="24"/>
          <w:szCs w:val="24"/>
        </w:rPr>
        <w:t>2.2.2 Physicochemical characterisation of the rubber seed shell</w:t>
      </w:r>
    </w:p>
    <w:p w14:paraId="7E5623AA" w14:textId="0B1A8EEA" w:rsidR="00801973" w:rsidRPr="00873D15" w:rsidRDefault="001D7C2C" w:rsidP="00873D15">
      <w:pPr>
        <w:spacing w:line="360" w:lineRule="auto"/>
        <w:jc w:val="both"/>
        <w:rPr>
          <w:rFonts w:ascii="Times New Roman" w:eastAsiaTheme="minorEastAsia" w:hAnsi="Times New Roman" w:cs="Times New Roman"/>
          <w:b/>
          <w:bCs/>
          <w:kern w:val="2"/>
          <w:sz w:val="24"/>
          <w:szCs w:val="24"/>
          <w:lang w:val="fr-CI" w:eastAsia="zh-CN"/>
          <w14:ligatures w14:val="standardContextual"/>
        </w:rPr>
      </w:pPr>
      <w:r w:rsidRPr="00873D15">
        <w:rPr>
          <w:rFonts w:ascii="Times New Roman" w:eastAsiaTheme="minorEastAsia" w:hAnsi="Times New Roman" w:cs="Times New Roman"/>
          <w:kern w:val="2"/>
          <w:sz w:val="24"/>
          <w:szCs w:val="24"/>
          <w:lang w:eastAsia="zh-CN"/>
          <w14:ligatures w14:val="standardContextual"/>
        </w:rPr>
        <w:t xml:space="preserve">The moisture content was determined following the AOAC (1990) method, by oven-drying 10 g of ground shell at 105 ± 2 °C for 24 h (Memmert oven, Germany). The ash content was quantified after incineration at 550 °C for 12 h in a muffle furnace (VOLCA V50), and expressed as a percentage of dry weight. The pH and titratable acidity were measured according to AFNOR (1986). Ten grams of shell powder were homogenised in 100 mL of distilled water and </w:t>
      </w:r>
      <w:proofErr w:type="gramStart"/>
      <w:r w:rsidRPr="00873D15">
        <w:rPr>
          <w:rFonts w:ascii="Times New Roman" w:eastAsiaTheme="minorEastAsia" w:hAnsi="Times New Roman" w:cs="Times New Roman"/>
          <w:kern w:val="2"/>
          <w:sz w:val="24"/>
          <w:szCs w:val="24"/>
          <w:lang w:eastAsia="zh-CN"/>
          <w14:ligatures w14:val="standardContextual"/>
        </w:rPr>
        <w:t>filtered;</w:t>
      </w:r>
      <w:proofErr w:type="gramEnd"/>
      <w:r w:rsidRPr="00873D15">
        <w:rPr>
          <w:rFonts w:ascii="Times New Roman" w:eastAsiaTheme="minorEastAsia" w:hAnsi="Times New Roman" w:cs="Times New Roman"/>
          <w:kern w:val="2"/>
          <w:sz w:val="24"/>
          <w:szCs w:val="24"/>
          <w:lang w:eastAsia="zh-CN"/>
          <w14:ligatures w14:val="standardContextual"/>
        </w:rPr>
        <w:t xml:space="preserve"> pH was read using a HANNA portable pH meter, and acidity determined by titration with 0.1 N NaOH in the presence of phenolphthalein. The lipid content was determined by Soxhlet extraction (AFNOR, 1984) using hexane for 8 h at reflux temperature, and expressed as % oil on dry matter basis. Proteins were determined by the Kjeldahl method (AOAC, 1990), using nitrogen-to-protein conversion factor 6.25.</w:t>
      </w:r>
      <w:r w:rsidRPr="00873D15">
        <w:rPr>
          <w:rFonts w:ascii="Times New Roman" w:eastAsiaTheme="minorEastAsia" w:hAnsi="Times New Roman" w:cs="Times New Roman"/>
          <w:kern w:val="2"/>
          <w:sz w:val="24"/>
          <w:szCs w:val="24"/>
          <w:lang w:eastAsia="zh-CN"/>
          <w14:ligatures w14:val="standardContextual"/>
        </w:rPr>
        <w:br/>
        <w:t>Fibre was determined following Wolf (1968), while total sugars were quantified spectrophotometrically using the phenol–sulphuric acid method (Dubois et al., 1956), and reducing sugars by the DNS method (Bernfeld, 1955).</w:t>
      </w:r>
      <w:r w:rsidR="00801973" w:rsidRPr="00873D15">
        <w:rPr>
          <w:rFonts w:ascii="Times New Roman" w:eastAsiaTheme="minorEastAsia" w:hAnsi="Times New Roman" w:cs="Times New Roman"/>
          <w:kern w:val="2"/>
          <w:sz w:val="24"/>
          <w:szCs w:val="24"/>
          <w:lang w:val="fr-CI" w:eastAsia="zh-CN"/>
          <w14:ligatures w14:val="standardContextual"/>
        </w:rPr>
        <w:t>2.2.3 Characterisation of the phytochemical compounds in the seed coats of five rubber tree clones</w:t>
      </w:r>
      <w:r w:rsidRPr="00873D15">
        <w:rPr>
          <w:rFonts w:ascii="Times New Roman" w:eastAsiaTheme="minorEastAsia" w:hAnsi="Times New Roman" w:cs="Times New Roman"/>
          <w:kern w:val="2"/>
          <w:sz w:val="24"/>
          <w:szCs w:val="24"/>
          <w:lang w:val="fr-CI" w:eastAsia="zh-CN"/>
          <w14:ligatures w14:val="standardContextual"/>
        </w:rPr>
        <w:t xml:space="preserve"> </w:t>
      </w:r>
      <w:r w:rsidR="00801973" w:rsidRPr="00873D15">
        <w:rPr>
          <w:rFonts w:ascii="Times New Roman" w:eastAsiaTheme="minorEastAsia" w:hAnsi="Times New Roman" w:cs="Times New Roman"/>
          <w:kern w:val="2"/>
          <w:sz w:val="24"/>
          <w:szCs w:val="24"/>
          <w:lang w:val="fr-CI" w:eastAsia="zh-CN"/>
          <w14:ligatures w14:val="standardContextual"/>
        </w:rPr>
        <w:t>The total polyphenols in the rubber seed coat samples were determined using the method described by Singleton and Rossi (1965), using Folin-Ciocalteu reagent. The optical density (OD) was measured at 760 nm using a spectrophotometer. The control contained distilled water instead of the sample. The difference between the OD values obtained with and without PVPP was used to determine the actual OD corresponding to the total polyphenols in the samples. A calibration curve, obtained from different concentrations of a standard phenolic compound, gallic acid (or 3,4,5-</w:t>
      </w:r>
      <w:r w:rsidR="00801973" w:rsidRPr="00873D15">
        <w:rPr>
          <w:rFonts w:ascii="Times New Roman" w:eastAsiaTheme="minorEastAsia" w:hAnsi="Times New Roman" w:cs="Times New Roman"/>
          <w:kern w:val="2"/>
          <w:sz w:val="24"/>
          <w:szCs w:val="24"/>
          <w:lang w:val="fr-CI" w:eastAsia="zh-CN"/>
          <w14:ligatures w14:val="standardContextual"/>
        </w:rPr>
        <w:lastRenderedPageBreak/>
        <w:t>trihydroxybenzoic acid), at an initial concentration of 0.5 mg/mL, was used to determine the total polyphenol content of the rubber seed shells studied.</w:t>
      </w:r>
      <w:r w:rsidRPr="00873D15">
        <w:rPr>
          <w:rFonts w:ascii="Times New Roman" w:eastAsiaTheme="minorEastAsia" w:hAnsi="Times New Roman" w:cs="Times New Roman"/>
          <w:kern w:val="2"/>
          <w:sz w:val="24"/>
          <w:szCs w:val="24"/>
          <w:lang w:val="fr-CI" w:eastAsia="zh-CN"/>
          <w14:ligatures w14:val="standardContextual"/>
        </w:rPr>
        <w:t xml:space="preserve"> </w:t>
      </w:r>
      <w:r w:rsidR="00801973" w:rsidRPr="00873D15">
        <w:rPr>
          <w:rFonts w:ascii="Times New Roman" w:eastAsiaTheme="minorEastAsia" w:hAnsi="Times New Roman" w:cs="Times New Roman"/>
          <w:kern w:val="2"/>
          <w:sz w:val="24"/>
          <w:szCs w:val="24"/>
          <w:lang w:eastAsia="zh-CN"/>
          <w14:ligatures w14:val="standardContextual"/>
        </w:rPr>
        <w:t>Flavonoids were determined using the method described by Meda et al. (2005).</w:t>
      </w:r>
      <w:r w:rsidRPr="00873D15">
        <w:rPr>
          <w:rFonts w:ascii="Times New Roman" w:eastAsiaTheme="minorEastAsia" w:hAnsi="Times New Roman" w:cs="Times New Roman"/>
          <w:kern w:val="2"/>
          <w:sz w:val="24"/>
          <w:szCs w:val="24"/>
          <w:lang w:eastAsia="zh-CN"/>
          <w14:ligatures w14:val="standardContextual"/>
        </w:rPr>
        <w:t xml:space="preserve"> </w:t>
      </w:r>
      <w:r w:rsidR="00801973" w:rsidRPr="00873D15">
        <w:rPr>
          <w:rFonts w:ascii="Times New Roman" w:eastAsiaTheme="minorEastAsia" w:hAnsi="Times New Roman" w:cs="Times New Roman"/>
          <w:kern w:val="2"/>
          <w:sz w:val="24"/>
          <w:szCs w:val="24"/>
          <w:lang w:eastAsia="zh-CN"/>
          <w14:ligatures w14:val="standardContextual"/>
        </w:rPr>
        <w:t xml:space="preserve">A </w:t>
      </w:r>
      <w:proofErr w:type="gramStart"/>
      <w:r w:rsidR="00801973" w:rsidRPr="00873D15">
        <w:rPr>
          <w:rFonts w:ascii="Times New Roman" w:eastAsiaTheme="minorEastAsia" w:hAnsi="Times New Roman" w:cs="Times New Roman"/>
          <w:kern w:val="2"/>
          <w:sz w:val="24"/>
          <w:szCs w:val="24"/>
          <w:lang w:eastAsia="zh-CN"/>
          <w14:ligatures w14:val="standardContextual"/>
        </w:rPr>
        <w:t>1:</w:t>
      </w:r>
      <w:proofErr w:type="gramEnd"/>
      <w:r w:rsidR="00801973" w:rsidRPr="00873D15">
        <w:rPr>
          <w:rFonts w:ascii="Times New Roman" w:eastAsiaTheme="minorEastAsia" w:hAnsi="Times New Roman" w:cs="Times New Roman"/>
          <w:kern w:val="2"/>
          <w:sz w:val="24"/>
          <w:szCs w:val="24"/>
          <w:lang w:eastAsia="zh-CN"/>
          <w14:ligatures w14:val="standardContextual"/>
        </w:rPr>
        <w:t>10 diluted extract solution was prepared from 10 g of ground rubber seed shells dissolved in 90 mL of distilled water. Subsequently, 0.5 mL of this solution was added successively to a test tube, followed by 0.5 mL of distilled water, 0.5 mL of 10% (m/v) aluminium chloride, 0.5 mL of 1 M potassium acetate, and then 2 mL of distilled water. The tube was left to stand for 30 minutes in the dark, then the optical density</w:t>
      </w:r>
      <w:r w:rsidR="00401D7A" w:rsidRPr="00873D15">
        <w:rPr>
          <w:rFonts w:ascii="Times New Roman" w:eastAsiaTheme="minorEastAsia" w:hAnsi="Times New Roman" w:cs="Times New Roman"/>
          <w:kern w:val="2"/>
          <w:sz w:val="24"/>
          <w:szCs w:val="24"/>
          <w:lang w:eastAsia="zh-CN"/>
          <w14:ligatures w14:val="standardContextual"/>
        </w:rPr>
        <w:t xml:space="preserve"> </w:t>
      </w:r>
      <w:r w:rsidR="00801973" w:rsidRPr="00873D15">
        <w:rPr>
          <w:rFonts w:ascii="Times New Roman" w:eastAsiaTheme="minorEastAsia" w:hAnsi="Times New Roman" w:cs="Times New Roman"/>
          <w:kern w:val="2"/>
          <w:sz w:val="24"/>
          <w:szCs w:val="24"/>
          <w:lang w:eastAsia="zh-CN"/>
          <w14:ligatures w14:val="standardContextual"/>
        </w:rPr>
        <w:t>was read at 415 nm against a blank.</w:t>
      </w:r>
      <w:r w:rsidR="00401D7A" w:rsidRPr="00873D15">
        <w:rPr>
          <w:rFonts w:ascii="Times New Roman" w:eastAsiaTheme="minorEastAsia" w:hAnsi="Times New Roman" w:cs="Times New Roman"/>
          <w:kern w:val="2"/>
          <w:sz w:val="24"/>
          <w:szCs w:val="24"/>
          <w:lang w:eastAsia="zh-CN"/>
          <w14:ligatures w14:val="standardContextual"/>
        </w:rPr>
        <w:t xml:space="preserve"> </w:t>
      </w:r>
      <w:r w:rsidR="00801973" w:rsidRPr="00873D15">
        <w:rPr>
          <w:rFonts w:ascii="Times New Roman" w:eastAsiaTheme="minorEastAsia" w:hAnsi="Times New Roman" w:cs="Times New Roman"/>
          <w:kern w:val="2"/>
          <w:sz w:val="24"/>
          <w:szCs w:val="24"/>
          <w:lang w:eastAsia="zh-CN"/>
          <w14:ligatures w14:val="standardContextual"/>
        </w:rPr>
        <w:t>A standard curve was established from a quercitrin stock solution (0.1 mg/mL), treated under the same conditions as the sample, in order to determine the flavonoid content of the samples analysed.</w:t>
      </w:r>
      <w:r w:rsidR="00401D7A" w:rsidRPr="00873D15">
        <w:rPr>
          <w:rFonts w:ascii="Times New Roman" w:eastAsiaTheme="minorEastAsia" w:hAnsi="Times New Roman" w:cs="Times New Roman"/>
          <w:kern w:val="2"/>
          <w:sz w:val="24"/>
          <w:szCs w:val="24"/>
          <w:lang w:val="fr-CI" w:eastAsia="zh-CN"/>
          <w14:ligatures w14:val="standardContextual"/>
        </w:rPr>
        <w:t xml:space="preserve"> </w:t>
      </w:r>
      <w:r w:rsidR="00801973" w:rsidRPr="00873D15">
        <w:rPr>
          <w:rFonts w:ascii="Times New Roman" w:eastAsiaTheme="minorEastAsia" w:hAnsi="Times New Roman" w:cs="Times New Roman"/>
          <w:kern w:val="2"/>
          <w:sz w:val="24"/>
          <w:szCs w:val="24"/>
          <w:lang w:val="fr-CI" w:eastAsia="zh-CN"/>
          <w14:ligatures w14:val="standardContextual"/>
        </w:rPr>
        <w:t>The tannin content was determined using the method described by Broadhurst and Jones (1978). The tannin content was determined by introducing 1 mL of methanolic extract into a test tube. After adding 5 mL of vanillin reagent</w:t>
      </w:r>
      <w:r w:rsidR="00401D7A" w:rsidRPr="00873D15">
        <w:rPr>
          <w:rFonts w:ascii="Times New Roman" w:eastAsiaTheme="minorEastAsia" w:hAnsi="Times New Roman" w:cs="Times New Roman"/>
          <w:kern w:val="2"/>
          <w:sz w:val="24"/>
          <w:szCs w:val="24"/>
          <w:lang w:val="fr-CI" w:eastAsia="zh-CN"/>
          <w14:ligatures w14:val="standardContextual"/>
        </w:rPr>
        <w:t xml:space="preserve"> </w:t>
      </w:r>
      <w:r w:rsidR="00801973" w:rsidRPr="00873D15">
        <w:rPr>
          <w:rFonts w:ascii="Times New Roman" w:eastAsiaTheme="minorEastAsia" w:hAnsi="Times New Roman" w:cs="Times New Roman"/>
          <w:kern w:val="2"/>
          <w:sz w:val="24"/>
          <w:szCs w:val="24"/>
          <w:lang w:val="fr-CI" w:eastAsia="zh-CN"/>
          <w14:ligatures w14:val="standardContextual"/>
        </w:rPr>
        <w:t xml:space="preserve">(0.1% vanillin in 70% sulphuric acid), the tube was left to stand for 30 minutes in the dark and the optical density (OD) was read at 500 nm against a blank. </w:t>
      </w:r>
    </w:p>
    <w:p w14:paraId="49A33C0D" w14:textId="77777777" w:rsidR="00801973" w:rsidRPr="00873D15" w:rsidRDefault="00801973" w:rsidP="00873D15">
      <w:pPr>
        <w:spacing w:line="360" w:lineRule="auto"/>
        <w:jc w:val="both"/>
        <w:rPr>
          <w:rFonts w:ascii="Times New Roman" w:eastAsiaTheme="minorEastAsia" w:hAnsi="Times New Roman" w:cs="Times New Roman"/>
          <w:b/>
          <w:bCs/>
          <w:strike/>
          <w:kern w:val="2"/>
          <w:sz w:val="24"/>
          <w:szCs w:val="24"/>
          <w:lang w:val="fr-CI" w:eastAsia="zh-CN"/>
          <w14:ligatures w14:val="standardContextual"/>
        </w:rPr>
      </w:pPr>
      <w:r w:rsidRPr="00873D15">
        <w:rPr>
          <w:rFonts w:ascii="Times New Roman" w:eastAsiaTheme="minorEastAsia" w:hAnsi="Times New Roman" w:cs="Times New Roman"/>
          <w:b/>
          <w:bCs/>
          <w:kern w:val="2"/>
          <w:sz w:val="24"/>
          <w:szCs w:val="24"/>
          <w:lang w:val="fr-CI" w:eastAsia="zh-CN"/>
          <w14:ligatures w14:val="standardContextual"/>
        </w:rPr>
        <w:t>2.2.4 Characterisation of antinutritional compounds in the seed coats of five rubber tree clones</w:t>
      </w:r>
    </w:p>
    <w:p w14:paraId="59E1851B" w14:textId="36B2EF30" w:rsidR="00401D7A" w:rsidRPr="00873D15" w:rsidRDefault="00401D7A" w:rsidP="00873D15">
      <w:pPr>
        <w:spacing w:line="360" w:lineRule="auto"/>
        <w:jc w:val="both"/>
        <w:rPr>
          <w:rFonts w:ascii="Times New Roman" w:eastAsiaTheme="minorEastAsia" w:hAnsi="Times New Roman" w:cs="Times New Roman"/>
          <w:kern w:val="2"/>
          <w:sz w:val="24"/>
          <w:szCs w:val="24"/>
          <w:lang w:eastAsia="zh-CN"/>
          <w14:ligatures w14:val="standardContextual"/>
        </w:rPr>
      </w:pPr>
      <w:r w:rsidRPr="00873D15">
        <w:rPr>
          <w:rFonts w:ascii="Times New Roman" w:eastAsiaTheme="minorEastAsia" w:hAnsi="Times New Roman" w:cs="Times New Roman"/>
          <w:kern w:val="2"/>
          <w:sz w:val="24"/>
          <w:szCs w:val="24"/>
          <w:lang w:eastAsia="zh-CN"/>
          <w14:ligatures w14:val="standardContextual"/>
        </w:rPr>
        <w:t>Total polyphenols were quantified using the Folin–Ciocalteu reagent following Singleton and Rossi (1965). Results were expressed as mg gallic acid equivalents per 100 g dry weight (mg EAG/100 g). Flavonoids were measured according to Meda et al. (2005) using quercitrin as standard, and expressed as mg quercitrin equivalents per 100 g dry weight (mg EQ/100 g).</w:t>
      </w:r>
      <w:r w:rsidRPr="00873D15">
        <w:rPr>
          <w:rFonts w:ascii="Times New Roman" w:eastAsiaTheme="minorEastAsia" w:hAnsi="Times New Roman" w:cs="Times New Roman"/>
          <w:kern w:val="2"/>
          <w:sz w:val="24"/>
          <w:szCs w:val="24"/>
          <w:lang w:eastAsia="zh-CN"/>
          <w14:ligatures w14:val="standardContextual"/>
        </w:rPr>
        <w:br/>
        <w:t>Condensed tannins were quantified by the vanillin–H₂SO₄ method (Broadhurst &amp; Jones, 1978) and expressed as mg catechin equivalents per 100 g dry weight (mg EAT/100 g).</w:t>
      </w:r>
      <w:r w:rsidRPr="00873D15">
        <w:rPr>
          <w:rFonts w:ascii="Times New Roman" w:hAnsi="Times New Roman" w:cs="Times New Roman"/>
          <w:sz w:val="24"/>
          <w:szCs w:val="24"/>
        </w:rPr>
        <w:t xml:space="preserve"> </w:t>
      </w:r>
      <w:r w:rsidRPr="00873D15">
        <w:rPr>
          <w:rFonts w:ascii="Times New Roman" w:eastAsiaTheme="minorEastAsia" w:hAnsi="Times New Roman" w:cs="Times New Roman"/>
          <w:kern w:val="2"/>
          <w:sz w:val="24"/>
          <w:szCs w:val="24"/>
          <w:lang w:eastAsia="zh-CN"/>
          <w14:ligatures w14:val="standardContextual"/>
        </w:rPr>
        <w:t>Oxalates were determined by the titrimetric method of Day and Underwood (1986) using 3 M H₂SO₄ and standard KMnO₄. Phytates were analysed according to Latta and Eskin (1980) using Wade’s reagent (FeCl₃ + sulphosalicylic acid) and expressed in mg/100 g dry matter. Hydrocyanic acid (HCN) content was quantified following the AOAC (1990) distillation-titration method, using AgNO₃ as titrant, and expressed in mg/100 g.</w:t>
      </w:r>
    </w:p>
    <w:p w14:paraId="49F83487" w14:textId="77777777" w:rsidR="00401D7A" w:rsidRPr="00873D15" w:rsidRDefault="00401D7A" w:rsidP="00873D15">
      <w:pPr>
        <w:spacing w:line="360" w:lineRule="auto"/>
        <w:jc w:val="both"/>
        <w:rPr>
          <w:rFonts w:ascii="Times New Roman" w:eastAsiaTheme="minorEastAsia" w:hAnsi="Times New Roman" w:cs="Times New Roman"/>
          <w:kern w:val="2"/>
          <w:sz w:val="24"/>
          <w:szCs w:val="24"/>
          <w:lang w:eastAsia="zh-CN"/>
          <w14:ligatures w14:val="standardContextual"/>
        </w:rPr>
      </w:pPr>
    </w:p>
    <w:p w14:paraId="00587646" w14:textId="1FA2F75C" w:rsidR="00801973" w:rsidRPr="00873D15" w:rsidRDefault="00801973" w:rsidP="00873D15">
      <w:pPr>
        <w:spacing w:line="360" w:lineRule="auto"/>
        <w:jc w:val="both"/>
        <w:rPr>
          <w:rFonts w:ascii="Times New Roman" w:hAnsi="Times New Roman" w:cs="Times New Roman"/>
          <w:b/>
          <w:bCs/>
          <w:sz w:val="24"/>
          <w:szCs w:val="24"/>
        </w:rPr>
      </w:pPr>
      <w:r w:rsidRPr="00873D15">
        <w:rPr>
          <w:rFonts w:ascii="Times New Roman" w:hAnsi="Times New Roman" w:cs="Times New Roman"/>
          <w:b/>
          <w:bCs/>
          <w:sz w:val="24"/>
          <w:szCs w:val="24"/>
        </w:rPr>
        <w:t>2.2.5 Statistical analysis</w:t>
      </w:r>
    </w:p>
    <w:p w14:paraId="5CBE0A09" w14:textId="77777777" w:rsidR="00801973" w:rsidRPr="00873D15" w:rsidRDefault="00801973" w:rsidP="00873D15">
      <w:pPr>
        <w:spacing w:line="360" w:lineRule="auto"/>
        <w:jc w:val="both"/>
        <w:rPr>
          <w:rFonts w:ascii="Times New Roman" w:hAnsi="Times New Roman" w:cs="Times New Roman"/>
          <w:sz w:val="24"/>
          <w:szCs w:val="24"/>
        </w:rPr>
      </w:pPr>
      <w:r w:rsidRPr="00873D15">
        <w:rPr>
          <w:rFonts w:ascii="Times New Roman" w:hAnsi="Times New Roman" w:cs="Times New Roman"/>
          <w:sz w:val="24"/>
          <w:szCs w:val="24"/>
        </w:rPr>
        <w:t xml:space="preserve">The data were subjected to analysis of variance (one-factor ANOVA) to determine the effect of the clone on the various physicochemical, phytochemical and antinutritional parameters of </w:t>
      </w:r>
      <w:r w:rsidRPr="00873D15">
        <w:rPr>
          <w:rFonts w:ascii="Times New Roman" w:hAnsi="Times New Roman" w:cs="Times New Roman"/>
          <w:sz w:val="24"/>
          <w:szCs w:val="24"/>
        </w:rPr>
        <w:lastRenderedPageBreak/>
        <w:t>rubber seed shells. Significant differences between means were evaluated at the 5% level using Duncan's test.</w:t>
      </w:r>
    </w:p>
    <w:p w14:paraId="0193D45D" w14:textId="77777777" w:rsidR="00801973" w:rsidRPr="00873D15" w:rsidRDefault="00801973" w:rsidP="00873D15">
      <w:pPr>
        <w:spacing w:line="360" w:lineRule="auto"/>
        <w:jc w:val="both"/>
        <w:rPr>
          <w:rFonts w:ascii="Times New Roman" w:hAnsi="Times New Roman" w:cs="Times New Roman"/>
          <w:sz w:val="24"/>
          <w:szCs w:val="24"/>
        </w:rPr>
      </w:pPr>
      <w:r w:rsidRPr="00873D15">
        <w:rPr>
          <w:rFonts w:ascii="Times New Roman" w:hAnsi="Times New Roman" w:cs="Times New Roman"/>
          <w:sz w:val="24"/>
          <w:szCs w:val="24"/>
        </w:rPr>
        <w:t>Principal component analysis (PCA) was performed to visualise the relationships between variables and identify clusters of clones according to their biochemical profiles. Correlations between variables were also examined to characterise positive and negative associations between the parameters studied.</w:t>
      </w:r>
    </w:p>
    <w:p w14:paraId="7688501F" w14:textId="05C588CB" w:rsidR="00801973" w:rsidRPr="00873D15" w:rsidRDefault="00801973" w:rsidP="00873D15">
      <w:pPr>
        <w:spacing w:line="360" w:lineRule="auto"/>
        <w:jc w:val="both"/>
        <w:rPr>
          <w:rFonts w:ascii="Times New Roman" w:hAnsi="Times New Roman" w:cs="Times New Roman"/>
          <w:sz w:val="24"/>
          <w:szCs w:val="24"/>
        </w:rPr>
      </w:pPr>
      <w:r w:rsidRPr="00873D15">
        <w:rPr>
          <w:rFonts w:ascii="Times New Roman" w:hAnsi="Times New Roman" w:cs="Times New Roman"/>
          <w:sz w:val="24"/>
          <w:szCs w:val="24"/>
        </w:rPr>
        <w:t>All statistical analyses were performed using XLSTAT 2022 (Addinsoft, France) and R version 4.3.1 (R Core Team, 2023) software, using the FactoMineR and ggplot2 packages for graphical representation (PCA, correlation circle, dendrogram).</w:t>
      </w:r>
    </w:p>
    <w:p w14:paraId="667699A0" w14:textId="77777777" w:rsidR="00801973" w:rsidRPr="00873D15" w:rsidRDefault="00801973" w:rsidP="00873D15">
      <w:pPr>
        <w:spacing w:line="360" w:lineRule="auto"/>
        <w:jc w:val="both"/>
        <w:rPr>
          <w:rFonts w:ascii="Times New Roman" w:hAnsi="Times New Roman" w:cs="Times New Roman"/>
          <w:b/>
          <w:bCs/>
          <w:sz w:val="24"/>
          <w:szCs w:val="24"/>
        </w:rPr>
      </w:pPr>
      <w:r w:rsidRPr="00873D15">
        <w:rPr>
          <w:rFonts w:ascii="Times New Roman" w:hAnsi="Times New Roman" w:cs="Times New Roman"/>
          <w:b/>
          <w:bCs/>
          <w:sz w:val="24"/>
          <w:szCs w:val="24"/>
        </w:rPr>
        <w:t>3. RESULTS</w:t>
      </w:r>
    </w:p>
    <w:p w14:paraId="6EF087FB" w14:textId="77777777" w:rsidR="00801973" w:rsidRPr="00873D15" w:rsidRDefault="00801973" w:rsidP="00873D15">
      <w:pPr>
        <w:spacing w:line="360" w:lineRule="auto"/>
        <w:jc w:val="both"/>
        <w:rPr>
          <w:rFonts w:ascii="Times New Roman" w:hAnsi="Times New Roman" w:cs="Times New Roman"/>
          <w:b/>
          <w:bCs/>
          <w:sz w:val="24"/>
          <w:szCs w:val="24"/>
        </w:rPr>
      </w:pPr>
      <w:r w:rsidRPr="00873D15">
        <w:rPr>
          <w:rFonts w:ascii="Times New Roman" w:hAnsi="Times New Roman" w:cs="Times New Roman"/>
          <w:b/>
          <w:bCs/>
          <w:sz w:val="24"/>
          <w:szCs w:val="24"/>
        </w:rPr>
        <w:t>3.1 Physicochemical characteristics</w:t>
      </w:r>
    </w:p>
    <w:p w14:paraId="6751AC1D" w14:textId="2946692D" w:rsidR="00801973" w:rsidRPr="00873D15" w:rsidRDefault="00801973" w:rsidP="00873D15">
      <w:pPr>
        <w:spacing w:after="0" w:line="360" w:lineRule="auto"/>
        <w:jc w:val="both"/>
        <w:rPr>
          <w:rFonts w:ascii="Times New Roman" w:hAnsi="Times New Roman" w:cs="Times New Roman"/>
          <w:sz w:val="24"/>
          <w:szCs w:val="24"/>
        </w:rPr>
      </w:pPr>
      <w:r w:rsidRPr="00873D15">
        <w:rPr>
          <w:rFonts w:ascii="Times New Roman" w:hAnsi="Times New Roman" w:cs="Times New Roman"/>
          <w:sz w:val="24"/>
          <w:szCs w:val="24"/>
        </w:rPr>
        <w:t>Analysis of variance (ANOVA) revealed highly significant differences (p &lt; 0.05) between clones for most of the physicochemical parameters studied (Table 1).</w:t>
      </w:r>
      <w:r w:rsidR="00017C5B" w:rsidRPr="00873D15">
        <w:rPr>
          <w:rFonts w:ascii="Times New Roman" w:hAnsi="Times New Roman" w:cs="Times New Roman"/>
          <w:sz w:val="24"/>
          <w:szCs w:val="24"/>
        </w:rPr>
        <w:t xml:space="preserve"> </w:t>
      </w:r>
      <w:r w:rsidRPr="00873D15">
        <w:rPr>
          <w:rFonts w:ascii="Times New Roman" w:hAnsi="Times New Roman" w:cs="Times New Roman"/>
          <w:sz w:val="24"/>
          <w:szCs w:val="24"/>
        </w:rPr>
        <w:t>Moisture content ranged from 10.27 ± 0.12% (IRCA230) to 12.40 ± 0.17% (PB217), with a significant difference between these two clones.</w:t>
      </w:r>
      <w:r w:rsidR="00017C5B" w:rsidRPr="00873D15">
        <w:rPr>
          <w:rFonts w:ascii="Times New Roman" w:hAnsi="Times New Roman" w:cs="Times New Roman"/>
          <w:sz w:val="24"/>
          <w:szCs w:val="24"/>
        </w:rPr>
        <w:t xml:space="preserve"> </w:t>
      </w:r>
      <w:r w:rsidRPr="00873D15">
        <w:rPr>
          <w:rFonts w:ascii="Times New Roman" w:hAnsi="Times New Roman" w:cs="Times New Roman"/>
          <w:sz w:val="24"/>
          <w:szCs w:val="24"/>
        </w:rPr>
        <w:t>The pH differed significantly (p &lt; 0.05) between clones, ranging from 6.19 ± 0.01 (GT1) to 6.61 ± 0.01 (IRCA331).</w:t>
      </w:r>
      <w:r w:rsidR="00017C5B" w:rsidRPr="00873D15">
        <w:rPr>
          <w:rFonts w:ascii="Times New Roman" w:hAnsi="Times New Roman" w:cs="Times New Roman"/>
          <w:sz w:val="24"/>
          <w:szCs w:val="24"/>
        </w:rPr>
        <w:t xml:space="preserve"> </w:t>
      </w:r>
      <w:r w:rsidRPr="00873D15">
        <w:rPr>
          <w:rFonts w:ascii="Times New Roman" w:hAnsi="Times New Roman" w:cs="Times New Roman"/>
          <w:sz w:val="24"/>
          <w:szCs w:val="24"/>
        </w:rPr>
        <w:t>Titratable acidity also varied from 0.20 ± 0.03 (GT1) to 0.47 ± 0.03 (IRCA41).</w:t>
      </w:r>
    </w:p>
    <w:p w14:paraId="6D83E566" w14:textId="1E8F33FC" w:rsidR="00801973" w:rsidRPr="00873D15" w:rsidRDefault="00801973" w:rsidP="00873D15">
      <w:pPr>
        <w:spacing w:after="0" w:line="360" w:lineRule="auto"/>
        <w:jc w:val="both"/>
        <w:rPr>
          <w:rFonts w:ascii="Times New Roman" w:hAnsi="Times New Roman" w:cs="Times New Roman"/>
          <w:sz w:val="24"/>
          <w:szCs w:val="24"/>
        </w:rPr>
      </w:pPr>
      <w:r w:rsidRPr="00873D15">
        <w:rPr>
          <w:rFonts w:ascii="Times New Roman" w:hAnsi="Times New Roman" w:cs="Times New Roman"/>
          <w:sz w:val="24"/>
          <w:szCs w:val="24"/>
        </w:rPr>
        <w:t>Lipids show the greatest inter-clonal variability (p &lt; 0.001) with values ranging from 1.86 ± 0.08% (GT1) to 9.84 ± 0.12% (IRCA230).</w:t>
      </w:r>
      <w:r w:rsidR="00017C5B" w:rsidRPr="00873D15">
        <w:rPr>
          <w:rFonts w:ascii="Times New Roman" w:hAnsi="Times New Roman" w:cs="Times New Roman"/>
          <w:sz w:val="24"/>
          <w:szCs w:val="24"/>
        </w:rPr>
        <w:t xml:space="preserve"> </w:t>
      </w:r>
      <w:r w:rsidRPr="00873D15">
        <w:rPr>
          <w:rFonts w:ascii="Times New Roman" w:hAnsi="Times New Roman" w:cs="Times New Roman"/>
          <w:sz w:val="24"/>
          <w:szCs w:val="24"/>
        </w:rPr>
        <w:t>Fibre content differed significantly (p &lt; 0.05) between 69.49 ± 1.01% (PB217) and 82.84 ± 0.39% (IRCA331ᵃ).</w:t>
      </w:r>
      <w:r w:rsidR="00017C5B" w:rsidRPr="00873D15">
        <w:rPr>
          <w:rFonts w:ascii="Times New Roman" w:hAnsi="Times New Roman" w:cs="Times New Roman"/>
          <w:sz w:val="24"/>
          <w:szCs w:val="24"/>
        </w:rPr>
        <w:t xml:space="preserve"> </w:t>
      </w:r>
      <w:r w:rsidRPr="00873D15">
        <w:rPr>
          <w:rFonts w:ascii="Times New Roman" w:hAnsi="Times New Roman" w:cs="Times New Roman"/>
          <w:sz w:val="24"/>
          <w:szCs w:val="24"/>
        </w:rPr>
        <w:t>Ash varied from 0.64 ± 0.12% (GT1) to 1.13 ± 0.08% (IRCA230), with a significant difference (p &lt; 0.05).</w:t>
      </w:r>
      <w:r w:rsidR="00017C5B" w:rsidRPr="00873D15">
        <w:rPr>
          <w:rFonts w:ascii="Times New Roman" w:hAnsi="Times New Roman" w:cs="Times New Roman"/>
          <w:sz w:val="24"/>
          <w:szCs w:val="24"/>
        </w:rPr>
        <w:t xml:space="preserve"> </w:t>
      </w:r>
      <w:r w:rsidRPr="00873D15">
        <w:rPr>
          <w:rFonts w:ascii="Times New Roman" w:hAnsi="Times New Roman" w:cs="Times New Roman"/>
          <w:sz w:val="24"/>
          <w:szCs w:val="24"/>
        </w:rPr>
        <w:t>Total sugars show significant differences (p &lt; 0.05) between 8.33 ± 0.58 mg/100 g (IRCA41) and 23.00 ± 0.00 mg/100 g (IRCA331).</w:t>
      </w:r>
      <w:r w:rsidR="00017C5B" w:rsidRPr="00873D15">
        <w:rPr>
          <w:rFonts w:ascii="Times New Roman" w:hAnsi="Times New Roman" w:cs="Times New Roman"/>
          <w:sz w:val="24"/>
          <w:szCs w:val="24"/>
        </w:rPr>
        <w:t xml:space="preserve"> </w:t>
      </w:r>
      <w:r w:rsidRPr="00873D15">
        <w:rPr>
          <w:rFonts w:ascii="Times New Roman" w:hAnsi="Times New Roman" w:cs="Times New Roman"/>
          <w:sz w:val="24"/>
          <w:szCs w:val="24"/>
        </w:rPr>
        <w:t>Reducing sugars varied significantly from 1.00 ± 0.00 mg/100 g (GT1) to 3.33 ± 0.58 mg/100 g (IRCA230).</w:t>
      </w:r>
      <w:r w:rsidR="00017C5B" w:rsidRPr="00873D15">
        <w:rPr>
          <w:rFonts w:ascii="Times New Roman" w:hAnsi="Times New Roman" w:cs="Times New Roman"/>
          <w:sz w:val="24"/>
          <w:szCs w:val="24"/>
        </w:rPr>
        <w:t xml:space="preserve"> </w:t>
      </w:r>
      <w:r w:rsidRPr="00873D15">
        <w:rPr>
          <w:rFonts w:ascii="Times New Roman" w:hAnsi="Times New Roman" w:cs="Times New Roman"/>
          <w:sz w:val="24"/>
          <w:szCs w:val="24"/>
        </w:rPr>
        <w:t>Proteins show significant differences between clones (p &lt; 0.05), ranging from 2.92 ± 0.10% (GT1) to 3.62 ± 0.10% (IRCA41).</w:t>
      </w:r>
    </w:p>
    <w:p w14:paraId="76CA1ADE" w14:textId="77777777" w:rsidR="00017C5B" w:rsidRPr="00873D15" w:rsidRDefault="00017C5B" w:rsidP="00873D15">
      <w:pPr>
        <w:spacing w:after="0" w:line="360" w:lineRule="auto"/>
        <w:jc w:val="both"/>
        <w:rPr>
          <w:rFonts w:ascii="Times New Roman" w:hAnsi="Times New Roman" w:cs="Times New Roman"/>
          <w:sz w:val="24"/>
          <w:szCs w:val="24"/>
        </w:rPr>
      </w:pPr>
    </w:p>
    <w:p w14:paraId="7804596F" w14:textId="77777777" w:rsidR="00801973" w:rsidRPr="00873D15" w:rsidRDefault="00801973" w:rsidP="00873D15">
      <w:pPr>
        <w:spacing w:line="360" w:lineRule="auto"/>
        <w:jc w:val="both"/>
        <w:rPr>
          <w:rFonts w:ascii="Times New Roman" w:hAnsi="Times New Roman" w:cs="Times New Roman"/>
          <w:b/>
          <w:bCs/>
          <w:sz w:val="24"/>
          <w:szCs w:val="24"/>
        </w:rPr>
      </w:pPr>
      <w:r w:rsidRPr="00873D15">
        <w:rPr>
          <w:rFonts w:ascii="Times New Roman" w:hAnsi="Times New Roman" w:cs="Times New Roman"/>
          <w:b/>
          <w:bCs/>
          <w:sz w:val="24"/>
          <w:szCs w:val="24"/>
        </w:rPr>
        <w:t xml:space="preserve">Table </w:t>
      </w:r>
      <w:proofErr w:type="gramStart"/>
      <w:r w:rsidRPr="00873D15">
        <w:rPr>
          <w:rFonts w:ascii="Times New Roman" w:hAnsi="Times New Roman" w:cs="Times New Roman"/>
          <w:b/>
          <w:bCs/>
          <w:sz w:val="24"/>
          <w:szCs w:val="24"/>
        </w:rPr>
        <w:t>1:</w:t>
      </w:r>
      <w:proofErr w:type="gramEnd"/>
      <w:r w:rsidRPr="00873D15">
        <w:rPr>
          <w:rFonts w:ascii="Times New Roman" w:hAnsi="Times New Roman" w:cs="Times New Roman"/>
          <w:b/>
          <w:bCs/>
          <w:sz w:val="24"/>
          <w:szCs w:val="24"/>
        </w:rPr>
        <w:t xml:space="preserve"> Physico-chemical composition of Hevea seed shells from five clones</w:t>
      </w:r>
    </w:p>
    <w:tbl>
      <w:tblPr>
        <w:tblW w:w="0" w:type="auto"/>
        <w:tblBorders>
          <w:top w:val="single" w:sz="4" w:space="0" w:color="auto"/>
          <w:bottom w:val="single" w:sz="4" w:space="0" w:color="auto"/>
        </w:tblBorders>
        <w:tblLook w:val="04A0" w:firstRow="1" w:lastRow="0" w:firstColumn="1" w:lastColumn="0" w:noHBand="0" w:noVBand="1"/>
      </w:tblPr>
      <w:tblGrid>
        <w:gridCol w:w="1519"/>
        <w:gridCol w:w="1501"/>
        <w:gridCol w:w="1501"/>
        <w:gridCol w:w="1509"/>
        <w:gridCol w:w="1516"/>
        <w:gridCol w:w="1516"/>
      </w:tblGrid>
      <w:tr w:rsidR="00801973" w:rsidRPr="00873D15" w14:paraId="1DB1B990" w14:textId="77777777" w:rsidTr="00801973">
        <w:tc>
          <w:tcPr>
            <w:tcW w:w="1519" w:type="dxa"/>
            <w:tcBorders>
              <w:top w:val="single" w:sz="4" w:space="0" w:color="auto"/>
              <w:left w:val="nil"/>
              <w:bottom w:val="single" w:sz="4" w:space="0" w:color="auto"/>
              <w:right w:val="nil"/>
            </w:tcBorders>
          </w:tcPr>
          <w:p w14:paraId="59E8005E"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p>
        </w:tc>
        <w:tc>
          <w:tcPr>
            <w:tcW w:w="1501" w:type="dxa"/>
            <w:tcBorders>
              <w:top w:val="single" w:sz="4" w:space="0" w:color="auto"/>
              <w:left w:val="nil"/>
              <w:bottom w:val="single" w:sz="4" w:space="0" w:color="auto"/>
              <w:right w:val="nil"/>
            </w:tcBorders>
            <w:hideMark/>
          </w:tcPr>
          <w:p w14:paraId="3462F888"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GT1</w:t>
            </w:r>
          </w:p>
        </w:tc>
        <w:tc>
          <w:tcPr>
            <w:tcW w:w="1501" w:type="dxa"/>
            <w:tcBorders>
              <w:top w:val="single" w:sz="4" w:space="0" w:color="auto"/>
              <w:left w:val="nil"/>
              <w:bottom w:val="single" w:sz="4" w:space="0" w:color="auto"/>
              <w:right w:val="nil"/>
            </w:tcBorders>
            <w:hideMark/>
          </w:tcPr>
          <w:p w14:paraId="53E53FD7"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PB217</w:t>
            </w:r>
          </w:p>
        </w:tc>
        <w:tc>
          <w:tcPr>
            <w:tcW w:w="1509" w:type="dxa"/>
            <w:tcBorders>
              <w:top w:val="single" w:sz="4" w:space="0" w:color="auto"/>
              <w:left w:val="nil"/>
              <w:bottom w:val="single" w:sz="4" w:space="0" w:color="auto"/>
              <w:right w:val="nil"/>
            </w:tcBorders>
            <w:hideMark/>
          </w:tcPr>
          <w:p w14:paraId="1CCEEB0E"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IRCA41</w:t>
            </w:r>
          </w:p>
        </w:tc>
        <w:tc>
          <w:tcPr>
            <w:tcW w:w="1516" w:type="dxa"/>
            <w:tcBorders>
              <w:top w:val="single" w:sz="4" w:space="0" w:color="auto"/>
              <w:left w:val="nil"/>
              <w:bottom w:val="single" w:sz="4" w:space="0" w:color="auto"/>
              <w:right w:val="nil"/>
            </w:tcBorders>
            <w:hideMark/>
          </w:tcPr>
          <w:p w14:paraId="491C4AA8"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IRCA230</w:t>
            </w:r>
          </w:p>
        </w:tc>
        <w:tc>
          <w:tcPr>
            <w:tcW w:w="1516" w:type="dxa"/>
            <w:tcBorders>
              <w:top w:val="single" w:sz="4" w:space="0" w:color="auto"/>
              <w:left w:val="nil"/>
              <w:bottom w:val="single" w:sz="4" w:space="0" w:color="auto"/>
              <w:right w:val="nil"/>
            </w:tcBorders>
            <w:hideMark/>
          </w:tcPr>
          <w:p w14:paraId="5D68EF50"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IRCA331</w:t>
            </w:r>
          </w:p>
        </w:tc>
      </w:tr>
      <w:tr w:rsidR="00801973" w:rsidRPr="00873D15" w14:paraId="573D9348" w14:textId="77777777" w:rsidTr="00801973">
        <w:tc>
          <w:tcPr>
            <w:tcW w:w="1519" w:type="dxa"/>
            <w:tcBorders>
              <w:top w:val="single" w:sz="4" w:space="0" w:color="auto"/>
              <w:left w:val="nil"/>
              <w:bottom w:val="nil"/>
              <w:right w:val="nil"/>
            </w:tcBorders>
            <w:hideMark/>
          </w:tcPr>
          <w:p w14:paraId="46289990"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Moisture content (%)</w:t>
            </w:r>
          </w:p>
        </w:tc>
        <w:tc>
          <w:tcPr>
            <w:tcW w:w="1501" w:type="dxa"/>
            <w:tcBorders>
              <w:top w:val="single" w:sz="4" w:space="0" w:color="auto"/>
              <w:left w:val="nil"/>
              <w:bottom w:val="nil"/>
              <w:right w:val="nil"/>
            </w:tcBorders>
            <w:hideMark/>
          </w:tcPr>
          <w:p w14:paraId="1E97F165"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11.41± 0.03b</w:t>
            </w:r>
          </w:p>
        </w:tc>
        <w:tc>
          <w:tcPr>
            <w:tcW w:w="1501" w:type="dxa"/>
            <w:tcBorders>
              <w:top w:val="single" w:sz="4" w:space="0" w:color="auto"/>
              <w:left w:val="nil"/>
              <w:bottom w:val="nil"/>
              <w:right w:val="nil"/>
            </w:tcBorders>
            <w:hideMark/>
          </w:tcPr>
          <w:p w14:paraId="46147F7D"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12.40± 0.17a</w:t>
            </w:r>
          </w:p>
        </w:tc>
        <w:tc>
          <w:tcPr>
            <w:tcW w:w="1509" w:type="dxa"/>
            <w:tcBorders>
              <w:top w:val="single" w:sz="4" w:space="0" w:color="auto"/>
              <w:left w:val="nil"/>
              <w:bottom w:val="nil"/>
              <w:right w:val="nil"/>
            </w:tcBorders>
            <w:hideMark/>
          </w:tcPr>
          <w:p w14:paraId="1B6BC969"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11.28± 0.03b</w:t>
            </w:r>
          </w:p>
        </w:tc>
        <w:tc>
          <w:tcPr>
            <w:tcW w:w="1516" w:type="dxa"/>
            <w:tcBorders>
              <w:top w:val="single" w:sz="4" w:space="0" w:color="auto"/>
              <w:left w:val="nil"/>
              <w:bottom w:val="nil"/>
              <w:right w:val="nil"/>
            </w:tcBorders>
            <w:hideMark/>
          </w:tcPr>
          <w:p w14:paraId="111A834F"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10.27± 0.12c</w:t>
            </w:r>
          </w:p>
        </w:tc>
        <w:tc>
          <w:tcPr>
            <w:tcW w:w="1516" w:type="dxa"/>
            <w:tcBorders>
              <w:top w:val="single" w:sz="4" w:space="0" w:color="auto"/>
              <w:left w:val="nil"/>
              <w:bottom w:val="nil"/>
              <w:right w:val="nil"/>
            </w:tcBorders>
            <w:hideMark/>
          </w:tcPr>
          <w:p w14:paraId="412C3016"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12.36± 0.10a</w:t>
            </w:r>
          </w:p>
        </w:tc>
      </w:tr>
      <w:tr w:rsidR="00801973" w:rsidRPr="00873D15" w14:paraId="194612DD" w14:textId="77777777" w:rsidTr="00801973">
        <w:tc>
          <w:tcPr>
            <w:tcW w:w="1519" w:type="dxa"/>
            <w:tcBorders>
              <w:top w:val="nil"/>
              <w:left w:val="nil"/>
              <w:bottom w:val="nil"/>
              <w:right w:val="nil"/>
            </w:tcBorders>
            <w:hideMark/>
          </w:tcPr>
          <w:p w14:paraId="70482272"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lastRenderedPageBreak/>
              <w:t>Ph</w:t>
            </w:r>
          </w:p>
        </w:tc>
        <w:tc>
          <w:tcPr>
            <w:tcW w:w="1501" w:type="dxa"/>
            <w:tcBorders>
              <w:top w:val="nil"/>
              <w:left w:val="nil"/>
              <w:bottom w:val="nil"/>
              <w:right w:val="nil"/>
            </w:tcBorders>
            <w:hideMark/>
          </w:tcPr>
          <w:p w14:paraId="1A5E61D5"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6.42± 0.01b</w:t>
            </w:r>
          </w:p>
        </w:tc>
        <w:tc>
          <w:tcPr>
            <w:tcW w:w="1501" w:type="dxa"/>
            <w:tcBorders>
              <w:top w:val="nil"/>
              <w:left w:val="nil"/>
              <w:bottom w:val="nil"/>
              <w:right w:val="nil"/>
            </w:tcBorders>
            <w:hideMark/>
          </w:tcPr>
          <w:p w14:paraId="31DBE9F1"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6.61± 0.01a</w:t>
            </w:r>
          </w:p>
        </w:tc>
        <w:tc>
          <w:tcPr>
            <w:tcW w:w="1509" w:type="dxa"/>
            <w:tcBorders>
              <w:top w:val="nil"/>
              <w:left w:val="nil"/>
              <w:bottom w:val="nil"/>
              <w:right w:val="nil"/>
            </w:tcBorders>
            <w:hideMark/>
          </w:tcPr>
          <w:p w14:paraId="5CAA99EA"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6.19± 0.01d</w:t>
            </w:r>
          </w:p>
        </w:tc>
        <w:tc>
          <w:tcPr>
            <w:tcW w:w="1516" w:type="dxa"/>
            <w:tcBorders>
              <w:top w:val="nil"/>
              <w:left w:val="nil"/>
              <w:bottom w:val="nil"/>
              <w:right w:val="nil"/>
            </w:tcBorders>
            <w:hideMark/>
          </w:tcPr>
          <w:p w14:paraId="17DF9E45"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6.23± 0.01c</w:t>
            </w:r>
          </w:p>
        </w:tc>
        <w:tc>
          <w:tcPr>
            <w:tcW w:w="1516" w:type="dxa"/>
            <w:tcBorders>
              <w:top w:val="nil"/>
              <w:left w:val="nil"/>
              <w:bottom w:val="nil"/>
              <w:right w:val="nil"/>
            </w:tcBorders>
            <w:hideMark/>
          </w:tcPr>
          <w:p w14:paraId="78C784FF"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6.60± 0.03a</w:t>
            </w:r>
          </w:p>
        </w:tc>
      </w:tr>
      <w:tr w:rsidR="00801973" w:rsidRPr="00873D15" w14:paraId="15E6A2CF" w14:textId="77777777" w:rsidTr="00801973">
        <w:tc>
          <w:tcPr>
            <w:tcW w:w="1519" w:type="dxa"/>
            <w:tcBorders>
              <w:top w:val="nil"/>
              <w:left w:val="nil"/>
              <w:bottom w:val="nil"/>
              <w:right w:val="nil"/>
            </w:tcBorders>
            <w:hideMark/>
          </w:tcPr>
          <w:p w14:paraId="304E753D"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 xml:space="preserve">Titratable acidity </w:t>
            </w:r>
          </w:p>
        </w:tc>
        <w:tc>
          <w:tcPr>
            <w:tcW w:w="1501" w:type="dxa"/>
            <w:tcBorders>
              <w:top w:val="nil"/>
              <w:left w:val="nil"/>
              <w:bottom w:val="nil"/>
              <w:right w:val="nil"/>
            </w:tcBorders>
            <w:hideMark/>
          </w:tcPr>
          <w:p w14:paraId="4CF46D8A"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0.20± 0.03c</w:t>
            </w:r>
          </w:p>
        </w:tc>
        <w:tc>
          <w:tcPr>
            <w:tcW w:w="1501" w:type="dxa"/>
            <w:tcBorders>
              <w:top w:val="nil"/>
              <w:left w:val="nil"/>
              <w:bottom w:val="nil"/>
              <w:right w:val="nil"/>
            </w:tcBorders>
            <w:hideMark/>
          </w:tcPr>
          <w:p w14:paraId="581B32CE"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0.38± 0.03b</w:t>
            </w:r>
          </w:p>
        </w:tc>
        <w:tc>
          <w:tcPr>
            <w:tcW w:w="1509" w:type="dxa"/>
            <w:tcBorders>
              <w:top w:val="nil"/>
              <w:left w:val="nil"/>
              <w:bottom w:val="nil"/>
              <w:right w:val="nil"/>
            </w:tcBorders>
            <w:hideMark/>
          </w:tcPr>
          <w:p w14:paraId="2678E35A"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0.47± 0.03a</w:t>
            </w:r>
          </w:p>
        </w:tc>
        <w:tc>
          <w:tcPr>
            <w:tcW w:w="1516" w:type="dxa"/>
            <w:tcBorders>
              <w:top w:val="nil"/>
              <w:left w:val="nil"/>
              <w:bottom w:val="nil"/>
              <w:right w:val="nil"/>
            </w:tcBorders>
            <w:hideMark/>
          </w:tcPr>
          <w:p w14:paraId="06B6B75C"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0.39± 0.03b</w:t>
            </w:r>
          </w:p>
        </w:tc>
        <w:tc>
          <w:tcPr>
            <w:tcW w:w="1516" w:type="dxa"/>
            <w:tcBorders>
              <w:top w:val="nil"/>
              <w:left w:val="nil"/>
              <w:bottom w:val="nil"/>
              <w:right w:val="nil"/>
            </w:tcBorders>
            <w:hideMark/>
          </w:tcPr>
          <w:p w14:paraId="2AA4F8B9"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0.23± 0.05c</w:t>
            </w:r>
          </w:p>
        </w:tc>
      </w:tr>
      <w:tr w:rsidR="00801973" w:rsidRPr="00873D15" w14:paraId="05E89BDA" w14:textId="77777777" w:rsidTr="00801973">
        <w:tc>
          <w:tcPr>
            <w:tcW w:w="1519" w:type="dxa"/>
            <w:tcBorders>
              <w:top w:val="nil"/>
              <w:left w:val="nil"/>
              <w:bottom w:val="nil"/>
              <w:right w:val="nil"/>
            </w:tcBorders>
            <w:hideMark/>
          </w:tcPr>
          <w:p w14:paraId="4C008B42"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Lipids (%)</w:t>
            </w:r>
          </w:p>
        </w:tc>
        <w:tc>
          <w:tcPr>
            <w:tcW w:w="1501" w:type="dxa"/>
            <w:tcBorders>
              <w:top w:val="nil"/>
              <w:left w:val="nil"/>
              <w:bottom w:val="nil"/>
              <w:right w:val="nil"/>
            </w:tcBorders>
            <w:hideMark/>
          </w:tcPr>
          <w:p w14:paraId="4BEB3553"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1.89± 0.04d</w:t>
            </w:r>
          </w:p>
        </w:tc>
        <w:tc>
          <w:tcPr>
            <w:tcW w:w="1501" w:type="dxa"/>
            <w:tcBorders>
              <w:top w:val="nil"/>
              <w:left w:val="nil"/>
              <w:bottom w:val="nil"/>
              <w:right w:val="nil"/>
            </w:tcBorders>
            <w:hideMark/>
          </w:tcPr>
          <w:p w14:paraId="19697C88"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3.38± 0.04c</w:t>
            </w:r>
          </w:p>
        </w:tc>
        <w:tc>
          <w:tcPr>
            <w:tcW w:w="1509" w:type="dxa"/>
            <w:tcBorders>
              <w:top w:val="nil"/>
              <w:left w:val="nil"/>
              <w:bottom w:val="nil"/>
              <w:right w:val="nil"/>
            </w:tcBorders>
            <w:hideMark/>
          </w:tcPr>
          <w:p w14:paraId="7EDB3CE7"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7.59± 0.08b</w:t>
            </w:r>
          </w:p>
        </w:tc>
        <w:tc>
          <w:tcPr>
            <w:tcW w:w="1516" w:type="dxa"/>
            <w:tcBorders>
              <w:top w:val="nil"/>
              <w:left w:val="nil"/>
              <w:bottom w:val="nil"/>
              <w:right w:val="nil"/>
            </w:tcBorders>
            <w:hideMark/>
          </w:tcPr>
          <w:p w14:paraId="3BBC5F68"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 xml:space="preserve">9.84± 0.12a </w:t>
            </w:r>
          </w:p>
        </w:tc>
        <w:tc>
          <w:tcPr>
            <w:tcW w:w="1516" w:type="dxa"/>
            <w:tcBorders>
              <w:top w:val="nil"/>
              <w:left w:val="nil"/>
              <w:bottom w:val="nil"/>
              <w:right w:val="nil"/>
            </w:tcBorders>
            <w:hideMark/>
          </w:tcPr>
          <w:p w14:paraId="44A4EB6D"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1.86± 0.08d</w:t>
            </w:r>
          </w:p>
        </w:tc>
      </w:tr>
      <w:tr w:rsidR="00801973" w:rsidRPr="00873D15" w14:paraId="3DEE55D4" w14:textId="77777777" w:rsidTr="00801973">
        <w:tc>
          <w:tcPr>
            <w:tcW w:w="1519" w:type="dxa"/>
            <w:tcBorders>
              <w:top w:val="nil"/>
              <w:left w:val="nil"/>
              <w:bottom w:val="nil"/>
              <w:right w:val="nil"/>
            </w:tcBorders>
            <w:hideMark/>
          </w:tcPr>
          <w:p w14:paraId="47AFB936"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Fibre (%)</w:t>
            </w:r>
          </w:p>
        </w:tc>
        <w:tc>
          <w:tcPr>
            <w:tcW w:w="1501" w:type="dxa"/>
            <w:tcBorders>
              <w:top w:val="nil"/>
              <w:left w:val="nil"/>
              <w:bottom w:val="nil"/>
              <w:right w:val="nil"/>
            </w:tcBorders>
            <w:hideMark/>
          </w:tcPr>
          <w:p w14:paraId="3B611D3E"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80.13± 0.07b</w:t>
            </w:r>
          </w:p>
        </w:tc>
        <w:tc>
          <w:tcPr>
            <w:tcW w:w="1501" w:type="dxa"/>
            <w:tcBorders>
              <w:top w:val="nil"/>
              <w:left w:val="nil"/>
              <w:bottom w:val="nil"/>
              <w:right w:val="nil"/>
            </w:tcBorders>
            <w:hideMark/>
          </w:tcPr>
          <w:p w14:paraId="17AB9816"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76.54± 0.31c</w:t>
            </w:r>
          </w:p>
        </w:tc>
        <w:tc>
          <w:tcPr>
            <w:tcW w:w="1509" w:type="dxa"/>
            <w:tcBorders>
              <w:top w:val="nil"/>
              <w:left w:val="nil"/>
              <w:bottom w:val="nil"/>
              <w:right w:val="nil"/>
            </w:tcBorders>
            <w:hideMark/>
          </w:tcPr>
          <w:p w14:paraId="2CF63F30"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77.21± 0.34c</w:t>
            </w:r>
          </w:p>
        </w:tc>
        <w:tc>
          <w:tcPr>
            <w:tcW w:w="1516" w:type="dxa"/>
            <w:tcBorders>
              <w:top w:val="nil"/>
              <w:left w:val="nil"/>
              <w:bottom w:val="nil"/>
              <w:right w:val="nil"/>
            </w:tcBorders>
            <w:hideMark/>
          </w:tcPr>
          <w:p w14:paraId="7DE2DAF1"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69.49± 1.01d</w:t>
            </w:r>
          </w:p>
        </w:tc>
        <w:tc>
          <w:tcPr>
            <w:tcW w:w="1516" w:type="dxa"/>
            <w:tcBorders>
              <w:top w:val="nil"/>
              <w:left w:val="nil"/>
              <w:bottom w:val="nil"/>
              <w:right w:val="nil"/>
            </w:tcBorders>
            <w:hideMark/>
          </w:tcPr>
          <w:p w14:paraId="02F64CD6"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82.84± 0.39a</w:t>
            </w:r>
          </w:p>
        </w:tc>
      </w:tr>
      <w:tr w:rsidR="00801973" w:rsidRPr="00873D15" w14:paraId="53D4DED6" w14:textId="77777777" w:rsidTr="00801973">
        <w:tc>
          <w:tcPr>
            <w:tcW w:w="1519" w:type="dxa"/>
            <w:tcBorders>
              <w:top w:val="nil"/>
              <w:left w:val="nil"/>
              <w:bottom w:val="nil"/>
              <w:right w:val="nil"/>
            </w:tcBorders>
            <w:hideMark/>
          </w:tcPr>
          <w:p w14:paraId="7B5F86AC"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Ash (%)</w:t>
            </w:r>
          </w:p>
        </w:tc>
        <w:tc>
          <w:tcPr>
            <w:tcW w:w="1501" w:type="dxa"/>
            <w:tcBorders>
              <w:top w:val="nil"/>
              <w:left w:val="nil"/>
              <w:bottom w:val="nil"/>
              <w:right w:val="nil"/>
            </w:tcBorders>
            <w:hideMark/>
          </w:tcPr>
          <w:p w14:paraId="1ABE7178"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0.64± 0.12b</w:t>
            </w:r>
          </w:p>
        </w:tc>
        <w:tc>
          <w:tcPr>
            <w:tcW w:w="1501" w:type="dxa"/>
            <w:tcBorders>
              <w:top w:val="nil"/>
              <w:left w:val="nil"/>
              <w:bottom w:val="nil"/>
              <w:right w:val="nil"/>
            </w:tcBorders>
            <w:hideMark/>
          </w:tcPr>
          <w:p w14:paraId="1713BB2C"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1.10± 0.12a</w:t>
            </w:r>
          </w:p>
        </w:tc>
        <w:tc>
          <w:tcPr>
            <w:tcW w:w="1509" w:type="dxa"/>
            <w:tcBorders>
              <w:top w:val="nil"/>
              <w:left w:val="nil"/>
              <w:bottom w:val="nil"/>
              <w:right w:val="nil"/>
            </w:tcBorders>
            <w:hideMark/>
          </w:tcPr>
          <w:p w14:paraId="6B0051C3"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0.81 ± 0.17b</w:t>
            </w:r>
          </w:p>
        </w:tc>
        <w:tc>
          <w:tcPr>
            <w:tcW w:w="1516" w:type="dxa"/>
            <w:tcBorders>
              <w:top w:val="nil"/>
              <w:left w:val="nil"/>
              <w:bottom w:val="nil"/>
              <w:right w:val="nil"/>
            </w:tcBorders>
            <w:hideMark/>
          </w:tcPr>
          <w:p w14:paraId="064D8A53"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1.13± 0.08a</w:t>
            </w:r>
          </w:p>
        </w:tc>
        <w:tc>
          <w:tcPr>
            <w:tcW w:w="1516" w:type="dxa"/>
            <w:tcBorders>
              <w:top w:val="nil"/>
              <w:left w:val="nil"/>
              <w:bottom w:val="nil"/>
              <w:right w:val="nil"/>
            </w:tcBorders>
            <w:hideMark/>
          </w:tcPr>
          <w:p w14:paraId="67C03597"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0.82± 0.07b</w:t>
            </w:r>
          </w:p>
        </w:tc>
      </w:tr>
      <w:tr w:rsidR="00801973" w:rsidRPr="00873D15" w14:paraId="3F074DF1" w14:textId="77777777" w:rsidTr="00801973">
        <w:tc>
          <w:tcPr>
            <w:tcW w:w="1519" w:type="dxa"/>
            <w:tcBorders>
              <w:top w:val="nil"/>
              <w:left w:val="nil"/>
              <w:bottom w:val="nil"/>
              <w:right w:val="nil"/>
            </w:tcBorders>
            <w:hideMark/>
          </w:tcPr>
          <w:p w14:paraId="287590AF"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Total sugars (mg/100g)</w:t>
            </w:r>
          </w:p>
        </w:tc>
        <w:tc>
          <w:tcPr>
            <w:tcW w:w="1501" w:type="dxa"/>
            <w:tcBorders>
              <w:top w:val="nil"/>
              <w:left w:val="nil"/>
              <w:bottom w:val="nil"/>
              <w:right w:val="nil"/>
            </w:tcBorders>
            <w:hideMark/>
          </w:tcPr>
          <w:p w14:paraId="413C545A"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16.00± 0.00c</w:t>
            </w:r>
          </w:p>
        </w:tc>
        <w:tc>
          <w:tcPr>
            <w:tcW w:w="1501" w:type="dxa"/>
            <w:tcBorders>
              <w:top w:val="nil"/>
              <w:left w:val="nil"/>
              <w:bottom w:val="nil"/>
              <w:right w:val="nil"/>
            </w:tcBorders>
            <w:hideMark/>
          </w:tcPr>
          <w:p w14:paraId="427CE52D"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23.00 ± 0.00a</w:t>
            </w:r>
          </w:p>
        </w:tc>
        <w:tc>
          <w:tcPr>
            <w:tcW w:w="1509" w:type="dxa"/>
            <w:tcBorders>
              <w:top w:val="nil"/>
              <w:left w:val="nil"/>
              <w:bottom w:val="nil"/>
              <w:right w:val="nil"/>
            </w:tcBorders>
            <w:hideMark/>
          </w:tcPr>
          <w:p w14:paraId="4C70B914"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8.33± 0.58d</w:t>
            </w:r>
          </w:p>
        </w:tc>
        <w:tc>
          <w:tcPr>
            <w:tcW w:w="1516" w:type="dxa"/>
            <w:tcBorders>
              <w:top w:val="nil"/>
              <w:left w:val="nil"/>
              <w:bottom w:val="nil"/>
              <w:right w:val="nil"/>
            </w:tcBorders>
            <w:hideMark/>
          </w:tcPr>
          <w:p w14:paraId="1B7903EB"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17.00± 0.00b</w:t>
            </w:r>
          </w:p>
        </w:tc>
        <w:tc>
          <w:tcPr>
            <w:tcW w:w="1516" w:type="dxa"/>
            <w:tcBorders>
              <w:top w:val="nil"/>
              <w:left w:val="nil"/>
              <w:bottom w:val="nil"/>
              <w:right w:val="nil"/>
            </w:tcBorders>
            <w:hideMark/>
          </w:tcPr>
          <w:p w14:paraId="0C980512"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23.00± 0.00a</w:t>
            </w:r>
          </w:p>
        </w:tc>
      </w:tr>
      <w:tr w:rsidR="00801973" w:rsidRPr="00873D15" w14:paraId="1E3E9F48" w14:textId="77777777" w:rsidTr="00801973">
        <w:tc>
          <w:tcPr>
            <w:tcW w:w="1519" w:type="dxa"/>
            <w:tcBorders>
              <w:top w:val="nil"/>
              <w:left w:val="nil"/>
              <w:bottom w:val="nil"/>
              <w:right w:val="nil"/>
            </w:tcBorders>
            <w:hideMark/>
          </w:tcPr>
          <w:p w14:paraId="1645FE8E"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Reducing sugars (mg/100g)</w:t>
            </w:r>
          </w:p>
        </w:tc>
        <w:tc>
          <w:tcPr>
            <w:tcW w:w="1501" w:type="dxa"/>
            <w:tcBorders>
              <w:top w:val="nil"/>
              <w:left w:val="nil"/>
              <w:bottom w:val="nil"/>
              <w:right w:val="nil"/>
            </w:tcBorders>
            <w:hideMark/>
          </w:tcPr>
          <w:p w14:paraId="1643458F"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1.67± 0.58bc</w:t>
            </w:r>
          </w:p>
        </w:tc>
        <w:tc>
          <w:tcPr>
            <w:tcW w:w="1501" w:type="dxa"/>
            <w:tcBorders>
              <w:top w:val="nil"/>
              <w:left w:val="nil"/>
              <w:bottom w:val="nil"/>
              <w:right w:val="nil"/>
            </w:tcBorders>
            <w:hideMark/>
          </w:tcPr>
          <w:p w14:paraId="2DD04CBA"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2.67± 0.58ab</w:t>
            </w:r>
          </w:p>
        </w:tc>
        <w:tc>
          <w:tcPr>
            <w:tcW w:w="1509" w:type="dxa"/>
            <w:tcBorders>
              <w:top w:val="nil"/>
              <w:left w:val="nil"/>
              <w:bottom w:val="nil"/>
              <w:right w:val="nil"/>
            </w:tcBorders>
            <w:hideMark/>
          </w:tcPr>
          <w:p w14:paraId="2B1C43E1"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2.33± 0.58ab</w:t>
            </w:r>
          </w:p>
        </w:tc>
        <w:tc>
          <w:tcPr>
            <w:tcW w:w="1516" w:type="dxa"/>
            <w:tcBorders>
              <w:top w:val="nil"/>
              <w:left w:val="nil"/>
              <w:bottom w:val="nil"/>
              <w:right w:val="nil"/>
            </w:tcBorders>
            <w:hideMark/>
          </w:tcPr>
          <w:p w14:paraId="7664CD13"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3.33± 0.58a</w:t>
            </w:r>
          </w:p>
        </w:tc>
        <w:tc>
          <w:tcPr>
            <w:tcW w:w="1516" w:type="dxa"/>
            <w:tcBorders>
              <w:top w:val="nil"/>
              <w:left w:val="nil"/>
              <w:bottom w:val="nil"/>
              <w:right w:val="nil"/>
            </w:tcBorders>
            <w:hideMark/>
          </w:tcPr>
          <w:p w14:paraId="141C56E7"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1.00± 0.00c</w:t>
            </w:r>
          </w:p>
        </w:tc>
      </w:tr>
      <w:tr w:rsidR="00801973" w:rsidRPr="00873D15" w14:paraId="1A13B948" w14:textId="77777777" w:rsidTr="00801973">
        <w:tc>
          <w:tcPr>
            <w:tcW w:w="1519" w:type="dxa"/>
            <w:tcBorders>
              <w:top w:val="nil"/>
              <w:left w:val="nil"/>
              <w:bottom w:val="single" w:sz="4" w:space="0" w:color="auto"/>
              <w:right w:val="nil"/>
            </w:tcBorders>
            <w:hideMark/>
          </w:tcPr>
          <w:p w14:paraId="63714BF2"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Protein (%)</w:t>
            </w:r>
          </w:p>
        </w:tc>
        <w:tc>
          <w:tcPr>
            <w:tcW w:w="1501" w:type="dxa"/>
            <w:tcBorders>
              <w:top w:val="nil"/>
              <w:left w:val="nil"/>
              <w:bottom w:val="single" w:sz="4" w:space="0" w:color="auto"/>
              <w:right w:val="nil"/>
            </w:tcBorders>
            <w:hideMark/>
          </w:tcPr>
          <w:p w14:paraId="0C7B6500"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3.33± 0.00b</w:t>
            </w:r>
          </w:p>
        </w:tc>
        <w:tc>
          <w:tcPr>
            <w:tcW w:w="1501" w:type="dxa"/>
            <w:tcBorders>
              <w:top w:val="nil"/>
              <w:left w:val="nil"/>
              <w:bottom w:val="single" w:sz="4" w:space="0" w:color="auto"/>
              <w:right w:val="nil"/>
            </w:tcBorders>
            <w:hideMark/>
          </w:tcPr>
          <w:p w14:paraId="74DE5B8E"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3.62± 0.10a</w:t>
            </w:r>
          </w:p>
        </w:tc>
        <w:tc>
          <w:tcPr>
            <w:tcW w:w="1509" w:type="dxa"/>
            <w:tcBorders>
              <w:top w:val="nil"/>
              <w:left w:val="nil"/>
              <w:bottom w:val="single" w:sz="4" w:space="0" w:color="auto"/>
              <w:right w:val="nil"/>
            </w:tcBorders>
            <w:hideMark/>
          </w:tcPr>
          <w:p w14:paraId="116B5D63"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3.44± 0.10b</w:t>
            </w:r>
          </w:p>
        </w:tc>
        <w:tc>
          <w:tcPr>
            <w:tcW w:w="1516" w:type="dxa"/>
            <w:tcBorders>
              <w:top w:val="nil"/>
              <w:left w:val="nil"/>
              <w:bottom w:val="single" w:sz="4" w:space="0" w:color="auto"/>
              <w:right w:val="nil"/>
            </w:tcBorders>
            <w:hideMark/>
          </w:tcPr>
          <w:p w14:paraId="5EEA49BF"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2.92± 0.10c</w:t>
            </w:r>
          </w:p>
        </w:tc>
        <w:tc>
          <w:tcPr>
            <w:tcW w:w="1516" w:type="dxa"/>
            <w:tcBorders>
              <w:top w:val="nil"/>
              <w:left w:val="nil"/>
              <w:bottom w:val="single" w:sz="4" w:space="0" w:color="auto"/>
              <w:right w:val="nil"/>
            </w:tcBorders>
            <w:hideMark/>
          </w:tcPr>
          <w:p w14:paraId="5D1C19B9" w14:textId="77777777" w:rsidR="00801973" w:rsidRPr="00873D15" w:rsidRDefault="00801973" w:rsidP="00873D15">
            <w:pPr>
              <w:spacing w:after="200" w:line="360" w:lineRule="auto"/>
              <w:rPr>
                <w:rFonts w:ascii="Times New Roman" w:eastAsia="MS Mincho" w:hAnsi="Times New Roman" w:cs="Times New Roman"/>
                <w:sz w:val="24"/>
                <w:szCs w:val="24"/>
                <w:lang w:val="en-US"/>
              </w:rPr>
            </w:pPr>
            <w:r w:rsidRPr="00873D15">
              <w:rPr>
                <w:rFonts w:ascii="Times New Roman" w:eastAsia="MS Mincho" w:hAnsi="Times New Roman" w:cs="Times New Roman"/>
                <w:sz w:val="24"/>
                <w:szCs w:val="24"/>
                <w:lang w:val="en-US"/>
              </w:rPr>
              <w:t>3.03± 0.10c</w:t>
            </w:r>
          </w:p>
        </w:tc>
      </w:tr>
    </w:tbl>
    <w:p w14:paraId="01B7C84A" w14:textId="77777777" w:rsidR="00801973" w:rsidRPr="00873D15" w:rsidRDefault="00801973" w:rsidP="00873D15">
      <w:pPr>
        <w:spacing w:line="360" w:lineRule="auto"/>
        <w:jc w:val="both"/>
        <w:rPr>
          <w:rFonts w:ascii="Times New Roman" w:hAnsi="Times New Roman" w:cs="Times New Roman"/>
          <w:b/>
          <w:bCs/>
          <w:sz w:val="24"/>
          <w:szCs w:val="24"/>
        </w:rPr>
      </w:pPr>
      <w:r w:rsidRPr="00873D15">
        <w:rPr>
          <w:rFonts w:ascii="Times New Roman" w:hAnsi="Times New Roman" w:cs="Times New Roman"/>
          <w:b/>
          <w:bCs/>
          <w:sz w:val="24"/>
          <w:szCs w:val="24"/>
        </w:rPr>
        <w:t>Values are means ± standard deviation (n = 3). Means followed by different superscript letters are significantly different (p &lt; 0.05, Duncan’s multiple range test)</w:t>
      </w:r>
    </w:p>
    <w:p w14:paraId="6EFEEA5C" w14:textId="77777777" w:rsidR="00801973" w:rsidRPr="00873D15" w:rsidRDefault="00801973" w:rsidP="00873D15">
      <w:pPr>
        <w:spacing w:line="360" w:lineRule="auto"/>
        <w:jc w:val="both"/>
        <w:rPr>
          <w:rFonts w:ascii="Times New Roman" w:hAnsi="Times New Roman" w:cs="Times New Roman"/>
          <w:b/>
          <w:bCs/>
          <w:sz w:val="24"/>
          <w:szCs w:val="24"/>
        </w:rPr>
      </w:pPr>
    </w:p>
    <w:p w14:paraId="4471BEE3" w14:textId="77777777" w:rsidR="00801973" w:rsidRPr="00873D15" w:rsidRDefault="00801973" w:rsidP="00873D15">
      <w:pPr>
        <w:spacing w:before="100" w:beforeAutospacing="1" w:after="100" w:afterAutospacing="1" w:line="360" w:lineRule="auto"/>
        <w:outlineLvl w:val="2"/>
        <w:rPr>
          <w:rFonts w:ascii="Times New Roman" w:eastAsia="Times New Roman" w:hAnsi="Times New Roman" w:cs="Times New Roman"/>
          <w:b/>
          <w:bCs/>
          <w:sz w:val="24"/>
          <w:szCs w:val="24"/>
          <w:lang w:eastAsia="fr-FR"/>
        </w:rPr>
      </w:pPr>
      <w:bookmarkStart w:id="1" w:name="_Hlk212682582"/>
      <w:r w:rsidRPr="00873D15">
        <w:rPr>
          <w:rFonts w:ascii="Times New Roman" w:eastAsia="Times New Roman" w:hAnsi="Times New Roman" w:cs="Times New Roman"/>
          <w:b/>
          <w:bCs/>
          <w:sz w:val="24"/>
          <w:szCs w:val="24"/>
          <w:lang w:eastAsia="fr-FR"/>
        </w:rPr>
        <w:t>3.2 Phytochemical characteristics</w:t>
      </w:r>
    </w:p>
    <w:bookmarkEnd w:id="1"/>
    <w:p w14:paraId="5AB4E0DB" w14:textId="532A8BEE" w:rsidR="00801973" w:rsidRPr="00873D15" w:rsidRDefault="00801973" w:rsidP="00873D15">
      <w:pPr>
        <w:spacing w:before="100" w:beforeAutospacing="1" w:after="100" w:afterAutospacing="1" w:line="360" w:lineRule="auto"/>
        <w:jc w:val="both"/>
        <w:rPr>
          <w:rFonts w:ascii="Times New Roman" w:eastAsia="Times New Roman" w:hAnsi="Times New Roman" w:cs="Times New Roman"/>
          <w:sz w:val="24"/>
          <w:szCs w:val="24"/>
          <w:lang w:eastAsia="fr-FR"/>
        </w:rPr>
      </w:pPr>
      <w:r w:rsidRPr="00873D15">
        <w:rPr>
          <w:rFonts w:ascii="Times New Roman" w:eastAsia="Times New Roman" w:hAnsi="Times New Roman" w:cs="Times New Roman"/>
          <w:sz w:val="24"/>
          <w:szCs w:val="24"/>
          <w:lang w:eastAsia="fr-FR"/>
        </w:rPr>
        <w:t>The ANOVA results also show significant differences (p &lt; 0.05) between clones for all phytochemical compounds (Table 2). Total polyphenols ranged from 3.10 ± 0.20 mg EAG/100g (PB217) to 5.20 ± 0.17mg EAG/100g (IRCA230). Flavonoids differed significantly (p &lt; 0.05) between 2.33 ± 0.15 mg</w:t>
      </w:r>
      <w:r w:rsidR="00873D15" w:rsidRPr="00873D15">
        <w:rPr>
          <w:rFonts w:ascii="Times New Roman" w:eastAsia="Times New Roman" w:hAnsi="Times New Roman" w:cs="Times New Roman"/>
          <w:sz w:val="24"/>
          <w:szCs w:val="24"/>
          <w:lang w:eastAsia="fr-FR"/>
        </w:rPr>
        <w:t xml:space="preserve"> </w:t>
      </w:r>
      <w:r w:rsidRPr="00873D15">
        <w:rPr>
          <w:rFonts w:ascii="Times New Roman" w:eastAsia="Times New Roman" w:hAnsi="Times New Roman" w:cs="Times New Roman"/>
          <w:sz w:val="24"/>
          <w:szCs w:val="24"/>
          <w:lang w:eastAsia="fr-FR"/>
        </w:rPr>
        <w:t>EQ/100 g (PB217) and 4.50 ± 0.10 mg EQ/100 g (GT1).</w:t>
      </w:r>
      <w:r w:rsidR="00873D15" w:rsidRPr="00873D15">
        <w:rPr>
          <w:rFonts w:ascii="Times New Roman" w:eastAsia="Times New Roman" w:hAnsi="Times New Roman" w:cs="Times New Roman"/>
          <w:sz w:val="24"/>
          <w:szCs w:val="24"/>
          <w:lang w:eastAsia="fr-FR"/>
        </w:rPr>
        <w:t xml:space="preserve"> </w:t>
      </w:r>
      <w:r w:rsidRPr="00873D15">
        <w:rPr>
          <w:rFonts w:ascii="Times New Roman" w:eastAsia="Times New Roman" w:hAnsi="Times New Roman" w:cs="Times New Roman"/>
          <w:sz w:val="24"/>
          <w:szCs w:val="24"/>
          <w:lang w:eastAsia="fr-FR"/>
        </w:rPr>
        <w:t>Condensed tannins ranged from 1.64 ± 0.00 mg CAT/100 g (GT1) to 3.43 ± 0.01 mg CAT/100 g (IRCA230).</w:t>
      </w:r>
    </w:p>
    <w:p w14:paraId="68231BF4" w14:textId="77777777" w:rsidR="00801973" w:rsidRPr="00873D15" w:rsidRDefault="00801973" w:rsidP="00873D15">
      <w:pPr>
        <w:spacing w:before="100" w:beforeAutospacing="1" w:after="100" w:afterAutospacing="1" w:line="360" w:lineRule="auto"/>
        <w:rPr>
          <w:rFonts w:ascii="Times New Roman" w:eastAsia="Times New Roman" w:hAnsi="Times New Roman" w:cs="Times New Roman"/>
          <w:sz w:val="24"/>
          <w:szCs w:val="24"/>
          <w:lang w:eastAsia="fr-FR"/>
        </w:rPr>
      </w:pPr>
      <w:r w:rsidRPr="00873D15">
        <w:rPr>
          <w:rFonts w:ascii="Times New Roman" w:eastAsia="Times New Roman" w:hAnsi="Times New Roman" w:cs="Times New Roman"/>
          <w:b/>
          <w:bCs/>
          <w:sz w:val="24"/>
          <w:szCs w:val="24"/>
          <w:lang w:eastAsia="fr-FR"/>
        </w:rPr>
        <w:t xml:space="preserve">Table </w:t>
      </w:r>
      <w:proofErr w:type="gramStart"/>
      <w:r w:rsidRPr="00873D15">
        <w:rPr>
          <w:rFonts w:ascii="Times New Roman" w:eastAsia="Times New Roman" w:hAnsi="Times New Roman" w:cs="Times New Roman"/>
          <w:b/>
          <w:bCs/>
          <w:sz w:val="24"/>
          <w:szCs w:val="24"/>
          <w:lang w:eastAsia="fr-FR"/>
        </w:rPr>
        <w:t>2:</w:t>
      </w:r>
      <w:proofErr w:type="gramEnd"/>
      <w:r w:rsidRPr="00873D15">
        <w:rPr>
          <w:rFonts w:ascii="Times New Roman" w:eastAsia="Times New Roman" w:hAnsi="Times New Roman" w:cs="Times New Roman"/>
          <w:b/>
          <w:bCs/>
          <w:sz w:val="24"/>
          <w:szCs w:val="24"/>
          <w:lang w:eastAsia="fr-FR"/>
        </w:rPr>
        <w:t xml:space="preserve"> Phytochemical composition of Hevea seed shells from five clones</w:t>
      </w:r>
    </w:p>
    <w:tbl>
      <w:tblPr>
        <w:tblW w:w="0" w:type="auto"/>
        <w:tblBorders>
          <w:top w:val="single" w:sz="4" w:space="0" w:color="auto"/>
          <w:bottom w:val="single" w:sz="4" w:space="0" w:color="auto"/>
        </w:tblBorders>
        <w:tblLook w:val="04A0" w:firstRow="1" w:lastRow="0" w:firstColumn="1" w:lastColumn="0" w:noHBand="0" w:noVBand="1"/>
      </w:tblPr>
      <w:tblGrid>
        <w:gridCol w:w="1763"/>
        <w:gridCol w:w="1428"/>
        <w:gridCol w:w="1442"/>
        <w:gridCol w:w="1465"/>
        <w:gridCol w:w="1482"/>
        <w:gridCol w:w="1482"/>
      </w:tblGrid>
      <w:tr w:rsidR="00801973" w:rsidRPr="00873D15" w14:paraId="0ADCDEC8" w14:textId="77777777" w:rsidTr="00801973">
        <w:tc>
          <w:tcPr>
            <w:tcW w:w="1763" w:type="dxa"/>
            <w:tcBorders>
              <w:top w:val="single" w:sz="4" w:space="0" w:color="auto"/>
              <w:left w:val="nil"/>
              <w:bottom w:val="single" w:sz="4" w:space="0" w:color="auto"/>
              <w:right w:val="nil"/>
            </w:tcBorders>
          </w:tcPr>
          <w:p w14:paraId="25F45D26" w14:textId="77777777" w:rsidR="00801973" w:rsidRPr="00873D15" w:rsidRDefault="00801973" w:rsidP="00873D15">
            <w:pPr>
              <w:spacing w:line="360" w:lineRule="auto"/>
              <w:rPr>
                <w:rFonts w:ascii="Times New Roman" w:hAnsi="Times New Roman" w:cs="Times New Roman"/>
                <w:sz w:val="24"/>
                <w:szCs w:val="24"/>
              </w:rPr>
            </w:pPr>
          </w:p>
        </w:tc>
        <w:tc>
          <w:tcPr>
            <w:tcW w:w="1428" w:type="dxa"/>
            <w:tcBorders>
              <w:top w:val="single" w:sz="4" w:space="0" w:color="auto"/>
              <w:left w:val="nil"/>
              <w:bottom w:val="single" w:sz="4" w:space="0" w:color="auto"/>
              <w:right w:val="nil"/>
            </w:tcBorders>
            <w:hideMark/>
          </w:tcPr>
          <w:p w14:paraId="2AA637CC"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GT1</w:t>
            </w:r>
          </w:p>
        </w:tc>
        <w:tc>
          <w:tcPr>
            <w:tcW w:w="1442" w:type="dxa"/>
            <w:tcBorders>
              <w:top w:val="single" w:sz="4" w:space="0" w:color="auto"/>
              <w:left w:val="nil"/>
              <w:bottom w:val="single" w:sz="4" w:space="0" w:color="auto"/>
              <w:right w:val="nil"/>
            </w:tcBorders>
            <w:hideMark/>
          </w:tcPr>
          <w:p w14:paraId="45B76167"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PB217</w:t>
            </w:r>
          </w:p>
        </w:tc>
        <w:tc>
          <w:tcPr>
            <w:tcW w:w="1465" w:type="dxa"/>
            <w:tcBorders>
              <w:top w:val="single" w:sz="4" w:space="0" w:color="auto"/>
              <w:left w:val="nil"/>
              <w:bottom w:val="single" w:sz="4" w:space="0" w:color="auto"/>
              <w:right w:val="nil"/>
            </w:tcBorders>
            <w:hideMark/>
          </w:tcPr>
          <w:p w14:paraId="27209385"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IRCA41</w:t>
            </w:r>
          </w:p>
        </w:tc>
        <w:tc>
          <w:tcPr>
            <w:tcW w:w="1482" w:type="dxa"/>
            <w:tcBorders>
              <w:top w:val="single" w:sz="4" w:space="0" w:color="auto"/>
              <w:left w:val="nil"/>
              <w:bottom w:val="single" w:sz="4" w:space="0" w:color="auto"/>
              <w:right w:val="nil"/>
            </w:tcBorders>
            <w:hideMark/>
          </w:tcPr>
          <w:p w14:paraId="27C82CC2"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IRCA230</w:t>
            </w:r>
          </w:p>
        </w:tc>
        <w:tc>
          <w:tcPr>
            <w:tcW w:w="1482" w:type="dxa"/>
            <w:tcBorders>
              <w:top w:val="single" w:sz="4" w:space="0" w:color="auto"/>
              <w:left w:val="nil"/>
              <w:bottom w:val="single" w:sz="4" w:space="0" w:color="auto"/>
              <w:right w:val="nil"/>
            </w:tcBorders>
            <w:hideMark/>
          </w:tcPr>
          <w:p w14:paraId="4569E757"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IRCA331</w:t>
            </w:r>
          </w:p>
        </w:tc>
      </w:tr>
      <w:tr w:rsidR="00801973" w:rsidRPr="00873D15" w14:paraId="481B8C12" w14:textId="77777777" w:rsidTr="00801973">
        <w:tc>
          <w:tcPr>
            <w:tcW w:w="1763" w:type="dxa"/>
            <w:tcBorders>
              <w:top w:val="single" w:sz="4" w:space="0" w:color="auto"/>
              <w:left w:val="nil"/>
              <w:bottom w:val="nil"/>
              <w:right w:val="nil"/>
            </w:tcBorders>
            <w:hideMark/>
          </w:tcPr>
          <w:p w14:paraId="565B60E4"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Polyphenols (</w:t>
            </w:r>
            <w:r w:rsidRPr="00873D15">
              <w:rPr>
                <w:rFonts w:ascii="Times New Roman" w:hAnsi="Times New Roman" w:cs="Times New Roman"/>
                <w:b/>
                <w:bCs/>
                <w:sz w:val="24"/>
                <w:szCs w:val="24"/>
              </w:rPr>
              <w:t>mgEAG/100g)</w:t>
            </w:r>
          </w:p>
        </w:tc>
        <w:tc>
          <w:tcPr>
            <w:tcW w:w="1428" w:type="dxa"/>
            <w:tcBorders>
              <w:top w:val="single" w:sz="4" w:space="0" w:color="auto"/>
              <w:left w:val="nil"/>
              <w:bottom w:val="nil"/>
              <w:right w:val="nil"/>
            </w:tcBorders>
            <w:hideMark/>
          </w:tcPr>
          <w:p w14:paraId="0AA0FA8D"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3.10± 0.20d</w:t>
            </w:r>
          </w:p>
        </w:tc>
        <w:tc>
          <w:tcPr>
            <w:tcW w:w="1442" w:type="dxa"/>
            <w:tcBorders>
              <w:top w:val="single" w:sz="4" w:space="0" w:color="auto"/>
              <w:left w:val="nil"/>
              <w:bottom w:val="nil"/>
              <w:right w:val="nil"/>
            </w:tcBorders>
            <w:hideMark/>
          </w:tcPr>
          <w:p w14:paraId="5CB8A007"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3.20± 0.17cd</w:t>
            </w:r>
          </w:p>
        </w:tc>
        <w:tc>
          <w:tcPr>
            <w:tcW w:w="1465" w:type="dxa"/>
            <w:tcBorders>
              <w:top w:val="single" w:sz="4" w:space="0" w:color="auto"/>
              <w:left w:val="nil"/>
              <w:bottom w:val="nil"/>
              <w:right w:val="nil"/>
            </w:tcBorders>
            <w:hideMark/>
          </w:tcPr>
          <w:p w14:paraId="31E01E36"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4.57± 0.06b</w:t>
            </w:r>
          </w:p>
        </w:tc>
        <w:tc>
          <w:tcPr>
            <w:tcW w:w="1482" w:type="dxa"/>
            <w:tcBorders>
              <w:top w:val="single" w:sz="4" w:space="0" w:color="auto"/>
              <w:left w:val="nil"/>
              <w:bottom w:val="nil"/>
              <w:right w:val="nil"/>
            </w:tcBorders>
            <w:hideMark/>
          </w:tcPr>
          <w:p w14:paraId="7DF3C625"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5.20± 0.17a</w:t>
            </w:r>
          </w:p>
        </w:tc>
        <w:tc>
          <w:tcPr>
            <w:tcW w:w="1482" w:type="dxa"/>
            <w:tcBorders>
              <w:top w:val="single" w:sz="4" w:space="0" w:color="auto"/>
              <w:left w:val="nil"/>
              <w:bottom w:val="nil"/>
              <w:right w:val="nil"/>
            </w:tcBorders>
            <w:hideMark/>
          </w:tcPr>
          <w:p w14:paraId="0C05730E"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3.43± 0.06c</w:t>
            </w:r>
          </w:p>
        </w:tc>
      </w:tr>
      <w:tr w:rsidR="00801973" w:rsidRPr="00873D15" w14:paraId="4C9D2BFC" w14:textId="77777777" w:rsidTr="00801973">
        <w:tc>
          <w:tcPr>
            <w:tcW w:w="1763" w:type="dxa"/>
            <w:tcBorders>
              <w:top w:val="nil"/>
              <w:left w:val="nil"/>
              <w:bottom w:val="nil"/>
              <w:right w:val="nil"/>
            </w:tcBorders>
            <w:hideMark/>
          </w:tcPr>
          <w:p w14:paraId="63D959EA"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lastRenderedPageBreak/>
              <w:t>Flavonoids (</w:t>
            </w:r>
            <w:r w:rsidRPr="00873D15">
              <w:rPr>
                <w:rFonts w:ascii="Times New Roman" w:hAnsi="Times New Roman" w:cs="Times New Roman"/>
                <w:b/>
                <w:bCs/>
                <w:sz w:val="24"/>
                <w:szCs w:val="24"/>
              </w:rPr>
              <w:t>mgEQ/100g)</w:t>
            </w:r>
          </w:p>
        </w:tc>
        <w:tc>
          <w:tcPr>
            <w:tcW w:w="1428" w:type="dxa"/>
            <w:tcBorders>
              <w:top w:val="nil"/>
              <w:left w:val="nil"/>
              <w:bottom w:val="nil"/>
              <w:right w:val="nil"/>
            </w:tcBorders>
            <w:hideMark/>
          </w:tcPr>
          <w:p w14:paraId="245B5BDF"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4.50 0.10a</w:t>
            </w:r>
          </w:p>
        </w:tc>
        <w:tc>
          <w:tcPr>
            <w:tcW w:w="1442" w:type="dxa"/>
            <w:tcBorders>
              <w:top w:val="nil"/>
              <w:left w:val="nil"/>
              <w:bottom w:val="nil"/>
              <w:right w:val="nil"/>
            </w:tcBorders>
            <w:hideMark/>
          </w:tcPr>
          <w:p w14:paraId="5FE04922"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3.70± 0.20b</w:t>
            </w:r>
          </w:p>
        </w:tc>
        <w:tc>
          <w:tcPr>
            <w:tcW w:w="1465" w:type="dxa"/>
            <w:tcBorders>
              <w:top w:val="nil"/>
              <w:left w:val="nil"/>
              <w:bottom w:val="nil"/>
              <w:right w:val="nil"/>
            </w:tcBorders>
            <w:hideMark/>
          </w:tcPr>
          <w:p w14:paraId="3A62965D"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3.03± 0.21c</w:t>
            </w:r>
          </w:p>
        </w:tc>
        <w:tc>
          <w:tcPr>
            <w:tcW w:w="1482" w:type="dxa"/>
            <w:tcBorders>
              <w:top w:val="nil"/>
              <w:left w:val="nil"/>
              <w:bottom w:val="nil"/>
              <w:right w:val="nil"/>
            </w:tcBorders>
            <w:hideMark/>
          </w:tcPr>
          <w:p w14:paraId="732F2EAC"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2.33± 0.15d</w:t>
            </w:r>
          </w:p>
        </w:tc>
        <w:tc>
          <w:tcPr>
            <w:tcW w:w="1482" w:type="dxa"/>
            <w:tcBorders>
              <w:top w:val="nil"/>
              <w:left w:val="nil"/>
              <w:bottom w:val="nil"/>
              <w:right w:val="nil"/>
            </w:tcBorders>
            <w:hideMark/>
          </w:tcPr>
          <w:p w14:paraId="741E61DC"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2.80± 0.17c</w:t>
            </w:r>
          </w:p>
        </w:tc>
      </w:tr>
      <w:tr w:rsidR="00801973" w:rsidRPr="00873D15" w14:paraId="0BD9A084" w14:textId="77777777" w:rsidTr="00801973">
        <w:tc>
          <w:tcPr>
            <w:tcW w:w="1763" w:type="dxa"/>
            <w:tcBorders>
              <w:top w:val="nil"/>
              <w:left w:val="nil"/>
              <w:bottom w:val="single" w:sz="4" w:space="0" w:color="auto"/>
              <w:right w:val="nil"/>
            </w:tcBorders>
            <w:hideMark/>
          </w:tcPr>
          <w:p w14:paraId="44AD2E26"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 xml:space="preserve">Tannins </w:t>
            </w:r>
            <w:r w:rsidRPr="00873D15">
              <w:rPr>
                <w:rFonts w:ascii="Times New Roman" w:hAnsi="Times New Roman" w:cs="Times New Roman"/>
                <w:b/>
                <w:bCs/>
                <w:sz w:val="24"/>
                <w:szCs w:val="24"/>
              </w:rPr>
              <w:t>(mgEAT/100g)</w:t>
            </w:r>
          </w:p>
        </w:tc>
        <w:tc>
          <w:tcPr>
            <w:tcW w:w="1428" w:type="dxa"/>
            <w:tcBorders>
              <w:top w:val="nil"/>
              <w:left w:val="nil"/>
              <w:bottom w:val="single" w:sz="4" w:space="0" w:color="auto"/>
              <w:right w:val="nil"/>
            </w:tcBorders>
            <w:hideMark/>
          </w:tcPr>
          <w:p w14:paraId="42D04C35"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2.00± 0.00d</w:t>
            </w:r>
          </w:p>
        </w:tc>
        <w:tc>
          <w:tcPr>
            <w:tcW w:w="1442" w:type="dxa"/>
            <w:tcBorders>
              <w:top w:val="nil"/>
              <w:left w:val="nil"/>
              <w:bottom w:val="single" w:sz="4" w:space="0" w:color="auto"/>
              <w:right w:val="nil"/>
            </w:tcBorders>
            <w:hideMark/>
          </w:tcPr>
          <w:p w14:paraId="4C087661"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2.13± 0.00c</w:t>
            </w:r>
          </w:p>
        </w:tc>
        <w:tc>
          <w:tcPr>
            <w:tcW w:w="1465" w:type="dxa"/>
            <w:tcBorders>
              <w:top w:val="nil"/>
              <w:left w:val="nil"/>
              <w:bottom w:val="single" w:sz="4" w:space="0" w:color="auto"/>
              <w:right w:val="nil"/>
            </w:tcBorders>
            <w:hideMark/>
          </w:tcPr>
          <w:p w14:paraId="7BB23B01"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2.73± 0.00b</w:t>
            </w:r>
          </w:p>
        </w:tc>
        <w:tc>
          <w:tcPr>
            <w:tcW w:w="1482" w:type="dxa"/>
            <w:tcBorders>
              <w:top w:val="nil"/>
              <w:left w:val="nil"/>
              <w:bottom w:val="single" w:sz="4" w:space="0" w:color="auto"/>
              <w:right w:val="nil"/>
            </w:tcBorders>
            <w:hideMark/>
          </w:tcPr>
          <w:p w14:paraId="7F8E9869"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3.43± 0.01a</w:t>
            </w:r>
          </w:p>
        </w:tc>
        <w:tc>
          <w:tcPr>
            <w:tcW w:w="1482" w:type="dxa"/>
            <w:tcBorders>
              <w:top w:val="nil"/>
              <w:left w:val="nil"/>
              <w:bottom w:val="single" w:sz="4" w:space="0" w:color="auto"/>
              <w:right w:val="nil"/>
            </w:tcBorders>
            <w:hideMark/>
          </w:tcPr>
          <w:p w14:paraId="1C79E883"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1.64± 0.00e</w:t>
            </w:r>
          </w:p>
        </w:tc>
      </w:tr>
    </w:tbl>
    <w:p w14:paraId="36EFA0E6" w14:textId="77777777" w:rsidR="00801973" w:rsidRPr="00873D15" w:rsidRDefault="00801973" w:rsidP="00873D15">
      <w:pPr>
        <w:spacing w:line="360" w:lineRule="auto"/>
        <w:jc w:val="both"/>
        <w:rPr>
          <w:rFonts w:ascii="Times New Roman" w:hAnsi="Times New Roman" w:cs="Times New Roman"/>
          <w:b/>
          <w:bCs/>
          <w:sz w:val="24"/>
          <w:szCs w:val="24"/>
        </w:rPr>
      </w:pPr>
      <w:r w:rsidRPr="00873D15">
        <w:rPr>
          <w:rFonts w:ascii="Times New Roman" w:eastAsia="Times New Roman" w:hAnsi="Times New Roman" w:cs="Times New Roman"/>
          <w:i/>
          <w:iCs/>
          <w:sz w:val="24"/>
          <w:szCs w:val="24"/>
          <w:lang w:eastAsia="fr-FR"/>
        </w:rPr>
        <w:t>Values are means ± standard deviation (n = 3). Means followed by different superscript letters are significantly different (p &lt; 0.05, Duncan’s multiple range test).</w:t>
      </w:r>
    </w:p>
    <w:p w14:paraId="21FC7332" w14:textId="77777777" w:rsidR="00801973" w:rsidRPr="00873D15" w:rsidRDefault="00801973" w:rsidP="00873D15">
      <w:pPr>
        <w:spacing w:before="100" w:beforeAutospacing="1" w:after="100" w:afterAutospacing="1" w:line="360" w:lineRule="auto"/>
        <w:outlineLvl w:val="2"/>
        <w:rPr>
          <w:rFonts w:ascii="Times New Roman" w:eastAsia="Times New Roman" w:hAnsi="Times New Roman" w:cs="Times New Roman"/>
          <w:b/>
          <w:bCs/>
          <w:sz w:val="24"/>
          <w:szCs w:val="24"/>
          <w:lang w:eastAsia="fr-FR"/>
        </w:rPr>
      </w:pPr>
      <w:bookmarkStart w:id="2" w:name="_Hlk212683084"/>
      <w:r w:rsidRPr="00873D15">
        <w:rPr>
          <w:rFonts w:ascii="Times New Roman" w:eastAsia="Times New Roman" w:hAnsi="Times New Roman" w:cs="Times New Roman"/>
          <w:b/>
          <w:bCs/>
          <w:sz w:val="24"/>
          <w:szCs w:val="24"/>
          <w:lang w:eastAsia="fr-FR"/>
        </w:rPr>
        <w:t>3.3 Antinutritional characteristics</w:t>
      </w:r>
    </w:p>
    <w:bookmarkEnd w:id="2"/>
    <w:p w14:paraId="6CDBFE42" w14:textId="224708FF" w:rsidR="00801973" w:rsidRPr="00873D15" w:rsidRDefault="00801973" w:rsidP="00873D15">
      <w:pPr>
        <w:pStyle w:val="NormalWeb"/>
        <w:spacing w:line="360" w:lineRule="auto"/>
        <w:jc w:val="both"/>
        <w:rPr>
          <w:b/>
          <w:bCs/>
        </w:rPr>
      </w:pPr>
      <w:r w:rsidRPr="00873D15">
        <w:t xml:space="preserve">Significant differences (p &lt; 0.05) were observed for the three antinutritional factors analysed (Table 3). </w:t>
      </w:r>
      <w:r w:rsidRPr="00873D15">
        <w:rPr>
          <w:rStyle w:val="Strong"/>
          <w:b w:val="0"/>
          <w:bCs w:val="0"/>
        </w:rPr>
        <w:t>Phytates</w:t>
      </w:r>
      <w:r w:rsidRPr="00873D15">
        <w:rPr>
          <w:rStyle w:val="Strong"/>
        </w:rPr>
        <w:t xml:space="preserve"> </w:t>
      </w:r>
      <w:r w:rsidRPr="00873D15">
        <w:t>ranged from</w:t>
      </w:r>
      <w:r w:rsidRPr="00873D15">
        <w:rPr>
          <w:rStyle w:val="Strong"/>
        </w:rPr>
        <w:t xml:space="preserve"> </w:t>
      </w:r>
      <w:r w:rsidRPr="00873D15">
        <w:rPr>
          <w:rStyle w:val="Strong"/>
          <w:b w:val="0"/>
          <w:bCs w:val="0"/>
        </w:rPr>
        <w:t xml:space="preserve">30.56 ± 0.04 mg/100 g (GT1) </w:t>
      </w:r>
      <w:r w:rsidRPr="00873D15">
        <w:t>to</w:t>
      </w:r>
      <w:r w:rsidRPr="00873D15">
        <w:rPr>
          <w:rStyle w:val="Strong"/>
        </w:rPr>
        <w:t xml:space="preserve"> </w:t>
      </w:r>
      <w:r w:rsidRPr="00873D15">
        <w:rPr>
          <w:rStyle w:val="Strong"/>
          <w:b w:val="0"/>
          <w:bCs w:val="0"/>
        </w:rPr>
        <w:t>186.87 ± 0</w:t>
      </w:r>
      <w:r w:rsidRPr="00873D15">
        <w:rPr>
          <w:rStyle w:val="Strong"/>
        </w:rPr>
        <w:t>.</w:t>
      </w:r>
      <w:r w:rsidRPr="00873D15">
        <w:rPr>
          <w:rStyle w:val="Strong"/>
          <w:b w:val="0"/>
          <w:bCs w:val="0"/>
        </w:rPr>
        <w:t>05 mg/100 g</w:t>
      </w:r>
      <w:r w:rsidRPr="00873D15">
        <w:rPr>
          <w:rStyle w:val="Strong"/>
        </w:rPr>
        <w:t xml:space="preserve"> </w:t>
      </w:r>
      <w:r w:rsidRPr="00873D15">
        <w:rPr>
          <w:rStyle w:val="Strong"/>
          <w:b w:val="0"/>
          <w:bCs w:val="0"/>
        </w:rPr>
        <w:t>(IRCA331)</w:t>
      </w:r>
      <w:r w:rsidRPr="00873D15">
        <w:rPr>
          <w:b/>
          <w:bCs/>
        </w:rPr>
        <w:t xml:space="preserve">. </w:t>
      </w:r>
      <w:r w:rsidRPr="00873D15">
        <w:rPr>
          <w:rStyle w:val="Strong"/>
          <w:b w:val="0"/>
          <w:bCs w:val="0"/>
        </w:rPr>
        <w:t>Oxalates</w:t>
      </w:r>
      <w:r w:rsidRPr="00873D15">
        <w:rPr>
          <w:rStyle w:val="Strong"/>
        </w:rPr>
        <w:t xml:space="preserve"> </w:t>
      </w:r>
      <w:r w:rsidRPr="00873D15">
        <w:t>differed significantly (p &lt; 0.05) from</w:t>
      </w:r>
      <w:r w:rsidRPr="00873D15">
        <w:rPr>
          <w:rStyle w:val="Strong"/>
        </w:rPr>
        <w:t xml:space="preserve"> </w:t>
      </w:r>
      <w:r w:rsidRPr="00873D15">
        <w:rPr>
          <w:rStyle w:val="Strong"/>
          <w:b w:val="0"/>
          <w:bCs w:val="0"/>
        </w:rPr>
        <w:t xml:space="preserve">55.00 ± 11.00 mg/100 g (PB217ᶜ) </w:t>
      </w:r>
      <w:r w:rsidRPr="00873D15">
        <w:rPr>
          <w:b/>
          <w:bCs/>
        </w:rPr>
        <w:t>to</w:t>
      </w:r>
      <w:r w:rsidRPr="00873D15">
        <w:rPr>
          <w:rStyle w:val="Strong"/>
          <w:b w:val="0"/>
          <w:bCs w:val="0"/>
        </w:rPr>
        <w:t xml:space="preserve"> 80.67 ± 6.35 mg/100 g (GT1ᵃ). Hydrocyanic acid</w:t>
      </w:r>
      <w:r w:rsidRPr="00873D15">
        <w:rPr>
          <w:b/>
          <w:bCs/>
        </w:rPr>
        <w:t xml:space="preserve"> </w:t>
      </w:r>
      <w:r w:rsidRPr="00873D15">
        <w:t>content varies from</w:t>
      </w:r>
      <w:r w:rsidRPr="00873D15">
        <w:rPr>
          <w:rStyle w:val="Strong"/>
          <w:b w:val="0"/>
          <w:bCs w:val="0"/>
        </w:rPr>
        <w:t xml:space="preserve"> 16.85 ± 0.14 mg/100 g (GT1) </w:t>
      </w:r>
      <w:r w:rsidRPr="00873D15">
        <w:rPr>
          <w:b/>
          <w:bCs/>
        </w:rPr>
        <w:t>to</w:t>
      </w:r>
      <w:r w:rsidRPr="00873D15">
        <w:rPr>
          <w:rStyle w:val="Strong"/>
          <w:b w:val="0"/>
          <w:bCs w:val="0"/>
        </w:rPr>
        <w:t xml:space="preserve"> 20.61 ± 0.16 mg/100 g (IRCA230).</w:t>
      </w:r>
    </w:p>
    <w:p w14:paraId="4EB6138D" w14:textId="77777777" w:rsidR="00801973" w:rsidRPr="00873D15" w:rsidRDefault="00801973" w:rsidP="00873D15">
      <w:pPr>
        <w:pStyle w:val="NormalWeb"/>
        <w:spacing w:line="360" w:lineRule="auto"/>
      </w:pPr>
      <w:r w:rsidRPr="00873D15">
        <w:rPr>
          <w:rStyle w:val="Strong"/>
        </w:rPr>
        <w:t xml:space="preserve">Table </w:t>
      </w:r>
      <w:proofErr w:type="gramStart"/>
      <w:r w:rsidRPr="00873D15">
        <w:rPr>
          <w:rStyle w:val="Strong"/>
        </w:rPr>
        <w:t>3:</w:t>
      </w:r>
      <w:proofErr w:type="gramEnd"/>
      <w:r w:rsidRPr="00873D15">
        <w:rPr>
          <w:rStyle w:val="Strong"/>
        </w:rPr>
        <w:t xml:space="preserve"> Antinutritional factors in Hevea seed shells from five clones</w:t>
      </w:r>
    </w:p>
    <w:tbl>
      <w:tblPr>
        <w:tblW w:w="0" w:type="auto"/>
        <w:tblBorders>
          <w:top w:val="single" w:sz="4" w:space="0" w:color="auto"/>
          <w:bottom w:val="single" w:sz="4" w:space="0" w:color="auto"/>
        </w:tblBorders>
        <w:tblLook w:val="04A0" w:firstRow="1" w:lastRow="0" w:firstColumn="1" w:lastColumn="0" w:noHBand="0" w:noVBand="1"/>
      </w:tblPr>
      <w:tblGrid>
        <w:gridCol w:w="1535"/>
        <w:gridCol w:w="1503"/>
        <w:gridCol w:w="1496"/>
        <w:gridCol w:w="1504"/>
        <w:gridCol w:w="1512"/>
        <w:gridCol w:w="1512"/>
      </w:tblGrid>
      <w:tr w:rsidR="00801973" w:rsidRPr="00873D15" w14:paraId="697C968E" w14:textId="77777777" w:rsidTr="00801973">
        <w:tc>
          <w:tcPr>
            <w:tcW w:w="1535" w:type="dxa"/>
            <w:tcBorders>
              <w:top w:val="single" w:sz="4" w:space="0" w:color="auto"/>
              <w:left w:val="nil"/>
              <w:bottom w:val="single" w:sz="4" w:space="0" w:color="auto"/>
              <w:right w:val="nil"/>
            </w:tcBorders>
            <w:hideMark/>
          </w:tcPr>
          <w:p w14:paraId="3A18DF84" w14:textId="77777777" w:rsidR="00801973" w:rsidRPr="00873D15" w:rsidRDefault="00801973" w:rsidP="00873D15">
            <w:pPr>
              <w:spacing w:line="360" w:lineRule="auto"/>
              <w:rPr>
                <w:rFonts w:ascii="Times New Roman" w:hAnsi="Times New Roman" w:cs="Times New Roman"/>
                <w:sz w:val="24"/>
                <w:szCs w:val="24"/>
              </w:rPr>
            </w:pPr>
            <w:proofErr w:type="gramStart"/>
            <w:r w:rsidRPr="00873D15">
              <w:rPr>
                <w:rFonts w:ascii="Times New Roman" w:hAnsi="Times New Roman" w:cs="Times New Roman"/>
                <w:sz w:val="24"/>
                <w:szCs w:val="24"/>
              </w:rPr>
              <w:t>mg</w:t>
            </w:r>
            <w:proofErr w:type="gramEnd"/>
            <w:r w:rsidRPr="00873D15">
              <w:rPr>
                <w:rFonts w:ascii="Times New Roman" w:hAnsi="Times New Roman" w:cs="Times New Roman"/>
                <w:sz w:val="24"/>
                <w:szCs w:val="24"/>
              </w:rPr>
              <w:t>/100g</w:t>
            </w:r>
          </w:p>
        </w:tc>
        <w:tc>
          <w:tcPr>
            <w:tcW w:w="1503" w:type="dxa"/>
            <w:tcBorders>
              <w:top w:val="single" w:sz="4" w:space="0" w:color="auto"/>
              <w:left w:val="nil"/>
              <w:bottom w:val="single" w:sz="4" w:space="0" w:color="auto"/>
              <w:right w:val="nil"/>
            </w:tcBorders>
            <w:hideMark/>
          </w:tcPr>
          <w:p w14:paraId="674395E1"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GT1</w:t>
            </w:r>
          </w:p>
        </w:tc>
        <w:tc>
          <w:tcPr>
            <w:tcW w:w="1496" w:type="dxa"/>
            <w:tcBorders>
              <w:top w:val="single" w:sz="4" w:space="0" w:color="auto"/>
              <w:left w:val="nil"/>
              <w:bottom w:val="single" w:sz="4" w:space="0" w:color="auto"/>
              <w:right w:val="nil"/>
            </w:tcBorders>
            <w:hideMark/>
          </w:tcPr>
          <w:p w14:paraId="26D9CB28"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PB217</w:t>
            </w:r>
          </w:p>
        </w:tc>
        <w:tc>
          <w:tcPr>
            <w:tcW w:w="1504" w:type="dxa"/>
            <w:tcBorders>
              <w:top w:val="single" w:sz="4" w:space="0" w:color="auto"/>
              <w:left w:val="nil"/>
              <w:bottom w:val="single" w:sz="4" w:space="0" w:color="auto"/>
              <w:right w:val="nil"/>
            </w:tcBorders>
            <w:hideMark/>
          </w:tcPr>
          <w:p w14:paraId="0C537F06"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IRCA41</w:t>
            </w:r>
          </w:p>
        </w:tc>
        <w:tc>
          <w:tcPr>
            <w:tcW w:w="1512" w:type="dxa"/>
            <w:tcBorders>
              <w:top w:val="single" w:sz="4" w:space="0" w:color="auto"/>
              <w:left w:val="nil"/>
              <w:bottom w:val="single" w:sz="4" w:space="0" w:color="auto"/>
              <w:right w:val="nil"/>
            </w:tcBorders>
            <w:hideMark/>
          </w:tcPr>
          <w:p w14:paraId="7A3CB336"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IRCA230</w:t>
            </w:r>
          </w:p>
        </w:tc>
        <w:tc>
          <w:tcPr>
            <w:tcW w:w="1512" w:type="dxa"/>
            <w:tcBorders>
              <w:top w:val="single" w:sz="4" w:space="0" w:color="auto"/>
              <w:left w:val="nil"/>
              <w:bottom w:val="single" w:sz="4" w:space="0" w:color="auto"/>
              <w:right w:val="nil"/>
            </w:tcBorders>
            <w:hideMark/>
          </w:tcPr>
          <w:p w14:paraId="05B41B01"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IRCA331</w:t>
            </w:r>
          </w:p>
        </w:tc>
      </w:tr>
      <w:tr w:rsidR="00801973" w:rsidRPr="00873D15" w14:paraId="4F74662C" w14:textId="77777777" w:rsidTr="00801973">
        <w:tc>
          <w:tcPr>
            <w:tcW w:w="1535" w:type="dxa"/>
            <w:tcBorders>
              <w:top w:val="single" w:sz="4" w:space="0" w:color="auto"/>
              <w:left w:val="nil"/>
              <w:bottom w:val="nil"/>
              <w:right w:val="nil"/>
            </w:tcBorders>
            <w:hideMark/>
          </w:tcPr>
          <w:p w14:paraId="6BA8B155"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Phytate</w:t>
            </w:r>
          </w:p>
        </w:tc>
        <w:tc>
          <w:tcPr>
            <w:tcW w:w="1503" w:type="dxa"/>
            <w:tcBorders>
              <w:top w:val="single" w:sz="4" w:space="0" w:color="auto"/>
              <w:left w:val="nil"/>
              <w:bottom w:val="nil"/>
              <w:right w:val="nil"/>
            </w:tcBorders>
            <w:hideMark/>
          </w:tcPr>
          <w:p w14:paraId="41A7EB5C"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186.87± 0.05a</w:t>
            </w:r>
          </w:p>
        </w:tc>
        <w:tc>
          <w:tcPr>
            <w:tcW w:w="1496" w:type="dxa"/>
            <w:tcBorders>
              <w:top w:val="single" w:sz="4" w:space="0" w:color="auto"/>
              <w:left w:val="nil"/>
              <w:bottom w:val="nil"/>
              <w:right w:val="nil"/>
            </w:tcBorders>
            <w:hideMark/>
          </w:tcPr>
          <w:p w14:paraId="61FD0E66"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73.36± 0.20c</w:t>
            </w:r>
          </w:p>
        </w:tc>
        <w:tc>
          <w:tcPr>
            <w:tcW w:w="1504" w:type="dxa"/>
            <w:tcBorders>
              <w:top w:val="single" w:sz="4" w:space="0" w:color="auto"/>
              <w:left w:val="nil"/>
              <w:bottom w:val="nil"/>
              <w:right w:val="nil"/>
            </w:tcBorders>
            <w:hideMark/>
          </w:tcPr>
          <w:p w14:paraId="441E4110"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64.53± 0.19d</w:t>
            </w:r>
          </w:p>
        </w:tc>
        <w:tc>
          <w:tcPr>
            <w:tcW w:w="1512" w:type="dxa"/>
            <w:tcBorders>
              <w:top w:val="single" w:sz="4" w:space="0" w:color="auto"/>
              <w:left w:val="nil"/>
              <w:bottom w:val="nil"/>
              <w:right w:val="nil"/>
            </w:tcBorders>
            <w:hideMark/>
          </w:tcPr>
          <w:p w14:paraId="57B2CCC4"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118.29± 0.03b</w:t>
            </w:r>
          </w:p>
        </w:tc>
        <w:tc>
          <w:tcPr>
            <w:tcW w:w="1512" w:type="dxa"/>
            <w:tcBorders>
              <w:top w:val="single" w:sz="4" w:space="0" w:color="auto"/>
              <w:left w:val="nil"/>
              <w:bottom w:val="nil"/>
              <w:right w:val="nil"/>
            </w:tcBorders>
            <w:hideMark/>
          </w:tcPr>
          <w:p w14:paraId="01665FC3"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30.56± 0.04e</w:t>
            </w:r>
          </w:p>
        </w:tc>
      </w:tr>
      <w:tr w:rsidR="00801973" w:rsidRPr="00873D15" w14:paraId="6DFCE21D" w14:textId="77777777" w:rsidTr="00801973">
        <w:tc>
          <w:tcPr>
            <w:tcW w:w="1535" w:type="dxa"/>
            <w:tcBorders>
              <w:top w:val="nil"/>
              <w:left w:val="nil"/>
              <w:bottom w:val="nil"/>
              <w:right w:val="nil"/>
            </w:tcBorders>
            <w:hideMark/>
          </w:tcPr>
          <w:p w14:paraId="3F8097E0" w14:textId="77777777" w:rsidR="00801973" w:rsidRPr="00873D15" w:rsidRDefault="00801973" w:rsidP="00873D15">
            <w:pPr>
              <w:spacing w:line="360" w:lineRule="auto"/>
              <w:rPr>
                <w:rFonts w:ascii="Times New Roman" w:hAnsi="Times New Roman" w:cs="Times New Roman"/>
                <w:sz w:val="24"/>
                <w:szCs w:val="24"/>
              </w:rPr>
            </w:pPr>
            <w:proofErr w:type="gramStart"/>
            <w:r w:rsidRPr="00873D15">
              <w:rPr>
                <w:rFonts w:ascii="Times New Roman" w:hAnsi="Times New Roman" w:cs="Times New Roman"/>
                <w:sz w:val="24"/>
                <w:szCs w:val="24"/>
              </w:rPr>
              <w:t>oxalates</w:t>
            </w:r>
            <w:proofErr w:type="gramEnd"/>
          </w:p>
        </w:tc>
        <w:tc>
          <w:tcPr>
            <w:tcW w:w="1503" w:type="dxa"/>
            <w:tcBorders>
              <w:top w:val="nil"/>
              <w:left w:val="nil"/>
              <w:bottom w:val="nil"/>
              <w:right w:val="nil"/>
            </w:tcBorders>
            <w:hideMark/>
          </w:tcPr>
          <w:p w14:paraId="434F5546"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55.00± 11.00b</w:t>
            </w:r>
          </w:p>
        </w:tc>
        <w:tc>
          <w:tcPr>
            <w:tcW w:w="1496" w:type="dxa"/>
            <w:tcBorders>
              <w:top w:val="nil"/>
              <w:left w:val="nil"/>
              <w:bottom w:val="nil"/>
              <w:right w:val="nil"/>
            </w:tcBorders>
            <w:hideMark/>
          </w:tcPr>
          <w:p w14:paraId="558743A8"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73.33± 6.35ab</w:t>
            </w:r>
          </w:p>
        </w:tc>
        <w:tc>
          <w:tcPr>
            <w:tcW w:w="1504" w:type="dxa"/>
            <w:tcBorders>
              <w:top w:val="nil"/>
              <w:left w:val="nil"/>
              <w:bottom w:val="nil"/>
              <w:right w:val="nil"/>
            </w:tcBorders>
            <w:hideMark/>
          </w:tcPr>
          <w:p w14:paraId="413B6D15"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69.67± 6.35ab</w:t>
            </w:r>
          </w:p>
        </w:tc>
        <w:tc>
          <w:tcPr>
            <w:tcW w:w="1512" w:type="dxa"/>
            <w:tcBorders>
              <w:top w:val="nil"/>
              <w:left w:val="nil"/>
              <w:bottom w:val="nil"/>
              <w:right w:val="nil"/>
            </w:tcBorders>
            <w:hideMark/>
          </w:tcPr>
          <w:p w14:paraId="1FD48B6F"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80.67± 6.35a</w:t>
            </w:r>
          </w:p>
        </w:tc>
        <w:tc>
          <w:tcPr>
            <w:tcW w:w="1512" w:type="dxa"/>
            <w:tcBorders>
              <w:top w:val="nil"/>
              <w:left w:val="nil"/>
              <w:bottom w:val="nil"/>
              <w:right w:val="nil"/>
            </w:tcBorders>
            <w:hideMark/>
          </w:tcPr>
          <w:p w14:paraId="37F5DBC5"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77.00± 11.00a</w:t>
            </w:r>
          </w:p>
        </w:tc>
      </w:tr>
      <w:tr w:rsidR="00801973" w:rsidRPr="00873D15" w14:paraId="4403925C" w14:textId="77777777" w:rsidTr="00801973">
        <w:tc>
          <w:tcPr>
            <w:tcW w:w="1535" w:type="dxa"/>
            <w:tcBorders>
              <w:top w:val="nil"/>
              <w:left w:val="nil"/>
              <w:bottom w:val="single" w:sz="4" w:space="0" w:color="auto"/>
              <w:right w:val="nil"/>
            </w:tcBorders>
            <w:hideMark/>
          </w:tcPr>
          <w:p w14:paraId="197B72AA"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 xml:space="preserve">Hydrocyanic acid </w:t>
            </w:r>
          </w:p>
        </w:tc>
        <w:tc>
          <w:tcPr>
            <w:tcW w:w="1503" w:type="dxa"/>
            <w:tcBorders>
              <w:top w:val="nil"/>
              <w:left w:val="nil"/>
              <w:bottom w:val="single" w:sz="4" w:space="0" w:color="auto"/>
              <w:right w:val="nil"/>
            </w:tcBorders>
            <w:hideMark/>
          </w:tcPr>
          <w:p w14:paraId="2FEAAE9D"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16.85± 0.14d</w:t>
            </w:r>
          </w:p>
        </w:tc>
        <w:tc>
          <w:tcPr>
            <w:tcW w:w="1496" w:type="dxa"/>
            <w:tcBorders>
              <w:top w:val="nil"/>
              <w:left w:val="nil"/>
              <w:bottom w:val="single" w:sz="4" w:space="0" w:color="auto"/>
              <w:right w:val="nil"/>
            </w:tcBorders>
            <w:hideMark/>
          </w:tcPr>
          <w:p w14:paraId="5939821E"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20.61± 0.16a</w:t>
            </w:r>
          </w:p>
        </w:tc>
        <w:tc>
          <w:tcPr>
            <w:tcW w:w="1504" w:type="dxa"/>
            <w:tcBorders>
              <w:top w:val="nil"/>
              <w:left w:val="nil"/>
              <w:bottom w:val="single" w:sz="4" w:space="0" w:color="auto"/>
              <w:right w:val="nil"/>
            </w:tcBorders>
            <w:hideMark/>
          </w:tcPr>
          <w:p w14:paraId="0E41A4E0"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18.81± 0.16c</w:t>
            </w:r>
          </w:p>
        </w:tc>
        <w:tc>
          <w:tcPr>
            <w:tcW w:w="1512" w:type="dxa"/>
            <w:tcBorders>
              <w:top w:val="nil"/>
              <w:left w:val="nil"/>
              <w:bottom w:val="single" w:sz="4" w:space="0" w:color="auto"/>
              <w:right w:val="nil"/>
            </w:tcBorders>
            <w:hideMark/>
          </w:tcPr>
          <w:p w14:paraId="075ECF0A"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20.34± 0.16a</w:t>
            </w:r>
          </w:p>
        </w:tc>
        <w:tc>
          <w:tcPr>
            <w:tcW w:w="1512" w:type="dxa"/>
            <w:tcBorders>
              <w:top w:val="nil"/>
              <w:left w:val="nil"/>
              <w:bottom w:val="single" w:sz="4" w:space="0" w:color="auto"/>
              <w:right w:val="nil"/>
            </w:tcBorders>
            <w:hideMark/>
          </w:tcPr>
          <w:p w14:paraId="5B3965CF" w14:textId="77777777"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19.62± 0.16b</w:t>
            </w:r>
          </w:p>
        </w:tc>
      </w:tr>
    </w:tbl>
    <w:p w14:paraId="5812BD4B" w14:textId="77777777" w:rsidR="00801973" w:rsidRPr="00873D15" w:rsidRDefault="00801973" w:rsidP="00873D15">
      <w:pPr>
        <w:spacing w:before="100" w:beforeAutospacing="1" w:after="100" w:afterAutospacing="1" w:line="360" w:lineRule="auto"/>
        <w:outlineLvl w:val="2"/>
        <w:rPr>
          <w:rStyle w:val="Emphasis"/>
          <w:rFonts w:ascii="Times New Roman" w:eastAsiaTheme="majorEastAsia" w:hAnsi="Times New Roman" w:cs="Times New Roman"/>
          <w:sz w:val="24"/>
          <w:szCs w:val="24"/>
        </w:rPr>
      </w:pPr>
      <w:r w:rsidRPr="00873D15">
        <w:rPr>
          <w:rStyle w:val="Emphasis"/>
          <w:rFonts w:ascii="Times New Roman" w:eastAsiaTheme="majorEastAsia" w:hAnsi="Times New Roman" w:cs="Times New Roman"/>
          <w:sz w:val="24"/>
          <w:szCs w:val="24"/>
        </w:rPr>
        <w:t>Values are means ± standard deviation (n = 3). Means followed by different superscript letters are significantly different (p &lt; 0.05, Duncan's multiple range test).</w:t>
      </w:r>
    </w:p>
    <w:p w14:paraId="61F4D956" w14:textId="77777777" w:rsidR="00801973" w:rsidRPr="00873D15" w:rsidRDefault="00801973" w:rsidP="00873D15">
      <w:pPr>
        <w:spacing w:before="100" w:beforeAutospacing="1" w:after="100" w:afterAutospacing="1" w:line="360" w:lineRule="auto"/>
        <w:outlineLvl w:val="2"/>
        <w:rPr>
          <w:rFonts w:ascii="Times New Roman" w:eastAsia="Times New Roman" w:hAnsi="Times New Roman" w:cs="Times New Roman"/>
          <w:sz w:val="24"/>
          <w:szCs w:val="24"/>
          <w:lang w:eastAsia="fr-FR"/>
        </w:rPr>
      </w:pPr>
    </w:p>
    <w:p w14:paraId="09429216" w14:textId="77777777" w:rsidR="00801973" w:rsidRPr="00873D15" w:rsidRDefault="00801973" w:rsidP="00873D15">
      <w:pPr>
        <w:spacing w:before="100" w:beforeAutospacing="1" w:after="100" w:afterAutospacing="1" w:line="360" w:lineRule="auto"/>
        <w:outlineLvl w:val="2"/>
        <w:rPr>
          <w:rFonts w:ascii="Times New Roman" w:eastAsia="Times New Roman" w:hAnsi="Times New Roman" w:cs="Times New Roman"/>
          <w:b/>
          <w:bCs/>
          <w:sz w:val="24"/>
          <w:szCs w:val="24"/>
          <w:lang w:eastAsia="fr-FR"/>
        </w:rPr>
      </w:pPr>
      <w:r w:rsidRPr="00873D15">
        <w:rPr>
          <w:rFonts w:ascii="Times New Roman" w:eastAsia="Times New Roman" w:hAnsi="Times New Roman" w:cs="Times New Roman"/>
          <w:b/>
          <w:bCs/>
          <w:sz w:val="24"/>
          <w:szCs w:val="24"/>
          <w:lang w:eastAsia="fr-FR"/>
        </w:rPr>
        <w:t xml:space="preserve">3.4 Multivariate analysis </w:t>
      </w:r>
    </w:p>
    <w:p w14:paraId="59EB014D" w14:textId="77777777" w:rsidR="00801973" w:rsidRPr="00873D15" w:rsidRDefault="00801973" w:rsidP="00873D15">
      <w:pPr>
        <w:spacing w:before="100" w:beforeAutospacing="1" w:after="100" w:afterAutospacing="1" w:line="360" w:lineRule="auto"/>
        <w:outlineLvl w:val="2"/>
        <w:rPr>
          <w:rFonts w:ascii="Times New Roman" w:eastAsia="Times New Roman" w:hAnsi="Times New Roman" w:cs="Times New Roman"/>
          <w:b/>
          <w:bCs/>
          <w:sz w:val="24"/>
          <w:szCs w:val="24"/>
          <w:lang w:eastAsia="fr-FR"/>
        </w:rPr>
      </w:pPr>
      <w:r w:rsidRPr="00873D15">
        <w:rPr>
          <w:rFonts w:ascii="Times New Roman" w:eastAsia="Times New Roman" w:hAnsi="Times New Roman" w:cs="Times New Roman"/>
          <w:b/>
          <w:bCs/>
          <w:sz w:val="24"/>
          <w:szCs w:val="24"/>
          <w:lang w:eastAsia="fr-FR"/>
        </w:rPr>
        <w:t>3.4.1 Principal component analysis (PCA) and ascending hierarchical classification</w:t>
      </w:r>
    </w:p>
    <w:p w14:paraId="279DC05D" w14:textId="77777777" w:rsidR="00801973" w:rsidRPr="00873D15" w:rsidRDefault="00801973" w:rsidP="00873D15">
      <w:pPr>
        <w:spacing w:before="100" w:beforeAutospacing="1" w:after="100" w:afterAutospacing="1" w:line="360" w:lineRule="auto"/>
        <w:jc w:val="both"/>
        <w:outlineLvl w:val="2"/>
        <w:rPr>
          <w:rFonts w:ascii="Times New Roman" w:eastAsia="Times New Roman" w:hAnsi="Times New Roman" w:cs="Times New Roman"/>
          <w:sz w:val="24"/>
          <w:szCs w:val="24"/>
          <w:lang w:eastAsia="fr-FR"/>
        </w:rPr>
      </w:pPr>
      <w:r w:rsidRPr="00873D15">
        <w:rPr>
          <w:rFonts w:ascii="Times New Roman" w:eastAsia="Times New Roman" w:hAnsi="Times New Roman" w:cs="Times New Roman"/>
          <w:sz w:val="24"/>
          <w:szCs w:val="24"/>
          <w:lang w:eastAsia="fr-FR"/>
        </w:rPr>
        <w:lastRenderedPageBreak/>
        <w:t>This section presents the results of the Principal Component Analysis (PCA) and hierarchical classification (HCA) performed on the matrices of biochemical and physicochemical parameters of the seed coats of five rubber tree clones grown in Côte d'Ivoire. PCA reduced the data dimension to two principal axes, which together explain 78.50% of the total variance. Axis 1 (PC1) explains 52.82% and axis 2 (PC2) 25.68%. Axis 1 distinguishes clones rich in lipids, tannins and polyphenols (IRCA230 and IRCA41) from clones with high fibre content (PB217, GT1 and IRCA331). Axis 2 mainly separates clones according to their acidity and sugar content.</w:t>
      </w:r>
    </w:p>
    <w:p w14:paraId="69E97E02" w14:textId="5CAB3E17" w:rsidR="00801973" w:rsidRPr="00873D15" w:rsidRDefault="00F91E02" w:rsidP="00873D15">
      <w:pPr>
        <w:spacing w:before="100" w:beforeAutospacing="1" w:after="100" w:afterAutospacing="1" w:line="360" w:lineRule="auto"/>
        <w:jc w:val="both"/>
        <w:outlineLvl w:val="2"/>
        <w:rPr>
          <w:rFonts w:ascii="Times New Roman" w:eastAsia="Times New Roman" w:hAnsi="Times New Roman" w:cs="Times New Roman"/>
          <w:sz w:val="24"/>
          <w:szCs w:val="24"/>
          <w:lang w:eastAsia="fr-FR"/>
        </w:rPr>
      </w:pPr>
      <w:r w:rsidRPr="00873D15">
        <w:rPr>
          <w:rFonts w:ascii="Times New Roman" w:eastAsia="Times New Roman" w:hAnsi="Times New Roman" w:cs="Times New Roman"/>
          <w:sz w:val="24"/>
          <w:szCs w:val="24"/>
          <w:lang w:eastAsia="fr-FR"/>
        </w:rPr>
        <w:t xml:space="preserve">Fig .1 </w:t>
      </w:r>
      <w:r w:rsidR="006404E6" w:rsidRPr="00873D15">
        <w:rPr>
          <w:rFonts w:ascii="Times New Roman" w:eastAsia="Times New Roman" w:hAnsi="Times New Roman" w:cs="Times New Roman"/>
          <w:sz w:val="24"/>
          <w:szCs w:val="24"/>
          <w:lang w:eastAsia="fr-FR"/>
        </w:rPr>
        <w:t>PCA - Rubber tree seed shells</w:t>
      </w:r>
    </w:p>
    <w:p w14:paraId="3D9404D8" w14:textId="3D21A09F" w:rsidR="00801973" w:rsidRPr="00873D15" w:rsidRDefault="00801973" w:rsidP="00873D15">
      <w:pPr>
        <w:spacing w:line="360" w:lineRule="auto"/>
        <w:rPr>
          <w:rFonts w:ascii="Times New Roman" w:hAnsi="Times New Roman" w:cs="Times New Roman"/>
          <w:noProof/>
          <w:sz w:val="24"/>
          <w:szCs w:val="24"/>
        </w:rPr>
      </w:pPr>
      <w:r w:rsidRPr="00873D15">
        <w:rPr>
          <w:rFonts w:ascii="Times New Roman" w:hAnsi="Times New Roman" w:cs="Times New Roman"/>
          <w:noProof/>
          <w:sz w:val="24"/>
          <w:szCs w:val="24"/>
        </w:rPr>
        <w:drawing>
          <wp:inline distT="0" distB="0" distL="0" distR="0" wp14:anchorId="4A2DAA20" wp14:editId="22B5AB1B">
            <wp:extent cx="5029200" cy="3665220"/>
            <wp:effectExtent l="0" t="0" r="0" b="0"/>
            <wp:docPr id="4" name="Image 4" descr="Une image contenant texte, ligne, nombr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image contenant texte, ligne, nombre, Tracé&#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9200" cy="3665220"/>
                    </a:xfrm>
                    <a:prstGeom prst="rect">
                      <a:avLst/>
                    </a:prstGeom>
                    <a:noFill/>
                    <a:ln>
                      <a:noFill/>
                    </a:ln>
                  </pic:spPr>
                </pic:pic>
              </a:graphicData>
            </a:graphic>
          </wp:inline>
        </w:drawing>
      </w:r>
    </w:p>
    <w:p w14:paraId="728A9E71" w14:textId="77777777" w:rsidR="00801973" w:rsidRPr="00873D15" w:rsidRDefault="00801973" w:rsidP="00873D15">
      <w:pPr>
        <w:pStyle w:val="Heading2"/>
        <w:spacing w:line="360" w:lineRule="auto"/>
        <w:jc w:val="both"/>
        <w:rPr>
          <w:rFonts w:ascii="Times New Roman" w:hAnsi="Times New Roman" w:cs="Times New Roman"/>
          <w:color w:val="000000" w:themeColor="text1"/>
          <w:sz w:val="24"/>
          <w:szCs w:val="24"/>
        </w:rPr>
      </w:pPr>
      <w:r w:rsidRPr="00873D15">
        <w:rPr>
          <w:rFonts w:ascii="Times New Roman" w:hAnsi="Times New Roman" w:cs="Times New Roman"/>
          <w:color w:val="000000" w:themeColor="text1"/>
          <w:sz w:val="24"/>
          <w:szCs w:val="24"/>
        </w:rPr>
        <w:t>3.4.2 Correlation circle and factorial projection</w:t>
      </w:r>
    </w:p>
    <w:p w14:paraId="4AED5C4C" w14:textId="77777777" w:rsidR="00801973" w:rsidRPr="00873D15" w:rsidRDefault="00801973" w:rsidP="00873D15">
      <w:pPr>
        <w:spacing w:line="360" w:lineRule="auto"/>
        <w:jc w:val="both"/>
        <w:rPr>
          <w:rFonts w:ascii="Times New Roman" w:hAnsi="Times New Roman" w:cs="Times New Roman"/>
          <w:sz w:val="24"/>
          <w:szCs w:val="24"/>
        </w:rPr>
      </w:pPr>
      <w:r w:rsidRPr="00873D15">
        <w:rPr>
          <w:rFonts w:ascii="Times New Roman" w:hAnsi="Times New Roman" w:cs="Times New Roman"/>
          <w:sz w:val="24"/>
          <w:szCs w:val="24"/>
        </w:rPr>
        <w:t xml:space="preserve">In order to further interpret the Principal Component Analysis (PCA), a correlation circle and factorial projection of the clones were produced. These representations allow the contribution of the variables and the distribution of the clones to be visualised simultaneously in the plane formed by the first two principal axes. The correlation circle shows that the variables lipids, tannins and polyphenols are strongly positively correlated with axis 1 (PC1), indicating that it expresses </w:t>
      </w:r>
      <w:proofErr w:type="gramStart"/>
      <w:r w:rsidRPr="00873D15">
        <w:rPr>
          <w:rFonts w:ascii="Times New Roman" w:hAnsi="Times New Roman" w:cs="Times New Roman"/>
          <w:sz w:val="24"/>
          <w:szCs w:val="24"/>
        </w:rPr>
        <w:t>a</w:t>
      </w:r>
      <w:proofErr w:type="gramEnd"/>
      <w:r w:rsidRPr="00873D15">
        <w:rPr>
          <w:rFonts w:ascii="Times New Roman" w:hAnsi="Times New Roman" w:cs="Times New Roman"/>
          <w:sz w:val="24"/>
          <w:szCs w:val="24"/>
        </w:rPr>
        <w:t xml:space="preserve"> gradient of metabolic richness. In contrast, fibre and moisture are negatively correlated with this same axis. Axis 2 (PC2) is mainly influenced by pH and total sugars, reflecting a biochemical gradient linked to the preservation properties of the shells.</w:t>
      </w:r>
    </w:p>
    <w:p w14:paraId="0EFAA435" w14:textId="77777777" w:rsidR="00801973" w:rsidRPr="00873D15" w:rsidRDefault="00801973" w:rsidP="00873D15">
      <w:pPr>
        <w:spacing w:line="360" w:lineRule="auto"/>
        <w:rPr>
          <w:rFonts w:ascii="Times New Roman" w:hAnsi="Times New Roman" w:cs="Times New Roman"/>
          <w:sz w:val="24"/>
          <w:szCs w:val="24"/>
        </w:rPr>
      </w:pPr>
    </w:p>
    <w:p w14:paraId="0E8EC97D" w14:textId="77777777" w:rsidR="00F91E02" w:rsidRPr="00873D15" w:rsidRDefault="00F91E02" w:rsidP="00873D15">
      <w:pPr>
        <w:spacing w:line="360" w:lineRule="auto"/>
        <w:rPr>
          <w:rFonts w:ascii="Times New Roman" w:hAnsi="Times New Roman" w:cs="Times New Roman"/>
          <w:sz w:val="24"/>
          <w:szCs w:val="24"/>
        </w:rPr>
      </w:pPr>
    </w:p>
    <w:p w14:paraId="7065D203" w14:textId="528E2732" w:rsidR="00F91E02" w:rsidRPr="00873D15" w:rsidRDefault="00F91E02" w:rsidP="00873D15">
      <w:pPr>
        <w:spacing w:line="360" w:lineRule="auto"/>
        <w:rPr>
          <w:rFonts w:ascii="Times New Roman" w:hAnsi="Times New Roman" w:cs="Times New Roman"/>
          <w:sz w:val="24"/>
          <w:szCs w:val="24"/>
        </w:rPr>
      </w:pPr>
      <w:r w:rsidRPr="00873D15">
        <w:rPr>
          <w:rFonts w:ascii="Times New Roman" w:hAnsi="Times New Roman" w:cs="Times New Roman"/>
          <w:sz w:val="24"/>
          <w:szCs w:val="24"/>
        </w:rPr>
        <w:t xml:space="preserve">Fig .2 </w:t>
      </w:r>
      <w:r w:rsidR="006404E6" w:rsidRPr="00873D15">
        <w:rPr>
          <w:rFonts w:ascii="Times New Roman" w:hAnsi="Times New Roman" w:cs="Times New Roman"/>
          <w:sz w:val="24"/>
          <w:szCs w:val="24"/>
        </w:rPr>
        <w:t>Correlation Circle of Variables (PCA)</w:t>
      </w:r>
    </w:p>
    <w:p w14:paraId="407A3B81" w14:textId="7CF1E0CE" w:rsidR="00801973" w:rsidRPr="00873D15" w:rsidRDefault="00801973" w:rsidP="00873D15">
      <w:pPr>
        <w:spacing w:line="360" w:lineRule="auto"/>
        <w:rPr>
          <w:rFonts w:ascii="Times New Roman" w:hAnsi="Times New Roman" w:cs="Times New Roman"/>
          <w:noProof/>
          <w:sz w:val="24"/>
          <w:szCs w:val="24"/>
        </w:rPr>
      </w:pPr>
      <w:r w:rsidRPr="00873D15">
        <w:rPr>
          <w:rFonts w:ascii="Times New Roman" w:hAnsi="Times New Roman" w:cs="Times New Roman"/>
          <w:noProof/>
          <w:sz w:val="24"/>
          <w:szCs w:val="24"/>
        </w:rPr>
        <w:drawing>
          <wp:inline distT="0" distB="0" distL="0" distR="0" wp14:anchorId="54E45CD3" wp14:editId="49347824">
            <wp:extent cx="5029200" cy="4274820"/>
            <wp:effectExtent l="0" t="0" r="0" b="0"/>
            <wp:docPr id="3" name="Image 3" descr="Une image contenant texte, diagramme, lign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image contenant texte, diagramme, lign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9200" cy="4274820"/>
                    </a:xfrm>
                    <a:prstGeom prst="rect">
                      <a:avLst/>
                    </a:prstGeom>
                    <a:noFill/>
                    <a:ln>
                      <a:noFill/>
                    </a:ln>
                  </pic:spPr>
                </pic:pic>
              </a:graphicData>
            </a:graphic>
          </wp:inline>
        </w:drawing>
      </w:r>
    </w:p>
    <w:p w14:paraId="2C498AD2" w14:textId="77777777" w:rsidR="00801973" w:rsidRPr="00873D15" w:rsidRDefault="00801973" w:rsidP="00873D15">
      <w:pPr>
        <w:spacing w:line="360" w:lineRule="auto"/>
        <w:jc w:val="both"/>
        <w:rPr>
          <w:rFonts w:ascii="Times New Roman" w:hAnsi="Times New Roman" w:cs="Times New Roman"/>
          <w:sz w:val="24"/>
          <w:szCs w:val="24"/>
        </w:rPr>
      </w:pPr>
      <w:r w:rsidRPr="00873D15">
        <w:rPr>
          <w:rFonts w:ascii="Times New Roman" w:hAnsi="Times New Roman" w:cs="Times New Roman"/>
          <w:sz w:val="24"/>
          <w:szCs w:val="24"/>
        </w:rPr>
        <w:t xml:space="preserve">The projection of the clones on the factorial plane shows two distinct </w:t>
      </w:r>
      <w:proofErr w:type="gramStart"/>
      <w:r w:rsidRPr="00873D15">
        <w:rPr>
          <w:rFonts w:ascii="Times New Roman" w:hAnsi="Times New Roman" w:cs="Times New Roman"/>
          <w:sz w:val="24"/>
          <w:szCs w:val="24"/>
        </w:rPr>
        <w:t>groups:</w:t>
      </w:r>
      <w:proofErr w:type="gramEnd"/>
      <w:r w:rsidRPr="00873D15">
        <w:rPr>
          <w:rFonts w:ascii="Times New Roman" w:hAnsi="Times New Roman" w:cs="Times New Roman"/>
          <w:sz w:val="24"/>
          <w:szCs w:val="24"/>
        </w:rPr>
        <w:t xml:space="preserve"> the first, composed of IRCA230 and IRCA41, includes the clones richest in bioactive compounds; the second, formed by PB217, GT1 and IRCA331, includes the predominantly fibrous clones. This distribution confirms the results of the dendrogram and reinforces the consistency of the hierarchical classification.</w:t>
      </w:r>
    </w:p>
    <w:p w14:paraId="64379F6E" w14:textId="77777777" w:rsidR="006404E6" w:rsidRPr="00873D15" w:rsidRDefault="006404E6" w:rsidP="00873D15">
      <w:pPr>
        <w:spacing w:line="360" w:lineRule="auto"/>
        <w:jc w:val="both"/>
        <w:rPr>
          <w:rFonts w:ascii="Times New Roman" w:hAnsi="Times New Roman" w:cs="Times New Roman"/>
          <w:sz w:val="24"/>
          <w:szCs w:val="24"/>
        </w:rPr>
      </w:pPr>
    </w:p>
    <w:p w14:paraId="34CA67BF" w14:textId="14C8D83E" w:rsidR="006404E6" w:rsidRPr="00873D15" w:rsidRDefault="006404E6" w:rsidP="00873D15">
      <w:pPr>
        <w:spacing w:line="360" w:lineRule="auto"/>
        <w:jc w:val="both"/>
        <w:rPr>
          <w:rFonts w:ascii="Times New Roman" w:hAnsi="Times New Roman" w:cs="Times New Roman"/>
          <w:sz w:val="24"/>
          <w:szCs w:val="24"/>
        </w:rPr>
      </w:pPr>
      <w:r w:rsidRPr="00873D15">
        <w:rPr>
          <w:rFonts w:ascii="Times New Roman" w:hAnsi="Times New Roman" w:cs="Times New Roman"/>
          <w:sz w:val="24"/>
          <w:szCs w:val="24"/>
        </w:rPr>
        <w:t>Fig .3 Projection of the clones on the factorial plane (PCA)</w:t>
      </w:r>
    </w:p>
    <w:p w14:paraId="1C5F74A8" w14:textId="6A40DB03" w:rsidR="00801973" w:rsidRPr="00873D15" w:rsidRDefault="00801973" w:rsidP="00873D15">
      <w:pPr>
        <w:spacing w:line="360" w:lineRule="auto"/>
        <w:jc w:val="both"/>
        <w:rPr>
          <w:rFonts w:ascii="Times New Roman" w:hAnsi="Times New Roman" w:cs="Times New Roman"/>
          <w:sz w:val="24"/>
          <w:szCs w:val="24"/>
        </w:rPr>
      </w:pPr>
      <w:r w:rsidRPr="00873D15">
        <w:rPr>
          <w:rFonts w:ascii="Times New Roman" w:hAnsi="Times New Roman" w:cs="Times New Roman"/>
          <w:noProof/>
          <w:sz w:val="24"/>
          <w:szCs w:val="24"/>
        </w:rPr>
        <w:lastRenderedPageBreak/>
        <w:drawing>
          <wp:inline distT="0" distB="0" distL="0" distR="0" wp14:anchorId="57C9E444" wp14:editId="32E0E569">
            <wp:extent cx="3954780" cy="3368040"/>
            <wp:effectExtent l="0" t="0" r="7620" b="3810"/>
            <wp:docPr id="2" name="Image 2" descr="Une image contenant texte, ligne, nombr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image contenant texte, ligne, nombre, Tracé&#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4780" cy="3368040"/>
                    </a:xfrm>
                    <a:prstGeom prst="rect">
                      <a:avLst/>
                    </a:prstGeom>
                    <a:noFill/>
                    <a:ln>
                      <a:noFill/>
                    </a:ln>
                  </pic:spPr>
                </pic:pic>
              </a:graphicData>
            </a:graphic>
          </wp:inline>
        </w:drawing>
      </w:r>
    </w:p>
    <w:p w14:paraId="150B06C2" w14:textId="77777777" w:rsidR="00801973" w:rsidRPr="00873D15" w:rsidRDefault="00801973" w:rsidP="00873D15">
      <w:pPr>
        <w:spacing w:line="360" w:lineRule="auto"/>
        <w:ind w:firstLine="708"/>
        <w:jc w:val="both"/>
        <w:rPr>
          <w:rFonts w:ascii="Times New Roman" w:hAnsi="Times New Roman" w:cs="Times New Roman"/>
          <w:b/>
          <w:bCs/>
          <w:sz w:val="24"/>
          <w:szCs w:val="24"/>
        </w:rPr>
      </w:pPr>
    </w:p>
    <w:p w14:paraId="630EFD04" w14:textId="77777777" w:rsidR="00801973" w:rsidRPr="00873D15" w:rsidRDefault="00801973" w:rsidP="00873D15">
      <w:pPr>
        <w:spacing w:line="360" w:lineRule="auto"/>
        <w:ind w:firstLine="708"/>
        <w:jc w:val="both"/>
        <w:rPr>
          <w:rFonts w:ascii="Times New Roman" w:hAnsi="Times New Roman" w:cs="Times New Roman"/>
          <w:b/>
          <w:bCs/>
          <w:sz w:val="24"/>
          <w:szCs w:val="24"/>
        </w:rPr>
      </w:pPr>
      <w:r w:rsidRPr="00873D15">
        <w:rPr>
          <w:rFonts w:ascii="Times New Roman" w:hAnsi="Times New Roman" w:cs="Times New Roman"/>
          <w:b/>
          <w:bCs/>
          <w:sz w:val="24"/>
          <w:szCs w:val="24"/>
        </w:rPr>
        <w:t>3.4.3 Hierarchical classification (CAH)</w:t>
      </w:r>
    </w:p>
    <w:p w14:paraId="510D79AA" w14:textId="77777777" w:rsidR="00801973" w:rsidRPr="00873D15" w:rsidRDefault="00801973" w:rsidP="00873D15">
      <w:pPr>
        <w:spacing w:line="360" w:lineRule="auto"/>
        <w:jc w:val="both"/>
        <w:rPr>
          <w:rFonts w:ascii="Times New Roman" w:hAnsi="Times New Roman" w:cs="Times New Roman"/>
          <w:sz w:val="24"/>
          <w:szCs w:val="24"/>
        </w:rPr>
      </w:pPr>
      <w:r w:rsidRPr="00873D15">
        <w:rPr>
          <w:rFonts w:ascii="Times New Roman" w:hAnsi="Times New Roman" w:cs="Times New Roman"/>
          <w:sz w:val="24"/>
          <w:szCs w:val="24"/>
        </w:rPr>
        <w:t xml:space="preserve">The ascending hierarchical analysis groups the clones into two main </w:t>
      </w:r>
      <w:proofErr w:type="gramStart"/>
      <w:r w:rsidRPr="00873D15">
        <w:rPr>
          <w:rFonts w:ascii="Times New Roman" w:hAnsi="Times New Roman" w:cs="Times New Roman"/>
          <w:sz w:val="24"/>
          <w:szCs w:val="24"/>
        </w:rPr>
        <w:t>clusters:</w:t>
      </w:r>
      <w:proofErr w:type="gramEnd"/>
      <w:r w:rsidRPr="00873D15">
        <w:rPr>
          <w:rFonts w:ascii="Times New Roman" w:hAnsi="Times New Roman" w:cs="Times New Roman"/>
          <w:sz w:val="24"/>
          <w:szCs w:val="24"/>
        </w:rPr>
        <w:t xml:space="preserve"> IRCA230 and IRCA41 (rich in bioactive compounds), and a second group consisting of PB217, GT1 and IRCA331, characterised by a more fibrous and less lipidic profile.</w:t>
      </w:r>
    </w:p>
    <w:p w14:paraId="73434CE1" w14:textId="63A7FAF5" w:rsidR="00F91E02" w:rsidRPr="00873D15" w:rsidRDefault="00F91E02" w:rsidP="00873D15">
      <w:pPr>
        <w:spacing w:line="360" w:lineRule="auto"/>
        <w:jc w:val="both"/>
        <w:rPr>
          <w:rFonts w:ascii="Times New Roman" w:hAnsi="Times New Roman" w:cs="Times New Roman"/>
          <w:sz w:val="24"/>
          <w:szCs w:val="24"/>
        </w:rPr>
      </w:pPr>
      <w:r w:rsidRPr="00873D15">
        <w:rPr>
          <w:rFonts w:ascii="Times New Roman" w:hAnsi="Times New Roman" w:cs="Times New Roman"/>
          <w:sz w:val="24"/>
          <w:szCs w:val="24"/>
        </w:rPr>
        <w:t xml:space="preserve">Fig.4 </w:t>
      </w:r>
      <w:r w:rsidR="006404E6" w:rsidRPr="00873D15">
        <w:rPr>
          <w:rFonts w:ascii="Times New Roman" w:hAnsi="Times New Roman" w:cs="Times New Roman"/>
          <w:sz w:val="24"/>
          <w:szCs w:val="24"/>
        </w:rPr>
        <w:t>Dendrogram - Hierarchical Classification of rubber tree clones</w:t>
      </w:r>
    </w:p>
    <w:p w14:paraId="0D01483A" w14:textId="0931F643" w:rsidR="00801973" w:rsidRPr="00873D15" w:rsidRDefault="00801973" w:rsidP="00873D15">
      <w:pPr>
        <w:spacing w:line="360" w:lineRule="auto"/>
        <w:rPr>
          <w:rFonts w:ascii="Times New Roman" w:hAnsi="Times New Roman" w:cs="Times New Roman"/>
          <w:sz w:val="24"/>
          <w:szCs w:val="24"/>
        </w:rPr>
      </w:pPr>
      <w:r w:rsidRPr="00873D15">
        <w:rPr>
          <w:rFonts w:ascii="Times New Roman" w:hAnsi="Times New Roman" w:cs="Times New Roman"/>
          <w:noProof/>
          <w:sz w:val="24"/>
          <w:szCs w:val="24"/>
        </w:rPr>
        <w:lastRenderedPageBreak/>
        <w:drawing>
          <wp:inline distT="0" distB="0" distL="0" distR="0" wp14:anchorId="7746E7D5" wp14:editId="3E5374D3">
            <wp:extent cx="4899660" cy="3810000"/>
            <wp:effectExtent l="0" t="0" r="0" b="0"/>
            <wp:docPr id="1" name="Image 1"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 image contenant texte, diagramme, ligne, Tracé&#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9660" cy="3810000"/>
                    </a:xfrm>
                    <a:prstGeom prst="rect">
                      <a:avLst/>
                    </a:prstGeom>
                    <a:noFill/>
                    <a:ln>
                      <a:noFill/>
                    </a:ln>
                  </pic:spPr>
                </pic:pic>
              </a:graphicData>
            </a:graphic>
          </wp:inline>
        </w:drawing>
      </w:r>
    </w:p>
    <w:p w14:paraId="053C87E8" w14:textId="77777777" w:rsidR="00801973" w:rsidRPr="00873D15" w:rsidRDefault="00801973" w:rsidP="00873D15">
      <w:pPr>
        <w:spacing w:line="360" w:lineRule="auto"/>
        <w:rPr>
          <w:rFonts w:ascii="Times New Roman" w:hAnsi="Times New Roman" w:cs="Times New Roman"/>
          <w:sz w:val="24"/>
          <w:szCs w:val="24"/>
        </w:rPr>
      </w:pPr>
    </w:p>
    <w:p w14:paraId="7E36708C" w14:textId="77777777" w:rsidR="00801973" w:rsidRPr="00873D15" w:rsidRDefault="00801973" w:rsidP="00873D15">
      <w:pPr>
        <w:spacing w:line="360" w:lineRule="auto"/>
        <w:rPr>
          <w:rFonts w:ascii="Times New Roman" w:hAnsi="Times New Roman" w:cs="Times New Roman"/>
          <w:b/>
          <w:bCs/>
          <w:sz w:val="24"/>
          <w:szCs w:val="24"/>
        </w:rPr>
      </w:pPr>
      <w:r w:rsidRPr="00873D15">
        <w:rPr>
          <w:rFonts w:ascii="Times New Roman" w:hAnsi="Times New Roman" w:cs="Times New Roman"/>
          <w:b/>
          <w:bCs/>
          <w:sz w:val="24"/>
          <w:szCs w:val="24"/>
        </w:rPr>
        <w:t>4. DISCUSSION</w:t>
      </w:r>
    </w:p>
    <w:p w14:paraId="27BD3DB8" w14:textId="74BCA22D" w:rsidR="00C71F69" w:rsidRDefault="00C71F69" w:rsidP="00C71F69">
      <w:pPr>
        <w:spacing w:before="100" w:beforeAutospacing="1" w:after="100" w:afterAutospacing="1" w:line="360" w:lineRule="auto"/>
        <w:jc w:val="both"/>
        <w:rPr>
          <w:rFonts w:ascii="Times New Roman" w:eastAsia="Times New Roman" w:hAnsi="Times New Roman" w:cs="Times New Roman"/>
          <w:sz w:val="24"/>
          <w:szCs w:val="24"/>
          <w:lang w:eastAsia="fr-FR"/>
        </w:rPr>
      </w:pPr>
      <w:r w:rsidRPr="00C71F69">
        <w:rPr>
          <w:rFonts w:ascii="Times New Roman" w:eastAsia="Times New Roman" w:hAnsi="Times New Roman" w:cs="Times New Roman"/>
          <w:sz w:val="24"/>
          <w:szCs w:val="24"/>
          <w:lang w:eastAsia="fr-FR"/>
        </w:rPr>
        <w:t xml:space="preserve">The present study revealed substantial inter-clonal variation in the physicochemical, phytochemical and antinutritional characteristics of </w:t>
      </w:r>
      <w:r w:rsidRPr="00C71F69">
        <w:rPr>
          <w:rFonts w:ascii="Times New Roman" w:eastAsia="Times New Roman" w:hAnsi="Times New Roman" w:cs="Times New Roman"/>
          <w:i/>
          <w:iCs/>
          <w:sz w:val="24"/>
          <w:szCs w:val="24"/>
          <w:lang w:eastAsia="fr-FR"/>
        </w:rPr>
        <w:t>Hevea brasiliensis</w:t>
      </w:r>
      <w:r w:rsidRPr="00C71F69">
        <w:rPr>
          <w:rFonts w:ascii="Times New Roman" w:eastAsia="Times New Roman" w:hAnsi="Times New Roman" w:cs="Times New Roman"/>
          <w:sz w:val="24"/>
          <w:szCs w:val="24"/>
          <w:lang w:eastAsia="fr-FR"/>
        </w:rPr>
        <w:t xml:space="preserve"> seed shells from five clones widely cultivated in Côte d’Ivoire. These findings emphasise the biochemical diversity within the species and the potential of specific clones for targeted valorisation strategies.</w:t>
      </w:r>
      <w:r>
        <w:rPr>
          <w:rFonts w:ascii="Times New Roman" w:eastAsia="Times New Roman" w:hAnsi="Times New Roman" w:cs="Times New Roman"/>
          <w:sz w:val="24"/>
          <w:szCs w:val="24"/>
          <w:lang w:eastAsia="fr-FR"/>
        </w:rPr>
        <w:t xml:space="preserve"> </w:t>
      </w:r>
      <w:r w:rsidRPr="00C71F69">
        <w:rPr>
          <w:rFonts w:ascii="Times New Roman" w:eastAsia="Times New Roman" w:hAnsi="Times New Roman" w:cs="Times New Roman"/>
          <w:sz w:val="24"/>
          <w:szCs w:val="24"/>
          <w:lang w:eastAsia="fr-FR"/>
        </w:rPr>
        <w:t xml:space="preserve">The physicochemical results showed that fibre was the dominant constituent in all clones, confirming the highly lignocellulosic nature of rubber seed shells, as previously reported by Zainuddin et al. (2021) and Peng et al. (2018). The marked variability in lipid and sugar contents among clones (notably the high lipid fraction in IRCA230 and IRCA41) reflects genetic differences and environmental influences such as soil composition and rainfall (Bamba et al., 2023). These compositional differences suggest that </w:t>
      </w:r>
      <w:r w:rsidRPr="00C71F69">
        <w:rPr>
          <w:rFonts w:ascii="Times New Roman" w:eastAsia="Times New Roman" w:hAnsi="Times New Roman" w:cs="Times New Roman"/>
          <w:i/>
          <w:iCs/>
          <w:sz w:val="24"/>
          <w:szCs w:val="24"/>
          <w:lang w:eastAsia="fr-FR"/>
        </w:rPr>
        <w:t>Hevea</w:t>
      </w:r>
      <w:r w:rsidRPr="00C71F69">
        <w:rPr>
          <w:rFonts w:ascii="Times New Roman" w:eastAsia="Times New Roman" w:hAnsi="Times New Roman" w:cs="Times New Roman"/>
          <w:sz w:val="24"/>
          <w:szCs w:val="24"/>
          <w:lang w:eastAsia="fr-FR"/>
        </w:rPr>
        <w:t xml:space="preserve"> clones could be selected not only for latex yield but also for by-product composition, enhancing multi-purpose breeding strategies.</w:t>
      </w:r>
      <w:r>
        <w:rPr>
          <w:rFonts w:ascii="Times New Roman" w:eastAsia="Times New Roman" w:hAnsi="Times New Roman" w:cs="Times New Roman"/>
          <w:sz w:val="24"/>
          <w:szCs w:val="24"/>
          <w:lang w:eastAsia="fr-FR"/>
        </w:rPr>
        <w:t xml:space="preserve"> </w:t>
      </w:r>
      <w:r w:rsidRPr="00C71F69">
        <w:rPr>
          <w:rFonts w:ascii="Times New Roman" w:eastAsia="Times New Roman" w:hAnsi="Times New Roman" w:cs="Times New Roman"/>
          <w:sz w:val="24"/>
          <w:szCs w:val="24"/>
          <w:lang w:eastAsia="fr-FR"/>
        </w:rPr>
        <w:t xml:space="preserve">The elevated polyphenol, flavonoid and tannin levels in IRCA230 and IRCA41 indicate a strong antioxidant potential, consistent with earlier reports highlighting the bioactivity of </w:t>
      </w:r>
      <w:r w:rsidRPr="00C71F69">
        <w:rPr>
          <w:rFonts w:ascii="Times New Roman" w:eastAsia="Times New Roman" w:hAnsi="Times New Roman" w:cs="Times New Roman"/>
          <w:i/>
          <w:iCs/>
          <w:sz w:val="24"/>
          <w:szCs w:val="24"/>
          <w:lang w:eastAsia="fr-FR"/>
        </w:rPr>
        <w:t>Hevea</w:t>
      </w:r>
      <w:r w:rsidRPr="00C71F69">
        <w:rPr>
          <w:rFonts w:ascii="Times New Roman" w:eastAsia="Times New Roman" w:hAnsi="Times New Roman" w:cs="Times New Roman"/>
          <w:sz w:val="24"/>
          <w:szCs w:val="24"/>
          <w:lang w:eastAsia="fr-FR"/>
        </w:rPr>
        <w:t xml:space="preserve"> seed coat extracts (Min et al., </w:t>
      </w:r>
      <w:proofErr w:type="gramStart"/>
      <w:r w:rsidRPr="00C71F69">
        <w:rPr>
          <w:rFonts w:ascii="Times New Roman" w:eastAsia="Times New Roman" w:hAnsi="Times New Roman" w:cs="Times New Roman"/>
          <w:sz w:val="24"/>
          <w:szCs w:val="24"/>
          <w:lang w:eastAsia="fr-FR"/>
        </w:rPr>
        <w:t>2008;</w:t>
      </w:r>
      <w:proofErr w:type="gramEnd"/>
      <w:r w:rsidRPr="00C71F69">
        <w:rPr>
          <w:rFonts w:ascii="Times New Roman" w:eastAsia="Times New Roman" w:hAnsi="Times New Roman" w:cs="Times New Roman"/>
          <w:sz w:val="24"/>
          <w:szCs w:val="24"/>
          <w:lang w:eastAsia="fr-FR"/>
        </w:rPr>
        <w:t xml:space="preserve"> Owolabi et al., 2023). Polyphenols and flavonoids are recognised for their free-radical-scavenging ability and their capacity to </w:t>
      </w:r>
      <w:r w:rsidRPr="00C71F69">
        <w:rPr>
          <w:rFonts w:ascii="Times New Roman" w:eastAsia="Times New Roman" w:hAnsi="Times New Roman" w:cs="Times New Roman"/>
          <w:sz w:val="24"/>
          <w:szCs w:val="24"/>
          <w:lang w:eastAsia="fr-FR"/>
        </w:rPr>
        <w:lastRenderedPageBreak/>
        <w:t xml:space="preserve">stabilise natural formulations in cosmetic, nutraceutical and food industries (Bahramsoltani et al., </w:t>
      </w:r>
      <w:proofErr w:type="gramStart"/>
      <w:r w:rsidRPr="00C71F69">
        <w:rPr>
          <w:rFonts w:ascii="Times New Roman" w:eastAsia="Times New Roman" w:hAnsi="Times New Roman" w:cs="Times New Roman"/>
          <w:sz w:val="24"/>
          <w:szCs w:val="24"/>
          <w:lang w:eastAsia="fr-FR"/>
        </w:rPr>
        <w:t>2014;</w:t>
      </w:r>
      <w:proofErr w:type="gramEnd"/>
      <w:r w:rsidRPr="00C71F69">
        <w:rPr>
          <w:rFonts w:ascii="Times New Roman" w:eastAsia="Times New Roman" w:hAnsi="Times New Roman" w:cs="Times New Roman"/>
          <w:sz w:val="24"/>
          <w:szCs w:val="24"/>
          <w:lang w:eastAsia="fr-FR"/>
        </w:rPr>
        <w:t xml:space="preserve"> Zhou et al., 2024).</w:t>
      </w:r>
      <w:r>
        <w:rPr>
          <w:rFonts w:ascii="Times New Roman" w:eastAsia="Times New Roman" w:hAnsi="Times New Roman" w:cs="Times New Roman"/>
          <w:sz w:val="24"/>
          <w:szCs w:val="24"/>
          <w:lang w:eastAsia="fr-FR"/>
        </w:rPr>
        <w:t xml:space="preserve"> </w:t>
      </w:r>
      <w:r w:rsidRPr="00C71F69">
        <w:rPr>
          <w:rFonts w:ascii="Times New Roman" w:eastAsia="Times New Roman" w:hAnsi="Times New Roman" w:cs="Times New Roman"/>
          <w:sz w:val="24"/>
          <w:szCs w:val="24"/>
          <w:lang w:eastAsia="fr-FR"/>
        </w:rPr>
        <w:t xml:space="preserve">Similar biochemical profiles have been observed in other lignocellulosic wastes, such as kola nut shells, which Adeoye et al. (2024) successfully valorised through pyrolysis and ultrasonic extraction to produce renewable bio-oils and antioxidants. These parallels reinforce the relevance of </w:t>
      </w:r>
      <w:r w:rsidRPr="00C71F69">
        <w:rPr>
          <w:rFonts w:ascii="Times New Roman" w:eastAsia="Times New Roman" w:hAnsi="Times New Roman" w:cs="Times New Roman"/>
          <w:i/>
          <w:iCs/>
          <w:sz w:val="24"/>
          <w:szCs w:val="24"/>
          <w:lang w:eastAsia="fr-FR"/>
        </w:rPr>
        <w:t>Hevea</w:t>
      </w:r>
      <w:r w:rsidRPr="00C71F69">
        <w:rPr>
          <w:rFonts w:ascii="Times New Roman" w:eastAsia="Times New Roman" w:hAnsi="Times New Roman" w:cs="Times New Roman"/>
          <w:sz w:val="24"/>
          <w:szCs w:val="24"/>
          <w:lang w:eastAsia="fr-FR"/>
        </w:rPr>
        <w:t xml:space="preserve"> seed shells as </w:t>
      </w:r>
      <w:proofErr w:type="gramStart"/>
      <w:r w:rsidRPr="00C71F69">
        <w:rPr>
          <w:rFonts w:ascii="Times New Roman" w:eastAsia="Times New Roman" w:hAnsi="Times New Roman" w:cs="Times New Roman"/>
          <w:sz w:val="24"/>
          <w:szCs w:val="24"/>
          <w:lang w:eastAsia="fr-FR"/>
        </w:rPr>
        <w:t>a</w:t>
      </w:r>
      <w:proofErr w:type="gramEnd"/>
      <w:r w:rsidRPr="00C71F69">
        <w:rPr>
          <w:rFonts w:ascii="Times New Roman" w:eastAsia="Times New Roman" w:hAnsi="Times New Roman" w:cs="Times New Roman"/>
          <w:sz w:val="24"/>
          <w:szCs w:val="24"/>
          <w:lang w:eastAsia="fr-FR"/>
        </w:rPr>
        <w:t xml:space="preserve"> viable raw material for sustainable industrial transformation.</w:t>
      </w:r>
      <w:r>
        <w:rPr>
          <w:rFonts w:ascii="Times New Roman" w:eastAsia="Times New Roman" w:hAnsi="Times New Roman" w:cs="Times New Roman"/>
          <w:sz w:val="24"/>
          <w:szCs w:val="24"/>
          <w:lang w:eastAsia="fr-FR"/>
        </w:rPr>
        <w:t xml:space="preserve"> </w:t>
      </w:r>
      <w:r w:rsidRPr="00C71F69">
        <w:rPr>
          <w:rFonts w:ascii="Times New Roman" w:eastAsia="Times New Roman" w:hAnsi="Times New Roman" w:cs="Times New Roman"/>
          <w:sz w:val="24"/>
          <w:szCs w:val="24"/>
          <w:lang w:eastAsia="fr-FR"/>
        </w:rPr>
        <w:t>The measured concentrations of phytates, oxalates and hydrocyanic acid remained within moderate and non-toxic ranges, in line with values reported for other tropical oilseed residues (Obanla et al., 2023). Such levels are not inhibitory to industrial or feed applications, especially after mild processing treatments such as heating, fermentation or enzymatic degradation (Adeoye et al., 2022). Therefore, detoxification could further broaden the use of rubber seed shells in composite feed formulations and bioprocesses.</w:t>
      </w:r>
      <w:r>
        <w:rPr>
          <w:rFonts w:ascii="Times New Roman" w:eastAsia="Times New Roman" w:hAnsi="Times New Roman" w:cs="Times New Roman"/>
          <w:sz w:val="24"/>
          <w:szCs w:val="24"/>
          <w:lang w:eastAsia="fr-FR"/>
        </w:rPr>
        <w:t xml:space="preserve"> </w:t>
      </w:r>
      <w:r w:rsidRPr="00C71F69">
        <w:rPr>
          <w:rFonts w:ascii="Times New Roman" w:eastAsia="Times New Roman" w:hAnsi="Times New Roman" w:cs="Times New Roman"/>
          <w:sz w:val="24"/>
          <w:szCs w:val="24"/>
          <w:lang w:eastAsia="fr-FR"/>
        </w:rPr>
        <w:t>The PCA and HCA analyses provided a comprehensive visualisation of inter-clonal variability, separating clones according to their biochemical characteristics. The grouping of IRCA230 and IRCA41 into a single cluster reflects their metabolic richness in phenolic and lipid compounds, while GT1, PB217 and IRCA331 were clustered based on high fibre and carbohydrates contents. Such differentiation is highly valuable for guiding clone-specific valorisation pathways.</w:t>
      </w:r>
      <w:r>
        <w:rPr>
          <w:rFonts w:ascii="Times New Roman" w:eastAsia="Times New Roman" w:hAnsi="Times New Roman" w:cs="Times New Roman"/>
          <w:sz w:val="24"/>
          <w:szCs w:val="24"/>
          <w:lang w:eastAsia="fr-FR"/>
        </w:rPr>
        <w:t xml:space="preserve"> </w:t>
      </w:r>
      <w:r w:rsidRPr="00C71F69">
        <w:rPr>
          <w:rFonts w:ascii="Times New Roman" w:eastAsia="Times New Roman" w:hAnsi="Times New Roman" w:cs="Times New Roman"/>
          <w:sz w:val="24"/>
          <w:szCs w:val="24"/>
          <w:lang w:eastAsia="fr-FR"/>
        </w:rPr>
        <w:t xml:space="preserve">Clones rich in phenolic metabolites (IRCA230, IRCA41) can be prioritised for bio-extract production with applications in pharmaceuticals, cosmetics and food preservation. Conversely, clones dominated by fibrous material (GT1, PB217, IRCA331) may be more suitable for energy recovery (biochar, briquettes) or biomaterial production, supporting green-industry development (Nguyen et al., </w:t>
      </w:r>
      <w:proofErr w:type="gramStart"/>
      <w:r w:rsidRPr="00C71F69">
        <w:rPr>
          <w:rFonts w:ascii="Times New Roman" w:eastAsia="Times New Roman" w:hAnsi="Times New Roman" w:cs="Times New Roman"/>
          <w:sz w:val="24"/>
          <w:szCs w:val="24"/>
          <w:lang w:eastAsia="fr-FR"/>
        </w:rPr>
        <w:t>2023;</w:t>
      </w:r>
      <w:proofErr w:type="gramEnd"/>
      <w:r w:rsidRPr="00C71F69">
        <w:rPr>
          <w:rFonts w:ascii="Times New Roman" w:eastAsia="Times New Roman" w:hAnsi="Times New Roman" w:cs="Times New Roman"/>
          <w:sz w:val="24"/>
          <w:szCs w:val="24"/>
          <w:lang w:eastAsia="fr-FR"/>
        </w:rPr>
        <w:t xml:space="preserve"> Charrier et al., 2002).These findings contribute to the national objective of promoting circular bioeconomy models within the rubber sector. By valorising seed shells</w:t>
      </w:r>
      <w:r>
        <w:rPr>
          <w:rFonts w:ascii="Times New Roman" w:eastAsia="Times New Roman" w:hAnsi="Times New Roman" w:cs="Times New Roman"/>
          <w:sz w:val="24"/>
          <w:szCs w:val="24"/>
          <w:lang w:eastAsia="fr-FR"/>
        </w:rPr>
        <w:t xml:space="preserve"> </w:t>
      </w:r>
      <w:r w:rsidRPr="00C71F69">
        <w:rPr>
          <w:rFonts w:ascii="Times New Roman" w:eastAsia="Times New Roman" w:hAnsi="Times New Roman" w:cs="Times New Roman"/>
          <w:sz w:val="24"/>
          <w:szCs w:val="24"/>
          <w:lang w:eastAsia="fr-FR"/>
        </w:rPr>
        <w:t xml:space="preserve">currently considered waste—the study supports sustainable waste-management strategies and income diversification for smallholders. Integrating such by-product valorisation into the processing chain can significantly reduce environmental impacts while generating new economic opportunities (Adeoye et al., </w:t>
      </w:r>
      <w:proofErr w:type="gramStart"/>
      <w:r w:rsidRPr="00C71F69">
        <w:rPr>
          <w:rFonts w:ascii="Times New Roman" w:eastAsia="Times New Roman" w:hAnsi="Times New Roman" w:cs="Times New Roman"/>
          <w:sz w:val="24"/>
          <w:szCs w:val="24"/>
          <w:lang w:eastAsia="fr-FR"/>
        </w:rPr>
        <w:t>2024;</w:t>
      </w:r>
      <w:proofErr w:type="gramEnd"/>
      <w:r w:rsidRPr="00C71F69">
        <w:rPr>
          <w:rFonts w:ascii="Times New Roman" w:eastAsia="Times New Roman" w:hAnsi="Times New Roman" w:cs="Times New Roman"/>
          <w:sz w:val="24"/>
          <w:szCs w:val="24"/>
          <w:lang w:eastAsia="fr-FR"/>
        </w:rPr>
        <w:t xml:space="preserve"> FIRCA, 2024).</w:t>
      </w:r>
      <w:r w:rsidR="0081383E">
        <w:rPr>
          <w:rFonts w:ascii="Times New Roman" w:eastAsia="Times New Roman" w:hAnsi="Times New Roman" w:cs="Times New Roman"/>
          <w:sz w:val="24"/>
          <w:szCs w:val="24"/>
          <w:lang w:eastAsia="fr-FR"/>
        </w:rPr>
        <w:t xml:space="preserve"> </w:t>
      </w:r>
      <w:r w:rsidRPr="00C71F69">
        <w:rPr>
          <w:rFonts w:ascii="Times New Roman" w:eastAsia="Times New Roman" w:hAnsi="Times New Roman" w:cs="Times New Roman"/>
          <w:sz w:val="24"/>
          <w:szCs w:val="24"/>
          <w:lang w:eastAsia="fr-FR"/>
        </w:rPr>
        <w:t xml:space="preserve">Overall, the compositional heterogeneity of </w:t>
      </w:r>
      <w:r w:rsidRPr="00C71F69">
        <w:rPr>
          <w:rFonts w:ascii="Times New Roman" w:eastAsia="Times New Roman" w:hAnsi="Times New Roman" w:cs="Times New Roman"/>
          <w:i/>
          <w:iCs/>
          <w:sz w:val="24"/>
          <w:szCs w:val="24"/>
          <w:lang w:eastAsia="fr-FR"/>
        </w:rPr>
        <w:t>Hevea brasiliensis</w:t>
      </w:r>
      <w:r w:rsidRPr="00C71F69">
        <w:rPr>
          <w:rFonts w:ascii="Times New Roman" w:eastAsia="Times New Roman" w:hAnsi="Times New Roman" w:cs="Times New Roman"/>
          <w:sz w:val="24"/>
          <w:szCs w:val="24"/>
          <w:lang w:eastAsia="fr-FR"/>
        </w:rPr>
        <w:t xml:space="preserve"> seed shells highlights their versatility as feedstock for multiple value-added applications. The study thus provides a scientific foundation for developing clone-based valorisation systems, aligning with Côte d’Ivoire’s strategy to transition toward an environmentally responsible and competitive rubber industry.</w:t>
      </w:r>
    </w:p>
    <w:p w14:paraId="03A691A9" w14:textId="77777777" w:rsidR="0081383E" w:rsidRPr="00C71F69" w:rsidRDefault="0081383E" w:rsidP="00C71F69">
      <w:pPr>
        <w:spacing w:before="100" w:beforeAutospacing="1" w:after="100" w:afterAutospacing="1" w:line="360" w:lineRule="auto"/>
        <w:jc w:val="both"/>
        <w:rPr>
          <w:rFonts w:ascii="Times New Roman" w:eastAsia="Times New Roman" w:hAnsi="Times New Roman" w:cs="Times New Roman"/>
          <w:sz w:val="24"/>
          <w:szCs w:val="24"/>
          <w:lang w:eastAsia="fr-FR"/>
        </w:rPr>
      </w:pPr>
    </w:p>
    <w:p w14:paraId="1AFF4FB8" w14:textId="232A3E83" w:rsidR="00801973" w:rsidRPr="0081383E" w:rsidRDefault="0081383E" w:rsidP="00873D15">
      <w:pPr>
        <w:spacing w:before="100" w:beforeAutospacing="1" w:after="100" w:afterAutospacing="1" w:line="36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lastRenderedPageBreak/>
        <w:t>5-</w:t>
      </w:r>
      <w:r w:rsidR="00801973" w:rsidRPr="0081383E">
        <w:rPr>
          <w:rFonts w:ascii="Times New Roman" w:eastAsia="Times New Roman" w:hAnsi="Times New Roman" w:cs="Times New Roman"/>
          <w:b/>
          <w:bCs/>
          <w:sz w:val="24"/>
          <w:szCs w:val="24"/>
          <w:lang w:eastAsia="fr-FR"/>
        </w:rPr>
        <w:t>CONCLUSION</w:t>
      </w:r>
    </w:p>
    <w:p w14:paraId="165EC602" w14:textId="62E4036F" w:rsidR="00801973" w:rsidRPr="00873D15" w:rsidRDefault="0081383E" w:rsidP="00873D15">
      <w:pPr>
        <w:spacing w:before="100" w:beforeAutospacing="1" w:after="100" w:afterAutospacing="1" w:line="360" w:lineRule="auto"/>
        <w:jc w:val="both"/>
        <w:rPr>
          <w:rFonts w:ascii="Times New Roman" w:eastAsia="Times New Roman" w:hAnsi="Times New Roman" w:cs="Times New Roman"/>
          <w:sz w:val="24"/>
          <w:szCs w:val="24"/>
          <w:lang w:eastAsia="fr-FR"/>
        </w:rPr>
      </w:pPr>
      <w:r w:rsidRPr="0081383E">
        <w:rPr>
          <w:rFonts w:ascii="Times New Roman" w:eastAsia="Times New Roman" w:hAnsi="Times New Roman" w:cs="Times New Roman"/>
          <w:sz w:val="24"/>
          <w:szCs w:val="24"/>
          <w:lang w:eastAsia="fr-FR"/>
        </w:rPr>
        <w:t xml:space="preserve">This study provides new insights into the physicochemical, phytochemical and antinutritional characteristics of </w:t>
      </w:r>
      <w:r w:rsidRPr="0081383E">
        <w:rPr>
          <w:rFonts w:ascii="Times New Roman" w:eastAsia="Times New Roman" w:hAnsi="Times New Roman" w:cs="Times New Roman"/>
          <w:i/>
          <w:iCs/>
          <w:sz w:val="24"/>
          <w:szCs w:val="24"/>
          <w:lang w:eastAsia="fr-FR"/>
        </w:rPr>
        <w:t>Hevea brasiliensis</w:t>
      </w:r>
      <w:r w:rsidRPr="0081383E">
        <w:rPr>
          <w:rFonts w:ascii="Times New Roman" w:eastAsia="Times New Roman" w:hAnsi="Times New Roman" w:cs="Times New Roman"/>
          <w:sz w:val="24"/>
          <w:szCs w:val="24"/>
          <w:lang w:eastAsia="fr-FR"/>
        </w:rPr>
        <w:t xml:space="preserve"> seed shells from five clones widely cultivated in Côte d’Ivoire. The results revealed significant inter-clonal variability, demonstrating that the biochemical composition of the shells depends strongly on genetic factors.</w:t>
      </w:r>
      <w:r>
        <w:rPr>
          <w:rFonts w:ascii="Times New Roman" w:eastAsia="Times New Roman" w:hAnsi="Times New Roman" w:cs="Times New Roman"/>
          <w:sz w:val="24"/>
          <w:szCs w:val="24"/>
          <w:lang w:eastAsia="fr-FR"/>
        </w:rPr>
        <w:t xml:space="preserve"> </w:t>
      </w:r>
      <w:r w:rsidRPr="0081383E">
        <w:rPr>
          <w:rFonts w:ascii="Times New Roman" w:eastAsia="Times New Roman" w:hAnsi="Times New Roman" w:cs="Times New Roman"/>
          <w:sz w:val="24"/>
          <w:szCs w:val="24"/>
          <w:lang w:eastAsia="fr-FR"/>
        </w:rPr>
        <w:t>Clones IRCA230 and IRCA41, developed by the Rubber Research Institute of Côte d’Ivoire, exhibited the highest levels of lipids, tannins and polyphenols, confirming their strong antioxidant potential and suitability for the extraction of bioactive compounds. Conversely, GT1, PB217 and IRCA331 showed higher fibre and carbohydrate contents, indicating potential for use as lignocellulosic feedstock in bioenergy and biomaterial production.</w:t>
      </w:r>
      <w:r>
        <w:rPr>
          <w:rFonts w:ascii="Times New Roman" w:eastAsia="Times New Roman" w:hAnsi="Times New Roman" w:cs="Times New Roman"/>
          <w:sz w:val="24"/>
          <w:szCs w:val="24"/>
          <w:lang w:eastAsia="fr-FR"/>
        </w:rPr>
        <w:t xml:space="preserve"> </w:t>
      </w:r>
      <w:r w:rsidRPr="0081383E">
        <w:rPr>
          <w:rFonts w:ascii="Times New Roman" w:eastAsia="Times New Roman" w:hAnsi="Times New Roman" w:cs="Times New Roman"/>
          <w:sz w:val="24"/>
          <w:szCs w:val="24"/>
          <w:lang w:eastAsia="fr-FR"/>
        </w:rPr>
        <w:t>The overall findings highlight that rubber seed shells</w:t>
      </w:r>
      <w:r>
        <w:rPr>
          <w:rFonts w:ascii="Times New Roman" w:eastAsia="Times New Roman" w:hAnsi="Times New Roman" w:cs="Times New Roman"/>
          <w:sz w:val="24"/>
          <w:szCs w:val="24"/>
          <w:lang w:eastAsia="fr-FR"/>
        </w:rPr>
        <w:t xml:space="preserve"> </w:t>
      </w:r>
      <w:r w:rsidRPr="0081383E">
        <w:rPr>
          <w:rFonts w:ascii="Times New Roman" w:eastAsia="Times New Roman" w:hAnsi="Times New Roman" w:cs="Times New Roman"/>
          <w:sz w:val="24"/>
          <w:szCs w:val="24"/>
          <w:lang w:eastAsia="fr-FR"/>
        </w:rPr>
        <w:t>currently treated as agricultural waste</w:t>
      </w:r>
      <w:r>
        <w:rPr>
          <w:rFonts w:ascii="Times New Roman" w:eastAsia="Times New Roman" w:hAnsi="Times New Roman" w:cs="Times New Roman"/>
          <w:sz w:val="24"/>
          <w:szCs w:val="24"/>
          <w:lang w:eastAsia="fr-FR"/>
        </w:rPr>
        <w:t xml:space="preserve"> </w:t>
      </w:r>
      <w:r w:rsidRPr="0081383E">
        <w:rPr>
          <w:rFonts w:ascii="Times New Roman" w:eastAsia="Times New Roman" w:hAnsi="Times New Roman" w:cs="Times New Roman"/>
          <w:sz w:val="24"/>
          <w:szCs w:val="24"/>
          <w:lang w:eastAsia="fr-FR"/>
        </w:rPr>
        <w:t>constitute a valuable renewable resource that can contribute to the development of a sustainable and competitive circular bioeconomy in Côte d’Ivoire. Future research should focus on optimising extraction and transformation processes, assessing economic feasibility, and exploring industrial-scale applications of these by-products.</w:t>
      </w:r>
    </w:p>
    <w:p w14:paraId="4CDEE79C" w14:textId="77777777" w:rsidR="00801973" w:rsidRPr="0081383E" w:rsidRDefault="00801973" w:rsidP="00873D15">
      <w:pPr>
        <w:spacing w:before="100" w:beforeAutospacing="1" w:after="100" w:afterAutospacing="1" w:line="360" w:lineRule="auto"/>
        <w:jc w:val="both"/>
        <w:rPr>
          <w:rFonts w:ascii="Times New Roman" w:eastAsia="Times New Roman" w:hAnsi="Times New Roman" w:cs="Times New Roman"/>
          <w:b/>
          <w:bCs/>
          <w:sz w:val="24"/>
          <w:szCs w:val="24"/>
          <w:lang w:eastAsia="fr-FR"/>
        </w:rPr>
      </w:pPr>
      <w:r w:rsidRPr="0081383E">
        <w:rPr>
          <w:rFonts w:ascii="Times New Roman" w:eastAsia="Times New Roman" w:hAnsi="Times New Roman" w:cs="Times New Roman"/>
          <w:b/>
          <w:bCs/>
          <w:sz w:val="24"/>
          <w:szCs w:val="24"/>
          <w:lang w:eastAsia="fr-FR"/>
        </w:rPr>
        <w:t xml:space="preserve">COMPETING INTERESTS </w:t>
      </w:r>
    </w:p>
    <w:p w14:paraId="1EA1CCA3" w14:textId="4388694E" w:rsidR="001E2CDC" w:rsidRPr="0081383E" w:rsidRDefault="00801973" w:rsidP="0081383E">
      <w:pPr>
        <w:spacing w:before="100" w:beforeAutospacing="1" w:after="100" w:afterAutospacing="1" w:line="360" w:lineRule="auto"/>
        <w:jc w:val="both"/>
        <w:rPr>
          <w:rFonts w:ascii="Times New Roman" w:eastAsia="Times New Roman" w:hAnsi="Times New Roman" w:cs="Times New Roman"/>
          <w:sz w:val="24"/>
          <w:szCs w:val="24"/>
          <w:lang w:eastAsia="fr-FR"/>
        </w:rPr>
      </w:pPr>
      <w:r w:rsidRPr="00873D15">
        <w:rPr>
          <w:rFonts w:ascii="Times New Roman" w:eastAsia="Times New Roman" w:hAnsi="Times New Roman" w:cs="Times New Roman"/>
          <w:sz w:val="24"/>
          <w:szCs w:val="24"/>
          <w:lang w:eastAsia="fr-FR"/>
        </w:rPr>
        <w:t xml:space="preserve">Authors have </w:t>
      </w:r>
      <w:proofErr w:type="gramStart"/>
      <w:r w:rsidRPr="00873D15">
        <w:rPr>
          <w:rFonts w:ascii="Times New Roman" w:eastAsia="Times New Roman" w:hAnsi="Times New Roman" w:cs="Times New Roman"/>
          <w:sz w:val="24"/>
          <w:szCs w:val="24"/>
          <w:lang w:eastAsia="fr-FR"/>
        </w:rPr>
        <w:t>declared  that</w:t>
      </w:r>
      <w:proofErr w:type="gramEnd"/>
      <w:r w:rsidRPr="00873D15">
        <w:rPr>
          <w:rFonts w:ascii="Times New Roman" w:eastAsia="Times New Roman" w:hAnsi="Times New Roman" w:cs="Times New Roman"/>
          <w:sz w:val="24"/>
          <w:szCs w:val="24"/>
          <w:lang w:eastAsia="fr-FR"/>
        </w:rPr>
        <w:t xml:space="preserve"> no competing interests exist.</w:t>
      </w:r>
      <w:bookmarkStart w:id="3" w:name="_Hlk192511329"/>
      <w:bookmarkStart w:id="4" w:name="_Hlk187485061"/>
      <w:bookmarkStart w:id="5" w:name="_Hlk194655630"/>
      <w:bookmarkStart w:id="6" w:name="_Hlk209008097"/>
    </w:p>
    <w:p w14:paraId="40345C76" w14:textId="29E84538" w:rsidR="001E2CDC" w:rsidRPr="0081383E" w:rsidRDefault="0081383E" w:rsidP="00873D15">
      <w:pPr>
        <w:spacing w:line="360" w:lineRule="auto"/>
        <w:rPr>
          <w:rFonts w:ascii="Times New Roman" w:eastAsia="Calibri" w:hAnsi="Times New Roman" w:cs="Times New Roman"/>
          <w:b/>
          <w:bCs/>
          <w:kern w:val="2"/>
          <w:sz w:val="24"/>
          <w:szCs w:val="24"/>
          <w:lang w:val="en-US"/>
        </w:rPr>
      </w:pPr>
      <w:bookmarkStart w:id="7" w:name="_Hlk204003461"/>
      <w:bookmarkStart w:id="8" w:name="_Hlk213070710"/>
      <w:bookmarkEnd w:id="3"/>
      <w:bookmarkEnd w:id="4"/>
      <w:bookmarkEnd w:id="5"/>
      <w:bookmarkEnd w:id="6"/>
      <w:r w:rsidRPr="0081383E">
        <w:rPr>
          <w:rFonts w:ascii="Times New Roman" w:eastAsia="Calibri" w:hAnsi="Times New Roman" w:cs="Times New Roman"/>
          <w:b/>
          <w:bCs/>
          <w:kern w:val="2"/>
          <w:sz w:val="24"/>
          <w:szCs w:val="24"/>
          <w:lang w:val="en-US"/>
        </w:rPr>
        <w:t>DISCLAIMER (ARTIFICIAL INTELLIGENCE)</w:t>
      </w:r>
    </w:p>
    <w:p w14:paraId="6EE33CD6" w14:textId="5CADF78A" w:rsidR="001E2CDC" w:rsidRPr="0081383E" w:rsidRDefault="001E2CDC" w:rsidP="0081383E">
      <w:pPr>
        <w:spacing w:line="360" w:lineRule="auto"/>
        <w:rPr>
          <w:rFonts w:ascii="Times New Roman" w:eastAsia="Calibri" w:hAnsi="Times New Roman" w:cs="Times New Roman"/>
          <w:kern w:val="2"/>
          <w:sz w:val="24"/>
          <w:szCs w:val="24"/>
          <w:lang w:val="en-US"/>
        </w:rPr>
      </w:pPr>
      <w:r w:rsidRPr="0081383E">
        <w:rPr>
          <w:rFonts w:ascii="Times New Roman" w:eastAsia="Calibri" w:hAnsi="Times New Roman" w:cs="Times New Roman"/>
          <w:kern w:val="2"/>
          <w:sz w:val="24"/>
          <w:szCs w:val="24"/>
          <w:lang w:val="en-US"/>
        </w:rPr>
        <w:t xml:space="preserve">Author(s) hereby declare that NO generative AI technologies such as Large Language Models (ChatGPT, COPILOT, etc.) and text-to-image generators have been used during the writing or editing of this manuscript. </w:t>
      </w:r>
      <w:bookmarkEnd w:id="7"/>
      <w:bookmarkEnd w:id="8"/>
    </w:p>
    <w:p w14:paraId="1B519153" w14:textId="3FCF1BA1" w:rsidR="00801973" w:rsidRPr="0081383E" w:rsidRDefault="00801973" w:rsidP="00873D15">
      <w:pPr>
        <w:spacing w:before="100" w:beforeAutospacing="1" w:after="100" w:afterAutospacing="1" w:line="360" w:lineRule="auto"/>
        <w:jc w:val="both"/>
        <w:rPr>
          <w:rFonts w:ascii="Times New Roman" w:eastAsia="Times New Roman" w:hAnsi="Times New Roman" w:cs="Times New Roman"/>
          <w:b/>
          <w:bCs/>
          <w:sz w:val="24"/>
          <w:szCs w:val="24"/>
          <w:lang w:eastAsia="fr-FR"/>
        </w:rPr>
      </w:pPr>
      <w:r w:rsidRPr="0081383E">
        <w:rPr>
          <w:rFonts w:ascii="Times New Roman" w:eastAsia="Times New Roman" w:hAnsi="Times New Roman" w:cs="Times New Roman"/>
          <w:b/>
          <w:bCs/>
          <w:sz w:val="24"/>
          <w:szCs w:val="24"/>
          <w:lang w:eastAsia="fr-FR"/>
        </w:rPr>
        <w:t>REFERENCES</w:t>
      </w:r>
    </w:p>
    <w:p w14:paraId="2AAC33CA"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Adeoye, A. O., Akintunde, O. O., &amp; Ogunlade, I. (2022). Reduction of anti-nutritional factors in palm kernel shell by heat and fermentation treatments. </w:t>
      </w:r>
      <w:r w:rsidRPr="00965462">
        <w:rPr>
          <w:rFonts w:ascii="Times New Roman" w:hAnsi="Times New Roman" w:cs="Times New Roman"/>
          <w:i/>
          <w:iCs/>
          <w:sz w:val="24"/>
          <w:szCs w:val="24"/>
        </w:rPr>
        <w:t>Journal of Food Biochemistry, 46</w:t>
      </w:r>
      <w:r w:rsidRPr="00965462">
        <w:rPr>
          <w:rFonts w:ascii="Times New Roman" w:hAnsi="Times New Roman" w:cs="Times New Roman"/>
          <w:sz w:val="24"/>
          <w:szCs w:val="24"/>
        </w:rPr>
        <w:t xml:space="preserve">(12), e14472. </w:t>
      </w:r>
      <w:hyperlink r:id="rId13" w:tgtFrame="_new" w:history="1">
        <w:r w:rsidRPr="00965462">
          <w:rPr>
            <w:rStyle w:val="Hyperlink"/>
            <w:rFonts w:ascii="Times New Roman" w:hAnsi="Times New Roman" w:cs="Times New Roman"/>
            <w:sz w:val="24"/>
            <w:szCs w:val="24"/>
          </w:rPr>
          <w:t>https://doi.org/10.1111/jfbc.14472</w:t>
        </w:r>
      </w:hyperlink>
    </w:p>
    <w:p w14:paraId="2B4B8ACD"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Adeoye, A. O., Quadri, R. O., Lawal, O. S., &amp; Emojevu, E. O. (2024). Physicochemical characterization, valorization of lignocellulosic waste (kola nut seed shell) via pyrolysis, and ultrasonication of its crude bio-oil for biofuel production. </w:t>
      </w:r>
      <w:r w:rsidRPr="00965462">
        <w:rPr>
          <w:rFonts w:ascii="Times New Roman" w:hAnsi="Times New Roman" w:cs="Times New Roman"/>
          <w:i/>
          <w:iCs/>
          <w:sz w:val="24"/>
          <w:szCs w:val="24"/>
        </w:rPr>
        <w:t>Cleaner Waste Systems, 7</w:t>
      </w:r>
      <w:r w:rsidRPr="00965462">
        <w:rPr>
          <w:rFonts w:ascii="Times New Roman" w:hAnsi="Times New Roman" w:cs="Times New Roman"/>
          <w:sz w:val="24"/>
          <w:szCs w:val="24"/>
        </w:rPr>
        <w:t>, 100138. https://doi.org/10.1016/j.clwas.2024.100138</w:t>
      </w:r>
    </w:p>
    <w:p w14:paraId="0C1899B7"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lastRenderedPageBreak/>
        <w:t xml:space="preserve">Agrawal, A. A. (1999). Induced responses to herbivory in wild </w:t>
      </w:r>
      <w:proofErr w:type="gramStart"/>
      <w:r w:rsidRPr="00965462">
        <w:rPr>
          <w:rFonts w:ascii="Times New Roman" w:hAnsi="Times New Roman" w:cs="Times New Roman"/>
          <w:sz w:val="24"/>
          <w:szCs w:val="24"/>
        </w:rPr>
        <w:t>radish:</w:t>
      </w:r>
      <w:proofErr w:type="gramEnd"/>
      <w:r w:rsidRPr="00965462">
        <w:rPr>
          <w:rFonts w:ascii="Times New Roman" w:hAnsi="Times New Roman" w:cs="Times New Roman"/>
          <w:sz w:val="24"/>
          <w:szCs w:val="24"/>
        </w:rPr>
        <w:t xml:space="preserve"> Effects on several herbivores and plant fitness. </w:t>
      </w:r>
      <w:r w:rsidRPr="00965462">
        <w:rPr>
          <w:rFonts w:ascii="Times New Roman" w:hAnsi="Times New Roman" w:cs="Times New Roman"/>
          <w:i/>
          <w:iCs/>
          <w:sz w:val="24"/>
          <w:szCs w:val="24"/>
        </w:rPr>
        <w:t>Ecology, 80</w:t>
      </w:r>
      <w:r w:rsidRPr="00965462">
        <w:rPr>
          <w:rFonts w:ascii="Times New Roman" w:hAnsi="Times New Roman" w:cs="Times New Roman"/>
          <w:sz w:val="24"/>
          <w:szCs w:val="24"/>
        </w:rPr>
        <w:t>(5), 1713–1723. https://doi.org/10.1890/0012-9658(1999)080[</w:t>
      </w:r>
      <w:proofErr w:type="gramStart"/>
      <w:r w:rsidRPr="00965462">
        <w:rPr>
          <w:rFonts w:ascii="Times New Roman" w:hAnsi="Times New Roman" w:cs="Times New Roman"/>
          <w:sz w:val="24"/>
          <w:szCs w:val="24"/>
        </w:rPr>
        <w:t>1713:IRTHIW</w:t>
      </w:r>
      <w:proofErr w:type="gramEnd"/>
      <w:r w:rsidRPr="00965462">
        <w:rPr>
          <w:rFonts w:ascii="Times New Roman" w:hAnsi="Times New Roman" w:cs="Times New Roman"/>
          <w:sz w:val="24"/>
          <w:szCs w:val="24"/>
        </w:rPr>
        <w:t>]2.0.CO;2</w:t>
      </w:r>
    </w:p>
    <w:p w14:paraId="26CDC0A6"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AFNOR. (1986). </w:t>
      </w:r>
      <w:r w:rsidRPr="00965462">
        <w:rPr>
          <w:rFonts w:ascii="Times New Roman" w:hAnsi="Times New Roman" w:cs="Times New Roman"/>
          <w:i/>
          <w:iCs/>
          <w:sz w:val="24"/>
          <w:szCs w:val="24"/>
        </w:rPr>
        <w:t xml:space="preserve">NF V03-707 – Agricultural and food </w:t>
      </w:r>
      <w:proofErr w:type="gramStart"/>
      <w:r w:rsidRPr="00965462">
        <w:rPr>
          <w:rFonts w:ascii="Times New Roman" w:hAnsi="Times New Roman" w:cs="Times New Roman"/>
          <w:i/>
          <w:iCs/>
          <w:sz w:val="24"/>
          <w:szCs w:val="24"/>
        </w:rPr>
        <w:t>products:</w:t>
      </w:r>
      <w:proofErr w:type="gramEnd"/>
      <w:r w:rsidRPr="00965462">
        <w:rPr>
          <w:rFonts w:ascii="Times New Roman" w:hAnsi="Times New Roman" w:cs="Times New Roman"/>
          <w:i/>
          <w:iCs/>
          <w:sz w:val="24"/>
          <w:szCs w:val="24"/>
        </w:rPr>
        <w:t xml:space="preserve"> Determination of pH.</w:t>
      </w:r>
      <w:r w:rsidRPr="00965462">
        <w:rPr>
          <w:rFonts w:ascii="Times New Roman" w:hAnsi="Times New Roman" w:cs="Times New Roman"/>
          <w:sz w:val="24"/>
          <w:szCs w:val="24"/>
        </w:rPr>
        <w:t xml:space="preserve"> </w:t>
      </w:r>
      <w:proofErr w:type="gramStart"/>
      <w:r w:rsidRPr="00965462">
        <w:rPr>
          <w:rFonts w:ascii="Times New Roman" w:hAnsi="Times New Roman" w:cs="Times New Roman"/>
          <w:sz w:val="24"/>
          <w:szCs w:val="24"/>
        </w:rPr>
        <w:t>Paris:</w:t>
      </w:r>
      <w:proofErr w:type="gramEnd"/>
      <w:r w:rsidRPr="00965462">
        <w:rPr>
          <w:rFonts w:ascii="Times New Roman" w:hAnsi="Times New Roman" w:cs="Times New Roman"/>
          <w:sz w:val="24"/>
          <w:szCs w:val="24"/>
        </w:rPr>
        <w:t xml:space="preserve"> AFNOR. </w:t>
      </w:r>
      <w:hyperlink r:id="rId14" w:tgtFrame="_new" w:history="1">
        <w:r w:rsidRPr="00965462">
          <w:rPr>
            <w:rStyle w:val="Hyperlink"/>
            <w:rFonts w:ascii="Times New Roman" w:hAnsi="Times New Roman" w:cs="Times New Roman"/>
            <w:sz w:val="24"/>
            <w:szCs w:val="24"/>
          </w:rPr>
          <w:t>https://www.boutique.afnor.org/en-gb/standard/nf-v03707</w:t>
        </w:r>
      </w:hyperlink>
    </w:p>
    <w:p w14:paraId="3E645880"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AOAC. (1990). </w:t>
      </w:r>
      <w:r w:rsidRPr="00965462">
        <w:rPr>
          <w:rFonts w:ascii="Times New Roman" w:hAnsi="Times New Roman" w:cs="Times New Roman"/>
          <w:i/>
          <w:iCs/>
          <w:sz w:val="24"/>
          <w:szCs w:val="24"/>
        </w:rPr>
        <w:t>Official Methods of Analysis</w:t>
      </w:r>
      <w:r w:rsidRPr="00965462">
        <w:rPr>
          <w:rFonts w:ascii="Times New Roman" w:hAnsi="Times New Roman" w:cs="Times New Roman"/>
          <w:sz w:val="24"/>
          <w:szCs w:val="24"/>
        </w:rPr>
        <w:t xml:space="preserve"> (15ᵗʰ ed.). Arlington, </w:t>
      </w:r>
      <w:proofErr w:type="gramStart"/>
      <w:r w:rsidRPr="00965462">
        <w:rPr>
          <w:rFonts w:ascii="Times New Roman" w:hAnsi="Times New Roman" w:cs="Times New Roman"/>
          <w:sz w:val="24"/>
          <w:szCs w:val="24"/>
        </w:rPr>
        <w:t>VA:</w:t>
      </w:r>
      <w:proofErr w:type="gramEnd"/>
      <w:r w:rsidRPr="00965462">
        <w:rPr>
          <w:rFonts w:ascii="Times New Roman" w:hAnsi="Times New Roman" w:cs="Times New Roman"/>
          <w:sz w:val="24"/>
          <w:szCs w:val="24"/>
        </w:rPr>
        <w:t xml:space="preserve"> Association of Official Analytical Chemists.</w:t>
      </w:r>
    </w:p>
    <w:p w14:paraId="2AA4092F"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APROMAC. (2024, October). </w:t>
      </w:r>
      <w:r w:rsidRPr="00965462">
        <w:rPr>
          <w:rFonts w:ascii="Times New Roman" w:hAnsi="Times New Roman" w:cs="Times New Roman"/>
          <w:i/>
          <w:iCs/>
          <w:sz w:val="24"/>
          <w:szCs w:val="24"/>
        </w:rPr>
        <w:t>Bulletin mensuel des statistiques d’exportation du caoutchouc naturel.</w:t>
      </w:r>
      <w:r w:rsidRPr="00965462">
        <w:rPr>
          <w:rFonts w:ascii="Times New Roman" w:hAnsi="Times New Roman" w:cs="Times New Roman"/>
          <w:sz w:val="24"/>
          <w:szCs w:val="24"/>
        </w:rPr>
        <w:t xml:space="preserve"> Association des Professionnels du Caoutchouc Naturel de Côte d’Ivoire. https://fr.scribd.com/document/801026005</w:t>
      </w:r>
    </w:p>
    <w:p w14:paraId="72010C04"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Bahramsoltani, R., Farzaei, M. H., &amp; Rahimi, R. (2014). Medicinal plants and their natural components as future drugs for the treatment of burn </w:t>
      </w:r>
      <w:proofErr w:type="gramStart"/>
      <w:r w:rsidRPr="00965462">
        <w:rPr>
          <w:rFonts w:ascii="Times New Roman" w:hAnsi="Times New Roman" w:cs="Times New Roman"/>
          <w:sz w:val="24"/>
          <w:szCs w:val="24"/>
        </w:rPr>
        <w:t>wounds:</w:t>
      </w:r>
      <w:proofErr w:type="gramEnd"/>
      <w:r w:rsidRPr="00965462">
        <w:rPr>
          <w:rFonts w:ascii="Times New Roman" w:hAnsi="Times New Roman" w:cs="Times New Roman"/>
          <w:sz w:val="24"/>
          <w:szCs w:val="24"/>
        </w:rPr>
        <w:t xml:space="preserve"> An integrative review. </w:t>
      </w:r>
      <w:r w:rsidRPr="00965462">
        <w:rPr>
          <w:rFonts w:ascii="Times New Roman" w:hAnsi="Times New Roman" w:cs="Times New Roman"/>
          <w:i/>
          <w:iCs/>
          <w:sz w:val="24"/>
          <w:szCs w:val="24"/>
        </w:rPr>
        <w:t>BioMed Research International, 2014</w:t>
      </w:r>
      <w:r w:rsidRPr="00965462">
        <w:rPr>
          <w:rFonts w:ascii="Times New Roman" w:hAnsi="Times New Roman" w:cs="Times New Roman"/>
          <w:sz w:val="24"/>
          <w:szCs w:val="24"/>
        </w:rPr>
        <w:t xml:space="preserve">, 314573. </w:t>
      </w:r>
      <w:hyperlink r:id="rId15" w:tgtFrame="_new" w:history="1">
        <w:r w:rsidRPr="00965462">
          <w:rPr>
            <w:rStyle w:val="Hyperlink"/>
            <w:rFonts w:ascii="Times New Roman" w:hAnsi="Times New Roman" w:cs="Times New Roman"/>
            <w:sz w:val="24"/>
            <w:szCs w:val="24"/>
          </w:rPr>
          <w:t>https://doi.org/10.1155/2014/314573</w:t>
        </w:r>
      </w:hyperlink>
    </w:p>
    <w:p w14:paraId="2D36DB48"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Bamba, S., Koné, D., &amp; Koffi, K. (2023). Biochemical variability of </w:t>
      </w:r>
      <w:r w:rsidRPr="00965462">
        <w:rPr>
          <w:rFonts w:ascii="Times New Roman" w:hAnsi="Times New Roman" w:cs="Times New Roman"/>
          <w:i/>
          <w:iCs/>
          <w:sz w:val="24"/>
          <w:szCs w:val="24"/>
        </w:rPr>
        <w:t>Hevea brasiliensis</w:t>
      </w:r>
      <w:r w:rsidRPr="00965462">
        <w:rPr>
          <w:rFonts w:ascii="Times New Roman" w:hAnsi="Times New Roman" w:cs="Times New Roman"/>
          <w:sz w:val="24"/>
          <w:szCs w:val="24"/>
        </w:rPr>
        <w:t xml:space="preserve"> seeds in Côte d’Ivoire. </w:t>
      </w:r>
      <w:r w:rsidRPr="00965462">
        <w:rPr>
          <w:rFonts w:ascii="Times New Roman" w:hAnsi="Times New Roman" w:cs="Times New Roman"/>
          <w:i/>
          <w:iCs/>
          <w:sz w:val="24"/>
          <w:szCs w:val="24"/>
        </w:rPr>
        <w:t>Revue Ivoirienne de Biotechnologie, 25</w:t>
      </w:r>
      <w:r w:rsidRPr="00965462">
        <w:rPr>
          <w:rFonts w:ascii="Times New Roman" w:hAnsi="Times New Roman" w:cs="Times New Roman"/>
          <w:sz w:val="24"/>
          <w:szCs w:val="24"/>
        </w:rPr>
        <w:t xml:space="preserve">, 45–60. </w:t>
      </w:r>
      <w:hyperlink r:id="rId16" w:tgtFrame="_new" w:history="1">
        <w:r w:rsidRPr="00965462">
          <w:rPr>
            <w:rStyle w:val="Hyperlink"/>
            <w:rFonts w:ascii="Times New Roman" w:hAnsi="Times New Roman" w:cs="Times New Roman"/>
            <w:sz w:val="24"/>
            <w:szCs w:val="24"/>
          </w:rPr>
          <w:t>https://doi.org/10.4314/rib.v25i1.5</w:t>
        </w:r>
      </w:hyperlink>
    </w:p>
    <w:p w14:paraId="2C872D4D"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Bernfeld, P. (1955). Amylases, alpha and beta. In S. P. Colowick &amp; N. O. Kaplan (Eds.), </w:t>
      </w:r>
      <w:r w:rsidRPr="00965462">
        <w:rPr>
          <w:rFonts w:ascii="Times New Roman" w:hAnsi="Times New Roman" w:cs="Times New Roman"/>
          <w:i/>
          <w:iCs/>
          <w:sz w:val="24"/>
          <w:szCs w:val="24"/>
        </w:rPr>
        <w:t>Methods in Enzymology</w:t>
      </w:r>
      <w:r w:rsidRPr="00965462">
        <w:rPr>
          <w:rFonts w:ascii="Times New Roman" w:hAnsi="Times New Roman" w:cs="Times New Roman"/>
          <w:sz w:val="24"/>
          <w:szCs w:val="24"/>
        </w:rPr>
        <w:t xml:space="preserve"> (Vol. 1, pp. 149–158). Academic Press. </w:t>
      </w:r>
      <w:hyperlink r:id="rId17" w:tgtFrame="_new" w:history="1">
        <w:r w:rsidRPr="00965462">
          <w:rPr>
            <w:rStyle w:val="Hyperlink"/>
            <w:rFonts w:ascii="Times New Roman" w:hAnsi="Times New Roman" w:cs="Times New Roman"/>
            <w:sz w:val="24"/>
            <w:szCs w:val="24"/>
          </w:rPr>
          <w:t>https://doi.org/10.1016/0076-6879(55)01021-5</w:t>
        </w:r>
      </w:hyperlink>
    </w:p>
    <w:p w14:paraId="58E1BC23"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Broadhurst, R. B., &amp; Jones, W. T. (1978). Analysis of condensed tannins using acidified vanillin. </w:t>
      </w:r>
      <w:r w:rsidRPr="00965462">
        <w:rPr>
          <w:rFonts w:ascii="Times New Roman" w:hAnsi="Times New Roman" w:cs="Times New Roman"/>
          <w:i/>
          <w:iCs/>
          <w:sz w:val="24"/>
          <w:szCs w:val="24"/>
        </w:rPr>
        <w:t>Journal of the Science of Food and Agriculture, 29</w:t>
      </w:r>
      <w:r w:rsidRPr="00965462">
        <w:rPr>
          <w:rFonts w:ascii="Times New Roman" w:hAnsi="Times New Roman" w:cs="Times New Roman"/>
          <w:sz w:val="24"/>
          <w:szCs w:val="24"/>
        </w:rPr>
        <w:t xml:space="preserve">(9), 788–794. </w:t>
      </w:r>
      <w:hyperlink r:id="rId18" w:tgtFrame="_new" w:history="1">
        <w:r w:rsidRPr="00965462">
          <w:rPr>
            <w:rStyle w:val="Hyperlink"/>
            <w:rFonts w:ascii="Times New Roman" w:hAnsi="Times New Roman" w:cs="Times New Roman"/>
            <w:sz w:val="24"/>
            <w:szCs w:val="24"/>
          </w:rPr>
          <w:t>https://doi.org/10.1002/jsfa.2740290908</w:t>
        </w:r>
      </w:hyperlink>
    </w:p>
    <w:p w14:paraId="66FB6A65"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Charrier, B., Guibal, D., &amp; Thibaut, B. (2002). Effect of heat treatments on the quality of lignocellulosic biomaterials. </w:t>
      </w:r>
      <w:r w:rsidRPr="00965462">
        <w:rPr>
          <w:rFonts w:ascii="Times New Roman" w:hAnsi="Times New Roman" w:cs="Times New Roman"/>
          <w:i/>
          <w:iCs/>
          <w:sz w:val="24"/>
          <w:szCs w:val="24"/>
        </w:rPr>
        <w:t>Annals of Forest Science, 59</w:t>
      </w:r>
      <w:r w:rsidRPr="00965462">
        <w:rPr>
          <w:rFonts w:ascii="Times New Roman" w:hAnsi="Times New Roman" w:cs="Times New Roman"/>
          <w:sz w:val="24"/>
          <w:szCs w:val="24"/>
        </w:rPr>
        <w:t xml:space="preserve">(5–6), 715–724. </w:t>
      </w:r>
      <w:hyperlink r:id="rId19" w:tgtFrame="_new" w:history="1">
        <w:r w:rsidRPr="00965462">
          <w:rPr>
            <w:rStyle w:val="Hyperlink"/>
            <w:rFonts w:ascii="Times New Roman" w:hAnsi="Times New Roman" w:cs="Times New Roman"/>
            <w:sz w:val="24"/>
            <w:szCs w:val="24"/>
          </w:rPr>
          <w:t>https://doi.org/10.1051/forest:2002056</w:t>
        </w:r>
      </w:hyperlink>
    </w:p>
    <w:p w14:paraId="562DA32B"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Day, R. A., &amp; Underwood, A. L. (1986). </w:t>
      </w:r>
      <w:r w:rsidRPr="00965462">
        <w:rPr>
          <w:rFonts w:ascii="Times New Roman" w:hAnsi="Times New Roman" w:cs="Times New Roman"/>
          <w:i/>
          <w:iCs/>
          <w:sz w:val="24"/>
          <w:szCs w:val="24"/>
        </w:rPr>
        <w:t>Quantitative Analysis</w:t>
      </w:r>
      <w:r w:rsidRPr="00965462">
        <w:rPr>
          <w:rFonts w:ascii="Times New Roman" w:hAnsi="Times New Roman" w:cs="Times New Roman"/>
          <w:sz w:val="24"/>
          <w:szCs w:val="24"/>
        </w:rPr>
        <w:t xml:space="preserve"> (5ᵗʰ ed.). Englewood Cliffs, </w:t>
      </w:r>
      <w:proofErr w:type="gramStart"/>
      <w:r w:rsidRPr="00965462">
        <w:rPr>
          <w:rFonts w:ascii="Times New Roman" w:hAnsi="Times New Roman" w:cs="Times New Roman"/>
          <w:sz w:val="24"/>
          <w:szCs w:val="24"/>
        </w:rPr>
        <w:t>NJ:</w:t>
      </w:r>
      <w:proofErr w:type="gramEnd"/>
      <w:r w:rsidRPr="00965462">
        <w:rPr>
          <w:rFonts w:ascii="Times New Roman" w:hAnsi="Times New Roman" w:cs="Times New Roman"/>
          <w:sz w:val="24"/>
          <w:szCs w:val="24"/>
        </w:rPr>
        <w:t xml:space="preserve"> Prentice-Hall.</w:t>
      </w:r>
    </w:p>
    <w:p w14:paraId="2FD999D7"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Dubois, M., Gilles, K. A., Hamilton, J. K., Rebers, P. A., &amp; Smith, F. (1956). Colorimetric method for determination of sugars and related substances. </w:t>
      </w:r>
      <w:r w:rsidRPr="00965462">
        <w:rPr>
          <w:rFonts w:ascii="Times New Roman" w:hAnsi="Times New Roman" w:cs="Times New Roman"/>
          <w:i/>
          <w:iCs/>
          <w:sz w:val="24"/>
          <w:szCs w:val="24"/>
        </w:rPr>
        <w:t>Analytical Chemistry, 28</w:t>
      </w:r>
      <w:r w:rsidRPr="00965462">
        <w:rPr>
          <w:rFonts w:ascii="Times New Roman" w:hAnsi="Times New Roman" w:cs="Times New Roman"/>
          <w:sz w:val="24"/>
          <w:szCs w:val="24"/>
        </w:rPr>
        <w:t xml:space="preserve">(3), 350–356. </w:t>
      </w:r>
      <w:hyperlink r:id="rId20" w:tgtFrame="_new" w:history="1">
        <w:r w:rsidRPr="00965462">
          <w:rPr>
            <w:rStyle w:val="Hyperlink"/>
            <w:rFonts w:ascii="Times New Roman" w:hAnsi="Times New Roman" w:cs="Times New Roman"/>
            <w:sz w:val="24"/>
            <w:szCs w:val="24"/>
          </w:rPr>
          <w:t>https://doi.org/10.1021/ac60111a017</w:t>
        </w:r>
      </w:hyperlink>
    </w:p>
    <w:p w14:paraId="49EF9230"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lastRenderedPageBreak/>
        <w:t xml:space="preserve">FIRCA. (2024, August 9). </w:t>
      </w:r>
      <w:r w:rsidRPr="00965462">
        <w:rPr>
          <w:rFonts w:ascii="Times New Roman" w:hAnsi="Times New Roman" w:cs="Times New Roman"/>
          <w:i/>
          <w:iCs/>
          <w:sz w:val="24"/>
          <w:szCs w:val="24"/>
        </w:rPr>
        <w:t>Press-book – Atelier de restitution des résultats de la recherche hévéa en Côte d’Ivoire.</w:t>
      </w:r>
      <w:r w:rsidRPr="00965462">
        <w:rPr>
          <w:rFonts w:ascii="Times New Roman" w:hAnsi="Times New Roman" w:cs="Times New Roman"/>
          <w:sz w:val="24"/>
          <w:szCs w:val="24"/>
        </w:rPr>
        <w:t xml:space="preserve"> </w:t>
      </w:r>
      <w:hyperlink r:id="rId21" w:tgtFrame="_new" w:history="1">
        <w:r w:rsidRPr="00965462">
          <w:rPr>
            <w:rStyle w:val="Hyperlink"/>
            <w:rFonts w:ascii="Times New Roman" w:hAnsi="Times New Roman" w:cs="Times New Roman"/>
            <w:sz w:val="24"/>
            <w:szCs w:val="24"/>
          </w:rPr>
          <w:t>https://firca.ci/wp-content/uploads/2025/01/PRESS-BOOK_atelier-restitution-recherche-hevea.pdf</w:t>
        </w:r>
      </w:hyperlink>
    </w:p>
    <w:p w14:paraId="06C8276A"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Henry, Y., &amp; Etienne, M. (2001). Plant by-products in animal feed in tropical areas. </w:t>
      </w:r>
      <w:r w:rsidRPr="00965462">
        <w:rPr>
          <w:rFonts w:ascii="Times New Roman" w:hAnsi="Times New Roman" w:cs="Times New Roman"/>
          <w:i/>
          <w:iCs/>
          <w:sz w:val="24"/>
          <w:szCs w:val="24"/>
        </w:rPr>
        <w:t>INRA Productions Animales, 14</w:t>
      </w:r>
      <w:r w:rsidRPr="00965462">
        <w:rPr>
          <w:rFonts w:ascii="Times New Roman" w:hAnsi="Times New Roman" w:cs="Times New Roman"/>
          <w:sz w:val="24"/>
          <w:szCs w:val="24"/>
        </w:rPr>
        <w:t xml:space="preserve">(3), 203–216. </w:t>
      </w:r>
      <w:hyperlink r:id="rId22" w:tgtFrame="_new" w:history="1">
        <w:r w:rsidRPr="00965462">
          <w:rPr>
            <w:rStyle w:val="Hyperlink"/>
            <w:rFonts w:ascii="Times New Roman" w:hAnsi="Times New Roman" w:cs="Times New Roman"/>
            <w:sz w:val="24"/>
            <w:szCs w:val="24"/>
          </w:rPr>
          <w:t>https://doi.org/10.20870/productions-animales.2001.14.3.3815</w:t>
        </w:r>
      </w:hyperlink>
    </w:p>
    <w:p w14:paraId="479CB72B"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Kannika, K., Ramasamy, S., &amp; Boonkerd, W. (1981). Oil extraction and composition of </w:t>
      </w:r>
      <w:r w:rsidRPr="00965462">
        <w:rPr>
          <w:rFonts w:ascii="Times New Roman" w:hAnsi="Times New Roman" w:cs="Times New Roman"/>
          <w:i/>
          <w:iCs/>
          <w:sz w:val="24"/>
          <w:szCs w:val="24"/>
        </w:rPr>
        <w:t>Hevea brasiliensis</w:t>
      </w:r>
      <w:r w:rsidRPr="00965462">
        <w:rPr>
          <w:rFonts w:ascii="Times New Roman" w:hAnsi="Times New Roman" w:cs="Times New Roman"/>
          <w:sz w:val="24"/>
          <w:szCs w:val="24"/>
        </w:rPr>
        <w:t xml:space="preserve"> seeds. </w:t>
      </w:r>
      <w:r w:rsidRPr="00965462">
        <w:rPr>
          <w:rFonts w:ascii="Times New Roman" w:hAnsi="Times New Roman" w:cs="Times New Roman"/>
          <w:i/>
          <w:iCs/>
          <w:sz w:val="24"/>
          <w:szCs w:val="24"/>
        </w:rPr>
        <w:t>Journal of the Rubber Research Institute of Malaysia, 29</w:t>
      </w:r>
      <w:r w:rsidRPr="00965462">
        <w:rPr>
          <w:rFonts w:ascii="Times New Roman" w:hAnsi="Times New Roman" w:cs="Times New Roman"/>
          <w:sz w:val="24"/>
          <w:szCs w:val="24"/>
        </w:rPr>
        <w:t>(2), 106–114.</w:t>
      </w:r>
    </w:p>
    <w:p w14:paraId="622BC629"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Latta, M., &amp; Eskin, M. (1980). A simple and rapid colorimetric method for phytate determination. </w:t>
      </w:r>
      <w:r w:rsidRPr="00965462">
        <w:rPr>
          <w:rFonts w:ascii="Times New Roman" w:hAnsi="Times New Roman" w:cs="Times New Roman"/>
          <w:i/>
          <w:iCs/>
          <w:sz w:val="24"/>
          <w:szCs w:val="24"/>
        </w:rPr>
        <w:t>Journal of Agricultural and Food Chemistry, 28</w:t>
      </w:r>
      <w:r w:rsidRPr="00965462">
        <w:rPr>
          <w:rFonts w:ascii="Times New Roman" w:hAnsi="Times New Roman" w:cs="Times New Roman"/>
          <w:sz w:val="24"/>
          <w:szCs w:val="24"/>
        </w:rPr>
        <w:t xml:space="preserve">(6), 1313–1315. </w:t>
      </w:r>
      <w:hyperlink r:id="rId23" w:tgtFrame="_new" w:history="1">
        <w:r w:rsidRPr="00965462">
          <w:rPr>
            <w:rStyle w:val="Hyperlink"/>
            <w:rFonts w:ascii="Times New Roman" w:hAnsi="Times New Roman" w:cs="Times New Roman"/>
            <w:sz w:val="24"/>
            <w:szCs w:val="24"/>
          </w:rPr>
          <w:t>https://doi.org/10.1021/jf60232a049</w:t>
        </w:r>
      </w:hyperlink>
    </w:p>
    <w:p w14:paraId="445DEF0E"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Meda, A., Lamien, C. E., Romito, M., Millogo, J., &amp; Nacoulma, O. G. (2005). Determination of the total phenolic, flavonoid and proline contents in Burkina Faso honey and their radical-scavenging activity. </w:t>
      </w:r>
      <w:r w:rsidRPr="00965462">
        <w:rPr>
          <w:rFonts w:ascii="Times New Roman" w:hAnsi="Times New Roman" w:cs="Times New Roman"/>
          <w:i/>
          <w:iCs/>
          <w:sz w:val="24"/>
          <w:szCs w:val="24"/>
        </w:rPr>
        <w:t>Food Chemistry, 91</w:t>
      </w:r>
      <w:r w:rsidRPr="00965462">
        <w:rPr>
          <w:rFonts w:ascii="Times New Roman" w:hAnsi="Times New Roman" w:cs="Times New Roman"/>
          <w:sz w:val="24"/>
          <w:szCs w:val="24"/>
        </w:rPr>
        <w:t xml:space="preserve">(3), 571–577. </w:t>
      </w:r>
      <w:hyperlink r:id="rId24" w:tgtFrame="_new" w:history="1">
        <w:r w:rsidRPr="00965462">
          <w:rPr>
            <w:rStyle w:val="Hyperlink"/>
            <w:rFonts w:ascii="Times New Roman" w:hAnsi="Times New Roman" w:cs="Times New Roman"/>
            <w:sz w:val="24"/>
            <w:szCs w:val="24"/>
          </w:rPr>
          <w:t>https://doi.org/10.1016/j.foodchem.2004.10.006</w:t>
        </w:r>
      </w:hyperlink>
    </w:p>
    <w:p w14:paraId="62A8D5F5"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Min, D. Y., Yu, S. H., &amp; Lee, J. (2008). Antioxidative activity of natural rubber seed coat extract. </w:t>
      </w:r>
      <w:r w:rsidRPr="00965462">
        <w:rPr>
          <w:rFonts w:ascii="Times New Roman" w:hAnsi="Times New Roman" w:cs="Times New Roman"/>
          <w:i/>
          <w:iCs/>
          <w:sz w:val="24"/>
          <w:szCs w:val="24"/>
        </w:rPr>
        <w:t>Journal of Applied Polymer Science, 110</w:t>
      </w:r>
      <w:r w:rsidRPr="00965462">
        <w:rPr>
          <w:rFonts w:ascii="Times New Roman" w:hAnsi="Times New Roman" w:cs="Times New Roman"/>
          <w:sz w:val="24"/>
          <w:szCs w:val="24"/>
        </w:rPr>
        <w:t xml:space="preserve">(4), 2485–2491. </w:t>
      </w:r>
      <w:hyperlink r:id="rId25" w:tgtFrame="_new" w:history="1">
        <w:r w:rsidRPr="00965462">
          <w:rPr>
            <w:rStyle w:val="Hyperlink"/>
            <w:rFonts w:ascii="Times New Roman" w:hAnsi="Times New Roman" w:cs="Times New Roman"/>
            <w:sz w:val="24"/>
            <w:szCs w:val="24"/>
          </w:rPr>
          <w:t>https://doi.org/10.1002/app.28703</w:t>
        </w:r>
      </w:hyperlink>
    </w:p>
    <w:p w14:paraId="02250B19"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Nguyen, T. T., Tran, H. D., &amp; Bui, Q. (2023). Rubber seed shell-derived biocomposites for sustainable material design. </w:t>
      </w:r>
      <w:r w:rsidRPr="00965462">
        <w:rPr>
          <w:rFonts w:ascii="Times New Roman" w:hAnsi="Times New Roman" w:cs="Times New Roman"/>
          <w:i/>
          <w:iCs/>
          <w:sz w:val="24"/>
          <w:szCs w:val="24"/>
        </w:rPr>
        <w:t>Materials Today Sustainability, 24</w:t>
      </w:r>
      <w:r w:rsidRPr="00965462">
        <w:rPr>
          <w:rFonts w:ascii="Times New Roman" w:hAnsi="Times New Roman" w:cs="Times New Roman"/>
          <w:sz w:val="24"/>
          <w:szCs w:val="24"/>
        </w:rPr>
        <w:t xml:space="preserve">, 100211. </w:t>
      </w:r>
      <w:hyperlink r:id="rId26" w:tgtFrame="_new" w:history="1">
        <w:r w:rsidRPr="00965462">
          <w:rPr>
            <w:rStyle w:val="Hyperlink"/>
            <w:rFonts w:ascii="Times New Roman" w:hAnsi="Times New Roman" w:cs="Times New Roman"/>
            <w:sz w:val="24"/>
            <w:szCs w:val="24"/>
          </w:rPr>
          <w:t>https://doi.org/10.1016/j.mtsust.2023.100211</w:t>
        </w:r>
      </w:hyperlink>
    </w:p>
    <w:p w14:paraId="6227718E"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Obanla, O. J., Adewusi, S. R. A., &amp; Osundahunsi, O. F. (2023). Toxicological evaluation of rubber seed meal and its detoxified derivatives in albino rats. </w:t>
      </w:r>
      <w:r w:rsidRPr="00965462">
        <w:rPr>
          <w:rFonts w:ascii="Times New Roman" w:hAnsi="Times New Roman" w:cs="Times New Roman"/>
          <w:i/>
          <w:iCs/>
          <w:sz w:val="24"/>
          <w:szCs w:val="24"/>
        </w:rPr>
        <w:t>Toxicology Reports, 10</w:t>
      </w:r>
      <w:r w:rsidRPr="00965462">
        <w:rPr>
          <w:rFonts w:ascii="Times New Roman" w:hAnsi="Times New Roman" w:cs="Times New Roman"/>
          <w:sz w:val="24"/>
          <w:szCs w:val="24"/>
        </w:rPr>
        <w:t xml:space="preserve">, 712–721. </w:t>
      </w:r>
      <w:hyperlink r:id="rId27" w:tgtFrame="_new" w:history="1">
        <w:r w:rsidRPr="00965462">
          <w:rPr>
            <w:rStyle w:val="Hyperlink"/>
            <w:rFonts w:ascii="Times New Roman" w:hAnsi="Times New Roman" w:cs="Times New Roman"/>
            <w:sz w:val="24"/>
            <w:szCs w:val="24"/>
          </w:rPr>
          <w:t>https://doi.org/10.1016/j.toxrep.2023.05.021</w:t>
        </w:r>
      </w:hyperlink>
    </w:p>
    <w:p w14:paraId="1E3C4CA0"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Ocho, F. L. (1999). Potential of </w:t>
      </w:r>
      <w:r w:rsidRPr="00965462">
        <w:rPr>
          <w:rFonts w:ascii="Times New Roman" w:hAnsi="Times New Roman" w:cs="Times New Roman"/>
          <w:i/>
          <w:iCs/>
          <w:sz w:val="24"/>
          <w:szCs w:val="24"/>
        </w:rPr>
        <w:t>Hevea brasiliensis</w:t>
      </w:r>
      <w:r w:rsidRPr="00965462">
        <w:rPr>
          <w:rFonts w:ascii="Times New Roman" w:hAnsi="Times New Roman" w:cs="Times New Roman"/>
          <w:sz w:val="24"/>
          <w:szCs w:val="24"/>
        </w:rPr>
        <w:t xml:space="preserve"> seed oil as a raw material for bio-industrial products. </w:t>
      </w:r>
      <w:r w:rsidRPr="00965462">
        <w:rPr>
          <w:rFonts w:ascii="Times New Roman" w:hAnsi="Times New Roman" w:cs="Times New Roman"/>
          <w:i/>
          <w:iCs/>
          <w:sz w:val="24"/>
          <w:szCs w:val="24"/>
        </w:rPr>
        <w:t>European Journal of Lipid Science and Technology, 101</w:t>
      </w:r>
      <w:r w:rsidRPr="00965462">
        <w:rPr>
          <w:rFonts w:ascii="Times New Roman" w:hAnsi="Times New Roman" w:cs="Times New Roman"/>
          <w:sz w:val="24"/>
          <w:szCs w:val="24"/>
        </w:rPr>
        <w:t xml:space="preserve">(5), 223–230. </w:t>
      </w:r>
      <w:hyperlink r:id="rId28" w:tgtFrame="_new" w:history="1">
        <w:r w:rsidRPr="00965462">
          <w:rPr>
            <w:rStyle w:val="Hyperlink"/>
            <w:rFonts w:ascii="Times New Roman" w:hAnsi="Times New Roman" w:cs="Times New Roman"/>
            <w:sz w:val="24"/>
            <w:szCs w:val="24"/>
          </w:rPr>
          <w:t>https://doi.org/10.1002/(SICI)1521-4133(199905)101:5</w:t>
        </w:r>
      </w:hyperlink>
      <w:r w:rsidRPr="00965462">
        <w:rPr>
          <w:rFonts w:ascii="Times New Roman" w:hAnsi="Times New Roman" w:cs="Times New Roman"/>
          <w:sz w:val="24"/>
          <w:szCs w:val="24"/>
        </w:rPr>
        <w:t>&lt;</w:t>
      </w:r>
      <w:proofErr w:type="gramStart"/>
      <w:r w:rsidRPr="00965462">
        <w:rPr>
          <w:rFonts w:ascii="Times New Roman" w:hAnsi="Times New Roman" w:cs="Times New Roman"/>
          <w:sz w:val="24"/>
          <w:szCs w:val="24"/>
        </w:rPr>
        <w:t>223::</w:t>
      </w:r>
      <w:proofErr w:type="gramEnd"/>
      <w:r w:rsidRPr="00965462">
        <w:rPr>
          <w:rFonts w:ascii="Times New Roman" w:hAnsi="Times New Roman" w:cs="Times New Roman"/>
          <w:sz w:val="24"/>
          <w:szCs w:val="24"/>
        </w:rPr>
        <w:t>AID-EJLT223&gt;3.0.CO;2-1</w:t>
      </w:r>
    </w:p>
    <w:p w14:paraId="0A546028"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Owolabi, O. P., Adegbite, J. O., &amp; Alabi, A. O. (2023). Phytochemical composition and antioxidant properties of rubber seed hull extracts. </w:t>
      </w:r>
      <w:r w:rsidRPr="00965462">
        <w:rPr>
          <w:rFonts w:ascii="Times New Roman" w:hAnsi="Times New Roman" w:cs="Times New Roman"/>
          <w:i/>
          <w:iCs/>
          <w:sz w:val="24"/>
          <w:szCs w:val="24"/>
        </w:rPr>
        <w:t>Heliyon, 9</w:t>
      </w:r>
      <w:r w:rsidRPr="00965462">
        <w:rPr>
          <w:rFonts w:ascii="Times New Roman" w:hAnsi="Times New Roman" w:cs="Times New Roman"/>
          <w:sz w:val="24"/>
          <w:szCs w:val="24"/>
        </w:rPr>
        <w:t xml:space="preserve">(3), e14135. </w:t>
      </w:r>
      <w:hyperlink r:id="rId29" w:tgtFrame="_new" w:history="1">
        <w:r w:rsidRPr="00965462">
          <w:rPr>
            <w:rStyle w:val="Hyperlink"/>
            <w:rFonts w:ascii="Times New Roman" w:hAnsi="Times New Roman" w:cs="Times New Roman"/>
            <w:sz w:val="24"/>
            <w:szCs w:val="24"/>
          </w:rPr>
          <w:t>https://doi.org/10.1016/j.heliyon.2023.e14135</w:t>
        </w:r>
      </w:hyperlink>
    </w:p>
    <w:p w14:paraId="61F9A3B0"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lastRenderedPageBreak/>
        <w:t xml:space="preserve">Peng, W., Liu, Y., &amp; Wang, X. (2018). Chemical composition and antioxidant activity of rubber seed shell extracts. </w:t>
      </w:r>
      <w:r w:rsidRPr="00965462">
        <w:rPr>
          <w:rFonts w:ascii="Times New Roman" w:hAnsi="Times New Roman" w:cs="Times New Roman"/>
          <w:i/>
          <w:iCs/>
          <w:sz w:val="24"/>
          <w:szCs w:val="24"/>
        </w:rPr>
        <w:t>Industrial Crops and Products, 112</w:t>
      </w:r>
      <w:r w:rsidRPr="00965462">
        <w:rPr>
          <w:rFonts w:ascii="Times New Roman" w:hAnsi="Times New Roman" w:cs="Times New Roman"/>
          <w:sz w:val="24"/>
          <w:szCs w:val="24"/>
        </w:rPr>
        <w:t xml:space="preserve">, 688–695. </w:t>
      </w:r>
      <w:hyperlink r:id="rId30" w:tgtFrame="_new" w:history="1">
        <w:r w:rsidRPr="00965462">
          <w:rPr>
            <w:rStyle w:val="Hyperlink"/>
            <w:rFonts w:ascii="Times New Roman" w:hAnsi="Times New Roman" w:cs="Times New Roman"/>
            <w:sz w:val="24"/>
            <w:szCs w:val="24"/>
          </w:rPr>
          <w:t>https://doi.org/10.1016/j.indcrop.2017.12.052</w:t>
        </w:r>
      </w:hyperlink>
    </w:p>
    <w:p w14:paraId="410989E1"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Quemere, J.-P. (1990). Tropical crop by-products in ruminant feed. </w:t>
      </w:r>
      <w:r w:rsidRPr="00965462">
        <w:rPr>
          <w:rFonts w:ascii="Times New Roman" w:hAnsi="Times New Roman" w:cs="Times New Roman"/>
          <w:i/>
          <w:iCs/>
          <w:sz w:val="24"/>
          <w:szCs w:val="24"/>
        </w:rPr>
        <w:t>Revue Mondiale de Zootechnie, 72</w:t>
      </w:r>
      <w:r w:rsidRPr="00965462">
        <w:rPr>
          <w:rFonts w:ascii="Times New Roman" w:hAnsi="Times New Roman" w:cs="Times New Roman"/>
          <w:sz w:val="24"/>
          <w:szCs w:val="24"/>
        </w:rPr>
        <w:t xml:space="preserve">, 30–38. </w:t>
      </w:r>
      <w:hyperlink r:id="rId31" w:tgtFrame="_new" w:history="1">
        <w:r w:rsidRPr="00965462">
          <w:rPr>
            <w:rStyle w:val="Hyperlink"/>
            <w:rFonts w:ascii="Times New Roman" w:hAnsi="Times New Roman" w:cs="Times New Roman"/>
            <w:sz w:val="24"/>
            <w:szCs w:val="24"/>
          </w:rPr>
          <w:t>https://agris.fao.org/search/en/providers/122439/records/6471cb5277fd37171a6f7fb5</w:t>
        </w:r>
      </w:hyperlink>
    </w:p>
    <w:p w14:paraId="25FB48A4"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R Core Team. (2023). </w:t>
      </w:r>
      <w:proofErr w:type="gramStart"/>
      <w:r w:rsidRPr="00965462">
        <w:rPr>
          <w:rFonts w:ascii="Times New Roman" w:hAnsi="Times New Roman" w:cs="Times New Roman"/>
          <w:i/>
          <w:iCs/>
          <w:sz w:val="24"/>
          <w:szCs w:val="24"/>
        </w:rPr>
        <w:t>R:</w:t>
      </w:r>
      <w:proofErr w:type="gramEnd"/>
      <w:r w:rsidRPr="00965462">
        <w:rPr>
          <w:rFonts w:ascii="Times New Roman" w:hAnsi="Times New Roman" w:cs="Times New Roman"/>
          <w:i/>
          <w:iCs/>
          <w:sz w:val="24"/>
          <w:szCs w:val="24"/>
        </w:rPr>
        <w:t xml:space="preserve"> A language and environment for statistical computing.</w:t>
      </w:r>
      <w:r w:rsidRPr="00965462">
        <w:rPr>
          <w:rFonts w:ascii="Times New Roman" w:hAnsi="Times New Roman" w:cs="Times New Roman"/>
          <w:sz w:val="24"/>
          <w:szCs w:val="24"/>
        </w:rPr>
        <w:t xml:space="preserve"> R Foundation for Statistical Computing. </w:t>
      </w:r>
      <w:hyperlink r:id="rId32" w:tgtFrame="_new" w:history="1">
        <w:r w:rsidRPr="00965462">
          <w:rPr>
            <w:rStyle w:val="Hyperlink"/>
            <w:rFonts w:ascii="Times New Roman" w:hAnsi="Times New Roman" w:cs="Times New Roman"/>
            <w:sz w:val="24"/>
            <w:szCs w:val="24"/>
          </w:rPr>
          <w:t>https://www.R-project.org</w:t>
        </w:r>
      </w:hyperlink>
    </w:p>
    <w:p w14:paraId="341E957E"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Rodrigo, V. H. L., Gonçalves, P. S., &amp; Seneviratne, P. (2011). Natural </w:t>
      </w:r>
      <w:proofErr w:type="gramStart"/>
      <w:r w:rsidRPr="00965462">
        <w:rPr>
          <w:rFonts w:ascii="Times New Roman" w:hAnsi="Times New Roman" w:cs="Times New Roman"/>
          <w:sz w:val="24"/>
          <w:szCs w:val="24"/>
        </w:rPr>
        <w:t>rubber:</w:t>
      </w:r>
      <w:proofErr w:type="gramEnd"/>
      <w:r w:rsidRPr="00965462">
        <w:rPr>
          <w:rFonts w:ascii="Times New Roman" w:hAnsi="Times New Roman" w:cs="Times New Roman"/>
          <w:sz w:val="24"/>
          <w:szCs w:val="24"/>
        </w:rPr>
        <w:t xml:space="preserve"> Biology, cultivation and technology. </w:t>
      </w:r>
      <w:r w:rsidRPr="00965462">
        <w:rPr>
          <w:rFonts w:ascii="Times New Roman" w:hAnsi="Times New Roman" w:cs="Times New Roman"/>
          <w:i/>
          <w:iCs/>
          <w:sz w:val="24"/>
          <w:szCs w:val="24"/>
        </w:rPr>
        <w:t>Agricultural Sciences Review, 57</w:t>
      </w:r>
      <w:r w:rsidRPr="00965462">
        <w:rPr>
          <w:rFonts w:ascii="Times New Roman" w:hAnsi="Times New Roman" w:cs="Times New Roman"/>
          <w:sz w:val="24"/>
          <w:szCs w:val="24"/>
        </w:rPr>
        <w:t>(2), 88–102.</w:t>
      </w:r>
    </w:p>
    <w:p w14:paraId="1459DB6B"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Singleton, V. L., &amp; Rossi, J. A. (1965). Colorimetry of total phenolics with phosphomolybdic–phosphotungstic acid reagents. </w:t>
      </w:r>
      <w:r w:rsidRPr="00965462">
        <w:rPr>
          <w:rFonts w:ascii="Times New Roman" w:hAnsi="Times New Roman" w:cs="Times New Roman"/>
          <w:i/>
          <w:iCs/>
          <w:sz w:val="24"/>
          <w:szCs w:val="24"/>
        </w:rPr>
        <w:t>American Journal of Enology and Viticulture, 16</w:t>
      </w:r>
      <w:r w:rsidRPr="00965462">
        <w:rPr>
          <w:rFonts w:ascii="Times New Roman" w:hAnsi="Times New Roman" w:cs="Times New Roman"/>
          <w:sz w:val="24"/>
          <w:szCs w:val="24"/>
        </w:rPr>
        <w:t xml:space="preserve">(3), 144–158. </w:t>
      </w:r>
      <w:hyperlink r:id="rId33" w:tgtFrame="_new" w:history="1">
        <w:r w:rsidRPr="00965462">
          <w:rPr>
            <w:rStyle w:val="Hyperlink"/>
            <w:rFonts w:ascii="Times New Roman" w:hAnsi="Times New Roman" w:cs="Times New Roman"/>
            <w:sz w:val="24"/>
            <w:szCs w:val="24"/>
          </w:rPr>
          <w:t>https://doi.org/10.5344/ajev.1965.16.3.144</w:t>
        </w:r>
      </w:hyperlink>
    </w:p>
    <w:p w14:paraId="564346C6"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Wolf, W. J. (1968). Determination of crude fibre in oilseed meals. </w:t>
      </w:r>
      <w:r w:rsidRPr="00965462">
        <w:rPr>
          <w:rFonts w:ascii="Times New Roman" w:hAnsi="Times New Roman" w:cs="Times New Roman"/>
          <w:i/>
          <w:iCs/>
          <w:sz w:val="24"/>
          <w:szCs w:val="24"/>
        </w:rPr>
        <w:t>Journal of the American Oil Chemists’ Society, 45</w:t>
      </w:r>
      <w:r w:rsidRPr="00965462">
        <w:rPr>
          <w:rFonts w:ascii="Times New Roman" w:hAnsi="Times New Roman" w:cs="Times New Roman"/>
          <w:sz w:val="24"/>
          <w:szCs w:val="24"/>
        </w:rPr>
        <w:t xml:space="preserve">(6), 532–534. </w:t>
      </w:r>
      <w:hyperlink r:id="rId34" w:tgtFrame="_new" w:history="1">
        <w:r w:rsidRPr="00965462">
          <w:rPr>
            <w:rStyle w:val="Hyperlink"/>
            <w:rFonts w:ascii="Times New Roman" w:hAnsi="Times New Roman" w:cs="Times New Roman"/>
            <w:sz w:val="24"/>
            <w:szCs w:val="24"/>
          </w:rPr>
          <w:t>https://doi.org/10.1007/BF02544420</w:t>
        </w:r>
      </w:hyperlink>
    </w:p>
    <w:p w14:paraId="6DFF0EE4"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Zainuddin, N., Wahab, R. A., &amp; Rahman, M. F. A. (2021). Characterisation of rubber seed shell as lignocellulosic material for bio-based industries. </w:t>
      </w:r>
      <w:r w:rsidRPr="00965462">
        <w:rPr>
          <w:rFonts w:ascii="Times New Roman" w:hAnsi="Times New Roman" w:cs="Times New Roman"/>
          <w:i/>
          <w:iCs/>
          <w:sz w:val="24"/>
          <w:szCs w:val="24"/>
        </w:rPr>
        <w:t>Bioresource Technology Reports, 14</w:t>
      </w:r>
      <w:r w:rsidRPr="00965462">
        <w:rPr>
          <w:rFonts w:ascii="Times New Roman" w:hAnsi="Times New Roman" w:cs="Times New Roman"/>
          <w:sz w:val="24"/>
          <w:szCs w:val="24"/>
        </w:rPr>
        <w:t xml:space="preserve">, 100679. </w:t>
      </w:r>
      <w:hyperlink r:id="rId35" w:tgtFrame="_new" w:history="1">
        <w:r w:rsidRPr="00965462">
          <w:rPr>
            <w:rStyle w:val="Hyperlink"/>
            <w:rFonts w:ascii="Times New Roman" w:hAnsi="Times New Roman" w:cs="Times New Roman"/>
            <w:sz w:val="24"/>
            <w:szCs w:val="24"/>
          </w:rPr>
          <w:t>https://doi.org/10.1016/j.biteb.2021.100679</w:t>
        </w:r>
      </w:hyperlink>
    </w:p>
    <w:p w14:paraId="6CEB2F6B" w14:textId="77777777" w:rsidR="00965462" w:rsidRPr="00965462" w:rsidRDefault="00965462" w:rsidP="00965462">
      <w:pPr>
        <w:spacing w:line="360" w:lineRule="auto"/>
        <w:jc w:val="both"/>
        <w:rPr>
          <w:rFonts w:ascii="Times New Roman" w:hAnsi="Times New Roman" w:cs="Times New Roman"/>
          <w:sz w:val="24"/>
          <w:szCs w:val="24"/>
        </w:rPr>
      </w:pPr>
      <w:r w:rsidRPr="00965462">
        <w:rPr>
          <w:rFonts w:ascii="Times New Roman" w:hAnsi="Times New Roman" w:cs="Times New Roman"/>
          <w:sz w:val="24"/>
          <w:szCs w:val="24"/>
        </w:rPr>
        <w:t xml:space="preserve">Zhou, T., Li, Z., &amp; Wang, Y. (2024). Antioxidant and antimicrobial activity of rubber seed shell extract in cosmetic formulations. </w:t>
      </w:r>
      <w:r w:rsidRPr="00965462">
        <w:rPr>
          <w:rFonts w:ascii="Times New Roman" w:hAnsi="Times New Roman" w:cs="Times New Roman"/>
          <w:i/>
          <w:iCs/>
          <w:sz w:val="24"/>
          <w:szCs w:val="24"/>
        </w:rPr>
        <w:t>Journal of Cleaner Production, 438</w:t>
      </w:r>
      <w:r w:rsidRPr="00965462">
        <w:rPr>
          <w:rFonts w:ascii="Times New Roman" w:hAnsi="Times New Roman" w:cs="Times New Roman"/>
          <w:sz w:val="24"/>
          <w:szCs w:val="24"/>
        </w:rPr>
        <w:t xml:space="preserve">, 140562. </w:t>
      </w:r>
      <w:hyperlink r:id="rId36" w:tgtFrame="_new" w:history="1">
        <w:r w:rsidRPr="00965462">
          <w:rPr>
            <w:rStyle w:val="Hyperlink"/>
            <w:rFonts w:ascii="Times New Roman" w:hAnsi="Times New Roman" w:cs="Times New Roman"/>
            <w:sz w:val="24"/>
            <w:szCs w:val="24"/>
          </w:rPr>
          <w:t>https://doi.org/10.1016/j.jclepro.2024.140562</w:t>
        </w:r>
      </w:hyperlink>
    </w:p>
    <w:p w14:paraId="63D3CCC9" w14:textId="77777777" w:rsidR="005270DA" w:rsidRPr="00873D15" w:rsidRDefault="005270DA" w:rsidP="00873D15">
      <w:pPr>
        <w:spacing w:line="360" w:lineRule="auto"/>
        <w:jc w:val="both"/>
        <w:rPr>
          <w:rFonts w:ascii="Times New Roman" w:hAnsi="Times New Roman" w:cs="Times New Roman"/>
          <w:sz w:val="24"/>
          <w:szCs w:val="24"/>
        </w:rPr>
      </w:pPr>
    </w:p>
    <w:p w14:paraId="527D542C" w14:textId="77777777" w:rsidR="005270DA" w:rsidRPr="00873D15" w:rsidRDefault="005270DA" w:rsidP="00873D15">
      <w:pPr>
        <w:spacing w:line="360" w:lineRule="auto"/>
        <w:jc w:val="both"/>
        <w:rPr>
          <w:rFonts w:ascii="Times New Roman" w:hAnsi="Times New Roman" w:cs="Times New Roman"/>
          <w:sz w:val="24"/>
          <w:szCs w:val="24"/>
        </w:rPr>
      </w:pPr>
    </w:p>
    <w:sectPr w:rsidR="005270DA" w:rsidRPr="00873D15">
      <w:headerReference w:type="even" r:id="rId37"/>
      <w:headerReference w:type="default" r:id="rId38"/>
      <w:footerReference w:type="even" r:id="rId39"/>
      <w:footerReference w:type="default" r:id="rId40"/>
      <w:headerReference w:type="first" r:id="rId41"/>
      <w:footerReference w:type="firs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CAB6C" w14:textId="77777777" w:rsidR="00F954D0" w:rsidRDefault="00F954D0" w:rsidP="00CB3427">
      <w:pPr>
        <w:spacing w:after="0" w:line="240" w:lineRule="auto"/>
      </w:pPr>
      <w:r>
        <w:separator/>
      </w:r>
    </w:p>
  </w:endnote>
  <w:endnote w:type="continuationSeparator" w:id="0">
    <w:p w14:paraId="50609D6C" w14:textId="77777777" w:rsidR="00F954D0" w:rsidRDefault="00F954D0" w:rsidP="00CB3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9A3C4" w14:textId="77777777" w:rsidR="00CB3427" w:rsidRDefault="00CB34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82490" w14:textId="77777777" w:rsidR="00CB3427" w:rsidRDefault="00CB34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08F2" w14:textId="77777777" w:rsidR="00CB3427" w:rsidRDefault="00CB34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9924EB" w14:textId="77777777" w:rsidR="00F954D0" w:rsidRDefault="00F954D0" w:rsidP="00CB3427">
      <w:pPr>
        <w:spacing w:after="0" w:line="240" w:lineRule="auto"/>
      </w:pPr>
      <w:r>
        <w:separator/>
      </w:r>
    </w:p>
  </w:footnote>
  <w:footnote w:type="continuationSeparator" w:id="0">
    <w:p w14:paraId="77A24395" w14:textId="77777777" w:rsidR="00F954D0" w:rsidRDefault="00F954D0" w:rsidP="00CB34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B8095" w14:textId="6CF75D1C" w:rsidR="00CB3427" w:rsidRDefault="00F954D0">
    <w:pPr>
      <w:pStyle w:val="Header"/>
    </w:pPr>
    <w:r>
      <w:rPr>
        <w:noProof/>
      </w:rPr>
      <w:pict w14:anchorId="32E096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679297"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ED085" w14:textId="3D3C90E6" w:rsidR="00CB3427" w:rsidRDefault="00F954D0">
    <w:pPr>
      <w:pStyle w:val="Header"/>
    </w:pPr>
    <w:r>
      <w:rPr>
        <w:noProof/>
      </w:rPr>
      <w:pict w14:anchorId="1FEF5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679298"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C88AF" w14:textId="6B4F23FB" w:rsidR="00CB3427" w:rsidRDefault="00F954D0">
    <w:pPr>
      <w:pStyle w:val="Header"/>
    </w:pPr>
    <w:r>
      <w:rPr>
        <w:noProof/>
      </w:rPr>
      <w:pict w14:anchorId="69EE05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679296"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A2BE0"/>
    <w:multiLevelType w:val="hybridMultilevel"/>
    <w:tmpl w:val="25A8F486"/>
    <w:lvl w:ilvl="0" w:tplc="40F68B78">
      <w:start w:val="2"/>
      <w:numFmt w:val="decimal"/>
      <w:lvlText w:val="%1."/>
      <w:lvlJc w:val="left"/>
      <w:pPr>
        <w:ind w:left="720" w:hanging="360"/>
      </w:pPr>
      <w:rPr>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15:restartNumberingAfterBreak="0">
    <w:nsid w:val="5C61382B"/>
    <w:multiLevelType w:val="hybridMultilevel"/>
    <w:tmpl w:val="2ED039BC"/>
    <w:lvl w:ilvl="0" w:tplc="C48CCC88">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OyMDMxMzQwNTU0NzdV0lEKTi0uzszPAykwrAUASdquQCwAAAA="/>
  </w:docVars>
  <w:rsids>
    <w:rsidRoot w:val="00801973"/>
    <w:rsid w:val="00013355"/>
    <w:rsid w:val="00017C5B"/>
    <w:rsid w:val="000A3278"/>
    <w:rsid w:val="000E6C15"/>
    <w:rsid w:val="001818A0"/>
    <w:rsid w:val="00197C47"/>
    <w:rsid w:val="001D7C2C"/>
    <w:rsid w:val="001E2CDC"/>
    <w:rsid w:val="002D013D"/>
    <w:rsid w:val="00325B76"/>
    <w:rsid w:val="00401D7A"/>
    <w:rsid w:val="005270DA"/>
    <w:rsid w:val="00533C26"/>
    <w:rsid w:val="00562B85"/>
    <w:rsid w:val="006404E6"/>
    <w:rsid w:val="00652B73"/>
    <w:rsid w:val="007B791C"/>
    <w:rsid w:val="00801973"/>
    <w:rsid w:val="0081383E"/>
    <w:rsid w:val="00873D15"/>
    <w:rsid w:val="009255BC"/>
    <w:rsid w:val="00965462"/>
    <w:rsid w:val="00BC231B"/>
    <w:rsid w:val="00C71F69"/>
    <w:rsid w:val="00CB3427"/>
    <w:rsid w:val="00D21434"/>
    <w:rsid w:val="00D25569"/>
    <w:rsid w:val="00D71213"/>
    <w:rsid w:val="00EA46DA"/>
    <w:rsid w:val="00F91E02"/>
    <w:rsid w:val="00F954D0"/>
    <w:rsid w:val="00FC76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10523AB"/>
  <w15:chartTrackingRefBased/>
  <w15:docId w15:val="{3D796356-35A3-44B8-B6AF-0207CCD7A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1973"/>
    <w:pPr>
      <w:spacing w:line="256" w:lineRule="auto"/>
    </w:pPr>
  </w:style>
  <w:style w:type="paragraph" w:styleId="Heading2">
    <w:name w:val="heading 2"/>
    <w:basedOn w:val="Normal"/>
    <w:next w:val="Normal"/>
    <w:link w:val="Heading2Char"/>
    <w:uiPriority w:val="9"/>
    <w:semiHidden/>
    <w:unhideWhenUsed/>
    <w:qFormat/>
    <w:rsid w:val="00801973"/>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C71F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01973"/>
    <w:rPr>
      <w:rFonts w:asciiTheme="majorHAnsi" w:eastAsiaTheme="majorEastAsia" w:hAnsiTheme="majorHAnsi" w:cstheme="majorBidi"/>
      <w:b/>
      <w:bCs/>
      <w:color w:val="4472C4" w:themeColor="accent1"/>
      <w:sz w:val="26"/>
      <w:szCs w:val="26"/>
      <w:lang w:val="en-US"/>
    </w:rPr>
  </w:style>
  <w:style w:type="character" w:styleId="Hyperlink">
    <w:name w:val="Hyperlink"/>
    <w:basedOn w:val="DefaultParagraphFont"/>
    <w:uiPriority w:val="99"/>
    <w:unhideWhenUsed/>
    <w:rsid w:val="00801973"/>
    <w:rPr>
      <w:color w:val="0563C1" w:themeColor="hyperlink"/>
      <w:u w:val="single"/>
    </w:rPr>
  </w:style>
  <w:style w:type="paragraph" w:styleId="NormalWeb">
    <w:name w:val="Normal (Web)"/>
    <w:basedOn w:val="Normal"/>
    <w:uiPriority w:val="99"/>
    <w:semiHidden/>
    <w:unhideWhenUsed/>
    <w:rsid w:val="0080197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Paragraph">
    <w:name w:val="List Paragraph"/>
    <w:basedOn w:val="Normal"/>
    <w:uiPriority w:val="34"/>
    <w:qFormat/>
    <w:rsid w:val="00801973"/>
    <w:pPr>
      <w:spacing w:line="276" w:lineRule="auto"/>
      <w:ind w:left="720"/>
      <w:contextualSpacing/>
    </w:pPr>
    <w:rPr>
      <w:rFonts w:eastAsiaTheme="minorEastAsia"/>
      <w:kern w:val="2"/>
      <w:sz w:val="24"/>
      <w:szCs w:val="24"/>
      <w:lang w:val="fr-CI" w:eastAsia="zh-CN"/>
    </w:rPr>
  </w:style>
  <w:style w:type="character" w:styleId="Strong">
    <w:name w:val="Strong"/>
    <w:basedOn w:val="DefaultParagraphFont"/>
    <w:uiPriority w:val="22"/>
    <w:qFormat/>
    <w:rsid w:val="00801973"/>
    <w:rPr>
      <w:b/>
      <w:bCs/>
    </w:rPr>
  </w:style>
  <w:style w:type="character" w:styleId="Emphasis">
    <w:name w:val="Emphasis"/>
    <w:basedOn w:val="DefaultParagraphFont"/>
    <w:uiPriority w:val="20"/>
    <w:qFormat/>
    <w:rsid w:val="00801973"/>
    <w:rPr>
      <w:i/>
      <w:iCs/>
    </w:rPr>
  </w:style>
  <w:style w:type="paragraph" w:styleId="Header">
    <w:name w:val="header"/>
    <w:basedOn w:val="Normal"/>
    <w:link w:val="HeaderChar"/>
    <w:uiPriority w:val="99"/>
    <w:unhideWhenUsed/>
    <w:rsid w:val="00CB3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427"/>
  </w:style>
  <w:style w:type="paragraph" w:styleId="Footer">
    <w:name w:val="footer"/>
    <w:basedOn w:val="Normal"/>
    <w:link w:val="FooterChar"/>
    <w:uiPriority w:val="99"/>
    <w:unhideWhenUsed/>
    <w:rsid w:val="00CB3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427"/>
  </w:style>
  <w:style w:type="character" w:customStyle="1" w:styleId="Heading3Char">
    <w:name w:val="Heading 3 Char"/>
    <w:basedOn w:val="DefaultParagraphFont"/>
    <w:link w:val="Heading3"/>
    <w:uiPriority w:val="9"/>
    <w:semiHidden/>
    <w:rsid w:val="00C71F69"/>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9654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0569">
      <w:bodyDiv w:val="1"/>
      <w:marLeft w:val="0"/>
      <w:marRight w:val="0"/>
      <w:marTop w:val="0"/>
      <w:marBottom w:val="0"/>
      <w:divBdr>
        <w:top w:val="none" w:sz="0" w:space="0" w:color="auto"/>
        <w:left w:val="none" w:sz="0" w:space="0" w:color="auto"/>
        <w:bottom w:val="none" w:sz="0" w:space="0" w:color="auto"/>
        <w:right w:val="none" w:sz="0" w:space="0" w:color="auto"/>
      </w:divBdr>
    </w:div>
    <w:div w:id="278952907">
      <w:bodyDiv w:val="1"/>
      <w:marLeft w:val="0"/>
      <w:marRight w:val="0"/>
      <w:marTop w:val="0"/>
      <w:marBottom w:val="0"/>
      <w:divBdr>
        <w:top w:val="none" w:sz="0" w:space="0" w:color="auto"/>
        <w:left w:val="none" w:sz="0" w:space="0" w:color="auto"/>
        <w:bottom w:val="none" w:sz="0" w:space="0" w:color="auto"/>
        <w:right w:val="none" w:sz="0" w:space="0" w:color="auto"/>
      </w:divBdr>
    </w:div>
    <w:div w:id="800921455">
      <w:bodyDiv w:val="1"/>
      <w:marLeft w:val="0"/>
      <w:marRight w:val="0"/>
      <w:marTop w:val="0"/>
      <w:marBottom w:val="0"/>
      <w:divBdr>
        <w:top w:val="none" w:sz="0" w:space="0" w:color="auto"/>
        <w:left w:val="none" w:sz="0" w:space="0" w:color="auto"/>
        <w:bottom w:val="none" w:sz="0" w:space="0" w:color="auto"/>
        <w:right w:val="none" w:sz="0" w:space="0" w:color="auto"/>
      </w:divBdr>
    </w:div>
    <w:div w:id="874775895">
      <w:bodyDiv w:val="1"/>
      <w:marLeft w:val="0"/>
      <w:marRight w:val="0"/>
      <w:marTop w:val="0"/>
      <w:marBottom w:val="0"/>
      <w:divBdr>
        <w:top w:val="none" w:sz="0" w:space="0" w:color="auto"/>
        <w:left w:val="none" w:sz="0" w:space="0" w:color="auto"/>
        <w:bottom w:val="none" w:sz="0" w:space="0" w:color="auto"/>
        <w:right w:val="none" w:sz="0" w:space="0" w:color="auto"/>
      </w:divBdr>
    </w:div>
    <w:div w:id="1351221718">
      <w:bodyDiv w:val="1"/>
      <w:marLeft w:val="0"/>
      <w:marRight w:val="0"/>
      <w:marTop w:val="0"/>
      <w:marBottom w:val="0"/>
      <w:divBdr>
        <w:top w:val="none" w:sz="0" w:space="0" w:color="auto"/>
        <w:left w:val="none" w:sz="0" w:space="0" w:color="auto"/>
        <w:bottom w:val="none" w:sz="0" w:space="0" w:color="auto"/>
        <w:right w:val="none" w:sz="0" w:space="0" w:color="auto"/>
      </w:divBdr>
    </w:div>
    <w:div w:id="137326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11/jfbc.14472" TargetMode="External"/><Relationship Id="rId18" Type="http://schemas.openxmlformats.org/officeDocument/2006/relationships/hyperlink" Target="https://doi.org/10.1002/jsfa.2740290908" TargetMode="External"/><Relationship Id="rId26" Type="http://schemas.openxmlformats.org/officeDocument/2006/relationships/hyperlink" Target="https://doi.org/10.1016/j.mtsust.2023.100211" TargetMode="External"/><Relationship Id="rId39" Type="http://schemas.openxmlformats.org/officeDocument/2006/relationships/footer" Target="footer1.xml"/><Relationship Id="rId21" Type="http://schemas.openxmlformats.org/officeDocument/2006/relationships/hyperlink" Target="https://firca.ci/wp-content/uploads/2025/01/PRESS-BOOK_atelier-restitution-recherche-hevea.pdf?utm_source=chatgpt.com" TargetMode="External"/><Relationship Id="rId34" Type="http://schemas.openxmlformats.org/officeDocument/2006/relationships/hyperlink" Target="https://doi.org/10.1007/BF02544420" TargetMode="External"/><Relationship Id="rId42"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4314/rib.v25i1.5" TargetMode="External"/><Relationship Id="rId20" Type="http://schemas.openxmlformats.org/officeDocument/2006/relationships/hyperlink" Target="https://doi.org/10.1021/ac60111a017" TargetMode="External"/><Relationship Id="rId29" Type="http://schemas.openxmlformats.org/officeDocument/2006/relationships/hyperlink" Target="https://doi.org/10.1016/j.heliyon.2023.e14135"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foodchem.2004.10.006" TargetMode="External"/><Relationship Id="rId32" Type="http://schemas.openxmlformats.org/officeDocument/2006/relationships/hyperlink" Target="https://www.R-project.org"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155/2014/314573" TargetMode="External"/><Relationship Id="rId23" Type="http://schemas.openxmlformats.org/officeDocument/2006/relationships/hyperlink" Target="https://doi.org/10.1021/jf60232a049" TargetMode="External"/><Relationship Id="rId28" Type="http://schemas.openxmlformats.org/officeDocument/2006/relationships/hyperlink" Target="https://doi.org/10.1002/(SICI)1521-4133(199905)101:5" TargetMode="External"/><Relationship Id="rId36" Type="http://schemas.openxmlformats.org/officeDocument/2006/relationships/hyperlink" Target="https://doi.org/10.1016/j.jclepro.2024.140562" TargetMode="External"/><Relationship Id="rId10" Type="http://schemas.openxmlformats.org/officeDocument/2006/relationships/image" Target="media/image4.png"/><Relationship Id="rId19" Type="http://schemas.openxmlformats.org/officeDocument/2006/relationships/hyperlink" Target="https://doi.org/10.1051/forest:2002056" TargetMode="External"/><Relationship Id="rId31" Type="http://schemas.openxmlformats.org/officeDocument/2006/relationships/hyperlink" Target="https://agris.fao.org/search/en/providers/122439/records/6471cb5277fd37171a6f7fb5?utm_source=chatgpt.com"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outique.afnor.org/en-gb/standard/nf-v03707" TargetMode="External"/><Relationship Id="rId22" Type="http://schemas.openxmlformats.org/officeDocument/2006/relationships/hyperlink" Target="https://doi.org/10.20870/productions-animales.2001.14.3.3815" TargetMode="External"/><Relationship Id="rId27" Type="http://schemas.openxmlformats.org/officeDocument/2006/relationships/hyperlink" Target="https://doi.org/10.1016/j.toxrep.2023.05.021" TargetMode="External"/><Relationship Id="rId30" Type="http://schemas.openxmlformats.org/officeDocument/2006/relationships/hyperlink" Target="https://doi.org/10.1016/j.indcrop.2017.12.052" TargetMode="External"/><Relationship Id="rId35" Type="http://schemas.openxmlformats.org/officeDocument/2006/relationships/hyperlink" Target="https://doi.org/10.1016/j.biteb.2021.100679"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016/0076-6879(55)01021-5" TargetMode="External"/><Relationship Id="rId25" Type="http://schemas.openxmlformats.org/officeDocument/2006/relationships/hyperlink" Target="https://doi.org/10.1002/app.28703" TargetMode="External"/><Relationship Id="rId33" Type="http://schemas.openxmlformats.org/officeDocument/2006/relationships/hyperlink" Target="https://doi.org/10.5344/ajev.1965.16.3.144" TargetMode="External"/><Relationship Id="rId38"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4904</Words>
  <Characters>27958</Characters>
  <Application>Microsoft Office Word</Application>
  <DocSecurity>0</DocSecurity>
  <Lines>232</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 okoma</dc:creator>
  <cp:keywords/>
  <dc:description/>
  <cp:lastModifiedBy>SDI 1186</cp:lastModifiedBy>
  <cp:revision>7</cp:revision>
  <dcterms:created xsi:type="dcterms:W3CDTF">2025-11-09T19:43:00Z</dcterms:created>
  <dcterms:modified xsi:type="dcterms:W3CDTF">2025-11-10T09:06:00Z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7a7292bb-9baf-4104-adb0-63959d684e03</vt:lpwstr>
  </property>
</Properties>
</file>