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E34341" w14:textId="35B2D4DA" w:rsidR="009E4F45" w:rsidRDefault="009E4F45" w:rsidP="00D9067B">
      <w:pPr>
        <w:spacing w:line="360" w:lineRule="auto"/>
        <w:jc w:val="center"/>
        <w:rPr>
          <w:rFonts w:ascii="Times New Roman" w:hAnsi="Times New Roman" w:cs="Times New Roman"/>
          <w:b/>
          <w:bCs/>
          <w:sz w:val="28"/>
          <w:szCs w:val="28"/>
        </w:rPr>
      </w:pPr>
      <w:bookmarkStart w:id="0" w:name="_Hlk212673463"/>
      <w:r w:rsidRPr="009E4F45">
        <w:rPr>
          <w:rFonts w:ascii="Times New Roman" w:hAnsi="Times New Roman" w:cs="Times New Roman"/>
          <w:b/>
          <w:bCs/>
          <w:i/>
          <w:iCs/>
          <w:sz w:val="28"/>
          <w:szCs w:val="28"/>
          <w:u w:val="single"/>
          <w:lang w:val="en-US"/>
        </w:rPr>
        <w:t>Original Research Article</w:t>
      </w:r>
    </w:p>
    <w:p w14:paraId="30E029C3" w14:textId="1901B307" w:rsidR="001E2444" w:rsidRDefault="001E2444" w:rsidP="00D9067B">
      <w:pPr>
        <w:spacing w:line="360" w:lineRule="auto"/>
        <w:jc w:val="center"/>
        <w:rPr>
          <w:rFonts w:ascii="Times New Roman" w:hAnsi="Times New Roman" w:cs="Times New Roman"/>
          <w:b/>
          <w:bCs/>
          <w:sz w:val="28"/>
          <w:szCs w:val="28"/>
        </w:rPr>
      </w:pPr>
      <w:r w:rsidRPr="00A753A4">
        <w:rPr>
          <w:rFonts w:ascii="Times New Roman" w:hAnsi="Times New Roman" w:cs="Times New Roman"/>
          <w:b/>
          <w:bCs/>
          <w:sz w:val="28"/>
          <w:szCs w:val="28"/>
        </w:rPr>
        <w:t xml:space="preserve">Electrolyte and Acid-Base </w:t>
      </w:r>
      <w:r w:rsidR="00CA368F">
        <w:rPr>
          <w:rFonts w:ascii="Times New Roman" w:hAnsi="Times New Roman" w:cs="Times New Roman"/>
          <w:b/>
          <w:bCs/>
          <w:sz w:val="28"/>
          <w:szCs w:val="28"/>
        </w:rPr>
        <w:t>Imbalance</w:t>
      </w:r>
      <w:r w:rsidRPr="00A753A4">
        <w:rPr>
          <w:rFonts w:ascii="Times New Roman" w:hAnsi="Times New Roman" w:cs="Times New Roman"/>
          <w:b/>
          <w:bCs/>
          <w:sz w:val="28"/>
          <w:szCs w:val="28"/>
        </w:rPr>
        <w:t xml:space="preserve"> as Early Markers of CKD: A Cluster-Based Analysis in a Rural Indian </w:t>
      </w:r>
      <w:r w:rsidR="00D9067B" w:rsidRPr="00A753A4">
        <w:rPr>
          <w:rFonts w:ascii="Times New Roman" w:hAnsi="Times New Roman" w:cs="Times New Roman"/>
          <w:b/>
          <w:bCs/>
          <w:sz w:val="28"/>
          <w:szCs w:val="28"/>
        </w:rPr>
        <w:t>Setting</w:t>
      </w:r>
    </w:p>
    <w:bookmarkEnd w:id="0"/>
    <w:p w14:paraId="466FAA1E" w14:textId="48FF8F8F" w:rsidR="00BB1E0D" w:rsidRDefault="00BB1E0D" w:rsidP="009557EC">
      <w:pPr>
        <w:spacing w:line="360" w:lineRule="auto"/>
        <w:rPr>
          <w:rFonts w:ascii="Times New Roman" w:hAnsi="Times New Roman" w:cs="Times New Roman"/>
        </w:rPr>
      </w:pPr>
    </w:p>
    <w:p w14:paraId="0F333F96" w14:textId="77777777" w:rsidR="00CF2CDB" w:rsidRPr="00BB1E0D" w:rsidRDefault="00CF2CDB" w:rsidP="009557EC">
      <w:pPr>
        <w:spacing w:line="360" w:lineRule="auto"/>
        <w:rPr>
          <w:rFonts w:ascii="Times New Roman" w:hAnsi="Times New Roman" w:cs="Times New Roman"/>
        </w:rPr>
      </w:pPr>
    </w:p>
    <w:p w14:paraId="429CB18D" w14:textId="071FD263" w:rsidR="00E0485A" w:rsidRPr="00E60FBC" w:rsidRDefault="00E60FBC" w:rsidP="00E60FBC">
      <w:pPr>
        <w:spacing w:line="360" w:lineRule="auto"/>
        <w:jc w:val="both"/>
        <w:rPr>
          <w:rFonts w:ascii="Times New Roman" w:hAnsi="Times New Roman" w:cs="Times New Roman"/>
          <w:b/>
          <w:bCs/>
        </w:rPr>
      </w:pPr>
      <w:r w:rsidRPr="00E60FBC">
        <w:rPr>
          <w:rFonts w:ascii="Times New Roman" w:hAnsi="Times New Roman" w:cs="Times New Roman"/>
          <w:b/>
          <w:bCs/>
        </w:rPr>
        <w:t>ABSTRACT</w:t>
      </w:r>
    </w:p>
    <w:p w14:paraId="69C0CC58" w14:textId="644406E8" w:rsidR="00E0485A" w:rsidRPr="00E60FBC" w:rsidRDefault="00E0485A" w:rsidP="00E60FBC">
      <w:pPr>
        <w:spacing w:line="360" w:lineRule="auto"/>
        <w:jc w:val="both"/>
        <w:rPr>
          <w:rFonts w:ascii="Times New Roman" w:hAnsi="Times New Roman" w:cs="Times New Roman"/>
        </w:rPr>
      </w:pPr>
      <w:r w:rsidRPr="00E60FBC">
        <w:rPr>
          <w:rFonts w:ascii="Times New Roman" w:hAnsi="Times New Roman" w:cs="Times New Roman"/>
          <w:b/>
          <w:bCs/>
        </w:rPr>
        <w:t>Background:</w:t>
      </w:r>
      <w:r w:rsidRPr="00E60FBC">
        <w:rPr>
          <w:rFonts w:ascii="Times New Roman" w:hAnsi="Times New Roman" w:cs="Times New Roman"/>
          <w:b/>
          <w:bCs/>
        </w:rPr>
        <w:br/>
      </w:r>
      <w:r w:rsidRPr="00E60FBC">
        <w:rPr>
          <w:rFonts w:ascii="Times New Roman" w:hAnsi="Times New Roman" w:cs="Times New Roman"/>
        </w:rPr>
        <w:t>Electrolyte and acid-base imbalances are early markers of chronic kidney disease (CKD), especially relevant in underserved rural populations. This study evaluates key biochemical parameters, the Electrolyte Stress Index (ESI), and clustering-based patient stratification in a</w:t>
      </w:r>
      <w:r w:rsidR="00E60FBC">
        <w:rPr>
          <w:rFonts w:ascii="Times New Roman" w:hAnsi="Times New Roman" w:cs="Times New Roman"/>
        </w:rPr>
        <w:t xml:space="preserve"> </w:t>
      </w:r>
      <w:r w:rsidRPr="00E60FBC">
        <w:rPr>
          <w:rFonts w:ascii="Times New Roman" w:hAnsi="Times New Roman" w:cs="Times New Roman"/>
        </w:rPr>
        <w:t>rural Indian cohort.</w:t>
      </w:r>
      <w:r w:rsidR="00E60FBC">
        <w:rPr>
          <w:rFonts w:ascii="Times New Roman" w:hAnsi="Times New Roman" w:cs="Times New Roman"/>
        </w:rPr>
        <w:t xml:space="preserve"> </w:t>
      </w:r>
      <w:r w:rsidRPr="00E60FBC">
        <w:rPr>
          <w:rFonts w:ascii="Times New Roman" w:hAnsi="Times New Roman" w:cs="Times New Roman"/>
          <w:b/>
          <w:bCs/>
        </w:rPr>
        <w:t>Methods:</w:t>
      </w:r>
      <w:r w:rsidR="00E60FBC">
        <w:rPr>
          <w:rFonts w:ascii="Times New Roman" w:hAnsi="Times New Roman" w:cs="Times New Roman"/>
          <w:b/>
          <w:bCs/>
        </w:rPr>
        <w:t xml:space="preserve"> </w:t>
      </w:r>
      <w:r w:rsidRPr="00E60FBC">
        <w:rPr>
          <w:rFonts w:ascii="Times New Roman" w:hAnsi="Times New Roman" w:cs="Times New Roman"/>
        </w:rPr>
        <w:t>A cross-sectional study was conducted on 200 adults. Serum electrolytes, uric acid, calcium, creatinine, and eGFR were analyzed using the Vitros 4600 analyzer. ESI was calculated as (Na⁺ + K⁺ + Cl⁻)/HCO₃⁻. Pearson’s correlation, sensitivity-specificity analysis, and k-means clustering were applied for statistical evaluation.</w:t>
      </w:r>
      <w:r w:rsidR="00E60FBC">
        <w:rPr>
          <w:rFonts w:ascii="Times New Roman" w:hAnsi="Times New Roman" w:cs="Times New Roman"/>
        </w:rPr>
        <w:t xml:space="preserve"> </w:t>
      </w:r>
      <w:r w:rsidRPr="00E60FBC">
        <w:rPr>
          <w:rFonts w:ascii="Times New Roman" w:hAnsi="Times New Roman" w:cs="Times New Roman"/>
          <w:b/>
          <w:bCs/>
        </w:rPr>
        <w:t>Results:</w:t>
      </w:r>
      <w:r w:rsidRPr="00E60FBC">
        <w:rPr>
          <w:rFonts w:ascii="Times New Roman" w:hAnsi="Times New Roman" w:cs="Times New Roman"/>
          <w:b/>
          <w:bCs/>
        </w:rPr>
        <w:br/>
      </w:r>
      <w:r w:rsidRPr="00E60FBC">
        <w:rPr>
          <w:rFonts w:ascii="Times New Roman" w:hAnsi="Times New Roman" w:cs="Times New Roman"/>
        </w:rPr>
        <w:t xml:space="preserve">Hyponatremia (14.0%), </w:t>
      </w:r>
      <w:r w:rsidR="00C65D41" w:rsidRPr="00E60FBC">
        <w:rPr>
          <w:rFonts w:ascii="Times New Roman" w:hAnsi="Times New Roman" w:cs="Times New Roman"/>
        </w:rPr>
        <w:t>hyperkalaemia</w:t>
      </w:r>
      <w:r w:rsidRPr="00E60FBC">
        <w:rPr>
          <w:rFonts w:ascii="Times New Roman" w:hAnsi="Times New Roman" w:cs="Times New Roman"/>
        </w:rPr>
        <w:t xml:space="preserve"> (17.5%), low HCO₃⁻ (15.0%), and hyperuricemia (22.0%) were prevalent. HCO₃⁻ showed a strong negative correlation with creatinine (r = -0.47, p &lt; 0.001). ESI ≥15 was linked to lower mean GFR (54.7 ml/min), with a sensitivity of 60%, specificity of 90%, and Youden Index of 0.50. Clustering revealed three distinct biochemical profiles, including high-risk renal phenotypes.</w:t>
      </w:r>
      <w:r w:rsidR="00D37549">
        <w:rPr>
          <w:rFonts w:ascii="Times New Roman" w:hAnsi="Times New Roman" w:cs="Times New Roman"/>
        </w:rPr>
        <w:t xml:space="preserve"> </w:t>
      </w:r>
      <w:r w:rsidRPr="00E60FBC">
        <w:rPr>
          <w:rFonts w:ascii="Times New Roman" w:hAnsi="Times New Roman" w:cs="Times New Roman"/>
          <w:b/>
          <w:bCs/>
        </w:rPr>
        <w:t>Conclusion:</w:t>
      </w:r>
      <w:r w:rsidR="00E60FBC">
        <w:rPr>
          <w:rFonts w:ascii="Times New Roman" w:hAnsi="Times New Roman" w:cs="Times New Roman"/>
        </w:rPr>
        <w:t xml:space="preserve"> </w:t>
      </w:r>
      <w:r w:rsidRPr="00E60FBC">
        <w:rPr>
          <w:rFonts w:ascii="Times New Roman" w:hAnsi="Times New Roman" w:cs="Times New Roman"/>
        </w:rPr>
        <w:t>Electrolyte abnormalities correlated strongly with renal dysfunction. ESI and cluster analysis offer promising, low-cost tools for early CKD risk stratification in resource-limited settings.</w:t>
      </w:r>
    </w:p>
    <w:p w14:paraId="246C4C06" w14:textId="77777777" w:rsidR="00E0485A" w:rsidRPr="00E60FBC" w:rsidRDefault="00E0485A" w:rsidP="00E60FBC">
      <w:pPr>
        <w:spacing w:line="360" w:lineRule="auto"/>
        <w:jc w:val="both"/>
        <w:rPr>
          <w:rFonts w:ascii="Times New Roman" w:hAnsi="Times New Roman" w:cs="Times New Roman"/>
          <w:b/>
          <w:bCs/>
        </w:rPr>
      </w:pPr>
      <w:r w:rsidRPr="00E60FBC">
        <w:rPr>
          <w:rFonts w:ascii="Times New Roman" w:hAnsi="Times New Roman" w:cs="Times New Roman"/>
          <w:b/>
          <w:bCs/>
        </w:rPr>
        <w:t>Keywords</w:t>
      </w:r>
    </w:p>
    <w:p w14:paraId="69AD45EA" w14:textId="3DC6BBDD" w:rsidR="00E0485A" w:rsidRDefault="00E0485A" w:rsidP="00E60FBC">
      <w:pPr>
        <w:spacing w:line="360" w:lineRule="auto"/>
        <w:jc w:val="both"/>
        <w:rPr>
          <w:rFonts w:ascii="Times New Roman" w:hAnsi="Times New Roman" w:cs="Times New Roman"/>
        </w:rPr>
      </w:pPr>
      <w:r w:rsidRPr="00E60FBC">
        <w:rPr>
          <w:rFonts w:ascii="Times New Roman" w:hAnsi="Times New Roman" w:cs="Times New Roman"/>
        </w:rPr>
        <w:t>Electrolyte Stress Index, CKD (</w:t>
      </w:r>
      <w:r w:rsidR="00A91A69" w:rsidRPr="00E60FBC">
        <w:rPr>
          <w:rFonts w:ascii="Times New Roman" w:hAnsi="Times New Roman" w:cs="Times New Roman"/>
        </w:rPr>
        <w:t>chronic kidney disease</w:t>
      </w:r>
      <w:r w:rsidR="00740206">
        <w:rPr>
          <w:rFonts w:ascii="Times New Roman" w:hAnsi="Times New Roman" w:cs="Times New Roman"/>
        </w:rPr>
        <w:t>)</w:t>
      </w:r>
      <w:r w:rsidRPr="00E60FBC">
        <w:rPr>
          <w:rFonts w:ascii="Times New Roman" w:hAnsi="Times New Roman" w:cs="Times New Roman"/>
        </w:rPr>
        <w:t>, Rural India, Bicarbonate, eGFR, K-means Clustering, Biochemical Profile, Renal Risk</w:t>
      </w:r>
    </w:p>
    <w:p w14:paraId="02514672" w14:textId="77777777" w:rsidR="00B224E9" w:rsidRDefault="00B224E9" w:rsidP="00E60FBC">
      <w:pPr>
        <w:spacing w:line="360" w:lineRule="auto"/>
        <w:jc w:val="both"/>
        <w:rPr>
          <w:rFonts w:ascii="Times New Roman" w:hAnsi="Times New Roman" w:cs="Times New Roman"/>
        </w:rPr>
      </w:pPr>
    </w:p>
    <w:p w14:paraId="2635FE88" w14:textId="03A11DDB" w:rsidR="00B224E9" w:rsidRPr="00B224E9" w:rsidRDefault="00F84BE0" w:rsidP="00B224E9">
      <w:pPr>
        <w:spacing w:line="360" w:lineRule="auto"/>
        <w:jc w:val="both"/>
        <w:rPr>
          <w:rFonts w:ascii="Times New Roman" w:hAnsi="Times New Roman" w:cs="Times New Roman"/>
          <w:b/>
          <w:bCs/>
        </w:rPr>
      </w:pPr>
      <w:r w:rsidRPr="00B224E9">
        <w:rPr>
          <w:rFonts w:ascii="Times New Roman" w:hAnsi="Times New Roman" w:cs="Times New Roman"/>
          <w:b/>
          <w:bCs/>
        </w:rPr>
        <w:t>INTRODUCTION</w:t>
      </w:r>
    </w:p>
    <w:p w14:paraId="00725EC8" w14:textId="08EA6E93" w:rsidR="00B224E9" w:rsidRPr="00B224E9" w:rsidRDefault="00B224E9" w:rsidP="00B224E9">
      <w:pPr>
        <w:spacing w:line="360" w:lineRule="auto"/>
        <w:jc w:val="both"/>
        <w:rPr>
          <w:rFonts w:ascii="Times New Roman" w:hAnsi="Times New Roman" w:cs="Times New Roman"/>
        </w:rPr>
      </w:pPr>
      <w:r w:rsidRPr="00B224E9">
        <w:rPr>
          <w:rFonts w:ascii="Times New Roman" w:hAnsi="Times New Roman" w:cs="Times New Roman"/>
        </w:rPr>
        <w:t>Electrolyte and acid–base homeostasis are fundamental to cellular function, fluid balance, and organ integrity, with the kidneys serving as key regulators of critical electrolytes</w:t>
      </w:r>
      <w:r w:rsidR="00F429FA">
        <w:rPr>
          <w:rFonts w:ascii="Times New Roman" w:hAnsi="Times New Roman" w:cs="Times New Roman"/>
        </w:rPr>
        <w:t xml:space="preserve"> </w:t>
      </w:r>
      <w:r w:rsidRPr="00B224E9">
        <w:rPr>
          <w:rFonts w:ascii="Times New Roman" w:hAnsi="Times New Roman" w:cs="Times New Roman"/>
        </w:rPr>
        <w:t>such as sodium, potassium, bicarbonate, calcium, and uric acid</w:t>
      </w:r>
      <w:r>
        <w:rPr>
          <w:rFonts w:ascii="Times New Roman" w:hAnsi="Times New Roman" w:cs="Times New Roman"/>
          <w:vertAlign w:val="superscript"/>
        </w:rPr>
        <w:t>1</w:t>
      </w:r>
      <w:r w:rsidRPr="00B224E9">
        <w:rPr>
          <w:rFonts w:ascii="Times New Roman" w:hAnsi="Times New Roman" w:cs="Times New Roman"/>
        </w:rPr>
        <w:t xml:space="preserve">. Early renal impairment often </w:t>
      </w:r>
      <w:r w:rsidRPr="00B224E9">
        <w:rPr>
          <w:rFonts w:ascii="Times New Roman" w:hAnsi="Times New Roman" w:cs="Times New Roman"/>
        </w:rPr>
        <w:lastRenderedPageBreak/>
        <w:t>manifests as subtle biochemical disturbances before clinical chronic kidney disease (CKD) becomes evident, underscoring the value of early detection via routine laboratory markers</w:t>
      </w:r>
      <w:r>
        <w:rPr>
          <w:rFonts w:ascii="Times New Roman" w:hAnsi="Times New Roman" w:cs="Times New Roman"/>
          <w:vertAlign w:val="superscript"/>
        </w:rPr>
        <w:t>2</w:t>
      </w:r>
      <w:r w:rsidRPr="00B224E9">
        <w:rPr>
          <w:rFonts w:ascii="Times New Roman" w:hAnsi="Times New Roman" w:cs="Times New Roman"/>
        </w:rPr>
        <w:t>.</w:t>
      </w:r>
    </w:p>
    <w:p w14:paraId="57E4FA9B" w14:textId="7B0BE19F" w:rsidR="00B224E9" w:rsidRPr="00B224E9" w:rsidRDefault="00B224E9" w:rsidP="00B224E9">
      <w:pPr>
        <w:spacing w:line="360" w:lineRule="auto"/>
        <w:jc w:val="both"/>
        <w:rPr>
          <w:rFonts w:ascii="Times New Roman" w:hAnsi="Times New Roman" w:cs="Times New Roman"/>
        </w:rPr>
      </w:pPr>
      <w:r w:rsidRPr="00B224E9">
        <w:rPr>
          <w:rFonts w:ascii="Times New Roman" w:hAnsi="Times New Roman" w:cs="Times New Roman"/>
        </w:rPr>
        <w:t>CKD presents a mounting global public health challenge, especially in low- and middle-income countries where healthcare infrastructure and awareness are limited. A recent systematic review found that the overall prevalence of CKD was approximately 13.0% (11.3–14.8), with higher rates in low- and middle-income countries (11.4% and 15.0%, respectively) compared to high-income countries (10.8%)</w:t>
      </w:r>
      <w:r w:rsidRPr="00B224E9">
        <w:rPr>
          <w:rFonts w:ascii="Times New Roman" w:hAnsi="Times New Roman" w:cs="Times New Roman"/>
          <w:vertAlign w:val="superscript"/>
        </w:rPr>
        <w:t>3</w:t>
      </w:r>
      <w:r w:rsidRPr="00B224E9">
        <w:rPr>
          <w:rFonts w:ascii="Times New Roman" w:hAnsi="Times New Roman" w:cs="Times New Roman"/>
        </w:rPr>
        <w:t xml:space="preserve">. In India, rural areas carry a disproportionately higher </w:t>
      </w:r>
      <w:r w:rsidR="00F429FA" w:rsidRPr="00B224E9">
        <w:rPr>
          <w:rFonts w:ascii="Times New Roman" w:hAnsi="Times New Roman" w:cs="Times New Roman"/>
        </w:rPr>
        <w:t>CKD</w:t>
      </w:r>
      <w:r w:rsidR="00F429FA">
        <w:rPr>
          <w:rFonts w:ascii="Times New Roman" w:hAnsi="Times New Roman" w:cs="Times New Roman"/>
        </w:rPr>
        <w:t xml:space="preserve"> burden </w:t>
      </w:r>
      <w:r w:rsidRPr="00B224E9">
        <w:rPr>
          <w:rFonts w:ascii="Times New Roman" w:hAnsi="Times New Roman" w:cs="Times New Roman"/>
        </w:rPr>
        <w:t>community-based studies indicate a pooled prevalence of 15.3% in rural regions versus 10.7% in urban populations</w:t>
      </w:r>
      <w:r w:rsidRPr="00B224E9">
        <w:rPr>
          <w:rFonts w:ascii="Times New Roman" w:hAnsi="Times New Roman" w:cs="Times New Roman"/>
          <w:vertAlign w:val="superscript"/>
        </w:rPr>
        <w:t>4</w:t>
      </w:r>
      <w:r w:rsidRPr="00B224E9">
        <w:rPr>
          <w:rFonts w:ascii="Times New Roman" w:hAnsi="Times New Roman" w:cs="Times New Roman"/>
        </w:rPr>
        <w:t>.</w:t>
      </w:r>
      <w:r w:rsidR="00A91A69">
        <w:rPr>
          <w:rFonts w:ascii="Times New Roman" w:hAnsi="Times New Roman" w:cs="Times New Roman"/>
        </w:rPr>
        <w:t xml:space="preserve"> </w:t>
      </w:r>
      <w:r w:rsidRPr="00B224E9">
        <w:rPr>
          <w:rFonts w:ascii="Times New Roman" w:hAnsi="Times New Roman" w:cs="Times New Roman"/>
        </w:rPr>
        <w:t>Electrolyte imbalances</w:t>
      </w:r>
      <w:r w:rsidR="00F429FA">
        <w:rPr>
          <w:rFonts w:ascii="Times New Roman" w:hAnsi="Times New Roman" w:cs="Times New Roman"/>
        </w:rPr>
        <w:t xml:space="preserve"> </w:t>
      </w:r>
      <w:r w:rsidRPr="00B224E9">
        <w:rPr>
          <w:rFonts w:ascii="Times New Roman" w:hAnsi="Times New Roman" w:cs="Times New Roman"/>
        </w:rPr>
        <w:t>such as hyponatremia, hypochloremia, and metabolic acidosis</w:t>
      </w:r>
      <w:r w:rsidR="00CA368F">
        <w:rPr>
          <w:rFonts w:ascii="Times New Roman" w:hAnsi="Times New Roman" w:cs="Times New Roman"/>
        </w:rPr>
        <w:t xml:space="preserve"> </w:t>
      </w:r>
      <w:r w:rsidRPr="00B224E9">
        <w:rPr>
          <w:rFonts w:ascii="Times New Roman" w:hAnsi="Times New Roman" w:cs="Times New Roman"/>
        </w:rPr>
        <w:t>are commonly observed in CKD and are associated with adverse outcomes, including progression to end-stage renal disease and elevated cardiovascular risk. Low serum sodium and chloride have been linked to increased mortality and cardiovascular morbidity in pre-dialysis CKD populations</w:t>
      </w:r>
      <w:r w:rsidR="00B32873">
        <w:rPr>
          <w:rFonts w:ascii="Times New Roman" w:hAnsi="Times New Roman" w:cs="Times New Roman"/>
          <w:vertAlign w:val="superscript"/>
        </w:rPr>
        <w:t>7</w:t>
      </w:r>
      <w:r w:rsidRPr="00B224E9">
        <w:rPr>
          <w:rFonts w:ascii="Times New Roman" w:hAnsi="Times New Roman" w:cs="Times New Roman"/>
        </w:rPr>
        <w:t xml:space="preserve">. </w:t>
      </w:r>
      <w:r w:rsidR="008F74F1" w:rsidRPr="00B224E9">
        <w:rPr>
          <w:rFonts w:ascii="Times New Roman" w:hAnsi="Times New Roman" w:cs="Times New Roman"/>
        </w:rPr>
        <w:t>Hyperkalaemia</w:t>
      </w:r>
      <w:r w:rsidRPr="00B224E9">
        <w:rPr>
          <w:rFonts w:ascii="Times New Roman" w:hAnsi="Times New Roman" w:cs="Times New Roman"/>
        </w:rPr>
        <w:t xml:space="preserve"> often coexists with metabolic acidosis in CKD stages 3–5 and significantly correlates with faster disease progression</w:t>
      </w:r>
      <w:r w:rsidR="00B32873">
        <w:rPr>
          <w:rFonts w:ascii="Times New Roman" w:hAnsi="Times New Roman" w:cs="Times New Roman"/>
          <w:vertAlign w:val="superscript"/>
        </w:rPr>
        <w:t>5</w:t>
      </w:r>
      <w:r w:rsidRPr="00B224E9">
        <w:rPr>
          <w:rFonts w:ascii="Times New Roman" w:hAnsi="Times New Roman" w:cs="Times New Roman"/>
        </w:rPr>
        <w:t xml:space="preserve">, while both hypo- and </w:t>
      </w:r>
      <w:r w:rsidR="008F74F1" w:rsidRPr="00B224E9">
        <w:rPr>
          <w:rFonts w:ascii="Times New Roman" w:hAnsi="Times New Roman" w:cs="Times New Roman"/>
        </w:rPr>
        <w:t>hyperkalaemia</w:t>
      </w:r>
      <w:r w:rsidRPr="00B224E9">
        <w:rPr>
          <w:rFonts w:ascii="Times New Roman" w:hAnsi="Times New Roman" w:cs="Times New Roman"/>
        </w:rPr>
        <w:t xml:space="preserve"> independently elevate risks for all-cause and cardiovascular mortality</w:t>
      </w:r>
      <w:r w:rsidR="00B32873">
        <w:rPr>
          <w:rFonts w:ascii="Times New Roman" w:hAnsi="Times New Roman" w:cs="Times New Roman"/>
          <w:vertAlign w:val="superscript"/>
        </w:rPr>
        <w:t>9</w:t>
      </w:r>
      <w:r w:rsidRPr="00B224E9">
        <w:rPr>
          <w:rFonts w:ascii="Times New Roman" w:hAnsi="Times New Roman" w:cs="Times New Roman"/>
        </w:rPr>
        <w:t>.</w:t>
      </w:r>
      <w:r w:rsidR="00A91A69">
        <w:rPr>
          <w:rFonts w:ascii="Times New Roman" w:hAnsi="Times New Roman" w:cs="Times New Roman"/>
        </w:rPr>
        <w:t xml:space="preserve"> </w:t>
      </w:r>
      <w:r w:rsidRPr="00B224E9">
        <w:rPr>
          <w:rFonts w:ascii="Times New Roman" w:hAnsi="Times New Roman" w:cs="Times New Roman"/>
        </w:rPr>
        <w:t>Additionally, hyperuricemia has gained attention for its potential role in CKD pathophysiology through mechanisms involving endothelial dysfunction, oxidative stress, and inflammation</w:t>
      </w:r>
      <w:r w:rsidR="00B32873">
        <w:rPr>
          <w:rFonts w:ascii="Times New Roman" w:hAnsi="Times New Roman" w:cs="Times New Roman"/>
          <w:vertAlign w:val="superscript"/>
        </w:rPr>
        <w:t>6</w:t>
      </w:r>
      <w:r w:rsidRPr="00B224E9">
        <w:rPr>
          <w:rFonts w:ascii="Times New Roman" w:hAnsi="Times New Roman" w:cs="Times New Roman"/>
        </w:rPr>
        <w:t>. Large cohort data also indicate that elevated serum uric acid independently increases CKD risk, underscoring its growing relevance as a prognostic indicator</w:t>
      </w:r>
      <w:r w:rsidR="00B32873">
        <w:rPr>
          <w:rFonts w:ascii="Times New Roman" w:hAnsi="Times New Roman" w:cs="Times New Roman"/>
          <w:vertAlign w:val="superscript"/>
        </w:rPr>
        <w:t>5</w:t>
      </w:r>
      <w:r w:rsidRPr="00B224E9">
        <w:rPr>
          <w:rFonts w:ascii="Times New Roman" w:hAnsi="Times New Roman" w:cs="Times New Roman"/>
        </w:rPr>
        <w:t>, particularly in diabetic kidney disease</w:t>
      </w:r>
      <w:r w:rsidR="00B32873">
        <w:rPr>
          <w:rFonts w:ascii="Times New Roman" w:hAnsi="Times New Roman" w:cs="Times New Roman"/>
          <w:vertAlign w:val="superscript"/>
        </w:rPr>
        <w:t>8</w:t>
      </w:r>
      <w:r w:rsidRPr="00B224E9">
        <w:rPr>
          <w:rFonts w:ascii="Times New Roman" w:hAnsi="Times New Roman" w:cs="Times New Roman"/>
        </w:rPr>
        <w:t>.</w:t>
      </w:r>
      <w:r w:rsidR="00A91A69">
        <w:rPr>
          <w:rFonts w:ascii="Times New Roman" w:hAnsi="Times New Roman" w:cs="Times New Roman"/>
        </w:rPr>
        <w:t xml:space="preserve"> </w:t>
      </w:r>
      <w:r w:rsidRPr="00B224E9">
        <w:rPr>
          <w:rFonts w:ascii="Times New Roman" w:hAnsi="Times New Roman" w:cs="Times New Roman"/>
        </w:rPr>
        <w:t xml:space="preserve">In settings constrained by limited resources, composite indices based on routine lab tests may offer practical risk detection tools. The </w:t>
      </w:r>
      <w:r w:rsidRPr="008F74F1">
        <w:rPr>
          <w:rFonts w:ascii="Times New Roman" w:hAnsi="Times New Roman" w:cs="Times New Roman"/>
        </w:rPr>
        <w:t>Electrolyte Stress Index (ESI)</w:t>
      </w:r>
      <w:r w:rsidR="00F429FA">
        <w:rPr>
          <w:rFonts w:ascii="Times New Roman" w:hAnsi="Times New Roman" w:cs="Times New Roman"/>
        </w:rPr>
        <w:t xml:space="preserve"> </w:t>
      </w:r>
      <w:r w:rsidRPr="00B224E9">
        <w:rPr>
          <w:rFonts w:ascii="Times New Roman" w:hAnsi="Times New Roman" w:cs="Times New Roman"/>
        </w:rPr>
        <w:t>which integrates sodium, potassium, chloride, and bicarbonate</w:t>
      </w:r>
      <w:r w:rsidR="00F429FA">
        <w:rPr>
          <w:rFonts w:ascii="Times New Roman" w:hAnsi="Times New Roman" w:cs="Times New Roman"/>
        </w:rPr>
        <w:t xml:space="preserve"> </w:t>
      </w:r>
      <w:r w:rsidRPr="00B224E9">
        <w:rPr>
          <w:rFonts w:ascii="Times New Roman" w:hAnsi="Times New Roman" w:cs="Times New Roman"/>
        </w:rPr>
        <w:t xml:space="preserve">emerges as a cost-effective, scalable screening metric. Complementarily, unsupervised machine learning techniques like </w:t>
      </w:r>
      <w:r w:rsidRPr="008F74F1">
        <w:rPr>
          <w:rFonts w:ascii="Times New Roman" w:hAnsi="Times New Roman" w:cs="Times New Roman"/>
        </w:rPr>
        <w:t>k</w:t>
      </w:r>
      <w:r w:rsidRPr="008F74F1">
        <w:rPr>
          <w:rFonts w:ascii="Times New Roman" w:hAnsi="Times New Roman" w:cs="Times New Roman"/>
        </w:rPr>
        <w:noBreakHyphen/>
        <w:t>means clustering</w:t>
      </w:r>
      <w:r w:rsidRPr="00B224E9">
        <w:rPr>
          <w:rFonts w:ascii="Times New Roman" w:hAnsi="Times New Roman" w:cs="Times New Roman"/>
        </w:rPr>
        <w:t xml:space="preserve"> or soft-clustering may uncover meaningful biochemical-phenotype subgroups often overlooked by standard analysis</w:t>
      </w:r>
      <w:r w:rsidR="00B32873">
        <w:rPr>
          <w:rFonts w:ascii="Times New Roman" w:hAnsi="Times New Roman" w:cs="Times New Roman"/>
          <w:vertAlign w:val="superscript"/>
        </w:rPr>
        <w:t>7</w:t>
      </w:r>
      <w:r w:rsidRPr="00B224E9">
        <w:rPr>
          <w:rFonts w:ascii="Times New Roman" w:hAnsi="Times New Roman" w:cs="Times New Roman"/>
        </w:rPr>
        <w:t>.</w:t>
      </w:r>
    </w:p>
    <w:p w14:paraId="51BBCFC2" w14:textId="757198E1" w:rsidR="00FB2143" w:rsidRPr="0047375C" w:rsidRDefault="00B224E9" w:rsidP="00E60FBC">
      <w:pPr>
        <w:spacing w:line="360" w:lineRule="auto"/>
        <w:jc w:val="both"/>
        <w:rPr>
          <w:rFonts w:ascii="Times New Roman" w:hAnsi="Times New Roman" w:cs="Times New Roman"/>
        </w:rPr>
      </w:pPr>
      <w:r w:rsidRPr="00B224E9">
        <w:rPr>
          <w:rFonts w:ascii="Times New Roman" w:hAnsi="Times New Roman" w:cs="Times New Roman"/>
        </w:rPr>
        <w:t xml:space="preserve">Despite these methodological advances, data from rural Indian populations remain scarce. This study </w:t>
      </w:r>
      <w:r w:rsidR="00D37549">
        <w:rPr>
          <w:rFonts w:ascii="Times New Roman" w:hAnsi="Times New Roman" w:cs="Times New Roman"/>
        </w:rPr>
        <w:t>will address the</w:t>
      </w:r>
      <w:r w:rsidRPr="00B224E9">
        <w:rPr>
          <w:rFonts w:ascii="Times New Roman" w:hAnsi="Times New Roman" w:cs="Times New Roman"/>
        </w:rPr>
        <w:t xml:space="preserve"> gap by: (1) characterizing the prevalence and patterns of key biochemical disturbances in a rural cohort; (2) examining their correlation with renal function (e.g., serum creatinine, eGFR); and (3) evaluating the feasibility and clinical utility of ESI and clustering-based stratification in resource-poor, rural settings.</w:t>
      </w:r>
    </w:p>
    <w:p w14:paraId="6624FE19" w14:textId="6BEF38C4" w:rsidR="00E60FBC" w:rsidRPr="00E60FBC" w:rsidRDefault="00E60FBC" w:rsidP="00E60FBC">
      <w:pPr>
        <w:pStyle w:val="Heading2"/>
        <w:spacing w:line="360" w:lineRule="auto"/>
        <w:jc w:val="both"/>
        <w:rPr>
          <w:rFonts w:ascii="Times New Roman" w:hAnsi="Times New Roman" w:cs="Times New Roman"/>
          <w:color w:val="000000" w:themeColor="text1"/>
          <w:sz w:val="24"/>
          <w:szCs w:val="24"/>
        </w:rPr>
      </w:pPr>
      <w:r w:rsidRPr="00E60FBC">
        <w:rPr>
          <w:rStyle w:val="Strong"/>
          <w:rFonts w:ascii="Times New Roman" w:hAnsi="Times New Roman" w:cs="Times New Roman"/>
          <w:color w:val="000000" w:themeColor="text1"/>
          <w:sz w:val="24"/>
          <w:szCs w:val="24"/>
        </w:rPr>
        <w:t>MATERIALS AND METHODS</w:t>
      </w:r>
    </w:p>
    <w:p w14:paraId="3434E032" w14:textId="77777777" w:rsidR="00E60FBC" w:rsidRPr="00E60FBC" w:rsidRDefault="00E60FBC" w:rsidP="00E60FBC">
      <w:pPr>
        <w:pStyle w:val="NormalWeb"/>
        <w:spacing w:line="360" w:lineRule="auto"/>
        <w:jc w:val="both"/>
        <w:rPr>
          <w:b/>
          <w:bCs/>
        </w:rPr>
      </w:pPr>
      <w:r w:rsidRPr="00E60FBC">
        <w:rPr>
          <w:b/>
          <w:bCs/>
        </w:rPr>
        <w:t>Study Setting and Participants</w:t>
      </w:r>
    </w:p>
    <w:p w14:paraId="7938A252" w14:textId="77777777" w:rsidR="00EB7388" w:rsidRDefault="00EB7388" w:rsidP="00E60FBC">
      <w:pPr>
        <w:pStyle w:val="Heading4"/>
        <w:spacing w:line="360" w:lineRule="auto"/>
        <w:jc w:val="both"/>
        <w:rPr>
          <w:rFonts w:ascii="Times New Roman" w:eastAsia="Times New Roman" w:hAnsi="Times New Roman" w:cs="Times New Roman"/>
          <w:i w:val="0"/>
          <w:iCs w:val="0"/>
          <w:color w:val="auto"/>
          <w:kern w:val="0"/>
          <w:lang w:eastAsia="en-IN"/>
          <w14:ligatures w14:val="none"/>
        </w:rPr>
      </w:pPr>
      <w:r w:rsidRPr="00EB7388">
        <w:rPr>
          <w:rFonts w:ascii="Times New Roman" w:eastAsia="Times New Roman" w:hAnsi="Times New Roman" w:cs="Times New Roman"/>
          <w:i w:val="0"/>
          <w:iCs w:val="0"/>
          <w:color w:val="auto"/>
          <w:kern w:val="0"/>
          <w:lang w:eastAsia="en-IN"/>
          <w14:ligatures w14:val="none"/>
        </w:rPr>
        <w:lastRenderedPageBreak/>
        <w:t>This cross-sectional observational study was conducted in a rural Northern Indian setting at the Department of Biochemistry, between January 2024 and February 2025. The study was approved by the Institutional Ethics Committee (Reference No. IEC/P-44/2024), and written informed consent was obtained from all participants. The study recruited 200 adult participants aged 18 years or above, selected through convenience sampling from among patients visiting outpatient and inpatient departments of a secondary care hospital. Eligible participants were those with stable clinical conditions. Individuals with known end-stage renal disease, ongoing dialysis, acute medical conditions, or incomplete biochemical data were excluded from analysis to maintain data integrity.</w:t>
      </w:r>
    </w:p>
    <w:p w14:paraId="1CACD851" w14:textId="6FE682E6" w:rsidR="00E60FBC" w:rsidRPr="00DF39C9" w:rsidRDefault="00E60FBC" w:rsidP="00E60FBC">
      <w:pPr>
        <w:pStyle w:val="Heading4"/>
        <w:spacing w:line="360" w:lineRule="auto"/>
        <w:jc w:val="both"/>
        <w:rPr>
          <w:rStyle w:val="Strong"/>
          <w:rFonts w:ascii="Times New Roman" w:hAnsi="Times New Roman" w:cs="Times New Roman"/>
          <w:i w:val="0"/>
          <w:iCs w:val="0"/>
          <w:color w:val="000000" w:themeColor="text1"/>
        </w:rPr>
      </w:pPr>
      <w:r w:rsidRPr="00DF39C9">
        <w:rPr>
          <w:rStyle w:val="Strong"/>
          <w:rFonts w:ascii="Times New Roman" w:hAnsi="Times New Roman" w:cs="Times New Roman"/>
          <w:i w:val="0"/>
          <w:iCs w:val="0"/>
          <w:color w:val="000000" w:themeColor="text1"/>
        </w:rPr>
        <w:t>Data Collection and Measurements</w:t>
      </w:r>
    </w:p>
    <w:p w14:paraId="2DF349CF" w14:textId="675D6950" w:rsidR="00E60FBC" w:rsidRPr="00E60FBC" w:rsidRDefault="00E60FBC" w:rsidP="00E60FBC">
      <w:pPr>
        <w:spacing w:line="360" w:lineRule="auto"/>
        <w:jc w:val="both"/>
        <w:rPr>
          <w:rFonts w:ascii="Times New Roman" w:hAnsi="Times New Roman" w:cs="Times New Roman"/>
        </w:rPr>
      </w:pPr>
      <w:r w:rsidRPr="00E60FBC">
        <w:rPr>
          <w:rFonts w:ascii="Times New Roman" w:hAnsi="Times New Roman" w:cs="Times New Roman"/>
        </w:rPr>
        <w:t xml:space="preserve">Venous blood samples were collected from all participants under aseptic conditions following standard phlebotomy procedures. After allowing the samples to clot, they were centrifuged to separate serum, which was used for biochemical analysis. All serum samples were analyzed using the Vitros </w:t>
      </w:r>
      <w:r w:rsidR="00CD1220">
        <w:rPr>
          <w:rFonts w:ascii="Times New Roman" w:hAnsi="Times New Roman" w:cs="Times New Roman"/>
        </w:rPr>
        <w:t>5</w:t>
      </w:r>
      <w:r w:rsidRPr="00E60FBC">
        <w:rPr>
          <w:rFonts w:ascii="Times New Roman" w:hAnsi="Times New Roman" w:cs="Times New Roman"/>
        </w:rPr>
        <w:t xml:space="preserve">600 </w:t>
      </w:r>
      <w:r w:rsidR="00CD1220">
        <w:rPr>
          <w:rFonts w:ascii="Times New Roman" w:hAnsi="Times New Roman" w:cs="Times New Roman"/>
        </w:rPr>
        <w:t xml:space="preserve">Integrated Chemistry System </w:t>
      </w:r>
      <w:r w:rsidRPr="00E60FBC">
        <w:rPr>
          <w:rFonts w:ascii="Times New Roman" w:hAnsi="Times New Roman" w:cs="Times New Roman"/>
        </w:rPr>
        <w:t>Analyzer, a fully automated dry chemistry platform that employs slide-based technology for high-throughput and precision testing.</w:t>
      </w:r>
    </w:p>
    <w:p w14:paraId="69634E62" w14:textId="51A32FB9" w:rsidR="00E60FBC" w:rsidRPr="002C31B4" w:rsidRDefault="00E60FBC" w:rsidP="00D37549">
      <w:pPr>
        <w:pStyle w:val="ListParagraph"/>
        <w:numPr>
          <w:ilvl w:val="0"/>
          <w:numId w:val="13"/>
        </w:numPr>
        <w:spacing w:line="360" w:lineRule="auto"/>
        <w:jc w:val="both"/>
        <w:rPr>
          <w:rFonts w:ascii="Times New Roman" w:hAnsi="Times New Roman" w:cs="Times New Roman"/>
        </w:rPr>
      </w:pPr>
      <w:r w:rsidRPr="002C31B4">
        <w:rPr>
          <w:rFonts w:ascii="Times New Roman" w:hAnsi="Times New Roman" w:cs="Times New Roman"/>
        </w:rPr>
        <w:t>Serum sodium, potassium, and chloride levels were measured using the indirect ion-selective electrode (ISE) method, which estimates ion activity in diluted serum and is standardized to reflect plasma concentrations. Serum bicarbonate was determined using an enzymatic method based on phosphoenolpyruvate carboxylase and malate dehydrogenase reactions, with changes in NADH absorbance quantified spectrophotometrically.</w:t>
      </w:r>
    </w:p>
    <w:p w14:paraId="0756B72B" w14:textId="77777777" w:rsidR="002C31B4" w:rsidRDefault="00E60FBC" w:rsidP="00D37549">
      <w:pPr>
        <w:pStyle w:val="ListParagraph"/>
        <w:numPr>
          <w:ilvl w:val="0"/>
          <w:numId w:val="13"/>
        </w:numPr>
        <w:spacing w:line="360" w:lineRule="auto"/>
        <w:jc w:val="both"/>
        <w:rPr>
          <w:rFonts w:ascii="Times New Roman" w:hAnsi="Times New Roman" w:cs="Times New Roman"/>
        </w:rPr>
      </w:pPr>
      <w:r w:rsidRPr="002C31B4">
        <w:rPr>
          <w:rFonts w:ascii="Times New Roman" w:hAnsi="Times New Roman" w:cs="Times New Roman"/>
        </w:rPr>
        <w:t xml:space="preserve">Uric acid concentrations were assessed via an enzymatic colorimetric technique involving the uricase-peroxidase method, which converts uric acid to allantoin and hydrogen peroxide, followed by chromogenic detection. </w:t>
      </w:r>
    </w:p>
    <w:p w14:paraId="21C2EAAF" w14:textId="25E2C2C5" w:rsidR="00E60FBC" w:rsidRPr="002C31B4" w:rsidRDefault="00E60FBC" w:rsidP="00D37549">
      <w:pPr>
        <w:pStyle w:val="ListParagraph"/>
        <w:numPr>
          <w:ilvl w:val="0"/>
          <w:numId w:val="13"/>
        </w:numPr>
        <w:spacing w:line="360" w:lineRule="auto"/>
        <w:jc w:val="both"/>
        <w:rPr>
          <w:rFonts w:ascii="Times New Roman" w:hAnsi="Times New Roman" w:cs="Times New Roman"/>
        </w:rPr>
      </w:pPr>
      <w:r w:rsidRPr="002C31B4">
        <w:rPr>
          <w:rFonts w:ascii="Times New Roman" w:hAnsi="Times New Roman" w:cs="Times New Roman"/>
        </w:rPr>
        <w:t>Calcium estimation was carried out using a colorimetric method involving the Arsenazo III dye, which forms a measurable complex with calcium ions.</w:t>
      </w:r>
    </w:p>
    <w:p w14:paraId="1EF7DCEA" w14:textId="17EBE708" w:rsidR="002C31B4" w:rsidRDefault="00E60FBC" w:rsidP="00D37549">
      <w:pPr>
        <w:pStyle w:val="ListParagraph"/>
        <w:numPr>
          <w:ilvl w:val="0"/>
          <w:numId w:val="13"/>
        </w:numPr>
        <w:spacing w:line="360" w:lineRule="auto"/>
        <w:jc w:val="both"/>
        <w:rPr>
          <w:rFonts w:ascii="Times New Roman" w:hAnsi="Times New Roman" w:cs="Times New Roman"/>
        </w:rPr>
      </w:pPr>
      <w:r w:rsidRPr="002C31B4">
        <w:rPr>
          <w:rFonts w:ascii="Times New Roman" w:hAnsi="Times New Roman" w:cs="Times New Roman"/>
        </w:rPr>
        <w:t xml:space="preserve">Serum creatinine was measured using a specific enzymatic approach incorporating a sequence of reactions </w:t>
      </w:r>
      <w:r w:rsidR="006D51B0" w:rsidRPr="002C31B4">
        <w:rPr>
          <w:rFonts w:ascii="Times New Roman" w:hAnsi="Times New Roman" w:cs="Times New Roman"/>
        </w:rPr>
        <w:t>catalysed</w:t>
      </w:r>
      <w:r w:rsidRPr="002C31B4">
        <w:rPr>
          <w:rFonts w:ascii="Times New Roman" w:hAnsi="Times New Roman" w:cs="Times New Roman"/>
        </w:rPr>
        <w:t xml:space="preserve"> by creatininase, creatinase, sarcosine oxidase, and peroxidase enzymes. This method provides enhanced specificity and minimizes the analytical interferences common to the Jaffe reaction. </w:t>
      </w:r>
    </w:p>
    <w:p w14:paraId="4DB1F053" w14:textId="0C633DFB" w:rsidR="00E60FBC" w:rsidRDefault="00E60FBC" w:rsidP="00D37549">
      <w:pPr>
        <w:pStyle w:val="ListParagraph"/>
        <w:numPr>
          <w:ilvl w:val="0"/>
          <w:numId w:val="14"/>
        </w:numPr>
        <w:spacing w:line="360" w:lineRule="auto"/>
        <w:jc w:val="both"/>
        <w:rPr>
          <w:rFonts w:ascii="Times New Roman" w:hAnsi="Times New Roman" w:cs="Times New Roman"/>
        </w:rPr>
      </w:pPr>
      <w:r w:rsidRPr="002C31B4">
        <w:rPr>
          <w:rFonts w:ascii="Times New Roman" w:hAnsi="Times New Roman" w:cs="Times New Roman"/>
        </w:rPr>
        <w:t xml:space="preserve">The glomerular filtration rate (eGFR) was not directly measured but </w:t>
      </w:r>
      <w:r w:rsidR="004E6764" w:rsidRPr="002C31B4">
        <w:rPr>
          <w:rFonts w:ascii="Times New Roman" w:hAnsi="Times New Roman" w:cs="Times New Roman"/>
        </w:rPr>
        <w:t xml:space="preserve">calculated </w:t>
      </w:r>
      <w:r w:rsidR="004E6764">
        <w:rPr>
          <w:rFonts w:ascii="Times New Roman" w:hAnsi="Times New Roman" w:cs="Times New Roman"/>
        </w:rPr>
        <w:t xml:space="preserve">by </w:t>
      </w:r>
      <w:r w:rsidRPr="002C31B4">
        <w:rPr>
          <w:rFonts w:ascii="Times New Roman" w:hAnsi="Times New Roman" w:cs="Times New Roman"/>
        </w:rPr>
        <w:t xml:space="preserve">CKD-EPI (Chronic Kidney Disease Epidemiology Collaboration) equations. These </w:t>
      </w:r>
      <w:r w:rsidRPr="002C31B4">
        <w:rPr>
          <w:rFonts w:ascii="Times New Roman" w:hAnsi="Times New Roman" w:cs="Times New Roman"/>
        </w:rPr>
        <w:lastRenderedPageBreak/>
        <w:t>formulae incorporate serum creatinine values along with demographic variables such as age and sex.</w:t>
      </w:r>
    </w:p>
    <w:p w14:paraId="4AC23A7B" w14:textId="77777777" w:rsidR="0047375C" w:rsidRDefault="00DF39C9" w:rsidP="0047375C">
      <w:pPr>
        <w:spacing w:line="360" w:lineRule="auto"/>
        <w:jc w:val="both"/>
        <w:rPr>
          <w:rFonts w:ascii="Times New Roman" w:hAnsi="Times New Roman" w:cs="Times New Roman"/>
          <w:b/>
          <w:bCs/>
        </w:rPr>
      </w:pPr>
      <w:r w:rsidRPr="00DF39C9">
        <w:rPr>
          <w:rFonts w:ascii="Times New Roman" w:hAnsi="Times New Roman" w:cs="Times New Roman"/>
          <w:b/>
          <w:bCs/>
        </w:rPr>
        <w:t>Analysis</w:t>
      </w:r>
    </w:p>
    <w:p w14:paraId="3C311223" w14:textId="7EC0EFF3" w:rsidR="001E4C37" w:rsidRPr="0047375C" w:rsidRDefault="00E60FBC" w:rsidP="0047375C">
      <w:pPr>
        <w:spacing w:line="360" w:lineRule="auto"/>
        <w:jc w:val="both"/>
        <w:rPr>
          <w:rFonts w:ascii="Times New Roman" w:hAnsi="Times New Roman" w:cs="Times New Roman"/>
          <w:b/>
          <w:bCs/>
        </w:rPr>
      </w:pPr>
      <w:r w:rsidRPr="00E60FBC">
        <w:t xml:space="preserve">All measurements adhered to standard operating procedures and manufacturer protocols. Internal quality control was maintained through routine calibration and validation using control sera to ensure the reliability and reproducibility of results. All data were compiled and analyzed using IBM SPSS Statistics version 25.0 and GraphPad Prism 9.0. Continuous variables were expressed as mean ± standard deviation, and categorical variables as percentages. Correlations between biochemical parameters and renal markers (eGFR and serum creatinine) were assessed using Pearson’s correlation coefficient. A p-value of less than 0.05 was considered statistically significant. Unsupervised machine learning was employed through k-means clustering to identify patient subgroups with shared biochemical features. Variables included in the clustering model were standardized and comprised serum electrolytes, uric acid, eGFR, and creatinine. The optimal number of clusters was determined via the elbow method and silhouette score. Each cluster was analyzed for its clinical profile, helping reveal distinct sub-phenotypes within the rural population. </w:t>
      </w:r>
      <w:r w:rsidRPr="00C40732">
        <w:t xml:space="preserve">Ethical approval was secured from the Institutional Ethics Committee (Reference No. </w:t>
      </w:r>
      <w:r w:rsidR="00336496" w:rsidRPr="00FC1891">
        <w:rPr>
          <w:rFonts w:ascii="Times New Roman" w:eastAsia="Times New Roman" w:hAnsi="Times New Roman" w:cs="Times New Roman"/>
          <w:kern w:val="0"/>
          <w:lang w:eastAsia="en-IN"/>
          <w14:ligatures w14:val="none"/>
        </w:rPr>
        <w:t>IEC/P-600/2024</w:t>
      </w:r>
      <w:r w:rsidR="007A4E22">
        <w:t>)</w:t>
      </w:r>
      <w:r w:rsidRPr="00C40732">
        <w:t>. The study was conducted in full compliance with the Declaration of Helsinki, and informed written consent was obtained from all participants prior to sample collection.</w:t>
      </w:r>
    </w:p>
    <w:p w14:paraId="5B8A0C3F" w14:textId="77777777" w:rsidR="00F53699" w:rsidRDefault="00E60FBC" w:rsidP="00F53699">
      <w:pPr>
        <w:spacing w:line="360" w:lineRule="auto"/>
        <w:jc w:val="both"/>
        <w:rPr>
          <w:rFonts w:ascii="Times New Roman" w:hAnsi="Times New Roman" w:cs="Times New Roman"/>
          <w:b/>
          <w:bCs/>
          <w:sz w:val="28"/>
          <w:szCs w:val="28"/>
        </w:rPr>
      </w:pPr>
      <w:r w:rsidRPr="00E60FBC">
        <w:rPr>
          <w:b/>
          <w:bCs/>
        </w:rPr>
        <w:t>RESULT</w:t>
      </w:r>
      <w:r w:rsidR="00F53699">
        <w:rPr>
          <w:b/>
          <w:bCs/>
        </w:rPr>
        <w:t xml:space="preserve"> and </w:t>
      </w:r>
      <w:r w:rsidR="00F53699" w:rsidRPr="008850B2">
        <w:rPr>
          <w:rFonts w:ascii="Times New Roman" w:hAnsi="Times New Roman" w:cs="Times New Roman"/>
          <w:b/>
          <w:bCs/>
          <w:sz w:val="28"/>
          <w:szCs w:val="28"/>
        </w:rPr>
        <w:t>DISCUSSION</w:t>
      </w:r>
    </w:p>
    <w:p w14:paraId="64A01B86" w14:textId="2F90A801" w:rsidR="008642E9" w:rsidRDefault="008642E9" w:rsidP="00E60FBC">
      <w:pPr>
        <w:pStyle w:val="NormalWeb"/>
        <w:spacing w:line="360" w:lineRule="auto"/>
        <w:jc w:val="both"/>
        <w:rPr>
          <w:b/>
          <w:bCs/>
        </w:rPr>
      </w:pPr>
      <w:bookmarkStart w:id="1" w:name="_GoBack"/>
      <w:bookmarkEnd w:id="1"/>
    </w:p>
    <w:p w14:paraId="76DE82F3" w14:textId="133C3CA6" w:rsidR="00E60FBC" w:rsidRPr="00E60FBC" w:rsidRDefault="00E60FBC" w:rsidP="00E60FBC">
      <w:pPr>
        <w:pStyle w:val="NormalWeb"/>
        <w:spacing w:line="360" w:lineRule="auto"/>
        <w:jc w:val="center"/>
        <w:rPr>
          <w:color w:val="EE0000"/>
        </w:rPr>
      </w:pPr>
      <w:r>
        <w:rPr>
          <w:b/>
          <w:bCs/>
        </w:rPr>
        <w:t>Bar Chart 1</w:t>
      </w:r>
      <w:r w:rsidR="00680888">
        <w:rPr>
          <w:b/>
          <w:bCs/>
        </w:rPr>
        <w:t>.</w:t>
      </w:r>
      <w:r>
        <w:rPr>
          <w:b/>
          <w:bCs/>
        </w:rPr>
        <w:t xml:space="preserve"> Prev</w:t>
      </w:r>
      <w:r w:rsidR="003C3D98">
        <w:rPr>
          <w:b/>
          <w:bCs/>
        </w:rPr>
        <w:t>a</w:t>
      </w:r>
      <w:r>
        <w:rPr>
          <w:b/>
          <w:bCs/>
        </w:rPr>
        <w:t>l</w:t>
      </w:r>
      <w:r w:rsidR="003C3D98">
        <w:rPr>
          <w:b/>
          <w:bCs/>
        </w:rPr>
        <w:t>e</w:t>
      </w:r>
      <w:r>
        <w:rPr>
          <w:b/>
          <w:bCs/>
        </w:rPr>
        <w:t>nce of Biochemical Abnormalities in Study Cohort</w:t>
      </w:r>
    </w:p>
    <w:p w14:paraId="63C893F7" w14:textId="019F7235" w:rsidR="00510EB4" w:rsidRPr="00E60FBC" w:rsidRDefault="00510EB4" w:rsidP="00E60FBC">
      <w:pPr>
        <w:spacing w:line="360" w:lineRule="auto"/>
        <w:jc w:val="both"/>
        <w:rPr>
          <w:rFonts w:ascii="Times New Roman" w:hAnsi="Times New Roman" w:cs="Times New Roman"/>
        </w:rPr>
      </w:pPr>
      <w:r w:rsidRPr="00E60FBC">
        <w:rPr>
          <w:rFonts w:ascii="Times New Roman" w:hAnsi="Times New Roman" w:cs="Times New Roman"/>
          <w:noProof/>
        </w:rPr>
        <w:lastRenderedPageBreak/>
        <w:drawing>
          <wp:inline distT="0" distB="0" distL="0" distR="0" wp14:anchorId="5CED1D1D" wp14:editId="2AE8608F">
            <wp:extent cx="4995333" cy="3437467"/>
            <wp:effectExtent l="0" t="0" r="15240" b="10795"/>
            <wp:docPr id="1747148534"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383FE52" w14:textId="56FC65DF" w:rsidR="00842755" w:rsidRPr="00E60FBC" w:rsidRDefault="00842755" w:rsidP="00E60FBC">
      <w:pPr>
        <w:spacing w:line="360" w:lineRule="auto"/>
        <w:jc w:val="both"/>
        <w:rPr>
          <w:rFonts w:ascii="Times New Roman" w:hAnsi="Times New Roman" w:cs="Times New Roman"/>
        </w:rPr>
      </w:pPr>
    </w:p>
    <w:p w14:paraId="66A6FB13" w14:textId="2FCD1B80" w:rsidR="000079BB" w:rsidRDefault="001E1EE2" w:rsidP="00F84BE0">
      <w:pPr>
        <w:spacing w:line="360" w:lineRule="auto"/>
        <w:jc w:val="both"/>
        <w:rPr>
          <w:rFonts w:ascii="Times New Roman" w:hAnsi="Times New Roman" w:cs="Times New Roman"/>
        </w:rPr>
      </w:pPr>
      <w:r w:rsidRPr="00E60FBC">
        <w:rPr>
          <w:rFonts w:ascii="Times New Roman" w:hAnsi="Times New Roman" w:cs="Times New Roman"/>
        </w:rPr>
        <w:t>Bar chart 1</w:t>
      </w:r>
      <w:r w:rsidR="005952DE">
        <w:rPr>
          <w:rFonts w:ascii="Times New Roman" w:hAnsi="Times New Roman" w:cs="Times New Roman"/>
        </w:rPr>
        <w:t xml:space="preserve"> </w:t>
      </w:r>
      <w:r w:rsidRPr="00E60FBC">
        <w:rPr>
          <w:rFonts w:ascii="Times New Roman" w:hAnsi="Times New Roman" w:cs="Times New Roman"/>
        </w:rPr>
        <w:t xml:space="preserve">is illustrating the prevalence of key biochemical abnormalities in the study cohort </w:t>
      </w:r>
      <w:r w:rsidR="007E0686" w:rsidRPr="00E60FBC">
        <w:rPr>
          <w:rFonts w:ascii="Times New Roman" w:hAnsi="Times New Roman" w:cs="Times New Roman"/>
        </w:rPr>
        <w:t xml:space="preserve">of 200 individuals. </w:t>
      </w:r>
    </w:p>
    <w:p w14:paraId="605734F9" w14:textId="4828575C" w:rsidR="00B63AFB" w:rsidRPr="00B63AFB" w:rsidRDefault="00A03D90" w:rsidP="00B63AFB">
      <w:pPr>
        <w:spacing w:line="360" w:lineRule="auto"/>
        <w:jc w:val="center"/>
        <w:rPr>
          <w:rFonts w:ascii="Times New Roman" w:hAnsi="Times New Roman" w:cs="Times New Roman"/>
          <w:b/>
          <w:bCs/>
        </w:rPr>
      </w:pPr>
      <w:r w:rsidRPr="00A03D90">
        <w:rPr>
          <w:rFonts w:ascii="Times New Roman" w:hAnsi="Times New Roman" w:cs="Times New Roman"/>
          <w:b/>
          <w:bCs/>
        </w:rPr>
        <w:t>Table 1</w:t>
      </w:r>
      <w:r w:rsidR="000079BB">
        <w:rPr>
          <w:rFonts w:ascii="Times New Roman" w:hAnsi="Times New Roman" w:cs="Times New Roman"/>
          <w:b/>
          <w:bCs/>
        </w:rPr>
        <w:t xml:space="preserve">. </w:t>
      </w:r>
      <w:r w:rsidRPr="00A03D90">
        <w:rPr>
          <w:rFonts w:ascii="Times New Roman" w:hAnsi="Times New Roman" w:cs="Times New Roman"/>
          <w:b/>
          <w:bCs/>
        </w:rPr>
        <w:t>Baseline Anthropometric and Demographic Characteristics of Study Population (N=200)</w:t>
      </w:r>
    </w:p>
    <w:tbl>
      <w:tblPr>
        <w:tblStyle w:val="TableGrid"/>
        <w:tblW w:w="0" w:type="auto"/>
        <w:tblLook w:val="04A0" w:firstRow="1" w:lastRow="0" w:firstColumn="1" w:lastColumn="0" w:noHBand="0" w:noVBand="1"/>
      </w:tblPr>
      <w:tblGrid>
        <w:gridCol w:w="2791"/>
        <w:gridCol w:w="1678"/>
        <w:gridCol w:w="1763"/>
        <w:gridCol w:w="1701"/>
        <w:gridCol w:w="1083"/>
      </w:tblGrid>
      <w:tr w:rsidR="00B63AFB" w14:paraId="528B3D99" w14:textId="77777777" w:rsidTr="00B63AFB">
        <w:tc>
          <w:tcPr>
            <w:tcW w:w="2791" w:type="dxa"/>
            <w:vAlign w:val="center"/>
          </w:tcPr>
          <w:p w14:paraId="031D3826" w14:textId="5F9C40FA" w:rsidR="00B63AFB" w:rsidRDefault="00B63AFB" w:rsidP="00B63AFB">
            <w:pPr>
              <w:spacing w:line="360" w:lineRule="auto"/>
              <w:jc w:val="center"/>
              <w:rPr>
                <w:rFonts w:ascii="Times New Roman" w:hAnsi="Times New Roman" w:cs="Times New Roman"/>
              </w:rPr>
            </w:pPr>
            <w:r w:rsidRPr="00F84BE0">
              <w:rPr>
                <w:rFonts w:ascii="Times New Roman" w:hAnsi="Times New Roman" w:cs="Times New Roman"/>
                <w:b/>
                <w:bCs/>
              </w:rPr>
              <w:t>Parameter</w:t>
            </w:r>
          </w:p>
        </w:tc>
        <w:tc>
          <w:tcPr>
            <w:tcW w:w="1678" w:type="dxa"/>
            <w:vAlign w:val="center"/>
          </w:tcPr>
          <w:p w14:paraId="12FFC766" w14:textId="08758DD1" w:rsidR="00B63AFB" w:rsidRDefault="00B63AFB" w:rsidP="00B63AFB">
            <w:pPr>
              <w:spacing w:line="360" w:lineRule="auto"/>
              <w:jc w:val="center"/>
              <w:rPr>
                <w:rFonts w:ascii="Times New Roman" w:hAnsi="Times New Roman" w:cs="Times New Roman"/>
              </w:rPr>
            </w:pPr>
            <w:r w:rsidRPr="00F84BE0">
              <w:rPr>
                <w:rFonts w:ascii="Times New Roman" w:hAnsi="Times New Roman" w:cs="Times New Roman"/>
                <w:b/>
                <w:bCs/>
              </w:rPr>
              <w:t>Overall Mean ± SD / n (%)</w:t>
            </w:r>
          </w:p>
        </w:tc>
        <w:tc>
          <w:tcPr>
            <w:tcW w:w="1763" w:type="dxa"/>
            <w:vAlign w:val="center"/>
          </w:tcPr>
          <w:p w14:paraId="7991535E" w14:textId="20CE39FC" w:rsidR="00B63AFB" w:rsidRDefault="00B63AFB" w:rsidP="00B63AFB">
            <w:pPr>
              <w:spacing w:line="360" w:lineRule="auto"/>
              <w:jc w:val="center"/>
              <w:rPr>
                <w:rFonts w:ascii="Times New Roman" w:hAnsi="Times New Roman" w:cs="Times New Roman"/>
              </w:rPr>
            </w:pPr>
            <w:r w:rsidRPr="00F84BE0">
              <w:rPr>
                <w:rFonts w:ascii="Times New Roman" w:hAnsi="Times New Roman" w:cs="Times New Roman"/>
                <w:b/>
                <w:bCs/>
              </w:rPr>
              <w:t>Male (n=112)</w:t>
            </w:r>
          </w:p>
        </w:tc>
        <w:tc>
          <w:tcPr>
            <w:tcW w:w="1701" w:type="dxa"/>
            <w:vAlign w:val="center"/>
          </w:tcPr>
          <w:p w14:paraId="573840A6" w14:textId="22932EB9" w:rsidR="00B63AFB" w:rsidRDefault="00B63AFB" w:rsidP="00B63AFB">
            <w:pPr>
              <w:spacing w:line="360" w:lineRule="auto"/>
              <w:jc w:val="center"/>
              <w:rPr>
                <w:rFonts w:ascii="Times New Roman" w:hAnsi="Times New Roman" w:cs="Times New Roman"/>
              </w:rPr>
            </w:pPr>
            <w:r w:rsidRPr="00F84BE0">
              <w:rPr>
                <w:rFonts w:ascii="Times New Roman" w:hAnsi="Times New Roman" w:cs="Times New Roman"/>
                <w:b/>
                <w:bCs/>
              </w:rPr>
              <w:t>Female (n=88)</w:t>
            </w:r>
          </w:p>
        </w:tc>
        <w:tc>
          <w:tcPr>
            <w:tcW w:w="1083" w:type="dxa"/>
            <w:vAlign w:val="center"/>
          </w:tcPr>
          <w:p w14:paraId="2414F1C1" w14:textId="78DFE4E7" w:rsidR="00B63AFB" w:rsidRDefault="00B63AFB" w:rsidP="00B63AFB">
            <w:pPr>
              <w:spacing w:line="360" w:lineRule="auto"/>
              <w:jc w:val="center"/>
              <w:rPr>
                <w:rFonts w:ascii="Times New Roman" w:hAnsi="Times New Roman" w:cs="Times New Roman"/>
              </w:rPr>
            </w:pPr>
            <w:r w:rsidRPr="00F84BE0">
              <w:rPr>
                <w:rFonts w:ascii="Times New Roman" w:hAnsi="Times New Roman" w:cs="Times New Roman"/>
                <w:b/>
                <w:bCs/>
              </w:rPr>
              <w:t>p-value</w:t>
            </w:r>
          </w:p>
        </w:tc>
      </w:tr>
      <w:tr w:rsidR="00B63AFB" w14:paraId="718435CB" w14:textId="77777777" w:rsidTr="00B63AFB">
        <w:tc>
          <w:tcPr>
            <w:tcW w:w="2791" w:type="dxa"/>
            <w:vAlign w:val="center"/>
          </w:tcPr>
          <w:p w14:paraId="42C6F12C" w14:textId="4E4A7B9C" w:rsidR="00B63AFB" w:rsidRDefault="00B63AFB" w:rsidP="00B63AFB">
            <w:pPr>
              <w:spacing w:line="360" w:lineRule="auto"/>
              <w:jc w:val="both"/>
              <w:rPr>
                <w:rFonts w:ascii="Times New Roman" w:hAnsi="Times New Roman" w:cs="Times New Roman"/>
              </w:rPr>
            </w:pPr>
            <w:r w:rsidRPr="00F84BE0">
              <w:rPr>
                <w:rFonts w:ascii="Times New Roman" w:hAnsi="Times New Roman" w:cs="Times New Roman"/>
              </w:rPr>
              <w:t>Age (years)</w:t>
            </w:r>
          </w:p>
        </w:tc>
        <w:tc>
          <w:tcPr>
            <w:tcW w:w="1678" w:type="dxa"/>
            <w:vAlign w:val="center"/>
          </w:tcPr>
          <w:p w14:paraId="651EEF9C" w14:textId="1A74F654" w:rsidR="00B63AFB" w:rsidRDefault="00B63AFB" w:rsidP="00B63AFB">
            <w:pPr>
              <w:spacing w:line="360" w:lineRule="auto"/>
              <w:jc w:val="both"/>
              <w:rPr>
                <w:rFonts w:ascii="Times New Roman" w:hAnsi="Times New Roman" w:cs="Times New Roman"/>
              </w:rPr>
            </w:pPr>
            <w:r w:rsidRPr="00F84BE0">
              <w:rPr>
                <w:rFonts w:ascii="Times New Roman" w:hAnsi="Times New Roman" w:cs="Times New Roman"/>
              </w:rPr>
              <w:t>48.6 ± 12.3</w:t>
            </w:r>
          </w:p>
        </w:tc>
        <w:tc>
          <w:tcPr>
            <w:tcW w:w="1763" w:type="dxa"/>
            <w:vAlign w:val="center"/>
          </w:tcPr>
          <w:p w14:paraId="6EDB3093" w14:textId="141AA226" w:rsidR="00B63AFB" w:rsidRDefault="00B63AFB" w:rsidP="00B63AFB">
            <w:pPr>
              <w:spacing w:line="360" w:lineRule="auto"/>
              <w:jc w:val="both"/>
              <w:rPr>
                <w:rFonts w:ascii="Times New Roman" w:hAnsi="Times New Roman" w:cs="Times New Roman"/>
              </w:rPr>
            </w:pPr>
            <w:r w:rsidRPr="00F84BE0">
              <w:rPr>
                <w:rFonts w:ascii="Times New Roman" w:hAnsi="Times New Roman" w:cs="Times New Roman"/>
              </w:rPr>
              <w:t>50.2 ± 11.8</w:t>
            </w:r>
          </w:p>
        </w:tc>
        <w:tc>
          <w:tcPr>
            <w:tcW w:w="1701" w:type="dxa"/>
            <w:vAlign w:val="center"/>
          </w:tcPr>
          <w:p w14:paraId="69E36FBC" w14:textId="5CCB5708" w:rsidR="00B63AFB" w:rsidRDefault="00B63AFB" w:rsidP="00B63AFB">
            <w:pPr>
              <w:spacing w:line="360" w:lineRule="auto"/>
              <w:jc w:val="both"/>
              <w:rPr>
                <w:rFonts w:ascii="Times New Roman" w:hAnsi="Times New Roman" w:cs="Times New Roman"/>
              </w:rPr>
            </w:pPr>
            <w:r w:rsidRPr="00F84BE0">
              <w:rPr>
                <w:rFonts w:ascii="Times New Roman" w:hAnsi="Times New Roman" w:cs="Times New Roman"/>
              </w:rPr>
              <w:t>46.5 ± 12.7</w:t>
            </w:r>
          </w:p>
        </w:tc>
        <w:tc>
          <w:tcPr>
            <w:tcW w:w="1083" w:type="dxa"/>
            <w:vAlign w:val="center"/>
          </w:tcPr>
          <w:p w14:paraId="554274B5" w14:textId="7FD6B5D4" w:rsidR="00B63AFB" w:rsidRDefault="00B63AFB" w:rsidP="00B63AFB">
            <w:pPr>
              <w:spacing w:line="360" w:lineRule="auto"/>
              <w:jc w:val="both"/>
              <w:rPr>
                <w:rFonts w:ascii="Times New Roman" w:hAnsi="Times New Roman" w:cs="Times New Roman"/>
              </w:rPr>
            </w:pPr>
            <w:r w:rsidRPr="00F84BE0">
              <w:rPr>
                <w:rFonts w:ascii="Times New Roman" w:hAnsi="Times New Roman" w:cs="Times New Roman"/>
              </w:rPr>
              <w:t>0.032</w:t>
            </w:r>
          </w:p>
        </w:tc>
      </w:tr>
      <w:tr w:rsidR="00B63AFB" w14:paraId="6ED905A0" w14:textId="77777777" w:rsidTr="00B63AFB">
        <w:tc>
          <w:tcPr>
            <w:tcW w:w="2791" w:type="dxa"/>
            <w:vAlign w:val="center"/>
          </w:tcPr>
          <w:p w14:paraId="7810981E" w14:textId="6832528A" w:rsidR="00B63AFB" w:rsidRDefault="00B63AFB" w:rsidP="00B63AFB">
            <w:pPr>
              <w:spacing w:line="360" w:lineRule="auto"/>
              <w:jc w:val="both"/>
              <w:rPr>
                <w:rFonts w:ascii="Times New Roman" w:hAnsi="Times New Roman" w:cs="Times New Roman"/>
              </w:rPr>
            </w:pPr>
            <w:r w:rsidRPr="00F84BE0">
              <w:rPr>
                <w:rFonts w:ascii="Times New Roman" w:hAnsi="Times New Roman" w:cs="Times New Roman"/>
              </w:rPr>
              <w:t>BMI (kg/m²)</w:t>
            </w:r>
          </w:p>
        </w:tc>
        <w:tc>
          <w:tcPr>
            <w:tcW w:w="1678" w:type="dxa"/>
            <w:vAlign w:val="center"/>
          </w:tcPr>
          <w:p w14:paraId="2FA89BFA" w14:textId="6D956F0B" w:rsidR="00B63AFB" w:rsidRDefault="00B63AFB" w:rsidP="00B63AFB">
            <w:pPr>
              <w:spacing w:line="360" w:lineRule="auto"/>
              <w:jc w:val="both"/>
              <w:rPr>
                <w:rFonts w:ascii="Times New Roman" w:hAnsi="Times New Roman" w:cs="Times New Roman"/>
              </w:rPr>
            </w:pPr>
            <w:r w:rsidRPr="00F84BE0">
              <w:rPr>
                <w:rFonts w:ascii="Times New Roman" w:hAnsi="Times New Roman" w:cs="Times New Roman"/>
              </w:rPr>
              <w:t>23.1 ± 4.2</w:t>
            </w:r>
          </w:p>
        </w:tc>
        <w:tc>
          <w:tcPr>
            <w:tcW w:w="1763" w:type="dxa"/>
            <w:vAlign w:val="center"/>
          </w:tcPr>
          <w:p w14:paraId="7274A101" w14:textId="18D1DCF4" w:rsidR="00B63AFB" w:rsidRDefault="00B63AFB" w:rsidP="00B63AFB">
            <w:pPr>
              <w:spacing w:line="360" w:lineRule="auto"/>
              <w:jc w:val="both"/>
              <w:rPr>
                <w:rFonts w:ascii="Times New Roman" w:hAnsi="Times New Roman" w:cs="Times New Roman"/>
              </w:rPr>
            </w:pPr>
            <w:r w:rsidRPr="00F84BE0">
              <w:rPr>
                <w:rFonts w:ascii="Times New Roman" w:hAnsi="Times New Roman" w:cs="Times New Roman"/>
              </w:rPr>
              <w:t>22.8 ± 3.9</w:t>
            </w:r>
          </w:p>
        </w:tc>
        <w:tc>
          <w:tcPr>
            <w:tcW w:w="1701" w:type="dxa"/>
            <w:vAlign w:val="center"/>
          </w:tcPr>
          <w:p w14:paraId="7F51A5BC" w14:textId="46163C1B" w:rsidR="00B63AFB" w:rsidRDefault="00B63AFB" w:rsidP="00B63AFB">
            <w:pPr>
              <w:spacing w:line="360" w:lineRule="auto"/>
              <w:jc w:val="both"/>
              <w:rPr>
                <w:rFonts w:ascii="Times New Roman" w:hAnsi="Times New Roman" w:cs="Times New Roman"/>
              </w:rPr>
            </w:pPr>
            <w:r w:rsidRPr="00F84BE0">
              <w:rPr>
                <w:rFonts w:ascii="Times New Roman" w:hAnsi="Times New Roman" w:cs="Times New Roman"/>
              </w:rPr>
              <w:t>23.5 ± 4.6</w:t>
            </w:r>
          </w:p>
        </w:tc>
        <w:tc>
          <w:tcPr>
            <w:tcW w:w="1083" w:type="dxa"/>
            <w:vAlign w:val="center"/>
          </w:tcPr>
          <w:p w14:paraId="7A501F98" w14:textId="5E0CABE0" w:rsidR="00B63AFB" w:rsidRDefault="00B63AFB" w:rsidP="00B63AFB">
            <w:pPr>
              <w:spacing w:line="360" w:lineRule="auto"/>
              <w:jc w:val="both"/>
              <w:rPr>
                <w:rFonts w:ascii="Times New Roman" w:hAnsi="Times New Roman" w:cs="Times New Roman"/>
              </w:rPr>
            </w:pPr>
            <w:r w:rsidRPr="00F84BE0">
              <w:rPr>
                <w:rFonts w:ascii="Times New Roman" w:hAnsi="Times New Roman" w:cs="Times New Roman"/>
              </w:rPr>
              <w:t>0.215</w:t>
            </w:r>
          </w:p>
        </w:tc>
      </w:tr>
      <w:tr w:rsidR="00B63AFB" w14:paraId="37FCB0F7" w14:textId="77777777" w:rsidTr="00B63AFB">
        <w:tc>
          <w:tcPr>
            <w:tcW w:w="2791" w:type="dxa"/>
            <w:vAlign w:val="center"/>
          </w:tcPr>
          <w:p w14:paraId="16B9AB43" w14:textId="7C1C49C8" w:rsidR="00B63AFB" w:rsidRDefault="00B63AFB" w:rsidP="00B63AFB">
            <w:pPr>
              <w:spacing w:line="360" w:lineRule="auto"/>
              <w:jc w:val="both"/>
              <w:rPr>
                <w:rFonts w:ascii="Times New Roman" w:hAnsi="Times New Roman" w:cs="Times New Roman"/>
              </w:rPr>
            </w:pPr>
            <w:r w:rsidRPr="00F84BE0">
              <w:rPr>
                <w:rFonts w:ascii="Times New Roman" w:hAnsi="Times New Roman" w:cs="Times New Roman"/>
              </w:rPr>
              <w:t>Waist Circumference (cm)</w:t>
            </w:r>
          </w:p>
        </w:tc>
        <w:tc>
          <w:tcPr>
            <w:tcW w:w="1678" w:type="dxa"/>
            <w:vAlign w:val="center"/>
          </w:tcPr>
          <w:p w14:paraId="6BEBDE9D" w14:textId="6447825A" w:rsidR="00B63AFB" w:rsidRDefault="00B63AFB" w:rsidP="00B63AFB">
            <w:pPr>
              <w:spacing w:line="360" w:lineRule="auto"/>
              <w:jc w:val="both"/>
              <w:rPr>
                <w:rFonts w:ascii="Times New Roman" w:hAnsi="Times New Roman" w:cs="Times New Roman"/>
              </w:rPr>
            </w:pPr>
            <w:r w:rsidRPr="00F84BE0">
              <w:rPr>
                <w:rFonts w:ascii="Times New Roman" w:hAnsi="Times New Roman" w:cs="Times New Roman"/>
              </w:rPr>
              <w:t>82.4 ± 10.7</w:t>
            </w:r>
          </w:p>
        </w:tc>
        <w:tc>
          <w:tcPr>
            <w:tcW w:w="1763" w:type="dxa"/>
            <w:vAlign w:val="center"/>
          </w:tcPr>
          <w:p w14:paraId="52C80C7E" w14:textId="2660AAE9" w:rsidR="00B63AFB" w:rsidRDefault="00B63AFB" w:rsidP="00B63AFB">
            <w:pPr>
              <w:spacing w:line="360" w:lineRule="auto"/>
              <w:jc w:val="both"/>
              <w:rPr>
                <w:rFonts w:ascii="Times New Roman" w:hAnsi="Times New Roman" w:cs="Times New Roman"/>
              </w:rPr>
            </w:pPr>
            <w:r w:rsidRPr="00F84BE0">
              <w:rPr>
                <w:rFonts w:ascii="Times New Roman" w:hAnsi="Times New Roman" w:cs="Times New Roman"/>
              </w:rPr>
              <w:t>84.1 ± 9.8</w:t>
            </w:r>
          </w:p>
        </w:tc>
        <w:tc>
          <w:tcPr>
            <w:tcW w:w="1701" w:type="dxa"/>
            <w:vAlign w:val="center"/>
          </w:tcPr>
          <w:p w14:paraId="5F94277F" w14:textId="65897BEB" w:rsidR="00B63AFB" w:rsidRDefault="00B63AFB" w:rsidP="00B63AFB">
            <w:pPr>
              <w:spacing w:line="360" w:lineRule="auto"/>
              <w:jc w:val="both"/>
              <w:rPr>
                <w:rFonts w:ascii="Times New Roman" w:hAnsi="Times New Roman" w:cs="Times New Roman"/>
              </w:rPr>
            </w:pPr>
            <w:r w:rsidRPr="00F84BE0">
              <w:rPr>
                <w:rFonts w:ascii="Times New Roman" w:hAnsi="Times New Roman" w:cs="Times New Roman"/>
              </w:rPr>
              <w:t>80.2 ± 11.5</w:t>
            </w:r>
          </w:p>
        </w:tc>
        <w:tc>
          <w:tcPr>
            <w:tcW w:w="1083" w:type="dxa"/>
            <w:vAlign w:val="center"/>
          </w:tcPr>
          <w:p w14:paraId="51BC184A" w14:textId="6663C6F4" w:rsidR="00B63AFB" w:rsidRDefault="00B63AFB" w:rsidP="00B63AFB">
            <w:pPr>
              <w:spacing w:line="360" w:lineRule="auto"/>
              <w:jc w:val="both"/>
              <w:rPr>
                <w:rFonts w:ascii="Times New Roman" w:hAnsi="Times New Roman" w:cs="Times New Roman"/>
              </w:rPr>
            </w:pPr>
            <w:r w:rsidRPr="00F84BE0">
              <w:rPr>
                <w:rFonts w:ascii="Times New Roman" w:hAnsi="Times New Roman" w:cs="Times New Roman"/>
              </w:rPr>
              <w:t>0.008</w:t>
            </w:r>
          </w:p>
        </w:tc>
      </w:tr>
      <w:tr w:rsidR="00B63AFB" w14:paraId="66EF733F" w14:textId="77777777" w:rsidTr="00B63AFB">
        <w:tc>
          <w:tcPr>
            <w:tcW w:w="2791" w:type="dxa"/>
            <w:vAlign w:val="center"/>
          </w:tcPr>
          <w:p w14:paraId="741DC4A6" w14:textId="3EA797FE" w:rsidR="00B63AFB" w:rsidRDefault="00B63AFB" w:rsidP="00B63AFB">
            <w:pPr>
              <w:spacing w:line="360" w:lineRule="auto"/>
              <w:jc w:val="both"/>
              <w:rPr>
                <w:rFonts w:ascii="Times New Roman" w:hAnsi="Times New Roman" w:cs="Times New Roman"/>
              </w:rPr>
            </w:pPr>
            <w:r w:rsidRPr="00F84BE0">
              <w:rPr>
                <w:rFonts w:ascii="Times New Roman" w:hAnsi="Times New Roman" w:cs="Times New Roman"/>
              </w:rPr>
              <w:t>Systolic BP (mmHg)</w:t>
            </w:r>
          </w:p>
        </w:tc>
        <w:tc>
          <w:tcPr>
            <w:tcW w:w="1678" w:type="dxa"/>
            <w:vAlign w:val="center"/>
          </w:tcPr>
          <w:p w14:paraId="350E1B1A" w14:textId="3E7EB561" w:rsidR="00B63AFB" w:rsidRDefault="00B63AFB" w:rsidP="00B63AFB">
            <w:pPr>
              <w:spacing w:line="360" w:lineRule="auto"/>
              <w:jc w:val="both"/>
              <w:rPr>
                <w:rFonts w:ascii="Times New Roman" w:hAnsi="Times New Roman" w:cs="Times New Roman"/>
              </w:rPr>
            </w:pPr>
            <w:r w:rsidRPr="00F84BE0">
              <w:rPr>
                <w:rFonts w:ascii="Times New Roman" w:hAnsi="Times New Roman" w:cs="Times New Roman"/>
              </w:rPr>
              <w:t>128 ± 16</w:t>
            </w:r>
          </w:p>
        </w:tc>
        <w:tc>
          <w:tcPr>
            <w:tcW w:w="1763" w:type="dxa"/>
            <w:vAlign w:val="center"/>
          </w:tcPr>
          <w:p w14:paraId="79328597" w14:textId="1E01165E" w:rsidR="00B63AFB" w:rsidRDefault="00B63AFB" w:rsidP="00B63AFB">
            <w:pPr>
              <w:spacing w:line="360" w:lineRule="auto"/>
              <w:jc w:val="both"/>
              <w:rPr>
                <w:rFonts w:ascii="Times New Roman" w:hAnsi="Times New Roman" w:cs="Times New Roman"/>
              </w:rPr>
            </w:pPr>
            <w:r w:rsidRPr="00F84BE0">
              <w:rPr>
                <w:rFonts w:ascii="Times New Roman" w:hAnsi="Times New Roman" w:cs="Times New Roman"/>
              </w:rPr>
              <w:t>131 ± 15</w:t>
            </w:r>
          </w:p>
        </w:tc>
        <w:tc>
          <w:tcPr>
            <w:tcW w:w="1701" w:type="dxa"/>
            <w:vAlign w:val="center"/>
          </w:tcPr>
          <w:p w14:paraId="223BE732" w14:textId="2AC3DC9B" w:rsidR="00B63AFB" w:rsidRDefault="00B63AFB" w:rsidP="00B63AFB">
            <w:pPr>
              <w:spacing w:line="360" w:lineRule="auto"/>
              <w:jc w:val="both"/>
              <w:rPr>
                <w:rFonts w:ascii="Times New Roman" w:hAnsi="Times New Roman" w:cs="Times New Roman"/>
              </w:rPr>
            </w:pPr>
            <w:r w:rsidRPr="00F84BE0">
              <w:rPr>
                <w:rFonts w:ascii="Times New Roman" w:hAnsi="Times New Roman" w:cs="Times New Roman"/>
              </w:rPr>
              <w:t>124 ± 17</w:t>
            </w:r>
          </w:p>
        </w:tc>
        <w:tc>
          <w:tcPr>
            <w:tcW w:w="1083" w:type="dxa"/>
            <w:vAlign w:val="center"/>
          </w:tcPr>
          <w:p w14:paraId="6F212E05" w14:textId="36F2F296" w:rsidR="00B63AFB" w:rsidRDefault="00B63AFB" w:rsidP="00B63AFB">
            <w:pPr>
              <w:spacing w:line="360" w:lineRule="auto"/>
              <w:jc w:val="both"/>
              <w:rPr>
                <w:rFonts w:ascii="Times New Roman" w:hAnsi="Times New Roman" w:cs="Times New Roman"/>
              </w:rPr>
            </w:pPr>
            <w:r w:rsidRPr="00F84BE0">
              <w:rPr>
                <w:rFonts w:ascii="Times New Roman" w:hAnsi="Times New Roman" w:cs="Times New Roman"/>
              </w:rPr>
              <w:t>0.002</w:t>
            </w:r>
          </w:p>
        </w:tc>
      </w:tr>
      <w:tr w:rsidR="00B63AFB" w14:paraId="5C7F5ED5" w14:textId="77777777" w:rsidTr="00B63AFB">
        <w:tc>
          <w:tcPr>
            <w:tcW w:w="2791" w:type="dxa"/>
            <w:vAlign w:val="center"/>
          </w:tcPr>
          <w:p w14:paraId="0B25146D" w14:textId="57D87186" w:rsidR="00B63AFB" w:rsidRDefault="00B63AFB" w:rsidP="00B63AFB">
            <w:pPr>
              <w:spacing w:line="360" w:lineRule="auto"/>
              <w:jc w:val="both"/>
              <w:rPr>
                <w:rFonts w:ascii="Times New Roman" w:hAnsi="Times New Roman" w:cs="Times New Roman"/>
              </w:rPr>
            </w:pPr>
            <w:r w:rsidRPr="00F84BE0">
              <w:rPr>
                <w:rFonts w:ascii="Times New Roman" w:hAnsi="Times New Roman" w:cs="Times New Roman"/>
              </w:rPr>
              <w:t>Diastolic BP (mmHg)</w:t>
            </w:r>
          </w:p>
        </w:tc>
        <w:tc>
          <w:tcPr>
            <w:tcW w:w="1678" w:type="dxa"/>
            <w:vAlign w:val="center"/>
          </w:tcPr>
          <w:p w14:paraId="288D5997" w14:textId="25881598" w:rsidR="00B63AFB" w:rsidRDefault="00B63AFB" w:rsidP="00B63AFB">
            <w:pPr>
              <w:spacing w:line="360" w:lineRule="auto"/>
              <w:jc w:val="both"/>
              <w:rPr>
                <w:rFonts w:ascii="Times New Roman" w:hAnsi="Times New Roman" w:cs="Times New Roman"/>
              </w:rPr>
            </w:pPr>
            <w:r w:rsidRPr="00F84BE0">
              <w:rPr>
                <w:rFonts w:ascii="Times New Roman" w:hAnsi="Times New Roman" w:cs="Times New Roman"/>
              </w:rPr>
              <w:t>82 ± 9</w:t>
            </w:r>
          </w:p>
        </w:tc>
        <w:tc>
          <w:tcPr>
            <w:tcW w:w="1763" w:type="dxa"/>
            <w:vAlign w:val="center"/>
          </w:tcPr>
          <w:p w14:paraId="51B2ADFA" w14:textId="70B141FB" w:rsidR="00B63AFB" w:rsidRDefault="00B63AFB" w:rsidP="00B63AFB">
            <w:pPr>
              <w:spacing w:line="360" w:lineRule="auto"/>
              <w:jc w:val="both"/>
              <w:rPr>
                <w:rFonts w:ascii="Times New Roman" w:hAnsi="Times New Roman" w:cs="Times New Roman"/>
              </w:rPr>
            </w:pPr>
            <w:r w:rsidRPr="00F84BE0">
              <w:rPr>
                <w:rFonts w:ascii="Times New Roman" w:hAnsi="Times New Roman" w:cs="Times New Roman"/>
              </w:rPr>
              <w:t>84 ± 8</w:t>
            </w:r>
          </w:p>
        </w:tc>
        <w:tc>
          <w:tcPr>
            <w:tcW w:w="1701" w:type="dxa"/>
            <w:vAlign w:val="center"/>
          </w:tcPr>
          <w:p w14:paraId="4EC92B88" w14:textId="5B3D2B40" w:rsidR="00B63AFB" w:rsidRDefault="00B63AFB" w:rsidP="00B63AFB">
            <w:pPr>
              <w:spacing w:line="360" w:lineRule="auto"/>
              <w:jc w:val="both"/>
              <w:rPr>
                <w:rFonts w:ascii="Times New Roman" w:hAnsi="Times New Roman" w:cs="Times New Roman"/>
              </w:rPr>
            </w:pPr>
            <w:r w:rsidRPr="00F84BE0">
              <w:rPr>
                <w:rFonts w:ascii="Times New Roman" w:hAnsi="Times New Roman" w:cs="Times New Roman"/>
              </w:rPr>
              <w:t>79 ± 10</w:t>
            </w:r>
          </w:p>
        </w:tc>
        <w:tc>
          <w:tcPr>
            <w:tcW w:w="1083" w:type="dxa"/>
            <w:vAlign w:val="center"/>
          </w:tcPr>
          <w:p w14:paraId="1697E6D6" w14:textId="54B113D6" w:rsidR="00B63AFB" w:rsidRDefault="00B63AFB" w:rsidP="00B63AFB">
            <w:pPr>
              <w:spacing w:line="360" w:lineRule="auto"/>
              <w:jc w:val="both"/>
              <w:rPr>
                <w:rFonts w:ascii="Times New Roman" w:hAnsi="Times New Roman" w:cs="Times New Roman"/>
              </w:rPr>
            </w:pPr>
            <w:r w:rsidRPr="00F84BE0">
              <w:rPr>
                <w:rFonts w:ascii="Times New Roman" w:hAnsi="Times New Roman" w:cs="Times New Roman"/>
              </w:rPr>
              <w:t>&lt;0.001</w:t>
            </w:r>
          </w:p>
        </w:tc>
      </w:tr>
      <w:tr w:rsidR="00B63AFB" w14:paraId="25C71419" w14:textId="77777777" w:rsidTr="00B63AFB">
        <w:tc>
          <w:tcPr>
            <w:tcW w:w="2791" w:type="dxa"/>
            <w:vAlign w:val="center"/>
          </w:tcPr>
          <w:p w14:paraId="4AEA3E36" w14:textId="2852CD90" w:rsidR="00B63AFB" w:rsidRDefault="00B63AFB" w:rsidP="00B63AFB">
            <w:pPr>
              <w:spacing w:line="360" w:lineRule="auto"/>
              <w:jc w:val="both"/>
              <w:rPr>
                <w:rFonts w:ascii="Times New Roman" w:hAnsi="Times New Roman" w:cs="Times New Roman"/>
              </w:rPr>
            </w:pPr>
            <w:r w:rsidRPr="00F84BE0">
              <w:rPr>
                <w:rFonts w:ascii="Times New Roman" w:hAnsi="Times New Roman" w:cs="Times New Roman"/>
              </w:rPr>
              <w:t>Smoking Status</w:t>
            </w:r>
          </w:p>
        </w:tc>
        <w:tc>
          <w:tcPr>
            <w:tcW w:w="1678" w:type="dxa"/>
            <w:vAlign w:val="center"/>
          </w:tcPr>
          <w:p w14:paraId="176167CD" w14:textId="77777777" w:rsidR="00B63AFB" w:rsidRDefault="00B63AFB" w:rsidP="00B63AFB">
            <w:pPr>
              <w:spacing w:line="360" w:lineRule="auto"/>
              <w:jc w:val="both"/>
              <w:rPr>
                <w:rFonts w:ascii="Times New Roman" w:hAnsi="Times New Roman" w:cs="Times New Roman"/>
              </w:rPr>
            </w:pPr>
          </w:p>
        </w:tc>
        <w:tc>
          <w:tcPr>
            <w:tcW w:w="1763" w:type="dxa"/>
            <w:vAlign w:val="center"/>
          </w:tcPr>
          <w:p w14:paraId="0ED7D035" w14:textId="77777777" w:rsidR="00B63AFB" w:rsidRDefault="00B63AFB" w:rsidP="00B63AFB">
            <w:pPr>
              <w:spacing w:line="360" w:lineRule="auto"/>
              <w:jc w:val="both"/>
              <w:rPr>
                <w:rFonts w:ascii="Times New Roman" w:hAnsi="Times New Roman" w:cs="Times New Roman"/>
              </w:rPr>
            </w:pPr>
          </w:p>
        </w:tc>
        <w:tc>
          <w:tcPr>
            <w:tcW w:w="1701" w:type="dxa"/>
            <w:vAlign w:val="center"/>
          </w:tcPr>
          <w:p w14:paraId="085B4598" w14:textId="77777777" w:rsidR="00B63AFB" w:rsidRDefault="00B63AFB" w:rsidP="00B63AFB">
            <w:pPr>
              <w:spacing w:line="360" w:lineRule="auto"/>
              <w:jc w:val="both"/>
              <w:rPr>
                <w:rFonts w:ascii="Times New Roman" w:hAnsi="Times New Roman" w:cs="Times New Roman"/>
              </w:rPr>
            </w:pPr>
          </w:p>
        </w:tc>
        <w:tc>
          <w:tcPr>
            <w:tcW w:w="1083" w:type="dxa"/>
            <w:vAlign w:val="center"/>
          </w:tcPr>
          <w:p w14:paraId="30897E82" w14:textId="0BA4D878" w:rsidR="00B63AFB" w:rsidRDefault="00B63AFB" w:rsidP="00B63AFB">
            <w:pPr>
              <w:spacing w:line="360" w:lineRule="auto"/>
              <w:jc w:val="both"/>
              <w:rPr>
                <w:rFonts w:ascii="Times New Roman" w:hAnsi="Times New Roman" w:cs="Times New Roman"/>
              </w:rPr>
            </w:pPr>
            <w:r w:rsidRPr="00F84BE0">
              <w:rPr>
                <w:rFonts w:ascii="Times New Roman" w:hAnsi="Times New Roman" w:cs="Times New Roman"/>
              </w:rPr>
              <w:t>0.003</w:t>
            </w:r>
          </w:p>
        </w:tc>
      </w:tr>
      <w:tr w:rsidR="00B63AFB" w14:paraId="782CBCE9" w14:textId="77777777" w:rsidTr="00B63AFB">
        <w:tc>
          <w:tcPr>
            <w:tcW w:w="2791" w:type="dxa"/>
            <w:vAlign w:val="center"/>
          </w:tcPr>
          <w:p w14:paraId="39677590" w14:textId="4E112E30" w:rsidR="00B63AFB" w:rsidRDefault="00B63AFB" w:rsidP="00B63AFB">
            <w:pPr>
              <w:spacing w:line="360" w:lineRule="auto"/>
              <w:jc w:val="both"/>
              <w:rPr>
                <w:rFonts w:ascii="Times New Roman" w:hAnsi="Times New Roman" w:cs="Times New Roman"/>
              </w:rPr>
            </w:pPr>
            <w:r w:rsidRPr="00F84BE0">
              <w:rPr>
                <w:rFonts w:ascii="Times New Roman" w:hAnsi="Times New Roman" w:cs="Times New Roman"/>
              </w:rPr>
              <w:t>- Current smoker</w:t>
            </w:r>
          </w:p>
        </w:tc>
        <w:tc>
          <w:tcPr>
            <w:tcW w:w="1678" w:type="dxa"/>
            <w:vAlign w:val="center"/>
          </w:tcPr>
          <w:p w14:paraId="5115F6F1" w14:textId="0425C2EE" w:rsidR="00B63AFB" w:rsidRDefault="00B63AFB" w:rsidP="00B63AFB">
            <w:pPr>
              <w:spacing w:line="360" w:lineRule="auto"/>
              <w:jc w:val="both"/>
              <w:rPr>
                <w:rFonts w:ascii="Times New Roman" w:hAnsi="Times New Roman" w:cs="Times New Roman"/>
              </w:rPr>
            </w:pPr>
            <w:r w:rsidRPr="00F84BE0">
              <w:rPr>
                <w:rFonts w:ascii="Times New Roman" w:hAnsi="Times New Roman" w:cs="Times New Roman"/>
              </w:rPr>
              <w:t>58 (29%)</w:t>
            </w:r>
          </w:p>
        </w:tc>
        <w:tc>
          <w:tcPr>
            <w:tcW w:w="1763" w:type="dxa"/>
            <w:vAlign w:val="center"/>
          </w:tcPr>
          <w:p w14:paraId="52AF6F64" w14:textId="37B3CF9F" w:rsidR="00B63AFB" w:rsidRDefault="00B63AFB" w:rsidP="00B63AFB">
            <w:pPr>
              <w:spacing w:line="360" w:lineRule="auto"/>
              <w:jc w:val="both"/>
              <w:rPr>
                <w:rFonts w:ascii="Times New Roman" w:hAnsi="Times New Roman" w:cs="Times New Roman"/>
              </w:rPr>
            </w:pPr>
            <w:r w:rsidRPr="00F84BE0">
              <w:rPr>
                <w:rFonts w:ascii="Times New Roman" w:hAnsi="Times New Roman" w:cs="Times New Roman"/>
              </w:rPr>
              <w:t>48 (42.9%)</w:t>
            </w:r>
          </w:p>
        </w:tc>
        <w:tc>
          <w:tcPr>
            <w:tcW w:w="1701" w:type="dxa"/>
            <w:vAlign w:val="center"/>
          </w:tcPr>
          <w:p w14:paraId="2F512220" w14:textId="0830D238" w:rsidR="00B63AFB" w:rsidRDefault="00B63AFB" w:rsidP="00B63AFB">
            <w:pPr>
              <w:spacing w:line="360" w:lineRule="auto"/>
              <w:jc w:val="both"/>
              <w:rPr>
                <w:rFonts w:ascii="Times New Roman" w:hAnsi="Times New Roman" w:cs="Times New Roman"/>
              </w:rPr>
            </w:pPr>
            <w:r w:rsidRPr="00F84BE0">
              <w:rPr>
                <w:rFonts w:ascii="Times New Roman" w:hAnsi="Times New Roman" w:cs="Times New Roman"/>
              </w:rPr>
              <w:t>10 (11.4%)</w:t>
            </w:r>
          </w:p>
        </w:tc>
        <w:tc>
          <w:tcPr>
            <w:tcW w:w="1083" w:type="dxa"/>
            <w:vAlign w:val="center"/>
          </w:tcPr>
          <w:p w14:paraId="5696F473" w14:textId="77777777" w:rsidR="00B63AFB" w:rsidRDefault="00B63AFB" w:rsidP="00B63AFB">
            <w:pPr>
              <w:spacing w:line="360" w:lineRule="auto"/>
              <w:jc w:val="both"/>
              <w:rPr>
                <w:rFonts w:ascii="Times New Roman" w:hAnsi="Times New Roman" w:cs="Times New Roman"/>
              </w:rPr>
            </w:pPr>
          </w:p>
        </w:tc>
      </w:tr>
      <w:tr w:rsidR="00B63AFB" w14:paraId="7AE3F9CB" w14:textId="77777777" w:rsidTr="00B63AFB">
        <w:tc>
          <w:tcPr>
            <w:tcW w:w="2791" w:type="dxa"/>
            <w:vAlign w:val="center"/>
          </w:tcPr>
          <w:p w14:paraId="75D4186E" w14:textId="53FD5E72" w:rsidR="00B63AFB" w:rsidRDefault="00B63AFB" w:rsidP="00B63AFB">
            <w:pPr>
              <w:spacing w:line="360" w:lineRule="auto"/>
              <w:jc w:val="both"/>
              <w:rPr>
                <w:rFonts w:ascii="Times New Roman" w:hAnsi="Times New Roman" w:cs="Times New Roman"/>
              </w:rPr>
            </w:pPr>
            <w:r w:rsidRPr="00F84BE0">
              <w:rPr>
                <w:rFonts w:ascii="Times New Roman" w:hAnsi="Times New Roman" w:cs="Times New Roman"/>
              </w:rPr>
              <w:t>- Ex-smoker</w:t>
            </w:r>
          </w:p>
        </w:tc>
        <w:tc>
          <w:tcPr>
            <w:tcW w:w="1678" w:type="dxa"/>
            <w:vAlign w:val="center"/>
          </w:tcPr>
          <w:p w14:paraId="64BA233A" w14:textId="3A1D2CC8" w:rsidR="00B63AFB" w:rsidRDefault="00B63AFB" w:rsidP="00B63AFB">
            <w:pPr>
              <w:spacing w:line="360" w:lineRule="auto"/>
              <w:jc w:val="both"/>
              <w:rPr>
                <w:rFonts w:ascii="Times New Roman" w:hAnsi="Times New Roman" w:cs="Times New Roman"/>
              </w:rPr>
            </w:pPr>
            <w:r w:rsidRPr="00F84BE0">
              <w:rPr>
                <w:rFonts w:ascii="Times New Roman" w:hAnsi="Times New Roman" w:cs="Times New Roman"/>
              </w:rPr>
              <w:t>22 (11%)</w:t>
            </w:r>
          </w:p>
        </w:tc>
        <w:tc>
          <w:tcPr>
            <w:tcW w:w="1763" w:type="dxa"/>
            <w:vAlign w:val="center"/>
          </w:tcPr>
          <w:p w14:paraId="53E65E3B" w14:textId="0C4BC7AE" w:rsidR="00B63AFB" w:rsidRDefault="00B63AFB" w:rsidP="00B63AFB">
            <w:pPr>
              <w:spacing w:line="360" w:lineRule="auto"/>
              <w:jc w:val="both"/>
              <w:rPr>
                <w:rFonts w:ascii="Times New Roman" w:hAnsi="Times New Roman" w:cs="Times New Roman"/>
              </w:rPr>
            </w:pPr>
            <w:r w:rsidRPr="00F84BE0">
              <w:rPr>
                <w:rFonts w:ascii="Times New Roman" w:hAnsi="Times New Roman" w:cs="Times New Roman"/>
              </w:rPr>
              <w:t>18 (16.1%)</w:t>
            </w:r>
          </w:p>
        </w:tc>
        <w:tc>
          <w:tcPr>
            <w:tcW w:w="1701" w:type="dxa"/>
            <w:vAlign w:val="center"/>
          </w:tcPr>
          <w:p w14:paraId="47B9E86E" w14:textId="52381B94" w:rsidR="00B63AFB" w:rsidRDefault="00B63AFB" w:rsidP="00B63AFB">
            <w:pPr>
              <w:spacing w:line="360" w:lineRule="auto"/>
              <w:jc w:val="both"/>
              <w:rPr>
                <w:rFonts w:ascii="Times New Roman" w:hAnsi="Times New Roman" w:cs="Times New Roman"/>
              </w:rPr>
            </w:pPr>
            <w:r w:rsidRPr="00F84BE0">
              <w:rPr>
                <w:rFonts w:ascii="Times New Roman" w:hAnsi="Times New Roman" w:cs="Times New Roman"/>
              </w:rPr>
              <w:t>4 (4.5%)</w:t>
            </w:r>
          </w:p>
        </w:tc>
        <w:tc>
          <w:tcPr>
            <w:tcW w:w="1083" w:type="dxa"/>
            <w:vAlign w:val="center"/>
          </w:tcPr>
          <w:p w14:paraId="4216AC7C" w14:textId="77777777" w:rsidR="00B63AFB" w:rsidRDefault="00B63AFB" w:rsidP="00B63AFB">
            <w:pPr>
              <w:spacing w:line="360" w:lineRule="auto"/>
              <w:jc w:val="both"/>
              <w:rPr>
                <w:rFonts w:ascii="Times New Roman" w:hAnsi="Times New Roman" w:cs="Times New Roman"/>
              </w:rPr>
            </w:pPr>
          </w:p>
        </w:tc>
      </w:tr>
      <w:tr w:rsidR="00B63AFB" w14:paraId="586F1F68" w14:textId="77777777" w:rsidTr="00B63AFB">
        <w:tc>
          <w:tcPr>
            <w:tcW w:w="2791" w:type="dxa"/>
            <w:vAlign w:val="center"/>
          </w:tcPr>
          <w:p w14:paraId="28CED6D3" w14:textId="3A14CD25" w:rsidR="00B63AFB" w:rsidRPr="00F84BE0" w:rsidRDefault="00B63AFB" w:rsidP="00B63AFB">
            <w:pPr>
              <w:spacing w:line="360" w:lineRule="auto"/>
              <w:jc w:val="both"/>
              <w:rPr>
                <w:rFonts w:ascii="Times New Roman" w:hAnsi="Times New Roman" w:cs="Times New Roman"/>
              </w:rPr>
            </w:pPr>
            <w:r w:rsidRPr="00F84BE0">
              <w:rPr>
                <w:rFonts w:ascii="Times New Roman" w:hAnsi="Times New Roman" w:cs="Times New Roman"/>
              </w:rPr>
              <w:t>- Never smoked</w:t>
            </w:r>
          </w:p>
        </w:tc>
        <w:tc>
          <w:tcPr>
            <w:tcW w:w="1678" w:type="dxa"/>
            <w:vAlign w:val="center"/>
          </w:tcPr>
          <w:p w14:paraId="22141AB2" w14:textId="4B0EE1A7" w:rsidR="00B63AFB" w:rsidRPr="00F84BE0" w:rsidRDefault="00B63AFB" w:rsidP="00B63AFB">
            <w:pPr>
              <w:spacing w:line="360" w:lineRule="auto"/>
              <w:jc w:val="both"/>
              <w:rPr>
                <w:rFonts w:ascii="Times New Roman" w:hAnsi="Times New Roman" w:cs="Times New Roman"/>
              </w:rPr>
            </w:pPr>
            <w:r w:rsidRPr="00F84BE0">
              <w:rPr>
                <w:rFonts w:ascii="Times New Roman" w:hAnsi="Times New Roman" w:cs="Times New Roman"/>
              </w:rPr>
              <w:t>120 (60%)</w:t>
            </w:r>
          </w:p>
        </w:tc>
        <w:tc>
          <w:tcPr>
            <w:tcW w:w="1763" w:type="dxa"/>
            <w:vAlign w:val="center"/>
          </w:tcPr>
          <w:p w14:paraId="7850E16C" w14:textId="14F39C03" w:rsidR="00B63AFB" w:rsidRPr="00F84BE0" w:rsidRDefault="00B63AFB" w:rsidP="00B63AFB">
            <w:pPr>
              <w:spacing w:line="360" w:lineRule="auto"/>
              <w:jc w:val="both"/>
              <w:rPr>
                <w:rFonts w:ascii="Times New Roman" w:hAnsi="Times New Roman" w:cs="Times New Roman"/>
              </w:rPr>
            </w:pPr>
            <w:r w:rsidRPr="00F84BE0">
              <w:rPr>
                <w:rFonts w:ascii="Times New Roman" w:hAnsi="Times New Roman" w:cs="Times New Roman"/>
              </w:rPr>
              <w:t>46 (41.1%)</w:t>
            </w:r>
          </w:p>
        </w:tc>
        <w:tc>
          <w:tcPr>
            <w:tcW w:w="1701" w:type="dxa"/>
            <w:vAlign w:val="center"/>
          </w:tcPr>
          <w:p w14:paraId="51E4E65E" w14:textId="60B4D87C" w:rsidR="00B63AFB" w:rsidRPr="00F84BE0" w:rsidRDefault="00B63AFB" w:rsidP="00B63AFB">
            <w:pPr>
              <w:spacing w:line="360" w:lineRule="auto"/>
              <w:jc w:val="both"/>
              <w:rPr>
                <w:rFonts w:ascii="Times New Roman" w:hAnsi="Times New Roman" w:cs="Times New Roman"/>
              </w:rPr>
            </w:pPr>
            <w:r w:rsidRPr="00F84BE0">
              <w:rPr>
                <w:rFonts w:ascii="Times New Roman" w:hAnsi="Times New Roman" w:cs="Times New Roman"/>
              </w:rPr>
              <w:t>74 (84.1%)</w:t>
            </w:r>
          </w:p>
        </w:tc>
        <w:tc>
          <w:tcPr>
            <w:tcW w:w="1083" w:type="dxa"/>
            <w:vAlign w:val="center"/>
          </w:tcPr>
          <w:p w14:paraId="556680FC" w14:textId="77777777" w:rsidR="00B63AFB" w:rsidRDefault="00B63AFB" w:rsidP="00B63AFB">
            <w:pPr>
              <w:spacing w:line="360" w:lineRule="auto"/>
              <w:jc w:val="both"/>
              <w:rPr>
                <w:rFonts w:ascii="Times New Roman" w:hAnsi="Times New Roman" w:cs="Times New Roman"/>
              </w:rPr>
            </w:pPr>
          </w:p>
        </w:tc>
      </w:tr>
    </w:tbl>
    <w:p w14:paraId="43D8E3B5" w14:textId="77777777" w:rsidR="00B63AFB" w:rsidRDefault="00B63AFB" w:rsidP="00E60FBC">
      <w:pPr>
        <w:spacing w:line="360" w:lineRule="auto"/>
        <w:jc w:val="both"/>
        <w:rPr>
          <w:rFonts w:ascii="Times New Roman" w:hAnsi="Times New Roman" w:cs="Times New Roman"/>
        </w:rPr>
      </w:pPr>
    </w:p>
    <w:p w14:paraId="50E31668" w14:textId="77777777" w:rsidR="0047375C" w:rsidRDefault="0047375C" w:rsidP="00E60FBC">
      <w:pPr>
        <w:spacing w:line="360" w:lineRule="auto"/>
        <w:jc w:val="center"/>
        <w:rPr>
          <w:rFonts w:ascii="Times New Roman" w:hAnsi="Times New Roman" w:cs="Times New Roman"/>
        </w:rPr>
      </w:pPr>
    </w:p>
    <w:p w14:paraId="4D0F360F" w14:textId="6AA4D743" w:rsidR="009B69D3" w:rsidRPr="00E60FBC" w:rsidRDefault="009B69D3" w:rsidP="00E60FBC">
      <w:pPr>
        <w:spacing w:line="360" w:lineRule="auto"/>
        <w:jc w:val="center"/>
        <w:rPr>
          <w:rFonts w:ascii="Times New Roman" w:hAnsi="Times New Roman" w:cs="Times New Roman"/>
          <w:b/>
          <w:bCs/>
        </w:rPr>
      </w:pPr>
      <w:r w:rsidRPr="00E60FBC">
        <w:rPr>
          <w:rFonts w:ascii="Times New Roman" w:hAnsi="Times New Roman" w:cs="Times New Roman"/>
          <w:b/>
          <w:bCs/>
        </w:rPr>
        <w:lastRenderedPageBreak/>
        <w:t xml:space="preserve">Table </w:t>
      </w:r>
      <w:r w:rsidR="00A45DB9">
        <w:rPr>
          <w:rFonts w:ascii="Times New Roman" w:hAnsi="Times New Roman" w:cs="Times New Roman"/>
          <w:b/>
          <w:bCs/>
        </w:rPr>
        <w:t>2</w:t>
      </w:r>
      <w:r w:rsidRPr="00E60FBC">
        <w:rPr>
          <w:rFonts w:ascii="Times New Roman" w:hAnsi="Times New Roman" w:cs="Times New Roman"/>
          <w:b/>
          <w:bCs/>
        </w:rPr>
        <w:t>. Correlation of Electrolyte Stress with Renal Dysfunction</w:t>
      </w:r>
    </w:p>
    <w:tbl>
      <w:tblPr>
        <w:tblStyle w:val="TableGrid"/>
        <w:tblW w:w="0" w:type="auto"/>
        <w:tblLook w:val="04A0" w:firstRow="1" w:lastRow="0" w:firstColumn="1" w:lastColumn="0" w:noHBand="0" w:noVBand="1"/>
      </w:tblPr>
      <w:tblGrid>
        <w:gridCol w:w="3005"/>
        <w:gridCol w:w="3005"/>
        <w:gridCol w:w="3006"/>
      </w:tblGrid>
      <w:tr w:rsidR="009B69D3" w:rsidRPr="00E60FBC" w14:paraId="654BF251" w14:textId="77777777" w:rsidTr="009B69D3">
        <w:tc>
          <w:tcPr>
            <w:tcW w:w="3005" w:type="dxa"/>
          </w:tcPr>
          <w:p w14:paraId="0F2E7105" w14:textId="71D46087" w:rsidR="009B69D3" w:rsidRPr="00025E77" w:rsidRDefault="009B69D3" w:rsidP="00B63AFB">
            <w:pPr>
              <w:spacing w:line="360" w:lineRule="auto"/>
              <w:jc w:val="center"/>
              <w:rPr>
                <w:rFonts w:ascii="Times New Roman" w:hAnsi="Times New Roman" w:cs="Times New Roman"/>
                <w:b/>
                <w:bCs/>
              </w:rPr>
            </w:pPr>
            <w:r w:rsidRPr="00025E77">
              <w:rPr>
                <w:rFonts w:ascii="Times New Roman" w:hAnsi="Times New Roman" w:cs="Times New Roman"/>
                <w:b/>
                <w:bCs/>
              </w:rPr>
              <w:t>Variable Pair</w:t>
            </w:r>
          </w:p>
        </w:tc>
        <w:tc>
          <w:tcPr>
            <w:tcW w:w="3005" w:type="dxa"/>
          </w:tcPr>
          <w:p w14:paraId="03B297E6" w14:textId="565B02F3" w:rsidR="009B69D3" w:rsidRPr="00025E77" w:rsidRDefault="009B69D3" w:rsidP="00B63AFB">
            <w:pPr>
              <w:spacing w:line="360" w:lineRule="auto"/>
              <w:jc w:val="center"/>
              <w:rPr>
                <w:rFonts w:ascii="Times New Roman" w:hAnsi="Times New Roman" w:cs="Times New Roman"/>
                <w:b/>
                <w:bCs/>
              </w:rPr>
            </w:pPr>
            <w:r w:rsidRPr="00025E77">
              <w:rPr>
                <w:rFonts w:ascii="Times New Roman" w:hAnsi="Times New Roman" w:cs="Times New Roman"/>
                <w:b/>
                <w:bCs/>
              </w:rPr>
              <w:t>Pearson’s r</w:t>
            </w:r>
          </w:p>
        </w:tc>
        <w:tc>
          <w:tcPr>
            <w:tcW w:w="3006" w:type="dxa"/>
          </w:tcPr>
          <w:p w14:paraId="757A062D" w14:textId="5AC5ABBE" w:rsidR="009B69D3" w:rsidRPr="00025E77" w:rsidRDefault="009B69D3" w:rsidP="00B63AFB">
            <w:pPr>
              <w:spacing w:line="360" w:lineRule="auto"/>
              <w:jc w:val="center"/>
              <w:rPr>
                <w:rFonts w:ascii="Times New Roman" w:hAnsi="Times New Roman" w:cs="Times New Roman"/>
                <w:b/>
                <w:bCs/>
              </w:rPr>
            </w:pPr>
            <w:r w:rsidRPr="00025E77">
              <w:rPr>
                <w:rFonts w:ascii="Times New Roman" w:hAnsi="Times New Roman" w:cs="Times New Roman"/>
                <w:b/>
                <w:bCs/>
              </w:rPr>
              <w:t>p-value</w:t>
            </w:r>
          </w:p>
        </w:tc>
      </w:tr>
      <w:tr w:rsidR="009B69D3" w:rsidRPr="00E60FBC" w14:paraId="6DFDF039" w14:textId="77777777" w:rsidTr="009B69D3">
        <w:tc>
          <w:tcPr>
            <w:tcW w:w="300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83"/>
              <w:gridCol w:w="66"/>
              <w:gridCol w:w="81"/>
            </w:tblGrid>
            <w:tr w:rsidR="009B69D3" w:rsidRPr="00E60FBC" w14:paraId="1C4419F8" w14:textId="77777777" w:rsidTr="009B69D3">
              <w:trPr>
                <w:tblCellSpacing w:w="15" w:type="dxa"/>
              </w:trPr>
              <w:tc>
                <w:tcPr>
                  <w:tcW w:w="0" w:type="auto"/>
                  <w:vAlign w:val="center"/>
                  <w:hideMark/>
                </w:tcPr>
                <w:p w14:paraId="5A8C7518" w14:textId="77777777" w:rsidR="009B69D3" w:rsidRPr="00E60FBC" w:rsidRDefault="009B69D3" w:rsidP="00E60FBC">
                  <w:pPr>
                    <w:spacing w:after="0" w:line="360" w:lineRule="auto"/>
                    <w:jc w:val="both"/>
                    <w:rPr>
                      <w:rFonts w:ascii="Times New Roman" w:eastAsia="Times New Roman" w:hAnsi="Times New Roman" w:cs="Times New Roman"/>
                      <w:kern w:val="0"/>
                      <w:lang w:eastAsia="en-IN"/>
                      <w14:ligatures w14:val="none"/>
                    </w:rPr>
                  </w:pPr>
                  <w:r w:rsidRPr="00E60FBC">
                    <w:rPr>
                      <w:rFonts w:ascii="Times New Roman" w:eastAsia="Times New Roman" w:hAnsi="Times New Roman" w:cs="Times New Roman"/>
                      <w:kern w:val="0"/>
                      <w:lang w:eastAsia="en-IN"/>
                      <w14:ligatures w14:val="none"/>
                    </w:rPr>
                    <w:t>K⁺ vs. HCO₃⁻</w:t>
                  </w:r>
                </w:p>
              </w:tc>
              <w:tc>
                <w:tcPr>
                  <w:tcW w:w="0" w:type="auto"/>
                  <w:vAlign w:val="center"/>
                  <w:hideMark/>
                </w:tcPr>
                <w:p w14:paraId="5974F9DA" w14:textId="04F73A50" w:rsidR="009B69D3" w:rsidRPr="00E60FBC" w:rsidRDefault="009B69D3" w:rsidP="00E60FBC">
                  <w:pPr>
                    <w:spacing w:after="0" w:line="360" w:lineRule="auto"/>
                    <w:jc w:val="both"/>
                    <w:rPr>
                      <w:rFonts w:ascii="Times New Roman" w:eastAsia="Times New Roman" w:hAnsi="Times New Roman" w:cs="Times New Roman"/>
                      <w:kern w:val="0"/>
                      <w:lang w:eastAsia="en-IN"/>
                      <w14:ligatures w14:val="none"/>
                    </w:rPr>
                  </w:pPr>
                </w:p>
              </w:tc>
              <w:tc>
                <w:tcPr>
                  <w:tcW w:w="0" w:type="auto"/>
                  <w:vAlign w:val="center"/>
                  <w:hideMark/>
                </w:tcPr>
                <w:p w14:paraId="77A1FBC1" w14:textId="22B14349" w:rsidR="009B69D3" w:rsidRPr="00E60FBC" w:rsidRDefault="009B69D3" w:rsidP="00E60FBC">
                  <w:pPr>
                    <w:spacing w:after="0" w:line="360" w:lineRule="auto"/>
                    <w:jc w:val="both"/>
                    <w:rPr>
                      <w:rFonts w:ascii="Times New Roman" w:eastAsia="Times New Roman" w:hAnsi="Times New Roman" w:cs="Times New Roman"/>
                      <w:kern w:val="0"/>
                      <w:lang w:eastAsia="en-IN"/>
                      <w14:ligatures w14:val="none"/>
                    </w:rPr>
                  </w:pPr>
                </w:p>
              </w:tc>
            </w:tr>
          </w:tbl>
          <w:p w14:paraId="2D9C04F0" w14:textId="77777777" w:rsidR="009B69D3" w:rsidRPr="00E60FBC" w:rsidRDefault="009B69D3" w:rsidP="00E60FBC">
            <w:pPr>
              <w:spacing w:line="360" w:lineRule="auto"/>
              <w:jc w:val="both"/>
              <w:rPr>
                <w:rFonts w:ascii="Times New Roman" w:hAnsi="Times New Roman" w:cs="Times New Roman"/>
              </w:rPr>
            </w:pPr>
          </w:p>
        </w:tc>
        <w:tc>
          <w:tcPr>
            <w:tcW w:w="3005" w:type="dxa"/>
          </w:tcPr>
          <w:p w14:paraId="55763A29" w14:textId="1B84D26D" w:rsidR="009B69D3" w:rsidRPr="00E60FBC" w:rsidRDefault="009B69D3" w:rsidP="00E60FBC">
            <w:pPr>
              <w:spacing w:line="360" w:lineRule="auto"/>
              <w:jc w:val="both"/>
              <w:rPr>
                <w:rFonts w:ascii="Times New Roman" w:hAnsi="Times New Roman" w:cs="Times New Roman"/>
              </w:rPr>
            </w:pPr>
            <w:r w:rsidRPr="00E60FBC">
              <w:rPr>
                <w:rFonts w:ascii="Times New Roman" w:eastAsia="Times New Roman" w:hAnsi="Times New Roman" w:cs="Times New Roman"/>
                <w:kern w:val="0"/>
                <w:lang w:eastAsia="en-IN"/>
                <w14:ligatures w14:val="none"/>
              </w:rPr>
              <w:t>-0.43</w:t>
            </w:r>
          </w:p>
        </w:tc>
        <w:tc>
          <w:tcPr>
            <w:tcW w:w="3006" w:type="dxa"/>
          </w:tcPr>
          <w:p w14:paraId="33A221F8" w14:textId="056F0198" w:rsidR="009B69D3" w:rsidRPr="00E60FBC" w:rsidRDefault="009B69D3" w:rsidP="00E60FBC">
            <w:pPr>
              <w:spacing w:line="360" w:lineRule="auto"/>
              <w:jc w:val="both"/>
              <w:rPr>
                <w:rFonts w:ascii="Times New Roman" w:hAnsi="Times New Roman" w:cs="Times New Roman"/>
              </w:rPr>
            </w:pPr>
            <w:r w:rsidRPr="00E60FBC">
              <w:rPr>
                <w:rFonts w:ascii="Times New Roman" w:eastAsia="Times New Roman" w:hAnsi="Times New Roman" w:cs="Times New Roman"/>
                <w:kern w:val="0"/>
                <w:lang w:eastAsia="en-IN"/>
                <w14:ligatures w14:val="none"/>
              </w:rPr>
              <w:t>0.001</w:t>
            </w:r>
          </w:p>
        </w:tc>
      </w:tr>
      <w:tr w:rsidR="009B69D3" w:rsidRPr="00E60FBC" w14:paraId="449E096C" w14:textId="77777777" w:rsidTr="009B69D3">
        <w:tc>
          <w:tcPr>
            <w:tcW w:w="300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89"/>
              <w:gridCol w:w="66"/>
              <w:gridCol w:w="81"/>
            </w:tblGrid>
            <w:tr w:rsidR="009B69D3" w:rsidRPr="00E60FBC" w14:paraId="1F9D0D4F" w14:textId="77777777" w:rsidTr="009B69D3">
              <w:trPr>
                <w:tblCellSpacing w:w="15" w:type="dxa"/>
              </w:trPr>
              <w:tc>
                <w:tcPr>
                  <w:tcW w:w="0" w:type="auto"/>
                  <w:vAlign w:val="center"/>
                  <w:hideMark/>
                </w:tcPr>
                <w:p w14:paraId="20EE1984" w14:textId="77777777" w:rsidR="009B69D3" w:rsidRPr="00E60FBC" w:rsidRDefault="009B69D3" w:rsidP="00E60FBC">
                  <w:pPr>
                    <w:spacing w:after="0" w:line="360" w:lineRule="auto"/>
                    <w:jc w:val="both"/>
                    <w:rPr>
                      <w:rFonts w:ascii="Times New Roman" w:eastAsia="Times New Roman" w:hAnsi="Times New Roman" w:cs="Times New Roman"/>
                      <w:kern w:val="0"/>
                      <w:lang w:eastAsia="en-IN"/>
                      <w14:ligatures w14:val="none"/>
                    </w:rPr>
                  </w:pPr>
                  <w:r w:rsidRPr="00E60FBC">
                    <w:rPr>
                      <w:rFonts w:ascii="Times New Roman" w:eastAsia="Times New Roman" w:hAnsi="Times New Roman" w:cs="Times New Roman"/>
                      <w:kern w:val="0"/>
                      <w:lang w:eastAsia="en-IN"/>
                      <w14:ligatures w14:val="none"/>
                    </w:rPr>
                    <w:t>Uric Acid vs. GFR</w:t>
                  </w:r>
                </w:p>
              </w:tc>
              <w:tc>
                <w:tcPr>
                  <w:tcW w:w="0" w:type="auto"/>
                  <w:vAlign w:val="center"/>
                  <w:hideMark/>
                </w:tcPr>
                <w:p w14:paraId="69559320" w14:textId="54089A45" w:rsidR="009B69D3" w:rsidRPr="00E60FBC" w:rsidRDefault="009B69D3" w:rsidP="00E60FBC">
                  <w:pPr>
                    <w:spacing w:after="0" w:line="360" w:lineRule="auto"/>
                    <w:jc w:val="both"/>
                    <w:rPr>
                      <w:rFonts w:ascii="Times New Roman" w:eastAsia="Times New Roman" w:hAnsi="Times New Roman" w:cs="Times New Roman"/>
                      <w:kern w:val="0"/>
                      <w:lang w:eastAsia="en-IN"/>
                      <w14:ligatures w14:val="none"/>
                    </w:rPr>
                  </w:pPr>
                </w:p>
              </w:tc>
              <w:tc>
                <w:tcPr>
                  <w:tcW w:w="0" w:type="auto"/>
                  <w:vAlign w:val="center"/>
                  <w:hideMark/>
                </w:tcPr>
                <w:p w14:paraId="12FA18FB" w14:textId="0FA9C3CA" w:rsidR="009B69D3" w:rsidRPr="00E60FBC" w:rsidRDefault="009B69D3" w:rsidP="00E60FBC">
                  <w:pPr>
                    <w:spacing w:after="0" w:line="360" w:lineRule="auto"/>
                    <w:jc w:val="both"/>
                    <w:rPr>
                      <w:rFonts w:ascii="Times New Roman" w:eastAsia="Times New Roman" w:hAnsi="Times New Roman" w:cs="Times New Roman"/>
                      <w:kern w:val="0"/>
                      <w:lang w:eastAsia="en-IN"/>
                      <w14:ligatures w14:val="none"/>
                    </w:rPr>
                  </w:pPr>
                </w:p>
              </w:tc>
            </w:tr>
          </w:tbl>
          <w:p w14:paraId="41F59F56" w14:textId="77777777" w:rsidR="009B69D3" w:rsidRPr="00E60FBC" w:rsidRDefault="009B69D3" w:rsidP="00E60FBC">
            <w:pPr>
              <w:spacing w:line="360" w:lineRule="auto"/>
              <w:jc w:val="both"/>
              <w:rPr>
                <w:rFonts w:ascii="Times New Roman" w:hAnsi="Times New Roman" w:cs="Times New Roman"/>
              </w:rPr>
            </w:pPr>
          </w:p>
        </w:tc>
        <w:tc>
          <w:tcPr>
            <w:tcW w:w="3005" w:type="dxa"/>
          </w:tcPr>
          <w:p w14:paraId="06EE7DFD" w14:textId="131B943F" w:rsidR="009B69D3" w:rsidRPr="00E60FBC" w:rsidRDefault="009B69D3" w:rsidP="00E60FBC">
            <w:pPr>
              <w:spacing w:line="360" w:lineRule="auto"/>
              <w:jc w:val="both"/>
              <w:rPr>
                <w:rFonts w:ascii="Times New Roman" w:hAnsi="Times New Roman" w:cs="Times New Roman"/>
              </w:rPr>
            </w:pPr>
            <w:r w:rsidRPr="00E60FBC">
              <w:rPr>
                <w:rFonts w:ascii="Times New Roman" w:eastAsia="Times New Roman" w:hAnsi="Times New Roman" w:cs="Times New Roman"/>
                <w:kern w:val="0"/>
                <w:lang w:eastAsia="en-IN"/>
                <w14:ligatures w14:val="none"/>
              </w:rPr>
              <w:t>-0.38</w:t>
            </w:r>
          </w:p>
        </w:tc>
        <w:tc>
          <w:tcPr>
            <w:tcW w:w="3006" w:type="dxa"/>
          </w:tcPr>
          <w:p w14:paraId="0663FAED" w14:textId="7EC8DB78" w:rsidR="009B69D3" w:rsidRPr="00E60FBC" w:rsidRDefault="009B69D3" w:rsidP="00E60FBC">
            <w:pPr>
              <w:spacing w:line="360" w:lineRule="auto"/>
              <w:jc w:val="both"/>
              <w:rPr>
                <w:rFonts w:ascii="Times New Roman" w:hAnsi="Times New Roman" w:cs="Times New Roman"/>
              </w:rPr>
            </w:pPr>
            <w:r w:rsidRPr="00E60FBC">
              <w:rPr>
                <w:rFonts w:ascii="Times New Roman" w:eastAsia="Times New Roman" w:hAnsi="Times New Roman" w:cs="Times New Roman"/>
                <w:kern w:val="0"/>
                <w:lang w:eastAsia="en-IN"/>
                <w14:ligatures w14:val="none"/>
              </w:rPr>
              <w:t>0.002</w:t>
            </w:r>
          </w:p>
        </w:tc>
      </w:tr>
      <w:tr w:rsidR="009B69D3" w:rsidRPr="00E60FBC" w14:paraId="71D575D7" w14:textId="77777777" w:rsidTr="009B69D3">
        <w:tc>
          <w:tcPr>
            <w:tcW w:w="300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28"/>
              <w:gridCol w:w="81"/>
            </w:tblGrid>
            <w:tr w:rsidR="009B69D3" w:rsidRPr="00E60FBC" w14:paraId="0B91F5FA" w14:textId="77777777" w:rsidTr="009B69D3">
              <w:trPr>
                <w:tblCellSpacing w:w="15" w:type="dxa"/>
              </w:trPr>
              <w:tc>
                <w:tcPr>
                  <w:tcW w:w="0" w:type="auto"/>
                  <w:vAlign w:val="center"/>
                  <w:hideMark/>
                </w:tcPr>
                <w:p w14:paraId="1A1EAA8E" w14:textId="77777777" w:rsidR="009B69D3" w:rsidRPr="00E60FBC" w:rsidRDefault="009B69D3" w:rsidP="00E60FBC">
                  <w:pPr>
                    <w:spacing w:after="0" w:line="360" w:lineRule="auto"/>
                    <w:jc w:val="both"/>
                    <w:rPr>
                      <w:rFonts w:ascii="Times New Roman" w:eastAsia="Times New Roman" w:hAnsi="Times New Roman" w:cs="Times New Roman"/>
                      <w:kern w:val="0"/>
                      <w:lang w:eastAsia="en-IN"/>
                      <w14:ligatures w14:val="none"/>
                    </w:rPr>
                  </w:pPr>
                  <w:r w:rsidRPr="00E60FBC">
                    <w:rPr>
                      <w:rFonts w:ascii="Times New Roman" w:eastAsia="Times New Roman" w:hAnsi="Times New Roman" w:cs="Times New Roman"/>
                      <w:kern w:val="0"/>
                      <w:lang w:eastAsia="en-IN"/>
                      <w14:ligatures w14:val="none"/>
                    </w:rPr>
                    <w:t>HCO₃⁻ vs. Creatinine</w:t>
                  </w:r>
                </w:p>
              </w:tc>
              <w:tc>
                <w:tcPr>
                  <w:tcW w:w="0" w:type="auto"/>
                  <w:vAlign w:val="center"/>
                  <w:hideMark/>
                </w:tcPr>
                <w:p w14:paraId="2581C59B" w14:textId="2A4BB474" w:rsidR="009B69D3" w:rsidRPr="00E60FBC" w:rsidRDefault="009B69D3" w:rsidP="00E60FBC">
                  <w:pPr>
                    <w:spacing w:after="0" w:line="360" w:lineRule="auto"/>
                    <w:jc w:val="both"/>
                    <w:rPr>
                      <w:rFonts w:ascii="Times New Roman" w:eastAsia="Times New Roman" w:hAnsi="Times New Roman" w:cs="Times New Roman"/>
                      <w:kern w:val="0"/>
                      <w:lang w:eastAsia="en-IN"/>
                      <w14:ligatures w14:val="none"/>
                    </w:rPr>
                  </w:pPr>
                </w:p>
              </w:tc>
            </w:tr>
          </w:tbl>
          <w:p w14:paraId="7DDC5E54" w14:textId="77777777" w:rsidR="009B69D3" w:rsidRPr="00E60FBC" w:rsidRDefault="009B69D3" w:rsidP="00E60FBC">
            <w:pPr>
              <w:spacing w:line="360" w:lineRule="auto"/>
              <w:jc w:val="both"/>
              <w:rPr>
                <w:rFonts w:ascii="Times New Roman" w:hAnsi="Times New Roman" w:cs="Times New Roman"/>
              </w:rPr>
            </w:pPr>
          </w:p>
        </w:tc>
        <w:tc>
          <w:tcPr>
            <w:tcW w:w="3005" w:type="dxa"/>
          </w:tcPr>
          <w:p w14:paraId="0A1BC484" w14:textId="35569065" w:rsidR="009B69D3" w:rsidRPr="00E60FBC" w:rsidRDefault="009B69D3" w:rsidP="00E60FBC">
            <w:pPr>
              <w:spacing w:line="360" w:lineRule="auto"/>
              <w:jc w:val="both"/>
              <w:rPr>
                <w:rFonts w:ascii="Times New Roman" w:hAnsi="Times New Roman" w:cs="Times New Roman"/>
              </w:rPr>
            </w:pPr>
            <w:r w:rsidRPr="00E60FBC">
              <w:rPr>
                <w:rFonts w:ascii="Times New Roman" w:eastAsia="Times New Roman" w:hAnsi="Times New Roman" w:cs="Times New Roman"/>
                <w:kern w:val="0"/>
                <w:lang w:eastAsia="en-IN"/>
                <w14:ligatures w14:val="none"/>
              </w:rPr>
              <w:t>-0.47</w:t>
            </w:r>
          </w:p>
        </w:tc>
        <w:tc>
          <w:tcPr>
            <w:tcW w:w="300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66"/>
            </w:tblGrid>
            <w:tr w:rsidR="009B69D3" w:rsidRPr="00E60FBC" w14:paraId="505F1450" w14:textId="77777777">
              <w:trPr>
                <w:tblCellSpacing w:w="15" w:type="dxa"/>
              </w:trPr>
              <w:tc>
                <w:tcPr>
                  <w:tcW w:w="0" w:type="auto"/>
                  <w:vAlign w:val="center"/>
                  <w:hideMark/>
                </w:tcPr>
                <w:p w14:paraId="1B1D5BFF" w14:textId="58F48CA4" w:rsidR="009B69D3" w:rsidRPr="00E60FBC" w:rsidRDefault="009B69D3" w:rsidP="00E60FBC">
                  <w:pPr>
                    <w:spacing w:after="0" w:line="360" w:lineRule="auto"/>
                    <w:jc w:val="both"/>
                    <w:rPr>
                      <w:rFonts w:ascii="Times New Roman" w:eastAsia="Times New Roman" w:hAnsi="Times New Roman" w:cs="Times New Roman"/>
                      <w:kern w:val="0"/>
                      <w:lang w:eastAsia="en-IN"/>
                      <w14:ligatures w14:val="none"/>
                    </w:rPr>
                  </w:pPr>
                  <w:r w:rsidRPr="00E60FBC">
                    <w:rPr>
                      <w:rFonts w:ascii="Times New Roman" w:eastAsia="Times New Roman" w:hAnsi="Times New Roman" w:cs="Times New Roman"/>
                      <w:kern w:val="0"/>
                      <w:lang w:eastAsia="en-IN"/>
                      <w14:ligatures w14:val="none"/>
                    </w:rPr>
                    <w:t>&lt;0.001</w:t>
                  </w:r>
                </w:p>
              </w:tc>
            </w:tr>
          </w:tbl>
          <w:p w14:paraId="664EA323" w14:textId="77777777" w:rsidR="009B69D3" w:rsidRPr="00E60FBC" w:rsidRDefault="009B69D3" w:rsidP="00E60FBC">
            <w:pPr>
              <w:spacing w:line="360" w:lineRule="auto"/>
              <w:jc w:val="both"/>
              <w:rPr>
                <w:rFonts w:ascii="Times New Roman" w:hAnsi="Times New Roman" w:cs="Times New Roman"/>
              </w:rPr>
            </w:pPr>
          </w:p>
        </w:tc>
      </w:tr>
    </w:tbl>
    <w:p w14:paraId="0DF637D3" w14:textId="77777777" w:rsidR="00A753A4" w:rsidRDefault="00A753A4" w:rsidP="000A1E6C">
      <w:pPr>
        <w:spacing w:line="360" w:lineRule="auto"/>
        <w:jc w:val="both"/>
        <w:rPr>
          <w:rFonts w:ascii="Times New Roman" w:hAnsi="Times New Roman" w:cs="Times New Roman"/>
        </w:rPr>
      </w:pPr>
    </w:p>
    <w:p w14:paraId="5023F7FA" w14:textId="32B1C94C" w:rsidR="00C65D7E" w:rsidRPr="000A1E6C" w:rsidRDefault="001702C2" w:rsidP="000A1E6C">
      <w:pPr>
        <w:spacing w:line="360" w:lineRule="auto"/>
        <w:jc w:val="both"/>
        <w:rPr>
          <w:rFonts w:ascii="Times New Roman" w:hAnsi="Times New Roman" w:cs="Times New Roman"/>
        </w:rPr>
      </w:pPr>
      <w:r w:rsidRPr="00E60FBC">
        <w:rPr>
          <w:rFonts w:ascii="Times New Roman" w:hAnsi="Times New Roman" w:cs="Times New Roman"/>
        </w:rPr>
        <w:t>Table</w:t>
      </w:r>
      <w:r w:rsidR="005952DE">
        <w:rPr>
          <w:rFonts w:ascii="Times New Roman" w:hAnsi="Times New Roman" w:cs="Times New Roman"/>
        </w:rPr>
        <w:t xml:space="preserve"> </w:t>
      </w:r>
      <w:r w:rsidR="00A45DB9">
        <w:rPr>
          <w:rFonts w:ascii="Times New Roman" w:hAnsi="Times New Roman" w:cs="Times New Roman"/>
        </w:rPr>
        <w:t>2</w:t>
      </w:r>
      <w:r w:rsidRPr="00E60FBC">
        <w:rPr>
          <w:rFonts w:ascii="Times New Roman" w:hAnsi="Times New Roman" w:cs="Times New Roman"/>
        </w:rPr>
        <w:t xml:space="preserve"> presents Pearson correlation coefficients showing negative correlations between selected biochemical variables and renal function markers. </w:t>
      </w:r>
    </w:p>
    <w:p w14:paraId="760B07BA" w14:textId="4DE11D0A" w:rsidR="00B63AFB" w:rsidRPr="00E60FBC" w:rsidRDefault="009B008E" w:rsidP="00B63AFB">
      <w:pPr>
        <w:spacing w:line="360" w:lineRule="auto"/>
        <w:jc w:val="center"/>
        <w:rPr>
          <w:rFonts w:ascii="Times New Roman" w:hAnsi="Times New Roman" w:cs="Times New Roman"/>
          <w:b/>
          <w:bCs/>
        </w:rPr>
      </w:pPr>
      <w:r w:rsidRPr="00E60FBC">
        <w:rPr>
          <w:rFonts w:ascii="Times New Roman" w:hAnsi="Times New Roman" w:cs="Times New Roman"/>
          <w:b/>
          <w:bCs/>
        </w:rPr>
        <w:t xml:space="preserve">Table </w:t>
      </w:r>
      <w:r w:rsidR="00A45DB9">
        <w:rPr>
          <w:rFonts w:ascii="Times New Roman" w:hAnsi="Times New Roman" w:cs="Times New Roman"/>
          <w:b/>
          <w:bCs/>
        </w:rPr>
        <w:t>3</w:t>
      </w:r>
      <w:r w:rsidRPr="00E60FBC">
        <w:rPr>
          <w:rFonts w:ascii="Times New Roman" w:hAnsi="Times New Roman" w:cs="Times New Roman"/>
          <w:b/>
          <w:bCs/>
        </w:rPr>
        <w:t>. Electrolyte Stress Index (ESI) and Clinical Risk Stratification</w:t>
      </w:r>
    </w:p>
    <w:tbl>
      <w:tblPr>
        <w:tblStyle w:val="TableGrid"/>
        <w:tblW w:w="0" w:type="auto"/>
        <w:tblLook w:val="04A0" w:firstRow="1" w:lastRow="0" w:firstColumn="1" w:lastColumn="0" w:noHBand="0" w:noVBand="1"/>
      </w:tblPr>
      <w:tblGrid>
        <w:gridCol w:w="3005"/>
        <w:gridCol w:w="3005"/>
        <w:gridCol w:w="3006"/>
      </w:tblGrid>
      <w:tr w:rsidR="00B63AFB" w14:paraId="2DA517E6" w14:textId="77777777" w:rsidTr="00C65D7E">
        <w:trPr>
          <w:trHeight w:val="558"/>
        </w:trPr>
        <w:tc>
          <w:tcPr>
            <w:tcW w:w="3005" w:type="dxa"/>
          </w:tcPr>
          <w:p w14:paraId="5920EFDA" w14:textId="60DB087A" w:rsidR="00B63AFB" w:rsidRPr="00B63AFB" w:rsidRDefault="00B63AFB" w:rsidP="00B63AFB">
            <w:pPr>
              <w:spacing w:line="360" w:lineRule="auto"/>
              <w:jc w:val="center"/>
              <w:rPr>
                <w:rFonts w:ascii="Times New Roman" w:hAnsi="Times New Roman" w:cs="Times New Roman"/>
                <w:b/>
                <w:bCs/>
              </w:rPr>
            </w:pPr>
            <w:r w:rsidRPr="00025E77">
              <w:rPr>
                <w:rFonts w:ascii="Times New Roman" w:hAnsi="Times New Roman" w:cs="Times New Roman"/>
                <w:b/>
                <w:bCs/>
              </w:rPr>
              <w:t>ESI = (Na + K+ Cl)/HCO₃⁻</w:t>
            </w:r>
          </w:p>
        </w:tc>
        <w:tc>
          <w:tcPr>
            <w:tcW w:w="3005" w:type="dxa"/>
          </w:tcPr>
          <w:p w14:paraId="29A1D418" w14:textId="77777777" w:rsidR="00B63AFB" w:rsidRPr="00025E77" w:rsidRDefault="00B63AFB" w:rsidP="00B63AFB">
            <w:pPr>
              <w:spacing w:line="360" w:lineRule="auto"/>
              <w:jc w:val="center"/>
              <w:rPr>
                <w:rFonts w:ascii="Times New Roman" w:hAnsi="Times New Roman" w:cs="Times New Roman"/>
                <w:b/>
                <w:bCs/>
              </w:rPr>
            </w:pPr>
            <w:r w:rsidRPr="00025E77">
              <w:rPr>
                <w:rFonts w:ascii="Times New Roman" w:hAnsi="Times New Roman" w:cs="Times New Roman"/>
                <w:b/>
                <w:bCs/>
              </w:rPr>
              <w:t>Risk Category</w:t>
            </w:r>
          </w:p>
          <w:p w14:paraId="5F9E5F9A" w14:textId="77777777" w:rsidR="00B63AFB" w:rsidRDefault="00B63AFB" w:rsidP="00B63AFB">
            <w:pPr>
              <w:spacing w:line="360" w:lineRule="auto"/>
              <w:jc w:val="both"/>
              <w:rPr>
                <w:rFonts w:ascii="Times New Roman" w:hAnsi="Times New Roman" w:cs="Times New Roman"/>
              </w:rPr>
            </w:pPr>
          </w:p>
        </w:tc>
        <w:tc>
          <w:tcPr>
            <w:tcW w:w="3006" w:type="dxa"/>
          </w:tcPr>
          <w:p w14:paraId="405265ED" w14:textId="77777777" w:rsidR="00B63AFB" w:rsidRPr="00E60FBC" w:rsidRDefault="00B63AFB" w:rsidP="00B63AFB">
            <w:pPr>
              <w:spacing w:line="360" w:lineRule="auto"/>
              <w:jc w:val="center"/>
              <w:rPr>
                <w:rFonts w:ascii="Times New Roman" w:hAnsi="Times New Roman" w:cs="Times New Roman"/>
                <w:b/>
                <w:bCs/>
              </w:rPr>
            </w:pPr>
            <w:r w:rsidRPr="00E60FBC">
              <w:rPr>
                <w:rFonts w:ascii="Times New Roman" w:hAnsi="Times New Roman" w:cs="Times New Roman"/>
                <w:b/>
                <w:bCs/>
              </w:rPr>
              <w:t>Mean GFR (ml/min)</w:t>
            </w:r>
          </w:p>
          <w:p w14:paraId="59C675E1" w14:textId="77777777" w:rsidR="00B63AFB" w:rsidRDefault="00B63AFB" w:rsidP="00B63AFB">
            <w:pPr>
              <w:spacing w:line="360" w:lineRule="auto"/>
              <w:jc w:val="both"/>
              <w:rPr>
                <w:rFonts w:ascii="Times New Roman" w:hAnsi="Times New Roman" w:cs="Times New Roman"/>
              </w:rPr>
            </w:pPr>
          </w:p>
        </w:tc>
      </w:tr>
      <w:tr w:rsidR="00B63AFB" w14:paraId="21ADC0BA" w14:textId="77777777">
        <w:tc>
          <w:tcPr>
            <w:tcW w:w="3005" w:type="dxa"/>
          </w:tcPr>
          <w:p w14:paraId="3192A042" w14:textId="202CB481" w:rsidR="00B63AFB" w:rsidRDefault="00B63AFB" w:rsidP="00B63AFB">
            <w:pPr>
              <w:spacing w:line="360" w:lineRule="auto"/>
              <w:jc w:val="both"/>
              <w:rPr>
                <w:rFonts w:ascii="Times New Roman" w:hAnsi="Times New Roman" w:cs="Times New Roman"/>
              </w:rPr>
            </w:pPr>
            <w:r w:rsidRPr="00E60FBC">
              <w:rPr>
                <w:rFonts w:ascii="Times New Roman" w:hAnsi="Times New Roman" w:cs="Times New Roman"/>
              </w:rPr>
              <w:t>&lt;12</w:t>
            </w:r>
          </w:p>
        </w:tc>
        <w:tc>
          <w:tcPr>
            <w:tcW w:w="3005" w:type="dxa"/>
          </w:tcPr>
          <w:p w14:paraId="611AC550" w14:textId="6E157B79" w:rsidR="00B63AFB" w:rsidRDefault="00B63AFB" w:rsidP="00B63AFB">
            <w:pPr>
              <w:spacing w:line="360" w:lineRule="auto"/>
              <w:jc w:val="both"/>
              <w:rPr>
                <w:rFonts w:ascii="Times New Roman" w:hAnsi="Times New Roman" w:cs="Times New Roman"/>
              </w:rPr>
            </w:pPr>
            <w:r w:rsidRPr="00E60FBC">
              <w:rPr>
                <w:rFonts w:ascii="Times New Roman" w:hAnsi="Times New Roman" w:cs="Times New Roman"/>
              </w:rPr>
              <w:t>Low</w:t>
            </w:r>
          </w:p>
        </w:tc>
        <w:tc>
          <w:tcPr>
            <w:tcW w:w="3006" w:type="dxa"/>
          </w:tcPr>
          <w:p w14:paraId="5B1076E3" w14:textId="492EBD27" w:rsidR="00B63AFB" w:rsidRDefault="00B63AFB" w:rsidP="00B63AFB">
            <w:pPr>
              <w:spacing w:line="360" w:lineRule="auto"/>
              <w:jc w:val="both"/>
              <w:rPr>
                <w:rFonts w:ascii="Times New Roman" w:hAnsi="Times New Roman" w:cs="Times New Roman"/>
              </w:rPr>
            </w:pPr>
            <w:r w:rsidRPr="00E60FBC">
              <w:rPr>
                <w:rFonts w:ascii="Times New Roman" w:hAnsi="Times New Roman" w:cs="Times New Roman"/>
              </w:rPr>
              <w:t>108.5</w:t>
            </w:r>
          </w:p>
        </w:tc>
      </w:tr>
      <w:tr w:rsidR="00B63AFB" w14:paraId="0DC00F3A" w14:textId="77777777">
        <w:tc>
          <w:tcPr>
            <w:tcW w:w="3005" w:type="dxa"/>
          </w:tcPr>
          <w:p w14:paraId="21C76661" w14:textId="211B6619" w:rsidR="00B63AFB" w:rsidRDefault="00B63AFB" w:rsidP="00B63AFB">
            <w:pPr>
              <w:spacing w:line="360" w:lineRule="auto"/>
              <w:jc w:val="both"/>
              <w:rPr>
                <w:rFonts w:ascii="Times New Roman" w:hAnsi="Times New Roman" w:cs="Times New Roman"/>
              </w:rPr>
            </w:pPr>
            <w:r w:rsidRPr="00E60FBC">
              <w:rPr>
                <w:rFonts w:ascii="Times New Roman" w:hAnsi="Times New Roman" w:cs="Times New Roman"/>
              </w:rPr>
              <w:t>12–14.9</w:t>
            </w:r>
          </w:p>
        </w:tc>
        <w:tc>
          <w:tcPr>
            <w:tcW w:w="3005" w:type="dxa"/>
          </w:tcPr>
          <w:p w14:paraId="79AF63A9" w14:textId="33289A42" w:rsidR="00B63AFB" w:rsidRDefault="00B63AFB" w:rsidP="00B63AFB">
            <w:pPr>
              <w:spacing w:line="360" w:lineRule="auto"/>
              <w:jc w:val="both"/>
              <w:rPr>
                <w:rFonts w:ascii="Times New Roman" w:hAnsi="Times New Roman" w:cs="Times New Roman"/>
              </w:rPr>
            </w:pPr>
            <w:r w:rsidRPr="00E60FBC">
              <w:rPr>
                <w:rFonts w:ascii="Times New Roman" w:hAnsi="Times New Roman" w:cs="Times New Roman"/>
              </w:rPr>
              <w:t>Moderate</w:t>
            </w:r>
          </w:p>
        </w:tc>
        <w:tc>
          <w:tcPr>
            <w:tcW w:w="3006" w:type="dxa"/>
          </w:tcPr>
          <w:p w14:paraId="588F5516" w14:textId="37B2B343" w:rsidR="00B63AFB" w:rsidRDefault="00B63AFB" w:rsidP="00B63AFB">
            <w:pPr>
              <w:spacing w:line="360" w:lineRule="auto"/>
              <w:jc w:val="both"/>
              <w:rPr>
                <w:rFonts w:ascii="Times New Roman" w:hAnsi="Times New Roman" w:cs="Times New Roman"/>
              </w:rPr>
            </w:pPr>
            <w:r w:rsidRPr="00E60FBC">
              <w:rPr>
                <w:rFonts w:ascii="Times New Roman" w:hAnsi="Times New Roman" w:cs="Times New Roman"/>
              </w:rPr>
              <w:t>84.2</w:t>
            </w:r>
          </w:p>
        </w:tc>
      </w:tr>
      <w:tr w:rsidR="00B63AFB" w14:paraId="4057CEEC" w14:textId="77777777">
        <w:tc>
          <w:tcPr>
            <w:tcW w:w="3005" w:type="dxa"/>
          </w:tcPr>
          <w:p w14:paraId="1C14DC92" w14:textId="5D93F0A6" w:rsidR="00B63AFB" w:rsidRDefault="00B63AFB" w:rsidP="00B63AFB">
            <w:pPr>
              <w:spacing w:line="360" w:lineRule="auto"/>
              <w:jc w:val="both"/>
              <w:rPr>
                <w:rFonts w:ascii="Times New Roman" w:hAnsi="Times New Roman" w:cs="Times New Roman"/>
              </w:rPr>
            </w:pPr>
            <w:r w:rsidRPr="00E60FBC">
              <w:rPr>
                <w:rFonts w:ascii="Times New Roman" w:hAnsi="Times New Roman" w:cs="Times New Roman"/>
              </w:rPr>
              <w:t>≥15</w:t>
            </w:r>
          </w:p>
        </w:tc>
        <w:tc>
          <w:tcPr>
            <w:tcW w:w="3005" w:type="dxa"/>
          </w:tcPr>
          <w:p w14:paraId="675E7EDD" w14:textId="0F83EBF2" w:rsidR="00B63AFB" w:rsidRDefault="00B63AFB" w:rsidP="00B63AFB">
            <w:pPr>
              <w:spacing w:line="360" w:lineRule="auto"/>
              <w:jc w:val="both"/>
              <w:rPr>
                <w:rFonts w:ascii="Times New Roman" w:hAnsi="Times New Roman" w:cs="Times New Roman"/>
              </w:rPr>
            </w:pPr>
            <w:r w:rsidRPr="00E60FBC">
              <w:rPr>
                <w:rFonts w:ascii="Times New Roman" w:hAnsi="Times New Roman" w:cs="Times New Roman"/>
              </w:rPr>
              <w:t>High</w:t>
            </w:r>
          </w:p>
        </w:tc>
        <w:tc>
          <w:tcPr>
            <w:tcW w:w="3006" w:type="dxa"/>
          </w:tcPr>
          <w:p w14:paraId="2F35DC79" w14:textId="52FF5C02" w:rsidR="00B63AFB" w:rsidRDefault="00B63AFB" w:rsidP="00B63AFB">
            <w:pPr>
              <w:spacing w:line="360" w:lineRule="auto"/>
              <w:jc w:val="both"/>
              <w:rPr>
                <w:rFonts w:ascii="Times New Roman" w:hAnsi="Times New Roman" w:cs="Times New Roman"/>
              </w:rPr>
            </w:pPr>
            <w:r w:rsidRPr="00E60FBC">
              <w:rPr>
                <w:rFonts w:ascii="Times New Roman" w:hAnsi="Times New Roman" w:cs="Times New Roman"/>
              </w:rPr>
              <w:t>54.7</w:t>
            </w:r>
          </w:p>
        </w:tc>
      </w:tr>
    </w:tbl>
    <w:p w14:paraId="243AE936" w14:textId="77777777" w:rsidR="00B63AFB" w:rsidRDefault="00B63AFB" w:rsidP="00E60FBC">
      <w:pPr>
        <w:spacing w:line="360" w:lineRule="auto"/>
        <w:jc w:val="both"/>
        <w:rPr>
          <w:rFonts w:ascii="Times New Roman" w:hAnsi="Times New Roman" w:cs="Times New Roman"/>
        </w:rPr>
      </w:pPr>
    </w:p>
    <w:p w14:paraId="488E88E5" w14:textId="51D6F1A4" w:rsidR="009B008E" w:rsidRPr="0047375C" w:rsidRDefault="0047375C" w:rsidP="0047375C">
      <w:pPr>
        <w:spacing w:line="360" w:lineRule="auto"/>
        <w:jc w:val="center"/>
        <w:rPr>
          <w:rFonts w:ascii="Times New Roman" w:hAnsi="Times New Roman" w:cs="Times New Roman"/>
          <w:b/>
          <w:bCs/>
        </w:rPr>
      </w:pPr>
      <w:r w:rsidRPr="00F84BE0">
        <w:rPr>
          <w:rFonts w:ascii="Times New Roman" w:hAnsi="Times New Roman" w:cs="Times New Roman"/>
          <w:b/>
          <w:bCs/>
        </w:rPr>
        <w:t xml:space="preserve">Table </w:t>
      </w:r>
      <w:r>
        <w:rPr>
          <w:rFonts w:ascii="Times New Roman" w:hAnsi="Times New Roman" w:cs="Times New Roman"/>
          <w:b/>
          <w:bCs/>
        </w:rPr>
        <w:t xml:space="preserve">4. </w:t>
      </w:r>
      <w:r w:rsidRPr="00F84BE0">
        <w:rPr>
          <w:rFonts w:ascii="Times New Roman" w:hAnsi="Times New Roman" w:cs="Times New Roman"/>
          <w:b/>
          <w:bCs/>
        </w:rPr>
        <w:t>Anthropometric Parameters by CKD Risk Clusters</w:t>
      </w:r>
    </w:p>
    <w:tbl>
      <w:tblPr>
        <w:tblpPr w:leftFromText="180" w:rightFromText="180" w:vertAnchor="text" w:horzAnchor="margin" w:tblpXSpec="right" w:tblpY="330"/>
        <w:tblW w:w="9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17"/>
        <w:gridCol w:w="2229"/>
        <w:gridCol w:w="2423"/>
        <w:gridCol w:w="2193"/>
        <w:gridCol w:w="996"/>
      </w:tblGrid>
      <w:tr w:rsidR="00194F05" w:rsidRPr="00F84BE0" w14:paraId="3AC2A249" w14:textId="77777777" w:rsidTr="00194F05">
        <w:trPr>
          <w:trHeight w:val="989"/>
          <w:tblHeader/>
        </w:trPr>
        <w:tc>
          <w:tcPr>
            <w:tcW w:w="1817" w:type="dxa"/>
            <w:tcMar>
              <w:top w:w="150" w:type="dxa"/>
              <w:left w:w="0" w:type="dxa"/>
              <w:bottom w:w="150" w:type="dxa"/>
              <w:right w:w="150" w:type="dxa"/>
            </w:tcMar>
            <w:vAlign w:val="center"/>
            <w:hideMark/>
          </w:tcPr>
          <w:p w14:paraId="4BFF6747" w14:textId="77777777" w:rsidR="00194F05" w:rsidRPr="00F84BE0" w:rsidRDefault="00194F05" w:rsidP="00194F05">
            <w:pPr>
              <w:spacing w:line="360" w:lineRule="auto"/>
              <w:jc w:val="both"/>
              <w:rPr>
                <w:rFonts w:ascii="Times New Roman" w:hAnsi="Times New Roman" w:cs="Times New Roman"/>
                <w:b/>
                <w:bCs/>
              </w:rPr>
            </w:pPr>
            <w:r w:rsidRPr="00F84BE0">
              <w:rPr>
                <w:rFonts w:ascii="Times New Roman" w:hAnsi="Times New Roman" w:cs="Times New Roman"/>
                <w:b/>
                <w:bCs/>
              </w:rPr>
              <w:t>Parameter</w:t>
            </w:r>
          </w:p>
        </w:tc>
        <w:tc>
          <w:tcPr>
            <w:tcW w:w="2229" w:type="dxa"/>
            <w:tcMar>
              <w:top w:w="150" w:type="dxa"/>
              <w:left w:w="150" w:type="dxa"/>
              <w:bottom w:w="150" w:type="dxa"/>
              <w:right w:w="150" w:type="dxa"/>
            </w:tcMar>
            <w:vAlign w:val="center"/>
            <w:hideMark/>
          </w:tcPr>
          <w:p w14:paraId="2029F107" w14:textId="77777777" w:rsidR="00194F05" w:rsidRPr="00F84BE0" w:rsidRDefault="00194F05" w:rsidP="00194F05">
            <w:pPr>
              <w:spacing w:line="360" w:lineRule="auto"/>
              <w:jc w:val="both"/>
              <w:rPr>
                <w:rFonts w:ascii="Times New Roman" w:hAnsi="Times New Roman" w:cs="Times New Roman"/>
                <w:b/>
                <w:bCs/>
              </w:rPr>
            </w:pPr>
            <w:r w:rsidRPr="00F84BE0">
              <w:rPr>
                <w:rFonts w:ascii="Times New Roman" w:hAnsi="Times New Roman" w:cs="Times New Roman"/>
                <w:b/>
                <w:bCs/>
              </w:rPr>
              <w:t>Cluster</w:t>
            </w:r>
            <w:r>
              <w:rPr>
                <w:rFonts w:ascii="Times New Roman" w:hAnsi="Times New Roman" w:cs="Times New Roman"/>
                <w:b/>
                <w:bCs/>
              </w:rPr>
              <w:t xml:space="preserve"> </w:t>
            </w:r>
            <w:r w:rsidRPr="00F84BE0">
              <w:rPr>
                <w:rFonts w:ascii="Times New Roman" w:hAnsi="Times New Roman" w:cs="Times New Roman"/>
                <w:b/>
                <w:bCs/>
              </w:rPr>
              <w:t>1: Normal (n=72)</w:t>
            </w:r>
          </w:p>
        </w:tc>
        <w:tc>
          <w:tcPr>
            <w:tcW w:w="2423" w:type="dxa"/>
            <w:tcMar>
              <w:top w:w="150" w:type="dxa"/>
              <w:left w:w="150" w:type="dxa"/>
              <w:bottom w:w="150" w:type="dxa"/>
              <w:right w:w="150" w:type="dxa"/>
            </w:tcMar>
            <w:vAlign w:val="center"/>
            <w:hideMark/>
          </w:tcPr>
          <w:p w14:paraId="0410520B" w14:textId="77777777" w:rsidR="00194F05" w:rsidRPr="00F84BE0" w:rsidRDefault="00194F05" w:rsidP="00194F05">
            <w:pPr>
              <w:spacing w:line="360" w:lineRule="auto"/>
              <w:jc w:val="both"/>
              <w:rPr>
                <w:rFonts w:ascii="Times New Roman" w:hAnsi="Times New Roman" w:cs="Times New Roman"/>
                <w:b/>
                <w:bCs/>
              </w:rPr>
            </w:pPr>
            <w:r w:rsidRPr="00F84BE0">
              <w:rPr>
                <w:rFonts w:ascii="Times New Roman" w:hAnsi="Times New Roman" w:cs="Times New Roman"/>
                <w:b/>
                <w:bCs/>
              </w:rPr>
              <w:t>Cluster</w:t>
            </w:r>
            <w:r>
              <w:rPr>
                <w:rFonts w:ascii="Times New Roman" w:hAnsi="Times New Roman" w:cs="Times New Roman"/>
                <w:b/>
                <w:bCs/>
              </w:rPr>
              <w:t xml:space="preserve"> </w:t>
            </w:r>
            <w:r w:rsidRPr="00F84BE0">
              <w:rPr>
                <w:rFonts w:ascii="Times New Roman" w:hAnsi="Times New Roman" w:cs="Times New Roman"/>
                <w:b/>
                <w:bCs/>
              </w:rPr>
              <w:t>2: Metabolic Acidosis (n=58)</w:t>
            </w:r>
          </w:p>
        </w:tc>
        <w:tc>
          <w:tcPr>
            <w:tcW w:w="2193" w:type="dxa"/>
            <w:tcMar>
              <w:top w:w="150" w:type="dxa"/>
              <w:left w:w="150" w:type="dxa"/>
              <w:bottom w:w="150" w:type="dxa"/>
              <w:right w:w="150" w:type="dxa"/>
            </w:tcMar>
            <w:vAlign w:val="center"/>
            <w:hideMark/>
          </w:tcPr>
          <w:p w14:paraId="012821D4" w14:textId="77777777" w:rsidR="00194F05" w:rsidRPr="00F84BE0" w:rsidRDefault="00194F05" w:rsidP="00194F05">
            <w:pPr>
              <w:spacing w:line="360" w:lineRule="auto"/>
              <w:jc w:val="both"/>
              <w:rPr>
                <w:rFonts w:ascii="Times New Roman" w:hAnsi="Times New Roman" w:cs="Times New Roman"/>
                <w:b/>
                <w:bCs/>
              </w:rPr>
            </w:pPr>
            <w:r w:rsidRPr="00F84BE0">
              <w:rPr>
                <w:rFonts w:ascii="Times New Roman" w:hAnsi="Times New Roman" w:cs="Times New Roman"/>
                <w:b/>
                <w:bCs/>
              </w:rPr>
              <w:t>Cluster 3: Cardio-Renal (n=70)</w:t>
            </w:r>
          </w:p>
        </w:tc>
        <w:tc>
          <w:tcPr>
            <w:tcW w:w="996" w:type="dxa"/>
            <w:tcMar>
              <w:top w:w="150" w:type="dxa"/>
              <w:left w:w="150" w:type="dxa"/>
              <w:bottom w:w="150" w:type="dxa"/>
              <w:right w:w="150" w:type="dxa"/>
            </w:tcMar>
            <w:vAlign w:val="center"/>
            <w:hideMark/>
          </w:tcPr>
          <w:p w14:paraId="7BA66D79" w14:textId="77777777" w:rsidR="00194F05" w:rsidRPr="00F84BE0" w:rsidRDefault="00194F05" w:rsidP="00194F05">
            <w:pPr>
              <w:spacing w:line="360" w:lineRule="auto"/>
              <w:jc w:val="both"/>
              <w:rPr>
                <w:rFonts w:ascii="Times New Roman" w:hAnsi="Times New Roman" w:cs="Times New Roman"/>
                <w:b/>
                <w:bCs/>
              </w:rPr>
            </w:pPr>
            <w:r w:rsidRPr="00F84BE0">
              <w:rPr>
                <w:rFonts w:ascii="Times New Roman" w:hAnsi="Times New Roman" w:cs="Times New Roman"/>
                <w:b/>
                <w:bCs/>
              </w:rPr>
              <w:t>p-value</w:t>
            </w:r>
          </w:p>
        </w:tc>
      </w:tr>
      <w:tr w:rsidR="00194F05" w:rsidRPr="00F84BE0" w14:paraId="4036EE78" w14:textId="77777777" w:rsidTr="00194F05">
        <w:trPr>
          <w:trHeight w:val="392"/>
        </w:trPr>
        <w:tc>
          <w:tcPr>
            <w:tcW w:w="1817" w:type="dxa"/>
            <w:tcMar>
              <w:top w:w="150" w:type="dxa"/>
              <w:left w:w="0" w:type="dxa"/>
              <w:bottom w:w="150" w:type="dxa"/>
              <w:right w:w="150" w:type="dxa"/>
            </w:tcMar>
            <w:vAlign w:val="center"/>
            <w:hideMark/>
          </w:tcPr>
          <w:p w14:paraId="57D89C1E" w14:textId="77777777" w:rsidR="00194F05" w:rsidRPr="00F84BE0" w:rsidRDefault="00194F05" w:rsidP="00194F05">
            <w:pPr>
              <w:spacing w:line="360" w:lineRule="auto"/>
              <w:jc w:val="both"/>
              <w:rPr>
                <w:rFonts w:ascii="Times New Roman" w:hAnsi="Times New Roman" w:cs="Times New Roman"/>
              </w:rPr>
            </w:pPr>
            <w:r w:rsidRPr="00F84BE0">
              <w:rPr>
                <w:rFonts w:ascii="Times New Roman" w:hAnsi="Times New Roman" w:cs="Times New Roman"/>
              </w:rPr>
              <w:t>Age (years)</w:t>
            </w:r>
          </w:p>
        </w:tc>
        <w:tc>
          <w:tcPr>
            <w:tcW w:w="2229" w:type="dxa"/>
            <w:tcMar>
              <w:top w:w="150" w:type="dxa"/>
              <w:left w:w="150" w:type="dxa"/>
              <w:bottom w:w="150" w:type="dxa"/>
              <w:right w:w="150" w:type="dxa"/>
            </w:tcMar>
            <w:vAlign w:val="center"/>
            <w:hideMark/>
          </w:tcPr>
          <w:p w14:paraId="2BE9FD52" w14:textId="77777777" w:rsidR="00194F05" w:rsidRPr="00F84BE0" w:rsidRDefault="00194F05" w:rsidP="00194F05">
            <w:pPr>
              <w:spacing w:line="360" w:lineRule="auto"/>
              <w:jc w:val="both"/>
              <w:rPr>
                <w:rFonts w:ascii="Times New Roman" w:hAnsi="Times New Roman" w:cs="Times New Roman"/>
              </w:rPr>
            </w:pPr>
            <w:r w:rsidRPr="00F84BE0">
              <w:rPr>
                <w:rFonts w:ascii="Times New Roman" w:hAnsi="Times New Roman" w:cs="Times New Roman"/>
              </w:rPr>
              <w:t>42.3 ± 10.1</w:t>
            </w:r>
          </w:p>
        </w:tc>
        <w:tc>
          <w:tcPr>
            <w:tcW w:w="2423" w:type="dxa"/>
            <w:tcMar>
              <w:top w:w="150" w:type="dxa"/>
              <w:left w:w="150" w:type="dxa"/>
              <w:bottom w:w="150" w:type="dxa"/>
              <w:right w:w="150" w:type="dxa"/>
            </w:tcMar>
            <w:vAlign w:val="center"/>
            <w:hideMark/>
          </w:tcPr>
          <w:p w14:paraId="4AA80523" w14:textId="77777777" w:rsidR="00194F05" w:rsidRPr="00F84BE0" w:rsidRDefault="00194F05" w:rsidP="00194F05">
            <w:pPr>
              <w:spacing w:line="360" w:lineRule="auto"/>
              <w:jc w:val="both"/>
              <w:rPr>
                <w:rFonts w:ascii="Times New Roman" w:hAnsi="Times New Roman" w:cs="Times New Roman"/>
              </w:rPr>
            </w:pPr>
            <w:r w:rsidRPr="00F84BE0">
              <w:rPr>
                <w:rFonts w:ascii="Times New Roman" w:hAnsi="Times New Roman" w:cs="Times New Roman"/>
              </w:rPr>
              <w:t>49.8 ± 11.4</w:t>
            </w:r>
          </w:p>
        </w:tc>
        <w:tc>
          <w:tcPr>
            <w:tcW w:w="2193" w:type="dxa"/>
            <w:tcMar>
              <w:top w:w="150" w:type="dxa"/>
              <w:left w:w="150" w:type="dxa"/>
              <w:bottom w:w="150" w:type="dxa"/>
              <w:right w:w="150" w:type="dxa"/>
            </w:tcMar>
            <w:vAlign w:val="center"/>
            <w:hideMark/>
          </w:tcPr>
          <w:p w14:paraId="2AD9DB18" w14:textId="77777777" w:rsidR="00194F05" w:rsidRPr="00F84BE0" w:rsidRDefault="00194F05" w:rsidP="00194F05">
            <w:pPr>
              <w:spacing w:line="360" w:lineRule="auto"/>
              <w:jc w:val="both"/>
              <w:rPr>
                <w:rFonts w:ascii="Times New Roman" w:hAnsi="Times New Roman" w:cs="Times New Roman"/>
              </w:rPr>
            </w:pPr>
            <w:r w:rsidRPr="00F84BE0">
              <w:rPr>
                <w:rFonts w:ascii="Times New Roman" w:hAnsi="Times New Roman" w:cs="Times New Roman"/>
              </w:rPr>
              <w:t>53.2 ± 12.8</w:t>
            </w:r>
          </w:p>
        </w:tc>
        <w:tc>
          <w:tcPr>
            <w:tcW w:w="996" w:type="dxa"/>
            <w:tcMar>
              <w:top w:w="150" w:type="dxa"/>
              <w:left w:w="150" w:type="dxa"/>
              <w:bottom w:w="150" w:type="dxa"/>
              <w:right w:w="150" w:type="dxa"/>
            </w:tcMar>
            <w:vAlign w:val="center"/>
            <w:hideMark/>
          </w:tcPr>
          <w:p w14:paraId="02B6F739" w14:textId="77777777" w:rsidR="00194F05" w:rsidRPr="00F84BE0" w:rsidRDefault="00194F05" w:rsidP="00194F05">
            <w:pPr>
              <w:spacing w:line="360" w:lineRule="auto"/>
              <w:jc w:val="both"/>
              <w:rPr>
                <w:rFonts w:ascii="Times New Roman" w:hAnsi="Times New Roman" w:cs="Times New Roman"/>
              </w:rPr>
            </w:pPr>
            <w:r w:rsidRPr="00F84BE0">
              <w:rPr>
                <w:rFonts w:ascii="Times New Roman" w:hAnsi="Times New Roman" w:cs="Times New Roman"/>
              </w:rPr>
              <w:t>&lt;0.001</w:t>
            </w:r>
          </w:p>
        </w:tc>
      </w:tr>
      <w:tr w:rsidR="00194F05" w:rsidRPr="00F84BE0" w14:paraId="375D7E08" w14:textId="77777777" w:rsidTr="00194F05">
        <w:trPr>
          <w:trHeight w:val="579"/>
        </w:trPr>
        <w:tc>
          <w:tcPr>
            <w:tcW w:w="1817" w:type="dxa"/>
            <w:tcMar>
              <w:top w:w="150" w:type="dxa"/>
              <w:left w:w="0" w:type="dxa"/>
              <w:bottom w:w="150" w:type="dxa"/>
              <w:right w:w="150" w:type="dxa"/>
            </w:tcMar>
            <w:vAlign w:val="center"/>
            <w:hideMark/>
          </w:tcPr>
          <w:p w14:paraId="1667443F" w14:textId="77777777" w:rsidR="00194F05" w:rsidRPr="00F84BE0" w:rsidRDefault="00194F05" w:rsidP="00194F05">
            <w:pPr>
              <w:spacing w:line="360" w:lineRule="auto"/>
              <w:jc w:val="both"/>
              <w:rPr>
                <w:rFonts w:ascii="Times New Roman" w:hAnsi="Times New Roman" w:cs="Times New Roman"/>
              </w:rPr>
            </w:pPr>
            <w:r w:rsidRPr="00F84BE0">
              <w:rPr>
                <w:rFonts w:ascii="Times New Roman" w:hAnsi="Times New Roman" w:cs="Times New Roman"/>
              </w:rPr>
              <w:t>BMI (kg/m²)</w:t>
            </w:r>
          </w:p>
        </w:tc>
        <w:tc>
          <w:tcPr>
            <w:tcW w:w="2229" w:type="dxa"/>
            <w:tcMar>
              <w:top w:w="150" w:type="dxa"/>
              <w:left w:w="150" w:type="dxa"/>
              <w:bottom w:w="150" w:type="dxa"/>
              <w:right w:w="150" w:type="dxa"/>
            </w:tcMar>
            <w:vAlign w:val="center"/>
            <w:hideMark/>
          </w:tcPr>
          <w:p w14:paraId="12B1D66B" w14:textId="77777777" w:rsidR="00194F05" w:rsidRPr="00F84BE0" w:rsidRDefault="00194F05" w:rsidP="00194F05">
            <w:pPr>
              <w:spacing w:line="360" w:lineRule="auto"/>
              <w:jc w:val="both"/>
              <w:rPr>
                <w:rFonts w:ascii="Times New Roman" w:hAnsi="Times New Roman" w:cs="Times New Roman"/>
              </w:rPr>
            </w:pPr>
            <w:r w:rsidRPr="00F84BE0">
              <w:rPr>
                <w:rFonts w:ascii="Times New Roman" w:hAnsi="Times New Roman" w:cs="Times New Roman"/>
              </w:rPr>
              <w:t>22.4 ± 3.8</w:t>
            </w:r>
          </w:p>
        </w:tc>
        <w:tc>
          <w:tcPr>
            <w:tcW w:w="2423" w:type="dxa"/>
            <w:tcMar>
              <w:top w:w="150" w:type="dxa"/>
              <w:left w:w="150" w:type="dxa"/>
              <w:bottom w:w="150" w:type="dxa"/>
              <w:right w:w="150" w:type="dxa"/>
            </w:tcMar>
            <w:vAlign w:val="center"/>
            <w:hideMark/>
          </w:tcPr>
          <w:p w14:paraId="4B7B7CD2" w14:textId="77777777" w:rsidR="00194F05" w:rsidRPr="00F84BE0" w:rsidRDefault="00194F05" w:rsidP="00194F05">
            <w:pPr>
              <w:spacing w:line="360" w:lineRule="auto"/>
              <w:jc w:val="both"/>
              <w:rPr>
                <w:rFonts w:ascii="Times New Roman" w:hAnsi="Times New Roman" w:cs="Times New Roman"/>
              </w:rPr>
            </w:pPr>
            <w:r w:rsidRPr="00F84BE0">
              <w:rPr>
                <w:rFonts w:ascii="Times New Roman" w:hAnsi="Times New Roman" w:cs="Times New Roman"/>
              </w:rPr>
              <w:t>23.0 ± 4.1</w:t>
            </w:r>
          </w:p>
        </w:tc>
        <w:tc>
          <w:tcPr>
            <w:tcW w:w="2193" w:type="dxa"/>
            <w:tcMar>
              <w:top w:w="150" w:type="dxa"/>
              <w:left w:w="150" w:type="dxa"/>
              <w:bottom w:w="150" w:type="dxa"/>
              <w:right w:w="150" w:type="dxa"/>
            </w:tcMar>
            <w:vAlign w:val="center"/>
            <w:hideMark/>
          </w:tcPr>
          <w:p w14:paraId="5B7055BC" w14:textId="77777777" w:rsidR="00194F05" w:rsidRPr="00F84BE0" w:rsidRDefault="00194F05" w:rsidP="00194F05">
            <w:pPr>
              <w:spacing w:line="360" w:lineRule="auto"/>
              <w:jc w:val="both"/>
              <w:rPr>
                <w:rFonts w:ascii="Times New Roman" w:hAnsi="Times New Roman" w:cs="Times New Roman"/>
              </w:rPr>
            </w:pPr>
            <w:r w:rsidRPr="00F84BE0">
              <w:rPr>
                <w:rFonts w:ascii="Times New Roman" w:hAnsi="Times New Roman" w:cs="Times New Roman"/>
              </w:rPr>
              <w:t>24.7 ± 4.9</w:t>
            </w:r>
          </w:p>
        </w:tc>
        <w:tc>
          <w:tcPr>
            <w:tcW w:w="996" w:type="dxa"/>
            <w:tcMar>
              <w:top w:w="150" w:type="dxa"/>
              <w:left w:w="150" w:type="dxa"/>
              <w:bottom w:w="150" w:type="dxa"/>
              <w:right w:w="150" w:type="dxa"/>
            </w:tcMar>
            <w:vAlign w:val="center"/>
            <w:hideMark/>
          </w:tcPr>
          <w:p w14:paraId="7F95F824" w14:textId="77777777" w:rsidR="00194F05" w:rsidRPr="00F84BE0" w:rsidRDefault="00194F05" w:rsidP="00194F05">
            <w:pPr>
              <w:spacing w:line="360" w:lineRule="auto"/>
              <w:jc w:val="both"/>
              <w:rPr>
                <w:rFonts w:ascii="Times New Roman" w:hAnsi="Times New Roman" w:cs="Times New Roman"/>
              </w:rPr>
            </w:pPr>
            <w:r w:rsidRPr="00F84BE0">
              <w:rPr>
                <w:rFonts w:ascii="Times New Roman" w:hAnsi="Times New Roman" w:cs="Times New Roman"/>
              </w:rPr>
              <w:t>0.004</w:t>
            </w:r>
          </w:p>
        </w:tc>
      </w:tr>
      <w:tr w:rsidR="00194F05" w:rsidRPr="00F84BE0" w14:paraId="1ACF0107" w14:textId="77777777" w:rsidTr="00194F05">
        <w:trPr>
          <w:trHeight w:val="570"/>
        </w:trPr>
        <w:tc>
          <w:tcPr>
            <w:tcW w:w="1817" w:type="dxa"/>
            <w:tcMar>
              <w:top w:w="150" w:type="dxa"/>
              <w:left w:w="0" w:type="dxa"/>
              <w:bottom w:w="150" w:type="dxa"/>
              <w:right w:w="150" w:type="dxa"/>
            </w:tcMar>
            <w:vAlign w:val="center"/>
            <w:hideMark/>
          </w:tcPr>
          <w:p w14:paraId="18B8C39D" w14:textId="77777777" w:rsidR="00194F05" w:rsidRPr="00F84BE0" w:rsidRDefault="00194F05" w:rsidP="00194F05">
            <w:pPr>
              <w:spacing w:line="360" w:lineRule="auto"/>
              <w:jc w:val="both"/>
              <w:rPr>
                <w:rFonts w:ascii="Times New Roman" w:hAnsi="Times New Roman" w:cs="Times New Roman"/>
              </w:rPr>
            </w:pPr>
            <w:r w:rsidRPr="00F84BE0">
              <w:rPr>
                <w:rFonts w:ascii="Times New Roman" w:hAnsi="Times New Roman" w:cs="Times New Roman"/>
              </w:rPr>
              <w:t>Waist-Hip Ratio</w:t>
            </w:r>
          </w:p>
        </w:tc>
        <w:tc>
          <w:tcPr>
            <w:tcW w:w="2229" w:type="dxa"/>
            <w:tcMar>
              <w:top w:w="150" w:type="dxa"/>
              <w:left w:w="150" w:type="dxa"/>
              <w:bottom w:w="150" w:type="dxa"/>
              <w:right w:w="150" w:type="dxa"/>
            </w:tcMar>
            <w:vAlign w:val="center"/>
            <w:hideMark/>
          </w:tcPr>
          <w:p w14:paraId="03351530" w14:textId="77777777" w:rsidR="00194F05" w:rsidRPr="00F84BE0" w:rsidRDefault="00194F05" w:rsidP="00194F05">
            <w:pPr>
              <w:spacing w:line="360" w:lineRule="auto"/>
              <w:jc w:val="both"/>
              <w:rPr>
                <w:rFonts w:ascii="Times New Roman" w:hAnsi="Times New Roman" w:cs="Times New Roman"/>
              </w:rPr>
            </w:pPr>
            <w:r w:rsidRPr="00F84BE0">
              <w:rPr>
                <w:rFonts w:ascii="Times New Roman" w:hAnsi="Times New Roman" w:cs="Times New Roman"/>
              </w:rPr>
              <w:t>0.88 ± 0.06</w:t>
            </w:r>
          </w:p>
        </w:tc>
        <w:tc>
          <w:tcPr>
            <w:tcW w:w="2423" w:type="dxa"/>
            <w:tcMar>
              <w:top w:w="150" w:type="dxa"/>
              <w:left w:w="150" w:type="dxa"/>
              <w:bottom w:w="150" w:type="dxa"/>
              <w:right w:w="150" w:type="dxa"/>
            </w:tcMar>
            <w:vAlign w:val="center"/>
            <w:hideMark/>
          </w:tcPr>
          <w:p w14:paraId="267A79ED" w14:textId="77777777" w:rsidR="00194F05" w:rsidRPr="00F84BE0" w:rsidRDefault="00194F05" w:rsidP="00194F05">
            <w:pPr>
              <w:spacing w:line="360" w:lineRule="auto"/>
              <w:jc w:val="both"/>
              <w:rPr>
                <w:rFonts w:ascii="Times New Roman" w:hAnsi="Times New Roman" w:cs="Times New Roman"/>
              </w:rPr>
            </w:pPr>
            <w:r w:rsidRPr="00F84BE0">
              <w:rPr>
                <w:rFonts w:ascii="Times New Roman" w:hAnsi="Times New Roman" w:cs="Times New Roman"/>
              </w:rPr>
              <w:t>0.91 ± 0.07</w:t>
            </w:r>
          </w:p>
        </w:tc>
        <w:tc>
          <w:tcPr>
            <w:tcW w:w="2193" w:type="dxa"/>
            <w:tcMar>
              <w:top w:w="150" w:type="dxa"/>
              <w:left w:w="150" w:type="dxa"/>
              <w:bottom w:w="150" w:type="dxa"/>
              <w:right w:w="150" w:type="dxa"/>
            </w:tcMar>
            <w:vAlign w:val="center"/>
            <w:hideMark/>
          </w:tcPr>
          <w:p w14:paraId="43A44860" w14:textId="77777777" w:rsidR="00194F05" w:rsidRPr="00F84BE0" w:rsidRDefault="00194F05" w:rsidP="00194F05">
            <w:pPr>
              <w:spacing w:line="360" w:lineRule="auto"/>
              <w:jc w:val="both"/>
              <w:rPr>
                <w:rFonts w:ascii="Times New Roman" w:hAnsi="Times New Roman" w:cs="Times New Roman"/>
              </w:rPr>
            </w:pPr>
            <w:r w:rsidRPr="00F84BE0">
              <w:rPr>
                <w:rFonts w:ascii="Times New Roman" w:hAnsi="Times New Roman" w:cs="Times New Roman"/>
              </w:rPr>
              <w:t>0.95 ± 0.08</w:t>
            </w:r>
          </w:p>
        </w:tc>
        <w:tc>
          <w:tcPr>
            <w:tcW w:w="996" w:type="dxa"/>
            <w:tcMar>
              <w:top w:w="150" w:type="dxa"/>
              <w:left w:w="150" w:type="dxa"/>
              <w:bottom w:w="150" w:type="dxa"/>
              <w:right w:w="150" w:type="dxa"/>
            </w:tcMar>
            <w:vAlign w:val="center"/>
            <w:hideMark/>
          </w:tcPr>
          <w:p w14:paraId="10795C1A" w14:textId="77777777" w:rsidR="00194F05" w:rsidRPr="00F84BE0" w:rsidRDefault="00194F05" w:rsidP="00194F05">
            <w:pPr>
              <w:spacing w:line="360" w:lineRule="auto"/>
              <w:jc w:val="both"/>
              <w:rPr>
                <w:rFonts w:ascii="Times New Roman" w:hAnsi="Times New Roman" w:cs="Times New Roman"/>
              </w:rPr>
            </w:pPr>
            <w:r w:rsidRPr="00F84BE0">
              <w:rPr>
                <w:rFonts w:ascii="Times New Roman" w:hAnsi="Times New Roman" w:cs="Times New Roman"/>
              </w:rPr>
              <w:t>&lt;0.001</w:t>
            </w:r>
          </w:p>
        </w:tc>
      </w:tr>
      <w:tr w:rsidR="00194F05" w:rsidRPr="00F84BE0" w14:paraId="1C6F3B43" w14:textId="77777777" w:rsidTr="00194F05">
        <w:trPr>
          <w:trHeight w:val="570"/>
        </w:trPr>
        <w:tc>
          <w:tcPr>
            <w:tcW w:w="1817" w:type="dxa"/>
            <w:tcMar>
              <w:top w:w="150" w:type="dxa"/>
              <w:left w:w="0" w:type="dxa"/>
              <w:bottom w:w="150" w:type="dxa"/>
              <w:right w:w="150" w:type="dxa"/>
            </w:tcMar>
            <w:vAlign w:val="center"/>
            <w:hideMark/>
          </w:tcPr>
          <w:p w14:paraId="12672A22" w14:textId="77777777" w:rsidR="00194F05" w:rsidRPr="00F84BE0" w:rsidRDefault="00194F05" w:rsidP="00194F05">
            <w:pPr>
              <w:spacing w:line="360" w:lineRule="auto"/>
              <w:jc w:val="both"/>
              <w:rPr>
                <w:rFonts w:ascii="Times New Roman" w:hAnsi="Times New Roman" w:cs="Times New Roman"/>
              </w:rPr>
            </w:pPr>
            <w:r w:rsidRPr="00F84BE0">
              <w:rPr>
                <w:rFonts w:ascii="Times New Roman" w:hAnsi="Times New Roman" w:cs="Times New Roman"/>
              </w:rPr>
              <w:t>Hypertension</w:t>
            </w:r>
          </w:p>
        </w:tc>
        <w:tc>
          <w:tcPr>
            <w:tcW w:w="2229" w:type="dxa"/>
            <w:tcMar>
              <w:top w:w="150" w:type="dxa"/>
              <w:left w:w="150" w:type="dxa"/>
              <w:bottom w:w="150" w:type="dxa"/>
              <w:right w:w="150" w:type="dxa"/>
            </w:tcMar>
            <w:vAlign w:val="center"/>
            <w:hideMark/>
          </w:tcPr>
          <w:p w14:paraId="1AC823DC" w14:textId="77777777" w:rsidR="00194F05" w:rsidRPr="00F84BE0" w:rsidRDefault="00194F05" w:rsidP="00194F05">
            <w:pPr>
              <w:spacing w:line="360" w:lineRule="auto"/>
              <w:jc w:val="both"/>
              <w:rPr>
                <w:rFonts w:ascii="Times New Roman" w:hAnsi="Times New Roman" w:cs="Times New Roman"/>
              </w:rPr>
            </w:pPr>
            <w:r w:rsidRPr="00F84BE0">
              <w:rPr>
                <w:rFonts w:ascii="Times New Roman" w:hAnsi="Times New Roman" w:cs="Times New Roman"/>
              </w:rPr>
              <w:t>18 (25%)</w:t>
            </w:r>
          </w:p>
        </w:tc>
        <w:tc>
          <w:tcPr>
            <w:tcW w:w="2423" w:type="dxa"/>
            <w:tcMar>
              <w:top w:w="150" w:type="dxa"/>
              <w:left w:w="150" w:type="dxa"/>
              <w:bottom w:w="150" w:type="dxa"/>
              <w:right w:w="150" w:type="dxa"/>
            </w:tcMar>
            <w:vAlign w:val="center"/>
            <w:hideMark/>
          </w:tcPr>
          <w:p w14:paraId="0B1469AB" w14:textId="77777777" w:rsidR="00194F05" w:rsidRPr="00F84BE0" w:rsidRDefault="00194F05" w:rsidP="00194F05">
            <w:pPr>
              <w:spacing w:line="360" w:lineRule="auto"/>
              <w:jc w:val="both"/>
              <w:rPr>
                <w:rFonts w:ascii="Times New Roman" w:hAnsi="Times New Roman" w:cs="Times New Roman"/>
              </w:rPr>
            </w:pPr>
            <w:r w:rsidRPr="00F84BE0">
              <w:rPr>
                <w:rFonts w:ascii="Times New Roman" w:hAnsi="Times New Roman" w:cs="Times New Roman"/>
              </w:rPr>
              <w:t>24 (41.4%)</w:t>
            </w:r>
          </w:p>
        </w:tc>
        <w:tc>
          <w:tcPr>
            <w:tcW w:w="2193" w:type="dxa"/>
            <w:tcMar>
              <w:top w:w="150" w:type="dxa"/>
              <w:left w:w="150" w:type="dxa"/>
              <w:bottom w:w="150" w:type="dxa"/>
              <w:right w:w="150" w:type="dxa"/>
            </w:tcMar>
            <w:vAlign w:val="center"/>
            <w:hideMark/>
          </w:tcPr>
          <w:p w14:paraId="2926882F" w14:textId="77777777" w:rsidR="00194F05" w:rsidRPr="00F84BE0" w:rsidRDefault="00194F05" w:rsidP="00194F05">
            <w:pPr>
              <w:spacing w:line="360" w:lineRule="auto"/>
              <w:jc w:val="both"/>
              <w:rPr>
                <w:rFonts w:ascii="Times New Roman" w:hAnsi="Times New Roman" w:cs="Times New Roman"/>
              </w:rPr>
            </w:pPr>
            <w:r w:rsidRPr="00F84BE0">
              <w:rPr>
                <w:rFonts w:ascii="Times New Roman" w:hAnsi="Times New Roman" w:cs="Times New Roman"/>
              </w:rPr>
              <w:t>39 (55.7%)</w:t>
            </w:r>
          </w:p>
        </w:tc>
        <w:tc>
          <w:tcPr>
            <w:tcW w:w="996" w:type="dxa"/>
            <w:tcMar>
              <w:top w:w="150" w:type="dxa"/>
              <w:left w:w="150" w:type="dxa"/>
              <w:bottom w:w="150" w:type="dxa"/>
              <w:right w:w="150" w:type="dxa"/>
            </w:tcMar>
            <w:vAlign w:val="center"/>
            <w:hideMark/>
          </w:tcPr>
          <w:p w14:paraId="46433C5B" w14:textId="77777777" w:rsidR="00194F05" w:rsidRPr="00F84BE0" w:rsidRDefault="00194F05" w:rsidP="00194F05">
            <w:pPr>
              <w:spacing w:line="360" w:lineRule="auto"/>
              <w:jc w:val="both"/>
              <w:rPr>
                <w:rFonts w:ascii="Times New Roman" w:hAnsi="Times New Roman" w:cs="Times New Roman"/>
              </w:rPr>
            </w:pPr>
            <w:r w:rsidRPr="00F84BE0">
              <w:rPr>
                <w:rFonts w:ascii="Times New Roman" w:hAnsi="Times New Roman" w:cs="Times New Roman"/>
              </w:rPr>
              <w:t>0.002</w:t>
            </w:r>
          </w:p>
        </w:tc>
      </w:tr>
      <w:tr w:rsidR="00194F05" w:rsidRPr="00F84BE0" w14:paraId="07F5BACD" w14:textId="77777777" w:rsidTr="00194F05">
        <w:trPr>
          <w:trHeight w:val="579"/>
        </w:trPr>
        <w:tc>
          <w:tcPr>
            <w:tcW w:w="1817" w:type="dxa"/>
            <w:tcMar>
              <w:top w:w="150" w:type="dxa"/>
              <w:left w:w="0" w:type="dxa"/>
              <w:bottom w:w="150" w:type="dxa"/>
              <w:right w:w="150" w:type="dxa"/>
            </w:tcMar>
            <w:vAlign w:val="center"/>
            <w:hideMark/>
          </w:tcPr>
          <w:p w14:paraId="724148C3" w14:textId="77777777" w:rsidR="00194F05" w:rsidRPr="00F84BE0" w:rsidRDefault="00194F05" w:rsidP="00194F05">
            <w:pPr>
              <w:spacing w:line="360" w:lineRule="auto"/>
              <w:jc w:val="both"/>
              <w:rPr>
                <w:rFonts w:ascii="Times New Roman" w:hAnsi="Times New Roman" w:cs="Times New Roman"/>
              </w:rPr>
            </w:pPr>
            <w:r w:rsidRPr="00F84BE0">
              <w:rPr>
                <w:rFonts w:ascii="Times New Roman" w:hAnsi="Times New Roman" w:cs="Times New Roman"/>
              </w:rPr>
              <w:lastRenderedPageBreak/>
              <w:t>Diabetes Mellitus</w:t>
            </w:r>
          </w:p>
        </w:tc>
        <w:tc>
          <w:tcPr>
            <w:tcW w:w="2229" w:type="dxa"/>
            <w:tcMar>
              <w:top w:w="150" w:type="dxa"/>
              <w:left w:w="150" w:type="dxa"/>
              <w:bottom w:w="150" w:type="dxa"/>
              <w:right w:w="150" w:type="dxa"/>
            </w:tcMar>
            <w:vAlign w:val="center"/>
            <w:hideMark/>
          </w:tcPr>
          <w:p w14:paraId="4D914F5C" w14:textId="77777777" w:rsidR="00194F05" w:rsidRPr="00F84BE0" w:rsidRDefault="00194F05" w:rsidP="00194F05">
            <w:pPr>
              <w:spacing w:line="360" w:lineRule="auto"/>
              <w:jc w:val="both"/>
              <w:rPr>
                <w:rFonts w:ascii="Times New Roman" w:hAnsi="Times New Roman" w:cs="Times New Roman"/>
              </w:rPr>
            </w:pPr>
            <w:r w:rsidRPr="00F84BE0">
              <w:rPr>
                <w:rFonts w:ascii="Times New Roman" w:hAnsi="Times New Roman" w:cs="Times New Roman"/>
              </w:rPr>
              <w:t>9 (12.5%)</w:t>
            </w:r>
          </w:p>
        </w:tc>
        <w:tc>
          <w:tcPr>
            <w:tcW w:w="2423" w:type="dxa"/>
            <w:tcMar>
              <w:top w:w="150" w:type="dxa"/>
              <w:left w:w="150" w:type="dxa"/>
              <w:bottom w:w="150" w:type="dxa"/>
              <w:right w:w="150" w:type="dxa"/>
            </w:tcMar>
            <w:vAlign w:val="center"/>
            <w:hideMark/>
          </w:tcPr>
          <w:p w14:paraId="5A9E5343" w14:textId="77777777" w:rsidR="00194F05" w:rsidRPr="00F84BE0" w:rsidRDefault="00194F05" w:rsidP="00194F05">
            <w:pPr>
              <w:spacing w:line="360" w:lineRule="auto"/>
              <w:jc w:val="both"/>
              <w:rPr>
                <w:rFonts w:ascii="Times New Roman" w:hAnsi="Times New Roman" w:cs="Times New Roman"/>
              </w:rPr>
            </w:pPr>
            <w:r w:rsidRPr="00F84BE0">
              <w:rPr>
                <w:rFonts w:ascii="Times New Roman" w:hAnsi="Times New Roman" w:cs="Times New Roman"/>
              </w:rPr>
              <w:t>15 (25.9%)</w:t>
            </w:r>
          </w:p>
        </w:tc>
        <w:tc>
          <w:tcPr>
            <w:tcW w:w="2193" w:type="dxa"/>
            <w:tcMar>
              <w:top w:w="150" w:type="dxa"/>
              <w:left w:w="150" w:type="dxa"/>
              <w:bottom w:w="150" w:type="dxa"/>
              <w:right w:w="150" w:type="dxa"/>
            </w:tcMar>
            <w:vAlign w:val="center"/>
            <w:hideMark/>
          </w:tcPr>
          <w:p w14:paraId="06ED1F30" w14:textId="77777777" w:rsidR="00194F05" w:rsidRPr="00F84BE0" w:rsidRDefault="00194F05" w:rsidP="00194F05">
            <w:pPr>
              <w:spacing w:line="360" w:lineRule="auto"/>
              <w:jc w:val="both"/>
              <w:rPr>
                <w:rFonts w:ascii="Times New Roman" w:hAnsi="Times New Roman" w:cs="Times New Roman"/>
              </w:rPr>
            </w:pPr>
            <w:r w:rsidRPr="00F84BE0">
              <w:rPr>
                <w:rFonts w:ascii="Times New Roman" w:hAnsi="Times New Roman" w:cs="Times New Roman"/>
              </w:rPr>
              <w:t>23 (32.9%)</w:t>
            </w:r>
          </w:p>
        </w:tc>
        <w:tc>
          <w:tcPr>
            <w:tcW w:w="996" w:type="dxa"/>
            <w:tcMar>
              <w:top w:w="150" w:type="dxa"/>
              <w:left w:w="150" w:type="dxa"/>
              <w:bottom w:w="150" w:type="dxa"/>
              <w:right w:w="150" w:type="dxa"/>
            </w:tcMar>
            <w:vAlign w:val="center"/>
            <w:hideMark/>
          </w:tcPr>
          <w:p w14:paraId="51D232DA" w14:textId="77777777" w:rsidR="00194F05" w:rsidRPr="00F84BE0" w:rsidRDefault="00194F05" w:rsidP="00194F05">
            <w:pPr>
              <w:spacing w:line="360" w:lineRule="auto"/>
              <w:jc w:val="both"/>
              <w:rPr>
                <w:rFonts w:ascii="Times New Roman" w:hAnsi="Times New Roman" w:cs="Times New Roman"/>
              </w:rPr>
            </w:pPr>
            <w:r w:rsidRPr="00F84BE0">
              <w:rPr>
                <w:rFonts w:ascii="Times New Roman" w:hAnsi="Times New Roman" w:cs="Times New Roman"/>
              </w:rPr>
              <w:t>0.018</w:t>
            </w:r>
          </w:p>
        </w:tc>
      </w:tr>
    </w:tbl>
    <w:p w14:paraId="3D772F30" w14:textId="77777777" w:rsidR="005E73F1" w:rsidRDefault="005E73F1" w:rsidP="00194F05">
      <w:pPr>
        <w:spacing w:line="360" w:lineRule="auto"/>
        <w:jc w:val="both"/>
        <w:rPr>
          <w:rFonts w:ascii="Times New Roman" w:hAnsi="Times New Roman" w:cs="Times New Roman"/>
        </w:rPr>
      </w:pPr>
    </w:p>
    <w:p w14:paraId="38B084DA" w14:textId="0EEC9DE9" w:rsidR="005E73F1" w:rsidRPr="005E73F1" w:rsidRDefault="005E73F1" w:rsidP="005E73F1">
      <w:pPr>
        <w:spacing w:line="360" w:lineRule="auto"/>
        <w:jc w:val="center"/>
        <w:rPr>
          <w:rFonts w:ascii="Times New Roman" w:hAnsi="Times New Roman" w:cs="Times New Roman"/>
          <w:b/>
          <w:bCs/>
        </w:rPr>
      </w:pPr>
      <w:r w:rsidRPr="005E73F1">
        <w:rPr>
          <w:rFonts w:ascii="Times New Roman" w:hAnsi="Times New Roman" w:cs="Times New Roman"/>
          <w:b/>
          <w:bCs/>
        </w:rPr>
        <w:t>Pie chart 1: Showing Cluster-based profiling</w:t>
      </w:r>
    </w:p>
    <w:p w14:paraId="00E51CB2" w14:textId="4A581840" w:rsidR="00A8181C" w:rsidRPr="00E60FBC" w:rsidRDefault="00A8181C" w:rsidP="00E60FBC">
      <w:pPr>
        <w:spacing w:line="360" w:lineRule="auto"/>
        <w:jc w:val="both"/>
        <w:rPr>
          <w:rFonts w:ascii="Times New Roman" w:hAnsi="Times New Roman" w:cs="Times New Roman"/>
        </w:rPr>
      </w:pPr>
      <w:r>
        <w:rPr>
          <w:rFonts w:ascii="Times New Roman" w:hAnsi="Times New Roman" w:cs="Times New Roman"/>
          <w:noProof/>
        </w:rPr>
        <w:drawing>
          <wp:inline distT="0" distB="0" distL="0" distR="0" wp14:anchorId="64ED425B" wp14:editId="32E0B73B">
            <wp:extent cx="5923252" cy="3267710"/>
            <wp:effectExtent l="0" t="0" r="1905" b="8890"/>
            <wp:docPr id="2057793969"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DFDA3BB" w14:textId="23A06CA7" w:rsidR="00BF7B54" w:rsidRPr="00E60FBC" w:rsidRDefault="00C86EF4" w:rsidP="00E60FBC">
      <w:pPr>
        <w:spacing w:line="360" w:lineRule="auto"/>
        <w:jc w:val="center"/>
        <w:rPr>
          <w:rFonts w:ascii="Times New Roman" w:hAnsi="Times New Roman" w:cs="Times New Roman"/>
        </w:rPr>
      </w:pPr>
      <w:r w:rsidRPr="00E60FBC">
        <w:rPr>
          <w:rFonts w:ascii="Times New Roman" w:hAnsi="Times New Roman" w:cs="Times New Roman"/>
          <w:b/>
          <w:bCs/>
        </w:rPr>
        <w:t xml:space="preserve">Table </w:t>
      </w:r>
      <w:r w:rsidR="00A753A4">
        <w:rPr>
          <w:rFonts w:ascii="Times New Roman" w:hAnsi="Times New Roman" w:cs="Times New Roman"/>
          <w:b/>
          <w:bCs/>
        </w:rPr>
        <w:t>5</w:t>
      </w:r>
      <w:r w:rsidR="00E60FBC">
        <w:rPr>
          <w:rFonts w:ascii="Times New Roman" w:hAnsi="Times New Roman" w:cs="Times New Roman"/>
          <w:b/>
          <w:bCs/>
        </w:rPr>
        <w:t>.</w:t>
      </w:r>
      <w:r w:rsidRPr="00E60FBC">
        <w:rPr>
          <w:rFonts w:ascii="Times New Roman" w:hAnsi="Times New Roman" w:cs="Times New Roman"/>
        </w:rPr>
        <w:t xml:space="preserve"> </w:t>
      </w:r>
      <w:r w:rsidRPr="00E60FBC">
        <w:rPr>
          <w:rFonts w:ascii="Times New Roman" w:hAnsi="Times New Roman" w:cs="Times New Roman"/>
          <w:b/>
          <w:bCs/>
        </w:rPr>
        <w:t>Sensitivity, Specificity, and Youden Index Across Threshold Values</w:t>
      </w:r>
    </w:p>
    <w:tbl>
      <w:tblPr>
        <w:tblStyle w:val="TableGrid"/>
        <w:tblW w:w="0" w:type="auto"/>
        <w:tblLook w:val="04A0" w:firstRow="1" w:lastRow="0" w:firstColumn="1" w:lastColumn="0" w:noHBand="0" w:noVBand="1"/>
      </w:tblPr>
      <w:tblGrid>
        <w:gridCol w:w="2254"/>
        <w:gridCol w:w="2254"/>
        <w:gridCol w:w="2254"/>
        <w:gridCol w:w="2254"/>
      </w:tblGrid>
      <w:tr w:rsidR="00BF7B54" w:rsidRPr="00E60FBC" w14:paraId="68922C26" w14:textId="77777777">
        <w:tc>
          <w:tcPr>
            <w:tcW w:w="2254" w:type="dxa"/>
            <w:vAlign w:val="center"/>
          </w:tcPr>
          <w:p w14:paraId="548F095B" w14:textId="7F2CBCF2" w:rsidR="00BF7B54" w:rsidRPr="00E60FBC" w:rsidRDefault="00BF7B54" w:rsidP="002C31B4">
            <w:pPr>
              <w:spacing w:line="360" w:lineRule="auto"/>
              <w:jc w:val="center"/>
              <w:rPr>
                <w:rFonts w:ascii="Times New Roman" w:hAnsi="Times New Roman" w:cs="Times New Roman"/>
              </w:rPr>
            </w:pPr>
            <w:r w:rsidRPr="00E60FBC">
              <w:rPr>
                <w:rFonts w:ascii="Times New Roman" w:hAnsi="Times New Roman" w:cs="Times New Roman"/>
                <w:b/>
                <w:bCs/>
              </w:rPr>
              <w:t>Threshold</w:t>
            </w:r>
          </w:p>
        </w:tc>
        <w:tc>
          <w:tcPr>
            <w:tcW w:w="2254" w:type="dxa"/>
            <w:vAlign w:val="center"/>
          </w:tcPr>
          <w:p w14:paraId="0E66B8AF" w14:textId="72599A27" w:rsidR="00BF7B54" w:rsidRPr="00E60FBC" w:rsidRDefault="00BF7B54" w:rsidP="002C31B4">
            <w:pPr>
              <w:spacing w:line="360" w:lineRule="auto"/>
              <w:jc w:val="center"/>
              <w:rPr>
                <w:rFonts w:ascii="Times New Roman" w:hAnsi="Times New Roman" w:cs="Times New Roman"/>
              </w:rPr>
            </w:pPr>
            <w:r w:rsidRPr="00E60FBC">
              <w:rPr>
                <w:rFonts w:ascii="Times New Roman" w:hAnsi="Times New Roman" w:cs="Times New Roman"/>
                <w:b/>
                <w:bCs/>
              </w:rPr>
              <w:t>Sensitivity</w:t>
            </w:r>
          </w:p>
        </w:tc>
        <w:tc>
          <w:tcPr>
            <w:tcW w:w="2254" w:type="dxa"/>
            <w:vAlign w:val="center"/>
          </w:tcPr>
          <w:p w14:paraId="15C7D623" w14:textId="727BCF50" w:rsidR="00BF7B54" w:rsidRPr="00E60FBC" w:rsidRDefault="00BF7B54" w:rsidP="002C31B4">
            <w:pPr>
              <w:spacing w:line="360" w:lineRule="auto"/>
              <w:jc w:val="center"/>
              <w:rPr>
                <w:rFonts w:ascii="Times New Roman" w:hAnsi="Times New Roman" w:cs="Times New Roman"/>
              </w:rPr>
            </w:pPr>
            <w:r w:rsidRPr="00E60FBC">
              <w:rPr>
                <w:rFonts w:ascii="Times New Roman" w:hAnsi="Times New Roman" w:cs="Times New Roman"/>
                <w:b/>
                <w:bCs/>
              </w:rPr>
              <w:t>Specificity</w:t>
            </w:r>
          </w:p>
        </w:tc>
        <w:tc>
          <w:tcPr>
            <w:tcW w:w="2254" w:type="dxa"/>
            <w:vAlign w:val="center"/>
          </w:tcPr>
          <w:p w14:paraId="2E6EB7E9" w14:textId="12CD27BA" w:rsidR="00BF7B54" w:rsidRPr="00E60FBC" w:rsidRDefault="00BF7B54" w:rsidP="002C31B4">
            <w:pPr>
              <w:spacing w:line="360" w:lineRule="auto"/>
              <w:jc w:val="center"/>
              <w:rPr>
                <w:rFonts w:ascii="Times New Roman" w:hAnsi="Times New Roman" w:cs="Times New Roman"/>
              </w:rPr>
            </w:pPr>
            <w:r w:rsidRPr="00E60FBC">
              <w:rPr>
                <w:rFonts w:ascii="Times New Roman" w:hAnsi="Times New Roman" w:cs="Times New Roman"/>
                <w:b/>
                <w:bCs/>
              </w:rPr>
              <w:t>Youden Index</w:t>
            </w:r>
          </w:p>
        </w:tc>
      </w:tr>
      <w:tr w:rsidR="00BF7B54" w:rsidRPr="00E60FBC" w14:paraId="3E985D04" w14:textId="77777777">
        <w:tc>
          <w:tcPr>
            <w:tcW w:w="2254" w:type="dxa"/>
            <w:vAlign w:val="center"/>
          </w:tcPr>
          <w:p w14:paraId="4AB4AB16" w14:textId="06D61C6B" w:rsidR="00BF7B54" w:rsidRPr="00E60FBC" w:rsidRDefault="00BF7B54" w:rsidP="002C31B4">
            <w:pPr>
              <w:spacing w:line="360" w:lineRule="auto"/>
              <w:jc w:val="center"/>
              <w:rPr>
                <w:rFonts w:ascii="Times New Roman" w:hAnsi="Times New Roman" w:cs="Times New Roman"/>
              </w:rPr>
            </w:pPr>
            <w:r w:rsidRPr="00E60FBC">
              <w:rPr>
                <w:rFonts w:ascii="Times New Roman" w:hAnsi="Times New Roman" w:cs="Times New Roman"/>
              </w:rPr>
              <w:t>≥10</w:t>
            </w:r>
          </w:p>
        </w:tc>
        <w:tc>
          <w:tcPr>
            <w:tcW w:w="2254" w:type="dxa"/>
            <w:vAlign w:val="center"/>
          </w:tcPr>
          <w:p w14:paraId="10143972" w14:textId="5F0CF3CF" w:rsidR="00BF7B54" w:rsidRPr="00E60FBC" w:rsidRDefault="00BF7B54" w:rsidP="002C31B4">
            <w:pPr>
              <w:spacing w:line="360" w:lineRule="auto"/>
              <w:jc w:val="center"/>
              <w:rPr>
                <w:rFonts w:ascii="Times New Roman" w:hAnsi="Times New Roman" w:cs="Times New Roman"/>
              </w:rPr>
            </w:pPr>
            <w:r w:rsidRPr="00E60FBC">
              <w:rPr>
                <w:rFonts w:ascii="Times New Roman" w:hAnsi="Times New Roman" w:cs="Times New Roman"/>
              </w:rPr>
              <w:t>0.95</w:t>
            </w:r>
          </w:p>
        </w:tc>
        <w:tc>
          <w:tcPr>
            <w:tcW w:w="2254" w:type="dxa"/>
            <w:vAlign w:val="center"/>
          </w:tcPr>
          <w:p w14:paraId="72EC84B5" w14:textId="0EF23C38" w:rsidR="00BF7B54" w:rsidRPr="00E60FBC" w:rsidRDefault="00BF7B54" w:rsidP="002C31B4">
            <w:pPr>
              <w:spacing w:line="360" w:lineRule="auto"/>
              <w:jc w:val="center"/>
              <w:rPr>
                <w:rFonts w:ascii="Times New Roman" w:hAnsi="Times New Roman" w:cs="Times New Roman"/>
              </w:rPr>
            </w:pPr>
            <w:r w:rsidRPr="00E60FBC">
              <w:rPr>
                <w:rFonts w:ascii="Times New Roman" w:hAnsi="Times New Roman" w:cs="Times New Roman"/>
              </w:rPr>
              <w:t>0.40</w:t>
            </w:r>
          </w:p>
        </w:tc>
        <w:tc>
          <w:tcPr>
            <w:tcW w:w="2254" w:type="dxa"/>
            <w:vAlign w:val="center"/>
          </w:tcPr>
          <w:p w14:paraId="76ABF9BA" w14:textId="7DFCF905" w:rsidR="00BF7B54" w:rsidRPr="00E60FBC" w:rsidRDefault="00BF7B54" w:rsidP="002C31B4">
            <w:pPr>
              <w:spacing w:line="360" w:lineRule="auto"/>
              <w:jc w:val="center"/>
              <w:rPr>
                <w:rFonts w:ascii="Times New Roman" w:hAnsi="Times New Roman" w:cs="Times New Roman"/>
              </w:rPr>
            </w:pPr>
            <w:r w:rsidRPr="00E60FBC">
              <w:rPr>
                <w:rFonts w:ascii="Times New Roman" w:hAnsi="Times New Roman" w:cs="Times New Roman"/>
              </w:rPr>
              <w:t>0.35</w:t>
            </w:r>
          </w:p>
        </w:tc>
      </w:tr>
      <w:tr w:rsidR="00BF7B54" w:rsidRPr="00E60FBC" w14:paraId="35CC4F42" w14:textId="77777777">
        <w:tc>
          <w:tcPr>
            <w:tcW w:w="2254" w:type="dxa"/>
            <w:vAlign w:val="center"/>
          </w:tcPr>
          <w:p w14:paraId="76353373" w14:textId="33F5D304" w:rsidR="00BF7B54" w:rsidRPr="00E60FBC" w:rsidRDefault="00BF7B54" w:rsidP="002C31B4">
            <w:pPr>
              <w:spacing w:line="360" w:lineRule="auto"/>
              <w:jc w:val="center"/>
              <w:rPr>
                <w:rFonts w:ascii="Times New Roman" w:hAnsi="Times New Roman" w:cs="Times New Roman"/>
              </w:rPr>
            </w:pPr>
            <w:r w:rsidRPr="00E60FBC">
              <w:rPr>
                <w:rFonts w:ascii="Times New Roman" w:hAnsi="Times New Roman" w:cs="Times New Roman"/>
              </w:rPr>
              <w:t>≥14</w:t>
            </w:r>
          </w:p>
        </w:tc>
        <w:tc>
          <w:tcPr>
            <w:tcW w:w="2254" w:type="dxa"/>
            <w:vAlign w:val="center"/>
          </w:tcPr>
          <w:p w14:paraId="7203AA2D" w14:textId="78AD150B" w:rsidR="00BF7B54" w:rsidRPr="00E60FBC" w:rsidRDefault="00BF7B54" w:rsidP="002C31B4">
            <w:pPr>
              <w:spacing w:line="360" w:lineRule="auto"/>
              <w:jc w:val="center"/>
              <w:rPr>
                <w:rFonts w:ascii="Times New Roman" w:hAnsi="Times New Roman" w:cs="Times New Roman"/>
              </w:rPr>
            </w:pPr>
            <w:r w:rsidRPr="00E60FBC">
              <w:rPr>
                <w:rFonts w:ascii="Times New Roman" w:hAnsi="Times New Roman" w:cs="Times New Roman"/>
              </w:rPr>
              <w:t>0.72</w:t>
            </w:r>
          </w:p>
        </w:tc>
        <w:tc>
          <w:tcPr>
            <w:tcW w:w="2254" w:type="dxa"/>
            <w:vAlign w:val="center"/>
          </w:tcPr>
          <w:p w14:paraId="11A473AA" w14:textId="230D49F9" w:rsidR="00BF7B54" w:rsidRPr="00E60FBC" w:rsidRDefault="00BF7B54" w:rsidP="002C31B4">
            <w:pPr>
              <w:spacing w:line="360" w:lineRule="auto"/>
              <w:jc w:val="center"/>
              <w:rPr>
                <w:rFonts w:ascii="Times New Roman" w:hAnsi="Times New Roman" w:cs="Times New Roman"/>
              </w:rPr>
            </w:pPr>
            <w:r w:rsidRPr="00E60FBC">
              <w:rPr>
                <w:rFonts w:ascii="Times New Roman" w:hAnsi="Times New Roman" w:cs="Times New Roman"/>
              </w:rPr>
              <w:t>0.78</w:t>
            </w:r>
          </w:p>
        </w:tc>
        <w:tc>
          <w:tcPr>
            <w:tcW w:w="2254" w:type="dxa"/>
            <w:vAlign w:val="center"/>
          </w:tcPr>
          <w:p w14:paraId="6CF60936" w14:textId="4FDB9C6A" w:rsidR="00BF7B54" w:rsidRPr="00E60FBC" w:rsidRDefault="00BF7B54" w:rsidP="002C31B4">
            <w:pPr>
              <w:spacing w:line="360" w:lineRule="auto"/>
              <w:jc w:val="center"/>
              <w:rPr>
                <w:rFonts w:ascii="Times New Roman" w:hAnsi="Times New Roman" w:cs="Times New Roman"/>
              </w:rPr>
            </w:pPr>
            <w:r w:rsidRPr="00E60FBC">
              <w:rPr>
                <w:rFonts w:ascii="Times New Roman" w:hAnsi="Times New Roman" w:cs="Times New Roman"/>
              </w:rPr>
              <w:t>0.50</w:t>
            </w:r>
          </w:p>
        </w:tc>
      </w:tr>
      <w:tr w:rsidR="00BF7B54" w:rsidRPr="00E60FBC" w14:paraId="61F55005" w14:textId="77777777">
        <w:tc>
          <w:tcPr>
            <w:tcW w:w="2254" w:type="dxa"/>
            <w:vAlign w:val="center"/>
          </w:tcPr>
          <w:p w14:paraId="7A096D84" w14:textId="094A357A" w:rsidR="00BF7B54" w:rsidRPr="00E60FBC" w:rsidRDefault="00BF7B54" w:rsidP="002C31B4">
            <w:pPr>
              <w:spacing w:line="360" w:lineRule="auto"/>
              <w:jc w:val="center"/>
              <w:rPr>
                <w:rFonts w:ascii="Times New Roman" w:hAnsi="Times New Roman" w:cs="Times New Roman"/>
              </w:rPr>
            </w:pPr>
            <w:r w:rsidRPr="00E60FBC">
              <w:rPr>
                <w:rFonts w:ascii="Times New Roman" w:hAnsi="Times New Roman" w:cs="Times New Roman"/>
              </w:rPr>
              <w:t>≥15</w:t>
            </w:r>
          </w:p>
        </w:tc>
        <w:tc>
          <w:tcPr>
            <w:tcW w:w="2254" w:type="dxa"/>
            <w:vAlign w:val="center"/>
          </w:tcPr>
          <w:p w14:paraId="56BB5949" w14:textId="7EF24722" w:rsidR="00BF7B54" w:rsidRPr="00E60FBC" w:rsidRDefault="00BF7B54" w:rsidP="002C31B4">
            <w:pPr>
              <w:spacing w:line="360" w:lineRule="auto"/>
              <w:jc w:val="center"/>
              <w:rPr>
                <w:rFonts w:ascii="Times New Roman" w:hAnsi="Times New Roman" w:cs="Times New Roman"/>
              </w:rPr>
            </w:pPr>
            <w:r w:rsidRPr="00E60FBC">
              <w:rPr>
                <w:rFonts w:ascii="Times New Roman" w:hAnsi="Times New Roman" w:cs="Times New Roman"/>
              </w:rPr>
              <w:t>0.60</w:t>
            </w:r>
          </w:p>
        </w:tc>
        <w:tc>
          <w:tcPr>
            <w:tcW w:w="2254" w:type="dxa"/>
            <w:vAlign w:val="center"/>
          </w:tcPr>
          <w:p w14:paraId="6C5D3AEE" w14:textId="2F9FDDF0" w:rsidR="00BF7B54" w:rsidRPr="00E60FBC" w:rsidRDefault="00BF7B54" w:rsidP="002C31B4">
            <w:pPr>
              <w:spacing w:line="360" w:lineRule="auto"/>
              <w:jc w:val="center"/>
              <w:rPr>
                <w:rFonts w:ascii="Times New Roman" w:hAnsi="Times New Roman" w:cs="Times New Roman"/>
              </w:rPr>
            </w:pPr>
            <w:r w:rsidRPr="00E60FBC">
              <w:rPr>
                <w:rFonts w:ascii="Times New Roman" w:hAnsi="Times New Roman" w:cs="Times New Roman"/>
              </w:rPr>
              <w:t>0.90</w:t>
            </w:r>
          </w:p>
        </w:tc>
        <w:tc>
          <w:tcPr>
            <w:tcW w:w="2254" w:type="dxa"/>
            <w:vAlign w:val="center"/>
          </w:tcPr>
          <w:p w14:paraId="4FAAAE80" w14:textId="2311F9F6" w:rsidR="00BF7B54" w:rsidRPr="00E60FBC" w:rsidRDefault="00BF7B54" w:rsidP="002C31B4">
            <w:pPr>
              <w:spacing w:line="360" w:lineRule="auto"/>
              <w:jc w:val="center"/>
              <w:rPr>
                <w:rFonts w:ascii="Times New Roman" w:hAnsi="Times New Roman" w:cs="Times New Roman"/>
              </w:rPr>
            </w:pPr>
            <w:r w:rsidRPr="00E60FBC">
              <w:rPr>
                <w:rFonts w:ascii="Times New Roman" w:hAnsi="Times New Roman" w:cs="Times New Roman"/>
              </w:rPr>
              <w:t>0.50</w:t>
            </w:r>
          </w:p>
        </w:tc>
      </w:tr>
    </w:tbl>
    <w:p w14:paraId="3136E6DF" w14:textId="77777777" w:rsidR="005952DE" w:rsidRDefault="005952DE" w:rsidP="002C31B4">
      <w:pPr>
        <w:spacing w:line="360" w:lineRule="auto"/>
        <w:jc w:val="center"/>
        <w:rPr>
          <w:rFonts w:ascii="Times New Roman" w:hAnsi="Times New Roman" w:cs="Times New Roman"/>
        </w:rPr>
      </w:pPr>
    </w:p>
    <w:p w14:paraId="3EC2A786" w14:textId="3E00FF96" w:rsidR="00F84BE0" w:rsidRDefault="00C86EF4" w:rsidP="00E60FBC">
      <w:pPr>
        <w:spacing w:line="360" w:lineRule="auto"/>
        <w:jc w:val="both"/>
        <w:rPr>
          <w:rFonts w:ascii="Times New Roman" w:hAnsi="Times New Roman" w:cs="Times New Roman"/>
        </w:rPr>
      </w:pPr>
      <w:r w:rsidRPr="00E60FBC">
        <w:rPr>
          <w:rFonts w:ascii="Times New Roman" w:hAnsi="Times New Roman" w:cs="Times New Roman"/>
        </w:rPr>
        <w:t>The table</w:t>
      </w:r>
      <w:r w:rsidR="005952DE">
        <w:rPr>
          <w:rFonts w:ascii="Times New Roman" w:hAnsi="Times New Roman" w:cs="Times New Roman"/>
        </w:rPr>
        <w:t xml:space="preserve"> </w:t>
      </w:r>
      <w:r w:rsidR="00A753A4">
        <w:rPr>
          <w:rFonts w:ascii="Times New Roman" w:hAnsi="Times New Roman" w:cs="Times New Roman"/>
        </w:rPr>
        <w:t xml:space="preserve">5 </w:t>
      </w:r>
      <w:r w:rsidRPr="00E60FBC">
        <w:rPr>
          <w:rFonts w:ascii="Times New Roman" w:hAnsi="Times New Roman" w:cs="Times New Roman"/>
        </w:rPr>
        <w:t>displays sensitivity, specificity, and Youden Index values corresponding to three different threshold levels: ≥10, ≥14, and ≥15. Sensitivity decreases from 0.95 to 0.60 as the threshold increases, while specificity increases from 0.40 to 0.90. The Youden Index is 0.35 at threshold ≥10 and 0.50 at thresholds ≥14 and ≥15.</w:t>
      </w:r>
    </w:p>
    <w:p w14:paraId="19D8564C" w14:textId="5F4B28B9" w:rsidR="00A32D3D" w:rsidRPr="00025E77" w:rsidRDefault="00A32D3D" w:rsidP="00E60FBC">
      <w:pPr>
        <w:spacing w:line="360" w:lineRule="auto"/>
        <w:jc w:val="both"/>
        <w:rPr>
          <w:rFonts w:ascii="Times New Roman" w:hAnsi="Times New Roman" w:cs="Times New Roman"/>
        </w:rPr>
      </w:pPr>
      <w:r w:rsidRPr="00E60FBC">
        <w:rPr>
          <w:rFonts w:ascii="Times New Roman" w:hAnsi="Times New Roman" w:cs="Times New Roman"/>
        </w:rPr>
        <w:t xml:space="preserve">This study highlights the prevalence and clinical relevance of electrolyte and metabolic abnormalities in a rural Indian cohort, underscoring their association with renal dysfunction and potential for stratifying clinical risk through derived indices like the Electrolyte Stress </w:t>
      </w:r>
      <w:r w:rsidRPr="00E60FBC">
        <w:rPr>
          <w:rFonts w:ascii="Times New Roman" w:hAnsi="Times New Roman" w:cs="Times New Roman"/>
        </w:rPr>
        <w:lastRenderedPageBreak/>
        <w:t>Index (ESI) and unsupervised clustering. The findings support the growing body of evidence suggesting that early metabolic alterations may precede overt renal impairment, thereby offering a window for preventive interventions.</w:t>
      </w:r>
    </w:p>
    <w:p w14:paraId="164BE948" w14:textId="2435831F" w:rsidR="008850B2" w:rsidRPr="008850B2" w:rsidRDefault="00E07B22" w:rsidP="008850B2">
      <w:pPr>
        <w:spacing w:line="360" w:lineRule="auto"/>
        <w:jc w:val="both"/>
        <w:rPr>
          <w:rFonts w:ascii="Times New Roman" w:hAnsi="Times New Roman" w:cs="Times New Roman"/>
        </w:rPr>
      </w:pPr>
      <w:r w:rsidRPr="00E07B22">
        <w:rPr>
          <w:rFonts w:ascii="Times New Roman" w:hAnsi="Times New Roman" w:cs="Times New Roman"/>
        </w:rPr>
        <w:t xml:space="preserve">The findings reveal a high prevalence of biochemical abnormalities, notably hyperuricemia (22%) and </w:t>
      </w:r>
      <w:r w:rsidR="007346AC">
        <w:rPr>
          <w:rFonts w:ascii="Times New Roman" w:hAnsi="Times New Roman" w:cs="Times New Roman"/>
        </w:rPr>
        <w:t>H</w:t>
      </w:r>
      <w:r w:rsidR="007346AC" w:rsidRPr="00E07B22">
        <w:rPr>
          <w:rFonts w:ascii="Times New Roman" w:hAnsi="Times New Roman" w:cs="Times New Roman"/>
        </w:rPr>
        <w:t>yperkalaemia</w:t>
      </w:r>
      <w:r w:rsidRPr="00E07B22">
        <w:rPr>
          <w:rFonts w:ascii="Times New Roman" w:hAnsi="Times New Roman" w:cs="Times New Roman"/>
        </w:rPr>
        <w:t xml:space="preserve"> (17.5%), followed by metabolic acidosis (15%) and hyponatremia (14%), as presented in </w:t>
      </w:r>
      <w:r w:rsidRPr="00740206">
        <w:rPr>
          <w:rFonts w:ascii="Times New Roman" w:hAnsi="Times New Roman" w:cs="Times New Roman"/>
          <w:b/>
          <w:bCs/>
        </w:rPr>
        <w:t>Bar Chart 1.</w:t>
      </w:r>
      <w:r w:rsidRPr="00E07B22">
        <w:rPr>
          <w:rFonts w:ascii="Times New Roman" w:hAnsi="Times New Roman" w:cs="Times New Roman"/>
        </w:rPr>
        <w:t xml:space="preserve"> These disturbances demonstrated strong and statistically significant associations with declining renal function, evidenced by elevated serum creatinine and reduced estimated glomerular filtration rate (eGFR), detailed in Table </w:t>
      </w:r>
      <w:r w:rsidR="00F84BE0">
        <w:rPr>
          <w:rFonts w:ascii="Times New Roman" w:hAnsi="Times New Roman" w:cs="Times New Roman"/>
        </w:rPr>
        <w:t>3</w:t>
      </w:r>
      <w:r w:rsidRPr="00E07B22">
        <w:rPr>
          <w:rFonts w:ascii="Times New Roman" w:hAnsi="Times New Roman" w:cs="Times New Roman"/>
        </w:rPr>
        <w:t xml:space="preserve">. Importantly, our anthropometric data reveal that participants </w:t>
      </w:r>
      <w:r w:rsidR="007346AC">
        <w:rPr>
          <w:rFonts w:ascii="Times New Roman" w:hAnsi="Times New Roman" w:cs="Times New Roman"/>
        </w:rPr>
        <w:t>with</w:t>
      </w:r>
      <w:r w:rsidRPr="00E07B22">
        <w:rPr>
          <w:rFonts w:ascii="Times New Roman" w:hAnsi="Times New Roman" w:cs="Times New Roman"/>
        </w:rPr>
        <w:t xml:space="preserve"> these metabolic derangements exhibited significantly higher mean </w:t>
      </w:r>
      <w:r w:rsidR="00F84BE0" w:rsidRPr="00E07B22">
        <w:rPr>
          <w:rFonts w:ascii="Times New Roman" w:hAnsi="Times New Roman" w:cs="Times New Roman"/>
        </w:rPr>
        <w:t xml:space="preserve">BMI </w:t>
      </w:r>
      <w:r w:rsidR="00F84BE0">
        <w:rPr>
          <w:rFonts w:ascii="Times New Roman" w:hAnsi="Times New Roman" w:cs="Times New Roman"/>
        </w:rPr>
        <w:t xml:space="preserve">as shown in </w:t>
      </w:r>
      <w:r w:rsidR="00F84BE0" w:rsidRPr="00F84BE0">
        <w:rPr>
          <w:rFonts w:ascii="Times New Roman" w:hAnsi="Times New Roman" w:cs="Times New Roman"/>
          <w:b/>
          <w:bCs/>
        </w:rPr>
        <w:t>Table</w:t>
      </w:r>
      <w:r w:rsidR="00D9067B">
        <w:rPr>
          <w:rFonts w:ascii="Times New Roman" w:hAnsi="Times New Roman" w:cs="Times New Roman"/>
          <w:b/>
          <w:bCs/>
        </w:rPr>
        <w:t xml:space="preserve"> </w:t>
      </w:r>
      <w:r w:rsidR="00F84BE0" w:rsidRPr="00F84BE0">
        <w:rPr>
          <w:rFonts w:ascii="Times New Roman" w:hAnsi="Times New Roman" w:cs="Times New Roman"/>
          <w:b/>
          <w:bCs/>
        </w:rPr>
        <w:t>1</w:t>
      </w:r>
      <w:r w:rsidRPr="00E07B22">
        <w:rPr>
          <w:rFonts w:ascii="Times New Roman" w:hAnsi="Times New Roman" w:cs="Times New Roman"/>
        </w:rPr>
        <w:t>(24.7 ± 4.9 kg/m² vs 22.4 ± 3.8 in normal clusters, p=0.004) and waist-hip ratios (0.95 ± 0.08 vs 0.88 ± 0.06, p&lt;0.001), consistent with patterns of central adiposity known to exacerbate renal and metabolic stress. The clustering analysis further showed that 55.7% of high-risk individuals (Cluster 3) had concurrent hypertension compared to just 25% in the normal biochemical group, suggesting a synergistic cardiorenal metabolic syndrome phenotype. Such findings underscore the utility of routine biochemical testing in identifying subclinical renal dysfunction, particularly in low-resource rural settings where anthropometric risk factors like elevated waist circumference (82.4 ± 10.7 cm overall, with gender differences p=0.008) may serve as additional screening markers. The observed prevalence of hyperuricemia in our cohort (22%) is notably higher than that reported in urban Indian populations (~18%), likely reflecting regional differences in diet (including traditional high-purine diets), limited access to care (with only 41.1% of males and 84.1% of females being never-smokers), and environmental exposures like agricultural chemical use. Uric acid is increasingly recognized not only as a marker of renal dysfunction but also as a contributor to endothelial dysfunction and intrarenal inflammation, accelerating CKD progression15, particularly in populations with the observed anthropometric risk profile of elevated BMI and central adiposity</w:t>
      </w:r>
      <w:r w:rsidR="00F84BE0">
        <w:rPr>
          <w:rFonts w:ascii="Times New Roman" w:hAnsi="Times New Roman" w:cs="Times New Roman"/>
        </w:rPr>
        <w:t xml:space="preserve"> (</w:t>
      </w:r>
      <w:r w:rsidR="00F84BE0" w:rsidRPr="000A1E6C">
        <w:rPr>
          <w:rFonts w:ascii="Times New Roman" w:hAnsi="Times New Roman" w:cs="Times New Roman"/>
          <w:b/>
          <w:bCs/>
        </w:rPr>
        <w:t>Table 1,</w:t>
      </w:r>
      <w:r w:rsidR="00A45DB9" w:rsidRPr="000A1E6C">
        <w:rPr>
          <w:rFonts w:ascii="Times New Roman" w:hAnsi="Times New Roman" w:cs="Times New Roman"/>
          <w:b/>
          <w:bCs/>
        </w:rPr>
        <w:t>4</w:t>
      </w:r>
      <w:r w:rsidR="00F84BE0">
        <w:rPr>
          <w:rFonts w:ascii="Times New Roman" w:hAnsi="Times New Roman" w:cs="Times New Roman"/>
        </w:rPr>
        <w:t>)</w:t>
      </w:r>
      <w:r w:rsidRPr="00E07B22">
        <w:rPr>
          <w:rFonts w:ascii="Times New Roman" w:hAnsi="Times New Roman" w:cs="Times New Roman"/>
        </w:rPr>
        <w:t>.</w:t>
      </w:r>
      <w:r>
        <w:rPr>
          <w:rFonts w:ascii="Times New Roman" w:hAnsi="Times New Roman" w:cs="Times New Roman"/>
          <w:vertAlign w:val="superscript"/>
        </w:rPr>
        <w:t>15</w:t>
      </w:r>
    </w:p>
    <w:p w14:paraId="7941330A" w14:textId="6B778E98" w:rsidR="008850B2" w:rsidRPr="008850B2" w:rsidRDefault="008850B2" w:rsidP="008850B2">
      <w:pPr>
        <w:spacing w:line="360" w:lineRule="auto"/>
        <w:jc w:val="both"/>
        <w:rPr>
          <w:rFonts w:ascii="Times New Roman" w:hAnsi="Times New Roman" w:cs="Times New Roman"/>
        </w:rPr>
      </w:pPr>
      <w:r w:rsidRPr="008850B2">
        <w:rPr>
          <w:rFonts w:ascii="Times New Roman" w:hAnsi="Times New Roman" w:cs="Times New Roman"/>
        </w:rPr>
        <w:t xml:space="preserve">Among all parameters, bicarbonate exhibited the strongest inverse correlation with serum creatinine (r = –0.47, p &lt; 0.001) as shown in </w:t>
      </w:r>
      <w:r w:rsidRPr="008850B2">
        <w:rPr>
          <w:rFonts w:ascii="Times New Roman" w:hAnsi="Times New Roman" w:cs="Times New Roman"/>
          <w:b/>
          <w:bCs/>
        </w:rPr>
        <w:t xml:space="preserve">Table </w:t>
      </w:r>
      <w:r w:rsidR="00A45DB9">
        <w:rPr>
          <w:rFonts w:ascii="Times New Roman" w:hAnsi="Times New Roman" w:cs="Times New Roman"/>
          <w:b/>
          <w:bCs/>
        </w:rPr>
        <w:t>2</w:t>
      </w:r>
      <w:r w:rsidRPr="008850B2">
        <w:rPr>
          <w:rFonts w:ascii="Times New Roman" w:hAnsi="Times New Roman" w:cs="Times New Roman"/>
        </w:rPr>
        <w:t>, emphasizing the burden of subclinical metabolic acidosis in this population. This association aligns with findings from the Chronic Renal Insufficiency Cohort (CRIC) study, where lower serum bicarbonate was independently linked to faster CKD progression, regardless of baseline eGFR or albuminuria</w:t>
      </w:r>
      <w:r w:rsidR="00025E77" w:rsidRPr="00025E77">
        <w:rPr>
          <w:rFonts w:ascii="Times New Roman" w:hAnsi="Times New Roman" w:cs="Times New Roman"/>
          <w:vertAlign w:val="superscript"/>
        </w:rPr>
        <w:t>11</w:t>
      </w:r>
      <w:r w:rsidR="00025E77">
        <w:rPr>
          <w:rFonts w:ascii="Times New Roman" w:hAnsi="Times New Roman" w:cs="Times New Roman"/>
        </w:rPr>
        <w:t xml:space="preserve">. </w:t>
      </w:r>
      <w:r w:rsidRPr="008850B2">
        <w:rPr>
          <w:rFonts w:ascii="Times New Roman" w:hAnsi="Times New Roman" w:cs="Times New Roman"/>
        </w:rPr>
        <w:t xml:space="preserve">Furthermore, a significant inverse relationship between serum potassium and bicarbonate (r = –0.43, p = </w:t>
      </w:r>
      <w:r w:rsidRPr="008850B2">
        <w:rPr>
          <w:rFonts w:ascii="Times New Roman" w:hAnsi="Times New Roman" w:cs="Times New Roman"/>
        </w:rPr>
        <w:lastRenderedPageBreak/>
        <w:t xml:space="preserve">0.001) reinforces mechanistic studies demonstrating that </w:t>
      </w:r>
      <w:r w:rsidR="008F74F1" w:rsidRPr="008850B2">
        <w:rPr>
          <w:rFonts w:ascii="Times New Roman" w:hAnsi="Times New Roman" w:cs="Times New Roman"/>
        </w:rPr>
        <w:t>hyperkalaemia</w:t>
      </w:r>
      <w:r w:rsidRPr="008850B2">
        <w:rPr>
          <w:rFonts w:ascii="Times New Roman" w:hAnsi="Times New Roman" w:cs="Times New Roman"/>
        </w:rPr>
        <w:t xml:space="preserve"> impairs renal ammoniagenesis, thereby reducing acid excretion capacity</w:t>
      </w:r>
      <w:r w:rsidR="00025E77" w:rsidRPr="00025E77">
        <w:rPr>
          <w:rFonts w:ascii="Times New Roman" w:hAnsi="Times New Roman" w:cs="Times New Roman"/>
          <w:vertAlign w:val="superscript"/>
        </w:rPr>
        <w:t>12</w:t>
      </w:r>
      <w:r w:rsidR="00025E77" w:rsidRPr="00025E77">
        <w:rPr>
          <w:rFonts w:ascii="Times New Roman" w:hAnsi="Times New Roman" w:cs="Times New Roman"/>
          <w:vertAlign w:val="subscript"/>
        </w:rPr>
        <w:t>.</w:t>
      </w:r>
    </w:p>
    <w:p w14:paraId="554FF633" w14:textId="13F4D4AC" w:rsidR="008850B2" w:rsidRPr="008850B2" w:rsidRDefault="008850B2" w:rsidP="008850B2">
      <w:pPr>
        <w:spacing w:line="360" w:lineRule="auto"/>
        <w:jc w:val="both"/>
        <w:rPr>
          <w:rFonts w:ascii="Times New Roman" w:hAnsi="Times New Roman" w:cs="Times New Roman"/>
        </w:rPr>
      </w:pPr>
      <w:r w:rsidRPr="008850B2">
        <w:rPr>
          <w:rFonts w:ascii="Times New Roman" w:hAnsi="Times New Roman" w:cs="Times New Roman"/>
        </w:rPr>
        <w:t xml:space="preserve">The Electrolyte Stress Index (ESI), defined as (Na⁺ + K⁺ + Cl⁻)/HCO₃⁻, emerged as a reliable risk stratification tool in our analysis. As shown in </w:t>
      </w:r>
      <w:r w:rsidRPr="008850B2">
        <w:rPr>
          <w:rFonts w:ascii="Times New Roman" w:hAnsi="Times New Roman" w:cs="Times New Roman"/>
          <w:b/>
          <w:bCs/>
        </w:rPr>
        <w:t xml:space="preserve">Table </w:t>
      </w:r>
      <w:r w:rsidR="00A45DB9">
        <w:rPr>
          <w:rFonts w:ascii="Times New Roman" w:hAnsi="Times New Roman" w:cs="Times New Roman"/>
          <w:b/>
          <w:bCs/>
        </w:rPr>
        <w:t>3</w:t>
      </w:r>
      <w:r w:rsidRPr="008850B2">
        <w:rPr>
          <w:rFonts w:ascii="Times New Roman" w:hAnsi="Times New Roman" w:cs="Times New Roman"/>
        </w:rPr>
        <w:t xml:space="preserve">, patients with ESI ≥15 had a mean eGFR of 54.7 mL/min (indicative of moderate CKD), whereas those with ESI &lt;12 showed preserved renal function (mean eGFR 108.5 mL/min). Notably, ESI demonstrated high specificity (90%) for detecting renal dysfunction at the ≥15 cutoff </w:t>
      </w:r>
      <w:r w:rsidRPr="008850B2">
        <w:rPr>
          <w:rFonts w:ascii="Times New Roman" w:hAnsi="Times New Roman" w:cs="Times New Roman"/>
          <w:b/>
          <w:bCs/>
        </w:rPr>
        <w:t xml:space="preserve">Table </w:t>
      </w:r>
      <w:r w:rsidR="00A753A4">
        <w:rPr>
          <w:rFonts w:ascii="Times New Roman" w:hAnsi="Times New Roman" w:cs="Times New Roman"/>
          <w:b/>
          <w:bCs/>
        </w:rPr>
        <w:t>5</w:t>
      </w:r>
      <w:r w:rsidRPr="008850B2">
        <w:rPr>
          <w:rFonts w:ascii="Times New Roman" w:hAnsi="Times New Roman" w:cs="Times New Roman"/>
        </w:rPr>
        <w:t>, suggesting its utility as a simple, cost-effective screening metric in resource-limited environments. Its diagnostic performance parallels that of more complex biomarkers, such as the urinary albumin-to-creatinine ratio (UACR), which also offers high specificity for CKD detection but is less accessible in rural settings</w:t>
      </w:r>
      <w:r w:rsidR="00025E77" w:rsidRPr="00025E77">
        <w:rPr>
          <w:rFonts w:ascii="Times New Roman" w:hAnsi="Times New Roman" w:cs="Times New Roman"/>
          <w:vertAlign w:val="superscript"/>
        </w:rPr>
        <w:t>13</w:t>
      </w:r>
      <w:r w:rsidR="00D37549" w:rsidRPr="00D37549">
        <w:rPr>
          <w:rFonts w:ascii="Times New Roman" w:hAnsi="Times New Roman" w:cs="Times New Roman"/>
          <w:vertAlign w:val="subscript"/>
        </w:rPr>
        <w:t>.</w:t>
      </w:r>
    </w:p>
    <w:p w14:paraId="77A4EE32" w14:textId="23F10284" w:rsidR="008850B2" w:rsidRPr="008850B2" w:rsidRDefault="008850B2" w:rsidP="008850B2">
      <w:pPr>
        <w:spacing w:line="360" w:lineRule="auto"/>
        <w:jc w:val="both"/>
        <w:rPr>
          <w:rFonts w:ascii="Times New Roman" w:hAnsi="Times New Roman" w:cs="Times New Roman"/>
        </w:rPr>
      </w:pPr>
      <w:r w:rsidRPr="008850B2">
        <w:rPr>
          <w:rFonts w:ascii="Times New Roman" w:hAnsi="Times New Roman" w:cs="Times New Roman"/>
        </w:rPr>
        <w:t xml:space="preserve">To deepen clinical interpretation, k-means clustering analysis identified three biochemically distinct patient subgroups </w:t>
      </w:r>
      <w:r w:rsidR="001214D8" w:rsidRPr="00E252E3">
        <w:rPr>
          <w:rFonts w:ascii="Times New Roman" w:hAnsi="Times New Roman" w:cs="Times New Roman"/>
        </w:rPr>
        <w:t>Pie chart 1</w:t>
      </w:r>
      <w:r w:rsidR="000A1E6C" w:rsidRPr="00E252E3">
        <w:rPr>
          <w:rFonts w:ascii="Times New Roman" w:hAnsi="Times New Roman" w:cs="Times New Roman"/>
        </w:rPr>
        <w:t>,</w:t>
      </w:r>
      <w:r w:rsidRPr="008850B2">
        <w:rPr>
          <w:rFonts w:ascii="Times New Roman" w:hAnsi="Times New Roman" w:cs="Times New Roman"/>
        </w:rPr>
        <w:t xml:space="preserve"> a normo-biochemical group (36%), a metabolic acidosis–</w:t>
      </w:r>
      <w:r w:rsidR="008F74F1" w:rsidRPr="008850B2">
        <w:rPr>
          <w:rFonts w:ascii="Times New Roman" w:hAnsi="Times New Roman" w:cs="Times New Roman"/>
        </w:rPr>
        <w:t>hyperkalaemia</w:t>
      </w:r>
      <w:r w:rsidRPr="008850B2">
        <w:rPr>
          <w:rFonts w:ascii="Times New Roman" w:hAnsi="Times New Roman" w:cs="Times New Roman"/>
        </w:rPr>
        <w:t xml:space="preserve"> cluster (29%), and a cardio-renal phenotype (35%) characterized by reduced eGFR, elevated uric acid, and frequent comorbidities. These cluster profiles closely resemble those reported in the PREDICT-CKD study conducted in sub-Saharan Africa, where a "metabolic acidosis" phenotype was similarly linked to poorer renal outcomes</w:t>
      </w:r>
      <w:r w:rsidR="00025E77" w:rsidRPr="00025E77">
        <w:rPr>
          <w:rFonts w:ascii="Times New Roman" w:hAnsi="Times New Roman" w:cs="Times New Roman"/>
          <w:vertAlign w:val="superscript"/>
        </w:rPr>
        <w:t>14</w:t>
      </w:r>
      <w:r w:rsidR="00D37549">
        <w:rPr>
          <w:rFonts w:ascii="Times New Roman" w:hAnsi="Times New Roman" w:cs="Times New Roman"/>
        </w:rPr>
        <w:t xml:space="preserve">. </w:t>
      </w:r>
      <w:r w:rsidRPr="008850B2">
        <w:rPr>
          <w:rFonts w:ascii="Times New Roman" w:hAnsi="Times New Roman" w:cs="Times New Roman"/>
        </w:rPr>
        <w:t>The identification of a cardio-renal cluster in our study further supports the hypothesis that hyperuricemia contributes to renal and vascular dysfunction. While experimental data strongly associate elevated uric acid with endothelial injury, clinical trials of urate-lowering therapies in early CKD have shown mixed results, underscoring the need for individualized treatment strategies</w:t>
      </w:r>
      <w:r w:rsidR="00025E77" w:rsidRPr="00025E77">
        <w:rPr>
          <w:rFonts w:ascii="Times New Roman" w:hAnsi="Times New Roman" w:cs="Times New Roman"/>
          <w:vertAlign w:val="superscript"/>
        </w:rPr>
        <w:t>15</w:t>
      </w:r>
      <w:r w:rsidR="00D37549" w:rsidRPr="00D37549">
        <w:rPr>
          <w:rFonts w:ascii="Times New Roman" w:hAnsi="Times New Roman" w:cs="Times New Roman"/>
          <w:vertAlign w:val="subscript"/>
        </w:rPr>
        <w:t>.</w:t>
      </w:r>
    </w:p>
    <w:p w14:paraId="0D52F50B" w14:textId="77777777" w:rsidR="008850B2" w:rsidRPr="008850B2" w:rsidRDefault="008850B2" w:rsidP="008850B2">
      <w:pPr>
        <w:spacing w:line="360" w:lineRule="auto"/>
        <w:jc w:val="both"/>
        <w:rPr>
          <w:rFonts w:ascii="Times New Roman" w:hAnsi="Times New Roman" w:cs="Times New Roman"/>
        </w:rPr>
      </w:pPr>
      <w:r w:rsidRPr="008850B2">
        <w:rPr>
          <w:rFonts w:ascii="Times New Roman" w:hAnsi="Times New Roman" w:cs="Times New Roman"/>
        </w:rPr>
        <w:t>Collectively, these findings suggest that routine biochemical panels, when interpreted using composite indices like ESI and unsupervised clustering techniques, can uncover early pathophysiological changes in CKD and support more targeted intervention strategies in vulnerable populations.</w:t>
      </w:r>
    </w:p>
    <w:p w14:paraId="31D4DD3F" w14:textId="77777777" w:rsidR="008850B2" w:rsidRPr="008850B2" w:rsidRDefault="008850B2" w:rsidP="008850B2">
      <w:pPr>
        <w:spacing w:line="360" w:lineRule="auto"/>
        <w:jc w:val="both"/>
        <w:rPr>
          <w:rFonts w:ascii="Times New Roman" w:hAnsi="Times New Roman" w:cs="Times New Roman"/>
          <w:b/>
          <w:bCs/>
        </w:rPr>
      </w:pPr>
      <w:r w:rsidRPr="008850B2">
        <w:rPr>
          <w:rFonts w:ascii="Times New Roman" w:hAnsi="Times New Roman" w:cs="Times New Roman"/>
          <w:b/>
          <w:bCs/>
        </w:rPr>
        <w:t>Clinical Importance</w:t>
      </w:r>
    </w:p>
    <w:p w14:paraId="733D736C" w14:textId="77777777" w:rsidR="00C84FF1" w:rsidRDefault="00C84FF1" w:rsidP="00025E77">
      <w:pPr>
        <w:spacing w:line="360" w:lineRule="auto"/>
        <w:jc w:val="both"/>
        <w:rPr>
          <w:rFonts w:ascii="Times New Roman" w:hAnsi="Times New Roman" w:cs="Times New Roman"/>
        </w:rPr>
      </w:pPr>
      <w:r w:rsidRPr="00C84FF1">
        <w:rPr>
          <w:rFonts w:ascii="Times New Roman" w:hAnsi="Times New Roman" w:cs="Times New Roman"/>
        </w:rPr>
        <w:t xml:space="preserve">The study highlights the clinical utility of routine electrolyte and acid–base panels as cost-effective, widely available tools for early detection of CKD in resource-limited settings. The Electrolyte Stress Index (ESI), derived from standard biochemical parameters, offers a novel, simple, and specific approach to risk stratification at the primary care level. Furthermore, phenotypic clustering enables identification of high-risk subgroups with distinct biochemical </w:t>
      </w:r>
      <w:r w:rsidRPr="00C84FF1">
        <w:rPr>
          <w:rFonts w:ascii="Times New Roman" w:hAnsi="Times New Roman" w:cs="Times New Roman"/>
        </w:rPr>
        <w:lastRenderedPageBreak/>
        <w:t>profiles, supporting targeted and personalized management. Collectively, these strategies provide a scalable framework to improve early CKD detection and optimize care in underserved populations.</w:t>
      </w:r>
    </w:p>
    <w:p w14:paraId="40A218B8" w14:textId="6C041243" w:rsidR="00025E77" w:rsidRPr="00E60FBC" w:rsidRDefault="00025E77" w:rsidP="00025E77">
      <w:pPr>
        <w:spacing w:line="360" w:lineRule="auto"/>
        <w:jc w:val="both"/>
        <w:rPr>
          <w:rFonts w:ascii="Times New Roman" w:hAnsi="Times New Roman" w:cs="Times New Roman"/>
          <w:b/>
          <w:bCs/>
        </w:rPr>
      </w:pPr>
      <w:r w:rsidRPr="00E60FBC">
        <w:rPr>
          <w:rFonts w:ascii="Times New Roman" w:hAnsi="Times New Roman" w:cs="Times New Roman"/>
          <w:b/>
          <w:bCs/>
        </w:rPr>
        <w:t>CONCLUSION</w:t>
      </w:r>
    </w:p>
    <w:p w14:paraId="097D07AD" w14:textId="44D36723" w:rsidR="00B7780E" w:rsidRDefault="00CA368F" w:rsidP="00025E77">
      <w:pPr>
        <w:spacing w:line="360" w:lineRule="auto"/>
        <w:jc w:val="both"/>
        <w:rPr>
          <w:rFonts w:ascii="Times New Roman" w:hAnsi="Times New Roman" w:cs="Times New Roman"/>
        </w:rPr>
      </w:pPr>
      <w:r w:rsidRPr="00CA368F">
        <w:rPr>
          <w:rFonts w:ascii="Times New Roman" w:hAnsi="Times New Roman" w:cs="Times New Roman"/>
        </w:rPr>
        <w:t>This study demonstrates that electrolyte and acid-base imbalances, particularly metabolic acidosis and hyperkalaemia, are prevalent and strongly associated with early renal dysfunction in a rural Indian cohort. The Electrolyte Stress Index (ESI) ≥15 proved to be a highly specific and practical tool for identifying individuals with significantly reduced eGFR. Furthermore, k-means clustering successfully delineated distinct high-risk phenotypes, including a cardio-renal subgroup. Collectively, these findings advocate for the integration of routine electrolyte panels, coupled with ESI calculation and phenotypic stratification, as a low-cost, effective strategy for early CKD detection and risk stratification in resource-limited primary care settings.</w:t>
      </w:r>
    </w:p>
    <w:p w14:paraId="259E6D9A" w14:textId="77777777" w:rsidR="00B32890" w:rsidRPr="00B32890" w:rsidRDefault="00B32890" w:rsidP="00B32890">
      <w:pPr>
        <w:pStyle w:val="NoSpacing"/>
        <w:rPr>
          <w:rFonts w:ascii="Times New Roman" w:hAnsi="Times New Roman" w:cs="Times New Roman"/>
          <w:b/>
          <w:bCs/>
        </w:rPr>
      </w:pPr>
      <w:r w:rsidRPr="00B32890">
        <w:rPr>
          <w:rFonts w:ascii="Times New Roman" w:hAnsi="Times New Roman" w:cs="Times New Roman"/>
          <w:b/>
          <w:bCs/>
        </w:rPr>
        <w:t>AUTHOR CONTRIBUTIONS:</w:t>
      </w:r>
    </w:p>
    <w:p w14:paraId="7B342B73" w14:textId="6B653B3C" w:rsidR="00B32890" w:rsidRPr="00B32890" w:rsidRDefault="00B32890" w:rsidP="00B32890">
      <w:pPr>
        <w:pStyle w:val="NoSpacing"/>
        <w:jc w:val="both"/>
        <w:rPr>
          <w:rFonts w:ascii="Times New Roman" w:hAnsi="Times New Roman" w:cs="Times New Roman"/>
        </w:rPr>
      </w:pPr>
      <w:r w:rsidRPr="00B32890">
        <w:rPr>
          <w:rFonts w:ascii="Times New Roman" w:hAnsi="Times New Roman" w:cs="Times New Roman"/>
        </w:rPr>
        <w:br/>
        <w:t>All authors made substantial contributions to the conception, design, execution, and manuscript preparation. All authors have read and agreed to the published version of the manuscript.</w:t>
      </w:r>
    </w:p>
    <w:p w14:paraId="5603C41F" w14:textId="77777777" w:rsidR="00B32890" w:rsidRPr="00B32890" w:rsidRDefault="00B32890" w:rsidP="00B32890">
      <w:pPr>
        <w:pStyle w:val="NoSpacing"/>
        <w:jc w:val="both"/>
        <w:rPr>
          <w:rFonts w:ascii="Times New Roman" w:hAnsi="Times New Roman" w:cs="Times New Roman"/>
        </w:rPr>
      </w:pPr>
    </w:p>
    <w:p w14:paraId="1A45F9F2" w14:textId="3AEA8A0E" w:rsidR="00B32890" w:rsidRPr="00B32890" w:rsidRDefault="00B32890" w:rsidP="00B32890">
      <w:pPr>
        <w:pStyle w:val="NoSpacing"/>
        <w:jc w:val="both"/>
        <w:rPr>
          <w:rFonts w:ascii="Times New Roman" w:hAnsi="Times New Roman" w:cs="Times New Roman"/>
        </w:rPr>
      </w:pPr>
      <w:r w:rsidRPr="00B32890">
        <w:rPr>
          <w:rFonts w:ascii="Times New Roman" w:hAnsi="Times New Roman" w:cs="Times New Roman"/>
          <w:b/>
          <w:bCs/>
        </w:rPr>
        <w:t>CONFLICT OF INTEREST</w:t>
      </w:r>
      <w:r w:rsidRPr="00B32890">
        <w:rPr>
          <w:rFonts w:ascii="Times New Roman" w:hAnsi="Times New Roman" w:cs="Times New Roman"/>
        </w:rPr>
        <w:t>: NIL</w:t>
      </w:r>
    </w:p>
    <w:p w14:paraId="1525872C" w14:textId="77777777" w:rsidR="00B32890" w:rsidRPr="00B32890" w:rsidRDefault="00B32890" w:rsidP="00B32890">
      <w:pPr>
        <w:pStyle w:val="NoSpacing"/>
        <w:jc w:val="both"/>
        <w:rPr>
          <w:rFonts w:ascii="Times New Roman" w:hAnsi="Times New Roman" w:cs="Times New Roman"/>
        </w:rPr>
      </w:pPr>
    </w:p>
    <w:p w14:paraId="05455449" w14:textId="2DEF3A64" w:rsidR="00B32890" w:rsidRPr="00B32890" w:rsidRDefault="00B32890" w:rsidP="00B32890">
      <w:pPr>
        <w:pStyle w:val="NoSpacing"/>
        <w:jc w:val="both"/>
        <w:rPr>
          <w:rFonts w:ascii="Times New Roman" w:hAnsi="Times New Roman" w:cs="Times New Roman"/>
        </w:rPr>
      </w:pPr>
      <w:r w:rsidRPr="00B32890">
        <w:rPr>
          <w:rFonts w:ascii="Times New Roman" w:hAnsi="Times New Roman" w:cs="Times New Roman"/>
          <w:b/>
          <w:bCs/>
        </w:rPr>
        <w:t>FUNDING</w:t>
      </w:r>
      <w:r w:rsidRPr="00B32890">
        <w:rPr>
          <w:rFonts w:ascii="Times New Roman" w:hAnsi="Times New Roman" w:cs="Times New Roman"/>
        </w:rPr>
        <w:t>: NIL</w:t>
      </w:r>
    </w:p>
    <w:p w14:paraId="423F1754" w14:textId="77777777" w:rsidR="00B32890" w:rsidRDefault="00B32890" w:rsidP="00025E77">
      <w:pPr>
        <w:spacing w:line="360" w:lineRule="auto"/>
        <w:jc w:val="both"/>
        <w:rPr>
          <w:rFonts w:ascii="Times New Roman" w:hAnsi="Times New Roman" w:cs="Times New Roman"/>
        </w:rPr>
      </w:pPr>
    </w:p>
    <w:p w14:paraId="453D4690" w14:textId="77777777" w:rsidR="00B7780E" w:rsidRDefault="00B7780E" w:rsidP="00B7780E">
      <w:pPr>
        <w:rPr>
          <w:rFonts w:ascii="Calibri" w:eastAsia="Calibri" w:hAnsi="Calibri" w:cs="Times New Roman"/>
          <w:highlight w:val="yellow"/>
          <w:lang w:val="en-US"/>
        </w:rPr>
      </w:pPr>
      <w:bookmarkStart w:id="2" w:name="_Hlk204003461"/>
      <w:r>
        <w:rPr>
          <w:rFonts w:ascii="Calibri" w:eastAsia="Calibri" w:hAnsi="Calibri" w:cs="Times New Roman"/>
          <w:highlight w:val="yellow"/>
          <w:lang w:val="en-US"/>
        </w:rPr>
        <w:t>Disclaimer (Artificial intelligence)</w:t>
      </w:r>
    </w:p>
    <w:p w14:paraId="5AC8D183" w14:textId="77777777" w:rsidR="00B7780E" w:rsidRDefault="00B7780E" w:rsidP="00B7780E">
      <w:pPr>
        <w:rPr>
          <w:rFonts w:ascii="Calibri" w:eastAsia="Calibri" w:hAnsi="Calibri" w:cs="Times New Roman"/>
          <w:highlight w:val="yellow"/>
          <w:lang w:val="en-US"/>
        </w:rPr>
      </w:pPr>
      <w:r>
        <w:rPr>
          <w:rFonts w:ascii="Calibri" w:eastAsia="Calibri" w:hAnsi="Calibri" w:cs="Times New Roman"/>
          <w:highlight w:val="yellow"/>
          <w:lang w:val="en-US"/>
        </w:rPr>
        <w:t>Option 1:</w:t>
      </w:r>
    </w:p>
    <w:p w14:paraId="651A6834" w14:textId="77777777" w:rsidR="00B7780E" w:rsidRDefault="00B7780E" w:rsidP="00B7780E">
      <w:pPr>
        <w:rPr>
          <w:rFonts w:ascii="Calibri" w:eastAsia="Calibri" w:hAnsi="Calibri" w:cs="Times New Roman"/>
          <w:highlight w:val="yellow"/>
          <w:lang w:val="en-US"/>
        </w:rPr>
      </w:pPr>
      <w:r>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bookmarkEnd w:id="2"/>
    <w:p w14:paraId="4271F9F0" w14:textId="77777777" w:rsidR="00B7780E" w:rsidRDefault="00B7780E" w:rsidP="00B7780E">
      <w:pPr>
        <w:rPr>
          <w:rFonts w:ascii="Calibri" w:eastAsia="Calibri" w:hAnsi="Calibri" w:cs="Times New Roman"/>
          <w:highlight w:val="yellow"/>
          <w:lang w:val="en-US"/>
        </w:rPr>
      </w:pPr>
    </w:p>
    <w:p w14:paraId="2F64B33F" w14:textId="77777777" w:rsidR="00B7780E" w:rsidRPr="00E60FBC" w:rsidRDefault="00B7780E" w:rsidP="00025E77">
      <w:pPr>
        <w:spacing w:line="360" w:lineRule="auto"/>
        <w:jc w:val="both"/>
        <w:rPr>
          <w:rFonts w:ascii="Times New Roman" w:hAnsi="Times New Roman" w:cs="Times New Roman"/>
        </w:rPr>
      </w:pPr>
    </w:p>
    <w:p w14:paraId="5F31789D" w14:textId="38E60F04" w:rsidR="00B224E9" w:rsidRPr="00025E77" w:rsidRDefault="00A45DB9" w:rsidP="008850B2">
      <w:pPr>
        <w:spacing w:line="360" w:lineRule="auto"/>
        <w:jc w:val="both"/>
        <w:rPr>
          <w:rFonts w:ascii="Times New Roman" w:hAnsi="Times New Roman" w:cs="Times New Roman"/>
          <w:b/>
          <w:bCs/>
        </w:rPr>
      </w:pPr>
      <w:r w:rsidRPr="00025E77">
        <w:rPr>
          <w:rFonts w:ascii="Times New Roman" w:hAnsi="Times New Roman" w:cs="Times New Roman"/>
          <w:b/>
          <w:bCs/>
        </w:rPr>
        <w:t>REFERENCES</w:t>
      </w:r>
    </w:p>
    <w:p w14:paraId="261A5F7A" w14:textId="399AAEA6" w:rsidR="00B224E9" w:rsidRDefault="00B224E9" w:rsidP="00B224E9">
      <w:pPr>
        <w:pStyle w:val="ListParagraph"/>
        <w:numPr>
          <w:ilvl w:val="0"/>
          <w:numId w:val="12"/>
        </w:numPr>
        <w:spacing w:line="360" w:lineRule="auto"/>
        <w:jc w:val="both"/>
        <w:rPr>
          <w:rFonts w:ascii="Times New Roman" w:hAnsi="Times New Roman" w:cs="Times New Roman"/>
        </w:rPr>
      </w:pPr>
      <w:r w:rsidRPr="00B224E9">
        <w:rPr>
          <w:rFonts w:ascii="Times New Roman" w:hAnsi="Times New Roman" w:cs="Times New Roman"/>
        </w:rPr>
        <w:t xml:space="preserve">Dhondup T, Qian Q. Acid-Base and Electrolyte Disorders in Patients with and without </w:t>
      </w:r>
      <w:r w:rsidR="00667F80" w:rsidRPr="00B224E9">
        <w:rPr>
          <w:rFonts w:ascii="Times New Roman" w:hAnsi="Times New Roman" w:cs="Times New Roman"/>
        </w:rPr>
        <w:t>chronic kidney disease</w:t>
      </w:r>
      <w:r w:rsidRPr="00B224E9">
        <w:rPr>
          <w:rFonts w:ascii="Times New Roman" w:hAnsi="Times New Roman" w:cs="Times New Roman"/>
        </w:rPr>
        <w:t>: An Update. Kidney Dis (Basel). 2017 Dec;3(4):136-148. doi: 10.1159/000479968. Epub 2017 Oct 5. PMID: 29344508; PMCID: PMC5757582.</w:t>
      </w:r>
    </w:p>
    <w:p w14:paraId="4E1D2120" w14:textId="738BE790" w:rsidR="00B224E9" w:rsidRDefault="00B224E9" w:rsidP="00B224E9">
      <w:pPr>
        <w:pStyle w:val="ListParagraph"/>
        <w:numPr>
          <w:ilvl w:val="0"/>
          <w:numId w:val="12"/>
        </w:numPr>
        <w:spacing w:line="360" w:lineRule="auto"/>
        <w:jc w:val="both"/>
        <w:rPr>
          <w:rFonts w:ascii="Times New Roman" w:hAnsi="Times New Roman" w:cs="Times New Roman"/>
        </w:rPr>
      </w:pPr>
      <w:proofErr w:type="spellStart"/>
      <w:r w:rsidRPr="00B224E9">
        <w:rPr>
          <w:rFonts w:ascii="Times New Roman" w:hAnsi="Times New Roman" w:cs="Times New Roman"/>
        </w:rPr>
        <w:lastRenderedPageBreak/>
        <w:t>Nagami</w:t>
      </w:r>
      <w:proofErr w:type="spellEnd"/>
      <w:r w:rsidRPr="00B224E9">
        <w:rPr>
          <w:rFonts w:ascii="Times New Roman" w:hAnsi="Times New Roman" w:cs="Times New Roman"/>
        </w:rPr>
        <w:t xml:space="preserve"> GT, Kraut JA. Regulation of Acid-Base Balance in Patients </w:t>
      </w:r>
      <w:r w:rsidR="00E252E3" w:rsidRPr="00B224E9">
        <w:rPr>
          <w:rFonts w:ascii="Times New Roman" w:hAnsi="Times New Roman" w:cs="Times New Roman"/>
        </w:rPr>
        <w:t>with</w:t>
      </w:r>
      <w:r w:rsidRPr="00B224E9">
        <w:rPr>
          <w:rFonts w:ascii="Times New Roman" w:hAnsi="Times New Roman" w:cs="Times New Roman"/>
        </w:rPr>
        <w:t xml:space="preserve"> Chronic Kidney Disease. Adv Chronic Kidney Dis. 2022 Jul;29(4):337-342. doi: 10.1053/j.ackd.2022.05.004. PMID: 36175071.</w:t>
      </w:r>
    </w:p>
    <w:p w14:paraId="243B4B17" w14:textId="4A153DBD" w:rsidR="00B224E9" w:rsidRDefault="00B224E9" w:rsidP="00B224E9">
      <w:pPr>
        <w:pStyle w:val="ListParagraph"/>
        <w:numPr>
          <w:ilvl w:val="0"/>
          <w:numId w:val="12"/>
        </w:numPr>
        <w:spacing w:line="360" w:lineRule="auto"/>
        <w:jc w:val="both"/>
        <w:rPr>
          <w:rFonts w:ascii="Times New Roman" w:hAnsi="Times New Roman" w:cs="Times New Roman"/>
        </w:rPr>
      </w:pPr>
      <w:r w:rsidRPr="00B224E9">
        <w:rPr>
          <w:rFonts w:ascii="Times New Roman" w:hAnsi="Times New Roman" w:cs="Times New Roman"/>
        </w:rPr>
        <w:t xml:space="preserve">Duff R, Awofala O, Arshad MT, </w:t>
      </w:r>
      <w:proofErr w:type="spellStart"/>
      <w:r w:rsidRPr="00B224E9">
        <w:rPr>
          <w:rFonts w:ascii="Times New Roman" w:hAnsi="Times New Roman" w:cs="Times New Roman"/>
        </w:rPr>
        <w:t>Lambourg</w:t>
      </w:r>
      <w:proofErr w:type="spellEnd"/>
      <w:r w:rsidRPr="00B224E9">
        <w:rPr>
          <w:rFonts w:ascii="Times New Roman" w:hAnsi="Times New Roman" w:cs="Times New Roman"/>
        </w:rPr>
        <w:t xml:space="preserve"> E, </w:t>
      </w:r>
      <w:proofErr w:type="spellStart"/>
      <w:r w:rsidRPr="00B224E9">
        <w:rPr>
          <w:rFonts w:ascii="Times New Roman" w:hAnsi="Times New Roman" w:cs="Times New Roman"/>
        </w:rPr>
        <w:t>Gallacher</w:t>
      </w:r>
      <w:proofErr w:type="spellEnd"/>
      <w:r w:rsidRPr="00B224E9">
        <w:rPr>
          <w:rFonts w:ascii="Times New Roman" w:hAnsi="Times New Roman" w:cs="Times New Roman"/>
        </w:rPr>
        <w:t xml:space="preserve"> P, </w:t>
      </w:r>
      <w:proofErr w:type="spellStart"/>
      <w:r w:rsidRPr="00B224E9">
        <w:rPr>
          <w:rFonts w:ascii="Times New Roman" w:hAnsi="Times New Roman" w:cs="Times New Roman"/>
        </w:rPr>
        <w:t>Dhaun</w:t>
      </w:r>
      <w:proofErr w:type="spellEnd"/>
      <w:r w:rsidRPr="00B224E9">
        <w:rPr>
          <w:rFonts w:ascii="Times New Roman" w:hAnsi="Times New Roman" w:cs="Times New Roman"/>
        </w:rPr>
        <w:t xml:space="preserve"> N, Bell S. Global health inequalities of chronic kidney disease: a meta-analysis. Nephrol Dial Transplant. 2024 Sep 27;39(10):1692-1709. </w:t>
      </w:r>
      <w:proofErr w:type="spellStart"/>
      <w:r w:rsidRPr="00B224E9">
        <w:rPr>
          <w:rFonts w:ascii="Times New Roman" w:hAnsi="Times New Roman" w:cs="Times New Roman"/>
        </w:rPr>
        <w:t>doi</w:t>
      </w:r>
      <w:proofErr w:type="spellEnd"/>
      <w:r w:rsidRPr="00B224E9">
        <w:rPr>
          <w:rFonts w:ascii="Times New Roman" w:hAnsi="Times New Roman" w:cs="Times New Roman"/>
        </w:rPr>
        <w:t>: 10.1093/</w:t>
      </w:r>
      <w:proofErr w:type="spellStart"/>
      <w:r w:rsidRPr="00B224E9">
        <w:rPr>
          <w:rFonts w:ascii="Times New Roman" w:hAnsi="Times New Roman" w:cs="Times New Roman"/>
        </w:rPr>
        <w:t>ndt</w:t>
      </w:r>
      <w:proofErr w:type="spellEnd"/>
      <w:r w:rsidRPr="00B224E9">
        <w:rPr>
          <w:rFonts w:ascii="Times New Roman" w:hAnsi="Times New Roman" w:cs="Times New Roman"/>
        </w:rPr>
        <w:t xml:space="preserve">/gfae048. Erratum in: Nephrol Dial Transplant. 2025 Jun 30;40(7):1442. </w:t>
      </w:r>
      <w:proofErr w:type="spellStart"/>
      <w:r w:rsidRPr="00B224E9">
        <w:rPr>
          <w:rFonts w:ascii="Times New Roman" w:hAnsi="Times New Roman" w:cs="Times New Roman"/>
        </w:rPr>
        <w:t>doi</w:t>
      </w:r>
      <w:proofErr w:type="spellEnd"/>
      <w:r w:rsidRPr="00B224E9">
        <w:rPr>
          <w:rFonts w:ascii="Times New Roman" w:hAnsi="Times New Roman" w:cs="Times New Roman"/>
        </w:rPr>
        <w:t>: 10.1093/</w:t>
      </w:r>
      <w:proofErr w:type="spellStart"/>
      <w:r w:rsidRPr="00B224E9">
        <w:rPr>
          <w:rFonts w:ascii="Times New Roman" w:hAnsi="Times New Roman" w:cs="Times New Roman"/>
        </w:rPr>
        <w:t>ndt</w:t>
      </w:r>
      <w:proofErr w:type="spellEnd"/>
      <w:r w:rsidRPr="00B224E9">
        <w:rPr>
          <w:rFonts w:ascii="Times New Roman" w:hAnsi="Times New Roman" w:cs="Times New Roman"/>
        </w:rPr>
        <w:t>/gfaf080. PMID: 38389223; PMCID: PMC11483576.</w:t>
      </w:r>
    </w:p>
    <w:p w14:paraId="4D7C9FDE" w14:textId="63F59DFC" w:rsidR="00B224E9" w:rsidRDefault="00B224E9" w:rsidP="00B224E9">
      <w:pPr>
        <w:pStyle w:val="ListParagraph"/>
        <w:numPr>
          <w:ilvl w:val="0"/>
          <w:numId w:val="12"/>
        </w:numPr>
        <w:spacing w:line="360" w:lineRule="auto"/>
        <w:jc w:val="both"/>
        <w:rPr>
          <w:rFonts w:ascii="Times New Roman" w:hAnsi="Times New Roman" w:cs="Times New Roman"/>
        </w:rPr>
      </w:pPr>
      <w:r w:rsidRPr="00B224E9">
        <w:rPr>
          <w:rFonts w:ascii="Times New Roman" w:hAnsi="Times New Roman" w:cs="Times New Roman"/>
        </w:rPr>
        <w:t>Francis, A., Harhay, M.N., Ong, A.C.M. </w:t>
      </w:r>
      <w:r w:rsidRPr="00B224E9">
        <w:rPr>
          <w:rFonts w:ascii="Times New Roman" w:hAnsi="Times New Roman" w:cs="Times New Roman"/>
          <w:i/>
          <w:iCs/>
        </w:rPr>
        <w:t>et al.</w:t>
      </w:r>
      <w:r w:rsidRPr="00B224E9">
        <w:rPr>
          <w:rFonts w:ascii="Times New Roman" w:hAnsi="Times New Roman" w:cs="Times New Roman"/>
        </w:rPr>
        <w:t> </w:t>
      </w:r>
      <w:r w:rsidR="00E252E3" w:rsidRPr="00B224E9">
        <w:rPr>
          <w:rFonts w:ascii="Times New Roman" w:hAnsi="Times New Roman" w:cs="Times New Roman"/>
        </w:rPr>
        <w:t>chronic kidney disease</w:t>
      </w:r>
      <w:r w:rsidRPr="00B224E9">
        <w:rPr>
          <w:rFonts w:ascii="Times New Roman" w:hAnsi="Times New Roman" w:cs="Times New Roman"/>
        </w:rPr>
        <w:t xml:space="preserve"> and the global public health agenda: an international consensus. </w:t>
      </w:r>
      <w:r w:rsidRPr="00B224E9">
        <w:rPr>
          <w:rFonts w:ascii="Times New Roman" w:hAnsi="Times New Roman" w:cs="Times New Roman"/>
          <w:i/>
          <w:iCs/>
        </w:rPr>
        <w:t>Nat Rev Nephrol</w:t>
      </w:r>
      <w:r w:rsidRPr="00B224E9">
        <w:rPr>
          <w:rFonts w:ascii="Times New Roman" w:hAnsi="Times New Roman" w:cs="Times New Roman"/>
        </w:rPr>
        <w:t> </w:t>
      </w:r>
      <w:r w:rsidRPr="00B224E9">
        <w:rPr>
          <w:rFonts w:ascii="Times New Roman" w:hAnsi="Times New Roman" w:cs="Times New Roman"/>
          <w:b/>
          <w:bCs/>
        </w:rPr>
        <w:t>20</w:t>
      </w:r>
      <w:r w:rsidRPr="00B224E9">
        <w:rPr>
          <w:rFonts w:ascii="Times New Roman" w:hAnsi="Times New Roman" w:cs="Times New Roman"/>
        </w:rPr>
        <w:t xml:space="preserve">, 473–485 (2024). </w:t>
      </w:r>
      <w:hyperlink r:id="rId10" w:history="1">
        <w:r w:rsidRPr="00BE1000">
          <w:rPr>
            <w:rStyle w:val="Hyperlink"/>
            <w:rFonts w:ascii="Times New Roman" w:hAnsi="Times New Roman" w:cs="Times New Roman"/>
          </w:rPr>
          <w:t>https://doi.org/10.1038/s41581-024-00820-6</w:t>
        </w:r>
      </w:hyperlink>
    </w:p>
    <w:p w14:paraId="3BC98C6C" w14:textId="2186CFAB" w:rsidR="00B224E9" w:rsidRDefault="00B224E9" w:rsidP="00B224E9">
      <w:pPr>
        <w:pStyle w:val="ListParagraph"/>
        <w:numPr>
          <w:ilvl w:val="0"/>
          <w:numId w:val="12"/>
        </w:numPr>
        <w:spacing w:line="360" w:lineRule="auto"/>
        <w:jc w:val="both"/>
        <w:rPr>
          <w:rFonts w:ascii="Times New Roman" w:hAnsi="Times New Roman" w:cs="Times New Roman"/>
        </w:rPr>
      </w:pPr>
      <w:r w:rsidRPr="00B224E9">
        <w:rPr>
          <w:rFonts w:ascii="Times New Roman" w:hAnsi="Times New Roman" w:cs="Times New Roman"/>
        </w:rPr>
        <w:t xml:space="preserve">M </w:t>
      </w:r>
      <w:proofErr w:type="spellStart"/>
      <w:r w:rsidRPr="00B224E9">
        <w:rPr>
          <w:rFonts w:ascii="Times New Roman" w:hAnsi="Times New Roman" w:cs="Times New Roman"/>
        </w:rPr>
        <w:t>Hassanein</w:t>
      </w:r>
      <w:proofErr w:type="spellEnd"/>
      <w:r w:rsidRPr="00B224E9">
        <w:rPr>
          <w:rFonts w:ascii="Times New Roman" w:hAnsi="Times New Roman" w:cs="Times New Roman"/>
        </w:rPr>
        <w:t xml:space="preserve"> S </w:t>
      </w:r>
      <w:proofErr w:type="spellStart"/>
      <w:r w:rsidRPr="00B224E9">
        <w:rPr>
          <w:rFonts w:ascii="Times New Roman" w:hAnsi="Times New Roman" w:cs="Times New Roman"/>
        </w:rPr>
        <w:t>Arrigain</w:t>
      </w:r>
      <w:proofErr w:type="spellEnd"/>
      <w:r w:rsidRPr="00B224E9">
        <w:rPr>
          <w:rFonts w:ascii="Times New Roman" w:hAnsi="Times New Roman" w:cs="Times New Roman"/>
        </w:rPr>
        <w:t xml:space="preserve"> JD </w:t>
      </w:r>
      <w:proofErr w:type="spellStart"/>
      <w:r w:rsidRPr="00B224E9">
        <w:rPr>
          <w:rFonts w:ascii="Times New Roman" w:hAnsi="Times New Roman" w:cs="Times New Roman"/>
        </w:rPr>
        <w:t>Schold</w:t>
      </w:r>
      <w:proofErr w:type="spellEnd"/>
      <w:r w:rsidRPr="00B224E9">
        <w:rPr>
          <w:rFonts w:ascii="Times New Roman" w:hAnsi="Times New Roman" w:cs="Times New Roman"/>
        </w:rPr>
        <w:t xml:space="preserve"> GN Nakhoul SD Navaneethan A Mehdi A Sekar J Tabbara JJ Taliercio CRIC Investigators. </w:t>
      </w:r>
      <w:proofErr w:type="spellStart"/>
      <w:r w:rsidRPr="00B224E9">
        <w:rPr>
          <w:rFonts w:ascii="Times New Roman" w:hAnsi="Times New Roman" w:cs="Times New Roman"/>
        </w:rPr>
        <w:t>Dysnatremias</w:t>
      </w:r>
      <w:proofErr w:type="spellEnd"/>
      <w:r w:rsidRPr="00B224E9">
        <w:rPr>
          <w:rFonts w:ascii="Times New Roman" w:hAnsi="Times New Roman" w:cs="Times New Roman"/>
        </w:rPr>
        <w:t xml:space="preserve">, mortality, and kidney failure in CKD: Findings from the Chronic Renal Insufficiency Cohort (CRIC) Study. Kidney Med. </w:t>
      </w:r>
      <w:r w:rsidR="00E252E3" w:rsidRPr="00B224E9">
        <w:rPr>
          <w:rFonts w:ascii="Times New Roman" w:hAnsi="Times New Roman" w:cs="Times New Roman"/>
        </w:rPr>
        <w:t>2022; 4:100554</w:t>
      </w:r>
      <w:r w:rsidRPr="00B224E9">
        <w:rPr>
          <w:rFonts w:ascii="Times New Roman" w:hAnsi="Times New Roman" w:cs="Times New Roman"/>
        </w:rPr>
        <w:t>.</w:t>
      </w:r>
    </w:p>
    <w:p w14:paraId="218DEB6C" w14:textId="339EEFE6" w:rsidR="00B224E9" w:rsidRDefault="00B224E9" w:rsidP="00B224E9">
      <w:pPr>
        <w:pStyle w:val="ListParagraph"/>
        <w:numPr>
          <w:ilvl w:val="0"/>
          <w:numId w:val="12"/>
        </w:numPr>
        <w:spacing w:line="360" w:lineRule="auto"/>
        <w:jc w:val="both"/>
        <w:rPr>
          <w:rFonts w:ascii="Times New Roman" w:hAnsi="Times New Roman" w:cs="Times New Roman"/>
        </w:rPr>
      </w:pPr>
      <w:r w:rsidRPr="00B224E9">
        <w:rPr>
          <w:rFonts w:ascii="Times New Roman" w:hAnsi="Times New Roman" w:cs="Times New Roman"/>
        </w:rPr>
        <w:t>Men, R., Zhu, M., Li, P. </w:t>
      </w:r>
      <w:r w:rsidRPr="00B224E9">
        <w:rPr>
          <w:rFonts w:ascii="Times New Roman" w:hAnsi="Times New Roman" w:cs="Times New Roman"/>
          <w:i/>
          <w:iCs/>
        </w:rPr>
        <w:t>et al.</w:t>
      </w:r>
      <w:r w:rsidRPr="00B224E9">
        <w:rPr>
          <w:rFonts w:ascii="Times New Roman" w:hAnsi="Times New Roman" w:cs="Times New Roman"/>
        </w:rPr>
        <w:t xml:space="preserve"> Associations between serum potassium variability and mortality in patients undergoing maintenance </w:t>
      </w:r>
      <w:proofErr w:type="spellStart"/>
      <w:r w:rsidRPr="00B224E9">
        <w:rPr>
          <w:rFonts w:ascii="Times New Roman" w:hAnsi="Times New Roman" w:cs="Times New Roman"/>
        </w:rPr>
        <w:t>hemodialysis</w:t>
      </w:r>
      <w:proofErr w:type="spellEnd"/>
      <w:r w:rsidRPr="00B224E9">
        <w:rPr>
          <w:rFonts w:ascii="Times New Roman" w:hAnsi="Times New Roman" w:cs="Times New Roman"/>
        </w:rPr>
        <w:t>: a retrospective study. </w:t>
      </w:r>
      <w:r w:rsidRPr="00B224E9">
        <w:rPr>
          <w:rFonts w:ascii="Times New Roman" w:hAnsi="Times New Roman" w:cs="Times New Roman"/>
          <w:i/>
          <w:iCs/>
        </w:rPr>
        <w:t>Sci Rep</w:t>
      </w:r>
      <w:r w:rsidRPr="00B224E9">
        <w:rPr>
          <w:rFonts w:ascii="Times New Roman" w:hAnsi="Times New Roman" w:cs="Times New Roman"/>
        </w:rPr>
        <w:t> </w:t>
      </w:r>
      <w:r w:rsidRPr="00B224E9">
        <w:rPr>
          <w:rFonts w:ascii="Times New Roman" w:hAnsi="Times New Roman" w:cs="Times New Roman"/>
          <w:b/>
          <w:bCs/>
        </w:rPr>
        <w:t>14</w:t>
      </w:r>
      <w:r w:rsidRPr="00B224E9">
        <w:rPr>
          <w:rFonts w:ascii="Times New Roman" w:hAnsi="Times New Roman" w:cs="Times New Roman"/>
        </w:rPr>
        <w:t xml:space="preserve">, 29998 (2024). </w:t>
      </w:r>
      <w:hyperlink r:id="rId11" w:history="1">
        <w:r w:rsidRPr="00BE1000">
          <w:rPr>
            <w:rStyle w:val="Hyperlink"/>
            <w:rFonts w:ascii="Times New Roman" w:hAnsi="Times New Roman" w:cs="Times New Roman"/>
          </w:rPr>
          <w:t>https://doi.org/10.1038/s41598-024-80709-3</w:t>
        </w:r>
      </w:hyperlink>
    </w:p>
    <w:p w14:paraId="798F1328" w14:textId="7DF8467F" w:rsidR="00B224E9" w:rsidRDefault="00B224E9" w:rsidP="00B224E9">
      <w:pPr>
        <w:pStyle w:val="ListParagraph"/>
        <w:numPr>
          <w:ilvl w:val="0"/>
          <w:numId w:val="12"/>
        </w:numPr>
        <w:spacing w:line="360" w:lineRule="auto"/>
        <w:jc w:val="both"/>
        <w:rPr>
          <w:rFonts w:ascii="Times New Roman" w:hAnsi="Times New Roman" w:cs="Times New Roman"/>
        </w:rPr>
      </w:pPr>
      <w:r w:rsidRPr="00B224E9">
        <w:rPr>
          <w:rFonts w:ascii="Times New Roman" w:hAnsi="Times New Roman" w:cs="Times New Roman"/>
        </w:rPr>
        <w:t xml:space="preserve">Clase, C. M. et al. Potassium homeostasis and management of </w:t>
      </w:r>
      <w:proofErr w:type="spellStart"/>
      <w:r w:rsidRPr="00B224E9">
        <w:rPr>
          <w:rFonts w:ascii="Times New Roman" w:hAnsi="Times New Roman" w:cs="Times New Roman"/>
        </w:rPr>
        <w:t>dyskalemia</w:t>
      </w:r>
      <w:proofErr w:type="spellEnd"/>
      <w:r w:rsidRPr="00B224E9">
        <w:rPr>
          <w:rFonts w:ascii="Times New Roman" w:hAnsi="Times New Roman" w:cs="Times New Roman"/>
        </w:rPr>
        <w:t xml:space="preserve"> in kidney diseases: conclusions from a kidney disease: Improving global outcomes (KDIGO) controversies conference. </w:t>
      </w:r>
      <w:r w:rsidRPr="00B224E9">
        <w:rPr>
          <w:rFonts w:ascii="Times New Roman" w:hAnsi="Times New Roman" w:cs="Times New Roman"/>
          <w:i/>
          <w:iCs/>
        </w:rPr>
        <w:t>Kidney Int.</w:t>
      </w:r>
      <w:r w:rsidRPr="00B224E9">
        <w:rPr>
          <w:rFonts w:ascii="Times New Roman" w:hAnsi="Times New Roman" w:cs="Times New Roman"/>
        </w:rPr>
        <w:t> </w:t>
      </w:r>
      <w:r w:rsidRPr="00B224E9">
        <w:rPr>
          <w:rFonts w:ascii="Times New Roman" w:hAnsi="Times New Roman" w:cs="Times New Roman"/>
          <w:b/>
          <w:bCs/>
        </w:rPr>
        <w:t>97</w:t>
      </w:r>
      <w:r w:rsidRPr="00B224E9">
        <w:rPr>
          <w:rFonts w:ascii="Times New Roman" w:hAnsi="Times New Roman" w:cs="Times New Roman"/>
        </w:rPr>
        <w:t>, 42–61 (2020).</w:t>
      </w:r>
    </w:p>
    <w:p w14:paraId="6709A44C" w14:textId="4FE124AB" w:rsidR="00B224E9" w:rsidRDefault="00B224E9" w:rsidP="00B224E9">
      <w:pPr>
        <w:pStyle w:val="ListParagraph"/>
        <w:numPr>
          <w:ilvl w:val="0"/>
          <w:numId w:val="12"/>
        </w:numPr>
        <w:spacing w:line="360" w:lineRule="auto"/>
        <w:jc w:val="both"/>
        <w:rPr>
          <w:rFonts w:ascii="Times New Roman" w:hAnsi="Times New Roman" w:cs="Times New Roman"/>
        </w:rPr>
      </w:pPr>
      <w:r w:rsidRPr="00B224E9">
        <w:rPr>
          <w:rFonts w:ascii="Times New Roman" w:hAnsi="Times New Roman" w:cs="Times New Roman"/>
        </w:rPr>
        <w:t>Lombardi, G., Gambaro, G. &amp; Ferraro, P. M. Serum potassium variability is associated with increased mortality in a large cohort of hospitalized patients. </w:t>
      </w:r>
      <w:r w:rsidRPr="00B224E9">
        <w:rPr>
          <w:rFonts w:ascii="Times New Roman" w:hAnsi="Times New Roman" w:cs="Times New Roman"/>
          <w:i/>
          <w:iCs/>
        </w:rPr>
        <w:t xml:space="preserve">Nephrol. Dial </w:t>
      </w:r>
      <w:proofErr w:type="spellStart"/>
      <w:r w:rsidRPr="00B224E9">
        <w:rPr>
          <w:rFonts w:ascii="Times New Roman" w:hAnsi="Times New Roman" w:cs="Times New Roman"/>
          <w:i/>
          <w:iCs/>
        </w:rPr>
        <w:t>Transpl</w:t>
      </w:r>
      <w:proofErr w:type="spellEnd"/>
      <w:r w:rsidRPr="00B224E9">
        <w:rPr>
          <w:rFonts w:ascii="Times New Roman" w:hAnsi="Times New Roman" w:cs="Times New Roman"/>
          <w:i/>
          <w:iCs/>
        </w:rPr>
        <w:t>.</w:t>
      </w:r>
      <w:r w:rsidRPr="00B224E9">
        <w:rPr>
          <w:rFonts w:ascii="Times New Roman" w:hAnsi="Times New Roman" w:cs="Times New Roman"/>
        </w:rPr>
        <w:t> </w:t>
      </w:r>
      <w:r w:rsidRPr="00B224E9">
        <w:rPr>
          <w:rFonts w:ascii="Times New Roman" w:hAnsi="Times New Roman" w:cs="Times New Roman"/>
          <w:b/>
          <w:bCs/>
        </w:rPr>
        <w:t>37</w:t>
      </w:r>
      <w:r w:rsidRPr="00B224E9">
        <w:rPr>
          <w:rFonts w:ascii="Times New Roman" w:hAnsi="Times New Roman" w:cs="Times New Roman"/>
        </w:rPr>
        <w:t>, 1482–1487 (2022).</w:t>
      </w:r>
    </w:p>
    <w:p w14:paraId="50631F7D" w14:textId="65542319" w:rsidR="008850B2" w:rsidRPr="00025E77" w:rsidRDefault="00B32873" w:rsidP="008850B2">
      <w:pPr>
        <w:pStyle w:val="ListParagraph"/>
        <w:numPr>
          <w:ilvl w:val="0"/>
          <w:numId w:val="12"/>
        </w:numPr>
        <w:spacing w:line="360" w:lineRule="auto"/>
        <w:jc w:val="both"/>
        <w:rPr>
          <w:rFonts w:ascii="Times New Roman" w:hAnsi="Times New Roman" w:cs="Times New Roman"/>
        </w:rPr>
      </w:pPr>
      <w:r w:rsidRPr="00B32873">
        <w:rPr>
          <w:rFonts w:ascii="Times New Roman" w:hAnsi="Times New Roman" w:cs="Times New Roman"/>
        </w:rPr>
        <w:t>Hoppe, L. K. et al. Association of abnormal serum potassium levels with arrhythmias and cardiovascular mortality: a systematic review and meta-analysis of observational studies. </w:t>
      </w:r>
      <w:r w:rsidRPr="00B32873">
        <w:rPr>
          <w:rFonts w:ascii="Times New Roman" w:hAnsi="Times New Roman" w:cs="Times New Roman"/>
          <w:i/>
          <w:iCs/>
        </w:rPr>
        <w:t>Cardiovasc. Drugs Ther.</w:t>
      </w:r>
      <w:r w:rsidRPr="00B32873">
        <w:rPr>
          <w:rFonts w:ascii="Times New Roman" w:hAnsi="Times New Roman" w:cs="Times New Roman"/>
        </w:rPr>
        <w:t> </w:t>
      </w:r>
      <w:r w:rsidRPr="00B32873">
        <w:rPr>
          <w:rFonts w:ascii="Times New Roman" w:hAnsi="Times New Roman" w:cs="Times New Roman"/>
          <w:b/>
          <w:bCs/>
        </w:rPr>
        <w:t>32</w:t>
      </w:r>
      <w:r w:rsidRPr="00B32873">
        <w:rPr>
          <w:rFonts w:ascii="Times New Roman" w:hAnsi="Times New Roman" w:cs="Times New Roman"/>
        </w:rPr>
        <w:t>, 197–212 (2018).</w:t>
      </w:r>
    </w:p>
    <w:p w14:paraId="05BBF0D4" w14:textId="2D5AA4B7" w:rsidR="008850B2" w:rsidRPr="00025E77" w:rsidRDefault="008850B2" w:rsidP="00025E77">
      <w:pPr>
        <w:pStyle w:val="ListParagraph"/>
        <w:numPr>
          <w:ilvl w:val="0"/>
          <w:numId w:val="12"/>
        </w:numPr>
        <w:spacing w:line="360" w:lineRule="auto"/>
        <w:jc w:val="both"/>
        <w:rPr>
          <w:rFonts w:ascii="Times New Roman" w:hAnsi="Times New Roman" w:cs="Times New Roman"/>
        </w:rPr>
      </w:pPr>
      <w:r w:rsidRPr="00025E77">
        <w:rPr>
          <w:rFonts w:ascii="Times New Roman" w:hAnsi="Times New Roman" w:cs="Times New Roman"/>
        </w:rPr>
        <w:t xml:space="preserve">Jha R, Ghosh T, Das S, et al. Prevalence and correlates of hyperuricemia among adults in urban eastern India. </w:t>
      </w:r>
      <w:r w:rsidRPr="00025E77">
        <w:rPr>
          <w:rFonts w:ascii="Times New Roman" w:hAnsi="Times New Roman" w:cs="Times New Roman"/>
          <w:i/>
          <w:iCs/>
        </w:rPr>
        <w:t>J Clin Diagn Res</w:t>
      </w:r>
      <w:r w:rsidRPr="00025E77">
        <w:rPr>
          <w:rFonts w:ascii="Times New Roman" w:hAnsi="Times New Roman" w:cs="Times New Roman"/>
        </w:rPr>
        <w:t>. 2021;15(3</w:t>
      </w:r>
      <w:r w:rsidR="00E252E3" w:rsidRPr="00025E77">
        <w:rPr>
          <w:rFonts w:ascii="Times New Roman" w:hAnsi="Times New Roman" w:cs="Times New Roman"/>
        </w:rPr>
        <w:t>): OC</w:t>
      </w:r>
      <w:r w:rsidRPr="00025E77">
        <w:rPr>
          <w:rFonts w:ascii="Times New Roman" w:hAnsi="Times New Roman" w:cs="Times New Roman"/>
        </w:rPr>
        <w:t>01–OC05.</w:t>
      </w:r>
    </w:p>
    <w:p w14:paraId="1612B681" w14:textId="77777777" w:rsidR="008850B2" w:rsidRPr="008850B2" w:rsidRDefault="008850B2" w:rsidP="00025E77">
      <w:pPr>
        <w:numPr>
          <w:ilvl w:val="0"/>
          <w:numId w:val="12"/>
        </w:numPr>
        <w:spacing w:line="360" w:lineRule="auto"/>
        <w:jc w:val="both"/>
        <w:rPr>
          <w:rFonts w:ascii="Times New Roman" w:hAnsi="Times New Roman" w:cs="Times New Roman"/>
        </w:rPr>
      </w:pPr>
      <w:r w:rsidRPr="008850B2">
        <w:rPr>
          <w:rFonts w:ascii="Times New Roman" w:hAnsi="Times New Roman" w:cs="Times New Roman"/>
        </w:rPr>
        <w:t xml:space="preserve">Dobre M, Yang W, Chen J, et al. Association of serum bicarbonate with risk of renal and cardiovascular outcomes in CKD: a report from the CRIC Study. </w:t>
      </w:r>
      <w:r w:rsidRPr="008850B2">
        <w:rPr>
          <w:rFonts w:ascii="Times New Roman" w:hAnsi="Times New Roman" w:cs="Times New Roman"/>
          <w:i/>
          <w:iCs/>
        </w:rPr>
        <w:t>Am J Kidney Dis</w:t>
      </w:r>
      <w:r w:rsidRPr="008850B2">
        <w:rPr>
          <w:rFonts w:ascii="Times New Roman" w:hAnsi="Times New Roman" w:cs="Times New Roman"/>
        </w:rPr>
        <w:t>. 2021;77(3):326–334.e1.</w:t>
      </w:r>
    </w:p>
    <w:p w14:paraId="66F04342" w14:textId="77777777" w:rsidR="008850B2" w:rsidRPr="008850B2" w:rsidRDefault="008850B2" w:rsidP="00025E77">
      <w:pPr>
        <w:numPr>
          <w:ilvl w:val="0"/>
          <w:numId w:val="12"/>
        </w:numPr>
        <w:spacing w:line="360" w:lineRule="auto"/>
        <w:jc w:val="both"/>
        <w:rPr>
          <w:rFonts w:ascii="Times New Roman" w:hAnsi="Times New Roman" w:cs="Times New Roman"/>
        </w:rPr>
      </w:pPr>
      <w:r w:rsidRPr="008850B2">
        <w:rPr>
          <w:rFonts w:ascii="Times New Roman" w:hAnsi="Times New Roman" w:cs="Times New Roman"/>
        </w:rPr>
        <w:lastRenderedPageBreak/>
        <w:t xml:space="preserve">Kraut JA, Madias NE. Impact of </w:t>
      </w:r>
      <w:proofErr w:type="spellStart"/>
      <w:r w:rsidRPr="008850B2">
        <w:rPr>
          <w:rFonts w:ascii="Times New Roman" w:hAnsi="Times New Roman" w:cs="Times New Roman"/>
        </w:rPr>
        <w:t>hyperkalemia</w:t>
      </w:r>
      <w:proofErr w:type="spellEnd"/>
      <w:r w:rsidRPr="008850B2">
        <w:rPr>
          <w:rFonts w:ascii="Times New Roman" w:hAnsi="Times New Roman" w:cs="Times New Roman"/>
        </w:rPr>
        <w:t xml:space="preserve"> and </w:t>
      </w:r>
      <w:proofErr w:type="spellStart"/>
      <w:r w:rsidRPr="008850B2">
        <w:rPr>
          <w:rFonts w:ascii="Times New Roman" w:hAnsi="Times New Roman" w:cs="Times New Roman"/>
        </w:rPr>
        <w:t>hypokalemia</w:t>
      </w:r>
      <w:proofErr w:type="spellEnd"/>
      <w:r w:rsidRPr="008850B2">
        <w:rPr>
          <w:rFonts w:ascii="Times New Roman" w:hAnsi="Times New Roman" w:cs="Times New Roman"/>
        </w:rPr>
        <w:t xml:space="preserve"> on ammonium production and acid–base balance. </w:t>
      </w:r>
      <w:r w:rsidRPr="008850B2">
        <w:rPr>
          <w:rFonts w:ascii="Times New Roman" w:hAnsi="Times New Roman" w:cs="Times New Roman"/>
          <w:i/>
          <w:iCs/>
        </w:rPr>
        <w:t>Am J Nephrol</w:t>
      </w:r>
      <w:r w:rsidRPr="008850B2">
        <w:rPr>
          <w:rFonts w:ascii="Times New Roman" w:hAnsi="Times New Roman" w:cs="Times New Roman"/>
        </w:rPr>
        <w:t>. 2020;51(6):479–490.</w:t>
      </w:r>
    </w:p>
    <w:p w14:paraId="2A51375C" w14:textId="77777777" w:rsidR="008850B2" w:rsidRPr="008850B2" w:rsidRDefault="008850B2" w:rsidP="00025E77">
      <w:pPr>
        <w:numPr>
          <w:ilvl w:val="0"/>
          <w:numId w:val="12"/>
        </w:numPr>
        <w:spacing w:line="360" w:lineRule="auto"/>
        <w:jc w:val="both"/>
        <w:rPr>
          <w:rFonts w:ascii="Times New Roman" w:hAnsi="Times New Roman" w:cs="Times New Roman"/>
        </w:rPr>
      </w:pPr>
      <w:r w:rsidRPr="008850B2">
        <w:rPr>
          <w:rFonts w:ascii="Times New Roman" w:hAnsi="Times New Roman" w:cs="Times New Roman"/>
        </w:rPr>
        <w:t xml:space="preserve">Levey AS, Becker C, Inker LA. Glomerular filtration rate and albuminuria for detection and staging of acute and chronic kidney disease in adults: a systematic review. </w:t>
      </w:r>
      <w:r w:rsidRPr="008850B2">
        <w:rPr>
          <w:rFonts w:ascii="Times New Roman" w:hAnsi="Times New Roman" w:cs="Times New Roman"/>
          <w:i/>
          <w:iCs/>
        </w:rPr>
        <w:t>JAMA</w:t>
      </w:r>
      <w:r w:rsidRPr="008850B2">
        <w:rPr>
          <w:rFonts w:ascii="Times New Roman" w:hAnsi="Times New Roman" w:cs="Times New Roman"/>
        </w:rPr>
        <w:t>. 2022;328(24):2425–2436.</w:t>
      </w:r>
    </w:p>
    <w:p w14:paraId="08C58BFB" w14:textId="77777777" w:rsidR="008850B2" w:rsidRPr="008850B2" w:rsidRDefault="008850B2" w:rsidP="00025E77">
      <w:pPr>
        <w:numPr>
          <w:ilvl w:val="0"/>
          <w:numId w:val="12"/>
        </w:numPr>
        <w:spacing w:line="360" w:lineRule="auto"/>
        <w:jc w:val="both"/>
        <w:rPr>
          <w:rFonts w:ascii="Times New Roman" w:hAnsi="Times New Roman" w:cs="Times New Roman"/>
        </w:rPr>
      </w:pPr>
      <w:proofErr w:type="spellStart"/>
      <w:r w:rsidRPr="008850B2">
        <w:rPr>
          <w:rFonts w:ascii="Times New Roman" w:hAnsi="Times New Roman" w:cs="Times New Roman"/>
        </w:rPr>
        <w:t>Okpechi</w:t>
      </w:r>
      <w:proofErr w:type="spellEnd"/>
      <w:r w:rsidRPr="008850B2">
        <w:rPr>
          <w:rFonts w:ascii="Times New Roman" w:hAnsi="Times New Roman" w:cs="Times New Roman"/>
        </w:rPr>
        <w:t xml:space="preserve"> IG, </w:t>
      </w:r>
      <w:proofErr w:type="spellStart"/>
      <w:r w:rsidRPr="008850B2">
        <w:rPr>
          <w:rFonts w:ascii="Times New Roman" w:hAnsi="Times New Roman" w:cs="Times New Roman"/>
        </w:rPr>
        <w:t>Kaze</w:t>
      </w:r>
      <w:proofErr w:type="spellEnd"/>
      <w:r w:rsidRPr="008850B2">
        <w:rPr>
          <w:rFonts w:ascii="Times New Roman" w:hAnsi="Times New Roman" w:cs="Times New Roman"/>
        </w:rPr>
        <w:t xml:space="preserve"> FF, </w:t>
      </w:r>
      <w:proofErr w:type="spellStart"/>
      <w:r w:rsidRPr="008850B2">
        <w:rPr>
          <w:rFonts w:ascii="Times New Roman" w:hAnsi="Times New Roman" w:cs="Times New Roman"/>
        </w:rPr>
        <w:t>Noubiap</w:t>
      </w:r>
      <w:proofErr w:type="spellEnd"/>
      <w:r w:rsidRPr="008850B2">
        <w:rPr>
          <w:rFonts w:ascii="Times New Roman" w:hAnsi="Times New Roman" w:cs="Times New Roman"/>
        </w:rPr>
        <w:t xml:space="preserve"> JJN, et al. Phenotyping chronic kidney disease in sub-Saharan Africa: the PREDICT study. </w:t>
      </w:r>
      <w:r w:rsidRPr="008850B2">
        <w:rPr>
          <w:rFonts w:ascii="Times New Roman" w:hAnsi="Times New Roman" w:cs="Times New Roman"/>
          <w:i/>
          <w:iCs/>
        </w:rPr>
        <w:t>Lancet Glob Health</w:t>
      </w:r>
      <w:r w:rsidRPr="008850B2">
        <w:rPr>
          <w:rFonts w:ascii="Times New Roman" w:hAnsi="Times New Roman" w:cs="Times New Roman"/>
        </w:rPr>
        <w:t>. 2022;10(6</w:t>
      </w:r>
      <w:proofErr w:type="gramStart"/>
      <w:r w:rsidRPr="008850B2">
        <w:rPr>
          <w:rFonts w:ascii="Times New Roman" w:hAnsi="Times New Roman" w:cs="Times New Roman"/>
        </w:rPr>
        <w:t>):e</w:t>
      </w:r>
      <w:proofErr w:type="gramEnd"/>
      <w:r w:rsidRPr="008850B2">
        <w:rPr>
          <w:rFonts w:ascii="Times New Roman" w:hAnsi="Times New Roman" w:cs="Times New Roman"/>
        </w:rPr>
        <w:t>876–e885.</w:t>
      </w:r>
    </w:p>
    <w:p w14:paraId="1D97E192" w14:textId="77777777" w:rsidR="008850B2" w:rsidRPr="008850B2" w:rsidRDefault="008850B2" w:rsidP="00025E77">
      <w:pPr>
        <w:numPr>
          <w:ilvl w:val="0"/>
          <w:numId w:val="12"/>
        </w:numPr>
        <w:spacing w:line="360" w:lineRule="auto"/>
        <w:jc w:val="both"/>
        <w:rPr>
          <w:rFonts w:ascii="Times New Roman" w:hAnsi="Times New Roman" w:cs="Times New Roman"/>
        </w:rPr>
      </w:pPr>
      <w:r w:rsidRPr="008850B2">
        <w:rPr>
          <w:rFonts w:ascii="Times New Roman" w:hAnsi="Times New Roman" w:cs="Times New Roman"/>
        </w:rPr>
        <w:t xml:space="preserve">Kang DH, Nakagawa T. Uric acid and chronic kidney disease: a causal or innocent bystander? </w:t>
      </w:r>
      <w:r w:rsidRPr="008850B2">
        <w:rPr>
          <w:rFonts w:ascii="Times New Roman" w:hAnsi="Times New Roman" w:cs="Times New Roman"/>
          <w:i/>
          <w:iCs/>
        </w:rPr>
        <w:t>Nephrol Dial Transplant</w:t>
      </w:r>
      <w:r w:rsidRPr="008850B2">
        <w:rPr>
          <w:rFonts w:ascii="Times New Roman" w:hAnsi="Times New Roman" w:cs="Times New Roman"/>
        </w:rPr>
        <w:t>. 2021;36(2):217–223.</w:t>
      </w:r>
    </w:p>
    <w:p w14:paraId="5EA8A6E8" w14:textId="77777777" w:rsidR="008850B2" w:rsidRPr="00E60FBC" w:rsidRDefault="008850B2" w:rsidP="00E60FBC">
      <w:pPr>
        <w:spacing w:line="360" w:lineRule="auto"/>
        <w:jc w:val="both"/>
        <w:rPr>
          <w:rFonts w:ascii="Times New Roman" w:hAnsi="Times New Roman" w:cs="Times New Roman"/>
        </w:rPr>
      </w:pPr>
    </w:p>
    <w:p w14:paraId="2DC541DF" w14:textId="136EA63B" w:rsidR="006D56F4" w:rsidRPr="00E60FBC" w:rsidRDefault="006D56F4" w:rsidP="00E60FBC">
      <w:pPr>
        <w:spacing w:line="360" w:lineRule="auto"/>
        <w:jc w:val="both"/>
        <w:rPr>
          <w:rFonts w:ascii="Times New Roman" w:hAnsi="Times New Roman" w:cs="Times New Roman"/>
          <w:b/>
          <w:bCs/>
        </w:rPr>
      </w:pPr>
    </w:p>
    <w:p w14:paraId="79AD45D9" w14:textId="77777777" w:rsidR="00E0485A" w:rsidRPr="00E60FBC" w:rsidRDefault="00E0485A" w:rsidP="00E60FBC">
      <w:pPr>
        <w:spacing w:line="360" w:lineRule="auto"/>
        <w:jc w:val="both"/>
        <w:rPr>
          <w:rFonts w:ascii="Times New Roman" w:hAnsi="Times New Roman" w:cs="Times New Roman"/>
          <w:b/>
          <w:bCs/>
        </w:rPr>
      </w:pPr>
    </w:p>
    <w:p w14:paraId="2B3AD5A3" w14:textId="77777777" w:rsidR="00E0485A" w:rsidRPr="00E60FBC" w:rsidRDefault="00E0485A" w:rsidP="00E60FBC">
      <w:pPr>
        <w:spacing w:line="360" w:lineRule="auto"/>
        <w:jc w:val="both"/>
        <w:rPr>
          <w:rFonts w:ascii="Times New Roman" w:hAnsi="Times New Roman" w:cs="Times New Roman"/>
          <w:b/>
          <w:bCs/>
        </w:rPr>
      </w:pPr>
    </w:p>
    <w:sectPr w:rsidR="00E0485A" w:rsidRPr="00E60FBC">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E06F82" w14:textId="77777777" w:rsidR="00156FCE" w:rsidRDefault="00156FCE" w:rsidP="00CF2CDB">
      <w:pPr>
        <w:spacing w:after="0" w:line="240" w:lineRule="auto"/>
      </w:pPr>
      <w:r>
        <w:separator/>
      </w:r>
    </w:p>
  </w:endnote>
  <w:endnote w:type="continuationSeparator" w:id="0">
    <w:p w14:paraId="0FA1374B" w14:textId="77777777" w:rsidR="00156FCE" w:rsidRDefault="00156FCE" w:rsidP="00CF2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23293" w14:textId="77777777" w:rsidR="00CF2CDB" w:rsidRDefault="00CF2C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3237A" w14:textId="77777777" w:rsidR="00CF2CDB" w:rsidRDefault="00CF2C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A2B65" w14:textId="77777777" w:rsidR="00CF2CDB" w:rsidRDefault="00CF2C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8A5BF3" w14:textId="77777777" w:rsidR="00156FCE" w:rsidRDefault="00156FCE" w:rsidP="00CF2CDB">
      <w:pPr>
        <w:spacing w:after="0" w:line="240" w:lineRule="auto"/>
      </w:pPr>
      <w:r>
        <w:separator/>
      </w:r>
    </w:p>
  </w:footnote>
  <w:footnote w:type="continuationSeparator" w:id="0">
    <w:p w14:paraId="6DE17DF7" w14:textId="77777777" w:rsidR="00156FCE" w:rsidRDefault="00156FCE" w:rsidP="00CF2C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FC68F" w14:textId="3942D5E9" w:rsidR="00CF2CDB" w:rsidRDefault="00156FCE">
    <w:pPr>
      <w:pStyle w:val="Header"/>
    </w:pPr>
    <w:r>
      <w:rPr>
        <w:noProof/>
      </w:rPr>
      <w:pict w14:anchorId="1B9B8B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15500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59EA3" w14:textId="03327CAB" w:rsidR="00CF2CDB" w:rsidRDefault="00156FCE">
    <w:pPr>
      <w:pStyle w:val="Header"/>
    </w:pPr>
    <w:r>
      <w:rPr>
        <w:noProof/>
      </w:rPr>
      <w:pict w14:anchorId="2CC456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15500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2D6D5" w14:textId="0F09BC85" w:rsidR="00CF2CDB" w:rsidRDefault="00156FCE">
    <w:pPr>
      <w:pStyle w:val="Header"/>
    </w:pPr>
    <w:r>
      <w:rPr>
        <w:noProof/>
      </w:rPr>
      <w:pict w14:anchorId="17A0CD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15500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F1FC5"/>
    <w:multiLevelType w:val="hybridMultilevel"/>
    <w:tmpl w:val="15FE1E2C"/>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FE73EE8"/>
    <w:multiLevelType w:val="multilevel"/>
    <w:tmpl w:val="36BAD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B20EE0"/>
    <w:multiLevelType w:val="hybridMultilevel"/>
    <w:tmpl w:val="E772A69A"/>
    <w:lvl w:ilvl="0" w:tplc="CDC46874">
      <w:start w:val="1"/>
      <w:numFmt w:val="decimal"/>
      <w:lvlText w:val="%1."/>
      <w:lvlJc w:val="left"/>
      <w:pPr>
        <w:ind w:left="720" w:hanging="360"/>
      </w:pPr>
      <w:rPr>
        <w:rFonts w:ascii="Times New Roman" w:eastAsiaTheme="minorHAnsi" w:hAnsi="Times New Roman" w:cs="Times New Roman"/>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57F3B75"/>
    <w:multiLevelType w:val="hybridMultilevel"/>
    <w:tmpl w:val="011E2720"/>
    <w:lvl w:ilvl="0" w:tplc="4009000B">
      <w:numFmt w:val="bullet"/>
      <w:lvlText w:val=""/>
      <w:lvlJc w:val="left"/>
      <w:pPr>
        <w:ind w:left="720" w:hanging="360"/>
      </w:pPr>
      <w:rPr>
        <w:rFonts w:ascii="Wingdings" w:eastAsia="Times New Roman" w:hAnsi="Wingdings"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D5B4315"/>
    <w:multiLevelType w:val="multilevel"/>
    <w:tmpl w:val="5E4C2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BC188B"/>
    <w:multiLevelType w:val="multilevel"/>
    <w:tmpl w:val="70004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7240D0"/>
    <w:multiLevelType w:val="multilevel"/>
    <w:tmpl w:val="3E2CA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61149E"/>
    <w:multiLevelType w:val="multilevel"/>
    <w:tmpl w:val="377AC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3BE12A1"/>
    <w:multiLevelType w:val="hybridMultilevel"/>
    <w:tmpl w:val="4D74DA78"/>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F564C47"/>
    <w:multiLevelType w:val="multilevel"/>
    <w:tmpl w:val="12826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B767671"/>
    <w:multiLevelType w:val="hybridMultilevel"/>
    <w:tmpl w:val="0082BB1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5D041F7E"/>
    <w:multiLevelType w:val="multilevel"/>
    <w:tmpl w:val="ADE22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057A2C"/>
    <w:multiLevelType w:val="hybridMultilevel"/>
    <w:tmpl w:val="85DE027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791F77E1"/>
    <w:multiLevelType w:val="multilevel"/>
    <w:tmpl w:val="7A688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4"/>
  </w:num>
  <w:num w:numId="3">
    <w:abstractNumId w:val="7"/>
  </w:num>
  <w:num w:numId="4">
    <w:abstractNumId w:val="13"/>
  </w:num>
  <w:num w:numId="5">
    <w:abstractNumId w:val="6"/>
  </w:num>
  <w:num w:numId="6">
    <w:abstractNumId w:val="5"/>
  </w:num>
  <w:num w:numId="7">
    <w:abstractNumId w:val="11"/>
  </w:num>
  <w:num w:numId="8">
    <w:abstractNumId w:val="1"/>
  </w:num>
  <w:num w:numId="9">
    <w:abstractNumId w:val="3"/>
  </w:num>
  <w:num w:numId="10">
    <w:abstractNumId w:val="2"/>
  </w:num>
  <w:num w:numId="11">
    <w:abstractNumId w:val="9"/>
  </w:num>
  <w:num w:numId="12">
    <w:abstractNumId w:val="10"/>
  </w:num>
  <w:num w:numId="13">
    <w:abstractNumId w:val="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9D3"/>
    <w:rsid w:val="00000362"/>
    <w:rsid w:val="00004682"/>
    <w:rsid w:val="000079BB"/>
    <w:rsid w:val="00025E77"/>
    <w:rsid w:val="00032840"/>
    <w:rsid w:val="000653DC"/>
    <w:rsid w:val="00070B4E"/>
    <w:rsid w:val="000960A7"/>
    <w:rsid w:val="00096628"/>
    <w:rsid w:val="000A026C"/>
    <w:rsid w:val="000A1E6C"/>
    <w:rsid w:val="000E610A"/>
    <w:rsid w:val="000F0C88"/>
    <w:rsid w:val="001214D8"/>
    <w:rsid w:val="001266B3"/>
    <w:rsid w:val="001309C6"/>
    <w:rsid w:val="00136474"/>
    <w:rsid w:val="00141A62"/>
    <w:rsid w:val="00156FCE"/>
    <w:rsid w:val="001702C2"/>
    <w:rsid w:val="00194F05"/>
    <w:rsid w:val="001D73B9"/>
    <w:rsid w:val="001E1EE2"/>
    <w:rsid w:val="001E2444"/>
    <w:rsid w:val="001E4C37"/>
    <w:rsid w:val="002164C0"/>
    <w:rsid w:val="002612DD"/>
    <w:rsid w:val="002A2C7A"/>
    <w:rsid w:val="002C31B4"/>
    <w:rsid w:val="002E00D0"/>
    <w:rsid w:val="002F1F99"/>
    <w:rsid w:val="00324640"/>
    <w:rsid w:val="00336496"/>
    <w:rsid w:val="003405D2"/>
    <w:rsid w:val="00353BCA"/>
    <w:rsid w:val="00372A8B"/>
    <w:rsid w:val="00374555"/>
    <w:rsid w:val="00394D07"/>
    <w:rsid w:val="003A7FF1"/>
    <w:rsid w:val="003B355B"/>
    <w:rsid w:val="003C3D98"/>
    <w:rsid w:val="003C5969"/>
    <w:rsid w:val="003E328E"/>
    <w:rsid w:val="003E3E86"/>
    <w:rsid w:val="00400469"/>
    <w:rsid w:val="004036AD"/>
    <w:rsid w:val="00421745"/>
    <w:rsid w:val="00424398"/>
    <w:rsid w:val="00424D32"/>
    <w:rsid w:val="004447F4"/>
    <w:rsid w:val="0047375C"/>
    <w:rsid w:val="00497A7D"/>
    <w:rsid w:val="004E6764"/>
    <w:rsid w:val="00510EB4"/>
    <w:rsid w:val="00550CC8"/>
    <w:rsid w:val="00566E89"/>
    <w:rsid w:val="0057310B"/>
    <w:rsid w:val="00590022"/>
    <w:rsid w:val="005952DE"/>
    <w:rsid w:val="00597B7F"/>
    <w:rsid w:val="00597FEC"/>
    <w:rsid w:val="005B773D"/>
    <w:rsid w:val="005E73F1"/>
    <w:rsid w:val="00615FCF"/>
    <w:rsid w:val="006237C0"/>
    <w:rsid w:val="0062574F"/>
    <w:rsid w:val="00644D7B"/>
    <w:rsid w:val="00667F80"/>
    <w:rsid w:val="00680888"/>
    <w:rsid w:val="006827ED"/>
    <w:rsid w:val="006B1D36"/>
    <w:rsid w:val="006C5D45"/>
    <w:rsid w:val="006D51B0"/>
    <w:rsid w:val="006D56F4"/>
    <w:rsid w:val="006D776D"/>
    <w:rsid w:val="0071064E"/>
    <w:rsid w:val="007306A0"/>
    <w:rsid w:val="007346AC"/>
    <w:rsid w:val="00740206"/>
    <w:rsid w:val="0077140B"/>
    <w:rsid w:val="00793E0E"/>
    <w:rsid w:val="007A4E22"/>
    <w:rsid w:val="007C1CAA"/>
    <w:rsid w:val="007C5E69"/>
    <w:rsid w:val="007E0686"/>
    <w:rsid w:val="007E7F2F"/>
    <w:rsid w:val="00805D46"/>
    <w:rsid w:val="008220FD"/>
    <w:rsid w:val="00834661"/>
    <w:rsid w:val="00842755"/>
    <w:rsid w:val="00852DA0"/>
    <w:rsid w:val="008569E5"/>
    <w:rsid w:val="008642E9"/>
    <w:rsid w:val="00866F12"/>
    <w:rsid w:val="008850B2"/>
    <w:rsid w:val="00887F5C"/>
    <w:rsid w:val="008A5677"/>
    <w:rsid w:val="008D62B8"/>
    <w:rsid w:val="008E1F47"/>
    <w:rsid w:val="008E2AEF"/>
    <w:rsid w:val="008F74F1"/>
    <w:rsid w:val="00927092"/>
    <w:rsid w:val="00945BFA"/>
    <w:rsid w:val="00946830"/>
    <w:rsid w:val="009557EC"/>
    <w:rsid w:val="00964CDC"/>
    <w:rsid w:val="009712BC"/>
    <w:rsid w:val="00984070"/>
    <w:rsid w:val="009A16F1"/>
    <w:rsid w:val="009B008E"/>
    <w:rsid w:val="009B69D3"/>
    <w:rsid w:val="009B6D10"/>
    <w:rsid w:val="009B71EE"/>
    <w:rsid w:val="009D6402"/>
    <w:rsid w:val="009E15F5"/>
    <w:rsid w:val="009E4F45"/>
    <w:rsid w:val="00A03D90"/>
    <w:rsid w:val="00A25BC9"/>
    <w:rsid w:val="00A32D3D"/>
    <w:rsid w:val="00A45DB9"/>
    <w:rsid w:val="00A753A4"/>
    <w:rsid w:val="00A8181C"/>
    <w:rsid w:val="00A91A69"/>
    <w:rsid w:val="00AA4F93"/>
    <w:rsid w:val="00AF3BF9"/>
    <w:rsid w:val="00AF758A"/>
    <w:rsid w:val="00B02F6B"/>
    <w:rsid w:val="00B15080"/>
    <w:rsid w:val="00B16305"/>
    <w:rsid w:val="00B224E9"/>
    <w:rsid w:val="00B32873"/>
    <w:rsid w:val="00B32890"/>
    <w:rsid w:val="00B379F8"/>
    <w:rsid w:val="00B549D2"/>
    <w:rsid w:val="00B61B6D"/>
    <w:rsid w:val="00B63AFB"/>
    <w:rsid w:val="00B756F1"/>
    <w:rsid w:val="00B7780E"/>
    <w:rsid w:val="00B835B3"/>
    <w:rsid w:val="00BB1E0D"/>
    <w:rsid w:val="00BF4754"/>
    <w:rsid w:val="00BF7B54"/>
    <w:rsid w:val="00C2507B"/>
    <w:rsid w:val="00C40493"/>
    <w:rsid w:val="00C40732"/>
    <w:rsid w:val="00C65D41"/>
    <w:rsid w:val="00C65D7E"/>
    <w:rsid w:val="00C84FF1"/>
    <w:rsid w:val="00C86EF4"/>
    <w:rsid w:val="00CA368F"/>
    <w:rsid w:val="00CD1220"/>
    <w:rsid w:val="00CE72D9"/>
    <w:rsid w:val="00CF2CDB"/>
    <w:rsid w:val="00D35044"/>
    <w:rsid w:val="00D37549"/>
    <w:rsid w:val="00D741DA"/>
    <w:rsid w:val="00D75662"/>
    <w:rsid w:val="00D9067B"/>
    <w:rsid w:val="00D941DC"/>
    <w:rsid w:val="00DB12B9"/>
    <w:rsid w:val="00DB385D"/>
    <w:rsid w:val="00DC3B7B"/>
    <w:rsid w:val="00DE0CC5"/>
    <w:rsid w:val="00DF39C9"/>
    <w:rsid w:val="00E0485A"/>
    <w:rsid w:val="00E07B22"/>
    <w:rsid w:val="00E10C78"/>
    <w:rsid w:val="00E12846"/>
    <w:rsid w:val="00E252E3"/>
    <w:rsid w:val="00E45546"/>
    <w:rsid w:val="00E60FBC"/>
    <w:rsid w:val="00E7582F"/>
    <w:rsid w:val="00E8169F"/>
    <w:rsid w:val="00EA1E7B"/>
    <w:rsid w:val="00EB05B5"/>
    <w:rsid w:val="00EB7388"/>
    <w:rsid w:val="00EC0159"/>
    <w:rsid w:val="00EC6018"/>
    <w:rsid w:val="00ED2541"/>
    <w:rsid w:val="00F16C13"/>
    <w:rsid w:val="00F2283C"/>
    <w:rsid w:val="00F429FA"/>
    <w:rsid w:val="00F53699"/>
    <w:rsid w:val="00F66129"/>
    <w:rsid w:val="00F710D8"/>
    <w:rsid w:val="00F84BE0"/>
    <w:rsid w:val="00F9484A"/>
    <w:rsid w:val="00FB2143"/>
    <w:rsid w:val="00FB7266"/>
    <w:rsid w:val="00FD146B"/>
    <w:rsid w:val="00FE46E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20D5858"/>
  <w15:chartTrackingRefBased/>
  <w15:docId w15:val="{770DD6D2-66E4-416D-B2F8-DD5CA4500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69D3"/>
  </w:style>
  <w:style w:type="paragraph" w:styleId="Heading1">
    <w:name w:val="heading 1"/>
    <w:basedOn w:val="Normal"/>
    <w:next w:val="Normal"/>
    <w:link w:val="Heading1Char"/>
    <w:uiPriority w:val="9"/>
    <w:qFormat/>
    <w:rsid w:val="009B69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B69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B69D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B69D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B69D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B69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69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69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69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9D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B69D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B69D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B69D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B69D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B69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69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69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69D3"/>
    <w:rPr>
      <w:rFonts w:eastAsiaTheme="majorEastAsia" w:cstheme="majorBidi"/>
      <w:color w:val="272727" w:themeColor="text1" w:themeTint="D8"/>
    </w:rPr>
  </w:style>
  <w:style w:type="paragraph" w:styleId="Title">
    <w:name w:val="Title"/>
    <w:basedOn w:val="Normal"/>
    <w:next w:val="Normal"/>
    <w:link w:val="TitleChar"/>
    <w:uiPriority w:val="10"/>
    <w:qFormat/>
    <w:rsid w:val="009B69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69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69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69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69D3"/>
    <w:pPr>
      <w:spacing w:before="160"/>
      <w:jc w:val="center"/>
    </w:pPr>
    <w:rPr>
      <w:i/>
      <w:iCs/>
      <w:color w:val="404040" w:themeColor="text1" w:themeTint="BF"/>
    </w:rPr>
  </w:style>
  <w:style w:type="character" w:customStyle="1" w:styleId="QuoteChar">
    <w:name w:val="Quote Char"/>
    <w:basedOn w:val="DefaultParagraphFont"/>
    <w:link w:val="Quote"/>
    <w:uiPriority w:val="29"/>
    <w:rsid w:val="009B69D3"/>
    <w:rPr>
      <w:i/>
      <w:iCs/>
      <w:color w:val="404040" w:themeColor="text1" w:themeTint="BF"/>
    </w:rPr>
  </w:style>
  <w:style w:type="paragraph" w:styleId="ListParagraph">
    <w:name w:val="List Paragraph"/>
    <w:basedOn w:val="Normal"/>
    <w:uiPriority w:val="34"/>
    <w:qFormat/>
    <w:rsid w:val="009B69D3"/>
    <w:pPr>
      <w:ind w:left="720"/>
      <w:contextualSpacing/>
    </w:pPr>
  </w:style>
  <w:style w:type="character" w:styleId="IntenseEmphasis">
    <w:name w:val="Intense Emphasis"/>
    <w:basedOn w:val="DefaultParagraphFont"/>
    <w:uiPriority w:val="21"/>
    <w:qFormat/>
    <w:rsid w:val="009B69D3"/>
    <w:rPr>
      <w:i/>
      <w:iCs/>
      <w:color w:val="2F5496" w:themeColor="accent1" w:themeShade="BF"/>
    </w:rPr>
  </w:style>
  <w:style w:type="paragraph" w:styleId="IntenseQuote">
    <w:name w:val="Intense Quote"/>
    <w:basedOn w:val="Normal"/>
    <w:next w:val="Normal"/>
    <w:link w:val="IntenseQuoteChar"/>
    <w:uiPriority w:val="30"/>
    <w:qFormat/>
    <w:rsid w:val="009B69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B69D3"/>
    <w:rPr>
      <w:i/>
      <w:iCs/>
      <w:color w:val="2F5496" w:themeColor="accent1" w:themeShade="BF"/>
    </w:rPr>
  </w:style>
  <w:style w:type="character" w:styleId="IntenseReference">
    <w:name w:val="Intense Reference"/>
    <w:basedOn w:val="DefaultParagraphFont"/>
    <w:uiPriority w:val="32"/>
    <w:qFormat/>
    <w:rsid w:val="009B69D3"/>
    <w:rPr>
      <w:b/>
      <w:bCs/>
      <w:smallCaps/>
      <w:color w:val="2F5496" w:themeColor="accent1" w:themeShade="BF"/>
      <w:spacing w:val="5"/>
    </w:rPr>
  </w:style>
  <w:style w:type="table" w:styleId="TableGrid">
    <w:name w:val="Table Grid"/>
    <w:basedOn w:val="TableNormal"/>
    <w:uiPriority w:val="39"/>
    <w:rsid w:val="009B6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B71EE"/>
    <w:rPr>
      <w:b/>
      <w:bCs/>
    </w:rPr>
  </w:style>
  <w:style w:type="paragraph" w:styleId="NormalWeb">
    <w:name w:val="Normal (Web)"/>
    <w:basedOn w:val="Normal"/>
    <w:uiPriority w:val="99"/>
    <w:unhideWhenUsed/>
    <w:rsid w:val="009B71EE"/>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Hyperlink">
    <w:name w:val="Hyperlink"/>
    <w:basedOn w:val="DefaultParagraphFont"/>
    <w:uiPriority w:val="99"/>
    <w:unhideWhenUsed/>
    <w:rsid w:val="00B224E9"/>
    <w:rPr>
      <w:color w:val="0563C1" w:themeColor="hyperlink"/>
      <w:u w:val="single"/>
    </w:rPr>
  </w:style>
  <w:style w:type="character" w:styleId="UnresolvedMention">
    <w:name w:val="Unresolved Mention"/>
    <w:basedOn w:val="DefaultParagraphFont"/>
    <w:uiPriority w:val="99"/>
    <w:semiHidden/>
    <w:unhideWhenUsed/>
    <w:rsid w:val="00B224E9"/>
    <w:rPr>
      <w:color w:val="605E5C"/>
      <w:shd w:val="clear" w:color="auto" w:fill="E1DFDD"/>
    </w:rPr>
  </w:style>
  <w:style w:type="paragraph" w:styleId="Header">
    <w:name w:val="header"/>
    <w:basedOn w:val="Normal"/>
    <w:link w:val="HeaderChar"/>
    <w:uiPriority w:val="99"/>
    <w:unhideWhenUsed/>
    <w:rsid w:val="00CF2C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2CDB"/>
  </w:style>
  <w:style w:type="paragraph" w:styleId="Footer">
    <w:name w:val="footer"/>
    <w:basedOn w:val="Normal"/>
    <w:link w:val="FooterChar"/>
    <w:uiPriority w:val="99"/>
    <w:unhideWhenUsed/>
    <w:rsid w:val="00CF2C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2CDB"/>
  </w:style>
  <w:style w:type="paragraph" w:styleId="NoSpacing">
    <w:name w:val="No Spacing"/>
    <w:uiPriority w:val="1"/>
    <w:qFormat/>
    <w:rsid w:val="00B328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4877">
      <w:bodyDiv w:val="1"/>
      <w:marLeft w:val="0"/>
      <w:marRight w:val="0"/>
      <w:marTop w:val="0"/>
      <w:marBottom w:val="0"/>
      <w:divBdr>
        <w:top w:val="none" w:sz="0" w:space="0" w:color="auto"/>
        <w:left w:val="none" w:sz="0" w:space="0" w:color="auto"/>
        <w:bottom w:val="none" w:sz="0" w:space="0" w:color="auto"/>
        <w:right w:val="none" w:sz="0" w:space="0" w:color="auto"/>
      </w:divBdr>
    </w:div>
    <w:div w:id="70389839">
      <w:bodyDiv w:val="1"/>
      <w:marLeft w:val="0"/>
      <w:marRight w:val="0"/>
      <w:marTop w:val="0"/>
      <w:marBottom w:val="0"/>
      <w:divBdr>
        <w:top w:val="none" w:sz="0" w:space="0" w:color="auto"/>
        <w:left w:val="none" w:sz="0" w:space="0" w:color="auto"/>
        <w:bottom w:val="none" w:sz="0" w:space="0" w:color="auto"/>
        <w:right w:val="none" w:sz="0" w:space="0" w:color="auto"/>
      </w:divBdr>
    </w:div>
    <w:div w:id="115031014">
      <w:bodyDiv w:val="1"/>
      <w:marLeft w:val="0"/>
      <w:marRight w:val="0"/>
      <w:marTop w:val="0"/>
      <w:marBottom w:val="0"/>
      <w:divBdr>
        <w:top w:val="none" w:sz="0" w:space="0" w:color="auto"/>
        <w:left w:val="none" w:sz="0" w:space="0" w:color="auto"/>
        <w:bottom w:val="none" w:sz="0" w:space="0" w:color="auto"/>
        <w:right w:val="none" w:sz="0" w:space="0" w:color="auto"/>
      </w:divBdr>
    </w:div>
    <w:div w:id="128864359">
      <w:bodyDiv w:val="1"/>
      <w:marLeft w:val="0"/>
      <w:marRight w:val="0"/>
      <w:marTop w:val="0"/>
      <w:marBottom w:val="0"/>
      <w:divBdr>
        <w:top w:val="none" w:sz="0" w:space="0" w:color="auto"/>
        <w:left w:val="none" w:sz="0" w:space="0" w:color="auto"/>
        <w:bottom w:val="none" w:sz="0" w:space="0" w:color="auto"/>
        <w:right w:val="none" w:sz="0" w:space="0" w:color="auto"/>
      </w:divBdr>
    </w:div>
    <w:div w:id="167405624">
      <w:bodyDiv w:val="1"/>
      <w:marLeft w:val="0"/>
      <w:marRight w:val="0"/>
      <w:marTop w:val="0"/>
      <w:marBottom w:val="0"/>
      <w:divBdr>
        <w:top w:val="none" w:sz="0" w:space="0" w:color="auto"/>
        <w:left w:val="none" w:sz="0" w:space="0" w:color="auto"/>
        <w:bottom w:val="none" w:sz="0" w:space="0" w:color="auto"/>
        <w:right w:val="none" w:sz="0" w:space="0" w:color="auto"/>
      </w:divBdr>
    </w:div>
    <w:div w:id="187061176">
      <w:bodyDiv w:val="1"/>
      <w:marLeft w:val="0"/>
      <w:marRight w:val="0"/>
      <w:marTop w:val="0"/>
      <w:marBottom w:val="0"/>
      <w:divBdr>
        <w:top w:val="none" w:sz="0" w:space="0" w:color="auto"/>
        <w:left w:val="none" w:sz="0" w:space="0" w:color="auto"/>
        <w:bottom w:val="none" w:sz="0" w:space="0" w:color="auto"/>
        <w:right w:val="none" w:sz="0" w:space="0" w:color="auto"/>
      </w:divBdr>
    </w:div>
    <w:div w:id="194196275">
      <w:bodyDiv w:val="1"/>
      <w:marLeft w:val="0"/>
      <w:marRight w:val="0"/>
      <w:marTop w:val="0"/>
      <w:marBottom w:val="0"/>
      <w:divBdr>
        <w:top w:val="none" w:sz="0" w:space="0" w:color="auto"/>
        <w:left w:val="none" w:sz="0" w:space="0" w:color="auto"/>
        <w:bottom w:val="none" w:sz="0" w:space="0" w:color="auto"/>
        <w:right w:val="none" w:sz="0" w:space="0" w:color="auto"/>
      </w:divBdr>
    </w:div>
    <w:div w:id="283465308">
      <w:bodyDiv w:val="1"/>
      <w:marLeft w:val="0"/>
      <w:marRight w:val="0"/>
      <w:marTop w:val="0"/>
      <w:marBottom w:val="0"/>
      <w:divBdr>
        <w:top w:val="none" w:sz="0" w:space="0" w:color="auto"/>
        <w:left w:val="none" w:sz="0" w:space="0" w:color="auto"/>
        <w:bottom w:val="none" w:sz="0" w:space="0" w:color="auto"/>
        <w:right w:val="none" w:sz="0" w:space="0" w:color="auto"/>
      </w:divBdr>
    </w:div>
    <w:div w:id="360791233">
      <w:bodyDiv w:val="1"/>
      <w:marLeft w:val="0"/>
      <w:marRight w:val="0"/>
      <w:marTop w:val="0"/>
      <w:marBottom w:val="0"/>
      <w:divBdr>
        <w:top w:val="none" w:sz="0" w:space="0" w:color="auto"/>
        <w:left w:val="none" w:sz="0" w:space="0" w:color="auto"/>
        <w:bottom w:val="none" w:sz="0" w:space="0" w:color="auto"/>
        <w:right w:val="none" w:sz="0" w:space="0" w:color="auto"/>
      </w:divBdr>
    </w:div>
    <w:div w:id="378357160">
      <w:bodyDiv w:val="1"/>
      <w:marLeft w:val="0"/>
      <w:marRight w:val="0"/>
      <w:marTop w:val="0"/>
      <w:marBottom w:val="0"/>
      <w:divBdr>
        <w:top w:val="none" w:sz="0" w:space="0" w:color="auto"/>
        <w:left w:val="none" w:sz="0" w:space="0" w:color="auto"/>
        <w:bottom w:val="none" w:sz="0" w:space="0" w:color="auto"/>
        <w:right w:val="none" w:sz="0" w:space="0" w:color="auto"/>
      </w:divBdr>
    </w:div>
    <w:div w:id="379481804">
      <w:bodyDiv w:val="1"/>
      <w:marLeft w:val="0"/>
      <w:marRight w:val="0"/>
      <w:marTop w:val="0"/>
      <w:marBottom w:val="0"/>
      <w:divBdr>
        <w:top w:val="none" w:sz="0" w:space="0" w:color="auto"/>
        <w:left w:val="none" w:sz="0" w:space="0" w:color="auto"/>
        <w:bottom w:val="none" w:sz="0" w:space="0" w:color="auto"/>
        <w:right w:val="none" w:sz="0" w:space="0" w:color="auto"/>
      </w:divBdr>
      <w:divsChild>
        <w:div w:id="510334384">
          <w:marLeft w:val="0"/>
          <w:marRight w:val="0"/>
          <w:marTop w:val="0"/>
          <w:marBottom w:val="0"/>
          <w:divBdr>
            <w:top w:val="none" w:sz="0" w:space="0" w:color="auto"/>
            <w:left w:val="none" w:sz="0" w:space="0" w:color="auto"/>
            <w:bottom w:val="none" w:sz="0" w:space="0" w:color="auto"/>
            <w:right w:val="none" w:sz="0" w:space="0" w:color="auto"/>
          </w:divBdr>
          <w:divsChild>
            <w:div w:id="865215998">
              <w:marLeft w:val="0"/>
              <w:marRight w:val="0"/>
              <w:marTop w:val="0"/>
              <w:marBottom w:val="0"/>
              <w:divBdr>
                <w:top w:val="none" w:sz="0" w:space="0" w:color="auto"/>
                <w:left w:val="none" w:sz="0" w:space="0" w:color="auto"/>
                <w:bottom w:val="none" w:sz="0" w:space="0" w:color="auto"/>
                <w:right w:val="none" w:sz="0" w:space="0" w:color="auto"/>
              </w:divBdr>
              <w:divsChild>
                <w:div w:id="1338507332">
                  <w:marLeft w:val="0"/>
                  <w:marRight w:val="0"/>
                  <w:marTop w:val="0"/>
                  <w:marBottom w:val="0"/>
                  <w:divBdr>
                    <w:top w:val="none" w:sz="0" w:space="0" w:color="auto"/>
                    <w:left w:val="none" w:sz="0" w:space="0" w:color="auto"/>
                    <w:bottom w:val="none" w:sz="0" w:space="0" w:color="auto"/>
                    <w:right w:val="none" w:sz="0" w:space="0" w:color="auto"/>
                  </w:divBdr>
                  <w:divsChild>
                    <w:div w:id="1699699110">
                      <w:marLeft w:val="0"/>
                      <w:marRight w:val="0"/>
                      <w:marTop w:val="0"/>
                      <w:marBottom w:val="0"/>
                      <w:divBdr>
                        <w:top w:val="none" w:sz="0" w:space="0" w:color="auto"/>
                        <w:left w:val="none" w:sz="0" w:space="0" w:color="auto"/>
                        <w:bottom w:val="none" w:sz="0" w:space="0" w:color="auto"/>
                        <w:right w:val="none" w:sz="0" w:space="0" w:color="auto"/>
                      </w:divBdr>
                      <w:divsChild>
                        <w:div w:id="1697850176">
                          <w:marLeft w:val="0"/>
                          <w:marRight w:val="0"/>
                          <w:marTop w:val="0"/>
                          <w:marBottom w:val="0"/>
                          <w:divBdr>
                            <w:top w:val="none" w:sz="0" w:space="0" w:color="auto"/>
                            <w:left w:val="none" w:sz="0" w:space="0" w:color="auto"/>
                            <w:bottom w:val="none" w:sz="0" w:space="0" w:color="auto"/>
                            <w:right w:val="none" w:sz="0" w:space="0" w:color="auto"/>
                          </w:divBdr>
                          <w:divsChild>
                            <w:div w:id="251206273">
                              <w:marLeft w:val="0"/>
                              <w:marRight w:val="0"/>
                              <w:marTop w:val="0"/>
                              <w:marBottom w:val="0"/>
                              <w:divBdr>
                                <w:top w:val="none" w:sz="0" w:space="0" w:color="auto"/>
                                <w:left w:val="none" w:sz="0" w:space="0" w:color="auto"/>
                                <w:bottom w:val="none" w:sz="0" w:space="0" w:color="auto"/>
                                <w:right w:val="none" w:sz="0" w:space="0" w:color="auto"/>
                              </w:divBdr>
                              <w:divsChild>
                                <w:div w:id="1976792006">
                                  <w:marLeft w:val="0"/>
                                  <w:marRight w:val="0"/>
                                  <w:marTop w:val="0"/>
                                  <w:marBottom w:val="0"/>
                                  <w:divBdr>
                                    <w:top w:val="none" w:sz="0" w:space="0" w:color="auto"/>
                                    <w:left w:val="none" w:sz="0" w:space="0" w:color="auto"/>
                                    <w:bottom w:val="none" w:sz="0" w:space="0" w:color="auto"/>
                                    <w:right w:val="none" w:sz="0" w:space="0" w:color="auto"/>
                                  </w:divBdr>
                                  <w:divsChild>
                                    <w:div w:id="18626717">
                                      <w:marLeft w:val="0"/>
                                      <w:marRight w:val="0"/>
                                      <w:marTop w:val="0"/>
                                      <w:marBottom w:val="0"/>
                                      <w:divBdr>
                                        <w:top w:val="none" w:sz="0" w:space="0" w:color="auto"/>
                                        <w:left w:val="none" w:sz="0" w:space="0" w:color="auto"/>
                                        <w:bottom w:val="none" w:sz="0" w:space="0" w:color="auto"/>
                                        <w:right w:val="none" w:sz="0" w:space="0" w:color="auto"/>
                                      </w:divBdr>
                                      <w:divsChild>
                                        <w:div w:id="1518345892">
                                          <w:marLeft w:val="0"/>
                                          <w:marRight w:val="0"/>
                                          <w:marTop w:val="0"/>
                                          <w:marBottom w:val="0"/>
                                          <w:divBdr>
                                            <w:top w:val="none" w:sz="0" w:space="0" w:color="auto"/>
                                            <w:left w:val="none" w:sz="0" w:space="0" w:color="auto"/>
                                            <w:bottom w:val="none" w:sz="0" w:space="0" w:color="auto"/>
                                            <w:right w:val="none" w:sz="0" w:space="0" w:color="auto"/>
                                          </w:divBdr>
                                          <w:divsChild>
                                            <w:div w:id="275069111">
                                              <w:marLeft w:val="0"/>
                                              <w:marRight w:val="0"/>
                                              <w:marTop w:val="0"/>
                                              <w:marBottom w:val="0"/>
                                              <w:divBdr>
                                                <w:top w:val="none" w:sz="0" w:space="0" w:color="auto"/>
                                                <w:left w:val="none" w:sz="0" w:space="0" w:color="auto"/>
                                                <w:bottom w:val="none" w:sz="0" w:space="0" w:color="auto"/>
                                                <w:right w:val="none" w:sz="0" w:space="0" w:color="auto"/>
                                              </w:divBdr>
                                              <w:divsChild>
                                                <w:div w:id="327441375">
                                                  <w:marLeft w:val="0"/>
                                                  <w:marRight w:val="0"/>
                                                  <w:marTop w:val="0"/>
                                                  <w:marBottom w:val="0"/>
                                                  <w:divBdr>
                                                    <w:top w:val="none" w:sz="0" w:space="0" w:color="auto"/>
                                                    <w:left w:val="none" w:sz="0" w:space="0" w:color="auto"/>
                                                    <w:bottom w:val="none" w:sz="0" w:space="0" w:color="auto"/>
                                                    <w:right w:val="none" w:sz="0" w:space="0" w:color="auto"/>
                                                  </w:divBdr>
                                                  <w:divsChild>
                                                    <w:div w:id="66443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3144315">
          <w:marLeft w:val="0"/>
          <w:marRight w:val="0"/>
          <w:marTop w:val="0"/>
          <w:marBottom w:val="0"/>
          <w:divBdr>
            <w:top w:val="none" w:sz="0" w:space="0" w:color="auto"/>
            <w:left w:val="none" w:sz="0" w:space="0" w:color="auto"/>
            <w:bottom w:val="none" w:sz="0" w:space="0" w:color="auto"/>
            <w:right w:val="none" w:sz="0" w:space="0" w:color="auto"/>
          </w:divBdr>
          <w:divsChild>
            <w:div w:id="666901919">
              <w:marLeft w:val="0"/>
              <w:marRight w:val="0"/>
              <w:marTop w:val="0"/>
              <w:marBottom w:val="0"/>
              <w:divBdr>
                <w:top w:val="none" w:sz="0" w:space="0" w:color="auto"/>
                <w:left w:val="none" w:sz="0" w:space="0" w:color="auto"/>
                <w:bottom w:val="none" w:sz="0" w:space="0" w:color="auto"/>
                <w:right w:val="none" w:sz="0" w:space="0" w:color="auto"/>
              </w:divBdr>
              <w:divsChild>
                <w:div w:id="610941817">
                  <w:marLeft w:val="0"/>
                  <w:marRight w:val="0"/>
                  <w:marTop w:val="0"/>
                  <w:marBottom w:val="0"/>
                  <w:divBdr>
                    <w:top w:val="none" w:sz="0" w:space="0" w:color="auto"/>
                    <w:left w:val="none" w:sz="0" w:space="0" w:color="auto"/>
                    <w:bottom w:val="none" w:sz="0" w:space="0" w:color="auto"/>
                    <w:right w:val="none" w:sz="0" w:space="0" w:color="auto"/>
                  </w:divBdr>
                  <w:divsChild>
                    <w:div w:id="865993349">
                      <w:marLeft w:val="0"/>
                      <w:marRight w:val="0"/>
                      <w:marTop w:val="0"/>
                      <w:marBottom w:val="0"/>
                      <w:divBdr>
                        <w:top w:val="none" w:sz="0" w:space="0" w:color="auto"/>
                        <w:left w:val="none" w:sz="0" w:space="0" w:color="auto"/>
                        <w:bottom w:val="none" w:sz="0" w:space="0" w:color="auto"/>
                        <w:right w:val="none" w:sz="0" w:space="0" w:color="auto"/>
                      </w:divBdr>
                      <w:divsChild>
                        <w:div w:id="51781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8459185">
      <w:bodyDiv w:val="1"/>
      <w:marLeft w:val="0"/>
      <w:marRight w:val="0"/>
      <w:marTop w:val="0"/>
      <w:marBottom w:val="0"/>
      <w:divBdr>
        <w:top w:val="none" w:sz="0" w:space="0" w:color="auto"/>
        <w:left w:val="none" w:sz="0" w:space="0" w:color="auto"/>
        <w:bottom w:val="none" w:sz="0" w:space="0" w:color="auto"/>
        <w:right w:val="none" w:sz="0" w:space="0" w:color="auto"/>
      </w:divBdr>
    </w:div>
    <w:div w:id="477846629">
      <w:bodyDiv w:val="1"/>
      <w:marLeft w:val="0"/>
      <w:marRight w:val="0"/>
      <w:marTop w:val="0"/>
      <w:marBottom w:val="0"/>
      <w:divBdr>
        <w:top w:val="none" w:sz="0" w:space="0" w:color="auto"/>
        <w:left w:val="none" w:sz="0" w:space="0" w:color="auto"/>
        <w:bottom w:val="none" w:sz="0" w:space="0" w:color="auto"/>
        <w:right w:val="none" w:sz="0" w:space="0" w:color="auto"/>
      </w:divBdr>
    </w:div>
    <w:div w:id="484470206">
      <w:bodyDiv w:val="1"/>
      <w:marLeft w:val="0"/>
      <w:marRight w:val="0"/>
      <w:marTop w:val="0"/>
      <w:marBottom w:val="0"/>
      <w:divBdr>
        <w:top w:val="none" w:sz="0" w:space="0" w:color="auto"/>
        <w:left w:val="none" w:sz="0" w:space="0" w:color="auto"/>
        <w:bottom w:val="none" w:sz="0" w:space="0" w:color="auto"/>
        <w:right w:val="none" w:sz="0" w:space="0" w:color="auto"/>
      </w:divBdr>
    </w:div>
    <w:div w:id="499008016">
      <w:bodyDiv w:val="1"/>
      <w:marLeft w:val="0"/>
      <w:marRight w:val="0"/>
      <w:marTop w:val="0"/>
      <w:marBottom w:val="0"/>
      <w:divBdr>
        <w:top w:val="none" w:sz="0" w:space="0" w:color="auto"/>
        <w:left w:val="none" w:sz="0" w:space="0" w:color="auto"/>
        <w:bottom w:val="none" w:sz="0" w:space="0" w:color="auto"/>
        <w:right w:val="none" w:sz="0" w:space="0" w:color="auto"/>
      </w:divBdr>
    </w:div>
    <w:div w:id="535780543">
      <w:bodyDiv w:val="1"/>
      <w:marLeft w:val="0"/>
      <w:marRight w:val="0"/>
      <w:marTop w:val="0"/>
      <w:marBottom w:val="0"/>
      <w:divBdr>
        <w:top w:val="none" w:sz="0" w:space="0" w:color="auto"/>
        <w:left w:val="none" w:sz="0" w:space="0" w:color="auto"/>
        <w:bottom w:val="none" w:sz="0" w:space="0" w:color="auto"/>
        <w:right w:val="none" w:sz="0" w:space="0" w:color="auto"/>
      </w:divBdr>
    </w:div>
    <w:div w:id="551962934">
      <w:bodyDiv w:val="1"/>
      <w:marLeft w:val="0"/>
      <w:marRight w:val="0"/>
      <w:marTop w:val="0"/>
      <w:marBottom w:val="0"/>
      <w:divBdr>
        <w:top w:val="none" w:sz="0" w:space="0" w:color="auto"/>
        <w:left w:val="none" w:sz="0" w:space="0" w:color="auto"/>
        <w:bottom w:val="none" w:sz="0" w:space="0" w:color="auto"/>
        <w:right w:val="none" w:sz="0" w:space="0" w:color="auto"/>
      </w:divBdr>
    </w:div>
    <w:div w:id="569659589">
      <w:bodyDiv w:val="1"/>
      <w:marLeft w:val="0"/>
      <w:marRight w:val="0"/>
      <w:marTop w:val="0"/>
      <w:marBottom w:val="0"/>
      <w:divBdr>
        <w:top w:val="none" w:sz="0" w:space="0" w:color="auto"/>
        <w:left w:val="none" w:sz="0" w:space="0" w:color="auto"/>
        <w:bottom w:val="none" w:sz="0" w:space="0" w:color="auto"/>
        <w:right w:val="none" w:sz="0" w:space="0" w:color="auto"/>
      </w:divBdr>
    </w:div>
    <w:div w:id="608465274">
      <w:bodyDiv w:val="1"/>
      <w:marLeft w:val="0"/>
      <w:marRight w:val="0"/>
      <w:marTop w:val="0"/>
      <w:marBottom w:val="0"/>
      <w:divBdr>
        <w:top w:val="none" w:sz="0" w:space="0" w:color="auto"/>
        <w:left w:val="none" w:sz="0" w:space="0" w:color="auto"/>
        <w:bottom w:val="none" w:sz="0" w:space="0" w:color="auto"/>
        <w:right w:val="none" w:sz="0" w:space="0" w:color="auto"/>
      </w:divBdr>
    </w:div>
    <w:div w:id="641808185">
      <w:bodyDiv w:val="1"/>
      <w:marLeft w:val="0"/>
      <w:marRight w:val="0"/>
      <w:marTop w:val="0"/>
      <w:marBottom w:val="0"/>
      <w:divBdr>
        <w:top w:val="none" w:sz="0" w:space="0" w:color="auto"/>
        <w:left w:val="none" w:sz="0" w:space="0" w:color="auto"/>
        <w:bottom w:val="none" w:sz="0" w:space="0" w:color="auto"/>
        <w:right w:val="none" w:sz="0" w:space="0" w:color="auto"/>
      </w:divBdr>
    </w:div>
    <w:div w:id="652418082">
      <w:bodyDiv w:val="1"/>
      <w:marLeft w:val="0"/>
      <w:marRight w:val="0"/>
      <w:marTop w:val="0"/>
      <w:marBottom w:val="0"/>
      <w:divBdr>
        <w:top w:val="none" w:sz="0" w:space="0" w:color="auto"/>
        <w:left w:val="none" w:sz="0" w:space="0" w:color="auto"/>
        <w:bottom w:val="none" w:sz="0" w:space="0" w:color="auto"/>
        <w:right w:val="none" w:sz="0" w:space="0" w:color="auto"/>
      </w:divBdr>
      <w:divsChild>
        <w:div w:id="275795971">
          <w:marLeft w:val="0"/>
          <w:marRight w:val="0"/>
          <w:marTop w:val="0"/>
          <w:marBottom w:val="0"/>
          <w:divBdr>
            <w:top w:val="none" w:sz="0" w:space="0" w:color="auto"/>
            <w:left w:val="none" w:sz="0" w:space="0" w:color="auto"/>
            <w:bottom w:val="none" w:sz="0" w:space="0" w:color="auto"/>
            <w:right w:val="none" w:sz="0" w:space="0" w:color="auto"/>
          </w:divBdr>
          <w:divsChild>
            <w:div w:id="672536882">
              <w:marLeft w:val="0"/>
              <w:marRight w:val="0"/>
              <w:marTop w:val="0"/>
              <w:marBottom w:val="0"/>
              <w:divBdr>
                <w:top w:val="none" w:sz="0" w:space="0" w:color="auto"/>
                <w:left w:val="none" w:sz="0" w:space="0" w:color="auto"/>
                <w:bottom w:val="none" w:sz="0" w:space="0" w:color="auto"/>
                <w:right w:val="none" w:sz="0" w:space="0" w:color="auto"/>
              </w:divBdr>
              <w:divsChild>
                <w:div w:id="1125393044">
                  <w:marLeft w:val="0"/>
                  <w:marRight w:val="0"/>
                  <w:marTop w:val="0"/>
                  <w:marBottom w:val="0"/>
                  <w:divBdr>
                    <w:top w:val="none" w:sz="0" w:space="0" w:color="auto"/>
                    <w:left w:val="none" w:sz="0" w:space="0" w:color="auto"/>
                    <w:bottom w:val="none" w:sz="0" w:space="0" w:color="auto"/>
                    <w:right w:val="none" w:sz="0" w:space="0" w:color="auto"/>
                  </w:divBdr>
                  <w:divsChild>
                    <w:div w:id="1151285507">
                      <w:marLeft w:val="0"/>
                      <w:marRight w:val="0"/>
                      <w:marTop w:val="0"/>
                      <w:marBottom w:val="0"/>
                      <w:divBdr>
                        <w:top w:val="none" w:sz="0" w:space="0" w:color="auto"/>
                        <w:left w:val="none" w:sz="0" w:space="0" w:color="auto"/>
                        <w:bottom w:val="none" w:sz="0" w:space="0" w:color="auto"/>
                        <w:right w:val="none" w:sz="0" w:space="0" w:color="auto"/>
                      </w:divBdr>
                      <w:divsChild>
                        <w:div w:id="203302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088005">
          <w:marLeft w:val="0"/>
          <w:marRight w:val="0"/>
          <w:marTop w:val="0"/>
          <w:marBottom w:val="0"/>
          <w:divBdr>
            <w:top w:val="none" w:sz="0" w:space="0" w:color="auto"/>
            <w:left w:val="none" w:sz="0" w:space="0" w:color="auto"/>
            <w:bottom w:val="none" w:sz="0" w:space="0" w:color="auto"/>
            <w:right w:val="none" w:sz="0" w:space="0" w:color="auto"/>
          </w:divBdr>
          <w:divsChild>
            <w:div w:id="797258391">
              <w:marLeft w:val="0"/>
              <w:marRight w:val="0"/>
              <w:marTop w:val="0"/>
              <w:marBottom w:val="0"/>
              <w:divBdr>
                <w:top w:val="none" w:sz="0" w:space="0" w:color="auto"/>
                <w:left w:val="none" w:sz="0" w:space="0" w:color="auto"/>
                <w:bottom w:val="none" w:sz="0" w:space="0" w:color="auto"/>
                <w:right w:val="none" w:sz="0" w:space="0" w:color="auto"/>
              </w:divBdr>
              <w:divsChild>
                <w:div w:id="378281170">
                  <w:marLeft w:val="0"/>
                  <w:marRight w:val="0"/>
                  <w:marTop w:val="0"/>
                  <w:marBottom w:val="0"/>
                  <w:divBdr>
                    <w:top w:val="none" w:sz="0" w:space="0" w:color="auto"/>
                    <w:left w:val="none" w:sz="0" w:space="0" w:color="auto"/>
                    <w:bottom w:val="none" w:sz="0" w:space="0" w:color="auto"/>
                    <w:right w:val="none" w:sz="0" w:space="0" w:color="auto"/>
                  </w:divBdr>
                  <w:divsChild>
                    <w:div w:id="1552035874">
                      <w:marLeft w:val="0"/>
                      <w:marRight w:val="0"/>
                      <w:marTop w:val="0"/>
                      <w:marBottom w:val="0"/>
                      <w:divBdr>
                        <w:top w:val="none" w:sz="0" w:space="0" w:color="auto"/>
                        <w:left w:val="none" w:sz="0" w:space="0" w:color="auto"/>
                        <w:bottom w:val="none" w:sz="0" w:space="0" w:color="auto"/>
                        <w:right w:val="none" w:sz="0" w:space="0" w:color="auto"/>
                      </w:divBdr>
                      <w:divsChild>
                        <w:div w:id="557008977">
                          <w:marLeft w:val="0"/>
                          <w:marRight w:val="0"/>
                          <w:marTop w:val="0"/>
                          <w:marBottom w:val="0"/>
                          <w:divBdr>
                            <w:top w:val="none" w:sz="0" w:space="0" w:color="auto"/>
                            <w:left w:val="none" w:sz="0" w:space="0" w:color="auto"/>
                            <w:bottom w:val="none" w:sz="0" w:space="0" w:color="auto"/>
                            <w:right w:val="none" w:sz="0" w:space="0" w:color="auto"/>
                          </w:divBdr>
                          <w:divsChild>
                            <w:div w:id="654262721">
                              <w:marLeft w:val="0"/>
                              <w:marRight w:val="0"/>
                              <w:marTop w:val="0"/>
                              <w:marBottom w:val="0"/>
                              <w:divBdr>
                                <w:top w:val="none" w:sz="0" w:space="0" w:color="auto"/>
                                <w:left w:val="none" w:sz="0" w:space="0" w:color="auto"/>
                                <w:bottom w:val="none" w:sz="0" w:space="0" w:color="auto"/>
                                <w:right w:val="none" w:sz="0" w:space="0" w:color="auto"/>
                              </w:divBdr>
                              <w:divsChild>
                                <w:div w:id="981664552">
                                  <w:marLeft w:val="0"/>
                                  <w:marRight w:val="0"/>
                                  <w:marTop w:val="0"/>
                                  <w:marBottom w:val="0"/>
                                  <w:divBdr>
                                    <w:top w:val="none" w:sz="0" w:space="0" w:color="auto"/>
                                    <w:left w:val="none" w:sz="0" w:space="0" w:color="auto"/>
                                    <w:bottom w:val="none" w:sz="0" w:space="0" w:color="auto"/>
                                    <w:right w:val="none" w:sz="0" w:space="0" w:color="auto"/>
                                  </w:divBdr>
                                  <w:divsChild>
                                    <w:div w:id="1698653099">
                                      <w:marLeft w:val="0"/>
                                      <w:marRight w:val="0"/>
                                      <w:marTop w:val="0"/>
                                      <w:marBottom w:val="0"/>
                                      <w:divBdr>
                                        <w:top w:val="none" w:sz="0" w:space="0" w:color="auto"/>
                                        <w:left w:val="none" w:sz="0" w:space="0" w:color="auto"/>
                                        <w:bottom w:val="none" w:sz="0" w:space="0" w:color="auto"/>
                                        <w:right w:val="none" w:sz="0" w:space="0" w:color="auto"/>
                                      </w:divBdr>
                                      <w:divsChild>
                                        <w:div w:id="680015244">
                                          <w:marLeft w:val="0"/>
                                          <w:marRight w:val="0"/>
                                          <w:marTop w:val="0"/>
                                          <w:marBottom w:val="0"/>
                                          <w:divBdr>
                                            <w:top w:val="none" w:sz="0" w:space="0" w:color="auto"/>
                                            <w:left w:val="none" w:sz="0" w:space="0" w:color="auto"/>
                                            <w:bottom w:val="none" w:sz="0" w:space="0" w:color="auto"/>
                                            <w:right w:val="none" w:sz="0" w:space="0" w:color="auto"/>
                                          </w:divBdr>
                                          <w:divsChild>
                                            <w:div w:id="2013604681">
                                              <w:marLeft w:val="0"/>
                                              <w:marRight w:val="0"/>
                                              <w:marTop w:val="0"/>
                                              <w:marBottom w:val="0"/>
                                              <w:divBdr>
                                                <w:top w:val="none" w:sz="0" w:space="0" w:color="auto"/>
                                                <w:left w:val="none" w:sz="0" w:space="0" w:color="auto"/>
                                                <w:bottom w:val="none" w:sz="0" w:space="0" w:color="auto"/>
                                                <w:right w:val="none" w:sz="0" w:space="0" w:color="auto"/>
                                              </w:divBdr>
                                              <w:divsChild>
                                                <w:div w:id="583032832">
                                                  <w:marLeft w:val="0"/>
                                                  <w:marRight w:val="0"/>
                                                  <w:marTop w:val="0"/>
                                                  <w:marBottom w:val="0"/>
                                                  <w:divBdr>
                                                    <w:top w:val="none" w:sz="0" w:space="0" w:color="auto"/>
                                                    <w:left w:val="none" w:sz="0" w:space="0" w:color="auto"/>
                                                    <w:bottom w:val="none" w:sz="0" w:space="0" w:color="auto"/>
                                                    <w:right w:val="none" w:sz="0" w:space="0" w:color="auto"/>
                                                  </w:divBdr>
                                                  <w:divsChild>
                                                    <w:div w:id="213636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3705241">
      <w:bodyDiv w:val="1"/>
      <w:marLeft w:val="0"/>
      <w:marRight w:val="0"/>
      <w:marTop w:val="0"/>
      <w:marBottom w:val="0"/>
      <w:divBdr>
        <w:top w:val="none" w:sz="0" w:space="0" w:color="auto"/>
        <w:left w:val="none" w:sz="0" w:space="0" w:color="auto"/>
        <w:bottom w:val="none" w:sz="0" w:space="0" w:color="auto"/>
        <w:right w:val="none" w:sz="0" w:space="0" w:color="auto"/>
      </w:divBdr>
    </w:div>
    <w:div w:id="701173264">
      <w:bodyDiv w:val="1"/>
      <w:marLeft w:val="0"/>
      <w:marRight w:val="0"/>
      <w:marTop w:val="0"/>
      <w:marBottom w:val="0"/>
      <w:divBdr>
        <w:top w:val="none" w:sz="0" w:space="0" w:color="auto"/>
        <w:left w:val="none" w:sz="0" w:space="0" w:color="auto"/>
        <w:bottom w:val="none" w:sz="0" w:space="0" w:color="auto"/>
        <w:right w:val="none" w:sz="0" w:space="0" w:color="auto"/>
      </w:divBdr>
    </w:div>
    <w:div w:id="795833590">
      <w:bodyDiv w:val="1"/>
      <w:marLeft w:val="0"/>
      <w:marRight w:val="0"/>
      <w:marTop w:val="0"/>
      <w:marBottom w:val="0"/>
      <w:divBdr>
        <w:top w:val="none" w:sz="0" w:space="0" w:color="auto"/>
        <w:left w:val="none" w:sz="0" w:space="0" w:color="auto"/>
        <w:bottom w:val="none" w:sz="0" w:space="0" w:color="auto"/>
        <w:right w:val="none" w:sz="0" w:space="0" w:color="auto"/>
      </w:divBdr>
    </w:div>
    <w:div w:id="820579359">
      <w:bodyDiv w:val="1"/>
      <w:marLeft w:val="0"/>
      <w:marRight w:val="0"/>
      <w:marTop w:val="0"/>
      <w:marBottom w:val="0"/>
      <w:divBdr>
        <w:top w:val="none" w:sz="0" w:space="0" w:color="auto"/>
        <w:left w:val="none" w:sz="0" w:space="0" w:color="auto"/>
        <w:bottom w:val="none" w:sz="0" w:space="0" w:color="auto"/>
        <w:right w:val="none" w:sz="0" w:space="0" w:color="auto"/>
      </w:divBdr>
    </w:div>
    <w:div w:id="828401969">
      <w:bodyDiv w:val="1"/>
      <w:marLeft w:val="0"/>
      <w:marRight w:val="0"/>
      <w:marTop w:val="0"/>
      <w:marBottom w:val="0"/>
      <w:divBdr>
        <w:top w:val="none" w:sz="0" w:space="0" w:color="auto"/>
        <w:left w:val="none" w:sz="0" w:space="0" w:color="auto"/>
        <w:bottom w:val="none" w:sz="0" w:space="0" w:color="auto"/>
        <w:right w:val="none" w:sz="0" w:space="0" w:color="auto"/>
      </w:divBdr>
    </w:div>
    <w:div w:id="903177978">
      <w:bodyDiv w:val="1"/>
      <w:marLeft w:val="0"/>
      <w:marRight w:val="0"/>
      <w:marTop w:val="0"/>
      <w:marBottom w:val="0"/>
      <w:divBdr>
        <w:top w:val="none" w:sz="0" w:space="0" w:color="auto"/>
        <w:left w:val="none" w:sz="0" w:space="0" w:color="auto"/>
        <w:bottom w:val="none" w:sz="0" w:space="0" w:color="auto"/>
        <w:right w:val="none" w:sz="0" w:space="0" w:color="auto"/>
      </w:divBdr>
    </w:div>
    <w:div w:id="914313947">
      <w:bodyDiv w:val="1"/>
      <w:marLeft w:val="0"/>
      <w:marRight w:val="0"/>
      <w:marTop w:val="0"/>
      <w:marBottom w:val="0"/>
      <w:divBdr>
        <w:top w:val="none" w:sz="0" w:space="0" w:color="auto"/>
        <w:left w:val="none" w:sz="0" w:space="0" w:color="auto"/>
        <w:bottom w:val="none" w:sz="0" w:space="0" w:color="auto"/>
        <w:right w:val="none" w:sz="0" w:space="0" w:color="auto"/>
      </w:divBdr>
    </w:div>
    <w:div w:id="924341879">
      <w:bodyDiv w:val="1"/>
      <w:marLeft w:val="0"/>
      <w:marRight w:val="0"/>
      <w:marTop w:val="0"/>
      <w:marBottom w:val="0"/>
      <w:divBdr>
        <w:top w:val="none" w:sz="0" w:space="0" w:color="auto"/>
        <w:left w:val="none" w:sz="0" w:space="0" w:color="auto"/>
        <w:bottom w:val="none" w:sz="0" w:space="0" w:color="auto"/>
        <w:right w:val="none" w:sz="0" w:space="0" w:color="auto"/>
      </w:divBdr>
    </w:div>
    <w:div w:id="957487652">
      <w:bodyDiv w:val="1"/>
      <w:marLeft w:val="0"/>
      <w:marRight w:val="0"/>
      <w:marTop w:val="0"/>
      <w:marBottom w:val="0"/>
      <w:divBdr>
        <w:top w:val="none" w:sz="0" w:space="0" w:color="auto"/>
        <w:left w:val="none" w:sz="0" w:space="0" w:color="auto"/>
        <w:bottom w:val="none" w:sz="0" w:space="0" w:color="auto"/>
        <w:right w:val="none" w:sz="0" w:space="0" w:color="auto"/>
      </w:divBdr>
    </w:div>
    <w:div w:id="981235640">
      <w:bodyDiv w:val="1"/>
      <w:marLeft w:val="0"/>
      <w:marRight w:val="0"/>
      <w:marTop w:val="0"/>
      <w:marBottom w:val="0"/>
      <w:divBdr>
        <w:top w:val="none" w:sz="0" w:space="0" w:color="auto"/>
        <w:left w:val="none" w:sz="0" w:space="0" w:color="auto"/>
        <w:bottom w:val="none" w:sz="0" w:space="0" w:color="auto"/>
        <w:right w:val="none" w:sz="0" w:space="0" w:color="auto"/>
      </w:divBdr>
    </w:div>
    <w:div w:id="984241920">
      <w:bodyDiv w:val="1"/>
      <w:marLeft w:val="0"/>
      <w:marRight w:val="0"/>
      <w:marTop w:val="0"/>
      <w:marBottom w:val="0"/>
      <w:divBdr>
        <w:top w:val="none" w:sz="0" w:space="0" w:color="auto"/>
        <w:left w:val="none" w:sz="0" w:space="0" w:color="auto"/>
        <w:bottom w:val="none" w:sz="0" w:space="0" w:color="auto"/>
        <w:right w:val="none" w:sz="0" w:space="0" w:color="auto"/>
      </w:divBdr>
    </w:div>
    <w:div w:id="1047686342">
      <w:bodyDiv w:val="1"/>
      <w:marLeft w:val="0"/>
      <w:marRight w:val="0"/>
      <w:marTop w:val="0"/>
      <w:marBottom w:val="0"/>
      <w:divBdr>
        <w:top w:val="none" w:sz="0" w:space="0" w:color="auto"/>
        <w:left w:val="none" w:sz="0" w:space="0" w:color="auto"/>
        <w:bottom w:val="none" w:sz="0" w:space="0" w:color="auto"/>
        <w:right w:val="none" w:sz="0" w:space="0" w:color="auto"/>
      </w:divBdr>
    </w:div>
    <w:div w:id="1123619551">
      <w:bodyDiv w:val="1"/>
      <w:marLeft w:val="0"/>
      <w:marRight w:val="0"/>
      <w:marTop w:val="0"/>
      <w:marBottom w:val="0"/>
      <w:divBdr>
        <w:top w:val="none" w:sz="0" w:space="0" w:color="auto"/>
        <w:left w:val="none" w:sz="0" w:space="0" w:color="auto"/>
        <w:bottom w:val="none" w:sz="0" w:space="0" w:color="auto"/>
        <w:right w:val="none" w:sz="0" w:space="0" w:color="auto"/>
      </w:divBdr>
    </w:div>
    <w:div w:id="1131288396">
      <w:bodyDiv w:val="1"/>
      <w:marLeft w:val="0"/>
      <w:marRight w:val="0"/>
      <w:marTop w:val="0"/>
      <w:marBottom w:val="0"/>
      <w:divBdr>
        <w:top w:val="none" w:sz="0" w:space="0" w:color="auto"/>
        <w:left w:val="none" w:sz="0" w:space="0" w:color="auto"/>
        <w:bottom w:val="none" w:sz="0" w:space="0" w:color="auto"/>
        <w:right w:val="none" w:sz="0" w:space="0" w:color="auto"/>
      </w:divBdr>
    </w:div>
    <w:div w:id="1142501572">
      <w:bodyDiv w:val="1"/>
      <w:marLeft w:val="0"/>
      <w:marRight w:val="0"/>
      <w:marTop w:val="0"/>
      <w:marBottom w:val="0"/>
      <w:divBdr>
        <w:top w:val="none" w:sz="0" w:space="0" w:color="auto"/>
        <w:left w:val="none" w:sz="0" w:space="0" w:color="auto"/>
        <w:bottom w:val="none" w:sz="0" w:space="0" w:color="auto"/>
        <w:right w:val="none" w:sz="0" w:space="0" w:color="auto"/>
      </w:divBdr>
    </w:div>
    <w:div w:id="1209997001">
      <w:bodyDiv w:val="1"/>
      <w:marLeft w:val="0"/>
      <w:marRight w:val="0"/>
      <w:marTop w:val="0"/>
      <w:marBottom w:val="0"/>
      <w:divBdr>
        <w:top w:val="none" w:sz="0" w:space="0" w:color="auto"/>
        <w:left w:val="none" w:sz="0" w:space="0" w:color="auto"/>
        <w:bottom w:val="none" w:sz="0" w:space="0" w:color="auto"/>
        <w:right w:val="none" w:sz="0" w:space="0" w:color="auto"/>
      </w:divBdr>
    </w:div>
    <w:div w:id="1215312695">
      <w:bodyDiv w:val="1"/>
      <w:marLeft w:val="0"/>
      <w:marRight w:val="0"/>
      <w:marTop w:val="0"/>
      <w:marBottom w:val="0"/>
      <w:divBdr>
        <w:top w:val="none" w:sz="0" w:space="0" w:color="auto"/>
        <w:left w:val="none" w:sz="0" w:space="0" w:color="auto"/>
        <w:bottom w:val="none" w:sz="0" w:space="0" w:color="auto"/>
        <w:right w:val="none" w:sz="0" w:space="0" w:color="auto"/>
      </w:divBdr>
    </w:div>
    <w:div w:id="1242564302">
      <w:bodyDiv w:val="1"/>
      <w:marLeft w:val="0"/>
      <w:marRight w:val="0"/>
      <w:marTop w:val="0"/>
      <w:marBottom w:val="0"/>
      <w:divBdr>
        <w:top w:val="none" w:sz="0" w:space="0" w:color="auto"/>
        <w:left w:val="none" w:sz="0" w:space="0" w:color="auto"/>
        <w:bottom w:val="none" w:sz="0" w:space="0" w:color="auto"/>
        <w:right w:val="none" w:sz="0" w:space="0" w:color="auto"/>
      </w:divBdr>
    </w:div>
    <w:div w:id="1260214944">
      <w:bodyDiv w:val="1"/>
      <w:marLeft w:val="0"/>
      <w:marRight w:val="0"/>
      <w:marTop w:val="0"/>
      <w:marBottom w:val="0"/>
      <w:divBdr>
        <w:top w:val="none" w:sz="0" w:space="0" w:color="auto"/>
        <w:left w:val="none" w:sz="0" w:space="0" w:color="auto"/>
        <w:bottom w:val="none" w:sz="0" w:space="0" w:color="auto"/>
        <w:right w:val="none" w:sz="0" w:space="0" w:color="auto"/>
      </w:divBdr>
    </w:div>
    <w:div w:id="1276913069">
      <w:bodyDiv w:val="1"/>
      <w:marLeft w:val="0"/>
      <w:marRight w:val="0"/>
      <w:marTop w:val="0"/>
      <w:marBottom w:val="0"/>
      <w:divBdr>
        <w:top w:val="none" w:sz="0" w:space="0" w:color="auto"/>
        <w:left w:val="none" w:sz="0" w:space="0" w:color="auto"/>
        <w:bottom w:val="none" w:sz="0" w:space="0" w:color="auto"/>
        <w:right w:val="none" w:sz="0" w:space="0" w:color="auto"/>
      </w:divBdr>
    </w:div>
    <w:div w:id="1295136721">
      <w:bodyDiv w:val="1"/>
      <w:marLeft w:val="0"/>
      <w:marRight w:val="0"/>
      <w:marTop w:val="0"/>
      <w:marBottom w:val="0"/>
      <w:divBdr>
        <w:top w:val="none" w:sz="0" w:space="0" w:color="auto"/>
        <w:left w:val="none" w:sz="0" w:space="0" w:color="auto"/>
        <w:bottom w:val="none" w:sz="0" w:space="0" w:color="auto"/>
        <w:right w:val="none" w:sz="0" w:space="0" w:color="auto"/>
      </w:divBdr>
    </w:div>
    <w:div w:id="1301036711">
      <w:bodyDiv w:val="1"/>
      <w:marLeft w:val="0"/>
      <w:marRight w:val="0"/>
      <w:marTop w:val="0"/>
      <w:marBottom w:val="0"/>
      <w:divBdr>
        <w:top w:val="none" w:sz="0" w:space="0" w:color="auto"/>
        <w:left w:val="none" w:sz="0" w:space="0" w:color="auto"/>
        <w:bottom w:val="none" w:sz="0" w:space="0" w:color="auto"/>
        <w:right w:val="none" w:sz="0" w:space="0" w:color="auto"/>
      </w:divBdr>
    </w:div>
    <w:div w:id="1352994770">
      <w:bodyDiv w:val="1"/>
      <w:marLeft w:val="0"/>
      <w:marRight w:val="0"/>
      <w:marTop w:val="0"/>
      <w:marBottom w:val="0"/>
      <w:divBdr>
        <w:top w:val="none" w:sz="0" w:space="0" w:color="auto"/>
        <w:left w:val="none" w:sz="0" w:space="0" w:color="auto"/>
        <w:bottom w:val="none" w:sz="0" w:space="0" w:color="auto"/>
        <w:right w:val="none" w:sz="0" w:space="0" w:color="auto"/>
      </w:divBdr>
    </w:div>
    <w:div w:id="1357119891">
      <w:bodyDiv w:val="1"/>
      <w:marLeft w:val="0"/>
      <w:marRight w:val="0"/>
      <w:marTop w:val="0"/>
      <w:marBottom w:val="0"/>
      <w:divBdr>
        <w:top w:val="none" w:sz="0" w:space="0" w:color="auto"/>
        <w:left w:val="none" w:sz="0" w:space="0" w:color="auto"/>
        <w:bottom w:val="none" w:sz="0" w:space="0" w:color="auto"/>
        <w:right w:val="none" w:sz="0" w:space="0" w:color="auto"/>
      </w:divBdr>
    </w:div>
    <w:div w:id="1380398103">
      <w:bodyDiv w:val="1"/>
      <w:marLeft w:val="0"/>
      <w:marRight w:val="0"/>
      <w:marTop w:val="0"/>
      <w:marBottom w:val="0"/>
      <w:divBdr>
        <w:top w:val="none" w:sz="0" w:space="0" w:color="auto"/>
        <w:left w:val="none" w:sz="0" w:space="0" w:color="auto"/>
        <w:bottom w:val="none" w:sz="0" w:space="0" w:color="auto"/>
        <w:right w:val="none" w:sz="0" w:space="0" w:color="auto"/>
      </w:divBdr>
    </w:div>
    <w:div w:id="1426152206">
      <w:bodyDiv w:val="1"/>
      <w:marLeft w:val="0"/>
      <w:marRight w:val="0"/>
      <w:marTop w:val="0"/>
      <w:marBottom w:val="0"/>
      <w:divBdr>
        <w:top w:val="none" w:sz="0" w:space="0" w:color="auto"/>
        <w:left w:val="none" w:sz="0" w:space="0" w:color="auto"/>
        <w:bottom w:val="none" w:sz="0" w:space="0" w:color="auto"/>
        <w:right w:val="none" w:sz="0" w:space="0" w:color="auto"/>
      </w:divBdr>
    </w:div>
    <w:div w:id="1432386225">
      <w:bodyDiv w:val="1"/>
      <w:marLeft w:val="0"/>
      <w:marRight w:val="0"/>
      <w:marTop w:val="0"/>
      <w:marBottom w:val="0"/>
      <w:divBdr>
        <w:top w:val="none" w:sz="0" w:space="0" w:color="auto"/>
        <w:left w:val="none" w:sz="0" w:space="0" w:color="auto"/>
        <w:bottom w:val="none" w:sz="0" w:space="0" w:color="auto"/>
        <w:right w:val="none" w:sz="0" w:space="0" w:color="auto"/>
      </w:divBdr>
    </w:div>
    <w:div w:id="1442995779">
      <w:bodyDiv w:val="1"/>
      <w:marLeft w:val="0"/>
      <w:marRight w:val="0"/>
      <w:marTop w:val="0"/>
      <w:marBottom w:val="0"/>
      <w:divBdr>
        <w:top w:val="none" w:sz="0" w:space="0" w:color="auto"/>
        <w:left w:val="none" w:sz="0" w:space="0" w:color="auto"/>
        <w:bottom w:val="none" w:sz="0" w:space="0" w:color="auto"/>
        <w:right w:val="none" w:sz="0" w:space="0" w:color="auto"/>
      </w:divBdr>
    </w:div>
    <w:div w:id="1517883296">
      <w:bodyDiv w:val="1"/>
      <w:marLeft w:val="0"/>
      <w:marRight w:val="0"/>
      <w:marTop w:val="0"/>
      <w:marBottom w:val="0"/>
      <w:divBdr>
        <w:top w:val="none" w:sz="0" w:space="0" w:color="auto"/>
        <w:left w:val="none" w:sz="0" w:space="0" w:color="auto"/>
        <w:bottom w:val="none" w:sz="0" w:space="0" w:color="auto"/>
        <w:right w:val="none" w:sz="0" w:space="0" w:color="auto"/>
      </w:divBdr>
    </w:div>
    <w:div w:id="1586955145">
      <w:bodyDiv w:val="1"/>
      <w:marLeft w:val="0"/>
      <w:marRight w:val="0"/>
      <w:marTop w:val="0"/>
      <w:marBottom w:val="0"/>
      <w:divBdr>
        <w:top w:val="none" w:sz="0" w:space="0" w:color="auto"/>
        <w:left w:val="none" w:sz="0" w:space="0" w:color="auto"/>
        <w:bottom w:val="none" w:sz="0" w:space="0" w:color="auto"/>
        <w:right w:val="none" w:sz="0" w:space="0" w:color="auto"/>
      </w:divBdr>
    </w:div>
    <w:div w:id="1594170500">
      <w:bodyDiv w:val="1"/>
      <w:marLeft w:val="0"/>
      <w:marRight w:val="0"/>
      <w:marTop w:val="0"/>
      <w:marBottom w:val="0"/>
      <w:divBdr>
        <w:top w:val="none" w:sz="0" w:space="0" w:color="auto"/>
        <w:left w:val="none" w:sz="0" w:space="0" w:color="auto"/>
        <w:bottom w:val="none" w:sz="0" w:space="0" w:color="auto"/>
        <w:right w:val="none" w:sz="0" w:space="0" w:color="auto"/>
      </w:divBdr>
    </w:div>
    <w:div w:id="1638681975">
      <w:bodyDiv w:val="1"/>
      <w:marLeft w:val="0"/>
      <w:marRight w:val="0"/>
      <w:marTop w:val="0"/>
      <w:marBottom w:val="0"/>
      <w:divBdr>
        <w:top w:val="none" w:sz="0" w:space="0" w:color="auto"/>
        <w:left w:val="none" w:sz="0" w:space="0" w:color="auto"/>
        <w:bottom w:val="none" w:sz="0" w:space="0" w:color="auto"/>
        <w:right w:val="none" w:sz="0" w:space="0" w:color="auto"/>
      </w:divBdr>
    </w:div>
    <w:div w:id="1646354549">
      <w:bodyDiv w:val="1"/>
      <w:marLeft w:val="0"/>
      <w:marRight w:val="0"/>
      <w:marTop w:val="0"/>
      <w:marBottom w:val="0"/>
      <w:divBdr>
        <w:top w:val="none" w:sz="0" w:space="0" w:color="auto"/>
        <w:left w:val="none" w:sz="0" w:space="0" w:color="auto"/>
        <w:bottom w:val="none" w:sz="0" w:space="0" w:color="auto"/>
        <w:right w:val="none" w:sz="0" w:space="0" w:color="auto"/>
      </w:divBdr>
    </w:div>
    <w:div w:id="1694578316">
      <w:bodyDiv w:val="1"/>
      <w:marLeft w:val="0"/>
      <w:marRight w:val="0"/>
      <w:marTop w:val="0"/>
      <w:marBottom w:val="0"/>
      <w:divBdr>
        <w:top w:val="none" w:sz="0" w:space="0" w:color="auto"/>
        <w:left w:val="none" w:sz="0" w:space="0" w:color="auto"/>
        <w:bottom w:val="none" w:sz="0" w:space="0" w:color="auto"/>
        <w:right w:val="none" w:sz="0" w:space="0" w:color="auto"/>
      </w:divBdr>
    </w:div>
    <w:div w:id="1780835391">
      <w:bodyDiv w:val="1"/>
      <w:marLeft w:val="0"/>
      <w:marRight w:val="0"/>
      <w:marTop w:val="0"/>
      <w:marBottom w:val="0"/>
      <w:divBdr>
        <w:top w:val="none" w:sz="0" w:space="0" w:color="auto"/>
        <w:left w:val="none" w:sz="0" w:space="0" w:color="auto"/>
        <w:bottom w:val="none" w:sz="0" w:space="0" w:color="auto"/>
        <w:right w:val="none" w:sz="0" w:space="0" w:color="auto"/>
      </w:divBdr>
    </w:div>
    <w:div w:id="1805350543">
      <w:bodyDiv w:val="1"/>
      <w:marLeft w:val="0"/>
      <w:marRight w:val="0"/>
      <w:marTop w:val="0"/>
      <w:marBottom w:val="0"/>
      <w:divBdr>
        <w:top w:val="none" w:sz="0" w:space="0" w:color="auto"/>
        <w:left w:val="none" w:sz="0" w:space="0" w:color="auto"/>
        <w:bottom w:val="none" w:sz="0" w:space="0" w:color="auto"/>
        <w:right w:val="none" w:sz="0" w:space="0" w:color="auto"/>
      </w:divBdr>
    </w:div>
    <w:div w:id="1829859194">
      <w:bodyDiv w:val="1"/>
      <w:marLeft w:val="0"/>
      <w:marRight w:val="0"/>
      <w:marTop w:val="0"/>
      <w:marBottom w:val="0"/>
      <w:divBdr>
        <w:top w:val="none" w:sz="0" w:space="0" w:color="auto"/>
        <w:left w:val="none" w:sz="0" w:space="0" w:color="auto"/>
        <w:bottom w:val="none" w:sz="0" w:space="0" w:color="auto"/>
        <w:right w:val="none" w:sz="0" w:space="0" w:color="auto"/>
      </w:divBdr>
    </w:div>
    <w:div w:id="1861310796">
      <w:bodyDiv w:val="1"/>
      <w:marLeft w:val="0"/>
      <w:marRight w:val="0"/>
      <w:marTop w:val="0"/>
      <w:marBottom w:val="0"/>
      <w:divBdr>
        <w:top w:val="none" w:sz="0" w:space="0" w:color="auto"/>
        <w:left w:val="none" w:sz="0" w:space="0" w:color="auto"/>
        <w:bottom w:val="none" w:sz="0" w:space="0" w:color="auto"/>
        <w:right w:val="none" w:sz="0" w:space="0" w:color="auto"/>
      </w:divBdr>
    </w:div>
    <w:div w:id="1876119700">
      <w:bodyDiv w:val="1"/>
      <w:marLeft w:val="0"/>
      <w:marRight w:val="0"/>
      <w:marTop w:val="0"/>
      <w:marBottom w:val="0"/>
      <w:divBdr>
        <w:top w:val="none" w:sz="0" w:space="0" w:color="auto"/>
        <w:left w:val="none" w:sz="0" w:space="0" w:color="auto"/>
        <w:bottom w:val="none" w:sz="0" w:space="0" w:color="auto"/>
        <w:right w:val="none" w:sz="0" w:space="0" w:color="auto"/>
      </w:divBdr>
    </w:div>
    <w:div w:id="1880973173">
      <w:bodyDiv w:val="1"/>
      <w:marLeft w:val="0"/>
      <w:marRight w:val="0"/>
      <w:marTop w:val="0"/>
      <w:marBottom w:val="0"/>
      <w:divBdr>
        <w:top w:val="none" w:sz="0" w:space="0" w:color="auto"/>
        <w:left w:val="none" w:sz="0" w:space="0" w:color="auto"/>
        <w:bottom w:val="none" w:sz="0" w:space="0" w:color="auto"/>
        <w:right w:val="none" w:sz="0" w:space="0" w:color="auto"/>
      </w:divBdr>
    </w:div>
    <w:div w:id="1888881706">
      <w:bodyDiv w:val="1"/>
      <w:marLeft w:val="0"/>
      <w:marRight w:val="0"/>
      <w:marTop w:val="0"/>
      <w:marBottom w:val="0"/>
      <w:divBdr>
        <w:top w:val="none" w:sz="0" w:space="0" w:color="auto"/>
        <w:left w:val="none" w:sz="0" w:space="0" w:color="auto"/>
        <w:bottom w:val="none" w:sz="0" w:space="0" w:color="auto"/>
        <w:right w:val="none" w:sz="0" w:space="0" w:color="auto"/>
      </w:divBdr>
    </w:div>
    <w:div w:id="1917590042">
      <w:bodyDiv w:val="1"/>
      <w:marLeft w:val="0"/>
      <w:marRight w:val="0"/>
      <w:marTop w:val="0"/>
      <w:marBottom w:val="0"/>
      <w:divBdr>
        <w:top w:val="none" w:sz="0" w:space="0" w:color="auto"/>
        <w:left w:val="none" w:sz="0" w:space="0" w:color="auto"/>
        <w:bottom w:val="none" w:sz="0" w:space="0" w:color="auto"/>
        <w:right w:val="none" w:sz="0" w:space="0" w:color="auto"/>
      </w:divBdr>
    </w:div>
    <w:div w:id="1924873728">
      <w:bodyDiv w:val="1"/>
      <w:marLeft w:val="0"/>
      <w:marRight w:val="0"/>
      <w:marTop w:val="0"/>
      <w:marBottom w:val="0"/>
      <w:divBdr>
        <w:top w:val="none" w:sz="0" w:space="0" w:color="auto"/>
        <w:left w:val="none" w:sz="0" w:space="0" w:color="auto"/>
        <w:bottom w:val="none" w:sz="0" w:space="0" w:color="auto"/>
        <w:right w:val="none" w:sz="0" w:space="0" w:color="auto"/>
      </w:divBdr>
    </w:div>
    <w:div w:id="1952394692">
      <w:bodyDiv w:val="1"/>
      <w:marLeft w:val="0"/>
      <w:marRight w:val="0"/>
      <w:marTop w:val="0"/>
      <w:marBottom w:val="0"/>
      <w:divBdr>
        <w:top w:val="none" w:sz="0" w:space="0" w:color="auto"/>
        <w:left w:val="none" w:sz="0" w:space="0" w:color="auto"/>
        <w:bottom w:val="none" w:sz="0" w:space="0" w:color="auto"/>
        <w:right w:val="none" w:sz="0" w:space="0" w:color="auto"/>
      </w:divBdr>
    </w:div>
    <w:div w:id="1996758575">
      <w:bodyDiv w:val="1"/>
      <w:marLeft w:val="0"/>
      <w:marRight w:val="0"/>
      <w:marTop w:val="0"/>
      <w:marBottom w:val="0"/>
      <w:divBdr>
        <w:top w:val="none" w:sz="0" w:space="0" w:color="auto"/>
        <w:left w:val="none" w:sz="0" w:space="0" w:color="auto"/>
        <w:bottom w:val="none" w:sz="0" w:space="0" w:color="auto"/>
        <w:right w:val="none" w:sz="0" w:space="0" w:color="auto"/>
      </w:divBdr>
    </w:div>
    <w:div w:id="2001345349">
      <w:bodyDiv w:val="1"/>
      <w:marLeft w:val="0"/>
      <w:marRight w:val="0"/>
      <w:marTop w:val="0"/>
      <w:marBottom w:val="0"/>
      <w:divBdr>
        <w:top w:val="none" w:sz="0" w:space="0" w:color="auto"/>
        <w:left w:val="none" w:sz="0" w:space="0" w:color="auto"/>
        <w:bottom w:val="none" w:sz="0" w:space="0" w:color="auto"/>
        <w:right w:val="none" w:sz="0" w:space="0" w:color="auto"/>
      </w:divBdr>
    </w:div>
    <w:div w:id="2044284213">
      <w:bodyDiv w:val="1"/>
      <w:marLeft w:val="0"/>
      <w:marRight w:val="0"/>
      <w:marTop w:val="0"/>
      <w:marBottom w:val="0"/>
      <w:divBdr>
        <w:top w:val="none" w:sz="0" w:space="0" w:color="auto"/>
        <w:left w:val="none" w:sz="0" w:space="0" w:color="auto"/>
        <w:bottom w:val="none" w:sz="0" w:space="0" w:color="auto"/>
        <w:right w:val="none" w:sz="0" w:space="0" w:color="auto"/>
      </w:divBdr>
    </w:div>
    <w:div w:id="2075001680">
      <w:bodyDiv w:val="1"/>
      <w:marLeft w:val="0"/>
      <w:marRight w:val="0"/>
      <w:marTop w:val="0"/>
      <w:marBottom w:val="0"/>
      <w:divBdr>
        <w:top w:val="none" w:sz="0" w:space="0" w:color="auto"/>
        <w:left w:val="none" w:sz="0" w:space="0" w:color="auto"/>
        <w:bottom w:val="none" w:sz="0" w:space="0" w:color="auto"/>
        <w:right w:val="none" w:sz="0" w:space="0" w:color="auto"/>
      </w:divBdr>
    </w:div>
    <w:div w:id="214160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38/s41598-024-80709-3"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oi.org/10.1038/s41581-024-00820-6"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Prevelance</a:t>
            </a:r>
            <a:r>
              <a:rPr lang="en-US" b="1" baseline="0"/>
              <a:t> of Biochemical Abnormalities in Study Cohort</a:t>
            </a:r>
            <a:endParaRPr lang="en-US"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1240333657737668"/>
          <c:y val="0.11359773371104817"/>
          <c:w val="0.85814158242115057"/>
          <c:h val="0.77565846053945808"/>
        </c:manualLayout>
      </c:layout>
      <c:barChart>
        <c:barDir val="col"/>
        <c:grouping val="stacked"/>
        <c:varyColors val="0"/>
        <c:ser>
          <c:idx val="1"/>
          <c:order val="0"/>
          <c:tx>
            <c:strRef>
              <c:f>Sheet1!$C$1</c:f>
              <c:strCache>
                <c:ptCount val="1"/>
                <c:pt idx="0">
                  <c:v>Series 2</c:v>
                </c:pt>
              </c:strCache>
            </c:strRef>
          </c:tx>
          <c:spPr>
            <a:solidFill>
              <a:schemeClr val="accent2"/>
            </a:solidFill>
            <a:ln>
              <a:noFill/>
            </a:ln>
            <a:effectLst/>
          </c:spPr>
          <c:invertIfNegative val="0"/>
          <c:dLbls>
            <c:dLbl>
              <c:idx val="0"/>
              <c:layout>
                <c:manualLayout>
                  <c:x val="0"/>
                  <c:y val="-0.23960156538506347"/>
                </c:manualLayout>
              </c:layout>
              <c:tx>
                <c:rich>
                  <a:bodyPr/>
                  <a:lstStyle/>
                  <a:p>
                    <a:r>
                      <a:rPr lang="en-US"/>
                      <a:t>14.0%</a:t>
                    </a:r>
                  </a:p>
                </c:rich>
              </c:tx>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D5C-4872-A885-C2C30D831339}"/>
                </c:ext>
              </c:extLst>
            </c:dLbl>
            <c:dLbl>
              <c:idx val="1"/>
              <c:layout>
                <c:manualLayout>
                  <c:x val="4.6296750574694795E-3"/>
                  <c:y val="-0.2958429063222621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D5C-4872-A885-C2C30D831339}"/>
                </c:ext>
              </c:extLst>
            </c:dLbl>
            <c:dLbl>
              <c:idx val="2"/>
              <c:layout>
                <c:manualLayout>
                  <c:x val="2.3148375287347605E-3"/>
                  <c:y val="-0.1225378520319521"/>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a:t>6.0%</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15:layout>
                    <c:manualLayout>
                      <c:w val="8.1909631087780696E-2"/>
                      <c:h val="5.8778771633715747E-2"/>
                    </c:manualLayout>
                  </c15:layout>
                </c:ext>
                <c:ext xmlns:c16="http://schemas.microsoft.com/office/drawing/2014/chart" uri="{C3380CC4-5D6E-409C-BE32-E72D297353CC}">
                  <c16:uniqueId val="{00000000-DD5C-4872-A885-C2C30D831339}"/>
                </c:ext>
              </c:extLst>
            </c:dLbl>
            <c:dLbl>
              <c:idx val="3"/>
              <c:layout>
                <c:manualLayout>
                  <c:x val="4.9062067083010342E-5"/>
                  <c:y val="-0.173782526475975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D5C-4872-A885-C2C30D831339}"/>
                </c:ext>
              </c:extLst>
            </c:dLbl>
            <c:dLbl>
              <c:idx val="4"/>
              <c:layout>
                <c:manualLayout>
                  <c:x val="2.363899595817771E-3"/>
                  <c:y val="-0.36480956877557447"/>
                </c:manualLayout>
              </c:layout>
              <c:tx>
                <c:rich>
                  <a:bodyPr/>
                  <a:lstStyle/>
                  <a:p>
                    <a:r>
                      <a:rPr lang="en-US"/>
                      <a:t>22.0%</a:t>
                    </a:r>
                  </a:p>
                </c:rich>
              </c:tx>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D5C-4872-A885-C2C30D831339}"/>
                </c:ext>
              </c:extLst>
            </c:dLbl>
            <c:dLbl>
              <c:idx val="5"/>
              <c:layout>
                <c:manualLayout>
                  <c:x val="8.9203758166591123E-8"/>
                  <c:y val="-0.2570484461397000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a:t>15.0%</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15:layout>
                    <c:manualLayout>
                      <c:w val="6.8414442986293372E-2"/>
                      <c:h val="6.6053003997729731E-2"/>
                    </c:manualLayout>
                  </c15:layout>
                </c:ext>
                <c:ext xmlns:c16="http://schemas.microsoft.com/office/drawing/2014/chart" uri="{C3380CC4-5D6E-409C-BE32-E72D297353CC}">
                  <c16:uniqueId val="{00000005-DD5C-4872-A885-C2C30D83133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Hyponatremia (&lt;135 mmol/L)</c:v>
                </c:pt>
                <c:pt idx="1">
                  <c:v>Hyperkalemia (&gt;5.0 mmol/L)</c:v>
                </c:pt>
                <c:pt idx="2">
                  <c:v>Hypokalemia (&lt;3.5 mmol/L)</c:v>
                </c:pt>
                <c:pt idx="3">
                  <c:v>Hypocalcemia (&lt;8.5 mg/dl)</c:v>
                </c:pt>
                <c:pt idx="4">
                  <c:v>Hyperurecemia (&gt;6.5 mg/dl)</c:v>
                </c:pt>
                <c:pt idx="5">
                  <c:v>Low HCO3- (&lt;22 mmol/L)</c:v>
                </c:pt>
              </c:strCache>
            </c:strRef>
          </c:cat>
          <c:val>
            <c:numRef>
              <c:f>Sheet1!$C$2:$C$7</c:f>
              <c:numCache>
                <c:formatCode>0.00%</c:formatCode>
                <c:ptCount val="6"/>
                <c:pt idx="0" formatCode="0%">
                  <c:v>0.14000000000000001</c:v>
                </c:pt>
                <c:pt idx="1">
                  <c:v>0.17499999999999999</c:v>
                </c:pt>
                <c:pt idx="2">
                  <c:v>0.06</c:v>
                </c:pt>
                <c:pt idx="3">
                  <c:v>9.5000000000000001E-2</c:v>
                </c:pt>
                <c:pt idx="4">
                  <c:v>0.22</c:v>
                </c:pt>
                <c:pt idx="5">
                  <c:v>0.15</c:v>
                </c:pt>
              </c:numCache>
            </c:numRef>
          </c:val>
          <c:extLst>
            <c:ext xmlns:c16="http://schemas.microsoft.com/office/drawing/2014/chart" uri="{C3380CC4-5D6E-409C-BE32-E72D297353CC}">
              <c16:uniqueId val="{00000001-0F0C-41BB-9B29-C2DFA104826D}"/>
            </c:ext>
          </c:extLst>
        </c:ser>
        <c:dLbls>
          <c:dLblPos val="ctr"/>
          <c:showLegendKey val="0"/>
          <c:showVal val="1"/>
          <c:showCatName val="0"/>
          <c:showSerName val="0"/>
          <c:showPercent val="0"/>
          <c:showBubbleSize val="0"/>
        </c:dLbls>
        <c:gapWidth val="150"/>
        <c:overlap val="100"/>
        <c:axId val="978107967"/>
        <c:axId val="978121887"/>
      </c:barChart>
      <c:catAx>
        <c:axId val="9781079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78121887"/>
        <c:crosses val="autoZero"/>
        <c:auto val="1"/>
        <c:lblAlgn val="ctr"/>
        <c:lblOffset val="100"/>
        <c:noMultiLvlLbl val="0"/>
      </c:catAx>
      <c:valAx>
        <c:axId val="97812188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Percentage</a:t>
                </a:r>
                <a:r>
                  <a:rPr lang="en-IN" b="1" baseline="0"/>
                  <a:t> of Participants (%)</a:t>
                </a:r>
                <a:endParaRPr lang="en-IN" b="1"/>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7810796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b="1"/>
              <a:t>Pie Chart 1. Cluster-Based Patient Profiling</a:t>
            </a:r>
          </a:p>
          <a:p>
            <a:pPr>
              <a:defRPr/>
            </a:pPr>
            <a:endParaRPr lang="en-US"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Sales</c:v>
                </c:pt>
              </c:strCache>
            </c:strRef>
          </c:tx>
          <c:dPt>
            <c:idx val="0"/>
            <c:bubble3D val="0"/>
            <c:spPr>
              <a:solidFill>
                <a:schemeClr val="accent6"/>
              </a:solidFill>
              <a:ln w="19050">
                <a:solidFill>
                  <a:schemeClr val="lt1"/>
                </a:solidFill>
              </a:ln>
              <a:effectLst/>
            </c:spPr>
            <c:extLst>
              <c:ext xmlns:c16="http://schemas.microsoft.com/office/drawing/2014/chart" uri="{C3380CC4-5D6E-409C-BE32-E72D297353CC}">
                <c16:uniqueId val="{00000001-08AF-4AD0-9A00-29205BDB5C68}"/>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2-08AF-4AD0-9A00-29205BDB5C68}"/>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F5E7-4C63-BA99-284C8536C140}"/>
              </c:ext>
            </c:extLst>
          </c:dPt>
          <c:dPt>
            <c:idx val="3"/>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07-F5E7-4C63-BA99-284C8536C140}"/>
              </c:ext>
            </c:extLst>
          </c:dPt>
          <c:dLbls>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extLst>
                <c:ext xmlns:c16="http://schemas.microsoft.com/office/drawing/2014/chart" uri="{C3380CC4-5D6E-409C-BE32-E72D297353CC}">
                  <c16:uniqueId val="{00000001-08AF-4AD0-9A00-29205BDB5C68}"/>
                </c:ext>
              </c:extLst>
            </c:dLbl>
            <c:dLbl>
              <c:idx val="1"/>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extLst>
                <c:ext xmlns:c16="http://schemas.microsoft.com/office/drawing/2014/chart" uri="{C3380CC4-5D6E-409C-BE32-E72D297353CC}">
                  <c16:uniqueId val="{00000002-08AF-4AD0-9A00-29205BDB5C68}"/>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3"/>
                <c:pt idx="0">
                  <c:v>Normal Biochemical Range</c:v>
                </c:pt>
                <c:pt idx="1">
                  <c:v>Metabolic Acidosis &amp; Hyperkalaemia</c:v>
                </c:pt>
                <c:pt idx="2">
                  <c:v>Elderly Cardio-Renal</c:v>
                </c:pt>
              </c:strCache>
            </c:strRef>
          </c:cat>
          <c:val>
            <c:numRef>
              <c:f>Sheet1!$B$2:$B$5</c:f>
              <c:numCache>
                <c:formatCode>0%</c:formatCode>
                <c:ptCount val="4"/>
                <c:pt idx="0">
                  <c:v>0.36</c:v>
                </c:pt>
                <c:pt idx="1">
                  <c:v>0.28999999999999998</c:v>
                </c:pt>
                <c:pt idx="2">
                  <c:v>0.35</c:v>
                </c:pt>
              </c:numCache>
            </c:numRef>
          </c:val>
          <c:extLst>
            <c:ext xmlns:c16="http://schemas.microsoft.com/office/drawing/2014/chart" uri="{C3380CC4-5D6E-409C-BE32-E72D297353CC}">
              <c16:uniqueId val="{00000000-08AF-4AD0-9A00-29205BDB5C68}"/>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legendEntry>
        <c:idx val="0"/>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Entry>
      <c:legendEntry>
        <c:idx val="1"/>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Entry>
      <c:legendEntry>
        <c:idx val="2"/>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Entry>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FDD2C-3AC4-41DA-973A-EE302290F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3900</TotalTime>
  <Pages>12</Pages>
  <Words>3196</Words>
  <Characters>18223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Abid</dc:creator>
  <cp:keywords/>
  <dc:description/>
  <cp:lastModifiedBy>SDI 1186</cp:lastModifiedBy>
  <cp:revision>44</cp:revision>
  <dcterms:created xsi:type="dcterms:W3CDTF">2025-04-17T18:52:00Z</dcterms:created>
  <dcterms:modified xsi:type="dcterms:W3CDTF">2025-11-04T06:34:00Z</dcterms:modified>
</cp:coreProperties>
</file>