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9D8E" w14:textId="51C92D28" w:rsidR="007B3C87" w:rsidRPr="00285A5D" w:rsidRDefault="00285A5D" w:rsidP="007B3C87">
      <w:pPr>
        <w:jc w:val="right"/>
        <w:rPr>
          <w:b/>
          <w:bCs/>
          <w:i/>
          <w:sz w:val="36"/>
          <w:szCs w:val="28"/>
          <w:u w:val="single"/>
        </w:rPr>
      </w:pPr>
      <w:r w:rsidRPr="00285A5D">
        <w:rPr>
          <w:b/>
          <w:bCs/>
          <w:i/>
          <w:sz w:val="36"/>
          <w:szCs w:val="28"/>
          <w:u w:val="single"/>
        </w:rPr>
        <w:t>Original Research Article</w:t>
      </w:r>
    </w:p>
    <w:p w14:paraId="5D1537FC" w14:textId="77777777" w:rsidR="007B3C87" w:rsidRPr="00116DE9" w:rsidRDefault="007B3C87" w:rsidP="007B3C87">
      <w:pPr>
        <w:jc w:val="center"/>
        <w:rPr>
          <w:b/>
          <w:bCs/>
          <w:sz w:val="32"/>
          <w:szCs w:val="32"/>
        </w:rPr>
      </w:pPr>
    </w:p>
    <w:p w14:paraId="4BE133AA" w14:textId="2FF4459A" w:rsidR="007B3C87" w:rsidRPr="00236D5C" w:rsidRDefault="00236D5C" w:rsidP="00E72E4E">
      <w:pPr>
        <w:spacing w:line="360" w:lineRule="auto"/>
        <w:jc w:val="center"/>
        <w:rPr>
          <w:b/>
          <w:bCs/>
          <w:sz w:val="28"/>
          <w:szCs w:val="28"/>
        </w:rPr>
      </w:pPr>
      <w:r w:rsidRPr="00BD07AD">
        <w:rPr>
          <w:b/>
          <w:bCs/>
          <w:sz w:val="28"/>
          <w:szCs w:val="28"/>
          <w:highlight w:val="yellow"/>
        </w:rPr>
        <w:t>Impact of Various Pre-Freezing Treatments on Drip Loss of Tilapia (</w:t>
      </w:r>
      <w:r w:rsidRPr="00BD07AD">
        <w:rPr>
          <w:b/>
          <w:bCs/>
          <w:i/>
          <w:iCs/>
          <w:sz w:val="28"/>
          <w:szCs w:val="28"/>
          <w:highlight w:val="yellow"/>
        </w:rPr>
        <w:t>Oreochromis niloticus</w:t>
      </w:r>
      <w:r w:rsidRPr="00BD07AD">
        <w:rPr>
          <w:b/>
          <w:bCs/>
          <w:sz w:val="28"/>
          <w:szCs w:val="28"/>
          <w:highlight w:val="yellow"/>
        </w:rPr>
        <w:t>) Fillets during Long-Term Storage at -18 °C</w:t>
      </w:r>
    </w:p>
    <w:p w14:paraId="24281A42" w14:textId="77777777" w:rsidR="00462064" w:rsidRDefault="00462064" w:rsidP="00462064">
      <w:pPr>
        <w:widowControl w:val="0"/>
        <w:spacing w:before="64" w:line="240" w:lineRule="auto"/>
        <w:ind w:right="-331"/>
        <w:rPr>
          <w:rFonts w:eastAsia="Times New Roman"/>
          <w:b/>
          <w:sz w:val="30"/>
          <w:szCs w:val="30"/>
        </w:rPr>
      </w:pPr>
    </w:p>
    <w:p w14:paraId="749D16A7" w14:textId="659870B1" w:rsidR="007B3C87" w:rsidRPr="00462064" w:rsidRDefault="007B3C87" w:rsidP="00462064">
      <w:pPr>
        <w:widowControl w:val="0"/>
        <w:spacing w:before="64" w:line="240" w:lineRule="auto"/>
        <w:ind w:right="-331"/>
        <w:rPr>
          <w:rFonts w:eastAsia="Times New Roman"/>
          <w:b/>
          <w:sz w:val="28"/>
          <w:szCs w:val="28"/>
        </w:rPr>
      </w:pPr>
      <w:r w:rsidRPr="00462064">
        <w:rPr>
          <w:rFonts w:eastAsia="Times New Roman"/>
          <w:b/>
          <w:sz w:val="28"/>
          <w:szCs w:val="28"/>
        </w:rPr>
        <w:t>ABSTRACT</w:t>
      </w:r>
    </w:p>
    <w:p w14:paraId="69A2C107" w14:textId="77777777" w:rsidR="0056283E" w:rsidRPr="00116DE9" w:rsidRDefault="0056283E">
      <w:pPr>
        <w:rPr>
          <w:sz w:val="24"/>
          <w:szCs w:val="24"/>
        </w:rPr>
      </w:pPr>
    </w:p>
    <w:p w14:paraId="5458E5F6" w14:textId="3D7598EE" w:rsidR="00444842" w:rsidRPr="00116DE9" w:rsidRDefault="005A3432" w:rsidP="00F8483A">
      <w:pPr>
        <w:spacing w:line="360" w:lineRule="auto"/>
        <w:ind w:firstLine="720"/>
        <w:jc w:val="both"/>
        <w:rPr>
          <w:sz w:val="24"/>
          <w:szCs w:val="24"/>
        </w:rPr>
      </w:pPr>
      <w:r w:rsidRPr="00116DE9">
        <w:rPr>
          <w:sz w:val="24"/>
          <w:szCs w:val="24"/>
        </w:rPr>
        <w:t xml:space="preserve">The present study focused on studying the effects of different pre-treatments and freezing schedules on the drip-loss kinetics of </w:t>
      </w:r>
      <w:r w:rsidRPr="00116DE9">
        <w:rPr>
          <w:i/>
          <w:iCs/>
          <w:sz w:val="24"/>
          <w:szCs w:val="24"/>
        </w:rPr>
        <w:t>Oreochromis niloticus</w:t>
      </w:r>
      <w:r w:rsidRPr="00116DE9">
        <w:rPr>
          <w:sz w:val="24"/>
          <w:szCs w:val="24"/>
        </w:rPr>
        <w:t xml:space="preserve"> fillets stored at -18</w:t>
      </w:r>
      <w:r w:rsidR="00E57A46" w:rsidRPr="00116DE9">
        <w:rPr>
          <w:sz w:val="24"/>
          <w:szCs w:val="24"/>
        </w:rPr>
        <w:t xml:space="preserve"> </w:t>
      </w:r>
      <w:r w:rsidR="00E57A46" w:rsidRPr="00116DE9">
        <w:rPr>
          <w:sz w:val="24"/>
          <w:szCs w:val="24"/>
          <w:vertAlign w:val="superscript"/>
        </w:rPr>
        <w:t>o</w:t>
      </w:r>
      <w:r w:rsidRPr="00116DE9">
        <w:rPr>
          <w:sz w:val="24"/>
          <w:szCs w:val="24"/>
        </w:rPr>
        <w:t xml:space="preserve">C for 120 days. Drip-loss is an important quality parameter in frozen fish products since it negatively influences textural properties, flavour and nutritional content. </w:t>
      </w:r>
      <w:r w:rsidR="00F8483A" w:rsidRPr="00116DE9">
        <w:rPr>
          <w:rFonts w:eastAsia="Times New Roman"/>
          <w:sz w:val="24"/>
          <w:szCs w:val="24"/>
          <w:lang w:val="en-IN"/>
        </w:rPr>
        <w:t>In this research, f</w:t>
      </w:r>
      <w:r w:rsidRPr="00116DE9">
        <w:rPr>
          <w:sz w:val="24"/>
          <w:szCs w:val="24"/>
        </w:rPr>
        <w:t>our experimental conditions were applied: (</w:t>
      </w:r>
      <w:r w:rsidR="001B546F">
        <w:rPr>
          <w:sz w:val="24"/>
          <w:szCs w:val="24"/>
        </w:rPr>
        <w:t>T1</w:t>
      </w:r>
      <w:r w:rsidRPr="00116DE9">
        <w:rPr>
          <w:sz w:val="24"/>
          <w:szCs w:val="24"/>
        </w:rPr>
        <w:t>) control group including untreated fillets, (</w:t>
      </w:r>
      <w:r w:rsidR="001B546F">
        <w:rPr>
          <w:sz w:val="24"/>
          <w:szCs w:val="24"/>
        </w:rPr>
        <w:t>T2</w:t>
      </w:r>
      <w:r w:rsidRPr="00116DE9">
        <w:rPr>
          <w:sz w:val="24"/>
          <w:szCs w:val="24"/>
        </w:rPr>
        <w:t xml:space="preserve">) fillets pretreated with NaCl and STPP </w:t>
      </w:r>
      <w:r w:rsidR="00E016B9" w:rsidRPr="00116DE9">
        <w:rPr>
          <w:sz w:val="24"/>
          <w:szCs w:val="24"/>
        </w:rPr>
        <w:t xml:space="preserve">(sodium tripolyphosphate) </w:t>
      </w:r>
      <w:r w:rsidRPr="00116DE9">
        <w:rPr>
          <w:sz w:val="24"/>
          <w:szCs w:val="24"/>
        </w:rPr>
        <w:t xml:space="preserve">followed by </w:t>
      </w:r>
      <w:r w:rsidR="00F8483A" w:rsidRPr="00116DE9">
        <w:rPr>
          <w:sz w:val="24"/>
          <w:szCs w:val="24"/>
        </w:rPr>
        <w:t>individual quick freezing</w:t>
      </w:r>
      <w:r w:rsidRPr="00116DE9">
        <w:rPr>
          <w:sz w:val="24"/>
          <w:szCs w:val="24"/>
        </w:rPr>
        <w:t xml:space="preserve"> (IQF), (</w:t>
      </w:r>
      <w:r w:rsidR="001B546F">
        <w:rPr>
          <w:sz w:val="24"/>
          <w:szCs w:val="24"/>
        </w:rPr>
        <w:t>T3</w:t>
      </w:r>
      <w:r w:rsidRPr="00116DE9">
        <w:rPr>
          <w:sz w:val="24"/>
          <w:szCs w:val="24"/>
        </w:rPr>
        <w:t>) fillets pretreated with NaCl and STPP and an intermediate blanching step before IQF and (</w:t>
      </w:r>
      <w:r w:rsidR="001B546F">
        <w:rPr>
          <w:sz w:val="24"/>
          <w:szCs w:val="24"/>
        </w:rPr>
        <w:t>T4</w:t>
      </w:r>
      <w:r w:rsidRPr="00116DE9">
        <w:rPr>
          <w:sz w:val="24"/>
          <w:szCs w:val="24"/>
        </w:rPr>
        <w:t xml:space="preserve">) fillets treated with NaCl and STPP and then blast frozen. </w:t>
      </w:r>
      <w:r w:rsidR="00F8483A" w:rsidRPr="00116DE9">
        <w:rPr>
          <w:sz w:val="24"/>
          <w:szCs w:val="24"/>
        </w:rPr>
        <w:t xml:space="preserve">Results </w:t>
      </w:r>
      <w:r w:rsidRPr="00116DE9">
        <w:rPr>
          <w:sz w:val="24"/>
          <w:szCs w:val="24"/>
        </w:rPr>
        <w:t>showed that there was a statistically significant increase in drip-loss for all treatment groups over time spent in storage. However, the treatment of NaCl and STPP before freezing coupled with the blast freezing method resulted in the lowest drip-loss value (1.4</w:t>
      </w:r>
      <w:r w:rsidR="00485A77">
        <w:rPr>
          <w:sz w:val="24"/>
          <w:szCs w:val="24"/>
        </w:rPr>
        <w:t>08</w:t>
      </w:r>
      <w:r w:rsidRPr="00116DE9">
        <w:rPr>
          <w:sz w:val="24"/>
          <w:szCs w:val="24"/>
        </w:rPr>
        <w:t xml:space="preserve">%) at the end of 120 days while fillets </w:t>
      </w:r>
      <w:r w:rsidR="00233D43" w:rsidRPr="00116DE9">
        <w:rPr>
          <w:rFonts w:eastAsia="Times New Roman"/>
          <w:sz w:val="24"/>
          <w:szCs w:val="24"/>
          <w:lang w:val="en-IN"/>
        </w:rPr>
        <w:t>treated with NaCl, STPP, and blanching</w:t>
      </w:r>
      <w:r w:rsidRPr="00116DE9">
        <w:rPr>
          <w:sz w:val="24"/>
          <w:szCs w:val="24"/>
        </w:rPr>
        <w:t xml:space="preserve"> recorded a significantly higher value (7.</w:t>
      </w:r>
      <w:r w:rsidR="00485A77">
        <w:rPr>
          <w:sz w:val="24"/>
          <w:szCs w:val="24"/>
        </w:rPr>
        <w:t>753</w:t>
      </w:r>
      <w:r w:rsidRPr="00116DE9">
        <w:rPr>
          <w:sz w:val="24"/>
          <w:szCs w:val="24"/>
        </w:rPr>
        <w:t xml:space="preserve">%). Significant inter-group differences were observed by statistical comparison, thus confirming the greater effectiveness of blast freezing in maintaining water-holding capacity and reducing nutrient losses. </w:t>
      </w:r>
      <w:r w:rsidR="00E60F26" w:rsidRPr="00943EE1">
        <w:rPr>
          <w:sz w:val="24"/>
          <w:szCs w:val="24"/>
          <w:highlight w:val="yellow"/>
          <w:lang w:val="en-IN"/>
        </w:rPr>
        <w:t xml:space="preserve">The combined action of NaCl and phosphate has been shown to elevate the water-holding capacity (WHC) and cooking yield. Nevertheless, excessive use of phosphate can lead to undesirable effects such as a slimy texture, translucent appearance, and a soapy flavor (Rattanasatheirn et al., 2008), and may also result in phosphate residues exceeding legal limits in the final </w:t>
      </w:r>
      <w:proofErr w:type="gramStart"/>
      <w:r w:rsidR="00E60F26" w:rsidRPr="00943EE1">
        <w:rPr>
          <w:sz w:val="24"/>
          <w:szCs w:val="24"/>
          <w:highlight w:val="yellow"/>
          <w:lang w:val="en-IN"/>
        </w:rPr>
        <w:t>product.</w:t>
      </w:r>
      <w:r w:rsidRPr="00116DE9">
        <w:rPr>
          <w:sz w:val="24"/>
          <w:szCs w:val="24"/>
        </w:rPr>
        <w:t>These</w:t>
      </w:r>
      <w:proofErr w:type="gramEnd"/>
      <w:r w:rsidRPr="00116DE9">
        <w:rPr>
          <w:sz w:val="24"/>
          <w:szCs w:val="24"/>
        </w:rPr>
        <w:t xml:space="preserve"> findings have significant implications for the seafood industry, providing empirical-based solutions in order to increase shelf-life, enhance textural attributes, and retain nutritional quality of frozen tilapia fillets. Therefore, the present study contributes to the existing knowledge in the field of freezing technologies, particularly with respect to the preservation of the product quality in the domestic and the international market. The results obtained in this research can be used to guide further </w:t>
      </w:r>
      <w:r w:rsidRPr="00116DE9">
        <w:rPr>
          <w:sz w:val="24"/>
          <w:szCs w:val="24"/>
        </w:rPr>
        <w:lastRenderedPageBreak/>
        <w:t>research and industrial processes related to the development of the quality of frozen fish products and improved acceptance by consumers.</w:t>
      </w:r>
    </w:p>
    <w:p w14:paraId="1610A990" w14:textId="77777777" w:rsidR="00444842" w:rsidRPr="00116DE9" w:rsidRDefault="00444842">
      <w:pPr>
        <w:rPr>
          <w:sz w:val="24"/>
          <w:szCs w:val="24"/>
        </w:rPr>
      </w:pPr>
    </w:p>
    <w:p w14:paraId="459500F3" w14:textId="2C490902" w:rsidR="00444842" w:rsidRPr="00116DE9" w:rsidRDefault="00BA43DF">
      <w:pPr>
        <w:rPr>
          <w:sz w:val="24"/>
          <w:szCs w:val="24"/>
        </w:rPr>
      </w:pPr>
      <w:r w:rsidRPr="00116DE9">
        <w:rPr>
          <w:rFonts w:eastAsia="Times New Roman"/>
          <w:b/>
          <w:sz w:val="24"/>
          <w:szCs w:val="24"/>
        </w:rPr>
        <w:t xml:space="preserve">Keywords: </w:t>
      </w:r>
      <w:r w:rsidRPr="00116DE9">
        <w:rPr>
          <w:rFonts w:eastAsia="Times New Roman"/>
          <w:bCs/>
          <w:sz w:val="24"/>
          <w:szCs w:val="24"/>
        </w:rPr>
        <w:t>Tilapia, Fillets, Individual Quick Freezing, Drip loss</w:t>
      </w:r>
    </w:p>
    <w:p w14:paraId="6EC147EE" w14:textId="77777777" w:rsidR="00444842" w:rsidRPr="00116DE9" w:rsidRDefault="00444842">
      <w:pPr>
        <w:rPr>
          <w:sz w:val="24"/>
          <w:szCs w:val="24"/>
        </w:rPr>
      </w:pPr>
    </w:p>
    <w:p w14:paraId="53F9E960" w14:textId="4CAC3D33" w:rsidR="00444842" w:rsidRPr="00116DE9" w:rsidRDefault="00BA43DF">
      <w:pPr>
        <w:rPr>
          <w:b/>
          <w:bCs/>
          <w:sz w:val="24"/>
          <w:szCs w:val="24"/>
        </w:rPr>
      </w:pPr>
      <w:r w:rsidRPr="00116DE9">
        <w:rPr>
          <w:b/>
          <w:bCs/>
          <w:sz w:val="24"/>
          <w:szCs w:val="24"/>
        </w:rPr>
        <w:t>1. INTRODUCTION</w:t>
      </w:r>
    </w:p>
    <w:p w14:paraId="46A2161C" w14:textId="77777777" w:rsidR="00444842" w:rsidRPr="00116DE9" w:rsidRDefault="00444842">
      <w:pPr>
        <w:rPr>
          <w:sz w:val="24"/>
          <w:szCs w:val="24"/>
        </w:rPr>
      </w:pPr>
    </w:p>
    <w:p w14:paraId="106CA59C" w14:textId="7B12E9BE" w:rsidR="00C77E16" w:rsidRPr="00116DE9" w:rsidRDefault="003D0F1D" w:rsidP="00A1701B">
      <w:pPr>
        <w:spacing w:line="360" w:lineRule="auto"/>
        <w:ind w:firstLine="720"/>
        <w:jc w:val="both"/>
        <w:rPr>
          <w:sz w:val="24"/>
          <w:szCs w:val="24"/>
        </w:rPr>
      </w:pPr>
      <w:r w:rsidRPr="00116DE9">
        <w:rPr>
          <w:sz w:val="24"/>
          <w:szCs w:val="24"/>
        </w:rPr>
        <w:t xml:space="preserve">Seafood has a high nutritional value due to its high content of essential amino acids, essential fatty acids, minerals, and vitamins, as well as its low content of saturated fats and cholesterol. In the tropical areas, fish is one of the most important sources of animal protein and is well known as a good source of other nutrients that will help maintain a healthy body (Andrew, 2001). Due to the superior quality of the product, fish has been preserved by freezing for </w:t>
      </w:r>
      <w:r w:rsidR="00A1701B" w:rsidRPr="00116DE9">
        <w:rPr>
          <w:rFonts w:eastAsia="Times New Roman"/>
          <w:sz w:val="24"/>
          <w:szCs w:val="24"/>
        </w:rPr>
        <w:t xml:space="preserve">thousands of years </w:t>
      </w:r>
      <w:r w:rsidRPr="00116DE9">
        <w:rPr>
          <w:sz w:val="24"/>
          <w:szCs w:val="24"/>
        </w:rPr>
        <w:t xml:space="preserve">(Persson &amp; Londahl, 1993). The value of fish is dependent on its freshness; the less exportable it is, the less it looks, tastes and feels (i.e. texture and consumer acceptability) (Kagawa et al., 2002). Fish fillets include the edible part of the fish and are mostly made up of skeletal muscle and fat, without the bones and internal organs. Tilapia are usually </w:t>
      </w:r>
      <w:r w:rsidR="002132CB" w:rsidRPr="00116DE9">
        <w:rPr>
          <w:sz w:val="24"/>
          <w:szCs w:val="24"/>
        </w:rPr>
        <w:t xml:space="preserve">reared </w:t>
      </w:r>
      <w:r w:rsidRPr="00116DE9">
        <w:rPr>
          <w:sz w:val="24"/>
          <w:szCs w:val="24"/>
        </w:rPr>
        <w:t xml:space="preserve">in ponds under extensive, </w:t>
      </w:r>
      <w:r w:rsidR="00350C95" w:rsidRPr="00116DE9">
        <w:rPr>
          <w:sz w:val="24"/>
          <w:szCs w:val="24"/>
        </w:rPr>
        <w:t>semi-intensive or</w:t>
      </w:r>
      <w:r w:rsidRPr="00116DE9">
        <w:rPr>
          <w:sz w:val="24"/>
          <w:szCs w:val="24"/>
        </w:rPr>
        <w:t xml:space="preserve"> intensive farming systems. Their high production rate is attributed to rapid growth, broad environmental adaptability to varying salinity and oxygen levels, robust resistance to stress and disease, reproductive capability in captivity, short breeding cycles, efficient utilisation of low nutrient feed and early acceptance of artificial diets following yolk sac absorption. Fillets are usually acquired by slicing the fish parallel to the backbone, as opposed to steaks, which are sliced perpendicular to the backbone. Both marine and farmed fish can be preserved by freezing point refrigeration, which is freezing between 0 </w:t>
      </w:r>
      <w:r w:rsidR="002132CB" w:rsidRPr="00116DE9">
        <w:rPr>
          <w:rFonts w:eastAsia="Times New Roman"/>
          <w:sz w:val="24"/>
          <w:szCs w:val="24"/>
        </w:rPr>
        <w:t xml:space="preserve">°C </w:t>
      </w:r>
      <w:r w:rsidRPr="00116DE9">
        <w:rPr>
          <w:sz w:val="24"/>
          <w:szCs w:val="24"/>
        </w:rPr>
        <w:t xml:space="preserve">and the freezing point of the fish; the freezing point of tilapia is about -7 </w:t>
      </w:r>
      <w:r w:rsidR="002132CB" w:rsidRPr="00116DE9">
        <w:rPr>
          <w:rFonts w:eastAsia="Times New Roman"/>
          <w:sz w:val="24"/>
          <w:szCs w:val="24"/>
        </w:rPr>
        <w:t xml:space="preserve">°C </w:t>
      </w:r>
      <w:r w:rsidRPr="00116DE9">
        <w:rPr>
          <w:sz w:val="24"/>
          <w:szCs w:val="24"/>
        </w:rPr>
        <w:t>(Chen and Pan, 1995). Individual Quick Freezing (IQF) is a sophisticated freezing technology that enables long term preservation</w:t>
      </w:r>
      <w:r w:rsidR="00C77E16" w:rsidRPr="00116DE9">
        <w:rPr>
          <w:sz w:val="24"/>
          <w:szCs w:val="24"/>
        </w:rPr>
        <w:t>;</w:t>
      </w:r>
      <w:r w:rsidRPr="00116DE9">
        <w:rPr>
          <w:sz w:val="24"/>
          <w:szCs w:val="24"/>
        </w:rPr>
        <w:t xml:space="preserve"> often for more than a year</w:t>
      </w:r>
      <w:r w:rsidR="00C77E16" w:rsidRPr="00116DE9">
        <w:rPr>
          <w:sz w:val="24"/>
          <w:szCs w:val="24"/>
        </w:rPr>
        <w:t xml:space="preserve">, </w:t>
      </w:r>
      <w:r w:rsidRPr="00116DE9">
        <w:rPr>
          <w:sz w:val="24"/>
          <w:szCs w:val="24"/>
        </w:rPr>
        <w:t>while preserving the colour, flavour and texture of the product almost exactly as it is fresh</w:t>
      </w:r>
      <w:r w:rsidR="006454E0">
        <w:rPr>
          <w:sz w:val="24"/>
          <w:szCs w:val="24"/>
        </w:rPr>
        <w:t xml:space="preserve"> </w:t>
      </w:r>
      <w:r w:rsidR="006454E0" w:rsidRPr="006454E0">
        <w:rPr>
          <w:sz w:val="24"/>
          <w:szCs w:val="24"/>
          <w:highlight w:val="yellow"/>
        </w:rPr>
        <w:t>(</w:t>
      </w:r>
      <w:r w:rsidR="006454E0" w:rsidRPr="006454E0">
        <w:rPr>
          <w:rFonts w:eastAsia="Times New Roman"/>
          <w:color w:val="222222"/>
          <w:sz w:val="24"/>
          <w:szCs w:val="24"/>
          <w:highlight w:val="yellow"/>
        </w:rPr>
        <w:t>Syanya et al. 2023)</w:t>
      </w:r>
      <w:r w:rsidRPr="006454E0">
        <w:rPr>
          <w:sz w:val="24"/>
          <w:szCs w:val="24"/>
          <w:highlight w:val="yellow"/>
        </w:rPr>
        <w:t>.</w:t>
      </w:r>
      <w:r w:rsidRPr="00116DE9">
        <w:rPr>
          <w:sz w:val="24"/>
          <w:szCs w:val="24"/>
        </w:rPr>
        <w:t xml:space="preserve"> In this method, each piece of the product is frozen separately by means of fluidisation, which makes it possible to freeze in a short time (10 to 12 minutes) as compared to 3 to 4 hours or more in conventional blast freezing (Pruthi, 1999). Air blast freezing, on the other hand, is the freezing of products that are usually pre-chilled (or at ambient temperature) by exposure to cold air for 12 to 48 hours until the desired </w:t>
      </w:r>
      <w:r w:rsidRPr="00116DE9">
        <w:rPr>
          <w:sz w:val="24"/>
          <w:szCs w:val="24"/>
        </w:rPr>
        <w:lastRenderedPageBreak/>
        <w:t xml:space="preserve">storage temperature is reached which depends on the product, e.g., -20 </w:t>
      </w:r>
      <w:r w:rsidR="00C77E16" w:rsidRPr="00116DE9">
        <w:rPr>
          <w:rFonts w:eastAsia="Times New Roman"/>
          <w:sz w:val="24"/>
          <w:szCs w:val="24"/>
        </w:rPr>
        <w:t>°C</w:t>
      </w:r>
      <w:r w:rsidRPr="00116DE9">
        <w:rPr>
          <w:sz w:val="24"/>
          <w:szCs w:val="24"/>
        </w:rPr>
        <w:t xml:space="preserve"> for fish and -18 </w:t>
      </w:r>
      <w:r w:rsidR="00C77E16" w:rsidRPr="00116DE9">
        <w:rPr>
          <w:rFonts w:eastAsia="Times New Roman"/>
          <w:sz w:val="24"/>
          <w:szCs w:val="24"/>
        </w:rPr>
        <w:t xml:space="preserve">°C </w:t>
      </w:r>
      <w:r w:rsidRPr="00116DE9">
        <w:rPr>
          <w:sz w:val="24"/>
          <w:szCs w:val="24"/>
        </w:rPr>
        <w:t xml:space="preserve">for beef (Dempsey &amp; Bansal, 2012). </w:t>
      </w:r>
    </w:p>
    <w:p w14:paraId="005FD416" w14:textId="549C6F74" w:rsidR="00444842" w:rsidRDefault="003D0F1D" w:rsidP="00A1701B">
      <w:pPr>
        <w:spacing w:line="360" w:lineRule="auto"/>
        <w:ind w:firstLine="720"/>
        <w:jc w:val="both"/>
        <w:rPr>
          <w:sz w:val="24"/>
          <w:szCs w:val="24"/>
        </w:rPr>
      </w:pPr>
      <w:r w:rsidRPr="00116DE9">
        <w:rPr>
          <w:sz w:val="24"/>
          <w:szCs w:val="24"/>
        </w:rPr>
        <w:t>Drip losses refer to nutrients and value that could otherwise be utilised for human consumption but are lost due to spoilage, physical damage or reduction of nutritional quality, making the fish or fish products unsuitable for consumption or sale (FAO, 1977). The phenomenon of drip was explained at first as a result of cell damage, which is still valid for exudates formed during freezing and thawing. Additional water release is related to muscle protein dehydration as a result of protein denaturation. In fish stored on ice (either on board vessels or onshore), drip losses are related to factors such as storage time, species, season, fish size, pressure applied and handling practices. Typically, these losses can be from 5-10% within a week of storage (Castell, 1969); in severe cases, there may be muscle contraction, resulting in even greater drip loss. Drip loss from muscle is important for a number of reasons. Firstly, it is a huge economic loss to both processors and consumers, depending on the processing method. Secondly, too much fluid loss results in a drier and tougher textured cooked product. As proteins and minerals are lost with the drip, the nutritional value of the muscle is also reduced (Sutton, 1969). Whole fish frozen in the pre-rigor stage often have higher drip loss than those frozen in rigor or post rigors, a phenomenon often linked to thaw-rigor. If not handled properly, fillets cut before the onset of rigor may experience shrinkage, which will cause distortion of shape and a corrugated surface; these changes will persist through subsequent freezing and thawing. Blanching is a preliminary processing step that is performed before freezing, canning or drying, in which food materials are heated to inactivate enzymes, alter texture, preserve colour, flavour and nutritional quality, and eliminate entrapped air (De Corcuera et al., 2004).</w:t>
      </w:r>
    </w:p>
    <w:p w14:paraId="210E6259" w14:textId="7174DCE2" w:rsidR="001E3CC9" w:rsidRPr="001170E5" w:rsidRDefault="001E3CC9" w:rsidP="00A1701B">
      <w:pPr>
        <w:spacing w:line="360" w:lineRule="auto"/>
        <w:ind w:firstLine="720"/>
        <w:jc w:val="both"/>
        <w:rPr>
          <w:sz w:val="24"/>
          <w:szCs w:val="24"/>
        </w:rPr>
      </w:pPr>
      <w:r w:rsidRPr="001170E5">
        <w:rPr>
          <w:sz w:val="24"/>
          <w:szCs w:val="24"/>
          <w:highlight w:val="yellow"/>
        </w:rPr>
        <w:t>major barrier for effective cold-chain operations in resource-limited countries</w:t>
      </w:r>
      <w:r w:rsidR="00A36907" w:rsidRPr="001170E5">
        <w:rPr>
          <w:sz w:val="24"/>
          <w:szCs w:val="24"/>
          <w:highlight w:val="yellow"/>
        </w:rPr>
        <w:t>.</w:t>
      </w:r>
      <w:r w:rsidR="001B180E" w:rsidRPr="001170E5">
        <w:rPr>
          <w:sz w:val="24"/>
          <w:szCs w:val="24"/>
          <w:highlight w:val="yellow"/>
        </w:rPr>
        <w:t xml:space="preserve"> </w:t>
      </w:r>
      <w:r w:rsidR="00A36907" w:rsidRPr="001170E5">
        <w:rPr>
          <w:sz w:val="24"/>
          <w:szCs w:val="24"/>
          <w:highlight w:val="yellow"/>
        </w:rPr>
        <w:t>F</w:t>
      </w:r>
      <w:r w:rsidR="001B180E" w:rsidRPr="001170E5">
        <w:rPr>
          <w:sz w:val="24"/>
          <w:szCs w:val="24"/>
          <w:highlight w:val="yellow"/>
        </w:rPr>
        <w:t xml:space="preserve">or maintaining </w:t>
      </w:r>
      <w:r w:rsidR="00A36907" w:rsidRPr="001170E5">
        <w:rPr>
          <w:sz w:val="24"/>
          <w:szCs w:val="24"/>
          <w:highlight w:val="yellow"/>
        </w:rPr>
        <w:t xml:space="preserve">effective </w:t>
      </w:r>
      <w:r w:rsidR="0060391B" w:rsidRPr="001170E5">
        <w:rPr>
          <w:sz w:val="24"/>
          <w:szCs w:val="24"/>
          <w:highlight w:val="yellow"/>
        </w:rPr>
        <w:t>cold chain operations</w:t>
      </w:r>
      <w:r w:rsidR="0035150C" w:rsidRPr="001170E5">
        <w:rPr>
          <w:sz w:val="24"/>
          <w:szCs w:val="24"/>
          <w:highlight w:val="yellow"/>
        </w:rPr>
        <w:t xml:space="preserve"> without stable electricity to power freezers, cold rooms, transport refrigeration, the quality of fish degrades quickly, drip losses increase, microbial risk rises, and economic value is lost.</w:t>
      </w:r>
      <w:r w:rsidR="00B12952" w:rsidRPr="001170E5">
        <w:rPr>
          <w:sz w:val="24"/>
          <w:szCs w:val="24"/>
          <w:highlight w:val="yellow"/>
        </w:rPr>
        <w:t xml:space="preserve"> For resource-limited or off-grid communities, this means fishers cannot store or transport their catch effectively, resorting to selling quickly at low prices or experiencing large waste.</w:t>
      </w:r>
      <w:r w:rsidR="00604F7E" w:rsidRPr="001170E5">
        <w:rPr>
          <w:sz w:val="24"/>
          <w:szCs w:val="24"/>
          <w:highlight w:val="yellow"/>
        </w:rPr>
        <w:t xml:space="preserve"> Thus, any study on thawing, freezing, storage etc must consider that the upstream cold-chain (freezing, storage, transport) may itself be compromised by energy constraints meaning practical protocols need to be designed with local energy realities in mind. paraphrase without changing their meanings</w:t>
      </w:r>
      <w:r w:rsidR="002C727E">
        <w:rPr>
          <w:sz w:val="24"/>
          <w:szCs w:val="24"/>
          <w:highlight w:val="yellow"/>
        </w:rPr>
        <w:t xml:space="preserve"> (</w:t>
      </w:r>
      <w:r w:rsidR="002C727E" w:rsidRPr="004154BD">
        <w:rPr>
          <w:rFonts w:eastAsia="Times New Roman"/>
          <w:color w:val="222222"/>
          <w:sz w:val="24"/>
          <w:szCs w:val="24"/>
          <w:highlight w:val="yellow"/>
        </w:rPr>
        <w:t>Lailossa</w:t>
      </w:r>
      <w:r w:rsidR="002C727E">
        <w:rPr>
          <w:rFonts w:eastAsia="Times New Roman"/>
          <w:color w:val="222222"/>
          <w:sz w:val="24"/>
          <w:szCs w:val="24"/>
          <w:highlight w:val="yellow"/>
        </w:rPr>
        <w:t>, 2015)</w:t>
      </w:r>
      <w:r w:rsidR="00604F7E" w:rsidRPr="001170E5">
        <w:rPr>
          <w:sz w:val="24"/>
          <w:szCs w:val="24"/>
          <w:highlight w:val="yellow"/>
        </w:rPr>
        <w:t>.</w:t>
      </w:r>
    </w:p>
    <w:p w14:paraId="299D864D" w14:textId="77777777" w:rsidR="00B879F6" w:rsidRPr="00116DE9" w:rsidRDefault="00B879F6" w:rsidP="00B879F6">
      <w:pPr>
        <w:widowControl w:val="0"/>
        <w:spacing w:line="360" w:lineRule="auto"/>
        <w:ind w:right="-331"/>
        <w:jc w:val="both"/>
        <w:rPr>
          <w:rFonts w:eastAsia="Times New Roman"/>
          <w:b/>
          <w:bCs/>
          <w:sz w:val="24"/>
          <w:szCs w:val="24"/>
        </w:rPr>
      </w:pPr>
      <w:r w:rsidRPr="00116DE9">
        <w:rPr>
          <w:rFonts w:eastAsia="Times New Roman"/>
          <w:b/>
          <w:bCs/>
          <w:sz w:val="24"/>
          <w:szCs w:val="24"/>
        </w:rPr>
        <w:lastRenderedPageBreak/>
        <w:t>Objective:</w:t>
      </w:r>
    </w:p>
    <w:p w14:paraId="1B35FEA2" w14:textId="77777777" w:rsidR="00B879F6" w:rsidRPr="00116DE9" w:rsidRDefault="00B879F6" w:rsidP="00B879F6">
      <w:pPr>
        <w:widowControl w:val="0"/>
        <w:spacing w:line="360" w:lineRule="auto"/>
        <w:ind w:right="-331"/>
        <w:jc w:val="both"/>
        <w:rPr>
          <w:rFonts w:eastAsia="Times New Roman"/>
          <w:sz w:val="24"/>
          <w:szCs w:val="24"/>
        </w:rPr>
      </w:pPr>
      <w:r w:rsidRPr="00116DE9">
        <w:rPr>
          <w:rFonts w:eastAsia="Times New Roman"/>
          <w:sz w:val="24"/>
          <w:szCs w:val="24"/>
        </w:rPr>
        <w:t>To evaluate the effect of frozen storage at –18 °C on the drip loss of Tilapia fillets over a 120-day period.</w:t>
      </w:r>
    </w:p>
    <w:p w14:paraId="44BA4975" w14:textId="77777777" w:rsidR="00444842" w:rsidRPr="00116DE9" w:rsidRDefault="00444842">
      <w:pPr>
        <w:rPr>
          <w:sz w:val="24"/>
          <w:szCs w:val="24"/>
        </w:rPr>
      </w:pPr>
    </w:p>
    <w:p w14:paraId="40FA2C31" w14:textId="3948F7FE" w:rsidR="00444842" w:rsidRPr="00116DE9" w:rsidRDefault="00397400">
      <w:pPr>
        <w:rPr>
          <w:b/>
          <w:bCs/>
          <w:sz w:val="24"/>
          <w:szCs w:val="24"/>
        </w:rPr>
      </w:pPr>
      <w:r w:rsidRPr="00116DE9">
        <w:rPr>
          <w:b/>
          <w:bCs/>
          <w:sz w:val="24"/>
          <w:szCs w:val="24"/>
        </w:rPr>
        <w:t>2. MATERIAL AND METHODS</w:t>
      </w:r>
    </w:p>
    <w:p w14:paraId="7B959F27" w14:textId="77777777" w:rsidR="00444842" w:rsidRPr="00116DE9" w:rsidRDefault="00444842">
      <w:pPr>
        <w:rPr>
          <w:sz w:val="24"/>
          <w:szCs w:val="24"/>
        </w:rPr>
      </w:pPr>
    </w:p>
    <w:p w14:paraId="33A1778C" w14:textId="451FA514" w:rsidR="00BF5A7F" w:rsidRPr="00E33F99" w:rsidRDefault="007E109D">
      <w:pPr>
        <w:rPr>
          <w:b/>
          <w:bCs/>
          <w:sz w:val="24"/>
          <w:szCs w:val="24"/>
          <w:highlight w:val="yellow"/>
        </w:rPr>
      </w:pPr>
      <w:r w:rsidRPr="00E33F99">
        <w:rPr>
          <w:b/>
          <w:bCs/>
          <w:sz w:val="24"/>
          <w:szCs w:val="24"/>
          <w:highlight w:val="yellow"/>
        </w:rPr>
        <w:t xml:space="preserve">List of Materials used for </w:t>
      </w:r>
      <w:r w:rsidR="00055C1E" w:rsidRPr="00E33F99">
        <w:rPr>
          <w:b/>
          <w:bCs/>
          <w:sz w:val="24"/>
          <w:szCs w:val="24"/>
          <w:highlight w:val="yellow"/>
        </w:rPr>
        <w:t xml:space="preserve">experimental </w:t>
      </w:r>
      <w:r w:rsidR="000C596F" w:rsidRPr="00E33F99">
        <w:rPr>
          <w:b/>
          <w:bCs/>
          <w:sz w:val="24"/>
          <w:szCs w:val="24"/>
          <w:highlight w:val="yellow"/>
        </w:rPr>
        <w:t>setup:</w:t>
      </w:r>
    </w:p>
    <w:p w14:paraId="0248623A" w14:textId="33B2EEED" w:rsidR="000C596F" w:rsidRPr="00E33F99" w:rsidRDefault="00EF730F" w:rsidP="00EF730F">
      <w:pPr>
        <w:pStyle w:val="ListParagraph"/>
        <w:numPr>
          <w:ilvl w:val="0"/>
          <w:numId w:val="2"/>
        </w:numPr>
        <w:rPr>
          <w:sz w:val="24"/>
          <w:szCs w:val="24"/>
          <w:highlight w:val="yellow"/>
        </w:rPr>
      </w:pPr>
      <w:r w:rsidRPr="00E33F99">
        <w:rPr>
          <w:sz w:val="24"/>
          <w:szCs w:val="24"/>
          <w:highlight w:val="yellow"/>
        </w:rPr>
        <w:t>Tilapia Fillets</w:t>
      </w:r>
    </w:p>
    <w:p w14:paraId="773A423F" w14:textId="6E3F7387" w:rsidR="00B636CD" w:rsidRPr="00E33F99" w:rsidRDefault="00E41B70" w:rsidP="00EF730F">
      <w:pPr>
        <w:pStyle w:val="ListParagraph"/>
        <w:numPr>
          <w:ilvl w:val="0"/>
          <w:numId w:val="2"/>
        </w:numPr>
        <w:rPr>
          <w:sz w:val="24"/>
          <w:szCs w:val="24"/>
          <w:highlight w:val="yellow"/>
        </w:rPr>
      </w:pPr>
      <w:r w:rsidRPr="00E33F99">
        <w:rPr>
          <w:sz w:val="24"/>
          <w:szCs w:val="24"/>
          <w:highlight w:val="yellow"/>
        </w:rPr>
        <w:t>NaCl</w:t>
      </w:r>
      <w:r w:rsidR="00CF235C" w:rsidRPr="00E33F99">
        <w:rPr>
          <w:sz w:val="24"/>
          <w:szCs w:val="24"/>
          <w:highlight w:val="yellow"/>
        </w:rPr>
        <w:t xml:space="preserve"> (</w:t>
      </w:r>
      <w:r w:rsidR="009771AA" w:rsidRPr="00E33F99">
        <w:rPr>
          <w:sz w:val="24"/>
          <w:szCs w:val="24"/>
          <w:highlight w:val="yellow"/>
        </w:rPr>
        <w:t xml:space="preserve">Sodium </w:t>
      </w:r>
      <w:r w:rsidR="00536788" w:rsidRPr="00E33F99">
        <w:rPr>
          <w:sz w:val="24"/>
          <w:szCs w:val="24"/>
          <w:highlight w:val="yellow"/>
        </w:rPr>
        <w:t>Chloride)</w:t>
      </w:r>
    </w:p>
    <w:p w14:paraId="5BA717FB" w14:textId="36A07E00" w:rsidR="00B636CD" w:rsidRPr="00E33F99" w:rsidRDefault="00B636CD" w:rsidP="00EF730F">
      <w:pPr>
        <w:pStyle w:val="ListParagraph"/>
        <w:numPr>
          <w:ilvl w:val="0"/>
          <w:numId w:val="2"/>
        </w:numPr>
        <w:rPr>
          <w:sz w:val="24"/>
          <w:szCs w:val="24"/>
          <w:highlight w:val="yellow"/>
        </w:rPr>
      </w:pPr>
      <w:r w:rsidRPr="00E33F99">
        <w:rPr>
          <w:sz w:val="24"/>
          <w:szCs w:val="24"/>
          <w:highlight w:val="yellow"/>
        </w:rPr>
        <w:t>STPP</w:t>
      </w:r>
      <w:r w:rsidR="00CF235C" w:rsidRPr="00E33F99">
        <w:rPr>
          <w:sz w:val="24"/>
          <w:szCs w:val="24"/>
          <w:highlight w:val="yellow"/>
        </w:rPr>
        <w:t xml:space="preserve"> (Sodium tripolyphosphate)</w:t>
      </w:r>
    </w:p>
    <w:p w14:paraId="29E11DDF" w14:textId="283FB616" w:rsidR="00125257" w:rsidRDefault="00125257" w:rsidP="00EF730F">
      <w:pPr>
        <w:pStyle w:val="ListParagraph"/>
        <w:numPr>
          <w:ilvl w:val="0"/>
          <w:numId w:val="2"/>
        </w:numPr>
        <w:rPr>
          <w:sz w:val="24"/>
          <w:szCs w:val="24"/>
          <w:highlight w:val="yellow"/>
        </w:rPr>
      </w:pPr>
      <w:r w:rsidRPr="00E33F99">
        <w:rPr>
          <w:sz w:val="24"/>
          <w:szCs w:val="24"/>
          <w:highlight w:val="yellow"/>
        </w:rPr>
        <w:t>LDPE</w:t>
      </w:r>
      <w:r w:rsidR="00C54CBF" w:rsidRPr="00E33F99">
        <w:rPr>
          <w:sz w:val="24"/>
          <w:szCs w:val="24"/>
          <w:highlight w:val="yellow"/>
        </w:rPr>
        <w:t xml:space="preserve"> Bags</w:t>
      </w:r>
      <w:r w:rsidR="00513C02" w:rsidRPr="00E33F99">
        <w:rPr>
          <w:sz w:val="24"/>
          <w:szCs w:val="24"/>
          <w:highlight w:val="yellow"/>
        </w:rPr>
        <w:t xml:space="preserve"> (Low-Density Polyethene)</w:t>
      </w:r>
    </w:p>
    <w:p w14:paraId="3085E2FE" w14:textId="05E6EB7F" w:rsidR="00E06275" w:rsidRPr="00DC24ED" w:rsidRDefault="00E06275" w:rsidP="00EF730F">
      <w:pPr>
        <w:pStyle w:val="ListParagraph"/>
        <w:numPr>
          <w:ilvl w:val="0"/>
          <w:numId w:val="2"/>
        </w:numPr>
        <w:rPr>
          <w:sz w:val="24"/>
          <w:szCs w:val="24"/>
          <w:highlight w:val="yellow"/>
        </w:rPr>
      </w:pPr>
      <w:r w:rsidRPr="00DC24ED">
        <w:rPr>
          <w:sz w:val="24"/>
          <w:szCs w:val="24"/>
          <w:highlight w:val="yellow"/>
          <w:lang w:val="en-IN"/>
        </w:rPr>
        <w:t xml:space="preserve">Corrugated </w:t>
      </w:r>
      <w:r w:rsidR="00DC24ED" w:rsidRPr="00DC24ED">
        <w:rPr>
          <w:sz w:val="24"/>
          <w:szCs w:val="24"/>
          <w:highlight w:val="yellow"/>
          <w:lang w:val="en-IN"/>
        </w:rPr>
        <w:t>F</w:t>
      </w:r>
      <w:r w:rsidRPr="00DC24ED">
        <w:rPr>
          <w:sz w:val="24"/>
          <w:szCs w:val="24"/>
          <w:highlight w:val="yellow"/>
          <w:lang w:val="en-IN"/>
        </w:rPr>
        <w:t xml:space="preserve">iberboard </w:t>
      </w:r>
      <w:r w:rsidR="00DC24ED" w:rsidRPr="00DC24ED">
        <w:rPr>
          <w:sz w:val="24"/>
          <w:szCs w:val="24"/>
          <w:highlight w:val="yellow"/>
          <w:lang w:val="en-IN"/>
        </w:rPr>
        <w:t>C</w:t>
      </w:r>
      <w:r w:rsidRPr="00DC24ED">
        <w:rPr>
          <w:sz w:val="24"/>
          <w:szCs w:val="24"/>
          <w:highlight w:val="yellow"/>
          <w:lang w:val="en-IN"/>
        </w:rPr>
        <w:t xml:space="preserve">artons </w:t>
      </w:r>
    </w:p>
    <w:p w14:paraId="2E3B4AD7" w14:textId="5E38475A" w:rsidR="00EF730F" w:rsidRPr="00DC24ED" w:rsidRDefault="00EF730F" w:rsidP="00EF730F">
      <w:pPr>
        <w:pStyle w:val="ListParagraph"/>
        <w:numPr>
          <w:ilvl w:val="0"/>
          <w:numId w:val="2"/>
        </w:numPr>
        <w:rPr>
          <w:sz w:val="24"/>
          <w:szCs w:val="24"/>
          <w:highlight w:val="yellow"/>
        </w:rPr>
      </w:pPr>
      <w:r w:rsidRPr="00DC24ED">
        <w:rPr>
          <w:sz w:val="24"/>
          <w:szCs w:val="24"/>
          <w:highlight w:val="yellow"/>
        </w:rPr>
        <w:t>Deep freezers</w:t>
      </w:r>
      <w:r w:rsidR="00B73E11" w:rsidRPr="00DC24ED">
        <w:rPr>
          <w:sz w:val="24"/>
          <w:szCs w:val="24"/>
          <w:highlight w:val="yellow"/>
        </w:rPr>
        <w:t xml:space="preserve"> (-18°C)</w:t>
      </w:r>
    </w:p>
    <w:p w14:paraId="0C55F442" w14:textId="31CC5705" w:rsidR="00834CC1" w:rsidRDefault="00DB5FD1" w:rsidP="00EF730F">
      <w:pPr>
        <w:pStyle w:val="ListParagraph"/>
        <w:numPr>
          <w:ilvl w:val="0"/>
          <w:numId w:val="2"/>
        </w:numPr>
        <w:rPr>
          <w:sz w:val="24"/>
          <w:szCs w:val="24"/>
          <w:highlight w:val="yellow"/>
        </w:rPr>
      </w:pPr>
      <w:r>
        <w:rPr>
          <w:sz w:val="24"/>
          <w:szCs w:val="24"/>
          <w:highlight w:val="yellow"/>
        </w:rPr>
        <w:t>Blast freezers</w:t>
      </w:r>
    </w:p>
    <w:p w14:paraId="1FAEB9FD" w14:textId="1165DB95" w:rsidR="004E63E1" w:rsidRPr="00E33F99" w:rsidRDefault="00E55C0B" w:rsidP="00EF730F">
      <w:pPr>
        <w:pStyle w:val="ListParagraph"/>
        <w:numPr>
          <w:ilvl w:val="0"/>
          <w:numId w:val="2"/>
        </w:numPr>
        <w:rPr>
          <w:sz w:val="24"/>
          <w:szCs w:val="24"/>
          <w:highlight w:val="yellow"/>
        </w:rPr>
      </w:pPr>
      <w:r w:rsidRPr="00C1662F">
        <w:rPr>
          <w:sz w:val="24"/>
          <w:szCs w:val="24"/>
          <w:highlight w:val="yellow"/>
        </w:rPr>
        <w:t>R</w:t>
      </w:r>
      <w:r w:rsidR="00DD7A86" w:rsidRPr="00C1662F">
        <w:rPr>
          <w:sz w:val="24"/>
          <w:szCs w:val="24"/>
          <w:highlight w:val="yellow"/>
        </w:rPr>
        <w:t>efrigerator</w:t>
      </w:r>
      <w:r>
        <w:rPr>
          <w:sz w:val="24"/>
          <w:szCs w:val="24"/>
          <w:highlight w:val="yellow"/>
        </w:rPr>
        <w:t xml:space="preserve"> (Use for thawing purposes)</w:t>
      </w:r>
    </w:p>
    <w:p w14:paraId="6CD2E960" w14:textId="77777777" w:rsidR="00E33F99" w:rsidRPr="00513C02" w:rsidRDefault="00E33F99" w:rsidP="00E33F99">
      <w:pPr>
        <w:pStyle w:val="ListParagraph"/>
        <w:rPr>
          <w:sz w:val="24"/>
          <w:szCs w:val="24"/>
        </w:rPr>
      </w:pPr>
    </w:p>
    <w:p w14:paraId="5B620E88" w14:textId="55C64DBF" w:rsidR="00444842" w:rsidRPr="00116DE9" w:rsidRDefault="0077509D">
      <w:pPr>
        <w:rPr>
          <w:b/>
          <w:bCs/>
          <w:sz w:val="24"/>
          <w:szCs w:val="24"/>
        </w:rPr>
      </w:pPr>
      <w:r w:rsidRPr="00116DE9">
        <w:rPr>
          <w:b/>
          <w:bCs/>
          <w:sz w:val="24"/>
          <w:szCs w:val="24"/>
        </w:rPr>
        <w:t>2.1 Experimental setup:</w:t>
      </w:r>
    </w:p>
    <w:p w14:paraId="7EE9A544" w14:textId="77777777" w:rsidR="00444842" w:rsidRPr="00116DE9" w:rsidRDefault="00444842">
      <w:pPr>
        <w:rPr>
          <w:sz w:val="24"/>
          <w:szCs w:val="24"/>
        </w:rPr>
      </w:pPr>
    </w:p>
    <w:p w14:paraId="31C04455" w14:textId="18B6E537" w:rsidR="0077509D" w:rsidRPr="00C1662F" w:rsidRDefault="0077509D" w:rsidP="0077509D">
      <w:pPr>
        <w:spacing w:line="360" w:lineRule="auto"/>
        <w:ind w:firstLine="720"/>
        <w:jc w:val="both"/>
        <w:rPr>
          <w:sz w:val="24"/>
          <w:szCs w:val="24"/>
          <w:lang w:val="en-IN"/>
        </w:rPr>
      </w:pPr>
      <w:r w:rsidRPr="00116DE9">
        <w:rPr>
          <w:sz w:val="24"/>
          <w:szCs w:val="24"/>
          <w:lang w:val="en-IN"/>
        </w:rPr>
        <w:t>The Mumbai market was used to obtain freshwater tilapia (</w:t>
      </w:r>
      <w:r w:rsidRPr="00116DE9">
        <w:rPr>
          <w:i/>
          <w:iCs/>
          <w:sz w:val="24"/>
          <w:szCs w:val="24"/>
          <w:lang w:val="en-IN"/>
        </w:rPr>
        <w:t>Oreochromis niloticus</w:t>
      </w:r>
      <w:r w:rsidRPr="00116DE9">
        <w:rPr>
          <w:sz w:val="24"/>
          <w:szCs w:val="24"/>
          <w:lang w:val="en-IN"/>
        </w:rPr>
        <w:t>), which is locally known as Chilapi and then filleted. Sanchita Marine Products Pvt. Ltd. Taloja was used to transport the fillets to the processing plant using ice-cooled containers. After thorough washing, the specimens were divided into four different treatment groups (T0, T1, T2, and T3) with 15 fillets each</w:t>
      </w:r>
      <w:r w:rsidR="00B15081" w:rsidRPr="00116DE9">
        <w:rPr>
          <w:sz w:val="24"/>
          <w:szCs w:val="24"/>
          <w:lang w:val="en-IN"/>
        </w:rPr>
        <w:t xml:space="preserve"> (Table: 1)</w:t>
      </w:r>
      <w:r w:rsidRPr="00116DE9">
        <w:rPr>
          <w:sz w:val="24"/>
          <w:szCs w:val="24"/>
          <w:lang w:val="en-IN"/>
        </w:rPr>
        <w:t xml:space="preserve">. The untreated group (T0) was used as a control and was frozen using the IQF technique. The rest of the fillets were placed in solutions with 2 </w:t>
      </w:r>
      <w:r w:rsidR="00937A72" w:rsidRPr="00116DE9">
        <w:rPr>
          <w:sz w:val="24"/>
          <w:szCs w:val="24"/>
          <w:lang w:val="en-IN"/>
        </w:rPr>
        <w:t>%</w:t>
      </w:r>
      <w:r w:rsidRPr="00116DE9">
        <w:rPr>
          <w:sz w:val="24"/>
          <w:szCs w:val="24"/>
          <w:lang w:val="en-IN"/>
        </w:rPr>
        <w:t xml:space="preserve"> NaCl and 3 </w:t>
      </w:r>
      <w:r w:rsidR="00937A72" w:rsidRPr="00116DE9">
        <w:rPr>
          <w:sz w:val="24"/>
          <w:szCs w:val="24"/>
          <w:lang w:val="en-IN"/>
        </w:rPr>
        <w:t>%</w:t>
      </w:r>
      <w:r w:rsidRPr="00116DE9">
        <w:rPr>
          <w:sz w:val="24"/>
          <w:szCs w:val="24"/>
          <w:lang w:val="en-IN"/>
        </w:rPr>
        <w:t xml:space="preserve"> STPP and allowed to stay two hours. In this sub-group, fillets with the T1 and T2 labels were glazed and blanched, respectively, and fillets in group T3 were frozen using a blast freezer. The T1 and T2 samples were also then frozen using IQF technology. Finally, each fillet was separately wrapped in LDPE bags according to the treatment assigned to it, packed into corrugated fiberboard cartons and kept at a temperature of -18 </w:t>
      </w:r>
      <w:r w:rsidRPr="00116DE9">
        <w:rPr>
          <w:sz w:val="24"/>
          <w:szCs w:val="24"/>
          <w:vertAlign w:val="superscript"/>
          <w:lang w:val="en-IN"/>
        </w:rPr>
        <w:t>o</w:t>
      </w:r>
      <w:r w:rsidRPr="00116DE9">
        <w:rPr>
          <w:sz w:val="24"/>
          <w:szCs w:val="24"/>
          <w:lang w:val="en-IN"/>
        </w:rPr>
        <w:t xml:space="preserve">C over a </w:t>
      </w:r>
      <w:r w:rsidR="00937A72" w:rsidRPr="00116DE9">
        <w:rPr>
          <w:sz w:val="24"/>
          <w:szCs w:val="24"/>
          <w:lang w:val="en-IN"/>
        </w:rPr>
        <w:t>120-day</w:t>
      </w:r>
      <w:r w:rsidRPr="00116DE9">
        <w:rPr>
          <w:sz w:val="24"/>
          <w:szCs w:val="24"/>
          <w:lang w:val="en-IN"/>
        </w:rPr>
        <w:t xml:space="preserve"> period.</w:t>
      </w:r>
      <w:r w:rsidR="00C1662F">
        <w:rPr>
          <w:sz w:val="24"/>
          <w:szCs w:val="24"/>
          <w:lang w:val="en-IN"/>
        </w:rPr>
        <w:t xml:space="preserve"> </w:t>
      </w:r>
      <w:r w:rsidR="00FE4550" w:rsidRPr="00C1662F">
        <w:rPr>
          <w:sz w:val="24"/>
          <w:szCs w:val="24"/>
          <w:highlight w:val="yellow"/>
        </w:rPr>
        <w:t>The safest thawing method is in a refrigerator at about 0 °C to 4 °C (32–39 °F)</w:t>
      </w:r>
      <w:r w:rsidR="00CA47F6">
        <w:rPr>
          <w:sz w:val="24"/>
          <w:szCs w:val="24"/>
          <w:highlight w:val="yellow"/>
        </w:rPr>
        <w:t>, which</w:t>
      </w:r>
      <w:r w:rsidR="000D33D2">
        <w:rPr>
          <w:sz w:val="24"/>
          <w:szCs w:val="24"/>
          <w:highlight w:val="yellow"/>
        </w:rPr>
        <w:t xml:space="preserve"> </w:t>
      </w:r>
      <w:r w:rsidR="000D33D2" w:rsidRPr="000D33D2">
        <w:rPr>
          <w:sz w:val="24"/>
          <w:szCs w:val="24"/>
          <w:highlight w:val="yellow"/>
        </w:rPr>
        <w:t xml:space="preserve">takes 30–60 </w:t>
      </w:r>
      <w:r w:rsidR="00CA47F6">
        <w:rPr>
          <w:sz w:val="24"/>
          <w:szCs w:val="24"/>
          <w:highlight w:val="yellow"/>
        </w:rPr>
        <w:t>minutes</w:t>
      </w:r>
      <w:r w:rsidR="003A6219">
        <w:rPr>
          <w:sz w:val="24"/>
          <w:szCs w:val="24"/>
          <w:highlight w:val="yellow"/>
        </w:rPr>
        <w:t xml:space="preserve"> for</w:t>
      </w:r>
      <w:r w:rsidR="000D33D2" w:rsidRPr="000D33D2">
        <w:rPr>
          <w:sz w:val="24"/>
          <w:szCs w:val="24"/>
          <w:highlight w:val="yellow"/>
        </w:rPr>
        <w:t xml:space="preserve"> fillets</w:t>
      </w:r>
      <w:r w:rsidR="003A6219">
        <w:rPr>
          <w:sz w:val="24"/>
          <w:szCs w:val="24"/>
          <w:highlight w:val="yellow"/>
        </w:rPr>
        <w:t xml:space="preserve"> </w:t>
      </w:r>
      <w:r w:rsidR="00CA47F6">
        <w:rPr>
          <w:sz w:val="24"/>
          <w:szCs w:val="24"/>
          <w:highlight w:val="yellow"/>
        </w:rPr>
        <w:t>to thaw</w:t>
      </w:r>
      <w:r w:rsidR="00FE4550" w:rsidRPr="00C1662F">
        <w:rPr>
          <w:sz w:val="24"/>
          <w:szCs w:val="24"/>
          <w:highlight w:val="yellow"/>
        </w:rPr>
        <w:t>.</w:t>
      </w:r>
      <w:r w:rsidR="00C1662F" w:rsidRPr="00C1662F">
        <w:rPr>
          <w:sz w:val="24"/>
          <w:szCs w:val="24"/>
        </w:rPr>
        <w:t xml:space="preserve"> </w:t>
      </w:r>
    </w:p>
    <w:p w14:paraId="7F06E6BB" w14:textId="31E15A04" w:rsidR="00444842" w:rsidRPr="00116DE9" w:rsidRDefault="005C16A9" w:rsidP="005C16A9">
      <w:pPr>
        <w:jc w:val="both"/>
        <w:rPr>
          <w:sz w:val="24"/>
          <w:szCs w:val="24"/>
          <w:lang w:val="en-IN"/>
        </w:rPr>
      </w:pPr>
      <w:r>
        <w:rPr>
          <w:sz w:val="24"/>
          <w:szCs w:val="24"/>
          <w:lang w:val="en-IN"/>
        </w:rPr>
        <w:t>(</w:t>
      </w:r>
      <w:r w:rsidR="00CE6539" w:rsidRPr="005C16A9">
        <w:rPr>
          <w:b/>
          <w:bCs/>
          <w:sz w:val="24"/>
          <w:szCs w:val="24"/>
          <w:lang w:val="en-IN"/>
        </w:rPr>
        <w:t>Note</w:t>
      </w:r>
      <w:r w:rsidR="00CE6539">
        <w:rPr>
          <w:sz w:val="24"/>
          <w:szCs w:val="24"/>
          <w:lang w:val="en-IN"/>
        </w:rPr>
        <w:t>:</w:t>
      </w:r>
      <w:r w:rsidR="00BD7F0C">
        <w:rPr>
          <w:sz w:val="24"/>
          <w:szCs w:val="24"/>
          <w:lang w:val="en-IN"/>
        </w:rPr>
        <w:t xml:space="preserve"> The laboratory chemicals </w:t>
      </w:r>
      <w:r>
        <w:rPr>
          <w:sz w:val="24"/>
          <w:szCs w:val="24"/>
          <w:lang w:val="en-IN"/>
        </w:rPr>
        <w:t xml:space="preserve">were </w:t>
      </w:r>
      <w:r w:rsidR="00BD7F0C">
        <w:rPr>
          <w:sz w:val="24"/>
          <w:szCs w:val="24"/>
          <w:lang w:val="en-IN"/>
        </w:rPr>
        <w:t>purchased from</w:t>
      </w:r>
      <w:r w:rsidR="00CE6539">
        <w:rPr>
          <w:sz w:val="24"/>
          <w:szCs w:val="24"/>
          <w:lang w:val="en-IN"/>
        </w:rPr>
        <w:t xml:space="preserve"> </w:t>
      </w:r>
      <w:r w:rsidR="00CE6539" w:rsidRPr="00CE6539">
        <w:rPr>
          <w:sz w:val="24"/>
          <w:szCs w:val="24"/>
          <w:lang w:val="en-IN"/>
        </w:rPr>
        <w:t>Fine Chem Corporation</w:t>
      </w:r>
      <w:r w:rsidR="003555A6">
        <w:rPr>
          <w:sz w:val="24"/>
          <w:szCs w:val="24"/>
          <w:lang w:val="en-IN"/>
        </w:rPr>
        <w:t>, Panvel, Mumbai, Indi</w:t>
      </w:r>
      <w:r>
        <w:rPr>
          <w:sz w:val="24"/>
          <w:szCs w:val="24"/>
          <w:lang w:val="en-IN"/>
        </w:rPr>
        <w:t>a).</w:t>
      </w:r>
    </w:p>
    <w:p w14:paraId="6C437F25" w14:textId="77777777" w:rsidR="00826543" w:rsidRDefault="00826543" w:rsidP="00550D07">
      <w:pPr>
        <w:jc w:val="both"/>
        <w:rPr>
          <w:b/>
          <w:bCs/>
          <w:sz w:val="24"/>
          <w:szCs w:val="24"/>
        </w:rPr>
      </w:pPr>
    </w:p>
    <w:p w14:paraId="45AADFB1" w14:textId="77777777" w:rsidR="00826543" w:rsidRDefault="00826543" w:rsidP="00550D07">
      <w:pPr>
        <w:jc w:val="both"/>
        <w:rPr>
          <w:b/>
          <w:bCs/>
          <w:sz w:val="24"/>
          <w:szCs w:val="24"/>
        </w:rPr>
      </w:pPr>
    </w:p>
    <w:p w14:paraId="0BF6278C" w14:textId="77777777" w:rsidR="00826543" w:rsidRDefault="00826543" w:rsidP="00550D07">
      <w:pPr>
        <w:jc w:val="both"/>
        <w:rPr>
          <w:b/>
          <w:bCs/>
          <w:sz w:val="24"/>
          <w:szCs w:val="24"/>
        </w:rPr>
      </w:pPr>
    </w:p>
    <w:p w14:paraId="7EF32A6D" w14:textId="475466BC" w:rsidR="00444842" w:rsidRPr="00116DE9" w:rsidRDefault="00B15081" w:rsidP="00550D07">
      <w:pPr>
        <w:jc w:val="both"/>
        <w:rPr>
          <w:b/>
          <w:bCs/>
          <w:sz w:val="24"/>
          <w:szCs w:val="24"/>
        </w:rPr>
      </w:pPr>
      <w:r w:rsidRPr="00116DE9">
        <w:rPr>
          <w:b/>
          <w:bCs/>
          <w:sz w:val="24"/>
          <w:szCs w:val="24"/>
        </w:rPr>
        <w:lastRenderedPageBreak/>
        <w:t>Table: 1 Experimental Treatment Conditions for Freezing Freshwater Tilapia (</w:t>
      </w:r>
      <w:r w:rsidRPr="00116DE9">
        <w:rPr>
          <w:b/>
          <w:bCs/>
          <w:i/>
          <w:iCs/>
          <w:sz w:val="24"/>
          <w:szCs w:val="24"/>
        </w:rPr>
        <w:t>Oreochromis niloticus</w:t>
      </w:r>
      <w:r w:rsidRPr="00116DE9">
        <w:rPr>
          <w:b/>
          <w:bCs/>
          <w:sz w:val="24"/>
          <w:szCs w:val="24"/>
        </w:rPr>
        <w:t>) Fillets</w:t>
      </w:r>
    </w:p>
    <w:p w14:paraId="56BE980C" w14:textId="77777777" w:rsidR="00444842" w:rsidRPr="00116DE9" w:rsidRDefault="00444842">
      <w:pPr>
        <w:rPr>
          <w:sz w:val="24"/>
          <w:szCs w:val="24"/>
        </w:rPr>
      </w:pPr>
    </w:p>
    <w:tbl>
      <w:tblPr>
        <w:tblStyle w:val="TableGrid"/>
        <w:tblW w:w="9209" w:type="dxa"/>
        <w:jc w:val="center"/>
        <w:tblLook w:val="04A0" w:firstRow="1" w:lastRow="0" w:firstColumn="1" w:lastColumn="0" w:noHBand="0" w:noVBand="1"/>
      </w:tblPr>
      <w:tblGrid>
        <w:gridCol w:w="1701"/>
        <w:gridCol w:w="7508"/>
      </w:tblGrid>
      <w:tr w:rsidR="00B93FA9" w:rsidRPr="00116DE9" w14:paraId="23D8A039" w14:textId="77777777" w:rsidTr="00826543">
        <w:trPr>
          <w:jc w:val="center"/>
        </w:trPr>
        <w:tc>
          <w:tcPr>
            <w:tcW w:w="1701" w:type="dxa"/>
            <w:vAlign w:val="center"/>
          </w:tcPr>
          <w:p w14:paraId="54144525"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Treatments</w:t>
            </w:r>
          </w:p>
        </w:tc>
        <w:tc>
          <w:tcPr>
            <w:tcW w:w="7508" w:type="dxa"/>
          </w:tcPr>
          <w:p w14:paraId="28AD851E" w14:textId="77777777" w:rsidR="00B93FA9" w:rsidRPr="00116DE9" w:rsidRDefault="00B93FA9" w:rsidP="00633178">
            <w:pPr>
              <w:widowControl w:val="0"/>
              <w:spacing w:before="160" w:line="360" w:lineRule="auto"/>
              <w:ind w:left="33" w:right="37"/>
              <w:jc w:val="center"/>
              <w:rPr>
                <w:rFonts w:eastAsia="Times New Roman"/>
                <w:b/>
                <w:bCs/>
                <w:sz w:val="24"/>
                <w:szCs w:val="24"/>
              </w:rPr>
            </w:pPr>
            <w:r w:rsidRPr="00116DE9">
              <w:rPr>
                <w:rFonts w:eastAsia="Times New Roman"/>
                <w:b/>
                <w:bCs/>
                <w:sz w:val="24"/>
                <w:szCs w:val="24"/>
              </w:rPr>
              <w:t>Treatment Details</w:t>
            </w:r>
          </w:p>
        </w:tc>
      </w:tr>
      <w:tr w:rsidR="00B93FA9" w:rsidRPr="00116DE9" w14:paraId="6DEF6A8A" w14:textId="77777777" w:rsidTr="00826543">
        <w:trPr>
          <w:jc w:val="center"/>
        </w:trPr>
        <w:tc>
          <w:tcPr>
            <w:tcW w:w="1701" w:type="dxa"/>
            <w:vAlign w:val="center"/>
          </w:tcPr>
          <w:p w14:paraId="488779C2"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T0</w:t>
            </w:r>
          </w:p>
        </w:tc>
        <w:tc>
          <w:tcPr>
            <w:tcW w:w="7508" w:type="dxa"/>
          </w:tcPr>
          <w:p w14:paraId="1056D328" w14:textId="68BCAC7F" w:rsidR="00B93FA9" w:rsidRPr="00116DE9" w:rsidRDefault="00B93FA9" w:rsidP="00633178">
            <w:pPr>
              <w:spacing w:line="360" w:lineRule="auto"/>
              <w:ind w:left="33" w:right="37"/>
              <w:jc w:val="both"/>
              <w:rPr>
                <w:rFonts w:eastAsia="Times New Roman"/>
                <w:b/>
                <w:sz w:val="24"/>
                <w:szCs w:val="24"/>
              </w:rPr>
            </w:pPr>
            <w:r w:rsidRPr="00116DE9">
              <w:rPr>
                <w:rFonts w:eastAsia="Times New Roman"/>
                <w:sz w:val="24"/>
                <w:szCs w:val="24"/>
              </w:rPr>
              <w:t>Control/Untreated IQF at freezing temp - (- 40 °C) &amp; storage at (-18 °C) for 120 days.</w:t>
            </w:r>
          </w:p>
        </w:tc>
      </w:tr>
      <w:tr w:rsidR="00B93FA9" w:rsidRPr="00116DE9" w14:paraId="71CAD815" w14:textId="77777777" w:rsidTr="00826543">
        <w:trPr>
          <w:jc w:val="center"/>
        </w:trPr>
        <w:tc>
          <w:tcPr>
            <w:tcW w:w="1701" w:type="dxa"/>
            <w:vAlign w:val="center"/>
          </w:tcPr>
          <w:p w14:paraId="14D71524"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T1</w:t>
            </w:r>
          </w:p>
        </w:tc>
        <w:tc>
          <w:tcPr>
            <w:tcW w:w="7508" w:type="dxa"/>
          </w:tcPr>
          <w:p w14:paraId="1A52B3DD" w14:textId="797A521A" w:rsidR="00B93FA9" w:rsidRPr="00116DE9" w:rsidRDefault="00B93FA9" w:rsidP="00633178">
            <w:pPr>
              <w:spacing w:line="360" w:lineRule="auto"/>
              <w:ind w:left="33" w:right="37"/>
              <w:jc w:val="both"/>
              <w:rPr>
                <w:rFonts w:eastAsia="Times New Roman"/>
                <w:sz w:val="24"/>
                <w:szCs w:val="24"/>
              </w:rPr>
            </w:pPr>
            <w:r w:rsidRPr="00116DE9">
              <w:rPr>
                <w:rFonts w:eastAsia="Times New Roman"/>
                <w:sz w:val="24"/>
                <w:szCs w:val="24"/>
              </w:rPr>
              <w:t xml:space="preserve">Pre-treatment of NaCl (2%) + STPP (3%) for 2 hrs + glazing 10% + IQF freezing (Temp: - 40˚C) &amp; </w:t>
            </w:r>
            <w:r w:rsidR="00DF1D7B" w:rsidRPr="00116DE9">
              <w:rPr>
                <w:rFonts w:eastAsia="Times New Roman"/>
                <w:sz w:val="24"/>
                <w:szCs w:val="24"/>
              </w:rPr>
              <w:t>frozen storage</w:t>
            </w:r>
            <w:r w:rsidRPr="00116DE9">
              <w:rPr>
                <w:rFonts w:eastAsia="Times New Roman"/>
                <w:sz w:val="24"/>
                <w:szCs w:val="24"/>
              </w:rPr>
              <w:t xml:space="preserve"> </w:t>
            </w:r>
            <w:r w:rsidR="00DF1D7B" w:rsidRPr="00116DE9">
              <w:rPr>
                <w:rFonts w:eastAsia="Times New Roman"/>
                <w:sz w:val="24"/>
                <w:szCs w:val="24"/>
              </w:rPr>
              <w:t>at (</w:t>
            </w:r>
            <w:r w:rsidRPr="00116DE9">
              <w:rPr>
                <w:rFonts w:eastAsia="Times New Roman"/>
                <w:sz w:val="24"/>
                <w:szCs w:val="24"/>
              </w:rPr>
              <w:t>-18˚C) for 120 days.</w:t>
            </w:r>
          </w:p>
        </w:tc>
      </w:tr>
      <w:tr w:rsidR="00B93FA9" w:rsidRPr="00116DE9" w14:paraId="3788DD75" w14:textId="77777777" w:rsidTr="00826543">
        <w:trPr>
          <w:jc w:val="center"/>
        </w:trPr>
        <w:tc>
          <w:tcPr>
            <w:tcW w:w="1701" w:type="dxa"/>
            <w:vAlign w:val="center"/>
          </w:tcPr>
          <w:p w14:paraId="0DD0A3AE"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T2</w:t>
            </w:r>
          </w:p>
        </w:tc>
        <w:tc>
          <w:tcPr>
            <w:tcW w:w="7508" w:type="dxa"/>
          </w:tcPr>
          <w:p w14:paraId="1823FC0A" w14:textId="400920E9" w:rsidR="00B93FA9" w:rsidRPr="00116DE9" w:rsidRDefault="00B93FA9" w:rsidP="00633178">
            <w:pPr>
              <w:spacing w:line="360" w:lineRule="auto"/>
              <w:ind w:left="33" w:right="37"/>
              <w:jc w:val="both"/>
              <w:rPr>
                <w:rFonts w:eastAsia="Times New Roman"/>
                <w:sz w:val="24"/>
                <w:szCs w:val="24"/>
              </w:rPr>
            </w:pPr>
            <w:r w:rsidRPr="00116DE9">
              <w:rPr>
                <w:rFonts w:eastAsia="Times New Roman"/>
                <w:sz w:val="24"/>
                <w:szCs w:val="24"/>
              </w:rPr>
              <w:t>Pre-treatment of Na</w:t>
            </w:r>
            <w:r w:rsidR="00BD0A13" w:rsidRPr="00116DE9">
              <w:rPr>
                <w:rFonts w:eastAsia="Times New Roman"/>
                <w:sz w:val="24"/>
                <w:szCs w:val="24"/>
              </w:rPr>
              <w:t>C</w:t>
            </w:r>
            <w:r w:rsidRPr="00116DE9">
              <w:rPr>
                <w:rFonts w:eastAsia="Times New Roman"/>
                <w:sz w:val="24"/>
                <w:szCs w:val="24"/>
              </w:rPr>
              <w:t>l (2%)</w:t>
            </w:r>
            <w:r w:rsidR="00BD0A13" w:rsidRPr="00116DE9">
              <w:rPr>
                <w:rFonts w:eastAsia="Times New Roman"/>
                <w:sz w:val="24"/>
                <w:szCs w:val="24"/>
              </w:rPr>
              <w:t xml:space="preserve"> </w:t>
            </w:r>
            <w:r w:rsidRPr="00116DE9">
              <w:rPr>
                <w:rFonts w:eastAsia="Times New Roman"/>
                <w:sz w:val="24"/>
                <w:szCs w:val="24"/>
              </w:rPr>
              <w:t>+</w:t>
            </w:r>
            <w:r w:rsidR="00BD0A13" w:rsidRPr="00116DE9">
              <w:rPr>
                <w:rFonts w:eastAsia="Times New Roman"/>
                <w:sz w:val="24"/>
                <w:szCs w:val="24"/>
              </w:rPr>
              <w:t xml:space="preserve"> </w:t>
            </w:r>
            <w:r w:rsidRPr="00116DE9">
              <w:rPr>
                <w:rFonts w:eastAsia="Times New Roman"/>
                <w:sz w:val="24"/>
                <w:szCs w:val="24"/>
              </w:rPr>
              <w:t>STPP (3%)</w:t>
            </w:r>
            <w:r w:rsidR="00BD0A13" w:rsidRPr="00116DE9">
              <w:rPr>
                <w:rFonts w:eastAsia="Times New Roman"/>
                <w:sz w:val="24"/>
                <w:szCs w:val="24"/>
              </w:rPr>
              <w:t xml:space="preserve"> </w:t>
            </w:r>
            <w:r w:rsidRPr="00116DE9">
              <w:rPr>
                <w:rFonts w:eastAsia="Times New Roman"/>
                <w:sz w:val="24"/>
                <w:szCs w:val="24"/>
              </w:rPr>
              <w:t>for 2 hrs + blanching at temp</w:t>
            </w:r>
            <w:r w:rsidR="00BD0A13" w:rsidRPr="00116DE9">
              <w:rPr>
                <w:rFonts w:eastAsia="Times New Roman"/>
                <w:sz w:val="24"/>
                <w:szCs w:val="24"/>
              </w:rPr>
              <w:t xml:space="preserve">erature </w:t>
            </w:r>
            <w:r w:rsidRPr="00116DE9">
              <w:rPr>
                <w:rFonts w:eastAsia="Times New Roman"/>
                <w:sz w:val="24"/>
                <w:szCs w:val="24"/>
              </w:rPr>
              <w:t>75</w:t>
            </w:r>
            <w:r w:rsidR="00BD0A13" w:rsidRPr="00116DE9">
              <w:rPr>
                <w:rFonts w:eastAsia="Times New Roman"/>
                <w:sz w:val="24"/>
                <w:szCs w:val="24"/>
              </w:rPr>
              <w:t xml:space="preserve"> °C</w:t>
            </w:r>
            <w:r w:rsidRPr="00116DE9">
              <w:rPr>
                <w:rFonts w:eastAsia="Times New Roman"/>
                <w:sz w:val="24"/>
                <w:szCs w:val="24"/>
              </w:rPr>
              <w:t>, Time: 2 Min + glazing 10% + IQF freezing (</w:t>
            </w:r>
            <w:r w:rsidR="00BD0A13" w:rsidRPr="00116DE9">
              <w:rPr>
                <w:rFonts w:eastAsia="Times New Roman"/>
                <w:sz w:val="24"/>
                <w:szCs w:val="24"/>
              </w:rPr>
              <w:t>temperature:</w:t>
            </w:r>
            <w:r w:rsidRPr="00116DE9">
              <w:rPr>
                <w:rFonts w:eastAsia="Times New Roman"/>
                <w:sz w:val="24"/>
                <w:szCs w:val="24"/>
              </w:rPr>
              <w:t xml:space="preserve"> 40</w:t>
            </w:r>
            <w:r w:rsidR="00BD0A13" w:rsidRPr="00116DE9">
              <w:rPr>
                <w:rFonts w:eastAsia="Times New Roman"/>
                <w:sz w:val="24"/>
                <w:szCs w:val="24"/>
              </w:rPr>
              <w:t xml:space="preserve"> °C</w:t>
            </w:r>
            <w:r w:rsidRPr="00116DE9">
              <w:rPr>
                <w:rFonts w:eastAsia="Times New Roman"/>
                <w:sz w:val="24"/>
                <w:szCs w:val="24"/>
              </w:rPr>
              <w:t xml:space="preserve">) &amp; frozen storage </w:t>
            </w:r>
            <w:r w:rsidR="00BD0A13" w:rsidRPr="00116DE9">
              <w:rPr>
                <w:rFonts w:eastAsia="Times New Roman"/>
                <w:sz w:val="24"/>
                <w:szCs w:val="24"/>
              </w:rPr>
              <w:t>at (</w:t>
            </w:r>
            <w:r w:rsidRPr="00116DE9">
              <w:rPr>
                <w:rFonts w:eastAsia="Times New Roman"/>
                <w:sz w:val="24"/>
                <w:szCs w:val="24"/>
              </w:rPr>
              <w:t>-18</w:t>
            </w:r>
            <w:r w:rsidR="00BD0A13" w:rsidRPr="00116DE9">
              <w:rPr>
                <w:rFonts w:eastAsia="Times New Roman"/>
                <w:sz w:val="24"/>
                <w:szCs w:val="24"/>
              </w:rPr>
              <w:t xml:space="preserve"> °C</w:t>
            </w:r>
            <w:r w:rsidRPr="00116DE9">
              <w:rPr>
                <w:rFonts w:eastAsia="Times New Roman"/>
                <w:sz w:val="24"/>
                <w:szCs w:val="24"/>
              </w:rPr>
              <w:t>) for 120 days.</w:t>
            </w:r>
          </w:p>
        </w:tc>
      </w:tr>
      <w:tr w:rsidR="00B93FA9" w:rsidRPr="00116DE9" w14:paraId="4CF5B944" w14:textId="77777777" w:rsidTr="00826543">
        <w:trPr>
          <w:jc w:val="center"/>
        </w:trPr>
        <w:tc>
          <w:tcPr>
            <w:tcW w:w="1701" w:type="dxa"/>
            <w:vAlign w:val="center"/>
          </w:tcPr>
          <w:p w14:paraId="18A49278" w14:textId="77777777" w:rsidR="00B93FA9" w:rsidRPr="00116DE9" w:rsidRDefault="00B93FA9" w:rsidP="00DF1D7B">
            <w:pPr>
              <w:widowControl w:val="0"/>
              <w:spacing w:before="160" w:line="360" w:lineRule="auto"/>
              <w:ind w:right="33"/>
              <w:jc w:val="center"/>
              <w:rPr>
                <w:rFonts w:eastAsia="Times New Roman"/>
                <w:b/>
                <w:bCs/>
                <w:sz w:val="24"/>
                <w:szCs w:val="24"/>
              </w:rPr>
            </w:pPr>
            <w:r w:rsidRPr="00116DE9">
              <w:rPr>
                <w:rFonts w:eastAsia="Times New Roman"/>
                <w:b/>
                <w:bCs/>
                <w:sz w:val="24"/>
                <w:szCs w:val="24"/>
              </w:rPr>
              <w:t>T3</w:t>
            </w:r>
          </w:p>
        </w:tc>
        <w:tc>
          <w:tcPr>
            <w:tcW w:w="7508" w:type="dxa"/>
          </w:tcPr>
          <w:p w14:paraId="7C93CB93" w14:textId="0471957B" w:rsidR="00B93FA9" w:rsidRPr="00116DE9" w:rsidRDefault="00B93FA9" w:rsidP="00633178">
            <w:pPr>
              <w:spacing w:line="360" w:lineRule="auto"/>
              <w:ind w:left="33" w:right="37"/>
              <w:jc w:val="both"/>
              <w:rPr>
                <w:rFonts w:eastAsia="Times New Roman"/>
                <w:sz w:val="24"/>
                <w:szCs w:val="24"/>
              </w:rPr>
            </w:pPr>
            <w:r w:rsidRPr="00116DE9">
              <w:rPr>
                <w:rFonts w:eastAsia="Times New Roman"/>
                <w:sz w:val="24"/>
                <w:szCs w:val="24"/>
              </w:rPr>
              <w:t>Pre-treatment of NaCl (2</w:t>
            </w:r>
            <w:r w:rsidR="009A5000" w:rsidRPr="00116DE9">
              <w:rPr>
                <w:rFonts w:eastAsia="Times New Roman"/>
                <w:sz w:val="24"/>
                <w:szCs w:val="24"/>
              </w:rPr>
              <w:t>%) +</w:t>
            </w:r>
            <w:r w:rsidRPr="00116DE9">
              <w:rPr>
                <w:rFonts w:eastAsia="Times New Roman"/>
                <w:sz w:val="24"/>
                <w:szCs w:val="24"/>
              </w:rPr>
              <w:t xml:space="preserve"> STPP (3%) for 2 hrs, blast freezing &amp; frozen storage </w:t>
            </w:r>
            <w:r w:rsidR="009A5000" w:rsidRPr="00116DE9">
              <w:rPr>
                <w:rFonts w:eastAsia="Times New Roman"/>
                <w:sz w:val="24"/>
                <w:szCs w:val="24"/>
              </w:rPr>
              <w:t>at (</w:t>
            </w:r>
            <w:r w:rsidRPr="00116DE9">
              <w:rPr>
                <w:rFonts w:eastAsia="Times New Roman"/>
                <w:sz w:val="24"/>
                <w:szCs w:val="24"/>
              </w:rPr>
              <w:t>-18</w:t>
            </w:r>
            <w:r w:rsidR="009A5000" w:rsidRPr="00116DE9">
              <w:rPr>
                <w:rFonts w:eastAsia="Times New Roman"/>
                <w:sz w:val="24"/>
                <w:szCs w:val="24"/>
              </w:rPr>
              <w:t xml:space="preserve"> °C</w:t>
            </w:r>
            <w:r w:rsidRPr="00116DE9">
              <w:rPr>
                <w:rFonts w:eastAsia="Times New Roman"/>
                <w:sz w:val="24"/>
                <w:szCs w:val="24"/>
              </w:rPr>
              <w:t>) for 120 days.</w:t>
            </w:r>
          </w:p>
        </w:tc>
      </w:tr>
    </w:tbl>
    <w:p w14:paraId="557DC0FC" w14:textId="77777777" w:rsidR="00444842" w:rsidRPr="00021935" w:rsidRDefault="00444842">
      <w:pPr>
        <w:rPr>
          <w:b/>
          <w:bCs/>
          <w:sz w:val="24"/>
          <w:szCs w:val="24"/>
        </w:rPr>
      </w:pPr>
    </w:p>
    <w:p w14:paraId="3611D318" w14:textId="5645262A" w:rsidR="00444842" w:rsidRPr="00021935" w:rsidRDefault="0014210B">
      <w:pPr>
        <w:rPr>
          <w:b/>
          <w:bCs/>
          <w:sz w:val="24"/>
          <w:szCs w:val="24"/>
        </w:rPr>
      </w:pPr>
      <w:r w:rsidRPr="00021935">
        <w:rPr>
          <w:b/>
          <w:bCs/>
          <w:sz w:val="24"/>
          <w:szCs w:val="24"/>
        </w:rPr>
        <w:t>Flow Chart</w:t>
      </w:r>
      <w:r w:rsidR="000C395C">
        <w:rPr>
          <w:b/>
          <w:bCs/>
          <w:sz w:val="24"/>
          <w:szCs w:val="24"/>
        </w:rPr>
        <w:t xml:space="preserve"> 1</w:t>
      </w:r>
      <w:r w:rsidRPr="00021935">
        <w:rPr>
          <w:b/>
          <w:bCs/>
          <w:sz w:val="24"/>
          <w:szCs w:val="24"/>
        </w:rPr>
        <w:t>:</w:t>
      </w:r>
    </w:p>
    <w:p w14:paraId="2F37D7FA" w14:textId="24775E7E" w:rsidR="0014210B" w:rsidRDefault="00CC7361" w:rsidP="00CC7361">
      <w:pPr>
        <w:jc w:val="center"/>
        <w:rPr>
          <w:sz w:val="24"/>
          <w:szCs w:val="24"/>
        </w:rPr>
      </w:pPr>
      <w:r>
        <w:rPr>
          <w:sz w:val="24"/>
          <w:szCs w:val="24"/>
        </w:rPr>
        <w:t xml:space="preserve">         </w:t>
      </w:r>
      <w:r w:rsidR="00021935">
        <w:rPr>
          <w:sz w:val="24"/>
          <w:szCs w:val="24"/>
        </w:rPr>
        <w:t>Raw material</w:t>
      </w:r>
    </w:p>
    <w:p w14:paraId="7D59CD1E" w14:textId="791F056F" w:rsidR="00513E19" w:rsidRDefault="00513E19" w:rsidP="00CC7361">
      <w:pPr>
        <w:ind w:left="4320" w:firstLine="500"/>
        <w:rPr>
          <w:sz w:val="24"/>
          <w:szCs w:val="24"/>
        </w:rPr>
      </w:pPr>
      <w:r>
        <w:rPr>
          <w:sz w:val="24"/>
          <w:szCs w:val="24"/>
        </w:rPr>
        <w:t>↓</w:t>
      </w:r>
    </w:p>
    <w:p w14:paraId="16AF0BC6" w14:textId="774CE648" w:rsidR="00513E19" w:rsidRDefault="00CC7361" w:rsidP="00CC7361">
      <w:pPr>
        <w:jc w:val="center"/>
        <w:rPr>
          <w:sz w:val="24"/>
          <w:szCs w:val="24"/>
        </w:rPr>
      </w:pPr>
      <w:r>
        <w:rPr>
          <w:sz w:val="24"/>
          <w:szCs w:val="24"/>
        </w:rPr>
        <w:t xml:space="preserve">         </w:t>
      </w:r>
      <w:r w:rsidR="00582BA2">
        <w:rPr>
          <w:sz w:val="24"/>
          <w:szCs w:val="24"/>
        </w:rPr>
        <w:t xml:space="preserve">Fish </w:t>
      </w:r>
      <w:r w:rsidR="00513E19">
        <w:rPr>
          <w:sz w:val="24"/>
          <w:szCs w:val="24"/>
        </w:rPr>
        <w:t>Fill</w:t>
      </w:r>
      <w:r w:rsidR="00582BA2">
        <w:rPr>
          <w:sz w:val="24"/>
          <w:szCs w:val="24"/>
        </w:rPr>
        <w:t>eting</w:t>
      </w:r>
    </w:p>
    <w:p w14:paraId="2F3EF5F6" w14:textId="1D6EAE8B" w:rsidR="00582BA2" w:rsidRDefault="00582BA2" w:rsidP="00CC7361">
      <w:pPr>
        <w:ind w:firstLine="720"/>
        <w:jc w:val="center"/>
        <w:rPr>
          <w:sz w:val="24"/>
          <w:szCs w:val="24"/>
        </w:rPr>
      </w:pPr>
      <w:r>
        <w:rPr>
          <w:sz w:val="24"/>
          <w:szCs w:val="24"/>
        </w:rPr>
        <w:t>↓</w:t>
      </w:r>
    </w:p>
    <w:p w14:paraId="16D1F398" w14:textId="62549EBB" w:rsidR="00582BA2" w:rsidRDefault="00CC7361" w:rsidP="00CC7361">
      <w:pPr>
        <w:jc w:val="center"/>
        <w:rPr>
          <w:sz w:val="24"/>
          <w:szCs w:val="24"/>
        </w:rPr>
      </w:pPr>
      <w:r>
        <w:rPr>
          <w:sz w:val="24"/>
          <w:szCs w:val="24"/>
        </w:rPr>
        <w:t xml:space="preserve">        </w:t>
      </w:r>
      <w:r w:rsidR="00582BA2">
        <w:rPr>
          <w:sz w:val="24"/>
          <w:szCs w:val="24"/>
        </w:rPr>
        <w:t>Fillets are washed with tap water</w:t>
      </w:r>
    </w:p>
    <w:p w14:paraId="27856C43" w14:textId="44971697" w:rsidR="00AA49B2" w:rsidRDefault="00AA49B2" w:rsidP="00CC7361">
      <w:pPr>
        <w:ind w:firstLine="720"/>
        <w:jc w:val="center"/>
        <w:rPr>
          <w:sz w:val="24"/>
          <w:szCs w:val="24"/>
        </w:rPr>
      </w:pPr>
      <w:r>
        <w:rPr>
          <w:sz w:val="24"/>
          <w:szCs w:val="24"/>
        </w:rPr>
        <w:t>↓</w:t>
      </w:r>
    </w:p>
    <w:p w14:paraId="085BD4FD" w14:textId="179C0097" w:rsidR="00AA49B2" w:rsidRPr="00E4359E" w:rsidRDefault="00E4359E" w:rsidP="00CC7361">
      <w:pPr>
        <w:pStyle w:val="ListParagraph"/>
        <w:numPr>
          <w:ilvl w:val="0"/>
          <w:numId w:val="3"/>
        </w:numPr>
        <w:jc w:val="center"/>
        <w:rPr>
          <w:sz w:val="24"/>
          <w:szCs w:val="24"/>
        </w:rPr>
      </w:pPr>
      <w:r w:rsidRPr="00E4359E">
        <w:rPr>
          <w:sz w:val="24"/>
          <w:szCs w:val="24"/>
        </w:rPr>
        <w:t>(Control/Untreated Sample T0)</w:t>
      </w:r>
    </w:p>
    <w:p w14:paraId="2C0003BC" w14:textId="1F2E42C7" w:rsidR="00E4359E" w:rsidRDefault="002A0259" w:rsidP="00CC7361">
      <w:pPr>
        <w:pStyle w:val="ListParagraph"/>
        <w:numPr>
          <w:ilvl w:val="0"/>
          <w:numId w:val="3"/>
        </w:numPr>
        <w:jc w:val="center"/>
        <w:rPr>
          <w:sz w:val="24"/>
          <w:szCs w:val="24"/>
        </w:rPr>
      </w:pPr>
      <w:r>
        <w:rPr>
          <w:sz w:val="24"/>
          <w:szCs w:val="24"/>
        </w:rPr>
        <w:t>Treatment (Nacl + STPP)</w:t>
      </w:r>
    </w:p>
    <w:p w14:paraId="4F6B539C" w14:textId="7414E1E7" w:rsidR="00FB5C1C" w:rsidRDefault="006F2DF3" w:rsidP="00CC7361">
      <w:pPr>
        <w:pStyle w:val="ListParagraph"/>
        <w:ind w:left="360" w:firstLine="360"/>
        <w:jc w:val="center"/>
        <w:rPr>
          <w:sz w:val="24"/>
          <w:szCs w:val="24"/>
        </w:rPr>
      </w:pPr>
      <w:r>
        <w:rPr>
          <w:sz w:val="24"/>
          <w:szCs w:val="24"/>
        </w:rPr>
        <w:t>↓</w:t>
      </w:r>
    </w:p>
    <w:p w14:paraId="7AFA3E81" w14:textId="2E1961EB" w:rsidR="006F2DF3" w:rsidRDefault="006F071F" w:rsidP="00CC7361">
      <w:pPr>
        <w:pStyle w:val="ListParagraph"/>
        <w:jc w:val="center"/>
        <w:rPr>
          <w:sz w:val="24"/>
          <w:szCs w:val="24"/>
        </w:rPr>
      </w:pPr>
      <w:r>
        <w:rPr>
          <w:sz w:val="24"/>
          <w:szCs w:val="24"/>
        </w:rPr>
        <w:t>IQF Freezing (T</w:t>
      </w:r>
      <w:proofErr w:type="gramStart"/>
      <w:r>
        <w:rPr>
          <w:sz w:val="24"/>
          <w:szCs w:val="24"/>
        </w:rPr>
        <w:t>1,T2,T</w:t>
      </w:r>
      <w:proofErr w:type="gramEnd"/>
      <w:r>
        <w:rPr>
          <w:sz w:val="24"/>
          <w:szCs w:val="24"/>
        </w:rPr>
        <w:t>3)</w:t>
      </w:r>
    </w:p>
    <w:p w14:paraId="6BD4BCB3" w14:textId="5B581916" w:rsidR="006F071F" w:rsidRDefault="006F071F" w:rsidP="00CC7361">
      <w:pPr>
        <w:pStyle w:val="ListParagraph"/>
        <w:ind w:left="4320" w:firstLine="500"/>
        <w:rPr>
          <w:sz w:val="24"/>
          <w:szCs w:val="24"/>
        </w:rPr>
      </w:pPr>
      <w:r>
        <w:rPr>
          <w:sz w:val="24"/>
          <w:szCs w:val="24"/>
        </w:rPr>
        <w:t>↓</w:t>
      </w:r>
    </w:p>
    <w:p w14:paraId="14EE827B" w14:textId="445DC38A" w:rsidR="00000B98" w:rsidRDefault="00000B98" w:rsidP="00CC7361">
      <w:pPr>
        <w:pStyle w:val="ListParagraph"/>
        <w:jc w:val="center"/>
        <w:rPr>
          <w:sz w:val="24"/>
          <w:szCs w:val="24"/>
        </w:rPr>
      </w:pPr>
      <w:r>
        <w:rPr>
          <w:sz w:val="24"/>
          <w:szCs w:val="24"/>
        </w:rPr>
        <w:t>Air blast freezing (T3)</w:t>
      </w:r>
    </w:p>
    <w:p w14:paraId="520B1EA1" w14:textId="0FA2FA68" w:rsidR="00000B98" w:rsidRDefault="00000B98" w:rsidP="00CC7361">
      <w:pPr>
        <w:pStyle w:val="ListParagraph"/>
        <w:ind w:left="0" w:firstLine="720"/>
        <w:jc w:val="center"/>
        <w:rPr>
          <w:sz w:val="24"/>
          <w:szCs w:val="24"/>
        </w:rPr>
      </w:pPr>
      <w:r>
        <w:rPr>
          <w:sz w:val="24"/>
          <w:szCs w:val="24"/>
        </w:rPr>
        <w:t>↓</w:t>
      </w:r>
    </w:p>
    <w:p w14:paraId="28E2B093" w14:textId="118E6E1A" w:rsidR="000F2E37" w:rsidRDefault="00346749" w:rsidP="00CC7361">
      <w:pPr>
        <w:pStyle w:val="ListParagraph"/>
        <w:jc w:val="center"/>
        <w:rPr>
          <w:sz w:val="24"/>
          <w:szCs w:val="24"/>
        </w:rPr>
      </w:pPr>
      <w:r>
        <w:rPr>
          <w:sz w:val="24"/>
          <w:szCs w:val="24"/>
        </w:rPr>
        <w:t>Weighing</w:t>
      </w:r>
    </w:p>
    <w:p w14:paraId="6B3EA978" w14:textId="5DF8588D" w:rsidR="00346749" w:rsidRDefault="00346749" w:rsidP="00CC7361">
      <w:pPr>
        <w:pStyle w:val="ListParagraph"/>
        <w:ind w:left="4320" w:firstLine="500"/>
        <w:rPr>
          <w:sz w:val="24"/>
          <w:szCs w:val="24"/>
        </w:rPr>
      </w:pPr>
      <w:r>
        <w:rPr>
          <w:sz w:val="24"/>
          <w:szCs w:val="24"/>
        </w:rPr>
        <w:t>↓</w:t>
      </w:r>
    </w:p>
    <w:p w14:paraId="4F4488F1" w14:textId="071C71BB" w:rsidR="00346749" w:rsidRDefault="0013184D" w:rsidP="00CC7361">
      <w:pPr>
        <w:pStyle w:val="ListParagraph"/>
        <w:jc w:val="center"/>
        <w:rPr>
          <w:sz w:val="24"/>
          <w:szCs w:val="24"/>
        </w:rPr>
      </w:pPr>
      <w:r>
        <w:rPr>
          <w:sz w:val="24"/>
          <w:szCs w:val="24"/>
        </w:rPr>
        <w:t>Packaging and labelling</w:t>
      </w:r>
    </w:p>
    <w:p w14:paraId="1F6E92A3" w14:textId="0745A1FE" w:rsidR="0013184D" w:rsidRDefault="0013184D" w:rsidP="00CC7361">
      <w:pPr>
        <w:pStyle w:val="ListParagraph"/>
        <w:jc w:val="center"/>
        <w:rPr>
          <w:sz w:val="24"/>
          <w:szCs w:val="24"/>
        </w:rPr>
      </w:pPr>
      <w:r>
        <w:rPr>
          <w:sz w:val="24"/>
          <w:szCs w:val="24"/>
        </w:rPr>
        <w:t>(</w:t>
      </w:r>
      <w:r w:rsidR="00E907D6">
        <w:rPr>
          <w:sz w:val="24"/>
          <w:szCs w:val="24"/>
        </w:rPr>
        <w:t>Primary packaging material</w:t>
      </w:r>
      <w:r w:rsidR="00E25A98">
        <w:rPr>
          <w:sz w:val="24"/>
          <w:szCs w:val="24"/>
        </w:rPr>
        <w:t xml:space="preserve">- LDPE and Secondary </w:t>
      </w:r>
      <w:r w:rsidR="003C539D">
        <w:rPr>
          <w:sz w:val="24"/>
          <w:szCs w:val="24"/>
        </w:rPr>
        <w:t xml:space="preserve">packaging </w:t>
      </w:r>
      <w:r w:rsidR="00D7726C">
        <w:rPr>
          <w:sz w:val="24"/>
          <w:szCs w:val="24"/>
        </w:rPr>
        <w:t xml:space="preserve">material </w:t>
      </w:r>
      <w:r w:rsidR="00475C97">
        <w:rPr>
          <w:sz w:val="24"/>
          <w:szCs w:val="24"/>
        </w:rPr>
        <w:t>–</w:t>
      </w:r>
      <w:r w:rsidR="00D7726C">
        <w:rPr>
          <w:sz w:val="24"/>
          <w:szCs w:val="24"/>
        </w:rPr>
        <w:t xml:space="preserve"> </w:t>
      </w:r>
      <w:r w:rsidR="00475C97">
        <w:rPr>
          <w:sz w:val="24"/>
          <w:szCs w:val="24"/>
        </w:rPr>
        <w:t xml:space="preserve">3-5 ply </w:t>
      </w:r>
      <w:r w:rsidR="006B058F">
        <w:rPr>
          <w:sz w:val="24"/>
          <w:szCs w:val="24"/>
        </w:rPr>
        <w:t>Corrugated fire board)</w:t>
      </w:r>
    </w:p>
    <w:p w14:paraId="41DE1141" w14:textId="7F48AFB2" w:rsidR="00CC0FF1" w:rsidRDefault="00CC0FF1" w:rsidP="00FB5C1C">
      <w:pPr>
        <w:pStyle w:val="ListParagraph"/>
        <w:jc w:val="center"/>
        <w:rPr>
          <w:sz w:val="24"/>
          <w:szCs w:val="24"/>
        </w:rPr>
      </w:pPr>
      <w:r>
        <w:rPr>
          <w:sz w:val="24"/>
          <w:szCs w:val="24"/>
        </w:rPr>
        <w:t>↓</w:t>
      </w:r>
    </w:p>
    <w:p w14:paraId="035BDC51" w14:textId="71A758E9" w:rsidR="00CC0FF1" w:rsidRDefault="00CC0FF1" w:rsidP="00CC7361">
      <w:pPr>
        <w:pStyle w:val="ListParagraph"/>
        <w:jc w:val="center"/>
        <w:rPr>
          <w:sz w:val="24"/>
          <w:szCs w:val="24"/>
        </w:rPr>
      </w:pPr>
      <w:r>
        <w:rPr>
          <w:sz w:val="24"/>
          <w:szCs w:val="24"/>
        </w:rPr>
        <w:t>Fro</w:t>
      </w:r>
      <w:r w:rsidR="004249E5">
        <w:rPr>
          <w:sz w:val="24"/>
          <w:szCs w:val="24"/>
        </w:rPr>
        <w:t>zen storage at -18°C</w:t>
      </w:r>
      <w:r w:rsidR="00686027">
        <w:rPr>
          <w:sz w:val="24"/>
          <w:szCs w:val="24"/>
        </w:rPr>
        <w:t xml:space="preserve"> for 4 months</w:t>
      </w:r>
    </w:p>
    <w:p w14:paraId="0F57B58C" w14:textId="77777777" w:rsidR="00FB5C1C" w:rsidRPr="00E4359E" w:rsidRDefault="00FB5C1C" w:rsidP="00FB5C1C">
      <w:pPr>
        <w:pStyle w:val="ListParagraph"/>
        <w:rPr>
          <w:sz w:val="24"/>
          <w:szCs w:val="24"/>
        </w:rPr>
      </w:pPr>
    </w:p>
    <w:p w14:paraId="7AF5DA55" w14:textId="4840D111" w:rsidR="006375D2" w:rsidRPr="00116DE9" w:rsidRDefault="006375D2" w:rsidP="006375D2">
      <w:pPr>
        <w:spacing w:line="360" w:lineRule="auto"/>
        <w:jc w:val="both"/>
        <w:rPr>
          <w:b/>
          <w:bCs/>
          <w:sz w:val="24"/>
          <w:szCs w:val="24"/>
        </w:rPr>
      </w:pPr>
      <w:r w:rsidRPr="00116DE9">
        <w:rPr>
          <w:b/>
          <w:bCs/>
          <w:sz w:val="24"/>
          <w:szCs w:val="24"/>
        </w:rPr>
        <w:t>2.2 Methods of Analysis:</w:t>
      </w:r>
    </w:p>
    <w:p w14:paraId="397A62D5" w14:textId="77777777" w:rsidR="006375D2" w:rsidRPr="00116DE9" w:rsidRDefault="006375D2" w:rsidP="006375D2">
      <w:pPr>
        <w:spacing w:line="360" w:lineRule="auto"/>
        <w:ind w:firstLine="720"/>
        <w:jc w:val="both"/>
        <w:rPr>
          <w:sz w:val="24"/>
          <w:szCs w:val="24"/>
        </w:rPr>
      </w:pPr>
      <w:r w:rsidRPr="00116DE9">
        <w:rPr>
          <w:sz w:val="24"/>
          <w:szCs w:val="24"/>
        </w:rPr>
        <w:t xml:space="preserve">The samples stored were analysed after every 15 days starting on the day of storage. </w:t>
      </w:r>
    </w:p>
    <w:p w14:paraId="356742CA" w14:textId="77777777" w:rsidR="006375D2" w:rsidRPr="00116DE9" w:rsidRDefault="006375D2" w:rsidP="006375D2">
      <w:pPr>
        <w:spacing w:line="360" w:lineRule="auto"/>
        <w:jc w:val="both"/>
        <w:rPr>
          <w:sz w:val="24"/>
          <w:szCs w:val="24"/>
        </w:rPr>
      </w:pPr>
    </w:p>
    <w:p w14:paraId="4657A633" w14:textId="7CC79DB5" w:rsidR="006375D2" w:rsidRPr="00116DE9" w:rsidRDefault="006375D2" w:rsidP="006375D2">
      <w:pPr>
        <w:spacing w:line="360" w:lineRule="auto"/>
        <w:jc w:val="both"/>
        <w:rPr>
          <w:b/>
          <w:bCs/>
          <w:sz w:val="24"/>
          <w:szCs w:val="24"/>
        </w:rPr>
      </w:pPr>
      <w:r w:rsidRPr="00116DE9">
        <w:rPr>
          <w:b/>
          <w:bCs/>
          <w:sz w:val="24"/>
          <w:szCs w:val="24"/>
        </w:rPr>
        <w:t xml:space="preserve">2.3 Drip loss: </w:t>
      </w:r>
    </w:p>
    <w:p w14:paraId="6921C228" w14:textId="77777777" w:rsidR="006375D2" w:rsidRPr="00116DE9" w:rsidRDefault="006375D2" w:rsidP="00834BF3">
      <w:pPr>
        <w:spacing w:before="120" w:line="360" w:lineRule="auto"/>
        <w:ind w:firstLine="720"/>
        <w:jc w:val="both"/>
        <w:rPr>
          <w:sz w:val="24"/>
          <w:szCs w:val="24"/>
        </w:rPr>
      </w:pPr>
      <w:r w:rsidRPr="00116DE9">
        <w:rPr>
          <w:sz w:val="24"/>
          <w:szCs w:val="24"/>
        </w:rPr>
        <w:t>On day 0, samples were weighed separately to get the starting weight (W1). All the specimens were then packed in polyethylene plastic bags, vacuum packed, put in appropriate containers and stored in a chiller at 4 </w:t>
      </w:r>
      <w:r w:rsidRPr="00116DE9">
        <w:rPr>
          <w:sz w:val="24"/>
          <w:szCs w:val="24"/>
          <w:vertAlign w:val="superscript"/>
        </w:rPr>
        <w:t>o</w:t>
      </w:r>
      <w:r w:rsidRPr="00116DE9">
        <w:rPr>
          <w:sz w:val="24"/>
          <w:szCs w:val="24"/>
        </w:rPr>
        <w:t xml:space="preserve">C. After 1 and 7 days of storage, the samples were removed out of the bags and dried by blotting them and weighed once more to obtain the ultimate weight (W2). The difference between the initial and final weights was used as the percentage of drip loss. Drip loss calculated at 1 and 7 days of storage was done by dividing final weight of the sample by the initial weight as explained by Honikel (1998) using the following formula: </w:t>
      </w:r>
    </w:p>
    <w:p w14:paraId="0E8173AF" w14:textId="77777777" w:rsidR="0076065C" w:rsidRPr="00116DE9" w:rsidRDefault="0076065C" w:rsidP="006375D2">
      <w:pPr>
        <w:spacing w:line="360" w:lineRule="auto"/>
        <w:ind w:firstLine="720"/>
        <w:jc w:val="both"/>
        <w:rPr>
          <w:sz w:val="24"/>
          <w:szCs w:val="24"/>
        </w:rPr>
      </w:pPr>
    </w:p>
    <w:p w14:paraId="2A7FD19E" w14:textId="28548383" w:rsidR="00090075" w:rsidRPr="00116DE9" w:rsidRDefault="00FD05A1" w:rsidP="006375D2">
      <w:pPr>
        <w:spacing w:line="360" w:lineRule="auto"/>
        <w:ind w:firstLine="720"/>
        <w:jc w:val="both"/>
        <w:rPr>
          <w:sz w:val="24"/>
          <w:szCs w:val="24"/>
        </w:rPr>
      </w:pPr>
      <m:oMathPara>
        <m:oMathParaPr>
          <m:jc m:val="left"/>
        </m:oMathParaPr>
        <m:oMath>
          <m:r>
            <m:rPr>
              <m:nor/>
            </m:rPr>
            <w:rPr>
              <w:sz w:val="24"/>
              <w:szCs w:val="24"/>
            </w:rPr>
            <m:t xml:space="preserve">Drip loss </m:t>
          </m:r>
          <m:d>
            <m:dPr>
              <m:ctrlPr>
                <w:rPr>
                  <w:rFonts w:ascii="Cambria Math" w:hAnsi="Cambria Math"/>
                  <w:sz w:val="24"/>
                  <w:szCs w:val="24"/>
                </w:rPr>
              </m:ctrlPr>
            </m:dPr>
            <m:e>
              <m:r>
                <m:rPr>
                  <m:nor/>
                </m:rPr>
                <w:rPr>
                  <w:sz w:val="24"/>
                  <w:szCs w:val="24"/>
                </w:rPr>
                <m:t>%</m:t>
              </m:r>
            </m:e>
          </m:d>
          <m:r>
            <m:rPr>
              <m:nor/>
            </m:rPr>
            <w:rPr>
              <w:sz w:val="24"/>
              <w:szCs w:val="24"/>
            </w:rPr>
            <m:t>=</m:t>
          </m:r>
          <m:f>
            <m:fPr>
              <m:ctrlPr>
                <w:rPr>
                  <w:rFonts w:ascii="Cambria Math" w:hAnsi="Cambria Math"/>
                  <w:sz w:val="24"/>
                  <w:szCs w:val="24"/>
                </w:rPr>
              </m:ctrlPr>
            </m:fPr>
            <m:num>
              <m:d>
                <m:dPr>
                  <m:ctrlPr>
                    <w:rPr>
                      <w:rFonts w:ascii="Cambria Math" w:hAnsi="Cambria Math"/>
                      <w:sz w:val="24"/>
                      <w:szCs w:val="24"/>
                    </w:rPr>
                  </m:ctrlPr>
                </m:dPr>
                <m:e>
                  <m:r>
                    <m:rPr>
                      <m:nor/>
                    </m:rPr>
                    <w:rPr>
                      <w:sz w:val="24"/>
                      <w:szCs w:val="24"/>
                    </w:rPr>
                    <m:t>Initial weight- Weight after thawing</m:t>
                  </m:r>
                </m:e>
              </m:d>
            </m:num>
            <m:den>
              <m:r>
                <m:rPr>
                  <m:nor/>
                </m:rPr>
                <w:rPr>
                  <w:sz w:val="24"/>
                  <w:szCs w:val="24"/>
                </w:rPr>
                <m:t>(Initial weight)</m:t>
              </m:r>
            </m:den>
          </m:f>
          <m:r>
            <m:rPr>
              <m:nor/>
            </m:rPr>
            <w:rPr>
              <w:iCs/>
              <w:sz w:val="24"/>
              <w:szCs w:val="24"/>
            </w:rPr>
            <m:t xml:space="preserve"> X </m:t>
          </m:r>
          <m:r>
            <m:rPr>
              <m:nor/>
            </m:rPr>
            <w:rPr>
              <w:sz w:val="24"/>
              <w:szCs w:val="24"/>
            </w:rPr>
            <m:t>100</m:t>
          </m:r>
        </m:oMath>
      </m:oMathPara>
    </w:p>
    <w:p w14:paraId="1DA9332A" w14:textId="77777777" w:rsidR="006375D2" w:rsidRPr="00116DE9" w:rsidRDefault="006375D2" w:rsidP="006375D2">
      <w:pPr>
        <w:spacing w:line="360" w:lineRule="auto"/>
        <w:jc w:val="both"/>
        <w:rPr>
          <w:sz w:val="24"/>
          <w:szCs w:val="24"/>
        </w:rPr>
      </w:pPr>
    </w:p>
    <w:p w14:paraId="38F8F0C4" w14:textId="36EC5401" w:rsidR="006375D2" w:rsidRPr="00116DE9" w:rsidRDefault="006375D2" w:rsidP="006375D2">
      <w:pPr>
        <w:spacing w:line="360" w:lineRule="auto"/>
        <w:jc w:val="both"/>
        <w:rPr>
          <w:b/>
          <w:bCs/>
          <w:sz w:val="24"/>
          <w:szCs w:val="24"/>
        </w:rPr>
      </w:pPr>
      <w:r w:rsidRPr="00116DE9">
        <w:rPr>
          <w:b/>
          <w:bCs/>
          <w:sz w:val="24"/>
          <w:szCs w:val="24"/>
        </w:rPr>
        <w:t>2.4 Statistical Analysis:</w:t>
      </w:r>
    </w:p>
    <w:p w14:paraId="6AF872AE" w14:textId="5E6E677F" w:rsidR="00444842" w:rsidRPr="00116DE9" w:rsidRDefault="006375D2" w:rsidP="006375D2">
      <w:pPr>
        <w:spacing w:line="360" w:lineRule="auto"/>
        <w:ind w:firstLine="720"/>
        <w:jc w:val="both"/>
        <w:rPr>
          <w:sz w:val="24"/>
          <w:szCs w:val="24"/>
        </w:rPr>
      </w:pPr>
      <w:r w:rsidRPr="00116DE9">
        <w:rPr>
          <w:sz w:val="24"/>
          <w:szCs w:val="24"/>
        </w:rPr>
        <w:t xml:space="preserve">Data </w:t>
      </w:r>
      <w:r w:rsidR="00E71D31" w:rsidRPr="00116DE9">
        <w:rPr>
          <w:sz w:val="24"/>
          <w:szCs w:val="24"/>
        </w:rPr>
        <w:t>collected</w:t>
      </w:r>
      <w:r w:rsidRPr="00116DE9">
        <w:rPr>
          <w:sz w:val="24"/>
          <w:szCs w:val="24"/>
        </w:rPr>
        <w:t xml:space="preserve"> was analyzed to determine any significant difference through Analysis of Variance (ANOVA) which was done using MS Excel 2010. The level of statistical significance was measured at the 5 percent (p &lt; 0.05) as per the method described by Panse and Sukhatme (1985). The results of the experiment were further analysed using a Factorial Completely Randomised Design (FCRD).</w:t>
      </w:r>
    </w:p>
    <w:p w14:paraId="28AE20C5" w14:textId="77777777" w:rsidR="0098665D" w:rsidRPr="00116DE9" w:rsidRDefault="0098665D" w:rsidP="0098665D">
      <w:pPr>
        <w:rPr>
          <w:sz w:val="24"/>
          <w:szCs w:val="24"/>
        </w:rPr>
      </w:pPr>
    </w:p>
    <w:p w14:paraId="3B2BF238" w14:textId="431A6425" w:rsidR="0098665D" w:rsidRPr="00116DE9" w:rsidRDefault="0098665D" w:rsidP="0098665D">
      <w:pPr>
        <w:rPr>
          <w:b/>
          <w:bCs/>
          <w:sz w:val="24"/>
          <w:szCs w:val="24"/>
        </w:rPr>
      </w:pPr>
      <w:r w:rsidRPr="00116DE9">
        <w:rPr>
          <w:b/>
          <w:bCs/>
          <w:sz w:val="24"/>
          <w:szCs w:val="24"/>
        </w:rPr>
        <w:t>3. RESULT</w:t>
      </w:r>
    </w:p>
    <w:p w14:paraId="38C7266F" w14:textId="77777777" w:rsidR="00444842" w:rsidRPr="00116DE9" w:rsidRDefault="00444842">
      <w:pPr>
        <w:rPr>
          <w:sz w:val="24"/>
          <w:szCs w:val="24"/>
        </w:rPr>
      </w:pPr>
    </w:p>
    <w:p w14:paraId="093D4203" w14:textId="5B943381" w:rsidR="0098665D" w:rsidRPr="00116DE9" w:rsidRDefault="0098665D" w:rsidP="0098665D">
      <w:pPr>
        <w:spacing w:after="160" w:line="360" w:lineRule="auto"/>
        <w:jc w:val="both"/>
        <w:rPr>
          <w:rFonts w:eastAsia="Times New Roman"/>
          <w:b/>
          <w:sz w:val="24"/>
          <w:szCs w:val="24"/>
        </w:rPr>
      </w:pPr>
      <w:r w:rsidRPr="00116DE9">
        <w:rPr>
          <w:rFonts w:eastAsia="Times New Roman"/>
          <w:b/>
          <w:sz w:val="24"/>
          <w:szCs w:val="24"/>
        </w:rPr>
        <w:t>Table 2: Changes in Drip Loss of Tilapia fillets due to different treatments during                         storage</w:t>
      </w:r>
    </w:p>
    <w:tbl>
      <w:tblPr>
        <w:tblStyle w:val="1"/>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32"/>
        <w:gridCol w:w="833"/>
        <w:gridCol w:w="834"/>
        <w:gridCol w:w="834"/>
        <w:gridCol w:w="841"/>
        <w:gridCol w:w="834"/>
        <w:gridCol w:w="1013"/>
        <w:gridCol w:w="834"/>
        <w:gridCol w:w="1003"/>
        <w:gridCol w:w="931"/>
      </w:tblGrid>
      <w:tr w:rsidR="00BB4351" w:rsidRPr="00116DE9" w14:paraId="7089E452" w14:textId="77777777" w:rsidTr="00350A9A">
        <w:trPr>
          <w:trHeight w:val="247"/>
          <w:jc w:val="center"/>
        </w:trPr>
        <w:tc>
          <w:tcPr>
            <w:tcW w:w="1696" w:type="dxa"/>
            <w:vMerge w:val="restart"/>
            <w:tcBorders>
              <w:top w:val="single" w:sz="4" w:space="0" w:color="000000"/>
              <w:left w:val="single" w:sz="4" w:space="0" w:color="000000"/>
              <w:bottom w:val="single" w:sz="4" w:space="0" w:color="000000"/>
              <w:right w:val="single" w:sz="4" w:space="0" w:color="000000"/>
            </w:tcBorders>
            <w:vAlign w:val="center"/>
          </w:tcPr>
          <w:p w14:paraId="38447682" w14:textId="7D980553"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Treatments</w:t>
            </w:r>
            <w:r w:rsidRPr="00116DE9">
              <w:rPr>
                <w:rFonts w:eastAsia="Times New Roman"/>
                <w:b/>
                <w:sz w:val="24"/>
                <w:szCs w:val="24"/>
                <w:vertAlign w:val="superscript"/>
              </w:rPr>
              <w:t>1</w:t>
            </w:r>
          </w:p>
        </w:tc>
        <w:tc>
          <w:tcPr>
            <w:tcW w:w="7858" w:type="dxa"/>
            <w:gridSpan w:val="9"/>
            <w:tcBorders>
              <w:top w:val="single" w:sz="4" w:space="0" w:color="000000"/>
              <w:left w:val="single" w:sz="4" w:space="0" w:color="000000"/>
              <w:bottom w:val="single" w:sz="4" w:space="0" w:color="000000"/>
              <w:right w:val="single" w:sz="4" w:space="0" w:color="000000"/>
            </w:tcBorders>
          </w:tcPr>
          <w:p w14:paraId="35831FCF" w14:textId="4334593F" w:rsidR="00BB4351" w:rsidRPr="00116DE9" w:rsidRDefault="00BB4351" w:rsidP="00826543">
            <w:pPr>
              <w:spacing w:after="60" w:line="240" w:lineRule="auto"/>
              <w:jc w:val="center"/>
              <w:rPr>
                <w:rFonts w:eastAsia="Times New Roman"/>
                <w:sz w:val="24"/>
                <w:szCs w:val="24"/>
              </w:rPr>
            </w:pPr>
            <w:r w:rsidRPr="00116DE9">
              <w:rPr>
                <w:rFonts w:eastAsia="Times New Roman"/>
                <w:b/>
                <w:sz w:val="24"/>
                <w:szCs w:val="24"/>
              </w:rPr>
              <w:t>DRIP LOSS (%)</w:t>
            </w:r>
          </w:p>
        </w:tc>
        <w:tc>
          <w:tcPr>
            <w:tcW w:w="931" w:type="dxa"/>
            <w:vMerge w:val="restart"/>
            <w:tcBorders>
              <w:top w:val="single" w:sz="4" w:space="0" w:color="000000"/>
              <w:left w:val="single" w:sz="4" w:space="0" w:color="000000"/>
              <w:right w:val="single" w:sz="4" w:space="0" w:color="000000"/>
            </w:tcBorders>
            <w:vAlign w:val="center"/>
          </w:tcPr>
          <w:p w14:paraId="02682617"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Mean</w:t>
            </w:r>
          </w:p>
        </w:tc>
      </w:tr>
      <w:tr w:rsidR="00BB4351" w:rsidRPr="00116DE9" w14:paraId="4194C997" w14:textId="77777777" w:rsidTr="00350A9A">
        <w:trPr>
          <w:trHeight w:val="88"/>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7508FED2" w14:textId="77777777" w:rsidR="00BB4351" w:rsidRPr="00116DE9" w:rsidRDefault="00BB4351" w:rsidP="00826543">
            <w:pPr>
              <w:widowControl w:val="0"/>
              <w:spacing w:after="60" w:line="240" w:lineRule="auto"/>
              <w:rPr>
                <w:rFonts w:eastAsia="Times New Roman"/>
                <w:b/>
                <w:sz w:val="24"/>
                <w:szCs w:val="24"/>
              </w:rPr>
            </w:pPr>
          </w:p>
        </w:tc>
        <w:tc>
          <w:tcPr>
            <w:tcW w:w="7858" w:type="dxa"/>
            <w:gridSpan w:val="9"/>
            <w:tcBorders>
              <w:top w:val="single" w:sz="4" w:space="0" w:color="000000"/>
              <w:left w:val="single" w:sz="4" w:space="0" w:color="000000"/>
              <w:bottom w:val="single" w:sz="4" w:space="0" w:color="000000"/>
              <w:right w:val="single" w:sz="4" w:space="0" w:color="000000"/>
            </w:tcBorders>
          </w:tcPr>
          <w:p w14:paraId="7524B7BF" w14:textId="4A509E14"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Storage period (DAYS)</w:t>
            </w:r>
          </w:p>
        </w:tc>
        <w:tc>
          <w:tcPr>
            <w:tcW w:w="931" w:type="dxa"/>
            <w:vMerge/>
            <w:tcBorders>
              <w:left w:val="single" w:sz="4" w:space="0" w:color="000000"/>
              <w:right w:val="single" w:sz="4" w:space="0" w:color="000000"/>
            </w:tcBorders>
            <w:vAlign w:val="center"/>
          </w:tcPr>
          <w:p w14:paraId="1CAA0529" w14:textId="77777777" w:rsidR="00BB4351" w:rsidRPr="00116DE9" w:rsidRDefault="00BB4351" w:rsidP="00826543">
            <w:pPr>
              <w:widowControl w:val="0"/>
              <w:spacing w:after="60" w:line="240" w:lineRule="auto"/>
              <w:rPr>
                <w:rFonts w:eastAsia="Times New Roman"/>
                <w:b/>
                <w:sz w:val="24"/>
                <w:szCs w:val="24"/>
              </w:rPr>
            </w:pPr>
          </w:p>
        </w:tc>
      </w:tr>
      <w:tr w:rsidR="00BB4351" w:rsidRPr="00116DE9" w14:paraId="6A1425A0" w14:textId="77777777" w:rsidTr="00350A9A">
        <w:trPr>
          <w:trHeight w:val="88"/>
          <w:jc w:val="center"/>
        </w:trPr>
        <w:tc>
          <w:tcPr>
            <w:tcW w:w="1696" w:type="dxa"/>
            <w:vMerge/>
            <w:tcBorders>
              <w:top w:val="single" w:sz="4" w:space="0" w:color="000000"/>
              <w:left w:val="single" w:sz="4" w:space="0" w:color="000000"/>
              <w:bottom w:val="single" w:sz="4" w:space="0" w:color="000000"/>
              <w:right w:val="single" w:sz="4" w:space="0" w:color="000000"/>
            </w:tcBorders>
            <w:vAlign w:val="center"/>
          </w:tcPr>
          <w:p w14:paraId="04067B94" w14:textId="77777777" w:rsidR="00BB4351" w:rsidRPr="00116DE9" w:rsidRDefault="00BB4351" w:rsidP="00826543">
            <w:pPr>
              <w:widowControl w:val="0"/>
              <w:spacing w:after="60" w:line="240" w:lineRule="auto"/>
              <w:rPr>
                <w:rFonts w:eastAsia="Times New Roman"/>
                <w:b/>
                <w:sz w:val="24"/>
                <w:szCs w:val="24"/>
              </w:rPr>
            </w:pPr>
          </w:p>
        </w:tc>
        <w:tc>
          <w:tcPr>
            <w:tcW w:w="832" w:type="dxa"/>
            <w:tcBorders>
              <w:top w:val="single" w:sz="4" w:space="0" w:color="000000"/>
              <w:left w:val="single" w:sz="4" w:space="0" w:color="000000"/>
              <w:bottom w:val="single" w:sz="4" w:space="0" w:color="000000"/>
              <w:right w:val="single" w:sz="4" w:space="0" w:color="000000"/>
            </w:tcBorders>
          </w:tcPr>
          <w:p w14:paraId="07BF8874"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0</w:t>
            </w:r>
          </w:p>
        </w:tc>
        <w:tc>
          <w:tcPr>
            <w:tcW w:w="833" w:type="dxa"/>
            <w:tcBorders>
              <w:top w:val="single" w:sz="4" w:space="0" w:color="000000"/>
              <w:left w:val="single" w:sz="4" w:space="0" w:color="000000"/>
              <w:bottom w:val="single" w:sz="4" w:space="0" w:color="000000"/>
              <w:right w:val="single" w:sz="4" w:space="0" w:color="000000"/>
            </w:tcBorders>
          </w:tcPr>
          <w:p w14:paraId="59E279A5"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15</w:t>
            </w:r>
          </w:p>
        </w:tc>
        <w:tc>
          <w:tcPr>
            <w:tcW w:w="834" w:type="dxa"/>
            <w:tcBorders>
              <w:top w:val="single" w:sz="4" w:space="0" w:color="000000"/>
              <w:left w:val="single" w:sz="4" w:space="0" w:color="000000"/>
              <w:bottom w:val="single" w:sz="4" w:space="0" w:color="000000"/>
              <w:right w:val="single" w:sz="4" w:space="0" w:color="000000"/>
            </w:tcBorders>
          </w:tcPr>
          <w:p w14:paraId="60618EEC"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30</w:t>
            </w:r>
          </w:p>
        </w:tc>
        <w:tc>
          <w:tcPr>
            <w:tcW w:w="834" w:type="dxa"/>
            <w:tcBorders>
              <w:top w:val="single" w:sz="4" w:space="0" w:color="000000"/>
              <w:left w:val="single" w:sz="4" w:space="0" w:color="000000"/>
              <w:bottom w:val="single" w:sz="4" w:space="0" w:color="000000"/>
              <w:right w:val="single" w:sz="4" w:space="0" w:color="000000"/>
            </w:tcBorders>
          </w:tcPr>
          <w:p w14:paraId="19B4E7BA"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45</w:t>
            </w:r>
          </w:p>
        </w:tc>
        <w:tc>
          <w:tcPr>
            <w:tcW w:w="841" w:type="dxa"/>
            <w:tcBorders>
              <w:top w:val="single" w:sz="4" w:space="0" w:color="000000"/>
              <w:left w:val="single" w:sz="4" w:space="0" w:color="000000"/>
              <w:bottom w:val="single" w:sz="4" w:space="0" w:color="000000"/>
              <w:right w:val="single" w:sz="4" w:space="0" w:color="000000"/>
            </w:tcBorders>
          </w:tcPr>
          <w:p w14:paraId="4C2A84F0"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60</w:t>
            </w:r>
          </w:p>
        </w:tc>
        <w:tc>
          <w:tcPr>
            <w:tcW w:w="834" w:type="dxa"/>
            <w:tcBorders>
              <w:top w:val="single" w:sz="4" w:space="0" w:color="000000"/>
              <w:left w:val="single" w:sz="4" w:space="0" w:color="000000"/>
              <w:bottom w:val="single" w:sz="4" w:space="0" w:color="000000"/>
              <w:right w:val="single" w:sz="4" w:space="0" w:color="000000"/>
            </w:tcBorders>
          </w:tcPr>
          <w:p w14:paraId="163AD823"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75</w:t>
            </w:r>
          </w:p>
        </w:tc>
        <w:tc>
          <w:tcPr>
            <w:tcW w:w="1013" w:type="dxa"/>
            <w:tcBorders>
              <w:top w:val="single" w:sz="4" w:space="0" w:color="000000"/>
              <w:left w:val="single" w:sz="4" w:space="0" w:color="000000"/>
              <w:bottom w:val="single" w:sz="4" w:space="0" w:color="000000"/>
              <w:right w:val="single" w:sz="4" w:space="0" w:color="000000"/>
            </w:tcBorders>
          </w:tcPr>
          <w:p w14:paraId="6A826E3C"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90</w:t>
            </w:r>
          </w:p>
        </w:tc>
        <w:tc>
          <w:tcPr>
            <w:tcW w:w="834" w:type="dxa"/>
            <w:tcBorders>
              <w:top w:val="single" w:sz="4" w:space="0" w:color="000000"/>
              <w:left w:val="single" w:sz="4" w:space="0" w:color="000000"/>
              <w:bottom w:val="single" w:sz="4" w:space="0" w:color="000000"/>
              <w:right w:val="single" w:sz="4" w:space="0" w:color="000000"/>
            </w:tcBorders>
          </w:tcPr>
          <w:p w14:paraId="28CBE47E"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105</w:t>
            </w:r>
          </w:p>
        </w:tc>
        <w:tc>
          <w:tcPr>
            <w:tcW w:w="1003" w:type="dxa"/>
            <w:tcBorders>
              <w:top w:val="single" w:sz="4" w:space="0" w:color="000000"/>
              <w:left w:val="single" w:sz="4" w:space="0" w:color="000000"/>
              <w:bottom w:val="single" w:sz="4" w:space="0" w:color="000000"/>
              <w:right w:val="single" w:sz="4" w:space="0" w:color="000000"/>
            </w:tcBorders>
          </w:tcPr>
          <w:p w14:paraId="31097072" w14:textId="77777777" w:rsidR="00BB4351" w:rsidRPr="00116DE9" w:rsidRDefault="00BB4351" w:rsidP="00826543">
            <w:pPr>
              <w:spacing w:after="60" w:line="240" w:lineRule="auto"/>
              <w:jc w:val="center"/>
              <w:rPr>
                <w:rFonts w:eastAsia="Times New Roman"/>
                <w:b/>
                <w:sz w:val="24"/>
                <w:szCs w:val="24"/>
              </w:rPr>
            </w:pPr>
            <w:r w:rsidRPr="00116DE9">
              <w:rPr>
                <w:rFonts w:eastAsia="Times New Roman"/>
                <w:b/>
                <w:sz w:val="24"/>
                <w:szCs w:val="24"/>
              </w:rPr>
              <w:t>120</w:t>
            </w:r>
          </w:p>
        </w:tc>
        <w:tc>
          <w:tcPr>
            <w:tcW w:w="931" w:type="dxa"/>
            <w:tcBorders>
              <w:left w:val="single" w:sz="4" w:space="0" w:color="000000"/>
              <w:bottom w:val="single" w:sz="4" w:space="0" w:color="000000"/>
              <w:right w:val="single" w:sz="4" w:space="0" w:color="000000"/>
            </w:tcBorders>
            <w:vAlign w:val="center"/>
          </w:tcPr>
          <w:p w14:paraId="522B8181" w14:textId="77777777" w:rsidR="00BB4351" w:rsidRPr="00116DE9" w:rsidRDefault="00BB4351" w:rsidP="00826543">
            <w:pPr>
              <w:widowControl w:val="0"/>
              <w:spacing w:after="60" w:line="240" w:lineRule="auto"/>
              <w:rPr>
                <w:rFonts w:eastAsia="Times New Roman"/>
                <w:b/>
                <w:sz w:val="24"/>
                <w:szCs w:val="24"/>
              </w:rPr>
            </w:pPr>
          </w:p>
        </w:tc>
      </w:tr>
      <w:tr w:rsidR="0028218B" w:rsidRPr="00116DE9" w14:paraId="079F2C2B" w14:textId="77777777" w:rsidTr="00350A9A">
        <w:trPr>
          <w:trHeight w:val="265"/>
          <w:jc w:val="center"/>
        </w:trPr>
        <w:tc>
          <w:tcPr>
            <w:tcW w:w="1696" w:type="dxa"/>
            <w:tcBorders>
              <w:top w:val="single" w:sz="4" w:space="0" w:color="000000"/>
              <w:left w:val="single" w:sz="4" w:space="0" w:color="000000"/>
              <w:bottom w:val="single" w:sz="4" w:space="0" w:color="000000"/>
              <w:right w:val="single" w:sz="4" w:space="0" w:color="000000"/>
            </w:tcBorders>
          </w:tcPr>
          <w:p w14:paraId="21F45D51"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T0</w:t>
            </w:r>
          </w:p>
        </w:tc>
        <w:tc>
          <w:tcPr>
            <w:tcW w:w="832" w:type="dxa"/>
            <w:tcBorders>
              <w:top w:val="single" w:sz="4" w:space="0" w:color="000000"/>
              <w:left w:val="single" w:sz="4" w:space="0" w:color="000000"/>
              <w:bottom w:val="single" w:sz="4" w:space="0" w:color="000000"/>
              <w:right w:val="single" w:sz="4" w:space="0" w:color="000000"/>
            </w:tcBorders>
            <w:vAlign w:val="center"/>
          </w:tcPr>
          <w:p w14:paraId="36ACBF5F" w14:textId="77777777" w:rsidR="007D2C3A" w:rsidRPr="00116DE9" w:rsidRDefault="007D2C3A" w:rsidP="00826543">
            <w:pPr>
              <w:spacing w:after="60" w:line="240" w:lineRule="auto"/>
              <w:jc w:val="center"/>
              <w:rPr>
                <w:rFonts w:eastAsia="Times New Roman"/>
                <w:sz w:val="24"/>
                <w:szCs w:val="24"/>
              </w:rPr>
            </w:pPr>
            <w:r w:rsidRPr="00116DE9">
              <w:rPr>
                <w:sz w:val="24"/>
                <w:szCs w:val="24"/>
              </w:rPr>
              <w:t>1.520</w:t>
            </w:r>
          </w:p>
        </w:tc>
        <w:tc>
          <w:tcPr>
            <w:tcW w:w="833" w:type="dxa"/>
            <w:tcBorders>
              <w:top w:val="single" w:sz="4" w:space="0" w:color="000000"/>
              <w:left w:val="single" w:sz="4" w:space="0" w:color="000000"/>
              <w:bottom w:val="single" w:sz="4" w:space="0" w:color="000000"/>
              <w:right w:val="single" w:sz="4" w:space="0" w:color="000000"/>
            </w:tcBorders>
            <w:vAlign w:val="center"/>
          </w:tcPr>
          <w:p w14:paraId="1C367C47" w14:textId="77777777" w:rsidR="007D2C3A" w:rsidRPr="00116DE9" w:rsidRDefault="007D2C3A" w:rsidP="00826543">
            <w:pPr>
              <w:spacing w:after="60" w:line="240" w:lineRule="auto"/>
              <w:jc w:val="center"/>
              <w:rPr>
                <w:rFonts w:eastAsia="Times New Roman"/>
                <w:sz w:val="24"/>
                <w:szCs w:val="24"/>
              </w:rPr>
            </w:pPr>
            <w:r w:rsidRPr="00116DE9">
              <w:rPr>
                <w:sz w:val="24"/>
                <w:szCs w:val="24"/>
              </w:rPr>
              <w:t>1.710</w:t>
            </w:r>
          </w:p>
        </w:tc>
        <w:tc>
          <w:tcPr>
            <w:tcW w:w="834" w:type="dxa"/>
            <w:tcBorders>
              <w:top w:val="single" w:sz="4" w:space="0" w:color="000000"/>
              <w:left w:val="single" w:sz="4" w:space="0" w:color="000000"/>
              <w:bottom w:val="single" w:sz="4" w:space="0" w:color="000000"/>
              <w:right w:val="single" w:sz="4" w:space="0" w:color="000000"/>
            </w:tcBorders>
            <w:vAlign w:val="center"/>
          </w:tcPr>
          <w:p w14:paraId="714A5E52" w14:textId="77777777" w:rsidR="007D2C3A" w:rsidRPr="00116DE9" w:rsidRDefault="007D2C3A" w:rsidP="00826543">
            <w:pPr>
              <w:spacing w:after="60" w:line="240" w:lineRule="auto"/>
              <w:jc w:val="center"/>
              <w:rPr>
                <w:rFonts w:eastAsia="Times New Roman"/>
                <w:sz w:val="24"/>
                <w:szCs w:val="24"/>
              </w:rPr>
            </w:pPr>
            <w:r w:rsidRPr="00116DE9">
              <w:rPr>
                <w:sz w:val="24"/>
                <w:szCs w:val="24"/>
              </w:rPr>
              <w:t>1.550</w:t>
            </w:r>
          </w:p>
        </w:tc>
        <w:tc>
          <w:tcPr>
            <w:tcW w:w="834" w:type="dxa"/>
            <w:tcBorders>
              <w:top w:val="single" w:sz="4" w:space="0" w:color="000000"/>
              <w:left w:val="single" w:sz="4" w:space="0" w:color="000000"/>
              <w:bottom w:val="single" w:sz="4" w:space="0" w:color="000000"/>
              <w:right w:val="single" w:sz="4" w:space="0" w:color="000000"/>
            </w:tcBorders>
            <w:vAlign w:val="center"/>
          </w:tcPr>
          <w:p w14:paraId="4D116846" w14:textId="77777777" w:rsidR="007D2C3A" w:rsidRPr="00116DE9" w:rsidRDefault="007D2C3A" w:rsidP="00826543">
            <w:pPr>
              <w:spacing w:after="60" w:line="240" w:lineRule="auto"/>
              <w:jc w:val="center"/>
              <w:rPr>
                <w:rFonts w:eastAsia="Times New Roman"/>
                <w:sz w:val="24"/>
                <w:szCs w:val="24"/>
              </w:rPr>
            </w:pPr>
            <w:r w:rsidRPr="00116DE9">
              <w:rPr>
                <w:sz w:val="24"/>
                <w:szCs w:val="24"/>
              </w:rPr>
              <w:t>1.550</w:t>
            </w:r>
          </w:p>
        </w:tc>
        <w:tc>
          <w:tcPr>
            <w:tcW w:w="841" w:type="dxa"/>
            <w:tcBorders>
              <w:top w:val="single" w:sz="4" w:space="0" w:color="000000"/>
              <w:left w:val="single" w:sz="4" w:space="0" w:color="000000"/>
              <w:bottom w:val="single" w:sz="4" w:space="0" w:color="000000"/>
              <w:right w:val="single" w:sz="4" w:space="0" w:color="000000"/>
            </w:tcBorders>
            <w:vAlign w:val="center"/>
          </w:tcPr>
          <w:p w14:paraId="2FDA2244" w14:textId="77777777" w:rsidR="007D2C3A" w:rsidRPr="00116DE9" w:rsidRDefault="007D2C3A" w:rsidP="00826543">
            <w:pPr>
              <w:spacing w:after="60" w:line="240" w:lineRule="auto"/>
              <w:jc w:val="center"/>
              <w:rPr>
                <w:rFonts w:eastAsia="Times New Roman"/>
                <w:sz w:val="24"/>
                <w:szCs w:val="24"/>
              </w:rPr>
            </w:pPr>
            <w:r w:rsidRPr="00116DE9">
              <w:rPr>
                <w:sz w:val="24"/>
                <w:szCs w:val="24"/>
              </w:rPr>
              <w:t>1.660</w:t>
            </w:r>
          </w:p>
        </w:tc>
        <w:tc>
          <w:tcPr>
            <w:tcW w:w="834" w:type="dxa"/>
            <w:tcBorders>
              <w:top w:val="single" w:sz="4" w:space="0" w:color="000000"/>
              <w:left w:val="single" w:sz="4" w:space="0" w:color="000000"/>
              <w:bottom w:val="single" w:sz="4" w:space="0" w:color="000000"/>
              <w:right w:val="single" w:sz="4" w:space="0" w:color="000000"/>
            </w:tcBorders>
            <w:vAlign w:val="center"/>
          </w:tcPr>
          <w:p w14:paraId="5E616690" w14:textId="77777777" w:rsidR="007D2C3A" w:rsidRPr="00116DE9" w:rsidRDefault="007D2C3A" w:rsidP="00826543">
            <w:pPr>
              <w:spacing w:after="60" w:line="240" w:lineRule="auto"/>
              <w:jc w:val="center"/>
              <w:rPr>
                <w:rFonts w:eastAsia="Times New Roman"/>
                <w:sz w:val="24"/>
                <w:szCs w:val="24"/>
              </w:rPr>
            </w:pPr>
            <w:r w:rsidRPr="00116DE9">
              <w:rPr>
                <w:sz w:val="24"/>
                <w:szCs w:val="24"/>
              </w:rPr>
              <w:t>1.700</w:t>
            </w:r>
          </w:p>
        </w:tc>
        <w:tc>
          <w:tcPr>
            <w:tcW w:w="1013" w:type="dxa"/>
            <w:tcBorders>
              <w:top w:val="single" w:sz="4" w:space="0" w:color="000000"/>
              <w:left w:val="single" w:sz="4" w:space="0" w:color="000000"/>
              <w:bottom w:val="single" w:sz="4" w:space="0" w:color="000000"/>
              <w:right w:val="single" w:sz="4" w:space="0" w:color="000000"/>
            </w:tcBorders>
            <w:vAlign w:val="center"/>
          </w:tcPr>
          <w:p w14:paraId="59A896AD" w14:textId="77777777" w:rsidR="007D2C3A" w:rsidRPr="00116DE9" w:rsidRDefault="007D2C3A" w:rsidP="00826543">
            <w:pPr>
              <w:spacing w:after="60" w:line="240" w:lineRule="auto"/>
              <w:jc w:val="center"/>
              <w:rPr>
                <w:rFonts w:eastAsia="Times New Roman"/>
                <w:sz w:val="24"/>
                <w:szCs w:val="24"/>
              </w:rPr>
            </w:pPr>
            <w:r w:rsidRPr="00116DE9">
              <w:rPr>
                <w:sz w:val="24"/>
                <w:szCs w:val="24"/>
              </w:rPr>
              <w:t>1.560</w:t>
            </w:r>
          </w:p>
        </w:tc>
        <w:tc>
          <w:tcPr>
            <w:tcW w:w="834" w:type="dxa"/>
            <w:tcBorders>
              <w:top w:val="single" w:sz="4" w:space="0" w:color="000000"/>
              <w:left w:val="single" w:sz="4" w:space="0" w:color="000000"/>
              <w:bottom w:val="single" w:sz="4" w:space="0" w:color="000000"/>
              <w:right w:val="single" w:sz="4" w:space="0" w:color="000000"/>
            </w:tcBorders>
            <w:vAlign w:val="center"/>
          </w:tcPr>
          <w:p w14:paraId="33A9480F" w14:textId="77777777" w:rsidR="007D2C3A" w:rsidRPr="00116DE9" w:rsidRDefault="007D2C3A" w:rsidP="00826543">
            <w:pPr>
              <w:spacing w:after="60" w:line="240" w:lineRule="auto"/>
              <w:jc w:val="center"/>
              <w:rPr>
                <w:rFonts w:eastAsia="Times New Roman"/>
                <w:sz w:val="24"/>
                <w:szCs w:val="24"/>
              </w:rPr>
            </w:pPr>
            <w:r w:rsidRPr="00116DE9">
              <w:rPr>
                <w:sz w:val="24"/>
                <w:szCs w:val="24"/>
              </w:rPr>
              <w:t>1.530</w:t>
            </w:r>
          </w:p>
        </w:tc>
        <w:tc>
          <w:tcPr>
            <w:tcW w:w="1003" w:type="dxa"/>
            <w:tcBorders>
              <w:top w:val="single" w:sz="4" w:space="0" w:color="000000"/>
              <w:left w:val="single" w:sz="4" w:space="0" w:color="000000"/>
              <w:bottom w:val="single" w:sz="4" w:space="0" w:color="000000"/>
              <w:right w:val="single" w:sz="4" w:space="0" w:color="000000"/>
            </w:tcBorders>
            <w:vAlign w:val="center"/>
          </w:tcPr>
          <w:p w14:paraId="003E3FCB" w14:textId="77777777" w:rsidR="007D2C3A" w:rsidRPr="00116DE9" w:rsidRDefault="007D2C3A" w:rsidP="00826543">
            <w:pPr>
              <w:spacing w:after="60" w:line="240" w:lineRule="auto"/>
              <w:jc w:val="center"/>
              <w:rPr>
                <w:rFonts w:eastAsia="Times New Roman"/>
                <w:sz w:val="24"/>
                <w:szCs w:val="24"/>
              </w:rPr>
            </w:pPr>
            <w:r w:rsidRPr="00116DE9">
              <w:rPr>
                <w:sz w:val="24"/>
                <w:szCs w:val="24"/>
              </w:rPr>
              <w:t>1.800</w:t>
            </w:r>
          </w:p>
        </w:tc>
        <w:tc>
          <w:tcPr>
            <w:tcW w:w="931" w:type="dxa"/>
            <w:tcBorders>
              <w:top w:val="single" w:sz="4" w:space="0" w:color="000000"/>
              <w:left w:val="single" w:sz="4" w:space="0" w:color="000000"/>
              <w:bottom w:val="single" w:sz="4" w:space="0" w:color="000000"/>
              <w:right w:val="single" w:sz="4" w:space="0" w:color="000000"/>
            </w:tcBorders>
            <w:vAlign w:val="center"/>
          </w:tcPr>
          <w:p w14:paraId="6F220823"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1.620</w:t>
            </w:r>
          </w:p>
        </w:tc>
      </w:tr>
      <w:tr w:rsidR="0028218B" w:rsidRPr="00116DE9" w14:paraId="4B9C6004" w14:textId="77777777" w:rsidTr="00350A9A">
        <w:trPr>
          <w:trHeight w:val="265"/>
          <w:jc w:val="center"/>
        </w:trPr>
        <w:tc>
          <w:tcPr>
            <w:tcW w:w="1696" w:type="dxa"/>
            <w:tcBorders>
              <w:top w:val="single" w:sz="4" w:space="0" w:color="000000"/>
              <w:left w:val="single" w:sz="4" w:space="0" w:color="000000"/>
              <w:bottom w:val="single" w:sz="4" w:space="0" w:color="000000"/>
              <w:right w:val="single" w:sz="4" w:space="0" w:color="000000"/>
            </w:tcBorders>
          </w:tcPr>
          <w:p w14:paraId="006E1C75"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T1</w:t>
            </w:r>
          </w:p>
        </w:tc>
        <w:tc>
          <w:tcPr>
            <w:tcW w:w="832" w:type="dxa"/>
            <w:tcBorders>
              <w:top w:val="single" w:sz="4" w:space="0" w:color="000000"/>
              <w:left w:val="single" w:sz="4" w:space="0" w:color="000000"/>
              <w:bottom w:val="single" w:sz="4" w:space="0" w:color="000000"/>
              <w:right w:val="single" w:sz="4" w:space="0" w:color="000000"/>
            </w:tcBorders>
            <w:vAlign w:val="center"/>
          </w:tcPr>
          <w:p w14:paraId="1B4655C6" w14:textId="77777777" w:rsidR="007D2C3A" w:rsidRPr="00116DE9" w:rsidRDefault="007D2C3A" w:rsidP="00826543">
            <w:pPr>
              <w:spacing w:after="60" w:line="240" w:lineRule="auto"/>
              <w:jc w:val="center"/>
              <w:rPr>
                <w:rFonts w:eastAsia="Times New Roman"/>
                <w:sz w:val="24"/>
                <w:szCs w:val="24"/>
              </w:rPr>
            </w:pPr>
            <w:r w:rsidRPr="00116DE9">
              <w:rPr>
                <w:sz w:val="24"/>
                <w:szCs w:val="24"/>
              </w:rPr>
              <w:t>2.820</w:t>
            </w:r>
          </w:p>
        </w:tc>
        <w:tc>
          <w:tcPr>
            <w:tcW w:w="833" w:type="dxa"/>
            <w:tcBorders>
              <w:top w:val="single" w:sz="4" w:space="0" w:color="000000"/>
              <w:left w:val="single" w:sz="4" w:space="0" w:color="000000"/>
              <w:bottom w:val="single" w:sz="4" w:space="0" w:color="000000"/>
              <w:right w:val="single" w:sz="4" w:space="0" w:color="000000"/>
            </w:tcBorders>
            <w:vAlign w:val="center"/>
          </w:tcPr>
          <w:p w14:paraId="74555948" w14:textId="77777777" w:rsidR="007D2C3A" w:rsidRPr="00116DE9" w:rsidRDefault="007D2C3A" w:rsidP="00826543">
            <w:pPr>
              <w:spacing w:after="60" w:line="240" w:lineRule="auto"/>
              <w:jc w:val="center"/>
              <w:rPr>
                <w:rFonts w:eastAsia="Times New Roman"/>
                <w:sz w:val="24"/>
                <w:szCs w:val="24"/>
              </w:rPr>
            </w:pPr>
            <w:r w:rsidRPr="00116DE9">
              <w:rPr>
                <w:sz w:val="24"/>
                <w:szCs w:val="24"/>
              </w:rPr>
              <w:t>2.820</w:t>
            </w:r>
          </w:p>
        </w:tc>
        <w:tc>
          <w:tcPr>
            <w:tcW w:w="834" w:type="dxa"/>
            <w:tcBorders>
              <w:top w:val="single" w:sz="4" w:space="0" w:color="000000"/>
              <w:left w:val="single" w:sz="4" w:space="0" w:color="000000"/>
              <w:bottom w:val="single" w:sz="4" w:space="0" w:color="000000"/>
              <w:right w:val="single" w:sz="4" w:space="0" w:color="000000"/>
            </w:tcBorders>
            <w:vAlign w:val="center"/>
          </w:tcPr>
          <w:p w14:paraId="094F0806" w14:textId="77777777" w:rsidR="007D2C3A" w:rsidRPr="00116DE9" w:rsidRDefault="007D2C3A" w:rsidP="00826543">
            <w:pPr>
              <w:spacing w:after="60" w:line="240" w:lineRule="auto"/>
              <w:jc w:val="center"/>
              <w:rPr>
                <w:rFonts w:eastAsia="Times New Roman"/>
                <w:sz w:val="24"/>
                <w:szCs w:val="24"/>
              </w:rPr>
            </w:pPr>
            <w:r w:rsidRPr="00116DE9">
              <w:rPr>
                <w:sz w:val="24"/>
                <w:szCs w:val="24"/>
              </w:rPr>
              <w:t>4.470</w:t>
            </w:r>
          </w:p>
        </w:tc>
        <w:tc>
          <w:tcPr>
            <w:tcW w:w="834" w:type="dxa"/>
            <w:tcBorders>
              <w:top w:val="single" w:sz="4" w:space="0" w:color="000000"/>
              <w:left w:val="single" w:sz="4" w:space="0" w:color="000000"/>
              <w:bottom w:val="single" w:sz="4" w:space="0" w:color="000000"/>
              <w:right w:val="single" w:sz="4" w:space="0" w:color="000000"/>
            </w:tcBorders>
            <w:vAlign w:val="center"/>
          </w:tcPr>
          <w:p w14:paraId="37F3766B" w14:textId="77777777" w:rsidR="007D2C3A" w:rsidRPr="00116DE9" w:rsidRDefault="007D2C3A" w:rsidP="00826543">
            <w:pPr>
              <w:spacing w:after="60" w:line="240" w:lineRule="auto"/>
              <w:jc w:val="center"/>
              <w:rPr>
                <w:rFonts w:eastAsia="Times New Roman"/>
                <w:sz w:val="24"/>
                <w:szCs w:val="24"/>
              </w:rPr>
            </w:pPr>
            <w:r w:rsidRPr="00116DE9">
              <w:rPr>
                <w:sz w:val="24"/>
                <w:szCs w:val="24"/>
              </w:rPr>
              <w:t>6.120</w:t>
            </w:r>
          </w:p>
        </w:tc>
        <w:tc>
          <w:tcPr>
            <w:tcW w:w="841" w:type="dxa"/>
            <w:tcBorders>
              <w:top w:val="single" w:sz="4" w:space="0" w:color="000000"/>
              <w:left w:val="single" w:sz="4" w:space="0" w:color="000000"/>
              <w:bottom w:val="single" w:sz="4" w:space="0" w:color="000000"/>
              <w:right w:val="single" w:sz="4" w:space="0" w:color="000000"/>
            </w:tcBorders>
            <w:vAlign w:val="center"/>
          </w:tcPr>
          <w:p w14:paraId="1212AF1B" w14:textId="77777777" w:rsidR="007D2C3A" w:rsidRPr="00116DE9" w:rsidRDefault="007D2C3A" w:rsidP="00826543">
            <w:pPr>
              <w:spacing w:after="60" w:line="240" w:lineRule="auto"/>
              <w:jc w:val="center"/>
              <w:rPr>
                <w:rFonts w:eastAsia="Times New Roman"/>
                <w:sz w:val="24"/>
                <w:szCs w:val="24"/>
              </w:rPr>
            </w:pPr>
            <w:r w:rsidRPr="00116DE9">
              <w:rPr>
                <w:sz w:val="24"/>
                <w:szCs w:val="24"/>
              </w:rPr>
              <w:t>6.230</w:t>
            </w:r>
          </w:p>
        </w:tc>
        <w:tc>
          <w:tcPr>
            <w:tcW w:w="834" w:type="dxa"/>
            <w:tcBorders>
              <w:top w:val="single" w:sz="4" w:space="0" w:color="000000"/>
              <w:left w:val="single" w:sz="4" w:space="0" w:color="000000"/>
              <w:bottom w:val="single" w:sz="4" w:space="0" w:color="000000"/>
              <w:right w:val="single" w:sz="4" w:space="0" w:color="000000"/>
            </w:tcBorders>
            <w:vAlign w:val="center"/>
          </w:tcPr>
          <w:p w14:paraId="71D4562E" w14:textId="77777777" w:rsidR="007D2C3A" w:rsidRPr="00116DE9" w:rsidRDefault="007D2C3A" w:rsidP="00826543">
            <w:pPr>
              <w:spacing w:after="60" w:line="240" w:lineRule="auto"/>
              <w:jc w:val="center"/>
              <w:rPr>
                <w:rFonts w:eastAsia="Times New Roman"/>
                <w:sz w:val="24"/>
                <w:szCs w:val="24"/>
              </w:rPr>
            </w:pPr>
            <w:r w:rsidRPr="00116DE9">
              <w:rPr>
                <w:sz w:val="24"/>
                <w:szCs w:val="24"/>
              </w:rPr>
              <w:t>6.140</w:t>
            </w:r>
          </w:p>
        </w:tc>
        <w:tc>
          <w:tcPr>
            <w:tcW w:w="1013" w:type="dxa"/>
            <w:tcBorders>
              <w:top w:val="single" w:sz="4" w:space="0" w:color="000000"/>
              <w:left w:val="single" w:sz="4" w:space="0" w:color="000000"/>
              <w:bottom w:val="single" w:sz="4" w:space="0" w:color="000000"/>
              <w:right w:val="single" w:sz="4" w:space="0" w:color="000000"/>
            </w:tcBorders>
            <w:vAlign w:val="center"/>
          </w:tcPr>
          <w:p w14:paraId="79FB0577" w14:textId="77777777" w:rsidR="007D2C3A" w:rsidRPr="00116DE9" w:rsidRDefault="007D2C3A" w:rsidP="00826543">
            <w:pPr>
              <w:spacing w:after="60" w:line="240" w:lineRule="auto"/>
              <w:jc w:val="center"/>
              <w:rPr>
                <w:rFonts w:eastAsia="Times New Roman"/>
                <w:sz w:val="24"/>
                <w:szCs w:val="24"/>
              </w:rPr>
            </w:pPr>
            <w:r w:rsidRPr="00116DE9">
              <w:rPr>
                <w:sz w:val="24"/>
                <w:szCs w:val="24"/>
              </w:rPr>
              <w:t>6.270</w:t>
            </w:r>
          </w:p>
        </w:tc>
        <w:tc>
          <w:tcPr>
            <w:tcW w:w="834" w:type="dxa"/>
            <w:tcBorders>
              <w:top w:val="single" w:sz="4" w:space="0" w:color="000000"/>
              <w:left w:val="single" w:sz="4" w:space="0" w:color="000000"/>
              <w:bottom w:val="single" w:sz="4" w:space="0" w:color="000000"/>
              <w:right w:val="single" w:sz="4" w:space="0" w:color="000000"/>
            </w:tcBorders>
            <w:vAlign w:val="center"/>
          </w:tcPr>
          <w:p w14:paraId="2E0D8FA8" w14:textId="77777777" w:rsidR="007D2C3A" w:rsidRPr="00116DE9" w:rsidRDefault="007D2C3A" w:rsidP="00826543">
            <w:pPr>
              <w:spacing w:after="60" w:line="240" w:lineRule="auto"/>
              <w:jc w:val="center"/>
              <w:rPr>
                <w:rFonts w:eastAsia="Times New Roman"/>
                <w:sz w:val="24"/>
                <w:szCs w:val="24"/>
              </w:rPr>
            </w:pPr>
            <w:r w:rsidRPr="00116DE9">
              <w:rPr>
                <w:sz w:val="24"/>
                <w:szCs w:val="24"/>
              </w:rPr>
              <w:t>6.230</w:t>
            </w:r>
          </w:p>
        </w:tc>
        <w:tc>
          <w:tcPr>
            <w:tcW w:w="1003" w:type="dxa"/>
            <w:tcBorders>
              <w:top w:val="single" w:sz="4" w:space="0" w:color="000000"/>
              <w:left w:val="single" w:sz="4" w:space="0" w:color="000000"/>
              <w:bottom w:val="single" w:sz="4" w:space="0" w:color="000000"/>
              <w:right w:val="single" w:sz="4" w:space="0" w:color="000000"/>
            </w:tcBorders>
            <w:vAlign w:val="center"/>
          </w:tcPr>
          <w:p w14:paraId="594CE963" w14:textId="77777777" w:rsidR="007D2C3A" w:rsidRPr="00116DE9" w:rsidRDefault="007D2C3A" w:rsidP="00826543">
            <w:pPr>
              <w:spacing w:after="60" w:line="240" w:lineRule="auto"/>
              <w:jc w:val="center"/>
              <w:rPr>
                <w:rFonts w:eastAsia="Times New Roman"/>
                <w:sz w:val="24"/>
                <w:szCs w:val="24"/>
              </w:rPr>
            </w:pPr>
            <w:r w:rsidRPr="00116DE9">
              <w:rPr>
                <w:sz w:val="24"/>
                <w:szCs w:val="24"/>
              </w:rPr>
              <w:t>6.050</w:t>
            </w:r>
          </w:p>
        </w:tc>
        <w:tc>
          <w:tcPr>
            <w:tcW w:w="931" w:type="dxa"/>
            <w:tcBorders>
              <w:top w:val="single" w:sz="4" w:space="0" w:color="000000"/>
              <w:left w:val="single" w:sz="4" w:space="0" w:color="000000"/>
              <w:bottom w:val="single" w:sz="4" w:space="0" w:color="000000"/>
              <w:right w:val="single" w:sz="4" w:space="0" w:color="000000"/>
            </w:tcBorders>
            <w:vAlign w:val="center"/>
          </w:tcPr>
          <w:p w14:paraId="76A24E22"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5.239</w:t>
            </w:r>
          </w:p>
        </w:tc>
      </w:tr>
      <w:tr w:rsidR="0028218B" w:rsidRPr="00116DE9" w14:paraId="72A3DC1A" w14:textId="77777777" w:rsidTr="000861BF">
        <w:trPr>
          <w:trHeight w:val="315"/>
          <w:jc w:val="center"/>
        </w:trPr>
        <w:tc>
          <w:tcPr>
            <w:tcW w:w="1696" w:type="dxa"/>
            <w:tcBorders>
              <w:top w:val="single" w:sz="4" w:space="0" w:color="000000"/>
              <w:left w:val="single" w:sz="4" w:space="0" w:color="000000"/>
              <w:bottom w:val="single" w:sz="4" w:space="0" w:color="000000"/>
              <w:right w:val="single" w:sz="4" w:space="0" w:color="000000"/>
            </w:tcBorders>
          </w:tcPr>
          <w:p w14:paraId="491C686C"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T2</w:t>
            </w:r>
          </w:p>
        </w:tc>
        <w:tc>
          <w:tcPr>
            <w:tcW w:w="832" w:type="dxa"/>
            <w:tcBorders>
              <w:top w:val="single" w:sz="4" w:space="0" w:color="000000"/>
              <w:left w:val="single" w:sz="4" w:space="0" w:color="000000"/>
              <w:bottom w:val="single" w:sz="4" w:space="0" w:color="000000"/>
              <w:right w:val="single" w:sz="4" w:space="0" w:color="000000"/>
            </w:tcBorders>
            <w:vAlign w:val="center"/>
          </w:tcPr>
          <w:p w14:paraId="61DED172" w14:textId="77777777" w:rsidR="007D2C3A" w:rsidRPr="00116DE9" w:rsidRDefault="007D2C3A" w:rsidP="00826543">
            <w:pPr>
              <w:spacing w:after="60" w:line="240" w:lineRule="auto"/>
              <w:jc w:val="center"/>
              <w:rPr>
                <w:rFonts w:eastAsia="Times New Roman"/>
                <w:sz w:val="24"/>
                <w:szCs w:val="24"/>
              </w:rPr>
            </w:pPr>
            <w:r w:rsidRPr="00116DE9">
              <w:rPr>
                <w:sz w:val="24"/>
                <w:szCs w:val="24"/>
              </w:rPr>
              <w:t>3.040</w:t>
            </w:r>
          </w:p>
        </w:tc>
        <w:tc>
          <w:tcPr>
            <w:tcW w:w="833" w:type="dxa"/>
            <w:tcBorders>
              <w:top w:val="single" w:sz="4" w:space="0" w:color="000000"/>
              <w:left w:val="single" w:sz="4" w:space="0" w:color="000000"/>
              <w:bottom w:val="single" w:sz="4" w:space="0" w:color="000000"/>
              <w:right w:val="single" w:sz="4" w:space="0" w:color="000000"/>
            </w:tcBorders>
            <w:vAlign w:val="center"/>
          </w:tcPr>
          <w:p w14:paraId="3C15F6EE" w14:textId="77777777" w:rsidR="007D2C3A" w:rsidRPr="00116DE9" w:rsidRDefault="007D2C3A" w:rsidP="00826543">
            <w:pPr>
              <w:spacing w:after="60" w:line="240" w:lineRule="auto"/>
              <w:jc w:val="center"/>
              <w:rPr>
                <w:rFonts w:eastAsia="Times New Roman"/>
                <w:sz w:val="24"/>
                <w:szCs w:val="24"/>
              </w:rPr>
            </w:pPr>
            <w:r w:rsidRPr="00116DE9">
              <w:rPr>
                <w:sz w:val="24"/>
                <w:szCs w:val="24"/>
              </w:rPr>
              <w:t>4.440</w:t>
            </w:r>
          </w:p>
        </w:tc>
        <w:tc>
          <w:tcPr>
            <w:tcW w:w="834" w:type="dxa"/>
            <w:tcBorders>
              <w:top w:val="single" w:sz="4" w:space="0" w:color="000000"/>
              <w:left w:val="single" w:sz="4" w:space="0" w:color="000000"/>
              <w:bottom w:val="single" w:sz="4" w:space="0" w:color="000000"/>
              <w:right w:val="single" w:sz="4" w:space="0" w:color="000000"/>
            </w:tcBorders>
            <w:vAlign w:val="center"/>
          </w:tcPr>
          <w:p w14:paraId="31AECD3F" w14:textId="77777777" w:rsidR="007D2C3A" w:rsidRPr="00116DE9" w:rsidRDefault="007D2C3A" w:rsidP="00826543">
            <w:pPr>
              <w:spacing w:after="60" w:line="240" w:lineRule="auto"/>
              <w:jc w:val="center"/>
              <w:rPr>
                <w:rFonts w:eastAsia="Times New Roman"/>
                <w:sz w:val="24"/>
                <w:szCs w:val="24"/>
              </w:rPr>
            </w:pPr>
            <w:r w:rsidRPr="00116DE9">
              <w:rPr>
                <w:sz w:val="24"/>
                <w:szCs w:val="24"/>
              </w:rPr>
              <w:t>5.250</w:t>
            </w:r>
          </w:p>
        </w:tc>
        <w:tc>
          <w:tcPr>
            <w:tcW w:w="834" w:type="dxa"/>
            <w:tcBorders>
              <w:top w:val="single" w:sz="4" w:space="0" w:color="000000"/>
              <w:left w:val="single" w:sz="4" w:space="0" w:color="000000"/>
              <w:bottom w:val="single" w:sz="4" w:space="0" w:color="000000"/>
              <w:right w:val="single" w:sz="4" w:space="0" w:color="000000"/>
            </w:tcBorders>
            <w:vAlign w:val="center"/>
          </w:tcPr>
          <w:p w14:paraId="1A04B9FD" w14:textId="77777777" w:rsidR="007D2C3A" w:rsidRPr="00116DE9" w:rsidRDefault="007D2C3A" w:rsidP="00826543">
            <w:pPr>
              <w:spacing w:after="60" w:line="240" w:lineRule="auto"/>
              <w:jc w:val="center"/>
              <w:rPr>
                <w:rFonts w:eastAsia="Times New Roman"/>
                <w:sz w:val="24"/>
                <w:szCs w:val="24"/>
              </w:rPr>
            </w:pPr>
            <w:r w:rsidRPr="00116DE9">
              <w:rPr>
                <w:sz w:val="24"/>
                <w:szCs w:val="24"/>
              </w:rPr>
              <w:t>8.350</w:t>
            </w:r>
          </w:p>
        </w:tc>
        <w:tc>
          <w:tcPr>
            <w:tcW w:w="841" w:type="dxa"/>
            <w:tcBorders>
              <w:top w:val="single" w:sz="4" w:space="0" w:color="000000"/>
              <w:left w:val="single" w:sz="4" w:space="0" w:color="000000"/>
              <w:bottom w:val="single" w:sz="4" w:space="0" w:color="000000"/>
              <w:right w:val="single" w:sz="4" w:space="0" w:color="000000"/>
            </w:tcBorders>
            <w:vAlign w:val="center"/>
          </w:tcPr>
          <w:p w14:paraId="425FD90E" w14:textId="77777777" w:rsidR="007D2C3A" w:rsidRPr="00116DE9" w:rsidRDefault="007D2C3A" w:rsidP="00826543">
            <w:pPr>
              <w:spacing w:after="60" w:line="240" w:lineRule="auto"/>
              <w:jc w:val="center"/>
              <w:rPr>
                <w:rFonts w:eastAsia="Times New Roman"/>
                <w:sz w:val="24"/>
                <w:szCs w:val="24"/>
              </w:rPr>
            </w:pPr>
            <w:r w:rsidRPr="00116DE9">
              <w:rPr>
                <w:sz w:val="24"/>
                <w:szCs w:val="24"/>
              </w:rPr>
              <w:t>8.580</w:t>
            </w:r>
          </w:p>
        </w:tc>
        <w:tc>
          <w:tcPr>
            <w:tcW w:w="834" w:type="dxa"/>
            <w:tcBorders>
              <w:top w:val="single" w:sz="4" w:space="0" w:color="000000"/>
              <w:left w:val="single" w:sz="4" w:space="0" w:color="000000"/>
              <w:bottom w:val="single" w:sz="4" w:space="0" w:color="000000"/>
              <w:right w:val="single" w:sz="4" w:space="0" w:color="000000"/>
            </w:tcBorders>
            <w:vAlign w:val="center"/>
          </w:tcPr>
          <w:p w14:paraId="7216C620" w14:textId="77777777" w:rsidR="007D2C3A" w:rsidRPr="00116DE9" w:rsidRDefault="007D2C3A" w:rsidP="00826543">
            <w:pPr>
              <w:spacing w:after="60" w:line="240" w:lineRule="auto"/>
              <w:jc w:val="center"/>
              <w:rPr>
                <w:rFonts w:eastAsia="Times New Roman"/>
                <w:sz w:val="24"/>
                <w:szCs w:val="24"/>
              </w:rPr>
            </w:pPr>
            <w:r w:rsidRPr="00116DE9">
              <w:rPr>
                <w:sz w:val="24"/>
                <w:szCs w:val="24"/>
              </w:rPr>
              <w:t>9.130</w:t>
            </w:r>
          </w:p>
        </w:tc>
        <w:tc>
          <w:tcPr>
            <w:tcW w:w="1013" w:type="dxa"/>
            <w:tcBorders>
              <w:top w:val="single" w:sz="4" w:space="0" w:color="000000"/>
              <w:left w:val="single" w:sz="4" w:space="0" w:color="000000"/>
              <w:bottom w:val="single" w:sz="4" w:space="0" w:color="000000"/>
              <w:right w:val="single" w:sz="4" w:space="0" w:color="000000"/>
            </w:tcBorders>
            <w:vAlign w:val="center"/>
          </w:tcPr>
          <w:p w14:paraId="6EBBA3DF" w14:textId="77777777" w:rsidR="007D2C3A" w:rsidRPr="00116DE9" w:rsidRDefault="007D2C3A" w:rsidP="00826543">
            <w:pPr>
              <w:spacing w:after="60" w:line="240" w:lineRule="auto"/>
              <w:jc w:val="center"/>
              <w:rPr>
                <w:rFonts w:eastAsia="Times New Roman"/>
                <w:sz w:val="24"/>
                <w:szCs w:val="24"/>
              </w:rPr>
            </w:pPr>
            <w:r w:rsidRPr="00116DE9">
              <w:rPr>
                <w:sz w:val="24"/>
                <w:szCs w:val="24"/>
              </w:rPr>
              <w:t>10.900</w:t>
            </w:r>
          </w:p>
        </w:tc>
        <w:tc>
          <w:tcPr>
            <w:tcW w:w="834" w:type="dxa"/>
            <w:tcBorders>
              <w:top w:val="single" w:sz="4" w:space="0" w:color="000000"/>
              <w:left w:val="single" w:sz="4" w:space="0" w:color="000000"/>
              <w:bottom w:val="single" w:sz="4" w:space="0" w:color="000000"/>
              <w:right w:val="single" w:sz="4" w:space="0" w:color="000000"/>
            </w:tcBorders>
            <w:vAlign w:val="center"/>
          </w:tcPr>
          <w:p w14:paraId="2F8A91BB" w14:textId="77777777" w:rsidR="007D2C3A" w:rsidRPr="00116DE9" w:rsidRDefault="007D2C3A" w:rsidP="00826543">
            <w:pPr>
              <w:spacing w:after="60" w:line="240" w:lineRule="auto"/>
              <w:jc w:val="center"/>
              <w:rPr>
                <w:rFonts w:eastAsia="Times New Roman"/>
                <w:sz w:val="24"/>
                <w:szCs w:val="24"/>
              </w:rPr>
            </w:pPr>
            <w:r w:rsidRPr="00116DE9">
              <w:rPr>
                <w:sz w:val="24"/>
                <w:szCs w:val="24"/>
              </w:rPr>
              <w:t>9.940</w:t>
            </w:r>
          </w:p>
        </w:tc>
        <w:tc>
          <w:tcPr>
            <w:tcW w:w="1003" w:type="dxa"/>
            <w:tcBorders>
              <w:top w:val="single" w:sz="4" w:space="0" w:color="000000"/>
              <w:left w:val="single" w:sz="4" w:space="0" w:color="000000"/>
              <w:bottom w:val="single" w:sz="4" w:space="0" w:color="000000"/>
              <w:right w:val="single" w:sz="4" w:space="0" w:color="000000"/>
            </w:tcBorders>
            <w:vAlign w:val="center"/>
          </w:tcPr>
          <w:p w14:paraId="7205862D" w14:textId="77777777" w:rsidR="007D2C3A" w:rsidRPr="00116DE9" w:rsidRDefault="007D2C3A" w:rsidP="00826543">
            <w:pPr>
              <w:spacing w:after="60" w:line="240" w:lineRule="auto"/>
              <w:jc w:val="center"/>
              <w:rPr>
                <w:rFonts w:eastAsia="Times New Roman"/>
                <w:sz w:val="24"/>
                <w:szCs w:val="24"/>
              </w:rPr>
            </w:pPr>
            <w:r w:rsidRPr="00116DE9">
              <w:rPr>
                <w:sz w:val="24"/>
                <w:szCs w:val="24"/>
              </w:rPr>
              <w:t>10.150</w:t>
            </w:r>
          </w:p>
        </w:tc>
        <w:tc>
          <w:tcPr>
            <w:tcW w:w="931" w:type="dxa"/>
            <w:tcBorders>
              <w:top w:val="single" w:sz="4" w:space="0" w:color="000000"/>
              <w:left w:val="single" w:sz="4" w:space="0" w:color="000000"/>
              <w:bottom w:val="single" w:sz="4" w:space="0" w:color="000000"/>
              <w:right w:val="single" w:sz="4" w:space="0" w:color="000000"/>
            </w:tcBorders>
            <w:vAlign w:val="center"/>
          </w:tcPr>
          <w:p w14:paraId="58F964FB"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7.753</w:t>
            </w:r>
          </w:p>
        </w:tc>
      </w:tr>
      <w:tr w:rsidR="0028218B" w:rsidRPr="00116DE9" w14:paraId="1C213C09" w14:textId="77777777" w:rsidTr="00350A9A">
        <w:trPr>
          <w:trHeight w:val="265"/>
          <w:jc w:val="center"/>
        </w:trPr>
        <w:tc>
          <w:tcPr>
            <w:tcW w:w="1696" w:type="dxa"/>
            <w:tcBorders>
              <w:top w:val="single" w:sz="4" w:space="0" w:color="000000"/>
              <w:left w:val="single" w:sz="4" w:space="0" w:color="000000"/>
              <w:bottom w:val="single" w:sz="4" w:space="0" w:color="000000"/>
              <w:right w:val="single" w:sz="4" w:space="0" w:color="000000"/>
            </w:tcBorders>
          </w:tcPr>
          <w:p w14:paraId="133FD95E"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T3</w:t>
            </w:r>
          </w:p>
        </w:tc>
        <w:tc>
          <w:tcPr>
            <w:tcW w:w="832" w:type="dxa"/>
            <w:tcBorders>
              <w:top w:val="single" w:sz="4" w:space="0" w:color="000000"/>
              <w:left w:val="single" w:sz="4" w:space="0" w:color="000000"/>
              <w:bottom w:val="single" w:sz="4" w:space="0" w:color="000000"/>
              <w:right w:val="single" w:sz="4" w:space="0" w:color="000000"/>
            </w:tcBorders>
            <w:vAlign w:val="center"/>
          </w:tcPr>
          <w:p w14:paraId="1382B1CF" w14:textId="77777777" w:rsidR="007D2C3A" w:rsidRPr="00116DE9" w:rsidRDefault="007D2C3A" w:rsidP="00826543">
            <w:pPr>
              <w:spacing w:after="60" w:line="240" w:lineRule="auto"/>
              <w:jc w:val="center"/>
              <w:rPr>
                <w:rFonts w:eastAsia="Times New Roman"/>
                <w:sz w:val="24"/>
                <w:szCs w:val="24"/>
              </w:rPr>
            </w:pPr>
            <w:r w:rsidRPr="00116DE9">
              <w:rPr>
                <w:sz w:val="24"/>
                <w:szCs w:val="24"/>
              </w:rPr>
              <w:t>1.320</w:t>
            </w:r>
          </w:p>
        </w:tc>
        <w:tc>
          <w:tcPr>
            <w:tcW w:w="833" w:type="dxa"/>
            <w:tcBorders>
              <w:top w:val="single" w:sz="4" w:space="0" w:color="000000"/>
              <w:left w:val="single" w:sz="4" w:space="0" w:color="000000"/>
              <w:bottom w:val="single" w:sz="4" w:space="0" w:color="000000"/>
              <w:right w:val="single" w:sz="4" w:space="0" w:color="000000"/>
            </w:tcBorders>
            <w:vAlign w:val="center"/>
          </w:tcPr>
          <w:p w14:paraId="17EC10B1" w14:textId="77777777" w:rsidR="007D2C3A" w:rsidRPr="00116DE9" w:rsidRDefault="007D2C3A" w:rsidP="00826543">
            <w:pPr>
              <w:spacing w:after="60" w:line="240" w:lineRule="auto"/>
              <w:jc w:val="center"/>
              <w:rPr>
                <w:rFonts w:eastAsia="Times New Roman"/>
                <w:sz w:val="24"/>
                <w:szCs w:val="24"/>
              </w:rPr>
            </w:pPr>
            <w:r w:rsidRPr="00116DE9">
              <w:rPr>
                <w:sz w:val="24"/>
                <w:szCs w:val="24"/>
              </w:rPr>
              <w:t>1.480</w:t>
            </w:r>
          </w:p>
        </w:tc>
        <w:tc>
          <w:tcPr>
            <w:tcW w:w="834" w:type="dxa"/>
            <w:tcBorders>
              <w:top w:val="single" w:sz="4" w:space="0" w:color="000000"/>
              <w:left w:val="single" w:sz="4" w:space="0" w:color="000000"/>
              <w:bottom w:val="single" w:sz="4" w:space="0" w:color="000000"/>
              <w:right w:val="single" w:sz="4" w:space="0" w:color="000000"/>
            </w:tcBorders>
            <w:vAlign w:val="center"/>
          </w:tcPr>
          <w:p w14:paraId="56491C82" w14:textId="77777777" w:rsidR="007D2C3A" w:rsidRPr="00116DE9" w:rsidRDefault="007D2C3A" w:rsidP="00826543">
            <w:pPr>
              <w:spacing w:after="60" w:line="240" w:lineRule="auto"/>
              <w:jc w:val="center"/>
              <w:rPr>
                <w:rFonts w:eastAsia="Times New Roman"/>
                <w:sz w:val="24"/>
                <w:szCs w:val="24"/>
              </w:rPr>
            </w:pPr>
            <w:r w:rsidRPr="00116DE9">
              <w:rPr>
                <w:sz w:val="24"/>
                <w:szCs w:val="24"/>
              </w:rPr>
              <w:t>1.560</w:t>
            </w:r>
          </w:p>
        </w:tc>
        <w:tc>
          <w:tcPr>
            <w:tcW w:w="834" w:type="dxa"/>
            <w:tcBorders>
              <w:top w:val="single" w:sz="4" w:space="0" w:color="000000"/>
              <w:left w:val="single" w:sz="4" w:space="0" w:color="000000"/>
              <w:bottom w:val="single" w:sz="4" w:space="0" w:color="000000"/>
              <w:right w:val="single" w:sz="4" w:space="0" w:color="000000"/>
            </w:tcBorders>
            <w:vAlign w:val="center"/>
          </w:tcPr>
          <w:p w14:paraId="4DD788A2" w14:textId="77777777" w:rsidR="007D2C3A" w:rsidRPr="00116DE9" w:rsidRDefault="007D2C3A" w:rsidP="00826543">
            <w:pPr>
              <w:spacing w:after="60" w:line="240" w:lineRule="auto"/>
              <w:jc w:val="center"/>
              <w:rPr>
                <w:rFonts w:eastAsia="Times New Roman"/>
                <w:sz w:val="24"/>
                <w:szCs w:val="24"/>
              </w:rPr>
            </w:pPr>
            <w:r w:rsidRPr="00116DE9">
              <w:rPr>
                <w:sz w:val="24"/>
                <w:szCs w:val="24"/>
              </w:rPr>
              <w:t>1.380</w:t>
            </w:r>
          </w:p>
        </w:tc>
        <w:tc>
          <w:tcPr>
            <w:tcW w:w="841" w:type="dxa"/>
            <w:tcBorders>
              <w:top w:val="single" w:sz="4" w:space="0" w:color="000000"/>
              <w:left w:val="single" w:sz="4" w:space="0" w:color="000000"/>
              <w:bottom w:val="single" w:sz="4" w:space="0" w:color="000000"/>
              <w:right w:val="single" w:sz="4" w:space="0" w:color="000000"/>
            </w:tcBorders>
            <w:vAlign w:val="center"/>
          </w:tcPr>
          <w:p w14:paraId="60A18DC9" w14:textId="77777777" w:rsidR="007D2C3A" w:rsidRPr="00116DE9" w:rsidRDefault="007D2C3A" w:rsidP="00826543">
            <w:pPr>
              <w:spacing w:after="60" w:line="240" w:lineRule="auto"/>
              <w:jc w:val="center"/>
              <w:rPr>
                <w:rFonts w:eastAsia="Times New Roman"/>
                <w:sz w:val="24"/>
                <w:szCs w:val="24"/>
              </w:rPr>
            </w:pPr>
            <w:r w:rsidRPr="00116DE9">
              <w:rPr>
                <w:sz w:val="24"/>
                <w:szCs w:val="24"/>
              </w:rPr>
              <w:t>1.670</w:t>
            </w:r>
          </w:p>
        </w:tc>
        <w:tc>
          <w:tcPr>
            <w:tcW w:w="834" w:type="dxa"/>
            <w:tcBorders>
              <w:top w:val="single" w:sz="4" w:space="0" w:color="000000"/>
              <w:left w:val="single" w:sz="4" w:space="0" w:color="000000"/>
              <w:bottom w:val="single" w:sz="4" w:space="0" w:color="000000"/>
              <w:right w:val="single" w:sz="4" w:space="0" w:color="000000"/>
            </w:tcBorders>
            <w:vAlign w:val="center"/>
          </w:tcPr>
          <w:p w14:paraId="30C9372E" w14:textId="77777777" w:rsidR="007D2C3A" w:rsidRPr="00116DE9" w:rsidRDefault="007D2C3A" w:rsidP="00826543">
            <w:pPr>
              <w:spacing w:after="60" w:line="240" w:lineRule="auto"/>
              <w:jc w:val="center"/>
              <w:rPr>
                <w:rFonts w:eastAsia="Times New Roman"/>
                <w:sz w:val="24"/>
                <w:szCs w:val="24"/>
              </w:rPr>
            </w:pPr>
            <w:r w:rsidRPr="00116DE9">
              <w:rPr>
                <w:sz w:val="24"/>
                <w:szCs w:val="24"/>
              </w:rPr>
              <w:t>1.390</w:t>
            </w:r>
          </w:p>
        </w:tc>
        <w:tc>
          <w:tcPr>
            <w:tcW w:w="1013" w:type="dxa"/>
            <w:tcBorders>
              <w:top w:val="single" w:sz="4" w:space="0" w:color="000000"/>
              <w:left w:val="single" w:sz="4" w:space="0" w:color="000000"/>
              <w:bottom w:val="single" w:sz="4" w:space="0" w:color="000000"/>
              <w:right w:val="single" w:sz="4" w:space="0" w:color="000000"/>
            </w:tcBorders>
            <w:vAlign w:val="center"/>
          </w:tcPr>
          <w:p w14:paraId="3256AD6A" w14:textId="77777777" w:rsidR="007D2C3A" w:rsidRPr="00116DE9" w:rsidRDefault="007D2C3A" w:rsidP="00826543">
            <w:pPr>
              <w:spacing w:after="60" w:line="240" w:lineRule="auto"/>
              <w:jc w:val="center"/>
              <w:rPr>
                <w:rFonts w:eastAsia="Times New Roman"/>
                <w:sz w:val="24"/>
                <w:szCs w:val="24"/>
              </w:rPr>
            </w:pPr>
            <w:r w:rsidRPr="00116DE9">
              <w:rPr>
                <w:sz w:val="24"/>
                <w:szCs w:val="24"/>
              </w:rPr>
              <w:t>1.270</w:t>
            </w:r>
          </w:p>
        </w:tc>
        <w:tc>
          <w:tcPr>
            <w:tcW w:w="834" w:type="dxa"/>
            <w:tcBorders>
              <w:top w:val="single" w:sz="4" w:space="0" w:color="000000"/>
              <w:left w:val="single" w:sz="4" w:space="0" w:color="000000"/>
              <w:bottom w:val="single" w:sz="4" w:space="0" w:color="000000"/>
              <w:right w:val="single" w:sz="4" w:space="0" w:color="000000"/>
            </w:tcBorders>
            <w:vAlign w:val="center"/>
          </w:tcPr>
          <w:p w14:paraId="42477CD8" w14:textId="77777777" w:rsidR="007D2C3A" w:rsidRPr="00116DE9" w:rsidRDefault="007D2C3A" w:rsidP="00826543">
            <w:pPr>
              <w:spacing w:after="60" w:line="240" w:lineRule="auto"/>
              <w:jc w:val="center"/>
              <w:rPr>
                <w:rFonts w:eastAsia="Times New Roman"/>
                <w:sz w:val="24"/>
                <w:szCs w:val="24"/>
              </w:rPr>
            </w:pPr>
            <w:r w:rsidRPr="00116DE9">
              <w:rPr>
                <w:sz w:val="24"/>
                <w:szCs w:val="24"/>
              </w:rPr>
              <w:t>1.250</w:t>
            </w:r>
          </w:p>
        </w:tc>
        <w:tc>
          <w:tcPr>
            <w:tcW w:w="1003" w:type="dxa"/>
            <w:tcBorders>
              <w:top w:val="single" w:sz="4" w:space="0" w:color="000000"/>
              <w:left w:val="single" w:sz="4" w:space="0" w:color="000000"/>
              <w:bottom w:val="single" w:sz="4" w:space="0" w:color="000000"/>
              <w:right w:val="single" w:sz="4" w:space="0" w:color="000000"/>
            </w:tcBorders>
            <w:vAlign w:val="center"/>
          </w:tcPr>
          <w:p w14:paraId="4B8D534B" w14:textId="77777777" w:rsidR="007D2C3A" w:rsidRPr="00116DE9" w:rsidRDefault="007D2C3A" w:rsidP="00826543">
            <w:pPr>
              <w:spacing w:after="60" w:line="240" w:lineRule="auto"/>
              <w:jc w:val="center"/>
              <w:rPr>
                <w:rFonts w:eastAsia="Times New Roman"/>
                <w:sz w:val="24"/>
                <w:szCs w:val="24"/>
              </w:rPr>
            </w:pPr>
            <w:r w:rsidRPr="00116DE9">
              <w:rPr>
                <w:sz w:val="24"/>
                <w:szCs w:val="24"/>
              </w:rPr>
              <w:t>1.350</w:t>
            </w:r>
          </w:p>
        </w:tc>
        <w:tc>
          <w:tcPr>
            <w:tcW w:w="931" w:type="dxa"/>
            <w:tcBorders>
              <w:top w:val="single" w:sz="4" w:space="0" w:color="000000"/>
              <w:left w:val="single" w:sz="4" w:space="0" w:color="000000"/>
              <w:bottom w:val="single" w:sz="4" w:space="0" w:color="000000"/>
              <w:right w:val="single" w:sz="4" w:space="0" w:color="000000"/>
            </w:tcBorders>
            <w:vAlign w:val="center"/>
          </w:tcPr>
          <w:p w14:paraId="07C14282"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1.408</w:t>
            </w:r>
          </w:p>
        </w:tc>
      </w:tr>
      <w:tr w:rsidR="0028218B" w:rsidRPr="00116DE9" w14:paraId="6AA62ECE" w14:textId="77777777" w:rsidTr="00350A9A">
        <w:trPr>
          <w:trHeight w:val="265"/>
          <w:jc w:val="center"/>
        </w:trPr>
        <w:tc>
          <w:tcPr>
            <w:tcW w:w="1696" w:type="dxa"/>
            <w:tcBorders>
              <w:top w:val="single" w:sz="4" w:space="0" w:color="000000"/>
              <w:left w:val="single" w:sz="4" w:space="0" w:color="000000"/>
              <w:bottom w:val="single" w:sz="4" w:space="0" w:color="000000"/>
              <w:right w:val="single" w:sz="4" w:space="0" w:color="000000"/>
            </w:tcBorders>
          </w:tcPr>
          <w:p w14:paraId="4208F1B2"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Mean</w:t>
            </w:r>
          </w:p>
        </w:tc>
        <w:tc>
          <w:tcPr>
            <w:tcW w:w="832" w:type="dxa"/>
            <w:tcBorders>
              <w:top w:val="single" w:sz="4" w:space="0" w:color="000000"/>
              <w:left w:val="single" w:sz="4" w:space="0" w:color="000000"/>
              <w:bottom w:val="single" w:sz="4" w:space="0" w:color="000000"/>
              <w:right w:val="single" w:sz="4" w:space="0" w:color="000000"/>
            </w:tcBorders>
            <w:vAlign w:val="center"/>
          </w:tcPr>
          <w:p w14:paraId="6C2D1DFE"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2.175</w:t>
            </w:r>
          </w:p>
        </w:tc>
        <w:tc>
          <w:tcPr>
            <w:tcW w:w="833" w:type="dxa"/>
            <w:tcBorders>
              <w:top w:val="single" w:sz="4" w:space="0" w:color="000000"/>
              <w:left w:val="single" w:sz="4" w:space="0" w:color="000000"/>
              <w:bottom w:val="single" w:sz="4" w:space="0" w:color="000000"/>
              <w:right w:val="single" w:sz="4" w:space="0" w:color="000000"/>
            </w:tcBorders>
            <w:vAlign w:val="center"/>
          </w:tcPr>
          <w:p w14:paraId="19E47B6F"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2.613</w:t>
            </w:r>
          </w:p>
        </w:tc>
        <w:tc>
          <w:tcPr>
            <w:tcW w:w="834" w:type="dxa"/>
            <w:tcBorders>
              <w:top w:val="single" w:sz="4" w:space="0" w:color="000000"/>
              <w:left w:val="single" w:sz="4" w:space="0" w:color="000000"/>
              <w:bottom w:val="single" w:sz="4" w:space="0" w:color="000000"/>
              <w:right w:val="single" w:sz="4" w:space="0" w:color="000000"/>
            </w:tcBorders>
            <w:vAlign w:val="center"/>
          </w:tcPr>
          <w:p w14:paraId="6D600300"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3.208</w:t>
            </w:r>
          </w:p>
        </w:tc>
        <w:tc>
          <w:tcPr>
            <w:tcW w:w="834" w:type="dxa"/>
            <w:tcBorders>
              <w:top w:val="single" w:sz="4" w:space="0" w:color="000000"/>
              <w:left w:val="single" w:sz="4" w:space="0" w:color="000000"/>
              <w:bottom w:val="single" w:sz="4" w:space="0" w:color="000000"/>
              <w:right w:val="single" w:sz="4" w:space="0" w:color="000000"/>
            </w:tcBorders>
            <w:vAlign w:val="center"/>
          </w:tcPr>
          <w:p w14:paraId="17600140"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4.350</w:t>
            </w:r>
          </w:p>
        </w:tc>
        <w:tc>
          <w:tcPr>
            <w:tcW w:w="841" w:type="dxa"/>
            <w:tcBorders>
              <w:top w:val="single" w:sz="4" w:space="0" w:color="000000"/>
              <w:left w:val="single" w:sz="4" w:space="0" w:color="000000"/>
              <w:bottom w:val="single" w:sz="4" w:space="0" w:color="000000"/>
              <w:right w:val="single" w:sz="4" w:space="0" w:color="000000"/>
            </w:tcBorders>
            <w:vAlign w:val="center"/>
          </w:tcPr>
          <w:p w14:paraId="591CBD9B"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4.535</w:t>
            </w:r>
          </w:p>
        </w:tc>
        <w:tc>
          <w:tcPr>
            <w:tcW w:w="834" w:type="dxa"/>
            <w:tcBorders>
              <w:top w:val="single" w:sz="4" w:space="0" w:color="000000"/>
              <w:left w:val="single" w:sz="4" w:space="0" w:color="000000"/>
              <w:bottom w:val="single" w:sz="4" w:space="0" w:color="000000"/>
              <w:right w:val="single" w:sz="4" w:space="0" w:color="000000"/>
            </w:tcBorders>
            <w:vAlign w:val="center"/>
          </w:tcPr>
          <w:p w14:paraId="3EA2B67B"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4.590</w:t>
            </w:r>
          </w:p>
        </w:tc>
        <w:tc>
          <w:tcPr>
            <w:tcW w:w="1013" w:type="dxa"/>
            <w:tcBorders>
              <w:top w:val="single" w:sz="4" w:space="0" w:color="000000"/>
              <w:left w:val="single" w:sz="4" w:space="0" w:color="000000"/>
              <w:bottom w:val="single" w:sz="4" w:space="0" w:color="000000"/>
              <w:right w:val="single" w:sz="4" w:space="0" w:color="000000"/>
            </w:tcBorders>
            <w:vAlign w:val="center"/>
          </w:tcPr>
          <w:p w14:paraId="033F57FE"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5.000</w:t>
            </w:r>
          </w:p>
        </w:tc>
        <w:tc>
          <w:tcPr>
            <w:tcW w:w="834" w:type="dxa"/>
            <w:tcBorders>
              <w:top w:val="single" w:sz="4" w:space="0" w:color="000000"/>
              <w:left w:val="single" w:sz="4" w:space="0" w:color="000000"/>
              <w:bottom w:val="single" w:sz="4" w:space="0" w:color="000000"/>
              <w:right w:val="single" w:sz="4" w:space="0" w:color="000000"/>
            </w:tcBorders>
            <w:vAlign w:val="center"/>
          </w:tcPr>
          <w:p w14:paraId="301F4D71"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4.738</w:t>
            </w:r>
          </w:p>
        </w:tc>
        <w:tc>
          <w:tcPr>
            <w:tcW w:w="1003" w:type="dxa"/>
            <w:tcBorders>
              <w:top w:val="single" w:sz="4" w:space="0" w:color="000000"/>
              <w:left w:val="single" w:sz="4" w:space="0" w:color="000000"/>
              <w:bottom w:val="single" w:sz="4" w:space="0" w:color="000000"/>
              <w:right w:val="single" w:sz="4" w:space="0" w:color="000000"/>
            </w:tcBorders>
            <w:vAlign w:val="center"/>
          </w:tcPr>
          <w:p w14:paraId="3BEABB4D" w14:textId="77777777" w:rsidR="007D2C3A" w:rsidRPr="00116DE9" w:rsidRDefault="007D2C3A" w:rsidP="00826543">
            <w:pPr>
              <w:spacing w:after="60" w:line="240" w:lineRule="auto"/>
              <w:jc w:val="center"/>
              <w:rPr>
                <w:rFonts w:eastAsia="Times New Roman"/>
                <w:b/>
                <w:bCs/>
                <w:sz w:val="24"/>
                <w:szCs w:val="24"/>
              </w:rPr>
            </w:pPr>
            <w:r w:rsidRPr="00116DE9">
              <w:rPr>
                <w:b/>
                <w:bCs/>
                <w:sz w:val="24"/>
                <w:szCs w:val="24"/>
              </w:rPr>
              <w:t>4.838</w:t>
            </w:r>
          </w:p>
        </w:tc>
        <w:tc>
          <w:tcPr>
            <w:tcW w:w="931" w:type="dxa"/>
            <w:tcBorders>
              <w:top w:val="single" w:sz="4" w:space="0" w:color="000000"/>
              <w:left w:val="single" w:sz="4" w:space="0" w:color="000000"/>
              <w:bottom w:val="single" w:sz="4" w:space="0" w:color="000000"/>
              <w:right w:val="single" w:sz="4" w:space="0" w:color="000000"/>
            </w:tcBorders>
          </w:tcPr>
          <w:p w14:paraId="37203BE2" w14:textId="77777777" w:rsidR="007D2C3A" w:rsidRPr="00116DE9" w:rsidRDefault="007D2C3A" w:rsidP="00826543">
            <w:pPr>
              <w:spacing w:after="60" w:line="240" w:lineRule="auto"/>
              <w:jc w:val="center"/>
              <w:rPr>
                <w:rFonts w:eastAsia="Times New Roman"/>
                <w:sz w:val="24"/>
                <w:szCs w:val="24"/>
              </w:rPr>
            </w:pPr>
          </w:p>
        </w:tc>
      </w:tr>
      <w:tr w:rsidR="007D2C3A" w:rsidRPr="00116DE9" w14:paraId="78866F4B" w14:textId="77777777" w:rsidTr="00350A9A">
        <w:trPr>
          <w:trHeight w:val="247"/>
          <w:jc w:val="center"/>
        </w:trPr>
        <w:tc>
          <w:tcPr>
            <w:tcW w:w="1696" w:type="dxa"/>
            <w:tcBorders>
              <w:top w:val="single" w:sz="4" w:space="0" w:color="000000"/>
              <w:left w:val="single" w:sz="4" w:space="0" w:color="000000"/>
              <w:bottom w:val="single" w:sz="4" w:space="0" w:color="000000"/>
              <w:right w:val="single" w:sz="4" w:space="0" w:color="000000"/>
            </w:tcBorders>
          </w:tcPr>
          <w:p w14:paraId="045E8FA6" w14:textId="77777777" w:rsidR="007D2C3A" w:rsidRPr="00116DE9" w:rsidRDefault="007D2C3A" w:rsidP="00826543">
            <w:pPr>
              <w:spacing w:after="60" w:line="240" w:lineRule="auto"/>
              <w:jc w:val="center"/>
              <w:rPr>
                <w:rFonts w:eastAsia="Times New Roman"/>
                <w:b/>
                <w:sz w:val="24"/>
                <w:szCs w:val="24"/>
              </w:rPr>
            </w:pPr>
          </w:p>
        </w:tc>
        <w:tc>
          <w:tcPr>
            <w:tcW w:w="4174" w:type="dxa"/>
            <w:gridSpan w:val="5"/>
            <w:tcBorders>
              <w:top w:val="single" w:sz="4" w:space="0" w:color="000000"/>
              <w:left w:val="single" w:sz="4" w:space="0" w:color="000000"/>
              <w:bottom w:val="single" w:sz="4" w:space="0" w:color="000000"/>
              <w:right w:val="single" w:sz="4" w:space="0" w:color="000000"/>
            </w:tcBorders>
          </w:tcPr>
          <w:p w14:paraId="3AB97B9E"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SEM ±</w:t>
            </w:r>
          </w:p>
        </w:tc>
        <w:tc>
          <w:tcPr>
            <w:tcW w:w="1847" w:type="dxa"/>
            <w:gridSpan w:val="2"/>
            <w:tcBorders>
              <w:top w:val="single" w:sz="4" w:space="0" w:color="000000"/>
              <w:left w:val="single" w:sz="4" w:space="0" w:color="000000"/>
              <w:bottom w:val="single" w:sz="4" w:space="0" w:color="000000"/>
              <w:right w:val="nil"/>
            </w:tcBorders>
          </w:tcPr>
          <w:p w14:paraId="78C82B98"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CD at 5%</w:t>
            </w:r>
          </w:p>
        </w:tc>
        <w:tc>
          <w:tcPr>
            <w:tcW w:w="2768" w:type="dxa"/>
            <w:gridSpan w:val="3"/>
            <w:tcBorders>
              <w:top w:val="single" w:sz="4" w:space="0" w:color="000000"/>
              <w:left w:val="nil"/>
              <w:bottom w:val="single" w:sz="4" w:space="0" w:color="000000"/>
              <w:right w:val="single" w:sz="4" w:space="0" w:color="000000"/>
            </w:tcBorders>
          </w:tcPr>
          <w:p w14:paraId="323D6633" w14:textId="77777777" w:rsidR="007D2C3A" w:rsidRPr="00116DE9" w:rsidRDefault="007D2C3A" w:rsidP="00826543">
            <w:pPr>
              <w:spacing w:after="60" w:line="240" w:lineRule="auto"/>
              <w:jc w:val="center"/>
              <w:rPr>
                <w:rFonts w:eastAsia="Times New Roman"/>
                <w:sz w:val="24"/>
                <w:szCs w:val="24"/>
              </w:rPr>
            </w:pPr>
          </w:p>
        </w:tc>
      </w:tr>
      <w:tr w:rsidR="007D2C3A" w:rsidRPr="00116DE9" w14:paraId="042D220E" w14:textId="77777777" w:rsidTr="00350A9A">
        <w:trPr>
          <w:trHeight w:val="175"/>
          <w:jc w:val="center"/>
        </w:trPr>
        <w:tc>
          <w:tcPr>
            <w:tcW w:w="1696" w:type="dxa"/>
            <w:tcBorders>
              <w:top w:val="single" w:sz="4" w:space="0" w:color="000000"/>
              <w:left w:val="single" w:sz="4" w:space="0" w:color="000000"/>
              <w:bottom w:val="single" w:sz="4" w:space="0" w:color="000000"/>
              <w:right w:val="single" w:sz="4" w:space="0" w:color="000000"/>
            </w:tcBorders>
          </w:tcPr>
          <w:p w14:paraId="586875FF"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lastRenderedPageBreak/>
              <w:t>Treatment (T)</w:t>
            </w:r>
          </w:p>
        </w:tc>
        <w:tc>
          <w:tcPr>
            <w:tcW w:w="4174" w:type="dxa"/>
            <w:gridSpan w:val="5"/>
            <w:tcBorders>
              <w:top w:val="single" w:sz="4" w:space="0" w:color="000000"/>
              <w:left w:val="single" w:sz="4" w:space="0" w:color="000000"/>
              <w:bottom w:val="single" w:sz="4" w:space="0" w:color="000000"/>
              <w:right w:val="single" w:sz="4" w:space="0" w:color="000000"/>
            </w:tcBorders>
            <w:vAlign w:val="center"/>
          </w:tcPr>
          <w:p w14:paraId="3A83AB40" w14:textId="77777777" w:rsidR="007D2C3A" w:rsidRPr="00116DE9" w:rsidRDefault="007D2C3A" w:rsidP="00826543">
            <w:pPr>
              <w:spacing w:after="60" w:line="240" w:lineRule="auto"/>
              <w:jc w:val="center"/>
              <w:rPr>
                <w:rFonts w:eastAsia="Times New Roman"/>
                <w:sz w:val="24"/>
                <w:szCs w:val="24"/>
              </w:rPr>
            </w:pPr>
            <w:r w:rsidRPr="00116DE9">
              <w:rPr>
                <w:rFonts w:eastAsia="Times New Roman"/>
                <w:sz w:val="24"/>
                <w:szCs w:val="24"/>
              </w:rPr>
              <w:t>0.006</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684D9A80" w14:textId="77777777" w:rsidR="007D2C3A" w:rsidRPr="00116DE9" w:rsidRDefault="007D2C3A" w:rsidP="00826543">
            <w:pPr>
              <w:spacing w:after="60" w:line="240" w:lineRule="auto"/>
              <w:jc w:val="center"/>
              <w:rPr>
                <w:rFonts w:eastAsia="Times New Roman"/>
                <w:sz w:val="24"/>
                <w:szCs w:val="24"/>
              </w:rPr>
            </w:pPr>
            <w:r w:rsidRPr="00116DE9">
              <w:rPr>
                <w:rFonts w:eastAsia="Times New Roman"/>
                <w:sz w:val="24"/>
                <w:szCs w:val="24"/>
              </w:rPr>
              <w:t>0.016</w:t>
            </w:r>
          </w:p>
        </w:tc>
      </w:tr>
      <w:tr w:rsidR="007D2C3A" w:rsidRPr="00116DE9" w14:paraId="7923924A" w14:textId="77777777" w:rsidTr="00350A9A">
        <w:trPr>
          <w:trHeight w:val="211"/>
          <w:jc w:val="center"/>
        </w:trPr>
        <w:tc>
          <w:tcPr>
            <w:tcW w:w="1696" w:type="dxa"/>
            <w:tcBorders>
              <w:top w:val="single" w:sz="4" w:space="0" w:color="000000"/>
              <w:left w:val="single" w:sz="4" w:space="0" w:color="000000"/>
              <w:bottom w:val="single" w:sz="4" w:space="0" w:color="000000"/>
              <w:right w:val="single" w:sz="4" w:space="0" w:color="000000"/>
            </w:tcBorders>
          </w:tcPr>
          <w:p w14:paraId="528028BC"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Storage (S)</w:t>
            </w:r>
          </w:p>
        </w:tc>
        <w:tc>
          <w:tcPr>
            <w:tcW w:w="4174" w:type="dxa"/>
            <w:gridSpan w:val="5"/>
            <w:tcBorders>
              <w:top w:val="single" w:sz="4" w:space="0" w:color="000000"/>
              <w:left w:val="single" w:sz="4" w:space="0" w:color="000000"/>
              <w:bottom w:val="single" w:sz="4" w:space="0" w:color="000000"/>
              <w:right w:val="single" w:sz="4" w:space="0" w:color="000000"/>
            </w:tcBorders>
            <w:vAlign w:val="center"/>
          </w:tcPr>
          <w:p w14:paraId="19A7903D" w14:textId="77777777" w:rsidR="007D2C3A" w:rsidRPr="00116DE9" w:rsidRDefault="007D2C3A" w:rsidP="00826543">
            <w:pPr>
              <w:spacing w:after="60" w:line="240" w:lineRule="auto"/>
              <w:jc w:val="center"/>
              <w:rPr>
                <w:rFonts w:eastAsia="Times New Roman"/>
                <w:sz w:val="24"/>
                <w:szCs w:val="24"/>
              </w:rPr>
            </w:pPr>
            <w:r w:rsidRPr="00116DE9">
              <w:rPr>
                <w:rFonts w:eastAsia="Times New Roman"/>
                <w:sz w:val="24"/>
                <w:szCs w:val="24"/>
              </w:rPr>
              <w:t>0.009</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4C5522C4" w14:textId="77777777" w:rsidR="007D2C3A" w:rsidRPr="00116DE9" w:rsidRDefault="007D2C3A" w:rsidP="00826543">
            <w:pPr>
              <w:spacing w:after="60" w:line="240" w:lineRule="auto"/>
              <w:jc w:val="center"/>
              <w:rPr>
                <w:rFonts w:eastAsia="Times New Roman"/>
                <w:sz w:val="24"/>
                <w:szCs w:val="24"/>
              </w:rPr>
            </w:pPr>
            <w:r w:rsidRPr="00116DE9">
              <w:rPr>
                <w:rFonts w:eastAsia="Times New Roman"/>
                <w:sz w:val="24"/>
                <w:szCs w:val="24"/>
              </w:rPr>
              <w:t>0.024</w:t>
            </w:r>
          </w:p>
        </w:tc>
      </w:tr>
      <w:tr w:rsidR="007D2C3A" w:rsidRPr="00116DE9" w14:paraId="0BC28D21" w14:textId="77777777" w:rsidTr="00350A9A">
        <w:trPr>
          <w:trHeight w:val="34"/>
          <w:jc w:val="center"/>
        </w:trPr>
        <w:tc>
          <w:tcPr>
            <w:tcW w:w="1696" w:type="dxa"/>
            <w:tcBorders>
              <w:top w:val="single" w:sz="4" w:space="0" w:color="000000"/>
              <w:left w:val="single" w:sz="4" w:space="0" w:color="000000"/>
              <w:bottom w:val="single" w:sz="4" w:space="0" w:color="000000"/>
              <w:right w:val="single" w:sz="4" w:space="0" w:color="000000"/>
            </w:tcBorders>
          </w:tcPr>
          <w:p w14:paraId="64B01FF6" w14:textId="77777777" w:rsidR="007D2C3A" w:rsidRPr="00116DE9" w:rsidRDefault="007D2C3A" w:rsidP="00826543">
            <w:pPr>
              <w:spacing w:after="60" w:line="240" w:lineRule="auto"/>
              <w:jc w:val="center"/>
              <w:rPr>
                <w:rFonts w:eastAsia="Times New Roman"/>
                <w:b/>
                <w:sz w:val="24"/>
                <w:szCs w:val="24"/>
              </w:rPr>
            </w:pPr>
            <w:r w:rsidRPr="00116DE9">
              <w:rPr>
                <w:rFonts w:eastAsia="Times New Roman"/>
                <w:b/>
                <w:sz w:val="24"/>
                <w:szCs w:val="24"/>
              </w:rPr>
              <w:t>Interaction (TxS)</w:t>
            </w:r>
          </w:p>
        </w:tc>
        <w:tc>
          <w:tcPr>
            <w:tcW w:w="4174" w:type="dxa"/>
            <w:gridSpan w:val="5"/>
            <w:tcBorders>
              <w:top w:val="single" w:sz="4" w:space="0" w:color="000000"/>
              <w:left w:val="single" w:sz="4" w:space="0" w:color="000000"/>
              <w:bottom w:val="single" w:sz="4" w:space="0" w:color="000000"/>
              <w:right w:val="single" w:sz="4" w:space="0" w:color="000000"/>
            </w:tcBorders>
            <w:vAlign w:val="center"/>
          </w:tcPr>
          <w:p w14:paraId="53C6FC9A" w14:textId="77777777" w:rsidR="007D2C3A" w:rsidRPr="00116DE9" w:rsidRDefault="007D2C3A" w:rsidP="00826543">
            <w:pPr>
              <w:spacing w:after="60" w:line="240" w:lineRule="auto"/>
              <w:jc w:val="center"/>
              <w:rPr>
                <w:rFonts w:eastAsia="Times New Roman"/>
                <w:sz w:val="24"/>
                <w:szCs w:val="24"/>
              </w:rPr>
            </w:pPr>
            <w:r w:rsidRPr="00116DE9">
              <w:rPr>
                <w:rFonts w:eastAsia="Times New Roman"/>
                <w:sz w:val="24"/>
                <w:szCs w:val="24"/>
              </w:rPr>
              <w:t>0.017</w:t>
            </w:r>
          </w:p>
        </w:tc>
        <w:tc>
          <w:tcPr>
            <w:tcW w:w="4615" w:type="dxa"/>
            <w:gridSpan w:val="5"/>
            <w:tcBorders>
              <w:top w:val="single" w:sz="4" w:space="0" w:color="000000"/>
              <w:left w:val="single" w:sz="4" w:space="0" w:color="000000"/>
              <w:bottom w:val="single" w:sz="4" w:space="0" w:color="000000"/>
              <w:right w:val="single" w:sz="4" w:space="0" w:color="000000"/>
            </w:tcBorders>
            <w:vAlign w:val="center"/>
          </w:tcPr>
          <w:p w14:paraId="03205DFE" w14:textId="17B36E87" w:rsidR="007D2C3A" w:rsidRPr="00116DE9" w:rsidRDefault="007D2C3A" w:rsidP="00826543">
            <w:pPr>
              <w:widowControl w:val="0"/>
              <w:spacing w:after="60" w:line="240" w:lineRule="auto"/>
              <w:jc w:val="center"/>
              <w:rPr>
                <w:rFonts w:eastAsia="Times New Roman"/>
                <w:sz w:val="24"/>
                <w:szCs w:val="24"/>
              </w:rPr>
            </w:pPr>
            <w:r w:rsidRPr="00116DE9">
              <w:rPr>
                <w:rFonts w:eastAsia="Times New Roman"/>
                <w:sz w:val="24"/>
                <w:szCs w:val="24"/>
              </w:rPr>
              <w:t>0.048</w:t>
            </w:r>
          </w:p>
        </w:tc>
      </w:tr>
    </w:tbl>
    <w:p w14:paraId="2EAB03AE" w14:textId="77777777" w:rsidR="008B6524" w:rsidRPr="00116DE9" w:rsidRDefault="008B6524" w:rsidP="007313AC">
      <w:pPr>
        <w:ind w:left="33" w:right="37"/>
        <w:jc w:val="both"/>
        <w:rPr>
          <w:rFonts w:eastAsia="Times New Roman"/>
          <w:b/>
          <w:bCs/>
          <w:sz w:val="20"/>
          <w:szCs w:val="20"/>
        </w:rPr>
      </w:pPr>
    </w:p>
    <w:p w14:paraId="36969C0E" w14:textId="338AE7D2" w:rsidR="007313AC" w:rsidRPr="00116DE9" w:rsidRDefault="008B6524" w:rsidP="007313AC">
      <w:pPr>
        <w:ind w:left="33" w:right="37"/>
        <w:jc w:val="both"/>
        <w:rPr>
          <w:rFonts w:eastAsia="Times New Roman"/>
          <w:sz w:val="20"/>
          <w:szCs w:val="20"/>
        </w:rPr>
      </w:pPr>
      <w:r w:rsidRPr="00116DE9">
        <w:rPr>
          <w:rFonts w:eastAsia="Times New Roman"/>
          <w:b/>
          <w:bCs/>
          <w:sz w:val="20"/>
          <w:szCs w:val="20"/>
          <w:vertAlign w:val="superscript"/>
        </w:rPr>
        <w:t>1</w:t>
      </w:r>
      <w:r w:rsidRPr="00116DE9">
        <w:rPr>
          <w:rFonts w:eastAsia="Times New Roman"/>
          <w:b/>
          <w:sz w:val="20"/>
          <w:szCs w:val="20"/>
        </w:rPr>
        <w:t>Treatments:</w:t>
      </w:r>
      <w:r w:rsidR="007313AC" w:rsidRPr="00116DE9">
        <w:rPr>
          <w:rFonts w:eastAsia="Times New Roman"/>
          <w:b/>
          <w:bCs/>
          <w:sz w:val="20"/>
          <w:szCs w:val="20"/>
        </w:rPr>
        <w:t xml:space="preserve">T0, </w:t>
      </w:r>
      <w:r w:rsidR="007313AC" w:rsidRPr="00116DE9">
        <w:rPr>
          <w:rFonts w:eastAsia="Times New Roman"/>
          <w:sz w:val="20"/>
          <w:szCs w:val="20"/>
        </w:rPr>
        <w:t xml:space="preserve">Control/Untreated IQF at freezing temp - (- 40 °C) &amp; storage at (-18 °C) for 120 days; </w:t>
      </w:r>
    </w:p>
    <w:p w14:paraId="171F50FB" w14:textId="77777777" w:rsidR="007313AC" w:rsidRPr="00116DE9" w:rsidRDefault="007313AC" w:rsidP="007313AC">
      <w:pPr>
        <w:ind w:left="33" w:right="37"/>
        <w:jc w:val="both"/>
        <w:rPr>
          <w:rFonts w:eastAsia="Times New Roman"/>
          <w:sz w:val="20"/>
          <w:szCs w:val="20"/>
        </w:rPr>
      </w:pPr>
      <w:r w:rsidRPr="00116DE9">
        <w:rPr>
          <w:rFonts w:eastAsia="Times New Roman"/>
          <w:b/>
          <w:bCs/>
          <w:sz w:val="20"/>
          <w:szCs w:val="20"/>
        </w:rPr>
        <w:t xml:space="preserve">T1, </w:t>
      </w:r>
      <w:r w:rsidRPr="00116DE9">
        <w:rPr>
          <w:rFonts w:eastAsia="Times New Roman"/>
          <w:sz w:val="20"/>
          <w:szCs w:val="20"/>
        </w:rPr>
        <w:t xml:space="preserve">Pre-treatment of NaCl (2%) + STPP (3%) for 2 hrs + glazing 10% + IQF freezing (Temp: - 40˚C) &amp; frozen storage at (-18˚C) for 120 days; </w:t>
      </w:r>
    </w:p>
    <w:p w14:paraId="6D6E1CF9" w14:textId="77777777" w:rsidR="007313AC" w:rsidRPr="00116DE9" w:rsidRDefault="007313AC" w:rsidP="007313AC">
      <w:pPr>
        <w:ind w:left="33" w:right="37"/>
        <w:jc w:val="both"/>
        <w:rPr>
          <w:rFonts w:eastAsia="Times New Roman"/>
          <w:sz w:val="20"/>
          <w:szCs w:val="20"/>
        </w:rPr>
      </w:pPr>
      <w:r w:rsidRPr="00116DE9">
        <w:rPr>
          <w:rFonts w:eastAsia="Times New Roman"/>
          <w:b/>
          <w:bCs/>
          <w:sz w:val="20"/>
          <w:szCs w:val="20"/>
        </w:rPr>
        <w:t>T2,</w:t>
      </w:r>
      <w:r w:rsidRPr="00116DE9">
        <w:rPr>
          <w:rFonts w:eastAsia="Times New Roman"/>
          <w:sz w:val="20"/>
          <w:szCs w:val="20"/>
        </w:rPr>
        <w:t xml:space="preserve"> Pre-treatment of NaCl (2%) + STPP (3%) for 2 hrs + blanching at temperature 75 °C, Time: 2 Min + glazing 10% + IQF freezing (temperature: 40 °C) &amp; frozen storage at (-18 °C) for 120 days; </w:t>
      </w:r>
    </w:p>
    <w:p w14:paraId="75B98D65" w14:textId="277277E4" w:rsidR="007313AC" w:rsidRPr="00116DE9" w:rsidRDefault="007313AC" w:rsidP="007313AC">
      <w:pPr>
        <w:ind w:left="33" w:right="37"/>
        <w:jc w:val="both"/>
        <w:rPr>
          <w:rFonts w:eastAsia="Times New Roman"/>
          <w:sz w:val="20"/>
          <w:szCs w:val="20"/>
        </w:rPr>
      </w:pPr>
      <w:r w:rsidRPr="00116DE9">
        <w:rPr>
          <w:rFonts w:eastAsia="Times New Roman"/>
          <w:b/>
          <w:bCs/>
          <w:sz w:val="20"/>
          <w:szCs w:val="20"/>
        </w:rPr>
        <w:t xml:space="preserve">T3, </w:t>
      </w:r>
      <w:r w:rsidRPr="00116DE9">
        <w:rPr>
          <w:rFonts w:eastAsia="Times New Roman"/>
          <w:sz w:val="20"/>
          <w:szCs w:val="20"/>
        </w:rPr>
        <w:t>Pre-treatment of NaCl (2%) + STPP (3%) for 2 hrs, blast freezing &amp; frozen storage at (-18 °C) for 120 days</w:t>
      </w:r>
    </w:p>
    <w:p w14:paraId="240AFA31" w14:textId="77777777" w:rsidR="00834BF3" w:rsidRDefault="00834BF3" w:rsidP="00EE4B64">
      <w:pPr>
        <w:spacing w:line="360" w:lineRule="auto"/>
        <w:jc w:val="both"/>
        <w:rPr>
          <w:sz w:val="24"/>
          <w:szCs w:val="24"/>
        </w:rPr>
      </w:pPr>
    </w:p>
    <w:p w14:paraId="5928F357" w14:textId="77777777" w:rsidR="00834BF3" w:rsidRDefault="00834BF3" w:rsidP="00EE4B64">
      <w:pPr>
        <w:spacing w:line="360" w:lineRule="auto"/>
        <w:jc w:val="both"/>
        <w:rPr>
          <w:sz w:val="24"/>
          <w:szCs w:val="24"/>
        </w:rPr>
      </w:pPr>
    </w:p>
    <w:p w14:paraId="6D784980" w14:textId="0CC96D98" w:rsidR="00EE4B64" w:rsidRPr="00116DE9" w:rsidRDefault="00EE4B64" w:rsidP="00350A9A">
      <w:pPr>
        <w:spacing w:line="360" w:lineRule="auto"/>
        <w:ind w:firstLine="720"/>
        <w:jc w:val="both"/>
        <w:rPr>
          <w:rFonts w:eastAsia="Times New Roman"/>
          <w:sz w:val="24"/>
          <w:szCs w:val="24"/>
        </w:rPr>
      </w:pPr>
      <w:r w:rsidRPr="00116DE9">
        <w:rPr>
          <w:sz w:val="24"/>
          <w:szCs w:val="24"/>
        </w:rPr>
        <w:t xml:space="preserve">Table 2 and Fig. 1 show the data on the impact of treatments on the content of drip loss (%) in tilapia fillets at the time of storage. The observations show that there is a small increment in drip loss during the storage. There were considerable variations between treatments during the storage period. As it was observed, the data showed that the treatment T2 had the highest drip loss (7.753 %), then treatment T1 and T0. The treatment T3 recorded a lowest drip loss (1.408 %) that was very low compared to other treatments. Therefore, it was evident in the data that the drip loss depended on the various treatments. The average content of drip loss in all treatments was found to be 2.175 % on the first day (0 d) of storage period and on the last day (120 d) of the storage period the average moisture content was found to be 4.838 %. </w:t>
      </w:r>
      <w:r w:rsidRPr="00116DE9">
        <w:rPr>
          <w:rFonts w:eastAsia="Times New Roman"/>
          <w:sz w:val="24"/>
          <w:szCs w:val="24"/>
        </w:rPr>
        <w:t>The interaction effects between the various treatments and storage were found to be statistically significant. The lowest (1.320%) was recorded in the treatment T3, followed by treatment T0 (1.520 %) while highest (10.150 %) drip loss was recorded in treatment T2, followed by treatment T1 (6.050%).</w:t>
      </w:r>
    </w:p>
    <w:p w14:paraId="5912E281" w14:textId="3AA897E8" w:rsidR="0098665D" w:rsidRPr="00116DE9" w:rsidRDefault="0098665D" w:rsidP="00EE4B64">
      <w:pPr>
        <w:spacing w:line="360" w:lineRule="auto"/>
        <w:ind w:firstLine="720"/>
        <w:jc w:val="both"/>
        <w:rPr>
          <w:sz w:val="24"/>
          <w:szCs w:val="24"/>
        </w:rPr>
      </w:pPr>
    </w:p>
    <w:p w14:paraId="11FCE511" w14:textId="77777777" w:rsidR="0098665D" w:rsidRPr="00116DE9" w:rsidRDefault="0098665D">
      <w:pPr>
        <w:rPr>
          <w:sz w:val="24"/>
          <w:szCs w:val="24"/>
        </w:rPr>
      </w:pPr>
    </w:p>
    <w:p w14:paraId="62AD73B6" w14:textId="7BFDD68F" w:rsidR="0098665D" w:rsidRPr="00116DE9" w:rsidRDefault="00EE4B64" w:rsidP="00EE4B64">
      <w:pPr>
        <w:jc w:val="center"/>
        <w:rPr>
          <w:sz w:val="24"/>
          <w:szCs w:val="24"/>
        </w:rPr>
      </w:pPr>
      <w:r w:rsidRPr="00116DE9">
        <w:rPr>
          <w:noProof/>
        </w:rPr>
        <w:lastRenderedPageBreak/>
        <w:drawing>
          <wp:inline distT="0" distB="0" distL="0" distR="0" wp14:anchorId="541D288E" wp14:editId="45BE9E1C">
            <wp:extent cx="3462867" cy="2743200"/>
            <wp:effectExtent l="0" t="0" r="4445" b="0"/>
            <wp:docPr id="1983192117" name="Chart 1">
              <a:extLst xmlns:a="http://schemas.openxmlformats.org/drawingml/2006/main">
                <a:ext uri="{FF2B5EF4-FFF2-40B4-BE49-F238E27FC236}">
                  <a16:creationId xmlns:a16="http://schemas.microsoft.com/office/drawing/2014/main" id="{39B5C966-0A00-2200-ABBE-AE552F101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F7B53E" w14:textId="77777777" w:rsidR="0098665D" w:rsidRPr="00116DE9" w:rsidRDefault="0098665D">
      <w:pPr>
        <w:rPr>
          <w:sz w:val="24"/>
          <w:szCs w:val="24"/>
        </w:rPr>
      </w:pPr>
    </w:p>
    <w:p w14:paraId="1CF9C43C" w14:textId="77777777" w:rsidR="00EE4B64" w:rsidRPr="00116DE9" w:rsidRDefault="00EE4B64" w:rsidP="00EE4B64">
      <w:pPr>
        <w:jc w:val="both"/>
        <w:rPr>
          <w:sz w:val="24"/>
          <w:szCs w:val="24"/>
        </w:rPr>
      </w:pPr>
      <w:r w:rsidRPr="00116DE9">
        <w:rPr>
          <w:rFonts w:eastAsia="Times New Roman"/>
          <w:b/>
          <w:sz w:val="24"/>
          <w:szCs w:val="24"/>
        </w:rPr>
        <w:t>Fig. 1: Changes in drip loss of tilapia fillets due to different treatments during storage</w:t>
      </w:r>
    </w:p>
    <w:p w14:paraId="34E9FBE7" w14:textId="77777777" w:rsidR="00EE4B64" w:rsidRPr="00116DE9" w:rsidRDefault="00EE4B64" w:rsidP="00EE4B64">
      <w:pPr>
        <w:rPr>
          <w:sz w:val="24"/>
          <w:szCs w:val="24"/>
        </w:rPr>
      </w:pPr>
    </w:p>
    <w:p w14:paraId="2694BED6" w14:textId="0D49ED86" w:rsidR="0098665D" w:rsidRPr="00116DE9" w:rsidRDefault="00AC2F88">
      <w:pPr>
        <w:rPr>
          <w:sz w:val="24"/>
          <w:szCs w:val="24"/>
        </w:rPr>
      </w:pPr>
      <w:r w:rsidRPr="00116DE9">
        <w:rPr>
          <w:b/>
          <w:bCs/>
          <w:sz w:val="24"/>
          <w:szCs w:val="24"/>
        </w:rPr>
        <w:t>4. DISCUSSION</w:t>
      </w:r>
    </w:p>
    <w:p w14:paraId="48F404D2" w14:textId="77777777" w:rsidR="0098665D" w:rsidRPr="00116DE9" w:rsidRDefault="0098665D">
      <w:pPr>
        <w:rPr>
          <w:sz w:val="24"/>
          <w:szCs w:val="24"/>
        </w:rPr>
      </w:pPr>
    </w:p>
    <w:p w14:paraId="0DCA24D1" w14:textId="069F9B7D" w:rsidR="00362DF8" w:rsidRPr="00943EE1" w:rsidRDefault="00CD184A" w:rsidP="00362DF8">
      <w:pPr>
        <w:spacing w:line="360" w:lineRule="auto"/>
        <w:ind w:firstLine="720"/>
        <w:jc w:val="both"/>
        <w:rPr>
          <w:sz w:val="24"/>
          <w:szCs w:val="24"/>
          <w:lang w:val="en-IN"/>
        </w:rPr>
      </w:pPr>
      <w:r w:rsidRPr="00116DE9">
        <w:rPr>
          <w:sz w:val="24"/>
          <w:szCs w:val="24"/>
        </w:rPr>
        <w:t xml:space="preserve">The treatments had a significant effect on drip loss that increased </w:t>
      </w:r>
      <w:r w:rsidR="00CB6685" w:rsidRPr="00116DE9">
        <w:rPr>
          <w:rFonts w:eastAsia="Times New Roman"/>
          <w:sz w:val="24"/>
          <w:szCs w:val="24"/>
          <w:lang w:val="en-IN"/>
        </w:rPr>
        <w:t xml:space="preserve">from 2.18% to 4.82% </w:t>
      </w:r>
      <w:r w:rsidRPr="00116DE9">
        <w:rPr>
          <w:sz w:val="24"/>
          <w:szCs w:val="24"/>
        </w:rPr>
        <w:t>at the conclusion of the storage period compared to the time when storage began. Similar results were obtained by Turan et al. (200</w:t>
      </w:r>
      <w:r w:rsidR="00786C0F">
        <w:rPr>
          <w:sz w:val="24"/>
          <w:szCs w:val="24"/>
        </w:rPr>
        <w:t>3</w:t>
      </w:r>
      <w:r w:rsidRPr="00116DE9">
        <w:rPr>
          <w:sz w:val="24"/>
          <w:szCs w:val="24"/>
        </w:rPr>
        <w:t xml:space="preserve">) who found that drip loss was not significantly reduced by the use of sodium polyphosphate and sodium metaphosphate in combination with NaCl in rainbow trout. This result can be explained by the insufficient penetration of the given chemicals into the fish muscle. In frozen storage, a white desiccated crust was found on the surface of the trout, which was presumably due to unabsorbed phosphate solution, which then crystallised or deposited. Similarly, Dyer et al. (1950) established that the treatment with sodium tripolyphosphate (STPP) did not have any significant influence on drip loss although the overall muscle weight increased, but MacCallum et al. (1964) found efficacy only under specific conditions. The ability of fish muscle to maintain its inherent water content- and hence maintain juiciness- is a vital quality parameter of fresh fish, especially to the consumer perspective. Drip loss is often attributed to denaturation of proteins partially during processing, and this reduces water-holding capacity (WHC). The percentage of drip loss tends to rise with longer refrigerated storage, and this percentage change is greater in slow-frozen than in rapidly frozen samples (p &lt; 0.05). It has been demonstrated that the drip loss and weight loss are more pronounced after </w:t>
      </w:r>
      <w:r w:rsidRPr="00116DE9">
        <w:rPr>
          <w:sz w:val="24"/>
          <w:szCs w:val="24"/>
        </w:rPr>
        <w:lastRenderedPageBreak/>
        <w:t>thawing. The high rate of freezing usually results in smaller ice crystals that are more evenly spread, which causes less physical harm to muscle fibres</w:t>
      </w:r>
      <w:r w:rsidR="00F10AD3">
        <w:rPr>
          <w:sz w:val="24"/>
          <w:szCs w:val="24"/>
        </w:rPr>
        <w:t xml:space="preserve"> </w:t>
      </w:r>
      <w:r w:rsidR="00E96A87" w:rsidRPr="000B3D90">
        <w:rPr>
          <w:sz w:val="24"/>
          <w:szCs w:val="24"/>
          <w:highlight w:val="yellow"/>
        </w:rPr>
        <w:t>(</w:t>
      </w:r>
      <w:r w:rsidR="00C0721A" w:rsidRPr="000B3D90">
        <w:rPr>
          <w:sz w:val="24"/>
          <w:szCs w:val="24"/>
          <w:highlight w:val="yellow"/>
        </w:rPr>
        <w:t>Z</w:t>
      </w:r>
      <w:r w:rsidR="00E96A87" w:rsidRPr="000B3D90">
        <w:rPr>
          <w:sz w:val="24"/>
          <w:szCs w:val="24"/>
          <w:highlight w:val="yellow"/>
        </w:rPr>
        <w:t>h</w:t>
      </w:r>
      <w:r w:rsidR="00C0721A" w:rsidRPr="000B3D90">
        <w:rPr>
          <w:sz w:val="24"/>
          <w:szCs w:val="24"/>
          <w:highlight w:val="yellow"/>
        </w:rPr>
        <w:t>ao</w:t>
      </w:r>
      <w:r w:rsidR="00E96A87" w:rsidRPr="000B3D90">
        <w:rPr>
          <w:sz w:val="24"/>
          <w:szCs w:val="24"/>
          <w:highlight w:val="yellow"/>
        </w:rPr>
        <w:t xml:space="preserve"> et al. 2022)</w:t>
      </w:r>
      <w:r w:rsidRPr="000B3D90">
        <w:rPr>
          <w:sz w:val="24"/>
          <w:szCs w:val="24"/>
          <w:highlight w:val="yellow"/>
        </w:rPr>
        <w:t>.</w:t>
      </w:r>
      <w:r w:rsidRPr="00116DE9">
        <w:rPr>
          <w:sz w:val="24"/>
          <w:szCs w:val="24"/>
        </w:rPr>
        <w:t xml:space="preserve"> Drip loss is a loss of nutrients and edible value; in storage or transportation, the losses can make the product weigh less than acceptable tolerance levels, although the fish may still be edible and safe to eat (FAO, 1996). Sivertsvik et al. (2002) also found that exudation is reduced by the use of super-chilled storage because the low temperatures increase the WHC.</w:t>
      </w:r>
      <w:r w:rsidR="00362DF8">
        <w:rPr>
          <w:sz w:val="24"/>
          <w:szCs w:val="24"/>
        </w:rPr>
        <w:t xml:space="preserve"> </w:t>
      </w:r>
      <w:r w:rsidR="00362DF8" w:rsidRPr="00943EE1">
        <w:rPr>
          <w:sz w:val="24"/>
          <w:szCs w:val="24"/>
          <w:highlight w:val="yellow"/>
          <w:lang w:val="en-IN"/>
        </w:rPr>
        <w:t>Phosphate compounds are widely recognized as functional additives in fishery products, as they enhance processing and storage qualities by increasing water retention in fresh products, minimizing thawing losses, and reducing cooking losses in frozen fish (Masniyom et al., 2005). When used together with NaCl, phosphates effectively improve moisture retention (Thorarinsdottir et al., 2004) and enhance the overall flavor of seafood products. The combined action of NaCl and phosphate has been shown to elevate the water-holding capacity (WHC) and cooking yield. Nevertheless, excessive use of phosphate can lead to undesirable effects such as a slimy texture, translucent appearance, and a soapy flavor (Rattanasatheirn et al., 2008), and may also result in phosphate residues exceeding legal limits in the final product.</w:t>
      </w:r>
    </w:p>
    <w:p w14:paraId="7A63E054" w14:textId="1EF31475" w:rsidR="0098665D" w:rsidRPr="00116DE9" w:rsidRDefault="00CD184A" w:rsidP="00CD184A">
      <w:pPr>
        <w:spacing w:line="360" w:lineRule="auto"/>
        <w:ind w:firstLine="720"/>
        <w:jc w:val="both"/>
        <w:rPr>
          <w:sz w:val="24"/>
          <w:szCs w:val="24"/>
        </w:rPr>
      </w:pPr>
      <w:r w:rsidRPr="00116DE9">
        <w:rPr>
          <w:sz w:val="24"/>
          <w:szCs w:val="24"/>
        </w:rPr>
        <w:t xml:space="preserve"> In the current experiment, tilapia fillets air-packed and kept at 1</w:t>
      </w:r>
      <w:r w:rsidRPr="00116DE9">
        <w:rPr>
          <w:sz w:val="24"/>
          <w:szCs w:val="24"/>
          <w:vertAlign w:val="superscript"/>
        </w:rPr>
        <w:t xml:space="preserve"> o</w:t>
      </w:r>
      <w:r w:rsidRPr="00116DE9">
        <w:rPr>
          <w:sz w:val="24"/>
          <w:szCs w:val="24"/>
        </w:rPr>
        <w:t xml:space="preserve">C (T2) had better quality in terms of physical characteristics. Karami et al. (2018) established that drip loss was more pronounced in slow-frozen rather than </w:t>
      </w:r>
      <w:r w:rsidR="00224D64" w:rsidRPr="00116DE9">
        <w:rPr>
          <w:rFonts w:eastAsia="Times New Roman"/>
          <w:sz w:val="24"/>
          <w:szCs w:val="24"/>
          <w:lang w:val="en-IN"/>
        </w:rPr>
        <w:t xml:space="preserve">quick-frozen </w:t>
      </w:r>
      <w:r w:rsidRPr="00116DE9">
        <w:rPr>
          <w:sz w:val="24"/>
          <w:szCs w:val="24"/>
        </w:rPr>
        <w:t>red tilapia (p &lt; 0.05). During the six months storage, drip loss in slow-frozen samples increased by 4.8% to 11.4% whereas in rapidly frozen samples, it increased by 2.1% to 6.1%. In the same manner, Suyani et al. (2019) found that the drip loss of shrimp frozen with STPP was lower compared to the untreated controls. Sutton (1969) affirmed that STPP is effective in preventing drip loss in frozen storage and Warrier et al. (1975) proved that the use of sodium triphosphate could suppress the release of hydrolytic enzymes into the drip. Sodium triphosphate or sodium chloride pre-treatments have been found to reduce drip loss and maintain fish freshness in frozen storage, which is consistent with the results of Chande et al. (2022) and Drobac et al. (2025). Overall, the duration of refrigerated storage was directly related to the increase in the volume of drip (p &lt; 0.05).</w:t>
      </w:r>
    </w:p>
    <w:p w14:paraId="322CDD7E" w14:textId="77777777" w:rsidR="0098665D" w:rsidRDefault="0098665D">
      <w:pPr>
        <w:rPr>
          <w:sz w:val="24"/>
          <w:szCs w:val="24"/>
        </w:rPr>
      </w:pPr>
    </w:p>
    <w:p w14:paraId="2D42550A" w14:textId="77777777" w:rsidR="00826543" w:rsidRDefault="00826543">
      <w:pPr>
        <w:rPr>
          <w:sz w:val="24"/>
          <w:szCs w:val="24"/>
        </w:rPr>
      </w:pPr>
    </w:p>
    <w:p w14:paraId="78EEB8D7" w14:textId="77777777" w:rsidR="00826543" w:rsidRPr="00116DE9" w:rsidRDefault="00826543">
      <w:pPr>
        <w:rPr>
          <w:sz w:val="24"/>
          <w:szCs w:val="24"/>
        </w:rPr>
      </w:pPr>
    </w:p>
    <w:p w14:paraId="10040CEA" w14:textId="353C2767" w:rsidR="0098665D" w:rsidRPr="00116DE9" w:rsidRDefault="00C43814">
      <w:pPr>
        <w:rPr>
          <w:b/>
          <w:bCs/>
          <w:sz w:val="24"/>
          <w:szCs w:val="24"/>
        </w:rPr>
      </w:pPr>
      <w:r w:rsidRPr="00116DE9">
        <w:rPr>
          <w:b/>
          <w:bCs/>
          <w:sz w:val="24"/>
          <w:szCs w:val="24"/>
        </w:rPr>
        <w:lastRenderedPageBreak/>
        <w:t>5. CONCLUSION</w:t>
      </w:r>
    </w:p>
    <w:p w14:paraId="1519D80D" w14:textId="77777777" w:rsidR="0098665D" w:rsidRPr="00116DE9" w:rsidRDefault="0098665D">
      <w:pPr>
        <w:rPr>
          <w:sz w:val="24"/>
          <w:szCs w:val="24"/>
        </w:rPr>
      </w:pPr>
    </w:p>
    <w:p w14:paraId="6C00C2D9" w14:textId="71FCFA31" w:rsidR="0098665D" w:rsidRPr="006E132F" w:rsidRDefault="00D64B6A" w:rsidP="006E132F">
      <w:pPr>
        <w:spacing w:line="360" w:lineRule="auto"/>
        <w:ind w:firstLine="720"/>
        <w:jc w:val="both"/>
        <w:rPr>
          <w:sz w:val="24"/>
          <w:szCs w:val="24"/>
          <w:lang w:val="en-IN"/>
        </w:rPr>
      </w:pPr>
      <w:r w:rsidRPr="00943EE1">
        <w:rPr>
          <w:sz w:val="24"/>
          <w:szCs w:val="24"/>
          <w:highlight w:val="yellow"/>
          <w:lang w:val="en-IN"/>
        </w:rPr>
        <w:t>The combined action of NaCl and phosphate has been shown to elevate the water-holding capacity (WHC) and cooking yield. Nevertheless, excessive use of phosphate can lead to undesirable effects such as a slimy texture, translucent appearance, and a soapy flavor, and may also result in phosphate residues exceeding legal limits in the final product.</w:t>
      </w:r>
      <w:r w:rsidR="00565E0F" w:rsidRPr="00116DE9">
        <w:rPr>
          <w:sz w:val="24"/>
          <w:szCs w:val="24"/>
        </w:rPr>
        <w:t>The present study found that fillets treated with a 2% NaCl and 3% STPP solution for 2 hours, followed by blast freezing and storage at −18</w:t>
      </w:r>
      <w:r w:rsidR="008709C3" w:rsidRPr="00116DE9">
        <w:rPr>
          <w:sz w:val="24"/>
          <w:szCs w:val="24"/>
        </w:rPr>
        <w:t xml:space="preserve"> </w:t>
      </w:r>
      <w:r w:rsidR="00565E0F" w:rsidRPr="00116DE9">
        <w:rPr>
          <w:sz w:val="24"/>
          <w:szCs w:val="24"/>
        </w:rPr>
        <w:t>°C for 120 days, demonstrated the lowest drip loss values at the end of the storage period, outperforming all other treatment groups.</w:t>
      </w:r>
      <w:r w:rsidR="008709C3" w:rsidRPr="00116DE9">
        <w:rPr>
          <w:sz w:val="24"/>
          <w:szCs w:val="24"/>
        </w:rPr>
        <w:t xml:space="preserve"> </w:t>
      </w:r>
      <w:r w:rsidR="00AB180F">
        <w:rPr>
          <w:sz w:val="24"/>
          <w:szCs w:val="24"/>
        </w:rPr>
        <w:t xml:space="preserve"> </w:t>
      </w:r>
    </w:p>
    <w:p w14:paraId="55C6126A" w14:textId="77777777" w:rsidR="0098665D" w:rsidRPr="00116DE9" w:rsidRDefault="0098665D">
      <w:pPr>
        <w:rPr>
          <w:sz w:val="24"/>
          <w:szCs w:val="24"/>
        </w:rPr>
      </w:pPr>
    </w:p>
    <w:p w14:paraId="795BA4D1" w14:textId="77777777" w:rsidR="001A3BF1" w:rsidRPr="00116DE9" w:rsidRDefault="001A3BF1" w:rsidP="001A3BF1">
      <w:pPr>
        <w:jc w:val="both"/>
        <w:rPr>
          <w:rFonts w:eastAsia="Calibri"/>
          <w:b/>
          <w:bCs/>
          <w:kern w:val="2"/>
          <w:sz w:val="24"/>
          <w:szCs w:val="24"/>
          <w:lang w:val="en-US"/>
        </w:rPr>
      </w:pPr>
      <w:bookmarkStart w:id="0" w:name="_Hlk202259943"/>
      <w:r w:rsidRPr="00116DE9">
        <w:rPr>
          <w:rFonts w:eastAsia="Calibri"/>
          <w:b/>
          <w:bCs/>
          <w:kern w:val="2"/>
          <w:sz w:val="24"/>
          <w:szCs w:val="24"/>
          <w:lang w:val="en-US"/>
        </w:rPr>
        <w:t>Disclaimer (Artificial intelligence):</w:t>
      </w:r>
    </w:p>
    <w:p w14:paraId="4BCED592" w14:textId="77777777" w:rsidR="001A3BF1" w:rsidRPr="00116DE9" w:rsidRDefault="001A3BF1" w:rsidP="001A3BF1">
      <w:pPr>
        <w:jc w:val="both"/>
        <w:rPr>
          <w:rFonts w:eastAsia="Calibri"/>
          <w:kern w:val="2"/>
          <w:sz w:val="24"/>
          <w:szCs w:val="24"/>
          <w:lang w:val="en-US"/>
        </w:rPr>
      </w:pPr>
      <w:r w:rsidRPr="00116DE9">
        <w:rPr>
          <w:rFonts w:eastAsia="Calibri"/>
          <w:kern w:val="2"/>
          <w:sz w:val="24"/>
          <w:szCs w:val="24"/>
          <w:lang w:val="en-US"/>
        </w:rPr>
        <w:t xml:space="preserve">Author(s) hereby </w:t>
      </w:r>
      <w:proofErr w:type="gramStart"/>
      <w:r w:rsidRPr="00116DE9">
        <w:rPr>
          <w:rFonts w:eastAsia="Calibri"/>
          <w:kern w:val="2"/>
          <w:sz w:val="24"/>
          <w:szCs w:val="24"/>
          <w:lang w:val="en-US"/>
        </w:rPr>
        <w:t>declare</w:t>
      </w:r>
      <w:proofErr w:type="gramEnd"/>
      <w:r w:rsidRPr="00116DE9">
        <w:rPr>
          <w:rFonts w:eastAsia="Calibri"/>
          <w:kern w:val="2"/>
          <w:sz w:val="24"/>
          <w:szCs w:val="24"/>
          <w:lang w:val="en-US"/>
        </w:rPr>
        <w:t xml:space="preserve"> that NO generative AI technologies such as Large Language Models (ChatGPT, COPILOT, etc.) and text-to-image generators have been used during the writing or editing of this manuscript. </w:t>
      </w:r>
    </w:p>
    <w:bookmarkEnd w:id="0"/>
    <w:p w14:paraId="393DE1A5" w14:textId="77777777" w:rsidR="0098665D" w:rsidRPr="00116DE9" w:rsidRDefault="0098665D">
      <w:pPr>
        <w:rPr>
          <w:sz w:val="24"/>
          <w:szCs w:val="24"/>
          <w:lang w:val="en-US"/>
        </w:rPr>
      </w:pPr>
    </w:p>
    <w:p w14:paraId="239B2E92" w14:textId="77777777" w:rsidR="00A038EF" w:rsidRPr="00116DE9" w:rsidRDefault="00A038EF" w:rsidP="00A038EF">
      <w:pPr>
        <w:widowControl w:val="0"/>
        <w:spacing w:before="132" w:line="360" w:lineRule="auto"/>
        <w:ind w:right="-331"/>
        <w:jc w:val="both"/>
        <w:rPr>
          <w:rFonts w:eastAsia="Times New Roman"/>
          <w:b/>
          <w:sz w:val="24"/>
          <w:szCs w:val="24"/>
        </w:rPr>
      </w:pPr>
      <w:r w:rsidRPr="00116DE9">
        <w:rPr>
          <w:rFonts w:eastAsia="Times New Roman"/>
          <w:b/>
          <w:sz w:val="24"/>
          <w:szCs w:val="24"/>
        </w:rPr>
        <w:t>REFERENCES</w:t>
      </w:r>
      <w:bookmarkStart w:id="1" w:name="_30j0zll" w:colFirst="0" w:colLast="0"/>
      <w:bookmarkEnd w:id="1"/>
    </w:p>
    <w:p w14:paraId="5147C427"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rFonts w:eastAsia="Times New Roman"/>
          <w:color w:val="212121"/>
          <w:sz w:val="24"/>
          <w:szCs w:val="24"/>
        </w:rPr>
        <w:t xml:space="preserve">Andrew AE (2001). Fish–processing Technology. University of Ilorin press Nigeria, pp.8-7. </w:t>
      </w:r>
    </w:p>
    <w:p w14:paraId="493CDE70"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CASTELL, C.K. 1969. Fish Inspection and Quality Control, (R. Kreuzer, ed.) Fishing News (Books), London, U.K.</w:t>
      </w:r>
    </w:p>
    <w:p w14:paraId="3F2E5976"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Chande, M. N. S., Patange, S. B., Chavan, D. R., Bhujbal, P. K., &amp; Dalavi, P. D. (2022). </w:t>
      </w:r>
      <w:r w:rsidRPr="00116DE9">
        <w:rPr>
          <w:rFonts w:eastAsia="Times New Roman"/>
          <w:i/>
          <w:iCs/>
          <w:color w:val="222222"/>
          <w:sz w:val="24"/>
          <w:szCs w:val="24"/>
          <w:highlight w:val="white"/>
        </w:rPr>
        <w:t>Effect of individual quick freezing on performance, storage and frozen storage characteristics of white-leg shrimp (Litopenaeus vannamei)</w:t>
      </w:r>
      <w:r w:rsidRPr="00116DE9">
        <w:rPr>
          <w:rFonts w:eastAsia="Times New Roman"/>
          <w:color w:val="222222"/>
          <w:sz w:val="24"/>
          <w:szCs w:val="24"/>
          <w:highlight w:val="white"/>
        </w:rPr>
        <w:t> (Doctoral dissertation, DR. BALASAHEB SAWANT KONKAN KRISHI VIDYAPEETH).</w:t>
      </w:r>
    </w:p>
    <w:p w14:paraId="702AD77C"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rFonts w:eastAsia="Times New Roman"/>
          <w:color w:val="212121"/>
          <w:sz w:val="24"/>
          <w:szCs w:val="24"/>
        </w:rPr>
        <w:t xml:space="preserve">Chen, Y.L. and Pan, </w:t>
      </w:r>
      <w:proofErr w:type="gramStart"/>
      <w:r w:rsidRPr="00116DE9">
        <w:rPr>
          <w:rFonts w:eastAsia="Times New Roman"/>
          <w:color w:val="212121"/>
          <w:sz w:val="24"/>
          <w:szCs w:val="24"/>
        </w:rPr>
        <w:t>B.S.(</w:t>
      </w:r>
      <w:proofErr w:type="gramEnd"/>
      <w:r w:rsidRPr="00116DE9">
        <w:rPr>
          <w:rFonts w:eastAsia="Times New Roman"/>
          <w:color w:val="212121"/>
          <w:sz w:val="24"/>
          <w:szCs w:val="24"/>
        </w:rPr>
        <w:t xml:space="preserve">1995). Freezing tilapia by airblast and liquid nitrogen–freezing point and freezing rate. </w:t>
      </w:r>
      <w:r w:rsidRPr="00116DE9">
        <w:rPr>
          <w:rFonts w:eastAsia="Times New Roman"/>
          <w:i/>
          <w:color w:val="212121"/>
          <w:sz w:val="24"/>
          <w:szCs w:val="24"/>
        </w:rPr>
        <w:t>International journal of food science &amp; technology</w:t>
      </w:r>
      <w:r w:rsidRPr="00116DE9">
        <w:rPr>
          <w:rFonts w:eastAsia="Times New Roman"/>
          <w:color w:val="212121"/>
          <w:sz w:val="24"/>
          <w:szCs w:val="24"/>
        </w:rPr>
        <w:t xml:space="preserve">, </w:t>
      </w:r>
      <w:r w:rsidRPr="00116DE9">
        <w:rPr>
          <w:rFonts w:eastAsia="Times New Roman"/>
          <w:i/>
          <w:color w:val="212121"/>
          <w:sz w:val="24"/>
          <w:szCs w:val="24"/>
        </w:rPr>
        <w:t>30</w:t>
      </w:r>
      <w:r w:rsidRPr="00116DE9">
        <w:rPr>
          <w:rFonts w:eastAsia="Times New Roman"/>
          <w:color w:val="212121"/>
          <w:sz w:val="24"/>
          <w:szCs w:val="24"/>
        </w:rPr>
        <w:t>(2), pp.167-173.</w:t>
      </w:r>
    </w:p>
    <w:p w14:paraId="3699A529"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De Corcuera, J.I.R., Cavalieri, R.P. and Powers, J.R. (2004). Blanching of foods. </w:t>
      </w:r>
      <w:r w:rsidRPr="00116DE9">
        <w:rPr>
          <w:rFonts w:eastAsia="Times New Roman"/>
          <w:i/>
          <w:color w:val="222222"/>
          <w:sz w:val="24"/>
          <w:szCs w:val="24"/>
          <w:highlight w:val="white"/>
        </w:rPr>
        <w:t>Encyclopedia of agri, food and biological engineering. Marcel Dekker, New York City, NY, USA</w:t>
      </w:r>
      <w:r w:rsidRPr="00116DE9">
        <w:rPr>
          <w:rFonts w:eastAsia="Times New Roman"/>
          <w:color w:val="222222"/>
          <w:sz w:val="24"/>
          <w:szCs w:val="24"/>
          <w:highlight w:val="white"/>
        </w:rPr>
        <w:t>, pp.1-5.</w:t>
      </w:r>
    </w:p>
    <w:p w14:paraId="3F61EC23"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Dempsey, P. and Bansal, P. (2012). The art of air blast freezing: Design and efficiency considerations. </w:t>
      </w:r>
      <w:r w:rsidRPr="00116DE9">
        <w:rPr>
          <w:rFonts w:eastAsia="Times New Roman"/>
          <w:i/>
          <w:color w:val="222222"/>
          <w:sz w:val="24"/>
          <w:szCs w:val="24"/>
          <w:highlight w:val="white"/>
        </w:rPr>
        <w:t>Applied Thermal Engineering</w:t>
      </w:r>
      <w:r w:rsidRPr="00116DE9">
        <w:rPr>
          <w:rFonts w:eastAsia="Times New Roman"/>
          <w:color w:val="222222"/>
          <w:sz w:val="24"/>
          <w:szCs w:val="24"/>
          <w:highlight w:val="white"/>
        </w:rPr>
        <w:t xml:space="preserve">, </w:t>
      </w:r>
      <w:r w:rsidRPr="00116DE9">
        <w:rPr>
          <w:rFonts w:eastAsia="Times New Roman"/>
          <w:i/>
          <w:color w:val="222222"/>
          <w:sz w:val="24"/>
          <w:szCs w:val="24"/>
          <w:highlight w:val="white"/>
        </w:rPr>
        <w:t>41</w:t>
      </w:r>
      <w:r w:rsidRPr="00116DE9">
        <w:rPr>
          <w:rFonts w:eastAsia="Times New Roman"/>
          <w:color w:val="222222"/>
          <w:sz w:val="24"/>
          <w:szCs w:val="24"/>
          <w:highlight w:val="white"/>
        </w:rPr>
        <w:t>, pp.71-83.</w:t>
      </w:r>
    </w:p>
    <w:p w14:paraId="2AACD72E"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Drobac, G., Chan, S. S., Tobiassen, T., Ageeva, T. N., Løvdal, T., Sone, I., &amp; Roth, B. (2025). Subchilling of brown trout (Salmo trutta) with refrigerated seawater and subsequent effects on its quality and shelf life. </w:t>
      </w:r>
      <w:r w:rsidRPr="00116DE9">
        <w:rPr>
          <w:rFonts w:eastAsia="Times New Roman"/>
          <w:i/>
          <w:iCs/>
          <w:color w:val="222222"/>
          <w:sz w:val="24"/>
          <w:szCs w:val="24"/>
          <w:highlight w:val="white"/>
        </w:rPr>
        <w:t>Scientific Reports</w:t>
      </w:r>
      <w:r w:rsidRPr="00116DE9">
        <w:rPr>
          <w:rFonts w:eastAsia="Times New Roman"/>
          <w:color w:val="222222"/>
          <w:sz w:val="24"/>
          <w:szCs w:val="24"/>
          <w:highlight w:val="white"/>
        </w:rPr>
        <w:t>, </w:t>
      </w:r>
      <w:r w:rsidRPr="00116DE9">
        <w:rPr>
          <w:rFonts w:eastAsia="Times New Roman"/>
          <w:i/>
          <w:iCs/>
          <w:color w:val="222222"/>
          <w:sz w:val="24"/>
          <w:szCs w:val="24"/>
          <w:highlight w:val="white"/>
        </w:rPr>
        <w:t>15</w:t>
      </w:r>
      <w:r w:rsidRPr="00116DE9">
        <w:rPr>
          <w:rFonts w:eastAsia="Times New Roman"/>
          <w:color w:val="222222"/>
          <w:sz w:val="24"/>
          <w:szCs w:val="24"/>
          <w:highlight w:val="white"/>
        </w:rPr>
        <w:t>(1), 19821.</w:t>
      </w:r>
    </w:p>
    <w:p w14:paraId="43C7B8BB"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Dyer, W.J., French, H.V., and Snow, J.W. (1950). Proteins in fish muscle - I. Extraction of protein fractions in fresh fish. J. Fish. Res. Bd. Can. 7: 585.</w:t>
      </w:r>
    </w:p>
    <w:p w14:paraId="6006C08A"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lastRenderedPageBreak/>
        <w:t xml:space="preserve">FAO (1996). Storage quality of three pelagic species. FAO Fisheries Technical Report Paper 574 pp. 31-33. </w:t>
      </w:r>
    </w:p>
    <w:p w14:paraId="7E154978"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FOOD AND AGRICULTURAL ORGANISATION (FAO). 1977. Handbook on Human Nutritional Requirement, pp. 1–17.</w:t>
      </w:r>
    </w:p>
    <w:p w14:paraId="11B06A8C" w14:textId="77777777" w:rsidR="00AA0656" w:rsidRPr="00116DE9" w:rsidRDefault="00AA0656" w:rsidP="00AA0656">
      <w:pPr>
        <w:widowControl w:val="0"/>
        <w:tabs>
          <w:tab w:val="left" w:pos="9356"/>
        </w:tabs>
        <w:spacing w:before="60" w:after="60"/>
        <w:ind w:left="720" w:right="-331" w:hanging="720"/>
        <w:jc w:val="both"/>
        <w:rPr>
          <w:rFonts w:eastAsia="Times New Roman"/>
          <w:sz w:val="24"/>
          <w:szCs w:val="24"/>
        </w:rPr>
      </w:pPr>
      <w:r w:rsidRPr="00116DE9">
        <w:rPr>
          <w:rFonts w:eastAsia="Times New Roman"/>
          <w:color w:val="212121"/>
          <w:sz w:val="24"/>
          <w:szCs w:val="24"/>
        </w:rPr>
        <w:t xml:space="preserve">Kagawa, M., Matsumoto, M., Yoneda, C., Mitsuhashi, T. and Hatae, </w:t>
      </w:r>
      <w:proofErr w:type="gramStart"/>
      <w:r w:rsidRPr="00116DE9">
        <w:rPr>
          <w:rFonts w:eastAsia="Times New Roman"/>
          <w:color w:val="212121"/>
          <w:sz w:val="24"/>
          <w:szCs w:val="24"/>
        </w:rPr>
        <w:t>K.(</w:t>
      </w:r>
      <w:proofErr w:type="gramEnd"/>
      <w:r w:rsidRPr="00116DE9">
        <w:rPr>
          <w:rFonts w:eastAsia="Times New Roman"/>
          <w:color w:val="212121"/>
          <w:sz w:val="24"/>
          <w:szCs w:val="24"/>
        </w:rPr>
        <w:t>2002). Changes in meat texture of three varieties of squid in the early stage of cold storage. Fish. Sci. 68, 783– 792.</w:t>
      </w:r>
    </w:p>
    <w:p w14:paraId="37F42A57"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Karami, B., Moradi, Y., Motalebi, A.A. and Khajehrahimi, </w:t>
      </w:r>
      <w:proofErr w:type="gramStart"/>
      <w:r w:rsidRPr="00116DE9">
        <w:rPr>
          <w:rFonts w:eastAsia="Times New Roman"/>
          <w:color w:val="222222"/>
          <w:sz w:val="24"/>
          <w:szCs w:val="24"/>
          <w:highlight w:val="white"/>
        </w:rPr>
        <w:t>A.E.,(</w:t>
      </w:r>
      <w:proofErr w:type="gramEnd"/>
      <w:r w:rsidRPr="00116DE9">
        <w:rPr>
          <w:rFonts w:eastAsia="Times New Roman"/>
          <w:color w:val="222222"/>
          <w:sz w:val="24"/>
          <w:szCs w:val="24"/>
          <w:highlight w:val="white"/>
        </w:rPr>
        <w:t xml:space="preserve">2018). Effect of different freezing processes on the quality and histological changes of red tilapia (Oreochromis niloticus× Tilapia mossambicus). Journal of Fisheries and Aquatic Science, 13(2), pp.82- 88. </w:t>
      </w:r>
    </w:p>
    <w:p w14:paraId="2D092F43"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color w:val="222222"/>
          <w:sz w:val="24"/>
          <w:szCs w:val="24"/>
          <w:highlight w:val="white"/>
        </w:rPr>
        <w:t xml:space="preserve">MacCallum, W.A., Chalker, D.A., Lauder, J.T., Odense, P.H. and Idler, D.R. (1964). Polyphosphate treatment of frozen cod. 3. Taste panel evaluation, chemical assessment and thaw-drip in once-frozen Newfoundland trap-caught cod. </w:t>
      </w:r>
      <w:r w:rsidRPr="00116DE9">
        <w:rPr>
          <w:i/>
          <w:color w:val="222222"/>
          <w:sz w:val="24"/>
          <w:szCs w:val="24"/>
          <w:highlight w:val="white"/>
        </w:rPr>
        <w:t>Journal of the Fisheries Board of Canada</w:t>
      </w:r>
      <w:r w:rsidRPr="00116DE9">
        <w:rPr>
          <w:color w:val="222222"/>
          <w:sz w:val="24"/>
          <w:szCs w:val="24"/>
          <w:highlight w:val="white"/>
        </w:rPr>
        <w:t xml:space="preserve">, </w:t>
      </w:r>
      <w:r w:rsidRPr="00116DE9">
        <w:rPr>
          <w:i/>
          <w:color w:val="222222"/>
          <w:sz w:val="24"/>
          <w:szCs w:val="24"/>
          <w:highlight w:val="white"/>
        </w:rPr>
        <w:t>21</w:t>
      </w:r>
      <w:r w:rsidRPr="00116DE9">
        <w:rPr>
          <w:color w:val="222222"/>
          <w:sz w:val="24"/>
          <w:szCs w:val="24"/>
          <w:highlight w:val="white"/>
        </w:rPr>
        <w:t>(6), pp.1397-1402.</w:t>
      </w:r>
    </w:p>
    <w:p w14:paraId="5466E725"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rFonts w:eastAsia="Times New Roman"/>
          <w:color w:val="222222"/>
          <w:sz w:val="24"/>
          <w:szCs w:val="24"/>
          <w:highlight w:val="white"/>
        </w:rPr>
        <w:t xml:space="preserve">Panse, V.G. and Sukhatme, P.V. (1985). Statistical methods for agricultural research. </w:t>
      </w:r>
      <w:r w:rsidRPr="00116DE9">
        <w:rPr>
          <w:rFonts w:eastAsia="Times New Roman"/>
          <w:i/>
          <w:color w:val="222222"/>
          <w:sz w:val="24"/>
          <w:szCs w:val="24"/>
          <w:highlight w:val="white"/>
        </w:rPr>
        <w:t>ICAR, New Delhi</w:t>
      </w:r>
      <w:r w:rsidRPr="00116DE9">
        <w:rPr>
          <w:rFonts w:eastAsia="Times New Roman"/>
          <w:color w:val="222222"/>
          <w:sz w:val="24"/>
          <w:szCs w:val="24"/>
          <w:highlight w:val="white"/>
        </w:rPr>
        <w:t xml:space="preserve">, </w:t>
      </w:r>
      <w:r w:rsidRPr="00116DE9">
        <w:rPr>
          <w:rFonts w:eastAsia="Times New Roman"/>
          <w:i/>
          <w:color w:val="222222"/>
          <w:sz w:val="24"/>
          <w:szCs w:val="24"/>
          <w:highlight w:val="white"/>
        </w:rPr>
        <w:t>8</w:t>
      </w:r>
      <w:r w:rsidRPr="00116DE9">
        <w:rPr>
          <w:rFonts w:eastAsia="Times New Roman"/>
          <w:color w:val="222222"/>
          <w:sz w:val="24"/>
          <w:szCs w:val="24"/>
          <w:highlight w:val="white"/>
        </w:rPr>
        <w:t>, pp.308-318.</w:t>
      </w:r>
    </w:p>
    <w:p w14:paraId="0ABE4D10" w14:textId="77777777" w:rsidR="00AA0656" w:rsidRPr="00116DE9" w:rsidRDefault="00AA0656" w:rsidP="00AA0656">
      <w:pPr>
        <w:widowControl w:val="0"/>
        <w:tabs>
          <w:tab w:val="left" w:pos="9356"/>
        </w:tabs>
        <w:spacing w:before="60" w:after="60"/>
        <w:ind w:left="720" w:right="-331" w:hanging="720"/>
        <w:jc w:val="both"/>
        <w:rPr>
          <w:rFonts w:eastAsia="Times New Roman"/>
          <w:color w:val="212121"/>
          <w:sz w:val="24"/>
          <w:szCs w:val="24"/>
        </w:rPr>
      </w:pPr>
      <w:r w:rsidRPr="00116DE9">
        <w:rPr>
          <w:rFonts w:eastAsia="Times New Roman"/>
          <w:color w:val="212121"/>
          <w:sz w:val="24"/>
          <w:szCs w:val="24"/>
        </w:rPr>
        <w:t xml:space="preserve">Persson, P. O. and Londahl, </w:t>
      </w:r>
      <w:proofErr w:type="gramStart"/>
      <w:r w:rsidRPr="00116DE9">
        <w:rPr>
          <w:rFonts w:eastAsia="Times New Roman"/>
          <w:color w:val="212121"/>
          <w:sz w:val="24"/>
          <w:szCs w:val="24"/>
        </w:rPr>
        <w:t>G.(</w:t>
      </w:r>
      <w:proofErr w:type="gramEnd"/>
      <w:r w:rsidRPr="00116DE9">
        <w:rPr>
          <w:rFonts w:eastAsia="Times New Roman"/>
          <w:color w:val="212121"/>
          <w:sz w:val="24"/>
          <w:szCs w:val="24"/>
        </w:rPr>
        <w:t>1993). Freezing technology. In C. P. mallet (Ed.), Frozen food technology. Glasgow, UK: Blackie Academic &amp; Professional.</w:t>
      </w:r>
    </w:p>
    <w:p w14:paraId="419F1164"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Pruthi, J.S. (1999). </w:t>
      </w:r>
      <w:r w:rsidRPr="00116DE9">
        <w:rPr>
          <w:rFonts w:eastAsia="Times New Roman"/>
          <w:i/>
          <w:color w:val="222222"/>
          <w:sz w:val="24"/>
          <w:szCs w:val="24"/>
          <w:highlight w:val="white"/>
        </w:rPr>
        <w:t>Quick freezing preservation of foods: foods of plant origin</w:t>
      </w:r>
      <w:r w:rsidRPr="00116DE9">
        <w:rPr>
          <w:rFonts w:eastAsia="Times New Roman"/>
          <w:color w:val="222222"/>
          <w:sz w:val="24"/>
          <w:szCs w:val="24"/>
          <w:highlight w:val="white"/>
        </w:rPr>
        <w:t xml:space="preserve"> (Vol. 2). Allied Publishers.</w:t>
      </w:r>
    </w:p>
    <w:p w14:paraId="0E6AF41C"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Sivertsvik, M., Jeksrud, W. K. &amp; Rosnes, J. </w:t>
      </w:r>
      <w:proofErr w:type="gramStart"/>
      <w:r w:rsidRPr="00116DE9">
        <w:rPr>
          <w:rFonts w:eastAsia="Times New Roman"/>
          <w:color w:val="222222"/>
          <w:sz w:val="24"/>
          <w:szCs w:val="24"/>
          <w:highlight w:val="white"/>
        </w:rPr>
        <w:t>T.(</w:t>
      </w:r>
      <w:proofErr w:type="gramEnd"/>
      <w:r w:rsidRPr="00116DE9">
        <w:rPr>
          <w:rFonts w:eastAsia="Times New Roman"/>
          <w:color w:val="222222"/>
          <w:sz w:val="24"/>
          <w:szCs w:val="24"/>
          <w:highlight w:val="white"/>
        </w:rPr>
        <w:t>2002). A review of modified atmosphere packaging of fish and fishery products–significance of microbial growth, activities and safety. International Journal of Food Science &amp; Technology, 37, 107-127.</w:t>
      </w:r>
    </w:p>
    <w:p w14:paraId="3823944A"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Sutton AH, Main G, Ronald A. An instrument for counting the larvae of the prawn, Palaemon serratus and the brine shrimp, Artemia salina. Laboratory practice.1969;18(4):433-436. </w:t>
      </w:r>
    </w:p>
    <w:p w14:paraId="47FCA49D" w14:textId="10713B14" w:rsidR="00AA0656" w:rsidRPr="00116DE9" w:rsidRDefault="001A6CFC"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Sutton</w:t>
      </w:r>
      <w:r w:rsidR="00AA0656" w:rsidRPr="00116DE9">
        <w:rPr>
          <w:rFonts w:eastAsia="Times New Roman"/>
          <w:color w:val="222222"/>
          <w:sz w:val="24"/>
          <w:szCs w:val="24"/>
          <w:highlight w:val="white"/>
        </w:rPr>
        <w:t>, A.H. 1969. Polyphosphate treatment of Cod muscle. In Freezing and Irradiation, (R. Kreuzer, ed.).</w:t>
      </w:r>
    </w:p>
    <w:p w14:paraId="4243EAAF" w14:textId="77777777" w:rsidR="00AA0656" w:rsidRPr="00116DE9"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Suyani NK, Rathore SS, Vandarwala UG, Patel K, Rana RJ. Physical, chemical and sensorial quality evaluation of phosphate treated and non-treated PUD shrimp (Litopenaeus vannamei) samples. International Journal of Fisheries and Aquatic Studies. 2019;7(5):296-299. </w:t>
      </w:r>
    </w:p>
    <w:p w14:paraId="428F18A3" w14:textId="77777777" w:rsidR="00AA0656" w:rsidRPr="00116DE9" w:rsidRDefault="00AA0656" w:rsidP="00AA0656">
      <w:pPr>
        <w:spacing w:before="60" w:after="60"/>
        <w:ind w:left="720" w:right="-331" w:hanging="720"/>
        <w:jc w:val="both"/>
        <w:rPr>
          <w:color w:val="222222"/>
          <w:sz w:val="24"/>
          <w:szCs w:val="24"/>
          <w:highlight w:val="white"/>
        </w:rPr>
      </w:pPr>
      <w:r w:rsidRPr="00116DE9">
        <w:rPr>
          <w:color w:val="222222"/>
          <w:sz w:val="24"/>
          <w:szCs w:val="24"/>
          <w:highlight w:val="white"/>
        </w:rPr>
        <w:t xml:space="preserve">Turan, H., Kaya, Y. and Erkoyuncu, İ. (2003). Effects of glazing, packaging and phosphate treatments on drip loss in rainbow trout (Oncorhynchus mykiss W., 1792) during frozen storage. </w:t>
      </w:r>
      <w:r w:rsidRPr="00116DE9">
        <w:rPr>
          <w:i/>
          <w:color w:val="222222"/>
          <w:sz w:val="24"/>
          <w:szCs w:val="24"/>
          <w:highlight w:val="white"/>
        </w:rPr>
        <w:t>Turkish Journal of Fisheries and Aquatic Sciences</w:t>
      </w:r>
      <w:r w:rsidRPr="00116DE9">
        <w:rPr>
          <w:color w:val="222222"/>
          <w:sz w:val="24"/>
          <w:szCs w:val="24"/>
          <w:highlight w:val="white"/>
        </w:rPr>
        <w:t xml:space="preserve">, </w:t>
      </w:r>
      <w:r w:rsidRPr="00116DE9">
        <w:rPr>
          <w:i/>
          <w:color w:val="222222"/>
          <w:sz w:val="24"/>
          <w:szCs w:val="24"/>
          <w:highlight w:val="white"/>
        </w:rPr>
        <w:t>3</w:t>
      </w:r>
      <w:r w:rsidRPr="00116DE9">
        <w:rPr>
          <w:color w:val="222222"/>
          <w:sz w:val="24"/>
          <w:szCs w:val="24"/>
          <w:highlight w:val="white"/>
        </w:rPr>
        <w:t>(2).</w:t>
      </w:r>
    </w:p>
    <w:p w14:paraId="06B0EF9F" w14:textId="77777777" w:rsidR="00AA0656" w:rsidRDefault="00AA0656" w:rsidP="00AA0656">
      <w:pPr>
        <w:spacing w:before="60" w:after="60"/>
        <w:ind w:left="720" w:right="-331" w:hanging="720"/>
        <w:jc w:val="both"/>
        <w:rPr>
          <w:rFonts w:eastAsia="Times New Roman"/>
          <w:color w:val="222222"/>
          <w:sz w:val="24"/>
          <w:szCs w:val="24"/>
          <w:highlight w:val="white"/>
        </w:rPr>
      </w:pPr>
      <w:r w:rsidRPr="00116DE9">
        <w:rPr>
          <w:rFonts w:eastAsia="Times New Roman"/>
          <w:color w:val="222222"/>
          <w:sz w:val="24"/>
          <w:szCs w:val="24"/>
          <w:highlight w:val="white"/>
        </w:rPr>
        <w:t xml:space="preserve">Warrier SBK, Gore MS, Kumta US. Fish muscle structural proteins; c1975. </w:t>
      </w:r>
    </w:p>
    <w:p w14:paraId="26CC7312" w14:textId="0F6EFFFA" w:rsidR="00E96A87" w:rsidRDefault="00E96A87" w:rsidP="00AA0656">
      <w:pPr>
        <w:spacing w:before="60" w:after="60"/>
        <w:ind w:left="720" w:right="-331" w:hanging="720"/>
        <w:jc w:val="both"/>
        <w:rPr>
          <w:rFonts w:eastAsia="Times New Roman"/>
          <w:color w:val="222222"/>
          <w:sz w:val="24"/>
          <w:szCs w:val="24"/>
          <w:highlight w:val="yellow"/>
        </w:rPr>
      </w:pPr>
      <w:r w:rsidRPr="003B1B03">
        <w:rPr>
          <w:rFonts w:eastAsia="Times New Roman"/>
          <w:color w:val="222222"/>
          <w:sz w:val="24"/>
          <w:szCs w:val="24"/>
          <w:highlight w:val="yellow"/>
        </w:rPr>
        <w:t>Zhao, N., Yang, X., Li, Y., Wu, H., Chen, Y., Gao, R., ... &amp; Zhao, Y. (2022). Effects of protein oxidation, cathepsins, and various freezing temperatures on the quality of superchilled sturgeon fillets. </w:t>
      </w:r>
      <w:r w:rsidRPr="003B1B03">
        <w:rPr>
          <w:rFonts w:eastAsia="Times New Roman"/>
          <w:i/>
          <w:iCs/>
          <w:color w:val="222222"/>
          <w:sz w:val="24"/>
          <w:szCs w:val="24"/>
          <w:highlight w:val="yellow"/>
        </w:rPr>
        <w:t>Marine Life Science &amp; Technology</w:t>
      </w:r>
      <w:r w:rsidRPr="003B1B03">
        <w:rPr>
          <w:rFonts w:eastAsia="Times New Roman"/>
          <w:color w:val="222222"/>
          <w:sz w:val="24"/>
          <w:szCs w:val="24"/>
          <w:highlight w:val="yellow"/>
        </w:rPr>
        <w:t>, </w:t>
      </w:r>
      <w:r w:rsidRPr="003B1B03">
        <w:rPr>
          <w:rFonts w:eastAsia="Times New Roman"/>
          <w:i/>
          <w:iCs/>
          <w:color w:val="222222"/>
          <w:sz w:val="24"/>
          <w:szCs w:val="24"/>
          <w:highlight w:val="yellow"/>
        </w:rPr>
        <w:t>4</w:t>
      </w:r>
      <w:r w:rsidRPr="003B1B03">
        <w:rPr>
          <w:rFonts w:eastAsia="Times New Roman"/>
          <w:color w:val="222222"/>
          <w:sz w:val="24"/>
          <w:szCs w:val="24"/>
          <w:highlight w:val="yellow"/>
        </w:rPr>
        <w:t>(1), 117-126.</w:t>
      </w:r>
    </w:p>
    <w:p w14:paraId="70365AAD" w14:textId="2EF4F75C" w:rsidR="0012223B" w:rsidRDefault="0012223B" w:rsidP="00AA0656">
      <w:pPr>
        <w:spacing w:before="60" w:after="60"/>
        <w:ind w:left="720" w:right="-331" w:hanging="720"/>
        <w:jc w:val="both"/>
        <w:rPr>
          <w:rFonts w:eastAsia="Times New Roman"/>
          <w:color w:val="222222"/>
          <w:sz w:val="24"/>
          <w:szCs w:val="24"/>
          <w:highlight w:val="yellow"/>
        </w:rPr>
      </w:pPr>
      <w:r w:rsidRPr="0012223B">
        <w:rPr>
          <w:rFonts w:eastAsia="Times New Roman"/>
          <w:color w:val="222222"/>
          <w:sz w:val="24"/>
          <w:szCs w:val="24"/>
          <w:highlight w:val="yellow"/>
        </w:rPr>
        <w:lastRenderedPageBreak/>
        <w:t>Syanya, F. J., Mathia, W. M., &amp; Harikrishnan, M. (2023). Quality and safety concerns of farmed tilapia fish during freezing and frozen storage. </w:t>
      </w:r>
      <w:r w:rsidRPr="0012223B">
        <w:rPr>
          <w:rFonts w:eastAsia="Times New Roman"/>
          <w:i/>
          <w:iCs/>
          <w:color w:val="222222"/>
          <w:sz w:val="24"/>
          <w:szCs w:val="24"/>
          <w:highlight w:val="yellow"/>
        </w:rPr>
        <w:t>Asian Food Science Journal</w:t>
      </w:r>
      <w:r w:rsidRPr="0012223B">
        <w:rPr>
          <w:rFonts w:eastAsia="Times New Roman"/>
          <w:color w:val="222222"/>
          <w:sz w:val="24"/>
          <w:szCs w:val="24"/>
          <w:highlight w:val="yellow"/>
        </w:rPr>
        <w:t>, </w:t>
      </w:r>
      <w:r w:rsidRPr="0012223B">
        <w:rPr>
          <w:rFonts w:eastAsia="Times New Roman"/>
          <w:i/>
          <w:iCs/>
          <w:color w:val="222222"/>
          <w:sz w:val="24"/>
          <w:szCs w:val="24"/>
          <w:highlight w:val="yellow"/>
        </w:rPr>
        <w:t>22</w:t>
      </w:r>
      <w:r w:rsidRPr="0012223B">
        <w:rPr>
          <w:rFonts w:eastAsia="Times New Roman"/>
          <w:color w:val="222222"/>
          <w:sz w:val="24"/>
          <w:szCs w:val="24"/>
          <w:highlight w:val="yellow"/>
        </w:rPr>
        <w:t>(6), 40-58.</w:t>
      </w:r>
    </w:p>
    <w:p w14:paraId="1F312FF5" w14:textId="77777777" w:rsidR="00084FAB" w:rsidRDefault="00084FAB" w:rsidP="00AA0656">
      <w:pPr>
        <w:spacing w:before="60" w:after="60"/>
        <w:ind w:left="720" w:right="-331" w:hanging="720"/>
        <w:jc w:val="both"/>
        <w:rPr>
          <w:rFonts w:eastAsia="Times New Roman"/>
          <w:color w:val="222222"/>
          <w:sz w:val="24"/>
          <w:szCs w:val="24"/>
          <w:highlight w:val="yellow"/>
        </w:rPr>
      </w:pPr>
    </w:p>
    <w:p w14:paraId="30601753" w14:textId="63C9766B" w:rsidR="004154BD" w:rsidRDefault="004154BD" w:rsidP="00AA0656">
      <w:pPr>
        <w:spacing w:before="60" w:after="60"/>
        <w:ind w:left="720" w:right="-331" w:hanging="720"/>
        <w:jc w:val="both"/>
        <w:rPr>
          <w:rFonts w:eastAsia="Times New Roman"/>
          <w:color w:val="222222"/>
          <w:sz w:val="24"/>
          <w:szCs w:val="24"/>
          <w:highlight w:val="yellow"/>
        </w:rPr>
      </w:pPr>
      <w:r w:rsidRPr="004154BD">
        <w:rPr>
          <w:rFonts w:eastAsia="Times New Roman"/>
          <w:color w:val="222222"/>
          <w:sz w:val="24"/>
          <w:szCs w:val="24"/>
          <w:highlight w:val="yellow"/>
        </w:rPr>
        <w:t>Lailossa, G. W. (2015). The new paradigm of cold chain management systems and it's logistics on Tuna fishery sector in Indonesia. </w:t>
      </w:r>
      <w:r w:rsidRPr="004154BD">
        <w:rPr>
          <w:rFonts w:eastAsia="Times New Roman"/>
          <w:i/>
          <w:iCs/>
          <w:color w:val="222222"/>
          <w:sz w:val="24"/>
          <w:szCs w:val="24"/>
          <w:highlight w:val="yellow"/>
        </w:rPr>
        <w:t>Aquaculture, Aquarium, Conservation &amp; Legislation</w:t>
      </w:r>
      <w:r w:rsidRPr="004154BD">
        <w:rPr>
          <w:rFonts w:eastAsia="Times New Roman"/>
          <w:color w:val="222222"/>
          <w:sz w:val="24"/>
          <w:szCs w:val="24"/>
          <w:highlight w:val="yellow"/>
        </w:rPr>
        <w:t>, </w:t>
      </w:r>
      <w:r w:rsidRPr="004154BD">
        <w:rPr>
          <w:rFonts w:eastAsia="Times New Roman"/>
          <w:i/>
          <w:iCs/>
          <w:color w:val="222222"/>
          <w:sz w:val="24"/>
          <w:szCs w:val="24"/>
          <w:highlight w:val="yellow"/>
        </w:rPr>
        <w:t>8</w:t>
      </w:r>
      <w:r w:rsidRPr="004154BD">
        <w:rPr>
          <w:rFonts w:eastAsia="Times New Roman"/>
          <w:color w:val="222222"/>
          <w:sz w:val="24"/>
          <w:szCs w:val="24"/>
          <w:highlight w:val="yellow"/>
        </w:rPr>
        <w:t>(3), 381-389.</w:t>
      </w:r>
    </w:p>
    <w:p w14:paraId="2B554105" w14:textId="7D86D89A" w:rsidR="00D243D3" w:rsidRDefault="00D243D3" w:rsidP="00AA0656">
      <w:pPr>
        <w:spacing w:before="60" w:after="60"/>
        <w:ind w:left="720" w:right="-331" w:hanging="720"/>
        <w:jc w:val="both"/>
        <w:rPr>
          <w:rFonts w:eastAsia="Times New Roman"/>
          <w:color w:val="222222"/>
          <w:sz w:val="24"/>
          <w:szCs w:val="24"/>
          <w:highlight w:val="yellow"/>
        </w:rPr>
      </w:pPr>
      <w:r w:rsidRPr="00D243D3">
        <w:rPr>
          <w:rFonts w:eastAsia="Times New Roman"/>
          <w:color w:val="222222"/>
          <w:sz w:val="24"/>
          <w:szCs w:val="24"/>
          <w:highlight w:val="yellow"/>
        </w:rPr>
        <w:t>Masniyom, P., Benjakul, S., &amp; Visessanguan, W. (2005). Combination effect of phosphate and modified atmosphere on quality and shelf-life extension of refrigerated seabass slices. </w:t>
      </w:r>
      <w:r w:rsidRPr="00D243D3">
        <w:rPr>
          <w:rFonts w:eastAsia="Times New Roman"/>
          <w:i/>
          <w:iCs/>
          <w:color w:val="222222"/>
          <w:sz w:val="24"/>
          <w:szCs w:val="24"/>
          <w:highlight w:val="yellow"/>
        </w:rPr>
        <w:t>LWT-Food Science and Technology</w:t>
      </w:r>
      <w:r w:rsidRPr="00D243D3">
        <w:rPr>
          <w:rFonts w:eastAsia="Times New Roman"/>
          <w:color w:val="222222"/>
          <w:sz w:val="24"/>
          <w:szCs w:val="24"/>
          <w:highlight w:val="yellow"/>
        </w:rPr>
        <w:t>, </w:t>
      </w:r>
      <w:r w:rsidRPr="00D243D3">
        <w:rPr>
          <w:rFonts w:eastAsia="Times New Roman"/>
          <w:i/>
          <w:iCs/>
          <w:color w:val="222222"/>
          <w:sz w:val="24"/>
          <w:szCs w:val="24"/>
          <w:highlight w:val="yellow"/>
        </w:rPr>
        <w:t>38</w:t>
      </w:r>
      <w:r w:rsidRPr="00D243D3">
        <w:rPr>
          <w:rFonts w:eastAsia="Times New Roman"/>
          <w:color w:val="222222"/>
          <w:sz w:val="24"/>
          <w:szCs w:val="24"/>
          <w:highlight w:val="yellow"/>
        </w:rPr>
        <w:t>(7), 745-756.</w:t>
      </w:r>
    </w:p>
    <w:p w14:paraId="56316FF9" w14:textId="71639207" w:rsidR="00BB1811" w:rsidRDefault="00BB1811" w:rsidP="00AA0656">
      <w:pPr>
        <w:spacing w:before="60" w:after="60"/>
        <w:ind w:left="720" w:right="-331" w:hanging="720"/>
        <w:jc w:val="both"/>
        <w:rPr>
          <w:rFonts w:eastAsia="Times New Roman"/>
          <w:color w:val="222222"/>
          <w:sz w:val="24"/>
          <w:szCs w:val="24"/>
          <w:highlight w:val="yellow"/>
        </w:rPr>
      </w:pPr>
      <w:r w:rsidRPr="00BB1811">
        <w:rPr>
          <w:rFonts w:eastAsia="Times New Roman"/>
          <w:color w:val="222222"/>
          <w:sz w:val="24"/>
          <w:szCs w:val="24"/>
          <w:highlight w:val="yellow"/>
        </w:rPr>
        <w:t>Rattanasatheirn, N., Benjakul, S., Visessanguan, W., &amp; Kijroongrojana, K. (2008). Properties, translucence, and microstructure of Pacific white shrimp treated with mixed phosphates as affected by freshness and deveining. </w:t>
      </w:r>
      <w:r w:rsidRPr="00BB1811">
        <w:rPr>
          <w:rFonts w:eastAsia="Times New Roman"/>
          <w:i/>
          <w:iCs/>
          <w:color w:val="222222"/>
          <w:sz w:val="24"/>
          <w:szCs w:val="24"/>
          <w:highlight w:val="yellow"/>
        </w:rPr>
        <w:t>Journal of Food Science</w:t>
      </w:r>
      <w:r w:rsidRPr="00BB1811">
        <w:rPr>
          <w:rFonts w:eastAsia="Times New Roman"/>
          <w:color w:val="222222"/>
          <w:sz w:val="24"/>
          <w:szCs w:val="24"/>
          <w:highlight w:val="yellow"/>
        </w:rPr>
        <w:t>, </w:t>
      </w:r>
      <w:r w:rsidRPr="00BB1811">
        <w:rPr>
          <w:rFonts w:eastAsia="Times New Roman"/>
          <w:i/>
          <w:iCs/>
          <w:color w:val="222222"/>
          <w:sz w:val="24"/>
          <w:szCs w:val="24"/>
          <w:highlight w:val="yellow"/>
        </w:rPr>
        <w:t>73</w:t>
      </w:r>
      <w:r w:rsidRPr="00BB1811">
        <w:rPr>
          <w:rFonts w:eastAsia="Times New Roman"/>
          <w:color w:val="222222"/>
          <w:sz w:val="24"/>
          <w:szCs w:val="24"/>
          <w:highlight w:val="yellow"/>
        </w:rPr>
        <w:t>(1), S31-S40.</w:t>
      </w:r>
    </w:p>
    <w:p w14:paraId="6D447D40" w14:textId="5278D779" w:rsidR="009A25AA" w:rsidRPr="003B1B03" w:rsidRDefault="009A25AA" w:rsidP="00AA0656">
      <w:pPr>
        <w:spacing w:before="60" w:after="60"/>
        <w:ind w:left="720" w:right="-331" w:hanging="720"/>
        <w:jc w:val="both"/>
        <w:rPr>
          <w:rFonts w:eastAsia="Times New Roman"/>
          <w:color w:val="222222"/>
          <w:sz w:val="24"/>
          <w:szCs w:val="24"/>
          <w:highlight w:val="yellow"/>
        </w:rPr>
      </w:pPr>
      <w:r w:rsidRPr="009A25AA">
        <w:rPr>
          <w:rFonts w:eastAsia="Times New Roman"/>
          <w:color w:val="222222"/>
          <w:sz w:val="24"/>
          <w:szCs w:val="24"/>
          <w:highlight w:val="yellow"/>
        </w:rPr>
        <w:t>Thorarinsdottir, K. A., Gudmundsdottir, G., Arason, S., Thorkelsson, G., &amp; Kristbergsson, K. (2004). Effects of added salt, phosphates, and proteins on the chemical and physicochemical characteristics of frozen cod (Gadus morhua) fillets. </w:t>
      </w:r>
      <w:r w:rsidRPr="009A25AA">
        <w:rPr>
          <w:rFonts w:eastAsia="Times New Roman"/>
          <w:i/>
          <w:iCs/>
          <w:color w:val="222222"/>
          <w:sz w:val="24"/>
          <w:szCs w:val="24"/>
          <w:highlight w:val="yellow"/>
        </w:rPr>
        <w:t>Journal of Food Science</w:t>
      </w:r>
      <w:r w:rsidRPr="009A25AA">
        <w:rPr>
          <w:rFonts w:eastAsia="Times New Roman"/>
          <w:color w:val="222222"/>
          <w:sz w:val="24"/>
          <w:szCs w:val="24"/>
          <w:highlight w:val="yellow"/>
        </w:rPr>
        <w:t>, </w:t>
      </w:r>
      <w:r w:rsidRPr="009A25AA">
        <w:rPr>
          <w:rFonts w:eastAsia="Times New Roman"/>
          <w:i/>
          <w:iCs/>
          <w:color w:val="222222"/>
          <w:sz w:val="24"/>
          <w:szCs w:val="24"/>
          <w:highlight w:val="yellow"/>
        </w:rPr>
        <w:t>69</w:t>
      </w:r>
      <w:r w:rsidRPr="009A25AA">
        <w:rPr>
          <w:rFonts w:eastAsia="Times New Roman"/>
          <w:color w:val="222222"/>
          <w:sz w:val="24"/>
          <w:szCs w:val="24"/>
          <w:highlight w:val="yellow"/>
        </w:rPr>
        <w:t>(4), SNQ144-SNQ152.</w:t>
      </w:r>
    </w:p>
    <w:p w14:paraId="4E299EA0" w14:textId="77777777" w:rsidR="0098665D" w:rsidRPr="00116DE9" w:rsidRDefault="0098665D">
      <w:pPr>
        <w:rPr>
          <w:sz w:val="24"/>
          <w:szCs w:val="24"/>
        </w:rPr>
      </w:pPr>
    </w:p>
    <w:p w14:paraId="6C9BA358" w14:textId="77777777" w:rsidR="0098665D" w:rsidRPr="00116DE9" w:rsidRDefault="0098665D">
      <w:pPr>
        <w:rPr>
          <w:sz w:val="24"/>
          <w:szCs w:val="24"/>
        </w:rPr>
      </w:pPr>
    </w:p>
    <w:p w14:paraId="1EA5F2BD" w14:textId="77777777" w:rsidR="0098665D" w:rsidRPr="00116DE9" w:rsidRDefault="0098665D">
      <w:pPr>
        <w:rPr>
          <w:sz w:val="24"/>
          <w:szCs w:val="24"/>
        </w:rPr>
      </w:pPr>
    </w:p>
    <w:p w14:paraId="32595A4F" w14:textId="77777777" w:rsidR="0098665D" w:rsidRPr="00116DE9" w:rsidRDefault="0098665D">
      <w:pPr>
        <w:rPr>
          <w:sz w:val="24"/>
          <w:szCs w:val="24"/>
        </w:rPr>
      </w:pPr>
    </w:p>
    <w:p w14:paraId="4279FDD0" w14:textId="77777777" w:rsidR="0098665D" w:rsidRPr="00116DE9" w:rsidRDefault="0098665D">
      <w:pPr>
        <w:rPr>
          <w:sz w:val="24"/>
          <w:szCs w:val="24"/>
        </w:rPr>
      </w:pPr>
    </w:p>
    <w:p w14:paraId="5B120DA1" w14:textId="77777777" w:rsidR="0098665D" w:rsidRPr="00116DE9" w:rsidRDefault="0098665D">
      <w:pPr>
        <w:rPr>
          <w:sz w:val="24"/>
          <w:szCs w:val="24"/>
        </w:rPr>
      </w:pPr>
    </w:p>
    <w:p w14:paraId="00DE9BD9" w14:textId="77777777" w:rsidR="0098665D" w:rsidRPr="00116DE9" w:rsidRDefault="0098665D">
      <w:pPr>
        <w:rPr>
          <w:sz w:val="24"/>
          <w:szCs w:val="24"/>
        </w:rPr>
      </w:pPr>
    </w:p>
    <w:p w14:paraId="770D946B" w14:textId="77777777" w:rsidR="0098665D" w:rsidRPr="00116DE9" w:rsidRDefault="0098665D">
      <w:pPr>
        <w:rPr>
          <w:b/>
          <w:bCs/>
          <w:sz w:val="24"/>
          <w:szCs w:val="24"/>
        </w:rPr>
      </w:pPr>
    </w:p>
    <w:sectPr w:rsidR="0098665D" w:rsidRPr="00116D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7BEC" w14:textId="77777777" w:rsidR="006A4BBD" w:rsidRDefault="006A4BBD" w:rsidP="00C96C66">
      <w:pPr>
        <w:spacing w:line="240" w:lineRule="auto"/>
      </w:pPr>
      <w:r>
        <w:separator/>
      </w:r>
    </w:p>
  </w:endnote>
  <w:endnote w:type="continuationSeparator" w:id="0">
    <w:p w14:paraId="06A1642A" w14:textId="77777777" w:rsidR="006A4BBD" w:rsidRDefault="006A4BBD" w:rsidP="00C96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104" w14:textId="77777777" w:rsidR="00C96C66" w:rsidRDefault="00C9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2553" w14:textId="77777777" w:rsidR="00C96C66" w:rsidRDefault="00C96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7F39" w14:textId="77777777" w:rsidR="00C96C66" w:rsidRDefault="00C9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A3F7" w14:textId="77777777" w:rsidR="006A4BBD" w:rsidRDefault="006A4BBD" w:rsidP="00C96C66">
      <w:pPr>
        <w:spacing w:line="240" w:lineRule="auto"/>
      </w:pPr>
      <w:r>
        <w:separator/>
      </w:r>
    </w:p>
  </w:footnote>
  <w:footnote w:type="continuationSeparator" w:id="0">
    <w:p w14:paraId="1BE1F081" w14:textId="77777777" w:rsidR="006A4BBD" w:rsidRDefault="006A4BBD" w:rsidP="00C96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48BE" w14:textId="2F42EB3A" w:rsidR="00C96C66" w:rsidRDefault="00000000">
    <w:pPr>
      <w:pStyle w:val="Header"/>
    </w:pPr>
    <w:r>
      <w:rPr>
        <w:noProof/>
      </w:rPr>
      <w:pict w14:anchorId="0CFF0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37344"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DD6E" w14:textId="22BFA914" w:rsidR="00C96C66" w:rsidRDefault="00000000">
    <w:pPr>
      <w:pStyle w:val="Header"/>
    </w:pPr>
    <w:r>
      <w:rPr>
        <w:noProof/>
      </w:rPr>
      <w:pict w14:anchorId="475F0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37345"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18D8" w14:textId="6BDE3E0D" w:rsidR="00C96C66" w:rsidRDefault="00000000">
    <w:pPr>
      <w:pStyle w:val="Header"/>
    </w:pPr>
    <w:r>
      <w:rPr>
        <w:noProof/>
      </w:rPr>
      <w:pict w14:anchorId="4E77F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37343"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40C0"/>
    <w:multiLevelType w:val="hybridMultilevel"/>
    <w:tmpl w:val="27BE2F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E9622BE"/>
    <w:multiLevelType w:val="hybridMultilevel"/>
    <w:tmpl w:val="1CBA72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EE31951"/>
    <w:multiLevelType w:val="hybridMultilevel"/>
    <w:tmpl w:val="6C6A9A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0970226">
    <w:abstractNumId w:val="1"/>
  </w:num>
  <w:num w:numId="2" w16cid:durableId="1946959112">
    <w:abstractNumId w:val="0"/>
  </w:num>
  <w:num w:numId="3" w16cid:durableId="724640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NrI0sDAwMLG0NDVV0lEKTi0uzszPAykwrgUAmLwJDCwAAAA="/>
  </w:docVars>
  <w:rsids>
    <w:rsidRoot w:val="00D3182A"/>
    <w:rsid w:val="00000B98"/>
    <w:rsid w:val="00021935"/>
    <w:rsid w:val="0004493D"/>
    <w:rsid w:val="00055C1E"/>
    <w:rsid w:val="00084FAB"/>
    <w:rsid w:val="000861BF"/>
    <w:rsid w:val="00090075"/>
    <w:rsid w:val="000A5E4C"/>
    <w:rsid w:val="000B3D90"/>
    <w:rsid w:val="000C395C"/>
    <w:rsid w:val="000C596F"/>
    <w:rsid w:val="000D33D2"/>
    <w:rsid w:val="000F2E37"/>
    <w:rsid w:val="000F3F69"/>
    <w:rsid w:val="00100FA4"/>
    <w:rsid w:val="00116DE9"/>
    <w:rsid w:val="001170E5"/>
    <w:rsid w:val="0012223B"/>
    <w:rsid w:val="00125257"/>
    <w:rsid w:val="0013184D"/>
    <w:rsid w:val="0014210B"/>
    <w:rsid w:val="001634D9"/>
    <w:rsid w:val="0018119A"/>
    <w:rsid w:val="001831B1"/>
    <w:rsid w:val="001939A7"/>
    <w:rsid w:val="001A3BF1"/>
    <w:rsid w:val="001A6CFC"/>
    <w:rsid w:val="001B180E"/>
    <w:rsid w:val="001B546F"/>
    <w:rsid w:val="001E3CC9"/>
    <w:rsid w:val="001E7D60"/>
    <w:rsid w:val="001F453D"/>
    <w:rsid w:val="00206026"/>
    <w:rsid w:val="002132CB"/>
    <w:rsid w:val="00224D64"/>
    <w:rsid w:val="00226026"/>
    <w:rsid w:val="00226951"/>
    <w:rsid w:val="0023327A"/>
    <w:rsid w:val="00233D43"/>
    <w:rsid w:val="00236D5C"/>
    <w:rsid w:val="00280A7B"/>
    <w:rsid w:val="0028218B"/>
    <w:rsid w:val="00285A5D"/>
    <w:rsid w:val="002A0259"/>
    <w:rsid w:val="002C727E"/>
    <w:rsid w:val="0030403E"/>
    <w:rsid w:val="00346749"/>
    <w:rsid w:val="00350A9A"/>
    <w:rsid w:val="00350C95"/>
    <w:rsid w:val="0035150C"/>
    <w:rsid w:val="003555A6"/>
    <w:rsid w:val="00362DF8"/>
    <w:rsid w:val="0039413E"/>
    <w:rsid w:val="00397400"/>
    <w:rsid w:val="003A6219"/>
    <w:rsid w:val="003B1B03"/>
    <w:rsid w:val="003C539D"/>
    <w:rsid w:val="003D0F1D"/>
    <w:rsid w:val="003D2461"/>
    <w:rsid w:val="00414488"/>
    <w:rsid w:val="004154BD"/>
    <w:rsid w:val="00420293"/>
    <w:rsid w:val="004249E5"/>
    <w:rsid w:val="004419F5"/>
    <w:rsid w:val="00444842"/>
    <w:rsid w:val="004523A3"/>
    <w:rsid w:val="00462064"/>
    <w:rsid w:val="00475A2B"/>
    <w:rsid w:val="00475C97"/>
    <w:rsid w:val="00485A77"/>
    <w:rsid w:val="004E63E1"/>
    <w:rsid w:val="00513C02"/>
    <w:rsid w:val="00513E19"/>
    <w:rsid w:val="00536788"/>
    <w:rsid w:val="00537A0B"/>
    <w:rsid w:val="00550D07"/>
    <w:rsid w:val="0056283E"/>
    <w:rsid w:val="00565E0F"/>
    <w:rsid w:val="00582BA2"/>
    <w:rsid w:val="005A3432"/>
    <w:rsid w:val="005C16A9"/>
    <w:rsid w:val="005D6BA0"/>
    <w:rsid w:val="005E64B4"/>
    <w:rsid w:val="005F215A"/>
    <w:rsid w:val="005F2725"/>
    <w:rsid w:val="0060391B"/>
    <w:rsid w:val="00604F7E"/>
    <w:rsid w:val="00633178"/>
    <w:rsid w:val="00634333"/>
    <w:rsid w:val="006375D2"/>
    <w:rsid w:val="006454E0"/>
    <w:rsid w:val="00653480"/>
    <w:rsid w:val="00686027"/>
    <w:rsid w:val="006A4BBD"/>
    <w:rsid w:val="006B058F"/>
    <w:rsid w:val="006E132F"/>
    <w:rsid w:val="006E22F3"/>
    <w:rsid w:val="006F071F"/>
    <w:rsid w:val="006F2DF3"/>
    <w:rsid w:val="007313AC"/>
    <w:rsid w:val="0076065C"/>
    <w:rsid w:val="0077509D"/>
    <w:rsid w:val="00786C0F"/>
    <w:rsid w:val="007B3C87"/>
    <w:rsid w:val="007D2C3A"/>
    <w:rsid w:val="007E109D"/>
    <w:rsid w:val="00826543"/>
    <w:rsid w:val="00834BF3"/>
    <w:rsid w:val="00834CC1"/>
    <w:rsid w:val="00853116"/>
    <w:rsid w:val="00855357"/>
    <w:rsid w:val="008709C3"/>
    <w:rsid w:val="008B51A5"/>
    <w:rsid w:val="008B6524"/>
    <w:rsid w:val="009044B1"/>
    <w:rsid w:val="00934BEB"/>
    <w:rsid w:val="00937A72"/>
    <w:rsid w:val="00943EE1"/>
    <w:rsid w:val="009646AA"/>
    <w:rsid w:val="009771AA"/>
    <w:rsid w:val="0098665D"/>
    <w:rsid w:val="009A25AA"/>
    <w:rsid w:val="009A5000"/>
    <w:rsid w:val="00A038EF"/>
    <w:rsid w:val="00A1701B"/>
    <w:rsid w:val="00A36907"/>
    <w:rsid w:val="00AA0656"/>
    <w:rsid w:val="00AA49B2"/>
    <w:rsid w:val="00AB180F"/>
    <w:rsid w:val="00AC2F88"/>
    <w:rsid w:val="00B12952"/>
    <w:rsid w:val="00B15081"/>
    <w:rsid w:val="00B636CD"/>
    <w:rsid w:val="00B735D7"/>
    <w:rsid w:val="00B73E11"/>
    <w:rsid w:val="00B879F6"/>
    <w:rsid w:val="00B93FA9"/>
    <w:rsid w:val="00BA43DF"/>
    <w:rsid w:val="00BB1811"/>
    <w:rsid w:val="00BB4351"/>
    <w:rsid w:val="00BB592C"/>
    <w:rsid w:val="00BD07AD"/>
    <w:rsid w:val="00BD0A13"/>
    <w:rsid w:val="00BD7F0C"/>
    <w:rsid w:val="00BE4513"/>
    <w:rsid w:val="00BF5A7F"/>
    <w:rsid w:val="00C0721A"/>
    <w:rsid w:val="00C13FA0"/>
    <w:rsid w:val="00C1662F"/>
    <w:rsid w:val="00C33B08"/>
    <w:rsid w:val="00C43814"/>
    <w:rsid w:val="00C54CBF"/>
    <w:rsid w:val="00C60C51"/>
    <w:rsid w:val="00C655CB"/>
    <w:rsid w:val="00C77E16"/>
    <w:rsid w:val="00C96C66"/>
    <w:rsid w:val="00C97047"/>
    <w:rsid w:val="00CA47F6"/>
    <w:rsid w:val="00CB6685"/>
    <w:rsid w:val="00CC0FF1"/>
    <w:rsid w:val="00CC7361"/>
    <w:rsid w:val="00CD184A"/>
    <w:rsid w:val="00CE6539"/>
    <w:rsid w:val="00CF235C"/>
    <w:rsid w:val="00D0765B"/>
    <w:rsid w:val="00D124D1"/>
    <w:rsid w:val="00D243D3"/>
    <w:rsid w:val="00D25374"/>
    <w:rsid w:val="00D3182A"/>
    <w:rsid w:val="00D42ECD"/>
    <w:rsid w:val="00D44370"/>
    <w:rsid w:val="00D64B6A"/>
    <w:rsid w:val="00D7726C"/>
    <w:rsid w:val="00DB5FD1"/>
    <w:rsid w:val="00DC24ED"/>
    <w:rsid w:val="00DC4480"/>
    <w:rsid w:val="00DD7A86"/>
    <w:rsid w:val="00DE6303"/>
    <w:rsid w:val="00DF1D7B"/>
    <w:rsid w:val="00E016B9"/>
    <w:rsid w:val="00E06275"/>
    <w:rsid w:val="00E25A98"/>
    <w:rsid w:val="00E33F99"/>
    <w:rsid w:val="00E41B70"/>
    <w:rsid w:val="00E4359E"/>
    <w:rsid w:val="00E55C0B"/>
    <w:rsid w:val="00E57A46"/>
    <w:rsid w:val="00E60F26"/>
    <w:rsid w:val="00E71D31"/>
    <w:rsid w:val="00E72E4E"/>
    <w:rsid w:val="00E75A41"/>
    <w:rsid w:val="00E87AAC"/>
    <w:rsid w:val="00E9033A"/>
    <w:rsid w:val="00E907D6"/>
    <w:rsid w:val="00E96A87"/>
    <w:rsid w:val="00EE4B64"/>
    <w:rsid w:val="00EF730F"/>
    <w:rsid w:val="00F10AD3"/>
    <w:rsid w:val="00F52DCE"/>
    <w:rsid w:val="00F8483A"/>
    <w:rsid w:val="00FB5C1C"/>
    <w:rsid w:val="00FD05A1"/>
    <w:rsid w:val="00FE1A39"/>
    <w:rsid w:val="00FE45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68593"/>
  <w15:chartTrackingRefBased/>
  <w15:docId w15:val="{D57563B5-01CA-4C87-B151-9B79BA09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6A"/>
    <w:pPr>
      <w:spacing w:after="0" w:line="276" w:lineRule="auto"/>
    </w:pPr>
    <w:rPr>
      <w:rFonts w:ascii="Arial" w:eastAsia="Arial" w:hAnsi="Arial" w:cs="Arial"/>
      <w:kern w:val="0"/>
      <w:sz w:val="22"/>
      <w:szCs w:val="22"/>
      <w:lang w:val="en-GB" w:eastAsia="en-IN"/>
      <w14:ligatures w14:val="none"/>
    </w:rPr>
  </w:style>
  <w:style w:type="paragraph" w:styleId="Heading1">
    <w:name w:val="heading 1"/>
    <w:basedOn w:val="Normal"/>
    <w:next w:val="Normal"/>
    <w:link w:val="Heading1Char"/>
    <w:uiPriority w:val="9"/>
    <w:qFormat/>
    <w:rsid w:val="00D318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8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8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8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8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8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8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8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8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8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8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8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8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8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82A"/>
    <w:rPr>
      <w:rFonts w:eastAsiaTheme="majorEastAsia" w:cstheme="majorBidi"/>
      <w:color w:val="272727" w:themeColor="text1" w:themeTint="D8"/>
    </w:rPr>
  </w:style>
  <w:style w:type="paragraph" w:styleId="Title">
    <w:name w:val="Title"/>
    <w:basedOn w:val="Normal"/>
    <w:next w:val="Normal"/>
    <w:link w:val="TitleChar"/>
    <w:uiPriority w:val="10"/>
    <w:qFormat/>
    <w:rsid w:val="00D31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82A"/>
    <w:pPr>
      <w:spacing w:before="160"/>
      <w:jc w:val="center"/>
    </w:pPr>
    <w:rPr>
      <w:i/>
      <w:iCs/>
      <w:color w:val="404040" w:themeColor="text1" w:themeTint="BF"/>
    </w:rPr>
  </w:style>
  <w:style w:type="character" w:customStyle="1" w:styleId="QuoteChar">
    <w:name w:val="Quote Char"/>
    <w:basedOn w:val="DefaultParagraphFont"/>
    <w:link w:val="Quote"/>
    <w:uiPriority w:val="29"/>
    <w:rsid w:val="00D3182A"/>
    <w:rPr>
      <w:i/>
      <w:iCs/>
      <w:color w:val="404040" w:themeColor="text1" w:themeTint="BF"/>
    </w:rPr>
  </w:style>
  <w:style w:type="paragraph" w:styleId="ListParagraph">
    <w:name w:val="List Paragraph"/>
    <w:basedOn w:val="Normal"/>
    <w:uiPriority w:val="34"/>
    <w:qFormat/>
    <w:rsid w:val="00D3182A"/>
    <w:pPr>
      <w:ind w:left="720"/>
      <w:contextualSpacing/>
    </w:pPr>
  </w:style>
  <w:style w:type="character" w:styleId="IntenseEmphasis">
    <w:name w:val="Intense Emphasis"/>
    <w:basedOn w:val="DefaultParagraphFont"/>
    <w:uiPriority w:val="21"/>
    <w:qFormat/>
    <w:rsid w:val="00D3182A"/>
    <w:rPr>
      <w:i/>
      <w:iCs/>
      <w:color w:val="2F5496" w:themeColor="accent1" w:themeShade="BF"/>
    </w:rPr>
  </w:style>
  <w:style w:type="paragraph" w:styleId="IntenseQuote">
    <w:name w:val="Intense Quote"/>
    <w:basedOn w:val="Normal"/>
    <w:next w:val="Normal"/>
    <w:link w:val="IntenseQuoteChar"/>
    <w:uiPriority w:val="30"/>
    <w:qFormat/>
    <w:rsid w:val="00D31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82A"/>
    <w:rPr>
      <w:i/>
      <w:iCs/>
      <w:color w:val="2F5496" w:themeColor="accent1" w:themeShade="BF"/>
    </w:rPr>
  </w:style>
  <w:style w:type="character" w:styleId="IntenseReference">
    <w:name w:val="Intense Reference"/>
    <w:basedOn w:val="DefaultParagraphFont"/>
    <w:uiPriority w:val="32"/>
    <w:qFormat/>
    <w:rsid w:val="00D3182A"/>
    <w:rPr>
      <w:b/>
      <w:bCs/>
      <w:smallCaps/>
      <w:color w:val="2F5496" w:themeColor="accent1" w:themeShade="BF"/>
      <w:spacing w:val="5"/>
    </w:rPr>
  </w:style>
  <w:style w:type="character" w:styleId="Hyperlink">
    <w:name w:val="Hyperlink"/>
    <w:basedOn w:val="DefaultParagraphFont"/>
    <w:uiPriority w:val="99"/>
    <w:unhideWhenUsed/>
    <w:rsid w:val="007B3C87"/>
    <w:rPr>
      <w:color w:val="0563C1" w:themeColor="hyperlink"/>
      <w:u w:val="single"/>
    </w:rPr>
  </w:style>
  <w:style w:type="table" w:styleId="TableGrid">
    <w:name w:val="Table Grid"/>
    <w:basedOn w:val="TableNormal"/>
    <w:uiPriority w:val="39"/>
    <w:rsid w:val="00B93FA9"/>
    <w:pPr>
      <w:spacing w:after="0" w:line="240" w:lineRule="auto"/>
    </w:pPr>
    <w:rPr>
      <w:rFonts w:ascii="Arial" w:eastAsia="Arial" w:hAnsi="Arial" w:cs="Arial"/>
      <w:kern w:val="0"/>
      <w:sz w:val="22"/>
      <w:szCs w:val="22"/>
      <w:lang w:val="en-GB"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7D2C3A"/>
    <w:pPr>
      <w:spacing w:after="0" w:line="276" w:lineRule="auto"/>
    </w:pPr>
    <w:rPr>
      <w:rFonts w:ascii="Arial" w:eastAsia="Arial" w:hAnsi="Arial" w:cs="Arial"/>
      <w:kern w:val="0"/>
      <w:sz w:val="22"/>
      <w:szCs w:val="22"/>
      <w:lang w:val="en-GB" w:eastAsia="en-IN"/>
      <w14:ligatures w14:val="none"/>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75A41"/>
    <w:rPr>
      <w:color w:val="605E5C"/>
      <w:shd w:val="clear" w:color="auto" w:fill="E1DFDD"/>
    </w:rPr>
  </w:style>
  <w:style w:type="paragraph" w:styleId="Header">
    <w:name w:val="header"/>
    <w:basedOn w:val="Normal"/>
    <w:link w:val="HeaderChar"/>
    <w:uiPriority w:val="99"/>
    <w:unhideWhenUsed/>
    <w:rsid w:val="00C96C66"/>
    <w:pPr>
      <w:tabs>
        <w:tab w:val="center" w:pos="4680"/>
        <w:tab w:val="right" w:pos="9360"/>
      </w:tabs>
      <w:spacing w:line="240" w:lineRule="auto"/>
    </w:pPr>
  </w:style>
  <w:style w:type="character" w:customStyle="1" w:styleId="HeaderChar">
    <w:name w:val="Header Char"/>
    <w:basedOn w:val="DefaultParagraphFont"/>
    <w:link w:val="Header"/>
    <w:uiPriority w:val="99"/>
    <w:rsid w:val="00C96C66"/>
    <w:rPr>
      <w:rFonts w:ascii="Arial" w:eastAsia="Arial" w:hAnsi="Arial" w:cs="Arial"/>
      <w:kern w:val="0"/>
      <w:sz w:val="22"/>
      <w:szCs w:val="22"/>
      <w:lang w:val="en-GB" w:eastAsia="en-IN"/>
      <w14:ligatures w14:val="none"/>
    </w:rPr>
  </w:style>
  <w:style w:type="paragraph" w:styleId="Footer">
    <w:name w:val="footer"/>
    <w:basedOn w:val="Normal"/>
    <w:link w:val="FooterChar"/>
    <w:uiPriority w:val="99"/>
    <w:unhideWhenUsed/>
    <w:rsid w:val="00C96C66"/>
    <w:pPr>
      <w:tabs>
        <w:tab w:val="center" w:pos="4680"/>
        <w:tab w:val="right" w:pos="9360"/>
      </w:tabs>
      <w:spacing w:line="240" w:lineRule="auto"/>
    </w:pPr>
  </w:style>
  <w:style w:type="character" w:customStyle="1" w:styleId="FooterChar">
    <w:name w:val="Footer Char"/>
    <w:basedOn w:val="DefaultParagraphFont"/>
    <w:link w:val="Footer"/>
    <w:uiPriority w:val="99"/>
    <w:rsid w:val="00C96C66"/>
    <w:rPr>
      <w:rFonts w:ascii="Arial" w:eastAsia="Arial" w:hAnsi="Arial" w:cs="Arial"/>
      <w:kern w:val="0"/>
      <w:sz w:val="22"/>
      <w:szCs w:val="22"/>
      <w:lang w:val="en-GB" w:eastAsia="en-IN"/>
      <w14:ligatures w14:val="none"/>
    </w:rPr>
  </w:style>
  <w:style w:type="paragraph" w:styleId="NormalWeb">
    <w:name w:val="Normal (Web)"/>
    <w:basedOn w:val="Normal"/>
    <w:uiPriority w:val="99"/>
    <w:semiHidden/>
    <w:unhideWhenUsed/>
    <w:rsid w:val="00362D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Drip Loss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Sheet1!$L$24</c:f>
              <c:strCache>
                <c:ptCount val="1"/>
                <c:pt idx="0">
                  <c:v>T0</c:v>
                </c:pt>
              </c:strCache>
            </c:strRef>
          </c:tx>
          <c:spPr>
            <a:ln w="28575" cap="rnd">
              <a:solidFill>
                <a:schemeClr val="accent2"/>
              </a:solidFill>
              <a:round/>
            </a:ln>
            <a:effectLst/>
          </c:spPr>
          <c:marker>
            <c:symbol val="none"/>
          </c:marker>
          <c:cat>
            <c:numRef>
              <c:f>Sheet1!$M$23:$U$23</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Sheet1!$M$24:$U$24</c:f>
              <c:numCache>
                <c:formatCode>General</c:formatCode>
                <c:ptCount val="9"/>
                <c:pt idx="0">
                  <c:v>1.52</c:v>
                </c:pt>
                <c:pt idx="1">
                  <c:v>1.71</c:v>
                </c:pt>
                <c:pt idx="2">
                  <c:v>1.55</c:v>
                </c:pt>
                <c:pt idx="3">
                  <c:v>1.55</c:v>
                </c:pt>
                <c:pt idx="4">
                  <c:v>1.66</c:v>
                </c:pt>
                <c:pt idx="5">
                  <c:v>1.7</c:v>
                </c:pt>
                <c:pt idx="6">
                  <c:v>1.56</c:v>
                </c:pt>
                <c:pt idx="7">
                  <c:v>1.53</c:v>
                </c:pt>
                <c:pt idx="8">
                  <c:v>1.8</c:v>
                </c:pt>
              </c:numCache>
            </c:numRef>
          </c:val>
          <c:extLst>
            <c:ext xmlns:c16="http://schemas.microsoft.com/office/drawing/2014/chart" uri="{C3380CC4-5D6E-409C-BE32-E72D297353CC}">
              <c16:uniqueId val="{00000000-FC8D-4020-8790-54B34326A4B9}"/>
            </c:ext>
          </c:extLst>
        </c:ser>
        <c:ser>
          <c:idx val="1"/>
          <c:order val="1"/>
          <c:tx>
            <c:strRef>
              <c:f>Sheet1!$L$25</c:f>
              <c:strCache>
                <c:ptCount val="1"/>
                <c:pt idx="0">
                  <c:v>T1</c:v>
                </c:pt>
              </c:strCache>
            </c:strRef>
          </c:tx>
          <c:spPr>
            <a:ln w="28575" cap="rnd">
              <a:solidFill>
                <a:schemeClr val="accent4"/>
              </a:solidFill>
              <a:round/>
            </a:ln>
            <a:effectLst/>
          </c:spPr>
          <c:marker>
            <c:symbol val="none"/>
          </c:marker>
          <c:cat>
            <c:numRef>
              <c:f>Sheet1!$M$23:$U$23</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Sheet1!$M$25:$U$25</c:f>
              <c:numCache>
                <c:formatCode>General</c:formatCode>
                <c:ptCount val="9"/>
                <c:pt idx="0">
                  <c:v>2.82</c:v>
                </c:pt>
                <c:pt idx="1">
                  <c:v>2.82</c:v>
                </c:pt>
                <c:pt idx="2">
                  <c:v>4.47</c:v>
                </c:pt>
                <c:pt idx="3">
                  <c:v>6.12</c:v>
                </c:pt>
                <c:pt idx="4">
                  <c:v>6.23</c:v>
                </c:pt>
                <c:pt idx="5">
                  <c:v>6.14</c:v>
                </c:pt>
                <c:pt idx="6">
                  <c:v>6.27</c:v>
                </c:pt>
                <c:pt idx="7">
                  <c:v>6.23</c:v>
                </c:pt>
                <c:pt idx="8">
                  <c:v>6.05</c:v>
                </c:pt>
              </c:numCache>
            </c:numRef>
          </c:val>
          <c:extLst>
            <c:ext xmlns:c16="http://schemas.microsoft.com/office/drawing/2014/chart" uri="{C3380CC4-5D6E-409C-BE32-E72D297353CC}">
              <c16:uniqueId val="{00000001-FC8D-4020-8790-54B34326A4B9}"/>
            </c:ext>
          </c:extLst>
        </c:ser>
        <c:ser>
          <c:idx val="2"/>
          <c:order val="2"/>
          <c:tx>
            <c:strRef>
              <c:f>Sheet1!$L$26</c:f>
              <c:strCache>
                <c:ptCount val="1"/>
                <c:pt idx="0">
                  <c:v>T2</c:v>
                </c:pt>
              </c:strCache>
            </c:strRef>
          </c:tx>
          <c:spPr>
            <a:ln w="28575" cap="rnd">
              <a:solidFill>
                <a:schemeClr val="accent6"/>
              </a:solidFill>
              <a:round/>
            </a:ln>
            <a:effectLst/>
          </c:spPr>
          <c:marker>
            <c:symbol val="none"/>
          </c:marker>
          <c:cat>
            <c:numRef>
              <c:f>Sheet1!$M$23:$U$23</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Sheet1!$M$26:$U$26</c:f>
              <c:numCache>
                <c:formatCode>General</c:formatCode>
                <c:ptCount val="9"/>
                <c:pt idx="0">
                  <c:v>3.04</c:v>
                </c:pt>
                <c:pt idx="1">
                  <c:v>4.4400000000000004</c:v>
                </c:pt>
                <c:pt idx="2">
                  <c:v>5.25</c:v>
                </c:pt>
                <c:pt idx="3">
                  <c:v>8.35</c:v>
                </c:pt>
                <c:pt idx="4">
                  <c:v>8.58</c:v>
                </c:pt>
                <c:pt idx="5">
                  <c:v>9.1300000000000008</c:v>
                </c:pt>
                <c:pt idx="6">
                  <c:v>10.9</c:v>
                </c:pt>
                <c:pt idx="7">
                  <c:v>9.94</c:v>
                </c:pt>
                <c:pt idx="8">
                  <c:v>10.15</c:v>
                </c:pt>
              </c:numCache>
            </c:numRef>
          </c:val>
          <c:extLst>
            <c:ext xmlns:c16="http://schemas.microsoft.com/office/drawing/2014/chart" uri="{C3380CC4-5D6E-409C-BE32-E72D297353CC}">
              <c16:uniqueId val="{00000002-FC8D-4020-8790-54B34326A4B9}"/>
            </c:ext>
          </c:extLst>
        </c:ser>
        <c:ser>
          <c:idx val="3"/>
          <c:order val="3"/>
          <c:tx>
            <c:strRef>
              <c:f>Sheet1!$L$27</c:f>
              <c:strCache>
                <c:ptCount val="1"/>
                <c:pt idx="0">
                  <c:v>T3</c:v>
                </c:pt>
              </c:strCache>
            </c:strRef>
          </c:tx>
          <c:spPr>
            <a:ln w="28575" cap="rnd">
              <a:solidFill>
                <a:schemeClr val="accent2">
                  <a:lumMod val="60000"/>
                </a:schemeClr>
              </a:solidFill>
              <a:round/>
            </a:ln>
            <a:effectLst/>
          </c:spPr>
          <c:marker>
            <c:symbol val="none"/>
          </c:marker>
          <c:cat>
            <c:numRef>
              <c:f>Sheet1!$M$23:$U$23</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Sheet1!$M$27:$U$27</c:f>
              <c:numCache>
                <c:formatCode>General</c:formatCode>
                <c:ptCount val="9"/>
                <c:pt idx="0">
                  <c:v>1.32</c:v>
                </c:pt>
                <c:pt idx="1">
                  <c:v>1.48</c:v>
                </c:pt>
                <c:pt idx="2">
                  <c:v>1.56</c:v>
                </c:pt>
                <c:pt idx="3">
                  <c:v>1.38</c:v>
                </c:pt>
                <c:pt idx="4">
                  <c:v>1.67</c:v>
                </c:pt>
                <c:pt idx="5">
                  <c:v>1.39</c:v>
                </c:pt>
                <c:pt idx="6">
                  <c:v>1.27</c:v>
                </c:pt>
                <c:pt idx="7">
                  <c:v>1.25</c:v>
                </c:pt>
                <c:pt idx="8">
                  <c:v>1.35</c:v>
                </c:pt>
              </c:numCache>
            </c:numRef>
          </c:val>
          <c:extLst>
            <c:ext xmlns:c16="http://schemas.microsoft.com/office/drawing/2014/chart" uri="{C3380CC4-5D6E-409C-BE32-E72D297353CC}">
              <c16:uniqueId val="{00000003-FC8D-4020-8790-54B34326A4B9}"/>
            </c:ext>
          </c:extLst>
        </c:ser>
        <c:dLbls>
          <c:showLegendKey val="0"/>
          <c:showVal val="0"/>
          <c:showCatName val="0"/>
          <c:showSerName val="0"/>
          <c:showPercent val="0"/>
          <c:showBubbleSize val="0"/>
        </c:dLbls>
        <c:axId val="118074687"/>
        <c:axId val="118063647"/>
      </c:radarChart>
      <c:catAx>
        <c:axId val="11807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063647"/>
        <c:crosses val="autoZero"/>
        <c:auto val="1"/>
        <c:lblAlgn val="ctr"/>
        <c:lblOffset val="100"/>
        <c:noMultiLvlLbl val="0"/>
      </c:catAx>
      <c:valAx>
        <c:axId val="118063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07468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12</Pages>
  <Words>3644</Words>
  <Characters>20772</Characters>
  <Application>Microsoft Office Word</Application>
  <DocSecurity>0</DocSecurity>
  <Lines>173</Lines>
  <Paragraphs>48</Paragraphs>
  <ScaleCrop>false</ScaleCrop>
  <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Saiprasad Bhusare</dc:creator>
  <cp:keywords/>
  <dc:description/>
  <cp:lastModifiedBy>SDI 91</cp:lastModifiedBy>
  <cp:revision>105</cp:revision>
  <dcterms:created xsi:type="dcterms:W3CDTF">2025-11-05T16:17:00Z</dcterms:created>
  <dcterms:modified xsi:type="dcterms:W3CDTF">2025-11-08T11:18:00Z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d79eed27-1357-4dbc-b12d-6044df65a27d</vt:lpwstr>
  </property>
</Properties>
</file>