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156AE" w14:textId="0F1A0566" w:rsidR="004879C6" w:rsidRDefault="002636DD">
      <w:pPr>
        <w:spacing w:line="276" w:lineRule="auto"/>
        <w:jc w:val="center"/>
        <w:rPr>
          <w:b/>
        </w:rPr>
      </w:pPr>
      <w:r w:rsidRPr="002636DD">
        <w:rPr>
          <w:b/>
          <w:highlight w:val="yellow"/>
        </w:rPr>
        <w:t>Nutritional, Physical, and Sensory Evaluation of Wheat Flour Biscuits Supplemented with Bambara Groundnut and Bush Mango Flours</w:t>
      </w:r>
    </w:p>
    <w:p w14:paraId="09FC66C5" w14:textId="77777777" w:rsidR="004879C6" w:rsidRDefault="004879C6">
      <w:pPr>
        <w:pStyle w:val="Heading1"/>
        <w:spacing w:line="276" w:lineRule="auto"/>
      </w:pPr>
    </w:p>
    <w:p w14:paraId="7C4C5F81" w14:textId="77777777" w:rsidR="007C3E25" w:rsidRPr="007C3E25" w:rsidRDefault="007C3E25" w:rsidP="007C3E25"/>
    <w:p w14:paraId="32FF464B" w14:textId="77777777" w:rsidR="004879C6" w:rsidRDefault="00934F55">
      <w:pPr>
        <w:pStyle w:val="Heading1"/>
        <w:spacing w:line="276" w:lineRule="auto"/>
      </w:pPr>
      <w:r w:rsidRPr="00DE24EA">
        <w:rPr>
          <w:highlight w:val="yellow"/>
        </w:rPr>
        <w:t>ABSTRACT</w:t>
      </w:r>
    </w:p>
    <w:p w14:paraId="063883F7" w14:textId="77777777" w:rsidR="004879C6" w:rsidRDefault="00934F55">
      <w:pPr>
        <w:spacing w:after="160" w:line="240" w:lineRule="auto"/>
        <w:rPr>
          <w:sz w:val="22"/>
        </w:rPr>
      </w:pPr>
      <w:r>
        <w:rPr>
          <w:sz w:val="22"/>
        </w:rPr>
        <w:t xml:space="preserve">This study was designed to </w:t>
      </w:r>
      <w:r>
        <w:rPr>
          <w:sz w:val="22"/>
        </w:rPr>
        <w:t>evaluate the nutrient composition, microbiological, physical and sensory properties of biscuits produced from blends of wheat, Bambara groundnut and bush mango mesocarp flour. Bambara groundnuts and bush mango mesocarps were separately processed into flour</w:t>
      </w:r>
      <w:r>
        <w:rPr>
          <w:sz w:val="22"/>
        </w:rPr>
        <w:t>s. Each of the flours was used at varying replacement levels (5-30%) to complement wheat flour in the production of biscuits, with biscuits produced from 100% wheat flour as control. The nutrient composition, microbiological, physical and sensory propertie</w:t>
      </w:r>
      <w:r>
        <w:rPr>
          <w:sz w:val="22"/>
        </w:rPr>
        <w:t>s of the biscuits were determined using standard methods. The moisture, crude protein, fat, crude fibre and ash contents of the biscuits increased significantly (p&lt;0.05) with increased substitution of Bambara groundnut and bush mango mesocarp flours from 6</w:t>
      </w:r>
      <w:r>
        <w:rPr>
          <w:sz w:val="22"/>
        </w:rPr>
        <w:t>.42-7.65%, 7.32-17.32%, 3.25-4.24%, 3.32-5.03% and 1.42-2.11, respectively with subsequent decrease in carbohydrate and energy contents. The mineral composition of the biscuits also increased significantly (p&lt;0.05) with</w:t>
      </w:r>
      <w:r>
        <w:rPr>
          <w:b/>
          <w:sz w:val="22"/>
        </w:rPr>
        <w:t xml:space="preserve"> </w:t>
      </w:r>
      <w:r>
        <w:rPr>
          <w:sz w:val="22"/>
        </w:rPr>
        <w:t xml:space="preserve">increase in the addition of Bambara </w:t>
      </w:r>
      <w:r>
        <w:rPr>
          <w:sz w:val="22"/>
        </w:rPr>
        <w:t>groundnut and bush mango mesocarp flours from 77.86-133.27 mg/100g calcium, 95.47-167.72 mg/100g potassium, 89.11-147.26 mg/100g phosphorus, 57.54-116.04 mg/100g magnesium, 1.64-2.04 mg/100g iron and 1.43-1.91 mg/100g zinc. The niacin,  thiamine, riboflavi</w:t>
      </w:r>
      <w:r>
        <w:rPr>
          <w:sz w:val="22"/>
        </w:rPr>
        <w:t>n, vitamin A, ascorbic acid, and folic acid contents of the samples also ranged from 2.54-3.26 mg/100g, 2.57-3.47 mg/100g, 2.61-3.26 mg/100g, 3.23-4.36 mg/100g, 1.43-1.91 mg/100g and 1.12-1.71 mg/100g, respectively. The result showed that the vitamin conte</w:t>
      </w:r>
      <w:r>
        <w:rPr>
          <w:sz w:val="22"/>
        </w:rPr>
        <w:t>nts of the composite biscuits increased gradually with increased substitution of Bambara groundnut and bush mango mesocarp flours. The microbial counts of the biscuit samples showed that the total viable count of the samples ranged from 0.32 x 10</w:t>
      </w:r>
      <w:r>
        <w:rPr>
          <w:sz w:val="22"/>
          <w:vertAlign w:val="superscript"/>
        </w:rPr>
        <w:t>4</w:t>
      </w:r>
      <w:r>
        <w:rPr>
          <w:sz w:val="22"/>
        </w:rPr>
        <w:t>-1.20 x 1</w:t>
      </w:r>
      <w:r>
        <w:rPr>
          <w:sz w:val="22"/>
        </w:rPr>
        <w:t>0</w:t>
      </w:r>
      <w:r>
        <w:rPr>
          <w:sz w:val="22"/>
          <w:vertAlign w:val="superscript"/>
        </w:rPr>
        <w:t>4</w:t>
      </w:r>
      <w:r>
        <w:rPr>
          <w:sz w:val="22"/>
        </w:rPr>
        <w:t>cfu/g, while the coliform and fungal counts were nil which is an indication that the products would be safe, wholesome and shelf-stable with adequate packaging and storage. The height, weight and thickness of the biscuit samples also showed significant (</w:t>
      </w:r>
      <w:r>
        <w:rPr>
          <w:sz w:val="22"/>
        </w:rPr>
        <w:t xml:space="preserve">p&lt;0.05) increase with </w:t>
      </w:r>
      <w:r w:rsidRPr="008F4175">
        <w:rPr>
          <w:sz w:val="22"/>
          <w:highlight w:val="yellow"/>
        </w:rPr>
        <w:t>increased substitution of Bambara groundnut and bush mango mesocarp flours, while the diameter, spread ratio and spread factor decreased. The sensory properties of the samples showed that the biscuits made</w:t>
      </w:r>
      <w:r>
        <w:rPr>
          <w:sz w:val="22"/>
        </w:rPr>
        <w:t xml:space="preserve"> from 100% wheat flour (Contr</w:t>
      </w:r>
      <w:r>
        <w:rPr>
          <w:sz w:val="22"/>
        </w:rPr>
        <w:t>ol) were most preferable to the panellists and also differed significantly (p&lt;0.05) in colour, mouthfeel, flavour and crispiness.  In addition, the biscuits prepared from the composite flours were also acceptable because they were equally rated high by the</w:t>
      </w:r>
      <w:r>
        <w:rPr>
          <w:sz w:val="22"/>
        </w:rPr>
        <w:t xml:space="preserve"> judges in all the sensory attributes evaluated. The study, therefore, showed that the nutrient contents and some physical properties of wheat flour biscuits could be improved by the addition of Bambara groundnut and bush mango mesocarp flours at different</w:t>
      </w:r>
      <w:r>
        <w:rPr>
          <w:sz w:val="22"/>
        </w:rPr>
        <w:t xml:space="preserve"> stated levels in the preparation of biscuits.</w:t>
      </w:r>
    </w:p>
    <w:p w14:paraId="412B509B" w14:textId="0822B96B" w:rsidR="004879C6" w:rsidRDefault="00934F55">
      <w:pPr>
        <w:spacing w:after="160" w:line="240" w:lineRule="auto"/>
        <w:rPr>
          <w:b/>
          <w:sz w:val="22"/>
        </w:rPr>
      </w:pPr>
      <w:r>
        <w:rPr>
          <w:b/>
          <w:sz w:val="22"/>
        </w:rPr>
        <w:t xml:space="preserve">Keywords: </w:t>
      </w:r>
      <w:r w:rsidRPr="002636DD">
        <w:rPr>
          <w:sz w:val="22"/>
        </w:rPr>
        <w:t>Biscuits, composite flour, nutritional quality, microbiological quality, physical properties, sensory properties</w:t>
      </w:r>
    </w:p>
    <w:p w14:paraId="35C014CA" w14:textId="77777777" w:rsidR="004879C6" w:rsidRDefault="004879C6">
      <w:pPr>
        <w:spacing w:line="276" w:lineRule="auto"/>
        <w:rPr>
          <w:b/>
        </w:rPr>
      </w:pPr>
    </w:p>
    <w:p w14:paraId="071CF0AC" w14:textId="77777777" w:rsidR="007C3E25" w:rsidRDefault="007C3E25">
      <w:pPr>
        <w:spacing w:line="276" w:lineRule="auto"/>
        <w:rPr>
          <w:b/>
        </w:rPr>
      </w:pPr>
    </w:p>
    <w:p w14:paraId="24EA51FE" w14:textId="77777777" w:rsidR="004879C6" w:rsidRDefault="00934F55">
      <w:pPr>
        <w:spacing w:line="276" w:lineRule="auto"/>
        <w:rPr>
          <w:b/>
        </w:rPr>
      </w:pPr>
      <w:r>
        <w:rPr>
          <w:b/>
        </w:rPr>
        <w:t>INTRODUCTION</w:t>
      </w:r>
    </w:p>
    <w:p w14:paraId="4C583120" w14:textId="1142B3F0" w:rsidR="004879C6" w:rsidRDefault="00934F55">
      <w:pPr>
        <w:spacing w:before="240" w:line="276" w:lineRule="auto"/>
      </w:pPr>
      <w:bookmarkStart w:id="0" w:name="_heading=h.3dy6vkm" w:colFirst="0" w:colLast="0"/>
      <w:bookmarkEnd w:id="0"/>
      <w:r>
        <w:t>In developing countries, legumes which are generally low in sulph</w:t>
      </w:r>
      <w:r>
        <w:t xml:space="preserve">ur containing amino acids are used as natural complements for low lysine cereals in human and animal diets. The product formulated from such mixture is known to have amino profile that is nearly complete in essential amino acid content (Okaka </w:t>
      </w:r>
      <w:r>
        <w:rPr>
          <w:i/>
        </w:rPr>
        <w:t>et al.,</w:t>
      </w:r>
      <w:r>
        <w:t xml:space="preserve"> 2006)</w:t>
      </w:r>
      <w:r>
        <w:t xml:space="preserve">. The complementary role of legume protein and the increased cost of animal protein for human food have made legumes important as alternative </w:t>
      </w:r>
      <w:r>
        <w:lastRenderedPageBreak/>
        <w:t>sources of dietary protein. Although legu</w:t>
      </w:r>
      <w:bookmarkStart w:id="1" w:name="_GoBack"/>
      <w:bookmarkEnd w:id="1"/>
      <w:r>
        <w:t>mes are important part of traditional diets around the world, they are of</w:t>
      </w:r>
      <w:r>
        <w:t xml:space="preserve">ten neglected in typical Western </w:t>
      </w:r>
      <w:r w:rsidRPr="008B3B46">
        <w:rPr>
          <w:highlight w:val="yellow"/>
        </w:rPr>
        <w:t>diets</w:t>
      </w:r>
      <w:r w:rsidR="008B3B46" w:rsidRPr="008B3B46">
        <w:rPr>
          <w:highlight w:val="yellow"/>
        </w:rPr>
        <w:t xml:space="preserve"> (</w:t>
      </w:r>
      <w:proofErr w:type="spellStart"/>
      <w:r w:rsidR="008B3B46" w:rsidRPr="008B3B46">
        <w:rPr>
          <w:highlight w:val="yellow"/>
        </w:rPr>
        <w:t>Obaroakpo</w:t>
      </w:r>
      <w:proofErr w:type="spellEnd"/>
      <w:r w:rsidR="008B3B46" w:rsidRPr="008B3B46">
        <w:rPr>
          <w:highlight w:val="yellow"/>
        </w:rPr>
        <w:t xml:space="preserve"> et al., 2017; </w:t>
      </w:r>
      <w:proofErr w:type="spellStart"/>
      <w:r w:rsidR="008B3B46" w:rsidRPr="008B3B46">
        <w:rPr>
          <w:highlight w:val="yellow"/>
        </w:rPr>
        <w:t>Ezegbe</w:t>
      </w:r>
      <w:proofErr w:type="spellEnd"/>
      <w:r w:rsidR="008B3B46" w:rsidRPr="008B3B46">
        <w:rPr>
          <w:highlight w:val="yellow"/>
        </w:rPr>
        <w:t xml:space="preserve"> et al., 2024)</w:t>
      </w:r>
      <w:r w:rsidRPr="008B3B46">
        <w:rPr>
          <w:highlight w:val="yellow"/>
        </w:rPr>
        <w:t>.</w:t>
      </w:r>
      <w:r>
        <w:t xml:space="preserve"> </w:t>
      </w:r>
    </w:p>
    <w:p w14:paraId="6E6166C6" w14:textId="77777777" w:rsidR="004879C6" w:rsidRDefault="00934F55">
      <w:pPr>
        <w:spacing w:before="240" w:line="276" w:lineRule="auto"/>
      </w:pPr>
      <w:r>
        <w:t xml:space="preserve">Legumes are inexpensive and nutrient-dense source of protein that can be used to substitute dietary animal protein (Anderson </w:t>
      </w:r>
      <w:r>
        <w:rPr>
          <w:i/>
        </w:rPr>
        <w:t>et al.,</w:t>
      </w:r>
      <w:r>
        <w:t xml:space="preserve"> 2009). However, the use of legumes as protein source is limited by the presence of</w:t>
      </w:r>
      <w:r>
        <w:t xml:space="preserve"> anti-nutritional factors which are a diverse range of naturally occurring compounds in many tropical plants. The presence of these anti-nutritional factors cause poor protein digestibility in man and animals and are capable of precipitating other deleteri</w:t>
      </w:r>
      <w:r>
        <w:t xml:space="preserve">ous effects. The manifestation of toxicity from the consumption of legumes that contain anti-nutritional factors range from severe reduction in food intake and nutrient availability or utilization to profound neurological effects and even death (El-Adewy, </w:t>
      </w:r>
      <w:r>
        <w:t xml:space="preserve">2002; Ugwu and Oranye, 2006; Osman, 2007).  </w:t>
      </w:r>
    </w:p>
    <w:p w14:paraId="29B0A514" w14:textId="77777777" w:rsidR="004879C6" w:rsidRDefault="00934F55">
      <w:pPr>
        <w:spacing w:before="240" w:line="276" w:lineRule="auto"/>
      </w:pPr>
      <w:r>
        <w:t xml:space="preserve">To improve the nutritional quality and organoleptic acceptability of leguminous seeds, processing techniques have been employed to reduce or destroy the anti-nutrients present in them. Some of the commonly used processing techniques </w:t>
      </w:r>
      <w:r w:rsidRPr="002636DD">
        <w:rPr>
          <w:highlight w:val="yellow"/>
        </w:rPr>
        <w:t>include soaking in wate</w:t>
      </w:r>
      <w:r w:rsidRPr="002636DD">
        <w:rPr>
          <w:highlight w:val="yellow"/>
        </w:rPr>
        <w:t>r, boiling at high temperatures in water, germination, roasting, autoclaving a</w:t>
      </w:r>
      <w:r>
        <w:t xml:space="preserve">nd fermentation among others (Udensi </w:t>
      </w:r>
      <w:r>
        <w:rPr>
          <w:i/>
        </w:rPr>
        <w:t>et al.,</w:t>
      </w:r>
      <w:r>
        <w:t xml:space="preserve"> 2005; Uzoechina, 2007; Okoye and Mazi, 2012).</w:t>
      </w:r>
    </w:p>
    <w:p w14:paraId="78B9C083" w14:textId="77777777" w:rsidR="004879C6" w:rsidRDefault="004879C6">
      <w:pPr>
        <w:spacing w:line="276" w:lineRule="auto"/>
      </w:pPr>
    </w:p>
    <w:p w14:paraId="091B500A" w14:textId="77777777" w:rsidR="004879C6" w:rsidRDefault="00934F55">
      <w:pPr>
        <w:spacing w:line="276" w:lineRule="auto"/>
      </w:pPr>
      <w:r>
        <w:t xml:space="preserve">Biscuits may be defined as small baked products that would be called either “cookies” </w:t>
      </w:r>
      <w:r>
        <w:t xml:space="preserve">or “crackers”. They are widely consumed in many developed and developing countries of the world (Okpala </w:t>
      </w:r>
      <w:r>
        <w:rPr>
          <w:i/>
        </w:rPr>
        <w:t>et al.,</w:t>
      </w:r>
      <w:r>
        <w:t xml:space="preserve"> 2013). Biscuits can also be seen as nutritive snacks produced from unpalatable doughs that are transformed into appetizing products through the </w:t>
      </w:r>
      <w:r>
        <w:t xml:space="preserve">application of heat in an oven (Olaoye </w:t>
      </w:r>
      <w:r>
        <w:rPr>
          <w:i/>
        </w:rPr>
        <w:t>et al.,</w:t>
      </w:r>
      <w:r>
        <w:t xml:space="preserve"> 2007, Ahmad and Ahmed, 2014). Biscuits are one of the low cost processed foods which are most widely consumed (Kumar and Rekha-Sinha, 2010). Amongst many snacks, biscuits have certain advantages, such as being</w:t>
      </w:r>
      <w:r>
        <w:t xml:space="preserve"> relatively cheaper than the conventional snack items and easy to use at home or even during travel. Biscuits are also easily available in massive variety of shapes, sizes, tastes and packs, and are consumed by all age groups. They also have good shelf lif</w:t>
      </w:r>
      <w:r>
        <w:t xml:space="preserve">e at ambient temperature (Jauhara </w:t>
      </w:r>
      <w:r>
        <w:rPr>
          <w:i/>
        </w:rPr>
        <w:t>et al</w:t>
      </w:r>
      <w:r>
        <w:t xml:space="preserve">., 2014). </w:t>
      </w:r>
    </w:p>
    <w:p w14:paraId="77DA3937" w14:textId="77777777" w:rsidR="004879C6" w:rsidRDefault="00934F55">
      <w:pPr>
        <w:spacing w:line="276" w:lineRule="auto"/>
      </w:pPr>
      <w:r>
        <w:t xml:space="preserve">The main ingredients for biscuit making include </w:t>
      </w:r>
      <w:r w:rsidRPr="002636DD">
        <w:rPr>
          <w:highlight w:val="yellow"/>
        </w:rPr>
        <w:t xml:space="preserve">flour, sugar and fat (Okpala </w:t>
      </w:r>
      <w:r w:rsidRPr="002636DD">
        <w:rPr>
          <w:i/>
          <w:highlight w:val="yellow"/>
        </w:rPr>
        <w:t>et al.,</w:t>
      </w:r>
      <w:r w:rsidRPr="002636DD">
        <w:rPr>
          <w:highlight w:val="yellow"/>
        </w:rPr>
        <w:t xml:space="preserve"> 2013). To these ingredients, various small amounts of other ingredients may be added for leavening and development of fla</w:t>
      </w:r>
      <w:r w:rsidRPr="002636DD">
        <w:rPr>
          <w:highlight w:val="yellow"/>
        </w:rPr>
        <w:t xml:space="preserve">vour and texture. The principal ingredient used for making of biscuits is wheat flour which contains protein that is comprised of gliadin </w:t>
      </w:r>
      <w:r>
        <w:t>and glutenin. The formation of the gluten, its strength and elasticity are largely determined by the flour specificati</w:t>
      </w:r>
      <w:r>
        <w:t>on, recipe, mixing and forming processes (Iain, 2019).</w:t>
      </w:r>
    </w:p>
    <w:p w14:paraId="09D1EBEB" w14:textId="77777777" w:rsidR="004879C6" w:rsidRDefault="00934F55">
      <w:pPr>
        <w:spacing w:line="276" w:lineRule="auto"/>
      </w:pPr>
      <w:r>
        <w:t>The consumption of biscuits and bread appears in the list of top ten daily consumed foods and they are also easily available and convenient to be enjoyed as snacks. Attempts have been made in recent ti</w:t>
      </w:r>
      <w:r>
        <w:t>mes to improve the nutritional quality and functionality of biscuits due to competition in the market for healthy, natural and functional food products. Biscuit has the nutritional content of about 6.68 % moisture, 2.21 % ash, 0.14 % fibre, 20.19 % fat, 15</w:t>
      </w:r>
      <w:r>
        <w:t xml:space="preserve">.18% protein and 59.58 % carbohydrate (Nwosu, 2013). Biscuit requires a balanced nutritional value which can be enhanced </w:t>
      </w:r>
      <w:r>
        <w:lastRenderedPageBreak/>
        <w:t>by fortification and supplementation with a wide variety of protein-rich cereals and pulses (Masodi and Bas, 2012).  A snack is a small</w:t>
      </w:r>
      <w:r>
        <w:t xml:space="preserve"> service of food that is generally eaten in-between meals. Snacks come in a variety of forms which include packaged snack foods and other processed foods, as well as items made from fresh ingredients at home. </w:t>
      </w:r>
    </w:p>
    <w:p w14:paraId="55545071" w14:textId="77777777" w:rsidR="004879C6" w:rsidRDefault="00934F55">
      <w:pPr>
        <w:spacing w:line="276" w:lineRule="auto"/>
      </w:pPr>
      <w:r>
        <w:t>Snack foods are typically designed to be porta</w:t>
      </w:r>
      <w:r>
        <w:t xml:space="preserve">ble, quick, and satisfying. Processed snack foods, as one form of convenience foods, are designed to be less perishable, more durable, and more portable than prepared foods (Mahoney </w:t>
      </w:r>
      <w:r>
        <w:rPr>
          <w:i/>
        </w:rPr>
        <w:t>et al</w:t>
      </w:r>
      <w:r>
        <w:t>., 2007). They often contain substantial amounts of sweeteners, prese</w:t>
      </w:r>
      <w:r>
        <w:t xml:space="preserve">rvatives and appealing ingredients such as chocolate, peanuts, and specially-designed flavours such as flavoured potato chips </w:t>
      </w:r>
      <w:r w:rsidRPr="002636DD">
        <w:rPr>
          <w:highlight w:val="yellow"/>
        </w:rPr>
        <w:t xml:space="preserve">which are also used for their production. Food snacks are also of  different types which include confectionery snacks, </w:t>
      </w:r>
      <w:hyperlink r:id="rId8" w:anchor="Cookies,_cakes_and_pastries" w:history="1">
        <w:r w:rsidR="004879C6" w:rsidRPr="002636DD">
          <w:rPr>
            <w:highlight w:val="yellow"/>
          </w:rPr>
          <w:t>cookies, cakes and pastries</w:t>
        </w:r>
      </w:hyperlink>
      <w:r w:rsidRPr="002636DD">
        <w:rPr>
          <w:highlight w:val="yellow"/>
        </w:rPr>
        <w:t xml:space="preserve">, drinks, snacks, </w:t>
      </w:r>
      <w:hyperlink r:id="rId9" w:anchor="Frozen" w:history="1">
        <w:r w:rsidR="004879C6" w:rsidRPr="002636DD">
          <w:rPr>
            <w:highlight w:val="yellow"/>
          </w:rPr>
          <w:t>frozen</w:t>
        </w:r>
      </w:hyperlink>
      <w:r w:rsidRPr="002636DD">
        <w:rPr>
          <w:highlight w:val="yellow"/>
        </w:rPr>
        <w:t xml:space="preserve"> snacks, </w:t>
      </w:r>
      <w:hyperlink r:id="rId10" w:anchor="Natural_snacks" w:history="1">
        <w:r w:rsidR="004879C6" w:rsidRPr="002636DD">
          <w:rPr>
            <w:highlight w:val="yellow"/>
          </w:rPr>
          <w:t>natural snacks</w:t>
        </w:r>
      </w:hyperlink>
      <w:r w:rsidRPr="002636DD">
        <w:rPr>
          <w:highlight w:val="yellow"/>
        </w:rPr>
        <w:t xml:space="preserve">, </w:t>
      </w:r>
      <w:hyperlink r:id="rId11" w:anchor="Savory_snacks" w:history="1">
        <w:r w:rsidR="004879C6" w:rsidRPr="002636DD">
          <w:rPr>
            <w:highlight w:val="yellow"/>
          </w:rPr>
          <w:t>savory snacks</w:t>
        </w:r>
      </w:hyperlink>
      <w:r>
        <w:t xml:space="preserve">, </w:t>
      </w:r>
      <w:hyperlink r:id="rId12" w:anchor="Batter_and_dough-based" w:history="1">
        <w:r w:rsidR="004879C6">
          <w:t>batter and dough-based</w:t>
        </w:r>
      </w:hyperlink>
      <w:r>
        <w:t xml:space="preserve"> snacks of which biscuit belongs to (Carolli, 2013).</w:t>
      </w:r>
    </w:p>
    <w:p w14:paraId="1E9ED020" w14:textId="77777777" w:rsidR="004879C6" w:rsidRDefault="00934F55">
      <w:pPr>
        <w:spacing w:line="276" w:lineRule="auto"/>
      </w:pPr>
      <w:r>
        <w:t>Wheat (</w:t>
      </w:r>
      <w:r>
        <w:rPr>
          <w:i/>
        </w:rPr>
        <w:t>Triticum aestivum</w:t>
      </w:r>
      <w:r>
        <w:t>) is one of the dominant crops in temperate region that is used a</w:t>
      </w:r>
      <w:r>
        <w:t xml:space="preserve">s human food and livestock feed. The usefulness of wheat depends partly on its adaptability and high yield potential as well as the gluten protein fraction which confers the visco-elastic properties that allow the dough to be processed into bread, pastas, </w:t>
      </w:r>
      <w:r>
        <w:t>noodles and other baked food products (FAO, 2013). Wheat has a nutritional value of 340 kilocalories, 11% moisture, 13.2%protein, 3.00% fat, 2.00% ash, 13.05% fibre and 82.10% carbohydrate (FAO, 2013).  The gluten proteins of wheat are necessary for the pr</w:t>
      </w:r>
      <w:r>
        <w:t>oduction of a wide variety of foods from wheat around the world. The presence of gluten also increases the protein content of wheat in baked products. Wheat also contributes essential amino acids, minerals and vitamins with beneficial phytochemicals and di</w:t>
      </w:r>
      <w:r>
        <w:t xml:space="preserve">etary fibre components to human grain products (Anderson </w:t>
      </w:r>
      <w:r>
        <w:rPr>
          <w:i/>
        </w:rPr>
        <w:t xml:space="preserve">et al., </w:t>
      </w:r>
      <w:r>
        <w:t>2009). However, wheat products are also known to be responsible for a number of adverse reactions in humans including intolerance celiac disease and allergies (Inyang and Ekpo, 2015).</w:t>
      </w:r>
    </w:p>
    <w:p w14:paraId="4DA323A1" w14:textId="77777777" w:rsidR="004879C6" w:rsidRDefault="004879C6">
      <w:pPr>
        <w:spacing w:line="276" w:lineRule="auto"/>
      </w:pPr>
    </w:p>
    <w:p w14:paraId="069AC6B0" w14:textId="77777777" w:rsidR="004879C6" w:rsidRDefault="00934F55">
      <w:pPr>
        <w:spacing w:line="276" w:lineRule="auto"/>
      </w:pPr>
      <w:r>
        <w:t>Bambar</w:t>
      </w:r>
      <w:r>
        <w:t>a groundnut (</w:t>
      </w:r>
      <w:r>
        <w:rPr>
          <w:i/>
        </w:rPr>
        <w:t>Vigna subterrenea</w:t>
      </w:r>
      <w:r>
        <w:t xml:space="preserve">) is locally </w:t>
      </w:r>
      <w:r w:rsidRPr="002636DD">
        <w:rPr>
          <w:highlight w:val="yellow"/>
        </w:rPr>
        <w:t xml:space="preserve">consumed as ‘Okpa’ in Nigeria and it is called ‘Nyimo’ Shona or ‘Indlubu’ and Ndebele in other parts of Africa. It is an indigenous African crop that has been cultivated in most African countries for </w:t>
      </w:r>
      <w:r>
        <w:t>centuries. Ba</w:t>
      </w:r>
      <w:r>
        <w:t xml:space="preserve">mbara groundnut is a highly nutritious crop, which plays a crucial role in people’s diets. The crop is now grown in the continent of Africa such as Nigeria, Senegal, Kenya, South Africa and Madagascar (Begemann </w:t>
      </w:r>
      <w:r>
        <w:rPr>
          <w:i/>
        </w:rPr>
        <w:t>et al.,</w:t>
      </w:r>
      <w:r>
        <w:t xml:space="preserve"> 2019). Nutritionally, Bambara groundn</w:t>
      </w:r>
      <w:r>
        <w:t xml:space="preserve">ut provides a cheap source of good quality protein to poorly-resourced farmers in semi-arid areas (Amarterifo </w:t>
      </w:r>
      <w:r>
        <w:rPr>
          <w:i/>
        </w:rPr>
        <w:t>et al.,</w:t>
      </w:r>
      <w:r>
        <w:t xml:space="preserve"> 2016), thus, making it a good supplement for both human and animal diets. The dual purpose of Bambara groundnut makes it an important futu</w:t>
      </w:r>
      <w:r>
        <w:t>re crop.</w:t>
      </w:r>
    </w:p>
    <w:p w14:paraId="7AC4F054" w14:textId="77777777" w:rsidR="004879C6" w:rsidRDefault="004879C6">
      <w:pPr>
        <w:spacing w:line="276" w:lineRule="auto"/>
        <w:rPr>
          <w:sz w:val="14"/>
          <w:szCs w:val="14"/>
        </w:rPr>
      </w:pPr>
    </w:p>
    <w:p w14:paraId="7044AEAA" w14:textId="77777777" w:rsidR="004879C6" w:rsidRDefault="00934F55">
      <w:pPr>
        <w:spacing w:line="276" w:lineRule="auto"/>
        <w:rPr>
          <w:color w:val="000000"/>
        </w:rPr>
      </w:pPr>
      <w:r>
        <w:t>Bush mango (</w:t>
      </w:r>
      <w:r>
        <w:rPr>
          <w:i/>
        </w:rPr>
        <w:t>Irvingia gabonensis</w:t>
      </w:r>
      <w:r>
        <w:t>) is a specie of </w:t>
      </w:r>
      <w:hyperlink r:id="rId13" w:history="1">
        <w:r w:rsidR="004879C6">
          <w:rPr>
            <w:color w:val="000000"/>
          </w:rPr>
          <w:t>African</w:t>
        </w:r>
      </w:hyperlink>
      <w:r>
        <w:t> tree that belongs to the genus </w:t>
      </w:r>
      <w:proofErr w:type="spellStart"/>
      <w:r>
        <w:rPr>
          <w:i/>
          <w:color w:val="000000"/>
        </w:rPr>
        <w:fldChar w:fldCharType="begin"/>
      </w:r>
      <w:r>
        <w:rPr>
          <w:i/>
          <w:color w:val="000000"/>
        </w:rPr>
        <w:instrText xml:space="preserve"> HYPERLINK "https://en.wikipedia.org/wiki/Irvingia" \h </w:instrText>
      </w:r>
      <w:r>
        <w:rPr>
          <w:i/>
          <w:color w:val="000000"/>
        </w:rPr>
        <w:fldChar w:fldCharType="separate"/>
      </w:r>
      <w:r>
        <w:rPr>
          <w:i/>
          <w:color w:val="000000"/>
        </w:rPr>
        <w:t>Irvingia</w:t>
      </w:r>
      <w:proofErr w:type="spellEnd"/>
      <w:r>
        <w:rPr>
          <w:i/>
          <w:color w:val="000000"/>
        </w:rPr>
        <w:fldChar w:fldCharType="end"/>
      </w:r>
      <w:r>
        <w:t>, which is sometimes known by the common</w:t>
      </w:r>
      <w:r>
        <w:t xml:space="preserve"> names as wild mango, African mango or bush mango. It bears edible </w:t>
      </w:r>
      <w:hyperlink r:id="rId14" w:history="1">
        <w:r w:rsidR="004879C6">
          <w:rPr>
            <w:color w:val="000000"/>
          </w:rPr>
          <w:t>mango</w:t>
        </w:r>
      </w:hyperlink>
      <w:r>
        <w:t>-like fruits and is especially valued for their </w:t>
      </w:r>
      <w:hyperlink r:id="rId15" w:history="1">
        <w:r w:rsidR="004879C6">
          <w:rPr>
            <w:color w:val="000000"/>
          </w:rPr>
          <w:t>fat</w:t>
        </w:r>
      </w:hyperlink>
      <w:r>
        <w:t xml:space="preserve"> and </w:t>
      </w:r>
      <w:hyperlink r:id="rId16" w:history="1">
        <w:r w:rsidR="004879C6">
          <w:rPr>
            <w:color w:val="000000"/>
          </w:rPr>
          <w:t>protein</w:t>
        </w:r>
      </w:hyperlink>
      <w:r>
        <w:t xml:space="preserve">-rich nuts(Okolo, 2000). </w:t>
      </w:r>
      <w:r>
        <w:rPr>
          <w:color w:val="000000"/>
        </w:rPr>
        <w:t>Many researchers have studied the nutritional potential of supplementing cereals with legumes and fruits in order to enhance their nutritional and sensory qualities. The formulation of low-cost ce</w:t>
      </w:r>
      <w:r>
        <w:rPr>
          <w:color w:val="000000"/>
        </w:rPr>
        <w:t>real-based composite baked products would help to reduce the incidence of protein-</w:t>
      </w:r>
      <w:r>
        <w:rPr>
          <w:color w:val="000000"/>
        </w:rPr>
        <w:lastRenderedPageBreak/>
        <w:t xml:space="preserve">energy malnutrition and micro-nutrients deficiencies that are prevalent in developing and less developed countries of the world. </w:t>
      </w:r>
      <w:r>
        <w:t>In addition, the supplementation of wheat flo</w:t>
      </w:r>
      <w:r>
        <w:t xml:space="preserve">ur with Bambara groundnut and African bush mango mesocarp flours in the production of biscuits would not only improve their nutrient contents, but would also increase their potentials and utilization in the biscuit and confectionary industries. </w:t>
      </w:r>
      <w:r>
        <w:rPr>
          <w:color w:val="000000"/>
        </w:rPr>
        <w:t>The objecti</w:t>
      </w:r>
      <w:r>
        <w:rPr>
          <w:color w:val="000000"/>
        </w:rPr>
        <w:t xml:space="preserve">ve of this study was to evaluate the nutritional quality, microbiological, physical and sensory properties of biscuits produced from wheat, Bambara groundnut and bush mango mesocarp composite flours.     </w:t>
      </w:r>
    </w:p>
    <w:p w14:paraId="15ED9C2F" w14:textId="77777777" w:rsidR="004879C6" w:rsidRDefault="004879C6">
      <w:pPr>
        <w:spacing w:line="276" w:lineRule="auto"/>
        <w:rPr>
          <w:color w:val="000000"/>
        </w:rPr>
      </w:pPr>
    </w:p>
    <w:p w14:paraId="578D6441" w14:textId="77777777" w:rsidR="004879C6" w:rsidRDefault="004879C6">
      <w:pPr>
        <w:spacing w:line="276" w:lineRule="auto"/>
      </w:pPr>
    </w:p>
    <w:p w14:paraId="664BFFC1" w14:textId="77777777" w:rsidR="004879C6" w:rsidRDefault="00934F55">
      <w:pPr>
        <w:pStyle w:val="Heading2"/>
        <w:spacing w:line="276" w:lineRule="auto"/>
      </w:pPr>
      <w:bookmarkStart w:id="2" w:name="_heading=h.1t3h5sf" w:colFirst="0" w:colLast="0"/>
      <w:bookmarkStart w:id="3" w:name="_heading=h.17dp8vu" w:colFirst="0" w:colLast="0"/>
      <w:bookmarkEnd w:id="2"/>
      <w:bookmarkEnd w:id="3"/>
      <w:r>
        <w:t>MATERIALS AND METHODS</w:t>
      </w:r>
    </w:p>
    <w:p w14:paraId="0C9F8FC5" w14:textId="77777777" w:rsidR="004879C6" w:rsidRDefault="00934F55">
      <w:pPr>
        <w:pStyle w:val="Heading2"/>
        <w:spacing w:line="276" w:lineRule="auto"/>
      </w:pPr>
      <w:bookmarkStart w:id="4" w:name="_heading=h.4f1mdlm" w:colFirst="0" w:colLast="0"/>
      <w:bookmarkEnd w:id="4"/>
      <w:r>
        <w:t>Procurement of Raw Material</w:t>
      </w:r>
      <w:r>
        <w:t xml:space="preserve">s  </w:t>
      </w:r>
    </w:p>
    <w:p w14:paraId="605B2752" w14:textId="77777777" w:rsidR="004879C6" w:rsidRDefault="00934F55">
      <w:pPr>
        <w:tabs>
          <w:tab w:val="left" w:pos="9360"/>
        </w:tabs>
        <w:spacing w:line="276" w:lineRule="auto"/>
      </w:pPr>
      <w:r>
        <w:t>Wheat flour and Bambara groundnut seeds (</w:t>
      </w:r>
      <w:r>
        <w:rPr>
          <w:i/>
        </w:rPr>
        <w:t>Vigna subterranea verdc</w:t>
      </w:r>
      <w:r>
        <w:t>) used for this study were purchased from Ogbete Main Market, Enugu, Enugu State, Nigeria. The bush mango fruits (</w:t>
      </w:r>
      <w:r>
        <w:rPr>
          <w:i/>
        </w:rPr>
        <w:t>Irvingia gabonensis</w:t>
      </w:r>
      <w:r>
        <w:t>) were obtained from the Amurri Community in Nkanu West</w:t>
      </w:r>
      <w:r>
        <w:t xml:space="preserve"> Local Government Area of Enugu State, Nigeria. All other ingredients used for the preparation of biscuits were bought from Ogbete Main Market, Enugu, Enugu State, Nigeria. The chemical reagents used for the analyses were of the analytical grade. </w:t>
      </w:r>
    </w:p>
    <w:p w14:paraId="24005BD1" w14:textId="77777777" w:rsidR="004879C6" w:rsidRDefault="004879C6">
      <w:pPr>
        <w:tabs>
          <w:tab w:val="left" w:pos="9360"/>
        </w:tabs>
        <w:spacing w:line="276" w:lineRule="auto"/>
      </w:pPr>
    </w:p>
    <w:p w14:paraId="3CCF3166" w14:textId="77777777" w:rsidR="004879C6" w:rsidRDefault="00934F55">
      <w:pPr>
        <w:pStyle w:val="Heading2"/>
        <w:spacing w:line="276" w:lineRule="auto"/>
      </w:pPr>
      <w:bookmarkStart w:id="5" w:name="_heading=h.2u6wntf" w:colFirst="0" w:colLast="0"/>
      <w:bookmarkEnd w:id="5"/>
      <w:r>
        <w:t>Prepara</w:t>
      </w:r>
      <w:r>
        <w:t>tion of Bambara Groundnut Flour</w:t>
      </w:r>
    </w:p>
    <w:p w14:paraId="73A6F30A" w14:textId="77777777" w:rsidR="004879C6" w:rsidRDefault="00934F55">
      <w:pPr>
        <w:spacing w:line="276" w:lineRule="auto"/>
      </w:pPr>
      <w:r>
        <w:t xml:space="preserve">The boiled Bambara groundnut flour was prepared according to the method described by Ugwu and Oranye (2006) with slight modifications. One kilogram (1kg) of the bambara groundnut seeds was manually sorted to remove the dirt </w:t>
      </w:r>
      <w:r>
        <w:t>and other extraneous materials. The sorted seeds were cleaned thoroughly with tap water and soaked in 3 litres of potable water at room temperature (30 ± 2</w:t>
      </w:r>
      <w:r>
        <w:rPr>
          <w:vertAlign w:val="superscript"/>
        </w:rPr>
        <w:t>o</w:t>
      </w:r>
      <w:r>
        <w:t>C) in a plastic bowl for 12 h. The soaked seeds were boiled with 2 litres of tap water at 100</w:t>
      </w:r>
      <w:r>
        <w:rPr>
          <w:vertAlign w:val="superscript"/>
        </w:rPr>
        <w:t>o</w:t>
      </w:r>
      <w:r>
        <w:t xml:space="preserve">C for </w:t>
      </w:r>
      <w:r>
        <w:t>30 min on a hot plate. The boiled seeds were drained, rinsed, spread on trays and dried in a hot air oven (Model DHG 9101 ISA) at 60</w:t>
      </w:r>
      <w:r>
        <w:rPr>
          <w:vertAlign w:val="superscript"/>
        </w:rPr>
        <w:t>o</w:t>
      </w:r>
      <w:r>
        <w:t>C for 16 h with occasional stirring of the seeds at intervals of 30 min to ensure uniform drying. The dried seeds were dehu</w:t>
      </w:r>
      <w:r>
        <w:t>lled by cracking them in the attrition mill followed by winnowing to remove the hulls. The dehulled seeds were milled into flour with the attrition mill (Model Globe P44, China) and sieved through a 500 micron mesh sieve. The flour produced was packaged in</w:t>
      </w:r>
      <w:r>
        <w:t xml:space="preserve"> a covered plastic container, labelled and kept in a refrigerator until needed for further use. </w:t>
      </w:r>
    </w:p>
    <w:p w14:paraId="66C6B06E" w14:textId="77777777" w:rsidR="004879C6" w:rsidRDefault="004879C6">
      <w:pPr>
        <w:spacing w:line="276" w:lineRule="auto"/>
      </w:pPr>
    </w:p>
    <w:p w14:paraId="6F6B5814" w14:textId="77777777" w:rsidR="004879C6" w:rsidRDefault="00934F55">
      <w:pPr>
        <w:pStyle w:val="Heading2"/>
        <w:spacing w:line="276" w:lineRule="auto"/>
      </w:pPr>
      <w:bookmarkStart w:id="6" w:name="_heading=h.19c6y18" w:colFirst="0" w:colLast="0"/>
      <w:bookmarkEnd w:id="6"/>
      <w:r>
        <w:t>Preparation of Bush Mango Mesocarp Flour</w:t>
      </w:r>
    </w:p>
    <w:p w14:paraId="041EFB98" w14:textId="77777777" w:rsidR="004879C6" w:rsidRDefault="00934F55">
      <w:pPr>
        <w:spacing w:line="276" w:lineRule="auto"/>
      </w:pPr>
      <w:r>
        <w:t xml:space="preserve">The bush mango mesocarp flour was prepared according to the method described by Badifu </w:t>
      </w:r>
      <w:r>
        <w:rPr>
          <w:i/>
        </w:rPr>
        <w:t>et al.</w:t>
      </w:r>
      <w:r>
        <w:t xml:space="preserve"> (2000) with slight modifications. One kilogram (1kg) of mature bush mango fruits was thoroughly cleaned and peeled manually with a kitchen knife. The peeled fruits were cut into smaller sizes with a knife. The slices were placed into a stainless pot and b</w:t>
      </w:r>
      <w:r>
        <w:t>lanched with 3 liters of potable water at 85</w:t>
      </w:r>
      <w:r>
        <w:rPr>
          <w:vertAlign w:val="superscript"/>
        </w:rPr>
        <w:t>o</w:t>
      </w:r>
      <w:r>
        <w:t>C for 20 min on a hot plate. The blanched slices were drained, rinsed and spread on the trays and dried in a hot air oven (Model DHG9101 ISA) at 60</w:t>
      </w:r>
      <w:r>
        <w:rPr>
          <w:vertAlign w:val="superscript"/>
        </w:rPr>
        <w:t>o</w:t>
      </w:r>
      <w:r>
        <w:t xml:space="preserve">C for 12 h with occasional stirring of the slices at intervals </w:t>
      </w:r>
      <w:r>
        <w:t xml:space="preserve">of 30 min to ensure uniform drying. The dried slices was milled into flour with </w:t>
      </w:r>
      <w:r>
        <w:lastRenderedPageBreak/>
        <w:t>the attrition mill (Model Globe P44, China) and sieved through a 500 micron mesh sieve. The flour produced was packaged in a covered plastic container, labelled and kept in a r</w:t>
      </w:r>
      <w:r>
        <w:t xml:space="preserve">efrigerator until needed for further use. </w:t>
      </w:r>
    </w:p>
    <w:p w14:paraId="33A6A14E" w14:textId="77777777" w:rsidR="004879C6" w:rsidRDefault="004879C6">
      <w:pPr>
        <w:spacing w:line="276" w:lineRule="auto"/>
      </w:pPr>
      <w:bookmarkStart w:id="7" w:name="_heading=h.3tbugp1" w:colFirst="0" w:colLast="0"/>
      <w:bookmarkEnd w:id="7"/>
    </w:p>
    <w:p w14:paraId="1A86F1D3" w14:textId="77777777" w:rsidR="004879C6" w:rsidRDefault="00934F55">
      <w:pPr>
        <w:pStyle w:val="Heading2"/>
        <w:spacing w:line="276" w:lineRule="auto"/>
      </w:pPr>
      <w:bookmarkStart w:id="8" w:name="_heading=h.28h4qwu" w:colFirst="0" w:colLast="0"/>
      <w:bookmarkEnd w:id="8"/>
      <w:r>
        <w:t xml:space="preserve">Formulation of Flour Blends </w:t>
      </w:r>
    </w:p>
    <w:p w14:paraId="45F7DFE1" w14:textId="77777777" w:rsidR="004879C6" w:rsidRDefault="00934F55">
      <w:pPr>
        <w:spacing w:line="276" w:lineRule="auto"/>
      </w:pPr>
      <w:r>
        <w:t>Wheat flour was mixed thoroughly with Bambara groundnut and bush mango mesocarp flours in different proportions of 100:0:0, 90:5:5, 80:15:5, 70:20:10, 60:25:15 and 50:30:20 in a rotar</w:t>
      </w:r>
      <w:r>
        <w:t>y mixer (Philips, type HR, 1500A, Holland) to obtain homogenous samples of composite blend. The composite blends produced were separately packaged in covered plastic containers, labelled and preserved in a refrigerator until needed for the preparation of b</w:t>
      </w:r>
      <w:r>
        <w:t>iscuits.</w:t>
      </w:r>
    </w:p>
    <w:p w14:paraId="5154855E" w14:textId="77777777" w:rsidR="004879C6" w:rsidRDefault="004879C6">
      <w:pPr>
        <w:spacing w:line="276" w:lineRule="auto"/>
      </w:pPr>
    </w:p>
    <w:p w14:paraId="328D3DB1" w14:textId="77777777" w:rsidR="004879C6" w:rsidRDefault="00934F55">
      <w:pPr>
        <w:pStyle w:val="Heading2"/>
        <w:spacing w:line="276" w:lineRule="auto"/>
      </w:pPr>
      <w:bookmarkStart w:id="9" w:name="_heading=h.nmf14n" w:colFirst="0" w:colLast="0"/>
      <w:bookmarkEnd w:id="9"/>
      <w:r>
        <w:t>Preparation of Biscuits</w:t>
      </w:r>
    </w:p>
    <w:p w14:paraId="6F848145" w14:textId="77777777" w:rsidR="004879C6" w:rsidRDefault="00934F55">
      <w:pPr>
        <w:spacing w:line="276" w:lineRule="auto"/>
      </w:pPr>
      <w:r>
        <w:t xml:space="preserve">The biscuits were prepared using the traditional creaming method described by Chinma </w:t>
      </w:r>
      <w:r>
        <w:rPr>
          <w:i/>
        </w:rPr>
        <w:t xml:space="preserve">et al. </w:t>
      </w:r>
      <w:r>
        <w:t xml:space="preserve">(201l). The ingredients used for the preparation of biscuits were 100% flour, 40% fat, 20% beaten egg, 60% sugar (sucrose), 4% milk, 2% salt, 1% baking powder and 2% ground nutmeg. The fat and sugar were initially mixed in a stainless steel bowl until the </w:t>
      </w:r>
      <w:r>
        <w:t>mixture was fluffy. Beaten egg and milk were added while mixing continued. Baking powder, ground nutmeg, composite flour, and salt were added to the mixture and the mixture was mixed thoroughly until a homogenous dough was obtained. The dough was removed f</w:t>
      </w:r>
      <w:r>
        <w:t>rom the bowl and kneaded on a flat surface to further tighten the dough. The kneaded dough was rolled out into sheets using a rolling pin after which it was cut into desired shapes using a biscuit cutter. The cut dough pieces were placed into greased bakin</w:t>
      </w:r>
      <w:r>
        <w:t>g trays and baked in the oven at l80°C for 25 min. Thereafter, the biscuits were removed from oven and allowed to cool at room temperature (30±2°C). On cooling, the baked biscuits were packaged individually in sealed polyethylene bags and kept in a refrige</w:t>
      </w:r>
      <w:r>
        <w:t xml:space="preserve">rator until needed for analysis. Biscuits made from 100% wheat flour were similarly produced and used as control. </w:t>
      </w:r>
    </w:p>
    <w:p w14:paraId="49602954" w14:textId="77777777" w:rsidR="004879C6" w:rsidRDefault="004879C6">
      <w:pPr>
        <w:pStyle w:val="Heading2"/>
        <w:spacing w:line="276" w:lineRule="auto"/>
      </w:pPr>
      <w:bookmarkStart w:id="10" w:name="_heading=h.37m2jsg" w:colFirst="0" w:colLast="0"/>
      <w:bookmarkEnd w:id="10"/>
    </w:p>
    <w:p w14:paraId="091E5FB3" w14:textId="77777777" w:rsidR="004879C6" w:rsidRDefault="00934F55">
      <w:pPr>
        <w:pStyle w:val="Heading2"/>
        <w:spacing w:line="276" w:lineRule="auto"/>
      </w:pPr>
      <w:r>
        <w:t>Proximate Analysis</w:t>
      </w:r>
    </w:p>
    <w:p w14:paraId="6D4A03E2" w14:textId="77777777" w:rsidR="004879C6" w:rsidRDefault="00934F55">
      <w:pPr>
        <w:pBdr>
          <w:top w:val="nil"/>
          <w:left w:val="nil"/>
          <w:bottom w:val="nil"/>
          <w:right w:val="nil"/>
          <w:between w:val="nil"/>
        </w:pBdr>
        <w:spacing w:line="276" w:lineRule="auto"/>
      </w:pPr>
      <w:r>
        <w:t>The moisture, crude protein, fat, ash and crude fibre contents of the samples were determined on dry weight basis accordi</w:t>
      </w:r>
      <w:r>
        <w:t>ng to the standard analytical methods of AOAC (2016). Carbohydrate was determined by difference as 100% - % (Moisture + Fat + Crude Protein + Ash + Crude Fibre. The energy value of the samples was calculated by multiplying the percentage values of protein,</w:t>
      </w:r>
      <w:r>
        <w:t xml:space="preserve"> fat and carbohydrate by the Atwater factors of 4, 9 and 4 respectively (AOAC, 2016). All determinations were carried out in triplicate samples.</w:t>
      </w:r>
    </w:p>
    <w:p w14:paraId="4B83D53C" w14:textId="77777777" w:rsidR="004879C6" w:rsidRDefault="004879C6">
      <w:pPr>
        <w:pBdr>
          <w:top w:val="nil"/>
          <w:left w:val="nil"/>
          <w:bottom w:val="nil"/>
          <w:right w:val="nil"/>
          <w:between w:val="nil"/>
        </w:pBdr>
        <w:spacing w:line="276" w:lineRule="auto"/>
      </w:pPr>
    </w:p>
    <w:p w14:paraId="1B983A70" w14:textId="77777777" w:rsidR="004879C6" w:rsidRDefault="00934F55">
      <w:pPr>
        <w:pStyle w:val="Heading2"/>
        <w:spacing w:line="276" w:lineRule="auto"/>
      </w:pPr>
      <w:r>
        <w:t>Mineral Analysis</w:t>
      </w:r>
    </w:p>
    <w:p w14:paraId="3A0693C9" w14:textId="77777777" w:rsidR="004879C6" w:rsidRDefault="00934F55">
      <w:pPr>
        <w:pBdr>
          <w:top w:val="nil"/>
          <w:left w:val="nil"/>
          <w:bottom w:val="nil"/>
          <w:right w:val="nil"/>
          <w:between w:val="nil"/>
        </w:pBdr>
        <w:spacing w:line="276" w:lineRule="auto"/>
      </w:pPr>
      <w:r>
        <w:t>The mineral elements were extracted by dry-ashing the samples in a muffle-furnace at 550</w:t>
      </w:r>
      <w:r>
        <w:rPr>
          <w:vertAlign w:val="superscript"/>
        </w:rPr>
        <w:t>0</w:t>
      </w:r>
      <w:r>
        <w:t>C to</w:t>
      </w:r>
      <w:r>
        <w:t xml:space="preserve"> constant weight followed by the dissolution of the ash obtained from each sample in a volumetric flask by the addition of 50mL of de-ionized water and a few drops of Hydrochloric acid. The calcium, potassium, magnesium, iron and zinc contents of the sampl</w:t>
      </w:r>
      <w:r>
        <w:t xml:space="preserve">es were determined using the </w:t>
      </w:r>
      <w:r>
        <w:lastRenderedPageBreak/>
        <w:t>atomic absorption spectrophotometer (Buck Scientific Absorption Spectrophotometer, Model 205, manufactured by Norwalk, Connecticut, USA).    The phosphorus content was determined using the molybdate method. All determinations f</w:t>
      </w:r>
      <w:r>
        <w:t>ollowed the methods of AOAC (2016) and were carried out in triplicate samples on dry weight basis.</w:t>
      </w:r>
    </w:p>
    <w:p w14:paraId="2960493B" w14:textId="77777777" w:rsidR="004879C6" w:rsidRDefault="004879C6">
      <w:pPr>
        <w:spacing w:line="276" w:lineRule="auto"/>
      </w:pPr>
      <w:bookmarkStart w:id="11" w:name="_heading=h.1mrcu09" w:colFirst="0" w:colLast="0"/>
      <w:bookmarkEnd w:id="11"/>
    </w:p>
    <w:p w14:paraId="6DE633A6" w14:textId="77777777" w:rsidR="004879C6" w:rsidRDefault="00934F55">
      <w:pPr>
        <w:pStyle w:val="Heading2"/>
        <w:spacing w:line="276" w:lineRule="auto"/>
      </w:pPr>
      <w:bookmarkStart w:id="12" w:name="_heading=h.2zbgiuw" w:colFirst="0" w:colLast="0"/>
      <w:bookmarkStart w:id="13" w:name="_heading=h.1rvwp1q" w:colFirst="0" w:colLast="0"/>
      <w:bookmarkEnd w:id="12"/>
      <w:bookmarkEnd w:id="13"/>
      <w:r>
        <w:t>Vitamin Analysis</w:t>
      </w:r>
    </w:p>
    <w:p w14:paraId="335851A1" w14:textId="77777777" w:rsidR="004879C6" w:rsidRDefault="00934F55">
      <w:pPr>
        <w:spacing w:line="276" w:lineRule="auto"/>
      </w:pPr>
      <w:r>
        <w:t>The niacin, thiamine and ascorbic acid contents of the samples were determined on dry weight basis using the atomic spectrophotometer (Perk</w:t>
      </w:r>
      <w:r>
        <w:t>in-Elmer Model 300, Norwalk, Connecticut, USA) after extraction. The riboflavin and folic acid contents were determined by the use of a digital fluorimeter. The vitamin A content was determined using the ultraviolet absorption spectrophotometer after extra</w:t>
      </w:r>
      <w:r>
        <w:t>ction with chloroform. All determinations followed the AOAC (2016) procedures and were carried out in triplicate samples.</w:t>
      </w:r>
    </w:p>
    <w:p w14:paraId="5E405DBC" w14:textId="77777777" w:rsidR="004879C6" w:rsidRDefault="004879C6">
      <w:pPr>
        <w:spacing w:line="276" w:lineRule="auto"/>
        <w:rPr>
          <w:b/>
        </w:rPr>
      </w:pPr>
      <w:bookmarkStart w:id="14" w:name="_heading=h.4bvk7pj" w:colFirst="0" w:colLast="0"/>
      <w:bookmarkEnd w:id="14"/>
    </w:p>
    <w:p w14:paraId="6658E3BD" w14:textId="77777777" w:rsidR="004879C6" w:rsidRDefault="00934F55">
      <w:pPr>
        <w:spacing w:line="276" w:lineRule="auto"/>
        <w:rPr>
          <w:b/>
        </w:rPr>
      </w:pPr>
      <w:r>
        <w:rPr>
          <w:b/>
        </w:rPr>
        <w:t xml:space="preserve">Microbiological Evaluation </w:t>
      </w:r>
    </w:p>
    <w:p w14:paraId="7B25BFD2" w14:textId="77777777" w:rsidR="004879C6" w:rsidRDefault="00934F55">
      <w:pPr>
        <w:spacing w:line="276" w:lineRule="auto"/>
      </w:pPr>
      <w:r>
        <w:t>The total viable, coliform and fungal counts of each sample of the biscuits were determined in triplicate</w:t>
      </w:r>
      <w:r>
        <w:t xml:space="preserve"> samples using the pour plate culture method described by James (2003). Two grams (2g) of each sample was weighed and poured into a sterile test tube. Nine millilitres (9 mL) of Ringer solution was poured into it and also into other test tubes arranged for</w:t>
      </w:r>
      <w:r>
        <w:t xml:space="preserve"> serial dilution. The sample with the solution was homogenized by shaking. After that, one milliliter (1mL) of homogenized sample solution was pipetted into the test tube and used for serial dilution.  One milliliter (1mL) of each dilution was pipetted and</w:t>
      </w:r>
      <w:r>
        <w:t xml:space="preserve"> transferred into the sterile petri dish and 20 mL of sterile nutrient agar was poured into the same petri dish. The mixture was thoroughly mixed by rocking until it was solidified. When it was solidified, it was turned upside down and cultured by incubati</w:t>
      </w:r>
      <w:r>
        <w:t>ng at the temperature of 37</w:t>
      </w:r>
      <w:r>
        <w:rPr>
          <w:vertAlign w:val="superscript"/>
        </w:rPr>
        <w:t>o</w:t>
      </w:r>
      <w:r>
        <w:t>C for 24 h. At the end of the incubation period, the colonies were counted using the digital electronic colony counter (Gallenkamp colony counter, Model CNW 330-010X, China) and the mean values of the colonies were separately re</w:t>
      </w:r>
      <w:r>
        <w:t>corded appropriately.</w:t>
      </w:r>
    </w:p>
    <w:p w14:paraId="723CC649" w14:textId="77777777" w:rsidR="004879C6" w:rsidRDefault="00934F55">
      <w:pPr>
        <w:spacing w:line="276" w:lineRule="auto"/>
      </w:pPr>
      <w:r>
        <w:t>The above procedure was repeated for coliform and fungal counts except that MacConkey agar was used in place of nutrient agar for coliform count and the samples were incubated at 37</w:t>
      </w:r>
      <w:r>
        <w:rPr>
          <w:vertAlign w:val="superscript"/>
        </w:rPr>
        <w:t>o</w:t>
      </w:r>
      <w:r>
        <w:t>C for 96 h, whereas Potato dextrose agar was used fo</w:t>
      </w:r>
      <w:r>
        <w:t>r fungal count and incubation was done at 37</w:t>
      </w:r>
      <w:r>
        <w:rPr>
          <w:vertAlign w:val="superscript"/>
        </w:rPr>
        <w:t>o</w:t>
      </w:r>
      <w:r>
        <w:t>C for 120 h. After incubation, the colonies were counted using the same digital electronic colony counter (Gallenkamp colony counter, Model CNW 330-010X, China) and the mean values of the colonies were also reco</w:t>
      </w:r>
      <w:r>
        <w:t xml:space="preserve">rded accordingly in each case. </w:t>
      </w:r>
    </w:p>
    <w:p w14:paraId="208FC70C" w14:textId="77777777" w:rsidR="004879C6" w:rsidRDefault="00934F55">
      <w:pPr>
        <w:spacing w:line="276" w:lineRule="auto"/>
        <w:rPr>
          <w:b/>
        </w:rPr>
      </w:pPr>
      <w:r>
        <w:rPr>
          <w:b/>
        </w:rPr>
        <w:t xml:space="preserve">Physical Properties </w:t>
      </w:r>
    </w:p>
    <w:p w14:paraId="46D3D9D2" w14:textId="77777777" w:rsidR="004879C6" w:rsidRDefault="004879C6">
      <w:pPr>
        <w:spacing w:line="276" w:lineRule="auto"/>
      </w:pPr>
    </w:p>
    <w:p w14:paraId="48582B8C" w14:textId="77777777" w:rsidR="004879C6" w:rsidRDefault="00934F55">
      <w:pPr>
        <w:spacing w:line="276" w:lineRule="auto"/>
      </w:pPr>
      <w:r>
        <w:t xml:space="preserve">The diameter and height of the biscuit samples were determined according to the methods described by Ebere </w:t>
      </w:r>
      <w:r>
        <w:rPr>
          <w:i/>
        </w:rPr>
        <w:t>et al.</w:t>
      </w:r>
      <w:r>
        <w:t xml:space="preserve"> (2015). The thickness was determined by the use of calibrated Vernier Calliper according</w:t>
      </w:r>
      <w:r>
        <w:t xml:space="preserve"> to the method described by Ani and Okoye (2021). The spread ratio and spread factor were determined according to the methods described by Otitoju </w:t>
      </w:r>
      <w:r>
        <w:rPr>
          <w:i/>
        </w:rPr>
        <w:t>et al</w:t>
      </w:r>
      <w:r>
        <w:t xml:space="preserve"> (2014). The weight of the biscuits were determined by the use of the Melter-Toledo digital weighing bal</w:t>
      </w:r>
      <w:r>
        <w:t xml:space="preserve">ance (Model XP </w:t>
      </w:r>
      <w:r>
        <w:lastRenderedPageBreak/>
        <w:t>204) according to the method described By Okoye and Obi (2017). All determinations were carried out in triplicate samples.</w:t>
      </w:r>
    </w:p>
    <w:p w14:paraId="798B8707" w14:textId="77777777" w:rsidR="004879C6" w:rsidRDefault="00934F55">
      <w:pPr>
        <w:spacing w:line="276" w:lineRule="auto"/>
      </w:pPr>
      <w:r>
        <w:t xml:space="preserve"> </w:t>
      </w:r>
    </w:p>
    <w:p w14:paraId="78C80A54" w14:textId="77777777" w:rsidR="004879C6" w:rsidRDefault="00934F55">
      <w:pPr>
        <w:pStyle w:val="Heading2"/>
        <w:spacing w:line="276" w:lineRule="auto"/>
      </w:pPr>
      <w:bookmarkStart w:id="15" w:name="_heading=h.1jlao46" w:colFirst="0" w:colLast="0"/>
      <w:bookmarkStart w:id="16" w:name="_heading=h.2w5ecyt" w:colFirst="0" w:colLast="0"/>
      <w:bookmarkEnd w:id="15"/>
      <w:bookmarkEnd w:id="16"/>
      <w:r>
        <w:t xml:space="preserve">Sensory Evaluation </w:t>
      </w:r>
    </w:p>
    <w:p w14:paraId="2D414336" w14:textId="77777777" w:rsidR="004879C6" w:rsidRDefault="00934F55">
      <w:pPr>
        <w:pBdr>
          <w:top w:val="nil"/>
          <w:left w:val="nil"/>
          <w:bottom w:val="nil"/>
          <w:right w:val="nil"/>
          <w:between w:val="nil"/>
        </w:pBdr>
        <w:spacing w:line="276" w:lineRule="auto"/>
        <w:rPr>
          <w:color w:val="000000"/>
        </w:rPr>
      </w:pPr>
      <w:r>
        <w:rPr>
          <w:color w:val="000000"/>
        </w:rPr>
        <w:t>The wheat and composite flour biscuits produced were cooled for 2 h at room temperature after ba</w:t>
      </w:r>
      <w:r>
        <w:rPr>
          <w:color w:val="000000"/>
        </w:rPr>
        <w:t xml:space="preserve">king before being evaluated </w:t>
      </w:r>
      <w:r>
        <w:t>by</w:t>
      </w:r>
      <w:r>
        <w:rPr>
          <w:color w:val="000000"/>
        </w:rPr>
        <w:t xml:space="preserve"> a panel of twenty (20) semi-trained panellists consisting of staff and students of the Department of Food Science and Technology, Enugu State University of Science and Technology (ESUT), Enugu, Nigeria. The criteria for selec</w:t>
      </w:r>
      <w:r>
        <w:rPr>
          <w:color w:val="000000"/>
        </w:rPr>
        <w:t xml:space="preserve">tion were that the panellists were 18 years and above, regular consumers of biscuits and not allergic to any food. The panellists filled a consent form approved by the University Institutional Review Board and received instructions on how the sensory test </w:t>
      </w:r>
      <w:r>
        <w:rPr>
          <w:color w:val="000000"/>
        </w:rPr>
        <w:t>would be conducted. The biscuit samples were separately coded and served to the panellists in white plastic plates of similar sizes. The samples were evaluated for the attributes of colour, mouthfeel, flavour, crispness and overall acceptability using a ni</w:t>
      </w:r>
      <w:r>
        <w:rPr>
          <w:color w:val="000000"/>
        </w:rPr>
        <w:t>ne point Hedonic scale with 1 and 9 representing dislike extremely and like extremely, respectively (Okoye and Obi, 2017). The sensory evaluation was carried out in the Food Processing and Preservation Laboratory of the Department of Food Science and Techn</w:t>
      </w:r>
      <w:r>
        <w:rPr>
          <w:color w:val="000000"/>
        </w:rPr>
        <w:t>ology, Enugu State University of Science and Technology, Enugu, Nigeria at 11.00a.m in the morning. The laboratory was adequately lighted and free from distraction. The judges were seated in such a way that they could not see the rating of each other. Also</w:t>
      </w:r>
      <w:r>
        <w:rPr>
          <w:color w:val="000000"/>
        </w:rPr>
        <w:t>, clean potable water and unsalted crackers were provided to each of the judges to rinse their mouth after tasting each sample to avoid residual effect. The panellists evaluated and scored each sample of the biscuits based on their preference and acceptabi</w:t>
      </w:r>
      <w:r>
        <w:rPr>
          <w:color w:val="000000"/>
        </w:rPr>
        <w:t xml:space="preserve">lity of each sample. Expectoration cups with lids were also provided to the panellists who would not like to swallow the samples after tasting each of them. </w:t>
      </w:r>
    </w:p>
    <w:p w14:paraId="3BBC2A7C" w14:textId="77777777" w:rsidR="004879C6" w:rsidRDefault="004879C6">
      <w:pPr>
        <w:pBdr>
          <w:top w:val="nil"/>
          <w:left w:val="nil"/>
          <w:bottom w:val="nil"/>
          <w:right w:val="nil"/>
          <w:between w:val="nil"/>
        </w:pBdr>
        <w:spacing w:line="276" w:lineRule="auto"/>
      </w:pPr>
    </w:p>
    <w:p w14:paraId="3CB6B5E8" w14:textId="77777777" w:rsidR="004879C6" w:rsidRDefault="00934F55">
      <w:pPr>
        <w:pStyle w:val="Heading2"/>
        <w:spacing w:line="276" w:lineRule="auto"/>
      </w:pPr>
      <w:bookmarkStart w:id="17" w:name="_heading=h.1baon6m" w:colFirst="0" w:colLast="0"/>
      <w:bookmarkEnd w:id="17"/>
      <w:r>
        <w:t>Statistical Analysis</w:t>
      </w:r>
    </w:p>
    <w:p w14:paraId="486D5D79" w14:textId="77777777" w:rsidR="004879C6" w:rsidRDefault="00934F55">
      <w:pPr>
        <w:spacing w:line="276" w:lineRule="auto"/>
      </w:pPr>
      <w:r>
        <w:t xml:space="preserve">The data generated were subjected to one-way analysis of variance (ANOVA) using Statistical Package for Service Solution (SPSS, Version 23) software. Significant means were separated using the Fisher’s least significant difference (LSD) test at p&lt;0.05. </w:t>
      </w:r>
    </w:p>
    <w:p w14:paraId="449E6ABF" w14:textId="77777777" w:rsidR="004879C6" w:rsidRDefault="004879C6">
      <w:bookmarkStart w:id="18" w:name="_heading=h.2afmg28" w:colFirst="0" w:colLast="0"/>
      <w:bookmarkEnd w:id="18"/>
    </w:p>
    <w:p w14:paraId="0C71EDE4" w14:textId="372FF8EA" w:rsidR="004879C6" w:rsidRDefault="00934F55">
      <w:pPr>
        <w:pStyle w:val="Heading2"/>
        <w:spacing w:line="276" w:lineRule="auto"/>
      </w:pPr>
      <w:r>
        <w:t>RESULTS AND DISCUSSION</w:t>
      </w:r>
    </w:p>
    <w:p w14:paraId="466D07F1" w14:textId="77777777" w:rsidR="002636DD" w:rsidRPr="002636DD" w:rsidRDefault="002636DD" w:rsidP="002636DD"/>
    <w:p w14:paraId="09C008C4" w14:textId="77777777" w:rsidR="004879C6" w:rsidRDefault="00934F55">
      <w:pPr>
        <w:pStyle w:val="Heading2"/>
        <w:spacing w:line="276" w:lineRule="auto"/>
      </w:pPr>
      <w:bookmarkStart w:id="19" w:name="_heading=h.39kk8xu" w:colFirst="0" w:colLast="0"/>
      <w:bookmarkEnd w:id="19"/>
      <w:r>
        <w:t>Proximate Composition of Biscuit Samples</w:t>
      </w:r>
    </w:p>
    <w:p w14:paraId="271CFEE0" w14:textId="77777777" w:rsidR="004879C6" w:rsidRDefault="00934F55">
      <w:pPr>
        <w:spacing w:line="276" w:lineRule="auto"/>
      </w:pPr>
      <w:r>
        <w:t xml:space="preserve">The proximate composition of the biscuit samples are presented in Table 1. </w:t>
      </w:r>
    </w:p>
    <w:p w14:paraId="1E6AAFA5" w14:textId="77777777" w:rsidR="004879C6" w:rsidRDefault="00934F55">
      <w:pPr>
        <w:spacing w:line="276" w:lineRule="auto"/>
      </w:pPr>
      <w:r>
        <w:t>The moisture content of the biscuit samples ranged from 6.42 to 7.65%. The moisture content of the control sample (</w:t>
      </w:r>
      <w:r>
        <w:t>Biscuits made with 100% wheat flour) was the least (6.42%), while the composite biscuits substituted with 30% Bambara groundnut and 20% bush mango mesocarp flours had the highest value (7.65%). The moisture content was found to increase as the levels of su</w:t>
      </w:r>
      <w:r>
        <w:t xml:space="preserve">bstitution with bambara groundnut and bush mango mesocarp flours increased. The increase could be attributed to differences in composition of the raw materials used for the preparation of </w:t>
      </w:r>
      <w:r>
        <w:lastRenderedPageBreak/>
        <w:t>biscuits. The result is in agreement with the findings of Pyler (201</w:t>
      </w:r>
      <w:r>
        <w:t xml:space="preserve">6) for sugar-snap cookies. A similar increase in moisture content was also reported by Aprianita </w:t>
      </w:r>
      <w:r>
        <w:rPr>
          <w:i/>
        </w:rPr>
        <w:t>et al</w:t>
      </w:r>
      <w:r>
        <w:t xml:space="preserve">. (2009) for wheat and defatted germ composite breads. Iwe </w:t>
      </w:r>
      <w:r>
        <w:rPr>
          <w:i/>
        </w:rPr>
        <w:t>et al</w:t>
      </w:r>
      <w:r>
        <w:t xml:space="preserve">. (2014) also reported similar increase in moisture content (7.11 to 8.01%) for composite </w:t>
      </w:r>
      <w:r>
        <w:t>biscuits made from cassava and wheat flours. The moisture contents of all the biscuit samples were below the 10% moisture content  that is regarded as the normal moisture content required  for the shelf stability of biscuits (Adeleke and Odedeji, 2010; Chi</w:t>
      </w:r>
      <w:r>
        <w:t xml:space="preserve">nma </w:t>
      </w:r>
      <w:r>
        <w:rPr>
          <w:i/>
        </w:rPr>
        <w:t>et al</w:t>
      </w:r>
      <w:r>
        <w:t xml:space="preserve">., 2011). The moisture content (6.42-7.65%) obtained in this study was lower than the values (6.89-8.12%) reported by Olapade </w:t>
      </w:r>
      <w:r>
        <w:rPr>
          <w:i/>
        </w:rPr>
        <w:t>et al.</w:t>
      </w:r>
      <w:r>
        <w:t xml:space="preserve"> (2014) for biscuits produced from blends of water yam and ojojo flour.</w:t>
      </w:r>
    </w:p>
    <w:p w14:paraId="7DE0FF5D" w14:textId="77777777" w:rsidR="004879C6" w:rsidRDefault="00934F55">
      <w:pPr>
        <w:spacing w:line="276" w:lineRule="auto"/>
      </w:pPr>
      <w:r>
        <w:t>The crude protein content of the biscuit sa</w:t>
      </w:r>
      <w:r>
        <w:t>mples ranged from 7.32 to 17.32%. The composite biscuits supplemented with 30% Bambara groundnut and 20% bush mango mesocarp flours had the highest protein content (17.32%), while the control sample (Biscuits made with 100% wheat flour) had the least value</w:t>
      </w:r>
      <w:r>
        <w:t xml:space="preserve"> (7.32%). The increase in the protein content of the sample could be attributed to the addition of high amount of Bambara groundnut flour which has been reported to have a high protein content (Ojukwu </w:t>
      </w:r>
      <w:r>
        <w:rPr>
          <w:i/>
        </w:rPr>
        <w:t xml:space="preserve">et al </w:t>
      </w:r>
      <w:r>
        <w:t>2002). The increase in the protein contents of bi</w:t>
      </w:r>
      <w:r>
        <w:t xml:space="preserve">scuits and food products substituted with </w:t>
      </w:r>
      <w:r w:rsidRPr="002636DD">
        <w:rPr>
          <w:highlight w:val="yellow"/>
        </w:rPr>
        <w:t xml:space="preserve">Bambara groundnut flour has been reported by other researchers (Okoye </w:t>
      </w:r>
      <w:r w:rsidRPr="002636DD">
        <w:rPr>
          <w:i/>
          <w:highlight w:val="yellow"/>
        </w:rPr>
        <w:t>et al</w:t>
      </w:r>
      <w:r w:rsidRPr="002636DD">
        <w:rPr>
          <w:highlight w:val="yellow"/>
        </w:rPr>
        <w:t>., 2016, Oyeyinka and O</w:t>
      </w:r>
      <w:r>
        <w:t xml:space="preserve">yekinka, 2018). Protein is needed for the growth and development of the body. It is also required for the synthesis </w:t>
      </w:r>
      <w:r>
        <w:t xml:space="preserve">of new cells, enzymes and hormones in human body (Okaka </w:t>
      </w:r>
      <w:r>
        <w:rPr>
          <w:i/>
        </w:rPr>
        <w:t>et al.,</w:t>
      </w:r>
      <w:r>
        <w:t xml:space="preserve"> 2006).</w:t>
      </w:r>
    </w:p>
    <w:p w14:paraId="3BB19C5B" w14:textId="77777777" w:rsidR="004879C6" w:rsidRDefault="004879C6">
      <w:pPr>
        <w:spacing w:line="276" w:lineRule="auto"/>
      </w:pPr>
    </w:p>
    <w:p w14:paraId="27C8156B" w14:textId="77777777" w:rsidR="004879C6" w:rsidRPr="002636DD" w:rsidRDefault="00934F55">
      <w:pPr>
        <w:spacing w:line="276" w:lineRule="auto"/>
        <w:rPr>
          <w:highlight w:val="yellow"/>
        </w:rPr>
      </w:pPr>
      <w:r>
        <w:t>The fat content of the biscuit samples ranged from 3.25 to 4.24%. The result showed that the composite biscuits substituted with 30% Bambara groundnut and 20% bush mango mesocarp flour</w:t>
      </w:r>
      <w:r>
        <w:t xml:space="preserve">s had the highest fat content (4.24%), while the control sample (Biscuits made with 100% wheat flour) had the least value (3.25%).  </w:t>
      </w:r>
      <w:r>
        <w:rPr>
          <w:highlight w:val="white"/>
        </w:rPr>
        <w:t>The values (3.25-4.24%) obtained in this study were lower than the fat content (6.50-12.46%) reported by Masodi and Bas (201</w:t>
      </w:r>
      <w:r>
        <w:rPr>
          <w:highlight w:val="white"/>
        </w:rPr>
        <w:t xml:space="preserve">2) for wheat and flaxseed composite biscuits. </w:t>
      </w:r>
      <w:r>
        <w:t>This showed that the fat contents of the biscuit samples increased with decrease in the amount of wheat flour added to the products. The low fat content observed in the control sample (100% wheat flour biscuits) is an indication that wheat is not a good so</w:t>
      </w:r>
      <w:r>
        <w:t xml:space="preserve">urce of fat (Nwosu, 2013). Fat increases the energy density and also supplies the body with fat soluble vitamins and essential fatty acids needed for proper neural development (Okaka </w:t>
      </w:r>
      <w:r>
        <w:rPr>
          <w:i/>
        </w:rPr>
        <w:t xml:space="preserve">et al., </w:t>
      </w:r>
      <w:r>
        <w:t xml:space="preserve">2006). Fat also improves the flavour and increases the </w:t>
      </w:r>
      <w:r w:rsidRPr="002636DD">
        <w:rPr>
          <w:highlight w:val="yellow"/>
        </w:rPr>
        <w:t xml:space="preserve">mouthfeel </w:t>
      </w:r>
      <w:r w:rsidRPr="002636DD">
        <w:rPr>
          <w:highlight w:val="yellow"/>
        </w:rPr>
        <w:t xml:space="preserve">of foods (Iwe and Egwuekwe, 2010). Fat is important in human diets because it is a high energy-yielding nutrient. </w:t>
      </w:r>
    </w:p>
    <w:p w14:paraId="41EA72DA" w14:textId="77777777" w:rsidR="004879C6" w:rsidRPr="002636DD" w:rsidRDefault="004879C6">
      <w:pPr>
        <w:spacing w:line="276" w:lineRule="auto"/>
        <w:rPr>
          <w:b/>
          <w:highlight w:val="yellow"/>
        </w:rPr>
      </w:pPr>
    </w:p>
    <w:p w14:paraId="5A44EBE3" w14:textId="77777777" w:rsidR="004879C6" w:rsidRDefault="00934F55">
      <w:pPr>
        <w:spacing w:line="276" w:lineRule="auto"/>
        <w:rPr>
          <w:b/>
        </w:rPr>
      </w:pPr>
      <w:r w:rsidRPr="002636DD">
        <w:rPr>
          <w:highlight w:val="yellow"/>
        </w:rPr>
        <w:t xml:space="preserve">The ash content of the biscuit samples which ranged </w:t>
      </w:r>
      <w:r>
        <w:t>from 1.42 to 2.11% increased significantly (p &lt;0.05) with increased in substitution of B</w:t>
      </w:r>
      <w:r>
        <w:t>ambara groundnut and bush mango mesocarp flours. The result showed that the composite biscuit samples substituted with higher proportions of Bambara groundnut and bush mango mesocarp flours had higher ash contents compared to the control sample and this is</w:t>
      </w:r>
      <w:r>
        <w:t xml:space="preserve"> an indication that Bambara groundnut and bush mango mesocarp are rich sources of minerals (Ojukwu </w:t>
      </w:r>
      <w:r>
        <w:rPr>
          <w:i/>
        </w:rPr>
        <w:t>et al</w:t>
      </w:r>
      <w:r>
        <w:t xml:space="preserve">., 2012; Unigwe </w:t>
      </w:r>
      <w:r>
        <w:rPr>
          <w:i/>
        </w:rPr>
        <w:t>et al</w:t>
      </w:r>
      <w:r>
        <w:t xml:space="preserve">., 2018). The values (1.42-2.11%) obtained </w:t>
      </w:r>
      <w:r>
        <w:lastRenderedPageBreak/>
        <w:t xml:space="preserve">in this study were lower than the ash content (2.63-3.18%) reported by Nwosu (2013) for </w:t>
      </w:r>
      <w:r>
        <w:t>wheat-Bambara groundnut composite flour biscuits.</w:t>
      </w:r>
    </w:p>
    <w:p w14:paraId="211A4360" w14:textId="77777777" w:rsidR="004879C6" w:rsidRDefault="00934F55">
      <w:pPr>
        <w:spacing w:line="276" w:lineRule="auto"/>
      </w:pPr>
      <w:r>
        <w:t>The crude fibre content of the biscuit samples ranged from 3.32 to 5.03%. The composite biscuits substituted with 30% Bambara groundnut and 20% bush mango mesocarp flours had the highest crude fibre content</w:t>
      </w:r>
      <w:r>
        <w:t xml:space="preserve"> (5.03%), while the control sample (Biscuits made with 100% wheat flour) had the least value (3.32%). The result showed that the crude fibre content of the composite biscuit samples increased as the levels of substitution with Bambara groundnut and bush ma</w:t>
      </w:r>
      <w:r>
        <w:t xml:space="preserve">ngo mesocarp flours increased. This observation is an indication that Bambara groundnut and bush mango mesocarp are good sources of crude fibre (Ojukwu </w:t>
      </w:r>
      <w:r>
        <w:rPr>
          <w:i/>
        </w:rPr>
        <w:t>et al</w:t>
      </w:r>
      <w:r>
        <w:t xml:space="preserve">., 2012; Amarteifo </w:t>
      </w:r>
      <w:r>
        <w:rPr>
          <w:i/>
        </w:rPr>
        <w:t>et al</w:t>
      </w:r>
      <w:r>
        <w:t>., 2016). The presence of fibre in the diets help in the proper functioning</w:t>
      </w:r>
      <w:r>
        <w:t xml:space="preserve"> of the gastrointestinal tract and it also aids in the digestion of foods (Okaka </w:t>
      </w:r>
      <w:r>
        <w:rPr>
          <w:i/>
        </w:rPr>
        <w:t>et al</w:t>
      </w:r>
      <w:r>
        <w:t xml:space="preserve">., 2006). </w:t>
      </w:r>
    </w:p>
    <w:p w14:paraId="07978089" w14:textId="77777777" w:rsidR="004879C6" w:rsidRDefault="004879C6">
      <w:pPr>
        <w:spacing w:line="276" w:lineRule="auto"/>
      </w:pPr>
    </w:p>
    <w:p w14:paraId="5A2AC642" w14:textId="77777777" w:rsidR="004879C6" w:rsidRDefault="00934F55">
      <w:pPr>
        <w:spacing w:line="276" w:lineRule="auto"/>
      </w:pPr>
      <w:r>
        <w:t>The carbohydrate content of the biscuit samples ranged from 76.30 to 67.67%. The control sample had the highest carbohydrate content (76.30%), while the compo</w:t>
      </w:r>
      <w:r>
        <w:t>site biscuits substituted with 30% Bambara groundnut and 20% bush mango mesocarp flours had the least value (67.67%).  The carbohydrate content of the samples decreased with increase in the addition of Bambara groundnut and bush mango mesocarp flours to th</w:t>
      </w:r>
      <w:r>
        <w:t xml:space="preserve">e products. Similar decrease in carbohydrate content has been reported by Okoye and Obi (2017) for cookies produced from wheat–African yam bean composite flours. The increase carbohydrate content of the control sample (Biscuits made with 100% wheat flour) </w:t>
      </w:r>
      <w:r>
        <w:t>could be probably due to the high carbohydrate content of the wheat flour used as the principal ingredient in the production of biscuits.</w:t>
      </w:r>
    </w:p>
    <w:p w14:paraId="3604BE8C" w14:textId="77777777" w:rsidR="004879C6" w:rsidRDefault="004879C6">
      <w:pPr>
        <w:spacing w:line="276" w:lineRule="auto"/>
      </w:pPr>
    </w:p>
    <w:p w14:paraId="6F0EE243" w14:textId="77777777" w:rsidR="004879C6" w:rsidRDefault="00934F55">
      <w:pPr>
        <w:spacing w:line="276" w:lineRule="auto"/>
      </w:pPr>
      <w:r>
        <w:t xml:space="preserve">The energy content of the biscuit samples ranged from 375.65 - 365.06KJ/100g. The control sample (Biscuits made with </w:t>
      </w:r>
      <w:r>
        <w:t>100% wheat flour) had the highest energy value (375.65KJ/100g), while the composite biscuits substituted with 30% Bambara groundnut and 20% bush mango mesocarp flours had the least energy value (365.06KJ/100g). The variation in energy value could be attrib</w:t>
      </w:r>
      <w:r>
        <w:t xml:space="preserve">uted to differences in protein, fat and carbohydrate contents of the samples.  The values (365.06 -375.65 kf/100g) obtained in this study were higher than the energy content (363.08 -371.52KJ) reported by Olaoye </w:t>
      </w:r>
      <w:r>
        <w:rPr>
          <w:i/>
        </w:rPr>
        <w:t>et al.</w:t>
      </w:r>
      <w:r>
        <w:t xml:space="preserve"> (2007) for bread produced from compos</w:t>
      </w:r>
      <w:r>
        <w:t xml:space="preserve">ite flours of wheat, plantain and soybean. Fat on its own contributes about twice the food energy value of a food product than the protein and carbohydrate. </w:t>
      </w:r>
    </w:p>
    <w:p w14:paraId="290B29A4" w14:textId="77777777" w:rsidR="004879C6" w:rsidRDefault="00934F55">
      <w:pPr>
        <w:spacing w:line="276" w:lineRule="auto"/>
      </w:pPr>
      <w:r>
        <w:rPr>
          <w:b/>
        </w:rPr>
        <w:t>Table 1: Proximate composition (%) of biscuit samples</w:t>
      </w:r>
    </w:p>
    <w:p w14:paraId="2C493173" w14:textId="77777777" w:rsidR="004879C6" w:rsidRDefault="004879C6">
      <w:pPr>
        <w:spacing w:line="276" w:lineRule="auto"/>
      </w:pPr>
    </w:p>
    <w:p w14:paraId="0EFADD73" w14:textId="77777777" w:rsidR="004879C6" w:rsidRDefault="004879C6">
      <w:pPr>
        <w:spacing w:line="276" w:lineRule="auto"/>
      </w:pPr>
    </w:p>
    <w:p w14:paraId="490E41FE" w14:textId="77777777" w:rsidR="004879C6" w:rsidRDefault="00934F55">
      <w:pPr>
        <w:spacing w:line="276" w:lineRule="auto"/>
      </w:pPr>
      <w:r>
        <w:rPr>
          <w:sz w:val="20"/>
          <w:szCs w:val="20"/>
        </w:rPr>
        <w:t>Values are mean± standard deviation of tri</w:t>
      </w:r>
      <w:r>
        <w:rPr>
          <w:sz w:val="20"/>
          <w:szCs w:val="20"/>
        </w:rPr>
        <w:t>plicate determinations.  Means in the same row with different superscripts are significantly (p&lt;0.05) different. </w:t>
      </w:r>
    </w:p>
    <w:p w14:paraId="43069679" w14:textId="77777777" w:rsidR="004879C6" w:rsidRDefault="00934F55">
      <w:pPr>
        <w:spacing w:line="276" w:lineRule="auto"/>
        <w:rPr>
          <w:sz w:val="20"/>
          <w:szCs w:val="20"/>
        </w:rPr>
      </w:pPr>
      <w:r>
        <w:rPr>
          <w:sz w:val="20"/>
          <w:szCs w:val="20"/>
        </w:rPr>
        <w:t xml:space="preserve"> A – Biscuits prepared from 100% wheat flour. B – Biscuits prepared from 90% wheat, 5% Bambara groundnut and 5% African bush mango mesocarp fl</w:t>
      </w:r>
      <w:r>
        <w:rPr>
          <w:sz w:val="20"/>
          <w:szCs w:val="20"/>
        </w:rPr>
        <w:t>ours.  C – Biscuits prepared from 80% wheat, 15% Bambara groundnut and 5% African bush mango mesocarp flours. D – Biscuits prepared from 70% wheat, 20% Bambara groundnut and 10% African bush mango mesocarp flours.  E – Biscuits prepared from 60% wheat flou</w:t>
      </w:r>
      <w:r>
        <w:rPr>
          <w:sz w:val="20"/>
          <w:szCs w:val="20"/>
        </w:rPr>
        <w:t>r, 25% Bambara groundnut flour and 15% African bush mango mesocarp flour. F – Biscuit prepared from 50% wheat, 30% Bambara groundnut and 20% African bush mango mesocarp flours.</w:t>
      </w:r>
    </w:p>
    <w:p w14:paraId="6EC77AB1" w14:textId="77777777" w:rsidR="004879C6" w:rsidRDefault="00934F55">
      <w:pPr>
        <w:spacing w:line="276" w:lineRule="auto"/>
        <w:rPr>
          <w:sz w:val="20"/>
          <w:szCs w:val="20"/>
        </w:rPr>
      </w:pPr>
      <w:r>
        <w:rPr>
          <w:sz w:val="20"/>
          <w:szCs w:val="20"/>
        </w:rPr>
        <w:lastRenderedPageBreak/>
        <w:t>WF- Wheat flour, BGF- Bambara groundnut flour, ABMF- African bush mango mesocar</w:t>
      </w:r>
      <w:r>
        <w:rPr>
          <w:sz w:val="20"/>
          <w:szCs w:val="20"/>
        </w:rPr>
        <w:t>p flour.</w:t>
      </w:r>
      <w:bookmarkStart w:id="20" w:name="_heading=h.1opuj5n" w:colFirst="0" w:colLast="0"/>
      <w:bookmarkEnd w:id="20"/>
    </w:p>
    <w:p w14:paraId="75BAD73A" w14:textId="77777777" w:rsidR="004879C6" w:rsidRDefault="004879C6">
      <w:pPr>
        <w:spacing w:line="276" w:lineRule="auto"/>
      </w:pPr>
    </w:p>
    <w:p w14:paraId="1BDFC0E3" w14:textId="77777777" w:rsidR="004879C6" w:rsidRDefault="004879C6">
      <w:pPr>
        <w:spacing w:line="276" w:lineRule="auto"/>
      </w:pPr>
    </w:p>
    <w:p w14:paraId="71F77ED5" w14:textId="77777777" w:rsidR="004879C6" w:rsidRDefault="004879C6">
      <w:pPr>
        <w:spacing w:line="276" w:lineRule="auto"/>
      </w:pPr>
    </w:p>
    <w:p w14:paraId="3EC99E53" w14:textId="77777777" w:rsidR="004879C6" w:rsidRDefault="004879C6">
      <w:pPr>
        <w:spacing w:line="276" w:lineRule="auto"/>
      </w:pPr>
    </w:p>
    <w:p w14:paraId="57CBB430" w14:textId="77777777" w:rsidR="004879C6" w:rsidRDefault="004879C6">
      <w:pPr>
        <w:spacing w:line="276" w:lineRule="auto"/>
      </w:pPr>
    </w:p>
    <w:p w14:paraId="3CCC6DB4" w14:textId="77777777" w:rsidR="004879C6" w:rsidRDefault="004879C6">
      <w:pPr>
        <w:spacing w:line="276" w:lineRule="auto"/>
      </w:pPr>
    </w:p>
    <w:p w14:paraId="09996B2F" w14:textId="77777777" w:rsidR="004879C6" w:rsidRDefault="00934F55">
      <w:pPr>
        <w:spacing w:line="276" w:lineRule="auto"/>
      </w:pPr>
      <w:r>
        <w:t xml:space="preserve">The substitution of wheat flour with Bambara groundnut and bush mango mesocarp flours in the preparation of biscuits greatly increased the protein, fat, ash and crude fibre contents of the products with slight decrease in their carbohydrate </w:t>
      </w:r>
      <w:r>
        <w:t>and energy contents.</w:t>
      </w:r>
    </w:p>
    <w:p w14:paraId="5DB1A6EA" w14:textId="77777777" w:rsidR="004879C6" w:rsidRDefault="004879C6">
      <w:pPr>
        <w:spacing w:line="276" w:lineRule="auto"/>
      </w:pPr>
    </w:p>
    <w:p w14:paraId="035D4BBC" w14:textId="77777777" w:rsidR="004879C6" w:rsidRDefault="004879C6">
      <w:pPr>
        <w:spacing w:line="276" w:lineRule="auto"/>
        <w:rPr>
          <w:b/>
        </w:rPr>
      </w:pPr>
    </w:p>
    <w:p w14:paraId="2D2F0DEA" w14:textId="77777777" w:rsidR="004879C6" w:rsidRDefault="004879C6">
      <w:pPr>
        <w:spacing w:line="276" w:lineRule="auto"/>
        <w:rPr>
          <w:b/>
        </w:rPr>
      </w:pPr>
    </w:p>
    <w:p w14:paraId="0135A0B4" w14:textId="77777777" w:rsidR="004879C6" w:rsidRDefault="004879C6">
      <w:pPr>
        <w:spacing w:line="276" w:lineRule="auto"/>
        <w:rPr>
          <w:b/>
        </w:rPr>
      </w:pPr>
    </w:p>
    <w:p w14:paraId="0162D2F1" w14:textId="77777777" w:rsidR="004879C6" w:rsidRDefault="004879C6">
      <w:pPr>
        <w:spacing w:line="276" w:lineRule="auto"/>
        <w:rPr>
          <w:b/>
        </w:rPr>
      </w:pPr>
    </w:p>
    <w:p w14:paraId="474307D9" w14:textId="77777777" w:rsidR="004879C6" w:rsidRDefault="004879C6">
      <w:pPr>
        <w:spacing w:line="276" w:lineRule="auto"/>
        <w:rPr>
          <w:b/>
        </w:rPr>
      </w:pPr>
    </w:p>
    <w:p w14:paraId="7190D9D2" w14:textId="77777777" w:rsidR="004879C6" w:rsidRDefault="00934F55">
      <w:pPr>
        <w:spacing w:line="276" w:lineRule="auto"/>
        <w:ind w:left="-1170"/>
      </w:pPr>
      <w:r>
        <w:t xml:space="preserve">      </w:t>
      </w:r>
      <w:r>
        <w:tab/>
      </w:r>
      <w:r>
        <w:tab/>
      </w:r>
    </w:p>
    <w:p w14:paraId="5D01318B" w14:textId="77777777" w:rsidR="004879C6" w:rsidRDefault="004879C6">
      <w:pPr>
        <w:spacing w:line="276" w:lineRule="auto"/>
      </w:pPr>
    </w:p>
    <w:tbl>
      <w:tblPr>
        <w:tblpPr w:leftFromText="180" w:rightFromText="180" w:vertAnchor="page" w:horzAnchor="margin" w:tblpXSpec="center" w:tblpY="1921"/>
        <w:tblW w:w="11700" w:type="dxa"/>
        <w:tblBorders>
          <w:top w:val="single" w:sz="4" w:space="0" w:color="auto"/>
          <w:bottom w:val="single" w:sz="4" w:space="0" w:color="auto"/>
        </w:tblBorders>
        <w:tblLayout w:type="fixed"/>
        <w:tblLook w:val="0000" w:firstRow="0" w:lastRow="0" w:firstColumn="0" w:lastColumn="0" w:noHBand="0" w:noVBand="0"/>
      </w:tblPr>
      <w:tblGrid>
        <w:gridCol w:w="810"/>
        <w:gridCol w:w="1417"/>
        <w:gridCol w:w="1400"/>
        <w:gridCol w:w="1402"/>
        <w:gridCol w:w="1485"/>
        <w:gridCol w:w="1320"/>
        <w:gridCol w:w="1166"/>
        <w:gridCol w:w="1328"/>
        <w:gridCol w:w="1372"/>
      </w:tblGrid>
      <w:tr w:rsidR="004879C6" w14:paraId="638EC100" w14:textId="77777777">
        <w:trPr>
          <w:trHeight w:val="480"/>
        </w:trPr>
        <w:tc>
          <w:tcPr>
            <w:tcW w:w="810" w:type="dxa"/>
            <w:tcBorders>
              <w:top w:val="single" w:sz="4" w:space="0" w:color="auto"/>
              <w:bottom w:val="single" w:sz="4" w:space="0" w:color="auto"/>
            </w:tcBorders>
            <w:shd w:val="clear" w:color="auto" w:fill="FFFFFF"/>
          </w:tcPr>
          <w:p w14:paraId="11D67CD6" w14:textId="77777777" w:rsidR="004879C6" w:rsidRDefault="00934F55">
            <w:pPr>
              <w:spacing w:line="276" w:lineRule="auto"/>
              <w:rPr>
                <w:b/>
                <w:sz w:val="18"/>
              </w:rPr>
            </w:pPr>
            <w:r>
              <w:rPr>
                <w:b/>
                <w:sz w:val="18"/>
              </w:rPr>
              <w:t>Samples</w:t>
            </w:r>
          </w:p>
        </w:tc>
        <w:tc>
          <w:tcPr>
            <w:tcW w:w="1417" w:type="dxa"/>
            <w:tcBorders>
              <w:top w:val="single" w:sz="4" w:space="0" w:color="auto"/>
              <w:bottom w:val="single" w:sz="4" w:space="0" w:color="auto"/>
            </w:tcBorders>
            <w:shd w:val="clear" w:color="auto" w:fill="FFFFFF"/>
          </w:tcPr>
          <w:p w14:paraId="6C7FE153" w14:textId="77777777" w:rsidR="004879C6" w:rsidRDefault="00934F55">
            <w:pPr>
              <w:spacing w:line="276" w:lineRule="auto"/>
              <w:rPr>
                <w:b/>
                <w:sz w:val="18"/>
                <w:szCs w:val="20"/>
              </w:rPr>
            </w:pPr>
            <w:r>
              <w:rPr>
                <w:b/>
                <w:sz w:val="18"/>
                <w:szCs w:val="20"/>
              </w:rPr>
              <w:t xml:space="preserve">%Substitution </w:t>
            </w:r>
          </w:p>
          <w:p w14:paraId="00F42737" w14:textId="77777777" w:rsidR="004879C6" w:rsidRDefault="00934F55">
            <w:pPr>
              <w:spacing w:line="276" w:lineRule="auto"/>
              <w:rPr>
                <w:b/>
                <w:sz w:val="18"/>
                <w:szCs w:val="20"/>
              </w:rPr>
            </w:pPr>
            <w:r>
              <w:rPr>
                <w:b/>
                <w:sz w:val="18"/>
                <w:szCs w:val="20"/>
              </w:rPr>
              <w:t>WF:BBF:BMF</w:t>
            </w:r>
          </w:p>
        </w:tc>
        <w:tc>
          <w:tcPr>
            <w:tcW w:w="1400" w:type="dxa"/>
            <w:tcBorders>
              <w:top w:val="single" w:sz="4" w:space="0" w:color="auto"/>
              <w:bottom w:val="single" w:sz="4" w:space="0" w:color="auto"/>
            </w:tcBorders>
            <w:shd w:val="clear" w:color="auto" w:fill="FFFFFF"/>
          </w:tcPr>
          <w:p w14:paraId="31911869" w14:textId="77777777" w:rsidR="004879C6" w:rsidRDefault="00934F55">
            <w:pPr>
              <w:spacing w:line="276" w:lineRule="auto"/>
              <w:rPr>
                <w:b/>
                <w:sz w:val="18"/>
              </w:rPr>
            </w:pPr>
            <w:r>
              <w:rPr>
                <w:b/>
                <w:sz w:val="18"/>
              </w:rPr>
              <w:t xml:space="preserve">Moisture </w:t>
            </w:r>
          </w:p>
        </w:tc>
        <w:tc>
          <w:tcPr>
            <w:tcW w:w="1402" w:type="dxa"/>
            <w:tcBorders>
              <w:top w:val="single" w:sz="4" w:space="0" w:color="auto"/>
              <w:bottom w:val="single" w:sz="4" w:space="0" w:color="auto"/>
            </w:tcBorders>
            <w:shd w:val="clear" w:color="auto" w:fill="FFFFFF"/>
          </w:tcPr>
          <w:p w14:paraId="26624D2A" w14:textId="77777777" w:rsidR="004879C6" w:rsidRDefault="00934F55">
            <w:pPr>
              <w:spacing w:line="276" w:lineRule="auto"/>
              <w:rPr>
                <w:b/>
                <w:sz w:val="18"/>
              </w:rPr>
            </w:pPr>
            <w:r>
              <w:rPr>
                <w:b/>
                <w:sz w:val="18"/>
              </w:rPr>
              <w:t xml:space="preserve">Protein </w:t>
            </w:r>
          </w:p>
        </w:tc>
        <w:tc>
          <w:tcPr>
            <w:tcW w:w="1485" w:type="dxa"/>
            <w:tcBorders>
              <w:top w:val="single" w:sz="4" w:space="0" w:color="auto"/>
              <w:bottom w:val="single" w:sz="4" w:space="0" w:color="auto"/>
            </w:tcBorders>
            <w:shd w:val="clear" w:color="auto" w:fill="FFFFFF"/>
          </w:tcPr>
          <w:p w14:paraId="2436FB25" w14:textId="77777777" w:rsidR="004879C6" w:rsidRDefault="00934F55">
            <w:pPr>
              <w:spacing w:line="276" w:lineRule="auto"/>
              <w:rPr>
                <w:b/>
                <w:sz w:val="18"/>
              </w:rPr>
            </w:pPr>
            <w:r>
              <w:rPr>
                <w:b/>
                <w:sz w:val="18"/>
              </w:rPr>
              <w:t>Fat</w:t>
            </w:r>
          </w:p>
        </w:tc>
        <w:tc>
          <w:tcPr>
            <w:tcW w:w="1320" w:type="dxa"/>
            <w:tcBorders>
              <w:top w:val="single" w:sz="4" w:space="0" w:color="auto"/>
              <w:bottom w:val="single" w:sz="4" w:space="0" w:color="auto"/>
            </w:tcBorders>
            <w:shd w:val="clear" w:color="auto" w:fill="FFFFFF"/>
          </w:tcPr>
          <w:p w14:paraId="6C4D8315" w14:textId="77777777" w:rsidR="004879C6" w:rsidRDefault="00934F55">
            <w:pPr>
              <w:spacing w:line="276" w:lineRule="auto"/>
              <w:rPr>
                <w:b/>
                <w:sz w:val="18"/>
              </w:rPr>
            </w:pPr>
            <w:r>
              <w:rPr>
                <w:b/>
                <w:sz w:val="18"/>
              </w:rPr>
              <w:t>Ash</w:t>
            </w:r>
          </w:p>
        </w:tc>
        <w:tc>
          <w:tcPr>
            <w:tcW w:w="1166" w:type="dxa"/>
            <w:tcBorders>
              <w:top w:val="single" w:sz="4" w:space="0" w:color="auto"/>
              <w:bottom w:val="single" w:sz="4" w:space="0" w:color="auto"/>
            </w:tcBorders>
            <w:shd w:val="clear" w:color="auto" w:fill="FFFFFF"/>
          </w:tcPr>
          <w:p w14:paraId="74AAAD81" w14:textId="77777777" w:rsidR="004879C6" w:rsidRDefault="00934F55">
            <w:pPr>
              <w:spacing w:line="276" w:lineRule="auto"/>
              <w:rPr>
                <w:b/>
                <w:sz w:val="18"/>
              </w:rPr>
            </w:pPr>
            <w:r>
              <w:rPr>
                <w:b/>
                <w:sz w:val="18"/>
              </w:rPr>
              <w:t>Fibre</w:t>
            </w:r>
          </w:p>
        </w:tc>
        <w:tc>
          <w:tcPr>
            <w:tcW w:w="1328" w:type="dxa"/>
            <w:tcBorders>
              <w:top w:val="single" w:sz="4" w:space="0" w:color="auto"/>
              <w:bottom w:val="single" w:sz="4" w:space="0" w:color="auto"/>
            </w:tcBorders>
            <w:shd w:val="clear" w:color="auto" w:fill="FFFFFF"/>
          </w:tcPr>
          <w:p w14:paraId="52CF339C" w14:textId="77777777" w:rsidR="004879C6" w:rsidRDefault="00934F55">
            <w:pPr>
              <w:spacing w:line="276" w:lineRule="auto"/>
              <w:rPr>
                <w:b/>
                <w:sz w:val="18"/>
              </w:rPr>
            </w:pPr>
            <w:r>
              <w:rPr>
                <w:b/>
                <w:sz w:val="18"/>
              </w:rPr>
              <w:t xml:space="preserve">Carbohydrate </w:t>
            </w:r>
          </w:p>
        </w:tc>
        <w:tc>
          <w:tcPr>
            <w:tcW w:w="1372" w:type="dxa"/>
            <w:tcBorders>
              <w:top w:val="single" w:sz="4" w:space="0" w:color="auto"/>
              <w:bottom w:val="single" w:sz="4" w:space="0" w:color="auto"/>
            </w:tcBorders>
            <w:shd w:val="clear" w:color="auto" w:fill="FFFFFF"/>
          </w:tcPr>
          <w:p w14:paraId="71FBCA5A" w14:textId="77777777" w:rsidR="004879C6" w:rsidRDefault="00934F55">
            <w:pPr>
              <w:spacing w:line="276" w:lineRule="auto"/>
              <w:rPr>
                <w:b/>
                <w:sz w:val="18"/>
              </w:rPr>
            </w:pPr>
            <w:r>
              <w:rPr>
                <w:b/>
                <w:sz w:val="18"/>
              </w:rPr>
              <w:t>Energy KJ/100</w:t>
            </w:r>
          </w:p>
        </w:tc>
      </w:tr>
      <w:tr w:rsidR="004879C6" w14:paraId="59BD9744" w14:textId="77777777">
        <w:tc>
          <w:tcPr>
            <w:tcW w:w="810" w:type="dxa"/>
            <w:tcBorders>
              <w:top w:val="single" w:sz="4" w:space="0" w:color="auto"/>
            </w:tcBorders>
            <w:shd w:val="clear" w:color="auto" w:fill="FFFFFF"/>
          </w:tcPr>
          <w:p w14:paraId="768F02D3" w14:textId="77777777" w:rsidR="004879C6" w:rsidRDefault="00934F55">
            <w:pPr>
              <w:spacing w:line="276" w:lineRule="auto"/>
              <w:rPr>
                <w:sz w:val="20"/>
              </w:rPr>
            </w:pPr>
            <w:r>
              <w:rPr>
                <w:sz w:val="20"/>
              </w:rPr>
              <w:t>A</w:t>
            </w:r>
          </w:p>
        </w:tc>
        <w:tc>
          <w:tcPr>
            <w:tcW w:w="1417" w:type="dxa"/>
            <w:tcBorders>
              <w:top w:val="single" w:sz="4" w:space="0" w:color="auto"/>
            </w:tcBorders>
            <w:shd w:val="clear" w:color="auto" w:fill="FFFFFF"/>
          </w:tcPr>
          <w:p w14:paraId="676C5315" w14:textId="77777777" w:rsidR="004879C6" w:rsidRDefault="00934F55">
            <w:pPr>
              <w:spacing w:line="276" w:lineRule="auto"/>
              <w:rPr>
                <w:sz w:val="20"/>
              </w:rPr>
            </w:pPr>
            <w:r>
              <w:rPr>
                <w:sz w:val="20"/>
              </w:rPr>
              <w:t>100:  0 :   0</w:t>
            </w:r>
          </w:p>
        </w:tc>
        <w:tc>
          <w:tcPr>
            <w:tcW w:w="1400" w:type="dxa"/>
            <w:tcBorders>
              <w:top w:val="single" w:sz="4" w:space="0" w:color="auto"/>
            </w:tcBorders>
            <w:shd w:val="clear" w:color="auto" w:fill="FFFFFF"/>
          </w:tcPr>
          <w:p w14:paraId="41BC4557" w14:textId="77777777" w:rsidR="004879C6" w:rsidRDefault="00934F55">
            <w:pPr>
              <w:spacing w:line="276" w:lineRule="auto"/>
              <w:rPr>
                <w:sz w:val="20"/>
              </w:rPr>
            </w:pPr>
            <w:r>
              <w:rPr>
                <w:sz w:val="20"/>
              </w:rPr>
              <w:t>6.42</w:t>
            </w:r>
            <w:r>
              <w:rPr>
                <w:sz w:val="20"/>
                <w:vertAlign w:val="superscript"/>
              </w:rPr>
              <w:t xml:space="preserve">f </w:t>
            </w:r>
            <w:r>
              <w:rPr>
                <w:sz w:val="20"/>
              </w:rPr>
              <w:t>±0.03</w:t>
            </w:r>
          </w:p>
        </w:tc>
        <w:tc>
          <w:tcPr>
            <w:tcW w:w="1402" w:type="dxa"/>
            <w:tcBorders>
              <w:top w:val="single" w:sz="4" w:space="0" w:color="auto"/>
            </w:tcBorders>
            <w:shd w:val="clear" w:color="auto" w:fill="FFFFFF"/>
          </w:tcPr>
          <w:p w14:paraId="6EBCE5FB" w14:textId="77777777" w:rsidR="004879C6" w:rsidRDefault="00934F55">
            <w:pPr>
              <w:spacing w:line="276" w:lineRule="auto"/>
              <w:rPr>
                <w:sz w:val="20"/>
              </w:rPr>
            </w:pPr>
            <w:r>
              <w:rPr>
                <w:sz w:val="20"/>
              </w:rPr>
              <w:t>7.32</w:t>
            </w:r>
            <w:r>
              <w:rPr>
                <w:sz w:val="20"/>
                <w:vertAlign w:val="superscript"/>
              </w:rPr>
              <w:t xml:space="preserve">f </w:t>
            </w:r>
            <w:r>
              <w:rPr>
                <w:sz w:val="20"/>
              </w:rPr>
              <w:t>±0.03</w:t>
            </w:r>
          </w:p>
        </w:tc>
        <w:tc>
          <w:tcPr>
            <w:tcW w:w="1485" w:type="dxa"/>
            <w:tcBorders>
              <w:top w:val="single" w:sz="4" w:space="0" w:color="auto"/>
            </w:tcBorders>
            <w:shd w:val="clear" w:color="auto" w:fill="FFFFFF"/>
          </w:tcPr>
          <w:p w14:paraId="5FCFC40B" w14:textId="77777777" w:rsidR="004879C6" w:rsidRDefault="00934F55">
            <w:pPr>
              <w:spacing w:line="276" w:lineRule="auto"/>
              <w:rPr>
                <w:sz w:val="20"/>
              </w:rPr>
            </w:pPr>
            <w:r>
              <w:rPr>
                <w:sz w:val="20"/>
              </w:rPr>
              <w:t>3.25</w:t>
            </w:r>
            <w:r>
              <w:rPr>
                <w:sz w:val="20"/>
                <w:vertAlign w:val="superscript"/>
              </w:rPr>
              <w:t xml:space="preserve">f </w:t>
            </w:r>
            <w:r>
              <w:rPr>
                <w:sz w:val="20"/>
              </w:rPr>
              <w:t>±0.06</w:t>
            </w:r>
          </w:p>
        </w:tc>
        <w:tc>
          <w:tcPr>
            <w:tcW w:w="1320" w:type="dxa"/>
            <w:tcBorders>
              <w:top w:val="single" w:sz="4" w:space="0" w:color="auto"/>
            </w:tcBorders>
            <w:shd w:val="clear" w:color="auto" w:fill="FFFFFF"/>
          </w:tcPr>
          <w:p w14:paraId="40A0CF8F" w14:textId="77777777" w:rsidR="004879C6" w:rsidRDefault="00934F55">
            <w:pPr>
              <w:spacing w:line="276" w:lineRule="auto"/>
              <w:rPr>
                <w:sz w:val="20"/>
              </w:rPr>
            </w:pPr>
            <w:r>
              <w:rPr>
                <w:sz w:val="20"/>
              </w:rPr>
              <w:t>1.42</w:t>
            </w:r>
            <w:r>
              <w:rPr>
                <w:sz w:val="20"/>
                <w:vertAlign w:val="superscript"/>
              </w:rPr>
              <w:t xml:space="preserve">e </w:t>
            </w:r>
            <w:r>
              <w:rPr>
                <w:sz w:val="20"/>
              </w:rPr>
              <w:t>±0.01</w:t>
            </w:r>
          </w:p>
        </w:tc>
        <w:tc>
          <w:tcPr>
            <w:tcW w:w="1166" w:type="dxa"/>
            <w:tcBorders>
              <w:top w:val="single" w:sz="4" w:space="0" w:color="auto"/>
            </w:tcBorders>
            <w:shd w:val="clear" w:color="auto" w:fill="FFFFFF"/>
          </w:tcPr>
          <w:p w14:paraId="74477A90" w14:textId="77777777" w:rsidR="004879C6" w:rsidRDefault="00934F55">
            <w:pPr>
              <w:spacing w:line="276" w:lineRule="auto"/>
              <w:rPr>
                <w:sz w:val="20"/>
              </w:rPr>
            </w:pPr>
            <w:r>
              <w:rPr>
                <w:sz w:val="20"/>
              </w:rPr>
              <w:t>3.32</w:t>
            </w:r>
            <w:r>
              <w:rPr>
                <w:sz w:val="20"/>
                <w:vertAlign w:val="superscript"/>
              </w:rPr>
              <w:t xml:space="preserve">f </w:t>
            </w:r>
            <w:r>
              <w:rPr>
                <w:sz w:val="20"/>
              </w:rPr>
              <w:t>±0.01</w:t>
            </w:r>
          </w:p>
        </w:tc>
        <w:tc>
          <w:tcPr>
            <w:tcW w:w="1328" w:type="dxa"/>
            <w:vMerge w:val="restart"/>
            <w:tcBorders>
              <w:top w:val="single" w:sz="4" w:space="0" w:color="auto"/>
            </w:tcBorders>
            <w:shd w:val="clear" w:color="auto" w:fill="FFFFFF"/>
          </w:tcPr>
          <w:p w14:paraId="7535C971" w14:textId="77777777" w:rsidR="004879C6" w:rsidRDefault="00934F55">
            <w:pPr>
              <w:spacing w:line="276" w:lineRule="auto"/>
              <w:rPr>
                <w:sz w:val="20"/>
              </w:rPr>
            </w:pPr>
            <w:r>
              <w:rPr>
                <w:sz w:val="20"/>
              </w:rPr>
              <w:t>76.30</w:t>
            </w:r>
            <w:r>
              <w:rPr>
                <w:sz w:val="20"/>
                <w:vertAlign w:val="superscript"/>
              </w:rPr>
              <w:t xml:space="preserve">a </w:t>
            </w:r>
            <w:r>
              <w:rPr>
                <w:sz w:val="20"/>
              </w:rPr>
              <w:t>± 0.01</w:t>
            </w:r>
          </w:p>
          <w:p w14:paraId="2B7DD9E1" w14:textId="77777777" w:rsidR="004879C6" w:rsidRDefault="00934F55">
            <w:pPr>
              <w:spacing w:line="276" w:lineRule="auto"/>
              <w:rPr>
                <w:sz w:val="20"/>
              </w:rPr>
            </w:pPr>
            <w:r>
              <w:rPr>
                <w:sz w:val="20"/>
              </w:rPr>
              <w:t>75.16</w:t>
            </w:r>
            <w:r>
              <w:rPr>
                <w:sz w:val="20"/>
                <w:vertAlign w:val="superscript"/>
              </w:rPr>
              <w:t xml:space="preserve">b </w:t>
            </w:r>
            <w:r>
              <w:rPr>
                <w:sz w:val="20"/>
              </w:rPr>
              <w:t>±0.02</w:t>
            </w:r>
          </w:p>
        </w:tc>
        <w:tc>
          <w:tcPr>
            <w:tcW w:w="1372" w:type="dxa"/>
            <w:tcBorders>
              <w:top w:val="single" w:sz="4" w:space="0" w:color="auto"/>
            </w:tcBorders>
            <w:shd w:val="clear" w:color="auto" w:fill="FFFFFF"/>
          </w:tcPr>
          <w:p w14:paraId="161C60E3" w14:textId="77777777" w:rsidR="004879C6" w:rsidRDefault="00934F55">
            <w:pPr>
              <w:spacing w:line="276" w:lineRule="auto"/>
              <w:rPr>
                <w:sz w:val="20"/>
              </w:rPr>
            </w:pPr>
            <w:r>
              <w:rPr>
                <w:sz w:val="20"/>
              </w:rPr>
              <w:t>375.65a</w:t>
            </w:r>
            <w:r>
              <w:rPr>
                <w:sz w:val="20"/>
                <w:u w:val="single"/>
              </w:rPr>
              <w:t>+</w:t>
            </w:r>
            <w:r>
              <w:rPr>
                <w:sz w:val="20"/>
              </w:rPr>
              <w:t xml:space="preserve"> 0.02</w:t>
            </w:r>
          </w:p>
        </w:tc>
      </w:tr>
      <w:tr w:rsidR="004879C6" w14:paraId="4840AD85" w14:textId="77777777">
        <w:tc>
          <w:tcPr>
            <w:tcW w:w="810" w:type="dxa"/>
            <w:shd w:val="clear" w:color="auto" w:fill="FFFFFF"/>
          </w:tcPr>
          <w:p w14:paraId="5960EB63" w14:textId="77777777" w:rsidR="004879C6" w:rsidRDefault="00934F55">
            <w:pPr>
              <w:spacing w:line="276" w:lineRule="auto"/>
              <w:rPr>
                <w:sz w:val="20"/>
              </w:rPr>
            </w:pPr>
            <w:r>
              <w:rPr>
                <w:sz w:val="20"/>
              </w:rPr>
              <w:t>B</w:t>
            </w:r>
          </w:p>
        </w:tc>
        <w:tc>
          <w:tcPr>
            <w:tcW w:w="1417" w:type="dxa"/>
            <w:shd w:val="clear" w:color="auto" w:fill="FFFFFF"/>
          </w:tcPr>
          <w:p w14:paraId="76330D14" w14:textId="77777777" w:rsidR="004879C6" w:rsidRDefault="00934F55">
            <w:pPr>
              <w:spacing w:line="276" w:lineRule="auto"/>
              <w:rPr>
                <w:sz w:val="20"/>
              </w:rPr>
            </w:pPr>
            <w:r>
              <w:rPr>
                <w:sz w:val="20"/>
              </w:rPr>
              <w:t xml:space="preserve">90 </w:t>
            </w:r>
            <w:r>
              <w:rPr>
                <w:sz w:val="20"/>
              </w:rPr>
              <w:t xml:space="preserve"> : 5  :   5</w:t>
            </w:r>
          </w:p>
        </w:tc>
        <w:tc>
          <w:tcPr>
            <w:tcW w:w="1400" w:type="dxa"/>
            <w:shd w:val="clear" w:color="auto" w:fill="FFFFFF"/>
          </w:tcPr>
          <w:p w14:paraId="1F89A97C" w14:textId="77777777" w:rsidR="004879C6" w:rsidRDefault="00934F55">
            <w:pPr>
              <w:spacing w:line="276" w:lineRule="auto"/>
              <w:rPr>
                <w:sz w:val="20"/>
              </w:rPr>
            </w:pPr>
            <w:r>
              <w:rPr>
                <w:sz w:val="20"/>
              </w:rPr>
              <w:t>6.49</w:t>
            </w:r>
            <w:r>
              <w:rPr>
                <w:sz w:val="20"/>
                <w:vertAlign w:val="superscript"/>
              </w:rPr>
              <w:t xml:space="preserve">e </w:t>
            </w:r>
            <w:r>
              <w:rPr>
                <w:sz w:val="20"/>
              </w:rPr>
              <w:t>±0.01</w:t>
            </w:r>
          </w:p>
        </w:tc>
        <w:tc>
          <w:tcPr>
            <w:tcW w:w="1402" w:type="dxa"/>
            <w:shd w:val="clear" w:color="auto" w:fill="FFFFFF"/>
          </w:tcPr>
          <w:p w14:paraId="7F37BF34" w14:textId="77777777" w:rsidR="004879C6" w:rsidRDefault="00934F55">
            <w:pPr>
              <w:spacing w:line="276" w:lineRule="auto"/>
              <w:rPr>
                <w:sz w:val="20"/>
              </w:rPr>
            </w:pPr>
            <w:r>
              <w:rPr>
                <w:sz w:val="20"/>
              </w:rPr>
              <w:t>8.21</w:t>
            </w:r>
            <w:r>
              <w:rPr>
                <w:sz w:val="20"/>
                <w:vertAlign w:val="superscript"/>
              </w:rPr>
              <w:t xml:space="preserve">e </w:t>
            </w:r>
            <w:r>
              <w:rPr>
                <w:sz w:val="20"/>
              </w:rPr>
              <w:t>±0.01</w:t>
            </w:r>
          </w:p>
        </w:tc>
        <w:tc>
          <w:tcPr>
            <w:tcW w:w="1485" w:type="dxa"/>
            <w:shd w:val="clear" w:color="auto" w:fill="FFFFFF"/>
          </w:tcPr>
          <w:p w14:paraId="18AF20D5" w14:textId="77777777" w:rsidR="004879C6" w:rsidRDefault="00934F55">
            <w:pPr>
              <w:spacing w:line="276" w:lineRule="auto"/>
              <w:rPr>
                <w:sz w:val="20"/>
              </w:rPr>
            </w:pPr>
            <w:r>
              <w:rPr>
                <w:sz w:val="20"/>
              </w:rPr>
              <w:t>3.30</w:t>
            </w:r>
            <w:r>
              <w:rPr>
                <w:sz w:val="20"/>
                <w:vertAlign w:val="superscript"/>
              </w:rPr>
              <w:t xml:space="preserve">e </w:t>
            </w:r>
            <w:r>
              <w:rPr>
                <w:sz w:val="20"/>
              </w:rPr>
              <w:t>±0.03</w:t>
            </w:r>
          </w:p>
        </w:tc>
        <w:tc>
          <w:tcPr>
            <w:tcW w:w="1320" w:type="dxa"/>
            <w:shd w:val="clear" w:color="auto" w:fill="FFFFFF"/>
          </w:tcPr>
          <w:p w14:paraId="118B576F" w14:textId="77777777" w:rsidR="004879C6" w:rsidRDefault="00934F55">
            <w:pPr>
              <w:spacing w:line="276" w:lineRule="auto"/>
              <w:rPr>
                <w:sz w:val="20"/>
              </w:rPr>
            </w:pPr>
            <w:r>
              <w:rPr>
                <w:sz w:val="20"/>
              </w:rPr>
              <w:t>1.47</w:t>
            </w:r>
            <w:r>
              <w:rPr>
                <w:sz w:val="20"/>
                <w:vertAlign w:val="superscript"/>
              </w:rPr>
              <w:t xml:space="preserve">e </w:t>
            </w:r>
            <w:r>
              <w:rPr>
                <w:sz w:val="20"/>
              </w:rPr>
              <w:t>±0.06</w:t>
            </w:r>
          </w:p>
        </w:tc>
        <w:tc>
          <w:tcPr>
            <w:tcW w:w="1166" w:type="dxa"/>
            <w:shd w:val="clear" w:color="auto" w:fill="FFFFFF"/>
          </w:tcPr>
          <w:p w14:paraId="29A5FED0" w14:textId="77777777" w:rsidR="004879C6" w:rsidRDefault="00934F55">
            <w:pPr>
              <w:spacing w:line="276" w:lineRule="auto"/>
              <w:rPr>
                <w:sz w:val="20"/>
              </w:rPr>
            </w:pPr>
            <w:r>
              <w:rPr>
                <w:sz w:val="20"/>
              </w:rPr>
              <w:t>3.42</w:t>
            </w:r>
            <w:r>
              <w:rPr>
                <w:sz w:val="20"/>
                <w:vertAlign w:val="superscript"/>
              </w:rPr>
              <w:t xml:space="preserve">e </w:t>
            </w:r>
            <w:r>
              <w:rPr>
                <w:sz w:val="20"/>
              </w:rPr>
              <w:t>±0.03</w:t>
            </w:r>
          </w:p>
        </w:tc>
        <w:tc>
          <w:tcPr>
            <w:tcW w:w="1328" w:type="dxa"/>
            <w:vMerge/>
            <w:shd w:val="clear" w:color="auto" w:fill="FFFFFF"/>
          </w:tcPr>
          <w:p w14:paraId="602D41F5" w14:textId="77777777" w:rsidR="004879C6" w:rsidRDefault="004879C6">
            <w:pPr>
              <w:widowControl w:val="0"/>
              <w:pBdr>
                <w:top w:val="nil"/>
                <w:left w:val="nil"/>
                <w:bottom w:val="nil"/>
                <w:right w:val="nil"/>
                <w:between w:val="nil"/>
              </w:pBdr>
              <w:spacing w:line="276" w:lineRule="auto"/>
              <w:jc w:val="left"/>
              <w:rPr>
                <w:sz w:val="20"/>
              </w:rPr>
            </w:pPr>
          </w:p>
        </w:tc>
        <w:tc>
          <w:tcPr>
            <w:tcW w:w="1372" w:type="dxa"/>
            <w:shd w:val="clear" w:color="auto" w:fill="FFFFFF"/>
          </w:tcPr>
          <w:p w14:paraId="43485063" w14:textId="77777777" w:rsidR="004879C6" w:rsidRDefault="00934F55">
            <w:pPr>
              <w:widowControl w:val="0"/>
              <w:pBdr>
                <w:top w:val="nil"/>
                <w:left w:val="nil"/>
                <w:bottom w:val="nil"/>
                <w:right w:val="nil"/>
                <w:between w:val="nil"/>
              </w:pBdr>
              <w:spacing w:line="276" w:lineRule="auto"/>
              <w:jc w:val="left"/>
              <w:rPr>
                <w:sz w:val="20"/>
              </w:rPr>
            </w:pPr>
            <w:r>
              <w:rPr>
                <w:sz w:val="20"/>
              </w:rPr>
              <w:t>374.21</w:t>
            </w:r>
            <w:r>
              <w:rPr>
                <w:sz w:val="20"/>
                <w:vertAlign w:val="superscript"/>
              </w:rPr>
              <w:t>b</w:t>
            </w:r>
            <w:r>
              <w:rPr>
                <w:sz w:val="20"/>
                <w:u w:val="single"/>
              </w:rPr>
              <w:t>+</w:t>
            </w:r>
            <w:r>
              <w:rPr>
                <w:sz w:val="20"/>
              </w:rPr>
              <w:t xml:space="preserve"> 0.01</w:t>
            </w:r>
          </w:p>
        </w:tc>
      </w:tr>
      <w:tr w:rsidR="004879C6" w14:paraId="07B157C2" w14:textId="77777777">
        <w:tc>
          <w:tcPr>
            <w:tcW w:w="810" w:type="dxa"/>
            <w:shd w:val="clear" w:color="auto" w:fill="FFFFFF"/>
          </w:tcPr>
          <w:p w14:paraId="744DB30F" w14:textId="77777777" w:rsidR="004879C6" w:rsidRDefault="00934F55">
            <w:pPr>
              <w:spacing w:line="276" w:lineRule="auto"/>
              <w:rPr>
                <w:sz w:val="20"/>
              </w:rPr>
            </w:pPr>
            <w:r>
              <w:rPr>
                <w:sz w:val="20"/>
              </w:rPr>
              <w:t xml:space="preserve">C </w:t>
            </w:r>
          </w:p>
        </w:tc>
        <w:tc>
          <w:tcPr>
            <w:tcW w:w="1417" w:type="dxa"/>
            <w:shd w:val="clear" w:color="auto" w:fill="FFFFFF"/>
          </w:tcPr>
          <w:p w14:paraId="63DB4E4B" w14:textId="77777777" w:rsidR="004879C6" w:rsidRDefault="00934F55">
            <w:pPr>
              <w:spacing w:line="276" w:lineRule="auto"/>
              <w:rPr>
                <w:sz w:val="20"/>
              </w:rPr>
            </w:pPr>
            <w:r>
              <w:rPr>
                <w:sz w:val="20"/>
              </w:rPr>
              <w:t>80 : 15 :  5</w:t>
            </w:r>
          </w:p>
        </w:tc>
        <w:tc>
          <w:tcPr>
            <w:tcW w:w="1400" w:type="dxa"/>
            <w:shd w:val="clear" w:color="auto" w:fill="FFFFFF"/>
          </w:tcPr>
          <w:p w14:paraId="6F577939" w14:textId="77777777" w:rsidR="004879C6" w:rsidRDefault="00934F55">
            <w:pPr>
              <w:spacing w:line="276" w:lineRule="auto"/>
              <w:rPr>
                <w:sz w:val="20"/>
              </w:rPr>
            </w:pPr>
            <w:r>
              <w:rPr>
                <w:sz w:val="20"/>
              </w:rPr>
              <w:t>6.63</w:t>
            </w:r>
            <w:r>
              <w:rPr>
                <w:sz w:val="20"/>
                <w:vertAlign w:val="superscript"/>
              </w:rPr>
              <w:t xml:space="preserve">d </w:t>
            </w:r>
            <w:r>
              <w:rPr>
                <w:sz w:val="20"/>
              </w:rPr>
              <w:t>±0.02</w:t>
            </w:r>
          </w:p>
        </w:tc>
        <w:tc>
          <w:tcPr>
            <w:tcW w:w="1402" w:type="dxa"/>
            <w:shd w:val="clear" w:color="auto" w:fill="FFFFFF"/>
          </w:tcPr>
          <w:p w14:paraId="09D261B8" w14:textId="77777777" w:rsidR="004879C6" w:rsidRDefault="00934F55">
            <w:pPr>
              <w:spacing w:line="276" w:lineRule="auto"/>
              <w:rPr>
                <w:sz w:val="20"/>
              </w:rPr>
            </w:pPr>
            <w:r>
              <w:rPr>
                <w:sz w:val="20"/>
              </w:rPr>
              <w:t>10.50</w:t>
            </w:r>
            <w:r>
              <w:rPr>
                <w:sz w:val="20"/>
                <w:vertAlign w:val="superscript"/>
              </w:rPr>
              <w:t xml:space="preserve">d </w:t>
            </w:r>
            <w:r>
              <w:rPr>
                <w:sz w:val="20"/>
              </w:rPr>
              <w:t>±0.02</w:t>
            </w:r>
          </w:p>
        </w:tc>
        <w:tc>
          <w:tcPr>
            <w:tcW w:w="1485" w:type="dxa"/>
            <w:shd w:val="clear" w:color="auto" w:fill="FFFFFF"/>
          </w:tcPr>
          <w:p w14:paraId="66FB736F" w14:textId="77777777" w:rsidR="004879C6" w:rsidRDefault="00934F55">
            <w:pPr>
              <w:spacing w:line="276" w:lineRule="auto"/>
              <w:rPr>
                <w:sz w:val="20"/>
              </w:rPr>
            </w:pPr>
            <w:r>
              <w:rPr>
                <w:sz w:val="20"/>
              </w:rPr>
              <w:t>3.47</w:t>
            </w:r>
            <w:r>
              <w:rPr>
                <w:sz w:val="20"/>
                <w:vertAlign w:val="superscript"/>
              </w:rPr>
              <w:t xml:space="preserve">d </w:t>
            </w:r>
            <w:r>
              <w:rPr>
                <w:sz w:val="20"/>
              </w:rPr>
              <w:t>±0.05</w:t>
            </w:r>
          </w:p>
        </w:tc>
        <w:tc>
          <w:tcPr>
            <w:tcW w:w="1320" w:type="dxa"/>
            <w:shd w:val="clear" w:color="auto" w:fill="FFFFFF"/>
          </w:tcPr>
          <w:p w14:paraId="57884DE0" w14:textId="77777777" w:rsidR="004879C6" w:rsidRDefault="00934F55">
            <w:pPr>
              <w:spacing w:line="276" w:lineRule="auto"/>
              <w:rPr>
                <w:sz w:val="20"/>
              </w:rPr>
            </w:pPr>
            <w:r>
              <w:rPr>
                <w:sz w:val="20"/>
              </w:rPr>
              <w:t>1.57</w:t>
            </w:r>
            <w:r>
              <w:rPr>
                <w:sz w:val="20"/>
                <w:vertAlign w:val="superscript"/>
              </w:rPr>
              <w:t xml:space="preserve">d </w:t>
            </w:r>
            <w:r>
              <w:rPr>
                <w:sz w:val="20"/>
              </w:rPr>
              <w:t>±0.05</w:t>
            </w:r>
          </w:p>
        </w:tc>
        <w:tc>
          <w:tcPr>
            <w:tcW w:w="1166" w:type="dxa"/>
            <w:shd w:val="clear" w:color="auto" w:fill="FFFFFF"/>
          </w:tcPr>
          <w:p w14:paraId="23208170" w14:textId="77777777" w:rsidR="004879C6" w:rsidRDefault="00934F55">
            <w:pPr>
              <w:spacing w:line="276" w:lineRule="auto"/>
              <w:rPr>
                <w:sz w:val="20"/>
              </w:rPr>
            </w:pPr>
            <w:r>
              <w:rPr>
                <w:sz w:val="20"/>
              </w:rPr>
              <w:t>3.74</w:t>
            </w:r>
            <w:r>
              <w:rPr>
                <w:sz w:val="20"/>
                <w:vertAlign w:val="superscript"/>
              </w:rPr>
              <w:t xml:space="preserve">d </w:t>
            </w:r>
            <w:r>
              <w:rPr>
                <w:sz w:val="20"/>
              </w:rPr>
              <w:t>±0.05</w:t>
            </w:r>
          </w:p>
        </w:tc>
        <w:tc>
          <w:tcPr>
            <w:tcW w:w="1328" w:type="dxa"/>
            <w:shd w:val="clear" w:color="auto" w:fill="FFFFFF"/>
          </w:tcPr>
          <w:p w14:paraId="31127137" w14:textId="77777777" w:rsidR="004879C6" w:rsidRDefault="00934F55">
            <w:pPr>
              <w:spacing w:line="276" w:lineRule="auto"/>
              <w:rPr>
                <w:sz w:val="20"/>
              </w:rPr>
            </w:pPr>
            <w:r>
              <w:rPr>
                <w:sz w:val="20"/>
              </w:rPr>
              <w:t>73.40</w:t>
            </w:r>
            <w:r>
              <w:rPr>
                <w:sz w:val="20"/>
                <w:vertAlign w:val="superscript"/>
              </w:rPr>
              <w:t xml:space="preserve">c </w:t>
            </w:r>
            <w:r>
              <w:rPr>
                <w:sz w:val="20"/>
              </w:rPr>
              <w:t>± 0.02</w:t>
            </w:r>
          </w:p>
        </w:tc>
        <w:tc>
          <w:tcPr>
            <w:tcW w:w="1372" w:type="dxa"/>
            <w:shd w:val="clear" w:color="auto" w:fill="FFFFFF"/>
          </w:tcPr>
          <w:p w14:paraId="2B8E286B" w14:textId="77777777" w:rsidR="004879C6" w:rsidRDefault="00934F55">
            <w:pPr>
              <w:spacing w:line="276" w:lineRule="auto"/>
              <w:rPr>
                <w:sz w:val="20"/>
              </w:rPr>
            </w:pPr>
            <w:r>
              <w:rPr>
                <w:sz w:val="20"/>
              </w:rPr>
              <w:t>372.66</w:t>
            </w:r>
            <w:r>
              <w:rPr>
                <w:sz w:val="20"/>
                <w:vertAlign w:val="superscript"/>
              </w:rPr>
              <w:t>c</w:t>
            </w:r>
            <w:r>
              <w:rPr>
                <w:sz w:val="20"/>
              </w:rPr>
              <w:t>± 0.05</w:t>
            </w:r>
          </w:p>
        </w:tc>
      </w:tr>
      <w:tr w:rsidR="004879C6" w14:paraId="2EF10294" w14:textId="77777777">
        <w:tc>
          <w:tcPr>
            <w:tcW w:w="810" w:type="dxa"/>
            <w:shd w:val="clear" w:color="auto" w:fill="FFFFFF"/>
          </w:tcPr>
          <w:p w14:paraId="39805A82" w14:textId="77777777" w:rsidR="004879C6" w:rsidRDefault="00934F55">
            <w:pPr>
              <w:spacing w:line="276" w:lineRule="auto"/>
              <w:rPr>
                <w:sz w:val="20"/>
              </w:rPr>
            </w:pPr>
            <w:r>
              <w:rPr>
                <w:sz w:val="20"/>
              </w:rPr>
              <w:t>D</w:t>
            </w:r>
          </w:p>
        </w:tc>
        <w:tc>
          <w:tcPr>
            <w:tcW w:w="1417" w:type="dxa"/>
            <w:shd w:val="clear" w:color="auto" w:fill="FFFFFF"/>
          </w:tcPr>
          <w:p w14:paraId="0C1D0D70" w14:textId="77777777" w:rsidR="004879C6" w:rsidRDefault="00934F55">
            <w:pPr>
              <w:spacing w:line="276" w:lineRule="auto"/>
              <w:rPr>
                <w:sz w:val="20"/>
              </w:rPr>
            </w:pPr>
            <w:r>
              <w:rPr>
                <w:sz w:val="20"/>
              </w:rPr>
              <w:t>70 : 20 :  10</w:t>
            </w:r>
          </w:p>
        </w:tc>
        <w:tc>
          <w:tcPr>
            <w:tcW w:w="1400" w:type="dxa"/>
            <w:shd w:val="clear" w:color="auto" w:fill="FFFFFF"/>
          </w:tcPr>
          <w:p w14:paraId="51993DDB" w14:textId="77777777" w:rsidR="004879C6" w:rsidRDefault="00934F55">
            <w:pPr>
              <w:spacing w:line="276" w:lineRule="auto"/>
              <w:rPr>
                <w:sz w:val="20"/>
              </w:rPr>
            </w:pPr>
            <w:r>
              <w:rPr>
                <w:sz w:val="20"/>
              </w:rPr>
              <w:t>6.88</w:t>
            </w:r>
            <w:r>
              <w:rPr>
                <w:sz w:val="20"/>
                <w:vertAlign w:val="superscript"/>
              </w:rPr>
              <w:t xml:space="preserve">c </w:t>
            </w:r>
            <w:r>
              <w:rPr>
                <w:sz w:val="20"/>
              </w:rPr>
              <w:t>±0.04</w:t>
            </w:r>
          </w:p>
        </w:tc>
        <w:tc>
          <w:tcPr>
            <w:tcW w:w="1402" w:type="dxa"/>
            <w:shd w:val="clear" w:color="auto" w:fill="FFFFFF"/>
          </w:tcPr>
          <w:p w14:paraId="7EE6CEED" w14:textId="77777777" w:rsidR="004879C6" w:rsidRDefault="00934F55">
            <w:pPr>
              <w:spacing w:line="276" w:lineRule="auto"/>
              <w:rPr>
                <w:sz w:val="20"/>
              </w:rPr>
            </w:pPr>
            <w:r>
              <w:rPr>
                <w:sz w:val="20"/>
              </w:rPr>
              <w:t>13.10</w:t>
            </w:r>
            <w:r>
              <w:rPr>
                <w:sz w:val="20"/>
                <w:vertAlign w:val="superscript"/>
              </w:rPr>
              <w:t xml:space="preserve">c </w:t>
            </w:r>
            <w:r>
              <w:rPr>
                <w:sz w:val="20"/>
              </w:rPr>
              <w:t>±0.06</w:t>
            </w:r>
          </w:p>
        </w:tc>
        <w:tc>
          <w:tcPr>
            <w:tcW w:w="1485" w:type="dxa"/>
            <w:shd w:val="clear" w:color="auto" w:fill="FFFFFF"/>
          </w:tcPr>
          <w:p w14:paraId="779D482A" w14:textId="77777777" w:rsidR="004879C6" w:rsidRDefault="00934F55">
            <w:pPr>
              <w:spacing w:line="276" w:lineRule="auto"/>
              <w:rPr>
                <w:sz w:val="20"/>
              </w:rPr>
            </w:pPr>
            <w:r>
              <w:rPr>
                <w:sz w:val="20"/>
              </w:rPr>
              <w:t>3.66</w:t>
            </w:r>
            <w:r>
              <w:rPr>
                <w:sz w:val="20"/>
                <w:vertAlign w:val="superscript"/>
              </w:rPr>
              <w:t xml:space="preserve">c </w:t>
            </w:r>
            <w:r>
              <w:rPr>
                <w:sz w:val="20"/>
              </w:rPr>
              <w:t>±0.07</w:t>
            </w:r>
          </w:p>
        </w:tc>
        <w:tc>
          <w:tcPr>
            <w:tcW w:w="1320" w:type="dxa"/>
            <w:shd w:val="clear" w:color="auto" w:fill="FFFFFF"/>
          </w:tcPr>
          <w:p w14:paraId="67E66D04" w14:textId="77777777" w:rsidR="004879C6" w:rsidRDefault="00934F55">
            <w:pPr>
              <w:spacing w:line="276" w:lineRule="auto"/>
              <w:rPr>
                <w:sz w:val="20"/>
              </w:rPr>
            </w:pPr>
            <w:r>
              <w:rPr>
                <w:sz w:val="20"/>
              </w:rPr>
              <w:t>1.65</w:t>
            </w:r>
            <w:r>
              <w:rPr>
                <w:sz w:val="20"/>
                <w:vertAlign w:val="superscript"/>
              </w:rPr>
              <w:t xml:space="preserve">c </w:t>
            </w:r>
            <w:r>
              <w:rPr>
                <w:sz w:val="20"/>
              </w:rPr>
              <w:t>±0.02</w:t>
            </w:r>
          </w:p>
        </w:tc>
        <w:tc>
          <w:tcPr>
            <w:tcW w:w="1166" w:type="dxa"/>
            <w:shd w:val="clear" w:color="auto" w:fill="FFFFFF"/>
          </w:tcPr>
          <w:p w14:paraId="0DF112BD" w14:textId="77777777" w:rsidR="004879C6" w:rsidRDefault="00934F55">
            <w:pPr>
              <w:spacing w:line="276" w:lineRule="auto"/>
              <w:rPr>
                <w:sz w:val="20"/>
              </w:rPr>
            </w:pPr>
            <w:r>
              <w:rPr>
                <w:sz w:val="20"/>
              </w:rPr>
              <w:t>4.61</w:t>
            </w:r>
            <w:r>
              <w:rPr>
                <w:sz w:val="20"/>
                <w:vertAlign w:val="superscript"/>
              </w:rPr>
              <w:t xml:space="preserve">c </w:t>
            </w:r>
            <w:r>
              <w:rPr>
                <w:sz w:val="20"/>
              </w:rPr>
              <w:t>±0.02</w:t>
            </w:r>
          </w:p>
        </w:tc>
        <w:tc>
          <w:tcPr>
            <w:tcW w:w="1328" w:type="dxa"/>
            <w:shd w:val="clear" w:color="auto" w:fill="FFFFFF"/>
          </w:tcPr>
          <w:p w14:paraId="74689FCB" w14:textId="77777777" w:rsidR="004879C6" w:rsidRDefault="00934F55">
            <w:pPr>
              <w:spacing w:line="276" w:lineRule="auto"/>
              <w:rPr>
                <w:sz w:val="20"/>
              </w:rPr>
            </w:pPr>
            <w:r>
              <w:rPr>
                <w:sz w:val="20"/>
              </w:rPr>
              <w:t>71.12</w:t>
            </w:r>
            <w:r>
              <w:rPr>
                <w:sz w:val="20"/>
                <w:vertAlign w:val="superscript"/>
              </w:rPr>
              <w:t xml:space="preserve">d </w:t>
            </w:r>
            <w:r>
              <w:rPr>
                <w:sz w:val="20"/>
              </w:rPr>
              <w:t>±0.04</w:t>
            </w:r>
          </w:p>
        </w:tc>
        <w:tc>
          <w:tcPr>
            <w:tcW w:w="1372" w:type="dxa"/>
            <w:shd w:val="clear" w:color="auto" w:fill="FFFFFF"/>
          </w:tcPr>
          <w:p w14:paraId="6CC7255B" w14:textId="77777777" w:rsidR="004879C6" w:rsidRDefault="00934F55">
            <w:pPr>
              <w:spacing w:line="276" w:lineRule="auto"/>
              <w:rPr>
                <w:sz w:val="20"/>
              </w:rPr>
            </w:pPr>
            <w:r>
              <w:rPr>
                <w:sz w:val="20"/>
              </w:rPr>
              <w:t>370.78</w:t>
            </w:r>
            <w:r>
              <w:rPr>
                <w:sz w:val="20"/>
                <w:vertAlign w:val="superscript"/>
              </w:rPr>
              <w:t xml:space="preserve">d </w:t>
            </w:r>
            <w:r>
              <w:rPr>
                <w:sz w:val="20"/>
              </w:rPr>
              <w:t>±0.06</w:t>
            </w:r>
          </w:p>
        </w:tc>
      </w:tr>
      <w:tr w:rsidR="004879C6" w14:paraId="72420C7E" w14:textId="77777777">
        <w:tc>
          <w:tcPr>
            <w:tcW w:w="810" w:type="dxa"/>
            <w:shd w:val="clear" w:color="auto" w:fill="FFFFFF"/>
          </w:tcPr>
          <w:p w14:paraId="6EFCBE9B" w14:textId="77777777" w:rsidR="004879C6" w:rsidRDefault="00934F55">
            <w:pPr>
              <w:spacing w:line="276" w:lineRule="auto"/>
              <w:rPr>
                <w:sz w:val="20"/>
              </w:rPr>
            </w:pPr>
            <w:r>
              <w:rPr>
                <w:sz w:val="20"/>
              </w:rPr>
              <w:t xml:space="preserve">E </w:t>
            </w:r>
          </w:p>
        </w:tc>
        <w:tc>
          <w:tcPr>
            <w:tcW w:w="1417" w:type="dxa"/>
            <w:shd w:val="clear" w:color="auto" w:fill="FFFFFF"/>
          </w:tcPr>
          <w:p w14:paraId="71292E27" w14:textId="77777777" w:rsidR="004879C6" w:rsidRDefault="00934F55">
            <w:pPr>
              <w:spacing w:line="276" w:lineRule="auto"/>
              <w:rPr>
                <w:sz w:val="20"/>
              </w:rPr>
            </w:pPr>
            <w:r>
              <w:rPr>
                <w:sz w:val="20"/>
              </w:rPr>
              <w:t>60 : 25 : 15</w:t>
            </w:r>
          </w:p>
        </w:tc>
        <w:tc>
          <w:tcPr>
            <w:tcW w:w="1400" w:type="dxa"/>
            <w:shd w:val="clear" w:color="auto" w:fill="FFFFFF"/>
          </w:tcPr>
          <w:p w14:paraId="53DC7318" w14:textId="77777777" w:rsidR="004879C6" w:rsidRDefault="00934F55">
            <w:pPr>
              <w:spacing w:line="276" w:lineRule="auto"/>
              <w:rPr>
                <w:sz w:val="20"/>
              </w:rPr>
            </w:pPr>
            <w:r>
              <w:rPr>
                <w:sz w:val="20"/>
              </w:rPr>
              <w:t>7.03</w:t>
            </w:r>
            <w:r>
              <w:rPr>
                <w:sz w:val="20"/>
                <w:vertAlign w:val="superscript"/>
              </w:rPr>
              <w:t xml:space="preserve">b </w:t>
            </w:r>
            <w:r>
              <w:rPr>
                <w:sz w:val="20"/>
              </w:rPr>
              <w:t>±0.06</w:t>
            </w:r>
          </w:p>
        </w:tc>
        <w:tc>
          <w:tcPr>
            <w:tcW w:w="1402" w:type="dxa"/>
            <w:shd w:val="clear" w:color="auto" w:fill="FFFFFF"/>
          </w:tcPr>
          <w:p w14:paraId="4B385355" w14:textId="77777777" w:rsidR="004879C6" w:rsidRDefault="00934F55">
            <w:pPr>
              <w:spacing w:line="276" w:lineRule="auto"/>
              <w:rPr>
                <w:sz w:val="20"/>
              </w:rPr>
            </w:pPr>
            <w:r>
              <w:rPr>
                <w:sz w:val="20"/>
              </w:rPr>
              <w:t>15.06</w:t>
            </w:r>
            <w:r>
              <w:rPr>
                <w:sz w:val="20"/>
                <w:vertAlign w:val="superscript"/>
              </w:rPr>
              <w:t xml:space="preserve">b </w:t>
            </w:r>
            <w:r>
              <w:rPr>
                <w:sz w:val="20"/>
              </w:rPr>
              <w:t>±0.03</w:t>
            </w:r>
          </w:p>
        </w:tc>
        <w:tc>
          <w:tcPr>
            <w:tcW w:w="1485" w:type="dxa"/>
            <w:shd w:val="clear" w:color="auto" w:fill="FFFFFF"/>
          </w:tcPr>
          <w:p w14:paraId="4AE1C822" w14:textId="77777777" w:rsidR="004879C6" w:rsidRDefault="00934F55">
            <w:pPr>
              <w:spacing w:line="276" w:lineRule="auto"/>
              <w:rPr>
                <w:sz w:val="20"/>
              </w:rPr>
            </w:pPr>
            <w:r>
              <w:rPr>
                <w:sz w:val="20"/>
              </w:rPr>
              <w:t>3.98</w:t>
            </w:r>
            <w:r>
              <w:rPr>
                <w:sz w:val="20"/>
                <w:vertAlign w:val="superscript"/>
              </w:rPr>
              <w:t xml:space="preserve">b </w:t>
            </w:r>
            <w:r>
              <w:rPr>
                <w:sz w:val="20"/>
              </w:rPr>
              <w:t>±0.08</w:t>
            </w:r>
          </w:p>
        </w:tc>
        <w:tc>
          <w:tcPr>
            <w:tcW w:w="1320" w:type="dxa"/>
            <w:shd w:val="clear" w:color="auto" w:fill="FFFFFF"/>
          </w:tcPr>
          <w:p w14:paraId="52C79B8A" w14:textId="77777777" w:rsidR="004879C6" w:rsidRDefault="00934F55">
            <w:pPr>
              <w:spacing w:line="276" w:lineRule="auto"/>
              <w:rPr>
                <w:sz w:val="20"/>
              </w:rPr>
            </w:pPr>
            <w:r>
              <w:rPr>
                <w:sz w:val="20"/>
              </w:rPr>
              <w:t>1.84</w:t>
            </w:r>
            <w:r>
              <w:rPr>
                <w:sz w:val="20"/>
                <w:vertAlign w:val="superscript"/>
              </w:rPr>
              <w:t xml:space="preserve">b </w:t>
            </w:r>
            <w:r>
              <w:rPr>
                <w:sz w:val="20"/>
              </w:rPr>
              <w:t>±0.01</w:t>
            </w:r>
          </w:p>
        </w:tc>
        <w:tc>
          <w:tcPr>
            <w:tcW w:w="1166" w:type="dxa"/>
            <w:shd w:val="clear" w:color="auto" w:fill="FFFFFF"/>
          </w:tcPr>
          <w:p w14:paraId="4EA6D925" w14:textId="77777777" w:rsidR="004879C6" w:rsidRDefault="00934F55">
            <w:pPr>
              <w:spacing w:line="276" w:lineRule="auto"/>
              <w:rPr>
                <w:sz w:val="20"/>
              </w:rPr>
            </w:pPr>
            <w:r>
              <w:rPr>
                <w:sz w:val="20"/>
              </w:rPr>
              <w:t>4.87</w:t>
            </w:r>
            <w:r>
              <w:rPr>
                <w:sz w:val="20"/>
                <w:vertAlign w:val="superscript"/>
              </w:rPr>
              <w:t xml:space="preserve">b </w:t>
            </w:r>
            <w:r>
              <w:rPr>
                <w:sz w:val="20"/>
              </w:rPr>
              <w:t>±0.04</w:t>
            </w:r>
          </w:p>
        </w:tc>
        <w:tc>
          <w:tcPr>
            <w:tcW w:w="1328" w:type="dxa"/>
            <w:shd w:val="clear" w:color="auto" w:fill="FFFFFF"/>
          </w:tcPr>
          <w:p w14:paraId="71E53C60" w14:textId="77777777" w:rsidR="004879C6" w:rsidRDefault="00934F55">
            <w:pPr>
              <w:spacing w:line="276" w:lineRule="auto"/>
              <w:rPr>
                <w:sz w:val="20"/>
              </w:rPr>
            </w:pPr>
            <w:r>
              <w:rPr>
                <w:sz w:val="20"/>
              </w:rPr>
              <w:t>69.34</w:t>
            </w:r>
            <w:r>
              <w:rPr>
                <w:sz w:val="20"/>
                <w:vertAlign w:val="superscript"/>
              </w:rPr>
              <w:t xml:space="preserve">e </w:t>
            </w:r>
            <w:r>
              <w:rPr>
                <w:sz w:val="20"/>
              </w:rPr>
              <w:t>±0.05</w:t>
            </w:r>
          </w:p>
        </w:tc>
        <w:tc>
          <w:tcPr>
            <w:tcW w:w="1372" w:type="dxa"/>
            <w:shd w:val="clear" w:color="auto" w:fill="FFFFFF"/>
          </w:tcPr>
          <w:p w14:paraId="024A2A36" w14:textId="77777777" w:rsidR="004879C6" w:rsidRDefault="00934F55">
            <w:pPr>
              <w:spacing w:line="276" w:lineRule="auto"/>
              <w:rPr>
                <w:sz w:val="20"/>
              </w:rPr>
            </w:pPr>
            <w:r>
              <w:rPr>
                <w:sz w:val="20"/>
              </w:rPr>
              <w:t>368.36</w:t>
            </w:r>
            <w:r>
              <w:rPr>
                <w:sz w:val="20"/>
                <w:vertAlign w:val="superscript"/>
              </w:rPr>
              <w:t xml:space="preserve">e </w:t>
            </w:r>
            <w:r>
              <w:rPr>
                <w:sz w:val="20"/>
              </w:rPr>
              <w:t xml:space="preserve">±0.04 </w:t>
            </w:r>
          </w:p>
        </w:tc>
      </w:tr>
      <w:tr w:rsidR="004879C6" w14:paraId="3BA1D049" w14:textId="77777777">
        <w:tc>
          <w:tcPr>
            <w:tcW w:w="810" w:type="dxa"/>
            <w:shd w:val="clear" w:color="auto" w:fill="FFFFFF"/>
          </w:tcPr>
          <w:p w14:paraId="6AE6246D" w14:textId="77777777" w:rsidR="004879C6" w:rsidRDefault="00934F55">
            <w:pPr>
              <w:spacing w:line="276" w:lineRule="auto"/>
              <w:rPr>
                <w:sz w:val="20"/>
              </w:rPr>
            </w:pPr>
            <w:r>
              <w:rPr>
                <w:sz w:val="20"/>
              </w:rPr>
              <w:t xml:space="preserve">F </w:t>
            </w:r>
          </w:p>
        </w:tc>
        <w:tc>
          <w:tcPr>
            <w:tcW w:w="1417" w:type="dxa"/>
            <w:shd w:val="clear" w:color="auto" w:fill="FFFFFF"/>
          </w:tcPr>
          <w:p w14:paraId="1A1054AC" w14:textId="77777777" w:rsidR="004879C6" w:rsidRDefault="00934F55">
            <w:pPr>
              <w:spacing w:line="276" w:lineRule="auto"/>
              <w:rPr>
                <w:sz w:val="20"/>
              </w:rPr>
            </w:pPr>
            <w:r>
              <w:rPr>
                <w:sz w:val="20"/>
              </w:rPr>
              <w:t>50 : 30 : 20</w:t>
            </w:r>
          </w:p>
        </w:tc>
        <w:tc>
          <w:tcPr>
            <w:tcW w:w="1400" w:type="dxa"/>
            <w:shd w:val="clear" w:color="auto" w:fill="FFFFFF"/>
          </w:tcPr>
          <w:p w14:paraId="7F8D13B0" w14:textId="77777777" w:rsidR="004879C6" w:rsidRDefault="00934F55">
            <w:pPr>
              <w:spacing w:line="276" w:lineRule="auto"/>
              <w:rPr>
                <w:sz w:val="20"/>
              </w:rPr>
            </w:pPr>
            <w:r>
              <w:rPr>
                <w:sz w:val="20"/>
              </w:rPr>
              <w:t>7.65</w:t>
            </w:r>
            <w:r>
              <w:rPr>
                <w:sz w:val="20"/>
                <w:vertAlign w:val="superscript"/>
              </w:rPr>
              <w:t>a</w:t>
            </w:r>
            <w:r>
              <w:rPr>
                <w:sz w:val="20"/>
              </w:rPr>
              <w:t>± 0.05</w:t>
            </w:r>
          </w:p>
        </w:tc>
        <w:tc>
          <w:tcPr>
            <w:tcW w:w="1402" w:type="dxa"/>
            <w:shd w:val="clear" w:color="auto" w:fill="FFFFFF"/>
          </w:tcPr>
          <w:p w14:paraId="62393288" w14:textId="77777777" w:rsidR="004879C6" w:rsidRDefault="00934F55">
            <w:pPr>
              <w:spacing w:line="276" w:lineRule="auto"/>
              <w:rPr>
                <w:sz w:val="20"/>
              </w:rPr>
            </w:pPr>
            <w:r>
              <w:rPr>
                <w:sz w:val="20"/>
              </w:rPr>
              <w:t>17.32</w:t>
            </w:r>
            <w:r>
              <w:rPr>
                <w:sz w:val="20"/>
                <w:vertAlign w:val="superscript"/>
              </w:rPr>
              <w:t xml:space="preserve">a </w:t>
            </w:r>
            <w:r>
              <w:rPr>
                <w:sz w:val="20"/>
              </w:rPr>
              <w:t>±0.04</w:t>
            </w:r>
          </w:p>
        </w:tc>
        <w:tc>
          <w:tcPr>
            <w:tcW w:w="1485" w:type="dxa"/>
            <w:shd w:val="clear" w:color="auto" w:fill="FFFFFF"/>
          </w:tcPr>
          <w:p w14:paraId="47548551" w14:textId="77777777" w:rsidR="004879C6" w:rsidRDefault="00934F55">
            <w:pPr>
              <w:spacing w:line="276" w:lineRule="auto"/>
              <w:rPr>
                <w:sz w:val="20"/>
              </w:rPr>
            </w:pPr>
            <w:r>
              <w:rPr>
                <w:sz w:val="20"/>
              </w:rPr>
              <w:t>4.24</w:t>
            </w:r>
            <w:r>
              <w:rPr>
                <w:sz w:val="20"/>
                <w:vertAlign w:val="superscript"/>
              </w:rPr>
              <w:t xml:space="preserve">a </w:t>
            </w:r>
            <w:r>
              <w:rPr>
                <w:sz w:val="20"/>
              </w:rPr>
              <w:t>±0.04</w:t>
            </w:r>
          </w:p>
        </w:tc>
        <w:tc>
          <w:tcPr>
            <w:tcW w:w="1320" w:type="dxa"/>
            <w:shd w:val="clear" w:color="auto" w:fill="FFFFFF"/>
          </w:tcPr>
          <w:p w14:paraId="108B3C36" w14:textId="77777777" w:rsidR="004879C6" w:rsidRDefault="00934F55">
            <w:pPr>
              <w:spacing w:line="276" w:lineRule="auto"/>
              <w:rPr>
                <w:sz w:val="20"/>
              </w:rPr>
            </w:pPr>
            <w:r>
              <w:rPr>
                <w:sz w:val="20"/>
              </w:rPr>
              <w:t>2.11</w:t>
            </w:r>
            <w:r>
              <w:rPr>
                <w:sz w:val="20"/>
                <w:vertAlign w:val="superscript"/>
              </w:rPr>
              <w:t xml:space="preserve">a </w:t>
            </w:r>
            <w:r>
              <w:rPr>
                <w:sz w:val="20"/>
              </w:rPr>
              <w:t>±0.04</w:t>
            </w:r>
          </w:p>
        </w:tc>
        <w:tc>
          <w:tcPr>
            <w:tcW w:w="1166" w:type="dxa"/>
            <w:shd w:val="clear" w:color="auto" w:fill="FFFFFF"/>
          </w:tcPr>
          <w:p w14:paraId="4891978B" w14:textId="77777777" w:rsidR="004879C6" w:rsidRDefault="00934F55">
            <w:pPr>
              <w:spacing w:line="276" w:lineRule="auto"/>
              <w:rPr>
                <w:sz w:val="20"/>
              </w:rPr>
            </w:pPr>
            <w:r>
              <w:rPr>
                <w:sz w:val="20"/>
              </w:rPr>
              <w:t>5.03</w:t>
            </w:r>
            <w:r>
              <w:rPr>
                <w:sz w:val="20"/>
                <w:vertAlign w:val="superscript"/>
              </w:rPr>
              <w:t xml:space="preserve">a </w:t>
            </w:r>
            <w:r>
              <w:rPr>
                <w:sz w:val="20"/>
              </w:rPr>
              <w:t>±0.05</w:t>
            </w:r>
          </w:p>
        </w:tc>
        <w:tc>
          <w:tcPr>
            <w:tcW w:w="1328" w:type="dxa"/>
            <w:shd w:val="clear" w:color="auto" w:fill="FFFFFF"/>
          </w:tcPr>
          <w:p w14:paraId="146F849E" w14:textId="77777777" w:rsidR="004879C6" w:rsidRDefault="00934F55">
            <w:pPr>
              <w:spacing w:line="276" w:lineRule="auto"/>
              <w:rPr>
                <w:sz w:val="20"/>
              </w:rPr>
            </w:pPr>
            <w:r>
              <w:rPr>
                <w:sz w:val="20"/>
              </w:rPr>
              <w:t>67.67</w:t>
            </w:r>
            <w:r>
              <w:rPr>
                <w:sz w:val="20"/>
                <w:vertAlign w:val="superscript"/>
              </w:rPr>
              <w:t xml:space="preserve">f </w:t>
            </w:r>
            <w:r>
              <w:rPr>
                <w:sz w:val="20"/>
              </w:rPr>
              <w:t>±0.01</w:t>
            </w:r>
          </w:p>
        </w:tc>
        <w:tc>
          <w:tcPr>
            <w:tcW w:w="1372" w:type="dxa"/>
            <w:shd w:val="clear" w:color="auto" w:fill="FFFFFF"/>
          </w:tcPr>
          <w:p w14:paraId="153F6211" w14:textId="77777777" w:rsidR="004879C6" w:rsidRDefault="00934F55">
            <w:pPr>
              <w:spacing w:line="276" w:lineRule="auto"/>
              <w:rPr>
                <w:sz w:val="20"/>
              </w:rPr>
            </w:pPr>
            <w:r>
              <w:rPr>
                <w:sz w:val="20"/>
              </w:rPr>
              <w:t>365.06</w:t>
            </w:r>
            <w:r>
              <w:rPr>
                <w:sz w:val="20"/>
                <w:vertAlign w:val="superscript"/>
              </w:rPr>
              <w:t xml:space="preserve">f </w:t>
            </w:r>
            <w:r>
              <w:rPr>
                <w:sz w:val="20"/>
              </w:rPr>
              <w:t>± 0.10</w:t>
            </w:r>
          </w:p>
        </w:tc>
      </w:tr>
      <w:tr w:rsidR="004879C6" w14:paraId="66C95FB8" w14:textId="77777777">
        <w:tc>
          <w:tcPr>
            <w:tcW w:w="810" w:type="dxa"/>
            <w:shd w:val="clear" w:color="auto" w:fill="FFFFFF"/>
          </w:tcPr>
          <w:p w14:paraId="49C05D81" w14:textId="77777777" w:rsidR="004879C6" w:rsidRDefault="00934F55">
            <w:pPr>
              <w:spacing w:line="276" w:lineRule="auto"/>
              <w:rPr>
                <w:sz w:val="20"/>
              </w:rPr>
            </w:pPr>
            <w:r>
              <w:rPr>
                <w:sz w:val="20"/>
              </w:rPr>
              <w:t>LSD</w:t>
            </w:r>
          </w:p>
        </w:tc>
        <w:tc>
          <w:tcPr>
            <w:tcW w:w="1417" w:type="dxa"/>
            <w:shd w:val="clear" w:color="auto" w:fill="FFFFFF"/>
          </w:tcPr>
          <w:p w14:paraId="73D007A9" w14:textId="77777777" w:rsidR="004879C6" w:rsidRDefault="00934F55">
            <w:pPr>
              <w:spacing w:line="276" w:lineRule="auto"/>
              <w:rPr>
                <w:sz w:val="20"/>
              </w:rPr>
            </w:pPr>
            <w:r>
              <w:rPr>
                <w:sz w:val="20"/>
              </w:rPr>
              <w:t xml:space="preserve">    (0.05)</w:t>
            </w:r>
          </w:p>
        </w:tc>
        <w:tc>
          <w:tcPr>
            <w:tcW w:w="1400" w:type="dxa"/>
            <w:shd w:val="clear" w:color="auto" w:fill="FFFFFF"/>
          </w:tcPr>
          <w:p w14:paraId="0EC2CA85" w14:textId="77777777" w:rsidR="004879C6" w:rsidRDefault="00934F55">
            <w:pPr>
              <w:spacing w:line="276" w:lineRule="auto"/>
              <w:rPr>
                <w:sz w:val="20"/>
              </w:rPr>
            </w:pPr>
            <w:r>
              <w:rPr>
                <w:sz w:val="20"/>
              </w:rPr>
              <w:t xml:space="preserve">     0.42</w:t>
            </w:r>
          </w:p>
        </w:tc>
        <w:tc>
          <w:tcPr>
            <w:tcW w:w="1402" w:type="dxa"/>
            <w:shd w:val="clear" w:color="auto" w:fill="FFFFFF"/>
          </w:tcPr>
          <w:p w14:paraId="61E007FD" w14:textId="77777777" w:rsidR="004879C6" w:rsidRDefault="00934F55">
            <w:pPr>
              <w:spacing w:line="276" w:lineRule="auto"/>
              <w:rPr>
                <w:sz w:val="20"/>
              </w:rPr>
            </w:pPr>
            <w:r>
              <w:rPr>
                <w:sz w:val="20"/>
              </w:rPr>
              <w:t xml:space="preserve">      3.78</w:t>
            </w:r>
          </w:p>
        </w:tc>
        <w:tc>
          <w:tcPr>
            <w:tcW w:w="1485" w:type="dxa"/>
            <w:shd w:val="clear" w:color="auto" w:fill="FFFFFF"/>
          </w:tcPr>
          <w:p w14:paraId="6A9F4D2C" w14:textId="77777777" w:rsidR="004879C6" w:rsidRDefault="00934F55">
            <w:pPr>
              <w:spacing w:line="276" w:lineRule="auto"/>
              <w:rPr>
                <w:sz w:val="20"/>
              </w:rPr>
            </w:pPr>
            <w:r>
              <w:rPr>
                <w:sz w:val="20"/>
              </w:rPr>
              <w:t xml:space="preserve">     0.21</w:t>
            </w:r>
          </w:p>
        </w:tc>
        <w:tc>
          <w:tcPr>
            <w:tcW w:w="1320" w:type="dxa"/>
            <w:shd w:val="clear" w:color="auto" w:fill="FFFFFF"/>
          </w:tcPr>
          <w:p w14:paraId="7C609022" w14:textId="77777777" w:rsidR="004879C6" w:rsidRDefault="00934F55">
            <w:pPr>
              <w:spacing w:line="276" w:lineRule="auto"/>
              <w:rPr>
                <w:sz w:val="20"/>
              </w:rPr>
            </w:pPr>
            <w:r>
              <w:rPr>
                <w:sz w:val="20"/>
              </w:rPr>
              <w:t xml:space="preserve">     0.26</w:t>
            </w:r>
          </w:p>
        </w:tc>
        <w:tc>
          <w:tcPr>
            <w:tcW w:w="1166" w:type="dxa"/>
            <w:shd w:val="clear" w:color="auto" w:fill="FFFFFF"/>
          </w:tcPr>
          <w:p w14:paraId="1F8671EC" w14:textId="77777777" w:rsidR="004879C6" w:rsidRDefault="00934F55">
            <w:pPr>
              <w:spacing w:line="276" w:lineRule="auto"/>
              <w:rPr>
                <w:sz w:val="20"/>
              </w:rPr>
            </w:pPr>
            <w:r>
              <w:rPr>
                <w:sz w:val="20"/>
              </w:rPr>
              <w:t xml:space="preserve">     0.45</w:t>
            </w:r>
          </w:p>
        </w:tc>
        <w:tc>
          <w:tcPr>
            <w:tcW w:w="1328" w:type="dxa"/>
            <w:shd w:val="clear" w:color="auto" w:fill="FFFFFF"/>
          </w:tcPr>
          <w:p w14:paraId="03CD3119" w14:textId="77777777" w:rsidR="004879C6" w:rsidRDefault="00934F55">
            <w:pPr>
              <w:spacing w:line="276" w:lineRule="auto"/>
              <w:rPr>
                <w:sz w:val="20"/>
              </w:rPr>
            </w:pPr>
            <w:r>
              <w:rPr>
                <w:sz w:val="20"/>
              </w:rPr>
              <w:t xml:space="preserve">       1.46</w:t>
            </w:r>
          </w:p>
        </w:tc>
        <w:tc>
          <w:tcPr>
            <w:tcW w:w="1372" w:type="dxa"/>
            <w:shd w:val="clear" w:color="auto" w:fill="FFFFFF"/>
          </w:tcPr>
          <w:p w14:paraId="71E12EB2" w14:textId="77777777" w:rsidR="004879C6" w:rsidRDefault="00934F55">
            <w:pPr>
              <w:spacing w:line="276" w:lineRule="auto"/>
              <w:rPr>
                <w:sz w:val="20"/>
              </w:rPr>
            </w:pPr>
            <w:r>
              <w:rPr>
                <w:sz w:val="20"/>
              </w:rPr>
              <w:t xml:space="preserve">       3.84</w:t>
            </w:r>
          </w:p>
        </w:tc>
      </w:tr>
    </w:tbl>
    <w:p w14:paraId="5669F5D3" w14:textId="77777777" w:rsidR="004879C6" w:rsidRDefault="004879C6">
      <w:pPr>
        <w:tabs>
          <w:tab w:val="left" w:pos="2700"/>
        </w:tabs>
        <w:spacing w:line="276" w:lineRule="auto"/>
        <w:rPr>
          <w:sz w:val="20"/>
          <w:szCs w:val="20"/>
        </w:rPr>
      </w:pPr>
    </w:p>
    <w:p w14:paraId="3A0893A4" w14:textId="77777777" w:rsidR="004879C6" w:rsidRDefault="004879C6">
      <w:pPr>
        <w:tabs>
          <w:tab w:val="left" w:pos="2700"/>
        </w:tabs>
        <w:spacing w:line="276" w:lineRule="auto"/>
        <w:rPr>
          <w:sz w:val="20"/>
          <w:szCs w:val="20"/>
        </w:rPr>
      </w:pPr>
    </w:p>
    <w:p w14:paraId="7614DB4F" w14:textId="77777777" w:rsidR="004879C6" w:rsidRDefault="004879C6">
      <w:pPr>
        <w:tabs>
          <w:tab w:val="left" w:pos="2700"/>
        </w:tabs>
        <w:spacing w:line="276" w:lineRule="auto"/>
        <w:rPr>
          <w:sz w:val="20"/>
          <w:szCs w:val="20"/>
        </w:rPr>
      </w:pPr>
    </w:p>
    <w:p w14:paraId="192E52A6" w14:textId="77777777" w:rsidR="004879C6" w:rsidRDefault="004879C6">
      <w:pPr>
        <w:spacing w:line="276" w:lineRule="auto"/>
      </w:pPr>
    </w:p>
    <w:p w14:paraId="212561FB" w14:textId="77777777" w:rsidR="004879C6" w:rsidRDefault="004879C6">
      <w:pPr>
        <w:spacing w:line="276" w:lineRule="auto"/>
      </w:pPr>
    </w:p>
    <w:p w14:paraId="322C8C16" w14:textId="77777777" w:rsidR="004879C6" w:rsidRDefault="004879C6">
      <w:pPr>
        <w:spacing w:line="276" w:lineRule="auto"/>
      </w:pPr>
    </w:p>
    <w:p w14:paraId="720700C8" w14:textId="77777777" w:rsidR="004879C6" w:rsidRDefault="00934F55">
      <w:pPr>
        <w:spacing w:line="276" w:lineRule="auto"/>
        <w:rPr>
          <w:b/>
        </w:rPr>
      </w:pPr>
      <w:r>
        <w:rPr>
          <w:b/>
        </w:rPr>
        <w:t>Mineral Composition of Biscuits samples</w:t>
      </w:r>
      <w:r>
        <w:rPr>
          <w:b/>
        </w:rPr>
        <w:tab/>
      </w:r>
    </w:p>
    <w:p w14:paraId="11B5DBDD" w14:textId="77777777" w:rsidR="004879C6" w:rsidRDefault="00934F55">
      <w:pPr>
        <w:tabs>
          <w:tab w:val="left" w:pos="2700"/>
        </w:tabs>
        <w:spacing w:line="276" w:lineRule="auto"/>
      </w:pPr>
      <w:r>
        <w:t xml:space="preserve">The mineral composition of the biscuit samples are presented in Table 2. </w:t>
      </w:r>
    </w:p>
    <w:p w14:paraId="08C073A6" w14:textId="77777777" w:rsidR="004879C6" w:rsidRDefault="00934F55">
      <w:pPr>
        <w:spacing w:line="276" w:lineRule="auto"/>
      </w:pPr>
      <w:r>
        <w:t>The calcium content of the biscuit samples ranged from 77.86 to 133.27mg/100g. The composite biscuits substituted with 30% Bambara groundnut and 20% bush mango mesocarp flours had the highest calcium content (133.27mg/100g), while the control sample (Biscu</w:t>
      </w:r>
      <w:r>
        <w:t xml:space="preserve">its made with 100% wheat flour) had the least value (77.86mg/100g). The values obtained (77.86 – 133.27mg/100g) in this study were higher than the calcium content (39.10 – 82.29mg/100g) reported by Hanan and Al-Sayed (2013) for wheat biscuits supplemented </w:t>
      </w:r>
      <w:r>
        <w:t xml:space="preserve">with untreated and treated fenugreek flours. The result showed that the calcium content of the biscuit samples increased with increase in the addition </w:t>
      </w:r>
      <w:r>
        <w:lastRenderedPageBreak/>
        <w:t>of Bambara groundnut and bush mango mesocarp flours. Calcium plays a vital role in the development and su</w:t>
      </w:r>
      <w:r>
        <w:t xml:space="preserve">stenance of strong bones and teeth especially in foetus, infants, children and elderly people (Otitoju </w:t>
      </w:r>
      <w:r>
        <w:rPr>
          <w:i/>
        </w:rPr>
        <w:t>et al</w:t>
      </w:r>
      <w:r>
        <w:t>., 2014). Calcium also helps the body in regulation of muscular contraction and blood clotting. Calcium is also essential for disease prevention and</w:t>
      </w:r>
      <w:r>
        <w:t xml:space="preserve"> control in human body (Ayoola </w:t>
      </w:r>
      <w:r>
        <w:rPr>
          <w:i/>
        </w:rPr>
        <w:t>et al.,</w:t>
      </w:r>
      <w:r>
        <w:t xml:space="preserve"> 2010).  </w:t>
      </w:r>
    </w:p>
    <w:p w14:paraId="5A2149EC" w14:textId="77777777" w:rsidR="004879C6" w:rsidRDefault="004879C6">
      <w:pPr>
        <w:spacing w:line="276" w:lineRule="auto"/>
      </w:pPr>
    </w:p>
    <w:p w14:paraId="4A1DB96D" w14:textId="77777777" w:rsidR="004879C6" w:rsidRDefault="00934F55">
      <w:pPr>
        <w:spacing w:line="276" w:lineRule="auto"/>
      </w:pPr>
      <w:r>
        <w:t>The potassium content of the biscuit samples ranged from 95.47 to 167.72mg/100g. The result showed that the potassium content of the samples increased steadily with increased substitution of Bambara groundnu</w:t>
      </w:r>
      <w:r>
        <w:t xml:space="preserve">t and bush mango mesocarp flours in the products. The observation is in agreement with the reports of Matos </w:t>
      </w:r>
      <w:r>
        <w:rPr>
          <w:i/>
        </w:rPr>
        <w:t xml:space="preserve">et al. </w:t>
      </w:r>
      <w:r>
        <w:t>(2009) and Nwosu (2013) that Bambara groundnut and bush mango mesocarp are rich sources of potassium. Potassium is the principal cation in ex</w:t>
      </w:r>
      <w:r>
        <w:t>tracellular fluids which helps in the maintenance of acid-base balance in the body. It is also involved in the maintenance of osmotic pressure of the body fluids. The changes in osmotic pressure which are largely dependent on potassium concentration and me</w:t>
      </w:r>
      <w:r>
        <w:t xml:space="preserve">tabolism of potassium is regulated by aldosterone in human body (Soetan </w:t>
      </w:r>
      <w:r>
        <w:rPr>
          <w:i/>
        </w:rPr>
        <w:t>et al</w:t>
      </w:r>
      <w:r>
        <w:t xml:space="preserve">., 2010; Ehimen </w:t>
      </w:r>
      <w:r>
        <w:rPr>
          <w:i/>
        </w:rPr>
        <w:t>et al.,</w:t>
      </w:r>
      <w:r>
        <w:t xml:space="preserve"> 2017). </w:t>
      </w:r>
    </w:p>
    <w:p w14:paraId="715F6A81" w14:textId="77777777" w:rsidR="004879C6" w:rsidRDefault="004879C6">
      <w:pPr>
        <w:spacing w:line="276" w:lineRule="auto"/>
      </w:pPr>
    </w:p>
    <w:p w14:paraId="7485C3E2" w14:textId="77777777" w:rsidR="004879C6" w:rsidRDefault="00934F55">
      <w:pPr>
        <w:spacing w:line="276" w:lineRule="auto"/>
      </w:pPr>
      <w:r>
        <w:t>The phosphorus content of the biscuit samples which ranged from 89.11 to 147.26mg/100g increased significantly (p&lt;0.05) with increased substitutio</w:t>
      </w:r>
      <w:r>
        <w:t xml:space="preserve">n of Bambara groundnut and bush mango mesocarp flours.  The values (89.11 to 147.26mg/100g) obtained in this study were higher than the phosphorus content (54.96 to 97.36mg/100g) reported by Kure </w:t>
      </w:r>
      <w:r>
        <w:rPr>
          <w:i/>
        </w:rPr>
        <w:t>et al</w:t>
      </w:r>
      <w:r>
        <w:t>. (2018) for biscuits  produced from soybean and planta</w:t>
      </w:r>
      <w:r>
        <w:t>in flour blends. Phosphorus enhances the quick release of energy in the body and it may combine with calcium for the development of bone and teeth. Phosphorus also improves digestion and regulates the excretion and protein formation in the body (Arawande a</w:t>
      </w:r>
      <w:r>
        <w:t xml:space="preserve">nd Borokini, 2010). The deficiency of phosphorus is rare because of the prevalence of phosphorus in foods but its deficiency is generally observed only during starvation (Etong </w:t>
      </w:r>
      <w:r>
        <w:rPr>
          <w:i/>
        </w:rPr>
        <w:t>et al</w:t>
      </w:r>
      <w:r>
        <w:t>., 2014).</w:t>
      </w:r>
    </w:p>
    <w:p w14:paraId="4AB89A08" w14:textId="77777777" w:rsidR="004879C6" w:rsidRDefault="00934F55">
      <w:pPr>
        <w:spacing w:line="276" w:lineRule="auto"/>
      </w:pPr>
      <w:r>
        <w:t xml:space="preserve"> </w:t>
      </w:r>
    </w:p>
    <w:p w14:paraId="26F9F229" w14:textId="77777777" w:rsidR="004879C6" w:rsidRDefault="00934F55">
      <w:pPr>
        <w:spacing w:line="276" w:lineRule="auto"/>
      </w:pPr>
      <w:r>
        <w:t>The magnesium content of the biscuit samples ranged from 57.54</w:t>
      </w:r>
      <w:r>
        <w:t xml:space="preserve"> to 116.04mg/100g. The result showed that the composite biscuits substituted with 30% Bambara groundnut and 20% bush mango mesocarp flours had the highest magnesium content (116.04mg/100g), while the control sample had the least magnesium content (57.54mg/</w:t>
      </w:r>
      <w:r>
        <w:t xml:space="preserve">100g). This observation is an indication that Bambara groundnut and bush mango mesocarp are good sources of magnesium (Adu-Gyami </w:t>
      </w:r>
      <w:r>
        <w:rPr>
          <w:i/>
        </w:rPr>
        <w:t xml:space="preserve">et al., </w:t>
      </w:r>
      <w:r>
        <w:t xml:space="preserve">2008; Etukudo </w:t>
      </w:r>
      <w:r>
        <w:rPr>
          <w:i/>
        </w:rPr>
        <w:t>et al.,</w:t>
      </w:r>
      <w:r>
        <w:t xml:space="preserve"> 2015). Magnesium is beneficial in the control of high blood pressure. It is also an important com</w:t>
      </w:r>
      <w:r>
        <w:t xml:space="preserve">ponent of bone which contributes to its structural development (Ohizua </w:t>
      </w:r>
      <w:r>
        <w:rPr>
          <w:i/>
        </w:rPr>
        <w:t>et al.,</w:t>
      </w:r>
      <w:r>
        <w:t xml:space="preserve"> 2017). Magnesium deficiency results in uncontrolled twisting of muscles which causes convulsion and this is common in people with chronic alcoholism (Etong </w:t>
      </w:r>
      <w:r>
        <w:rPr>
          <w:i/>
        </w:rPr>
        <w:t>et al</w:t>
      </w:r>
      <w:r>
        <w:t>., 2014; Varsney</w:t>
      </w:r>
      <w:r>
        <w:t xml:space="preserve"> </w:t>
      </w:r>
      <w:r>
        <w:rPr>
          <w:i/>
        </w:rPr>
        <w:t>et al.,</w:t>
      </w:r>
      <w:r>
        <w:t xml:space="preserve"> 2019). </w:t>
      </w:r>
    </w:p>
    <w:p w14:paraId="5DCBCCC9" w14:textId="77777777" w:rsidR="004879C6" w:rsidRDefault="004879C6">
      <w:pPr>
        <w:spacing w:line="276" w:lineRule="auto"/>
      </w:pPr>
    </w:p>
    <w:p w14:paraId="6E7C1634" w14:textId="77777777" w:rsidR="004879C6" w:rsidRDefault="00934F55">
      <w:pPr>
        <w:spacing w:line="276" w:lineRule="auto"/>
      </w:pPr>
      <w:r>
        <w:t>The zinc content of the biscuit samples which ranged from 1.43 to 1.91mg/100g increased significantly (p&lt;0.05) with increased substitution of Bambara groundnut and bush mango mesocarp flours. The values obtained (1.43-1.91mg/100g) were lo</w:t>
      </w:r>
      <w:r>
        <w:t xml:space="preserve">wer than zinc content (4.48-8.07mg/100g) reported by Brennan </w:t>
      </w:r>
      <w:r>
        <w:rPr>
          <w:i/>
        </w:rPr>
        <w:t>et al.</w:t>
      </w:r>
      <w:r>
        <w:t xml:space="preserve"> (2013) for biscuits made from mushroom-wheat </w:t>
      </w:r>
      <w:r>
        <w:lastRenderedPageBreak/>
        <w:t>composite flours. The levels of zinc in all the composite biscuit samples were moderately higher compared to the control (100% wheat flour bisc</w:t>
      </w:r>
      <w:r>
        <w:t xml:space="preserve">uits)which is a clear indication that wheat is very low in zinc content (Farheena </w:t>
      </w:r>
      <w:r>
        <w:rPr>
          <w:i/>
        </w:rPr>
        <w:t xml:space="preserve">et al., </w:t>
      </w:r>
      <w:r>
        <w:t xml:space="preserve"> 2015).  Zinc is one of the chief extracellular ions of the body which is primarily involved in the maintenance of osmotic equilibrium and body fluid volume (Etong </w:t>
      </w:r>
      <w:r>
        <w:rPr>
          <w:i/>
        </w:rPr>
        <w:t>et</w:t>
      </w:r>
      <w:r>
        <w:rPr>
          <w:i/>
        </w:rPr>
        <w:t xml:space="preserve"> al.,</w:t>
      </w:r>
      <w:r>
        <w:t xml:space="preserve"> 2014). Zinc also is an essential micronutrient that is needed in the human body for growth and maintenance of immune systems (Black, 2003). </w:t>
      </w:r>
    </w:p>
    <w:p w14:paraId="296CCB44" w14:textId="77777777" w:rsidR="004879C6" w:rsidRDefault="00934F55">
      <w:pPr>
        <w:spacing w:line="276" w:lineRule="auto"/>
        <w:rPr>
          <w:highlight w:val="white"/>
        </w:rPr>
      </w:pPr>
      <w:r>
        <w:t>The iron content of the biscuit samples ranged from 1.64 to 2.04mg/100g. The composite biscuits substituted w</w:t>
      </w:r>
      <w:r>
        <w:t>ith 30% Bambara groundnut and 20% bush mango mesocarp flours had the highest iron content (2.04mg/100g), while the control sample had the least iron content (1.64 mg/100g). The result showed that the iron content of the biscuit samples increased with incre</w:t>
      </w:r>
      <w:r>
        <w:t>ased substitution of Bambara groundnut and bush mango mesocarp flours. The iron content (1.64 – 2.4mg/100g) obtained in this study were lower than the values (6.24 -10.26mg/100g) reported by Abiodun and Ehimen (2017) for biscuits prepared from blends of un</w:t>
      </w:r>
      <w:r>
        <w:t xml:space="preserve">ripe cooking banana, Bambara groundnut and sweet potato flours. </w:t>
      </w:r>
      <w:r>
        <w:rPr>
          <w:highlight w:val="white"/>
        </w:rPr>
        <w:t xml:space="preserve">Iron is part of haemoglobin, a protein which carries oxygen from the lungs to different parts of the body. Iron is also part of many other proteins and enzymes that are important in the human </w:t>
      </w:r>
      <w:r>
        <w:rPr>
          <w:highlight w:val="white"/>
        </w:rPr>
        <w:t xml:space="preserve">body (Ayensu </w:t>
      </w:r>
      <w:r>
        <w:rPr>
          <w:i/>
          <w:highlight w:val="white"/>
        </w:rPr>
        <w:t>et al.,</w:t>
      </w:r>
      <w:r>
        <w:rPr>
          <w:highlight w:val="white"/>
        </w:rPr>
        <w:t xml:space="preserve"> 2019).</w:t>
      </w:r>
    </w:p>
    <w:p w14:paraId="4DBECBA4" w14:textId="77777777" w:rsidR="004879C6" w:rsidRDefault="00934F55">
      <w:pPr>
        <w:spacing w:line="276" w:lineRule="auto"/>
        <w:rPr>
          <w:b/>
        </w:rPr>
        <w:sectPr w:rsidR="004879C6">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26"/>
        </w:sectPr>
      </w:pPr>
      <w:r>
        <w:t xml:space="preserve">The substitution of wheat flour with Bambara groundnut and bush mango mesocarp flours in the preparation of biscuits generally increased the calcium, magnesium, phosphorus, </w:t>
      </w:r>
      <w:r>
        <w:t>potassium, zinc and iron contents of the products.</w:t>
      </w:r>
    </w:p>
    <w:p w14:paraId="2B97278C" w14:textId="77777777" w:rsidR="004879C6" w:rsidRDefault="00934F55">
      <w:pPr>
        <w:spacing w:line="276" w:lineRule="auto"/>
        <w:rPr>
          <w:b/>
        </w:rPr>
      </w:pPr>
      <w:r>
        <w:rPr>
          <w:b/>
        </w:rPr>
        <w:lastRenderedPageBreak/>
        <w:t>Table 2: Mineral composition (mg/100g) of biscuit samples</w:t>
      </w:r>
    </w:p>
    <w:tbl>
      <w:tblPr>
        <w:tblpPr w:leftFromText="180" w:rightFromText="180" w:vertAnchor="page" w:horzAnchor="margin" w:tblpXSpec="center" w:tblpY="1720"/>
        <w:tblW w:w="11268" w:type="dxa"/>
        <w:tblBorders>
          <w:top w:val="single" w:sz="4" w:space="0" w:color="auto"/>
          <w:bottom w:val="single" w:sz="4" w:space="0" w:color="auto"/>
        </w:tblBorders>
        <w:tblLayout w:type="fixed"/>
        <w:tblLook w:val="0000" w:firstRow="0" w:lastRow="0" w:firstColumn="0" w:lastColumn="0" w:noHBand="0" w:noVBand="0"/>
      </w:tblPr>
      <w:tblGrid>
        <w:gridCol w:w="900"/>
        <w:gridCol w:w="1530"/>
        <w:gridCol w:w="1527"/>
        <w:gridCol w:w="1530"/>
        <w:gridCol w:w="1620"/>
        <w:gridCol w:w="1440"/>
        <w:gridCol w:w="1350"/>
        <w:gridCol w:w="1371"/>
      </w:tblGrid>
      <w:tr w:rsidR="004879C6" w14:paraId="254C7A53" w14:textId="77777777">
        <w:trPr>
          <w:trHeight w:val="507"/>
        </w:trPr>
        <w:tc>
          <w:tcPr>
            <w:tcW w:w="900" w:type="dxa"/>
            <w:tcBorders>
              <w:top w:val="single" w:sz="4" w:space="0" w:color="auto"/>
              <w:bottom w:val="single" w:sz="4" w:space="0" w:color="auto"/>
            </w:tcBorders>
            <w:shd w:val="clear" w:color="auto" w:fill="FFFFFF"/>
          </w:tcPr>
          <w:p w14:paraId="60D4FEF3" w14:textId="77777777" w:rsidR="004879C6" w:rsidRDefault="00934F55">
            <w:pPr>
              <w:spacing w:line="276" w:lineRule="auto"/>
              <w:rPr>
                <w:b/>
                <w:sz w:val="18"/>
              </w:rPr>
            </w:pPr>
            <w:r>
              <w:rPr>
                <w:b/>
                <w:sz w:val="18"/>
              </w:rPr>
              <w:t>Samples</w:t>
            </w:r>
          </w:p>
        </w:tc>
        <w:tc>
          <w:tcPr>
            <w:tcW w:w="1530" w:type="dxa"/>
            <w:tcBorders>
              <w:top w:val="single" w:sz="4" w:space="0" w:color="auto"/>
              <w:bottom w:val="single" w:sz="4" w:space="0" w:color="auto"/>
            </w:tcBorders>
            <w:shd w:val="clear" w:color="auto" w:fill="FFFFFF"/>
          </w:tcPr>
          <w:p w14:paraId="664588FE" w14:textId="77777777" w:rsidR="004879C6" w:rsidRDefault="00934F55">
            <w:pPr>
              <w:spacing w:line="276" w:lineRule="auto"/>
              <w:rPr>
                <w:b/>
                <w:sz w:val="18"/>
                <w:szCs w:val="20"/>
              </w:rPr>
            </w:pPr>
            <w:r>
              <w:rPr>
                <w:b/>
                <w:sz w:val="18"/>
                <w:szCs w:val="20"/>
              </w:rPr>
              <w:t xml:space="preserve">%Substitution </w:t>
            </w:r>
          </w:p>
          <w:p w14:paraId="14A55483" w14:textId="77777777" w:rsidR="004879C6" w:rsidRDefault="00934F55">
            <w:pPr>
              <w:spacing w:line="276" w:lineRule="auto"/>
              <w:rPr>
                <w:b/>
                <w:sz w:val="18"/>
                <w:szCs w:val="20"/>
              </w:rPr>
            </w:pPr>
            <w:r>
              <w:rPr>
                <w:b/>
                <w:sz w:val="18"/>
                <w:szCs w:val="20"/>
              </w:rPr>
              <w:t>WF:BBF:BMF</w:t>
            </w:r>
          </w:p>
        </w:tc>
        <w:tc>
          <w:tcPr>
            <w:tcW w:w="1527" w:type="dxa"/>
            <w:tcBorders>
              <w:top w:val="single" w:sz="4" w:space="0" w:color="auto"/>
              <w:bottom w:val="single" w:sz="4" w:space="0" w:color="auto"/>
            </w:tcBorders>
            <w:shd w:val="clear" w:color="auto" w:fill="FFFFFF"/>
          </w:tcPr>
          <w:p w14:paraId="25A7F012" w14:textId="77777777" w:rsidR="004879C6" w:rsidRDefault="00934F55">
            <w:pPr>
              <w:spacing w:line="276" w:lineRule="auto"/>
              <w:rPr>
                <w:b/>
                <w:sz w:val="18"/>
              </w:rPr>
            </w:pPr>
            <w:r>
              <w:rPr>
                <w:b/>
                <w:sz w:val="18"/>
              </w:rPr>
              <w:t>Calcium</w:t>
            </w:r>
          </w:p>
        </w:tc>
        <w:tc>
          <w:tcPr>
            <w:tcW w:w="1530" w:type="dxa"/>
            <w:tcBorders>
              <w:top w:val="single" w:sz="4" w:space="0" w:color="auto"/>
              <w:bottom w:val="single" w:sz="4" w:space="0" w:color="auto"/>
            </w:tcBorders>
            <w:shd w:val="clear" w:color="auto" w:fill="FFFFFF"/>
          </w:tcPr>
          <w:p w14:paraId="36B1AB25" w14:textId="77777777" w:rsidR="004879C6" w:rsidRDefault="00934F55">
            <w:pPr>
              <w:spacing w:line="276" w:lineRule="auto"/>
              <w:rPr>
                <w:b/>
                <w:sz w:val="18"/>
              </w:rPr>
            </w:pPr>
            <w:r>
              <w:rPr>
                <w:b/>
                <w:sz w:val="18"/>
              </w:rPr>
              <w:t>Potassium</w:t>
            </w:r>
          </w:p>
        </w:tc>
        <w:tc>
          <w:tcPr>
            <w:tcW w:w="1620" w:type="dxa"/>
            <w:tcBorders>
              <w:top w:val="single" w:sz="4" w:space="0" w:color="auto"/>
              <w:bottom w:val="single" w:sz="4" w:space="0" w:color="auto"/>
            </w:tcBorders>
            <w:shd w:val="clear" w:color="auto" w:fill="FFFFFF"/>
          </w:tcPr>
          <w:p w14:paraId="58FF84A7" w14:textId="77777777" w:rsidR="004879C6" w:rsidRDefault="00934F55">
            <w:pPr>
              <w:spacing w:line="276" w:lineRule="auto"/>
              <w:rPr>
                <w:b/>
                <w:sz w:val="18"/>
              </w:rPr>
            </w:pPr>
            <w:r>
              <w:rPr>
                <w:b/>
                <w:sz w:val="18"/>
              </w:rPr>
              <w:t>Phosphorus</w:t>
            </w:r>
          </w:p>
        </w:tc>
        <w:tc>
          <w:tcPr>
            <w:tcW w:w="1440" w:type="dxa"/>
            <w:tcBorders>
              <w:top w:val="single" w:sz="4" w:space="0" w:color="auto"/>
              <w:bottom w:val="single" w:sz="4" w:space="0" w:color="auto"/>
            </w:tcBorders>
            <w:shd w:val="clear" w:color="auto" w:fill="FFFFFF"/>
          </w:tcPr>
          <w:p w14:paraId="5D90EF2E" w14:textId="77777777" w:rsidR="004879C6" w:rsidRDefault="00934F55">
            <w:pPr>
              <w:spacing w:line="276" w:lineRule="auto"/>
              <w:rPr>
                <w:b/>
                <w:sz w:val="18"/>
              </w:rPr>
            </w:pPr>
            <w:r>
              <w:rPr>
                <w:b/>
                <w:sz w:val="18"/>
              </w:rPr>
              <w:t>Magnesium</w:t>
            </w:r>
          </w:p>
        </w:tc>
        <w:tc>
          <w:tcPr>
            <w:tcW w:w="1350" w:type="dxa"/>
            <w:tcBorders>
              <w:top w:val="single" w:sz="4" w:space="0" w:color="auto"/>
              <w:bottom w:val="single" w:sz="4" w:space="0" w:color="auto"/>
            </w:tcBorders>
            <w:shd w:val="clear" w:color="auto" w:fill="FFFFFF"/>
          </w:tcPr>
          <w:p w14:paraId="1C34A2DC" w14:textId="77777777" w:rsidR="004879C6" w:rsidRDefault="00934F55">
            <w:pPr>
              <w:spacing w:line="276" w:lineRule="auto"/>
              <w:rPr>
                <w:b/>
                <w:sz w:val="18"/>
              </w:rPr>
            </w:pPr>
            <w:r>
              <w:rPr>
                <w:b/>
                <w:sz w:val="18"/>
              </w:rPr>
              <w:t>Zinc</w:t>
            </w:r>
          </w:p>
        </w:tc>
        <w:tc>
          <w:tcPr>
            <w:tcW w:w="1371" w:type="dxa"/>
            <w:tcBorders>
              <w:top w:val="single" w:sz="4" w:space="0" w:color="auto"/>
              <w:bottom w:val="single" w:sz="4" w:space="0" w:color="auto"/>
            </w:tcBorders>
            <w:shd w:val="clear" w:color="auto" w:fill="FFFFFF"/>
          </w:tcPr>
          <w:p w14:paraId="2A58A206" w14:textId="77777777" w:rsidR="004879C6" w:rsidRDefault="00934F55">
            <w:pPr>
              <w:spacing w:line="276" w:lineRule="auto"/>
              <w:rPr>
                <w:b/>
                <w:sz w:val="18"/>
              </w:rPr>
            </w:pPr>
            <w:r>
              <w:rPr>
                <w:b/>
                <w:sz w:val="18"/>
              </w:rPr>
              <w:t>Iron</w:t>
            </w:r>
          </w:p>
        </w:tc>
      </w:tr>
      <w:tr w:rsidR="004879C6" w14:paraId="2AD64DCE" w14:textId="77777777">
        <w:trPr>
          <w:trHeight w:val="1"/>
        </w:trPr>
        <w:tc>
          <w:tcPr>
            <w:tcW w:w="900" w:type="dxa"/>
            <w:tcBorders>
              <w:top w:val="single" w:sz="4" w:space="0" w:color="auto"/>
            </w:tcBorders>
            <w:shd w:val="clear" w:color="auto" w:fill="FFFFFF"/>
          </w:tcPr>
          <w:p w14:paraId="01FD9A32" w14:textId="77777777" w:rsidR="004879C6" w:rsidRDefault="00934F55">
            <w:pPr>
              <w:spacing w:line="276" w:lineRule="auto"/>
            </w:pPr>
            <w:r>
              <w:rPr>
                <w:sz w:val="22"/>
              </w:rPr>
              <w:t>A</w:t>
            </w:r>
          </w:p>
        </w:tc>
        <w:tc>
          <w:tcPr>
            <w:tcW w:w="1530" w:type="dxa"/>
            <w:tcBorders>
              <w:top w:val="single" w:sz="4" w:space="0" w:color="auto"/>
            </w:tcBorders>
            <w:shd w:val="clear" w:color="auto" w:fill="FFFFFF"/>
          </w:tcPr>
          <w:p w14:paraId="7911340C" w14:textId="77777777" w:rsidR="004879C6" w:rsidRDefault="00934F55">
            <w:pPr>
              <w:spacing w:line="276" w:lineRule="auto"/>
            </w:pPr>
            <w:r>
              <w:rPr>
                <w:sz w:val="22"/>
              </w:rPr>
              <w:t>100:  0 :   0</w:t>
            </w:r>
          </w:p>
        </w:tc>
        <w:tc>
          <w:tcPr>
            <w:tcW w:w="1527" w:type="dxa"/>
            <w:tcBorders>
              <w:top w:val="single" w:sz="4" w:space="0" w:color="auto"/>
            </w:tcBorders>
            <w:shd w:val="clear" w:color="auto" w:fill="FFFFFF"/>
          </w:tcPr>
          <w:p w14:paraId="24069FEF" w14:textId="77777777" w:rsidR="004879C6" w:rsidRDefault="00934F55">
            <w:pPr>
              <w:spacing w:line="276" w:lineRule="auto"/>
            </w:pPr>
            <w:r>
              <w:rPr>
                <w:sz w:val="22"/>
              </w:rPr>
              <w:t>77.86</w:t>
            </w:r>
            <w:r>
              <w:rPr>
                <w:sz w:val="22"/>
                <w:vertAlign w:val="superscript"/>
              </w:rPr>
              <w:t xml:space="preserve">f </w:t>
            </w:r>
            <w:r>
              <w:rPr>
                <w:sz w:val="22"/>
              </w:rPr>
              <w:t>±0.03</w:t>
            </w:r>
          </w:p>
        </w:tc>
        <w:tc>
          <w:tcPr>
            <w:tcW w:w="1530" w:type="dxa"/>
            <w:tcBorders>
              <w:top w:val="single" w:sz="4" w:space="0" w:color="auto"/>
            </w:tcBorders>
            <w:shd w:val="clear" w:color="auto" w:fill="FFFFFF"/>
          </w:tcPr>
          <w:p w14:paraId="2D3249B3" w14:textId="77777777" w:rsidR="004879C6" w:rsidRDefault="00934F55">
            <w:pPr>
              <w:spacing w:line="276" w:lineRule="auto"/>
            </w:pPr>
            <w:r>
              <w:rPr>
                <w:sz w:val="22"/>
              </w:rPr>
              <w:t>95.47</w:t>
            </w:r>
            <w:r>
              <w:rPr>
                <w:sz w:val="22"/>
                <w:vertAlign w:val="superscript"/>
              </w:rPr>
              <w:t xml:space="preserve">f </w:t>
            </w:r>
            <w:r>
              <w:rPr>
                <w:sz w:val="22"/>
              </w:rPr>
              <w:t>±0.08</w:t>
            </w:r>
          </w:p>
        </w:tc>
        <w:tc>
          <w:tcPr>
            <w:tcW w:w="1620" w:type="dxa"/>
            <w:tcBorders>
              <w:top w:val="single" w:sz="4" w:space="0" w:color="auto"/>
            </w:tcBorders>
            <w:shd w:val="clear" w:color="auto" w:fill="FFFFFF"/>
          </w:tcPr>
          <w:p w14:paraId="7D422281" w14:textId="77777777" w:rsidR="004879C6" w:rsidRDefault="00934F55">
            <w:pPr>
              <w:spacing w:line="276" w:lineRule="auto"/>
            </w:pPr>
            <w:r>
              <w:rPr>
                <w:sz w:val="22"/>
              </w:rPr>
              <w:t>89.11</w:t>
            </w:r>
            <w:r>
              <w:rPr>
                <w:sz w:val="22"/>
                <w:vertAlign w:val="superscript"/>
              </w:rPr>
              <w:t xml:space="preserve">f </w:t>
            </w:r>
            <w:r>
              <w:rPr>
                <w:sz w:val="22"/>
              </w:rPr>
              <w:t>±0.01</w:t>
            </w:r>
          </w:p>
        </w:tc>
        <w:tc>
          <w:tcPr>
            <w:tcW w:w="1440" w:type="dxa"/>
            <w:tcBorders>
              <w:top w:val="single" w:sz="4" w:space="0" w:color="auto"/>
            </w:tcBorders>
            <w:shd w:val="clear" w:color="auto" w:fill="FFFFFF"/>
          </w:tcPr>
          <w:p w14:paraId="6D329DD4" w14:textId="77777777" w:rsidR="004879C6" w:rsidRDefault="00934F55">
            <w:pPr>
              <w:spacing w:line="276" w:lineRule="auto"/>
            </w:pPr>
            <w:r>
              <w:rPr>
                <w:sz w:val="22"/>
              </w:rPr>
              <w:t>57.54</w:t>
            </w:r>
            <w:r>
              <w:rPr>
                <w:sz w:val="22"/>
                <w:vertAlign w:val="superscript"/>
              </w:rPr>
              <w:t xml:space="preserve">f </w:t>
            </w:r>
            <w:r>
              <w:rPr>
                <w:sz w:val="22"/>
              </w:rPr>
              <w:t>±0.05</w:t>
            </w:r>
          </w:p>
        </w:tc>
        <w:tc>
          <w:tcPr>
            <w:tcW w:w="1350" w:type="dxa"/>
            <w:tcBorders>
              <w:top w:val="single" w:sz="4" w:space="0" w:color="auto"/>
            </w:tcBorders>
            <w:shd w:val="clear" w:color="auto" w:fill="FFFFFF"/>
          </w:tcPr>
          <w:p w14:paraId="49DDCEAB" w14:textId="77777777" w:rsidR="004879C6" w:rsidRDefault="00934F55">
            <w:pPr>
              <w:spacing w:line="276" w:lineRule="auto"/>
            </w:pPr>
            <w:r>
              <w:rPr>
                <w:sz w:val="22"/>
              </w:rPr>
              <w:t>1.43</w:t>
            </w:r>
            <w:r>
              <w:rPr>
                <w:sz w:val="22"/>
                <w:vertAlign w:val="superscript"/>
              </w:rPr>
              <w:t xml:space="preserve">f </w:t>
            </w:r>
            <w:r>
              <w:rPr>
                <w:sz w:val="22"/>
              </w:rPr>
              <w:t>±0.42</w:t>
            </w:r>
          </w:p>
        </w:tc>
        <w:tc>
          <w:tcPr>
            <w:tcW w:w="1371" w:type="dxa"/>
            <w:vMerge w:val="restart"/>
            <w:tcBorders>
              <w:top w:val="single" w:sz="4" w:space="0" w:color="auto"/>
            </w:tcBorders>
            <w:shd w:val="clear" w:color="auto" w:fill="FFFFFF"/>
          </w:tcPr>
          <w:p w14:paraId="5D4E4B50" w14:textId="77777777" w:rsidR="004879C6" w:rsidRDefault="00934F55">
            <w:pPr>
              <w:spacing w:line="276" w:lineRule="auto"/>
            </w:pPr>
            <w:r>
              <w:rPr>
                <w:sz w:val="22"/>
              </w:rPr>
              <w:t>1.64</w:t>
            </w:r>
            <w:r>
              <w:rPr>
                <w:sz w:val="22"/>
                <w:vertAlign w:val="superscript"/>
              </w:rPr>
              <w:t xml:space="preserve">f </w:t>
            </w:r>
            <w:r>
              <w:rPr>
                <w:sz w:val="22"/>
              </w:rPr>
              <w:t>± 0.01</w:t>
            </w:r>
          </w:p>
          <w:p w14:paraId="1FAC2A0F" w14:textId="77777777" w:rsidR="004879C6" w:rsidRDefault="00934F55">
            <w:pPr>
              <w:spacing w:line="276" w:lineRule="auto"/>
            </w:pPr>
            <w:r>
              <w:rPr>
                <w:sz w:val="22"/>
              </w:rPr>
              <w:t>1.69</w:t>
            </w:r>
            <w:r>
              <w:rPr>
                <w:sz w:val="22"/>
                <w:vertAlign w:val="superscript"/>
              </w:rPr>
              <w:t xml:space="preserve">e </w:t>
            </w:r>
            <w:r>
              <w:rPr>
                <w:sz w:val="22"/>
              </w:rPr>
              <w:t>± 0.11</w:t>
            </w:r>
          </w:p>
        </w:tc>
      </w:tr>
      <w:tr w:rsidR="004879C6" w14:paraId="0133D265" w14:textId="77777777">
        <w:trPr>
          <w:trHeight w:val="1"/>
        </w:trPr>
        <w:tc>
          <w:tcPr>
            <w:tcW w:w="900" w:type="dxa"/>
            <w:shd w:val="clear" w:color="auto" w:fill="FFFFFF"/>
          </w:tcPr>
          <w:p w14:paraId="7A738ED4" w14:textId="77777777" w:rsidR="004879C6" w:rsidRDefault="00934F55">
            <w:pPr>
              <w:spacing w:line="276" w:lineRule="auto"/>
            </w:pPr>
            <w:r>
              <w:rPr>
                <w:sz w:val="22"/>
              </w:rPr>
              <w:t>B</w:t>
            </w:r>
          </w:p>
        </w:tc>
        <w:tc>
          <w:tcPr>
            <w:tcW w:w="1530" w:type="dxa"/>
            <w:shd w:val="clear" w:color="auto" w:fill="FFFFFF"/>
          </w:tcPr>
          <w:p w14:paraId="3E3B67A8" w14:textId="77777777" w:rsidR="004879C6" w:rsidRDefault="00934F55">
            <w:pPr>
              <w:spacing w:line="276" w:lineRule="auto"/>
            </w:pPr>
            <w:r>
              <w:rPr>
                <w:sz w:val="22"/>
              </w:rPr>
              <w:t>90  : 5  :   5</w:t>
            </w:r>
          </w:p>
        </w:tc>
        <w:tc>
          <w:tcPr>
            <w:tcW w:w="1527" w:type="dxa"/>
            <w:shd w:val="clear" w:color="auto" w:fill="FFFFFF"/>
          </w:tcPr>
          <w:p w14:paraId="08046FA0" w14:textId="77777777" w:rsidR="004879C6" w:rsidRDefault="00934F55">
            <w:pPr>
              <w:spacing w:line="276" w:lineRule="auto"/>
            </w:pPr>
            <w:r>
              <w:rPr>
                <w:sz w:val="22"/>
              </w:rPr>
              <w:t>85.04</w:t>
            </w:r>
            <w:r>
              <w:rPr>
                <w:sz w:val="22"/>
                <w:vertAlign w:val="superscript"/>
              </w:rPr>
              <w:t xml:space="preserve">e </w:t>
            </w:r>
            <w:r>
              <w:rPr>
                <w:sz w:val="22"/>
              </w:rPr>
              <w:t>± 0.06</w:t>
            </w:r>
          </w:p>
        </w:tc>
        <w:tc>
          <w:tcPr>
            <w:tcW w:w="1530" w:type="dxa"/>
            <w:shd w:val="clear" w:color="auto" w:fill="FFFFFF"/>
          </w:tcPr>
          <w:p w14:paraId="2D3B0D91" w14:textId="77777777" w:rsidR="004879C6" w:rsidRDefault="00934F55">
            <w:pPr>
              <w:spacing w:line="276" w:lineRule="auto"/>
            </w:pPr>
            <w:r>
              <w:rPr>
                <w:sz w:val="22"/>
              </w:rPr>
              <w:t>100.96</w:t>
            </w:r>
            <w:r>
              <w:rPr>
                <w:sz w:val="22"/>
                <w:vertAlign w:val="superscript"/>
              </w:rPr>
              <w:t xml:space="preserve">e </w:t>
            </w:r>
            <w:r>
              <w:rPr>
                <w:sz w:val="22"/>
              </w:rPr>
              <w:t>± 0.10</w:t>
            </w:r>
          </w:p>
        </w:tc>
        <w:tc>
          <w:tcPr>
            <w:tcW w:w="1620" w:type="dxa"/>
            <w:shd w:val="clear" w:color="auto" w:fill="FFFFFF"/>
          </w:tcPr>
          <w:p w14:paraId="4D842F3E" w14:textId="77777777" w:rsidR="004879C6" w:rsidRDefault="00934F55">
            <w:pPr>
              <w:spacing w:line="276" w:lineRule="auto"/>
            </w:pPr>
            <w:r>
              <w:rPr>
                <w:sz w:val="22"/>
              </w:rPr>
              <w:t>93.75</w:t>
            </w:r>
            <w:r>
              <w:rPr>
                <w:sz w:val="22"/>
                <w:vertAlign w:val="superscript"/>
              </w:rPr>
              <w:t xml:space="preserve">e </w:t>
            </w:r>
            <w:r>
              <w:rPr>
                <w:sz w:val="22"/>
              </w:rPr>
              <w:t>± 0.04</w:t>
            </w:r>
          </w:p>
        </w:tc>
        <w:tc>
          <w:tcPr>
            <w:tcW w:w="1440" w:type="dxa"/>
            <w:shd w:val="clear" w:color="auto" w:fill="FFFFFF"/>
          </w:tcPr>
          <w:p w14:paraId="631546DF" w14:textId="77777777" w:rsidR="004879C6" w:rsidRDefault="00934F55">
            <w:pPr>
              <w:spacing w:line="276" w:lineRule="auto"/>
            </w:pPr>
            <w:r>
              <w:rPr>
                <w:sz w:val="22"/>
              </w:rPr>
              <w:t>61.77</w:t>
            </w:r>
            <w:r>
              <w:rPr>
                <w:sz w:val="22"/>
                <w:vertAlign w:val="superscript"/>
              </w:rPr>
              <w:t xml:space="preserve">e </w:t>
            </w:r>
            <w:r>
              <w:rPr>
                <w:sz w:val="22"/>
              </w:rPr>
              <w:t>± 0.04</w:t>
            </w:r>
          </w:p>
        </w:tc>
        <w:tc>
          <w:tcPr>
            <w:tcW w:w="1350" w:type="dxa"/>
            <w:shd w:val="clear" w:color="auto" w:fill="FFFFFF"/>
          </w:tcPr>
          <w:p w14:paraId="424CC1B0" w14:textId="77777777" w:rsidR="004879C6" w:rsidRDefault="00934F55">
            <w:pPr>
              <w:spacing w:line="276" w:lineRule="auto"/>
            </w:pPr>
            <w:r>
              <w:rPr>
                <w:sz w:val="22"/>
              </w:rPr>
              <w:t>1.53</w:t>
            </w:r>
            <w:r>
              <w:rPr>
                <w:sz w:val="22"/>
                <w:vertAlign w:val="superscript"/>
              </w:rPr>
              <w:t xml:space="preserve">e </w:t>
            </w:r>
            <w:r>
              <w:rPr>
                <w:sz w:val="22"/>
              </w:rPr>
              <w:t>± 0.03</w:t>
            </w:r>
          </w:p>
        </w:tc>
        <w:tc>
          <w:tcPr>
            <w:tcW w:w="1371" w:type="dxa"/>
            <w:vMerge/>
            <w:shd w:val="clear" w:color="auto" w:fill="FFFFFF"/>
          </w:tcPr>
          <w:p w14:paraId="15AF4D43" w14:textId="77777777" w:rsidR="004879C6" w:rsidRDefault="004879C6">
            <w:pPr>
              <w:widowControl w:val="0"/>
              <w:pBdr>
                <w:top w:val="nil"/>
                <w:left w:val="nil"/>
                <w:bottom w:val="nil"/>
                <w:right w:val="nil"/>
                <w:between w:val="nil"/>
              </w:pBdr>
              <w:spacing w:line="276" w:lineRule="auto"/>
              <w:jc w:val="left"/>
            </w:pPr>
          </w:p>
        </w:tc>
      </w:tr>
      <w:tr w:rsidR="004879C6" w14:paraId="64099195" w14:textId="77777777">
        <w:trPr>
          <w:trHeight w:val="1"/>
        </w:trPr>
        <w:tc>
          <w:tcPr>
            <w:tcW w:w="900" w:type="dxa"/>
            <w:shd w:val="clear" w:color="auto" w:fill="FFFFFF"/>
          </w:tcPr>
          <w:p w14:paraId="3C1B1202" w14:textId="77777777" w:rsidR="004879C6" w:rsidRDefault="00934F55">
            <w:pPr>
              <w:spacing w:line="276" w:lineRule="auto"/>
            </w:pPr>
            <w:r>
              <w:rPr>
                <w:sz w:val="22"/>
              </w:rPr>
              <w:t xml:space="preserve">C </w:t>
            </w:r>
          </w:p>
        </w:tc>
        <w:tc>
          <w:tcPr>
            <w:tcW w:w="1530" w:type="dxa"/>
            <w:shd w:val="clear" w:color="auto" w:fill="FFFFFF"/>
          </w:tcPr>
          <w:p w14:paraId="758E9BBC" w14:textId="77777777" w:rsidR="004879C6" w:rsidRDefault="00934F55">
            <w:pPr>
              <w:spacing w:line="276" w:lineRule="auto"/>
            </w:pPr>
            <w:r>
              <w:rPr>
                <w:sz w:val="22"/>
              </w:rPr>
              <w:t>80 : 15 :  5</w:t>
            </w:r>
          </w:p>
        </w:tc>
        <w:tc>
          <w:tcPr>
            <w:tcW w:w="1527" w:type="dxa"/>
            <w:shd w:val="clear" w:color="auto" w:fill="FFFFFF"/>
          </w:tcPr>
          <w:p w14:paraId="7AF96BC3" w14:textId="77777777" w:rsidR="004879C6" w:rsidRDefault="00934F55">
            <w:pPr>
              <w:spacing w:line="276" w:lineRule="auto"/>
            </w:pPr>
            <w:r>
              <w:rPr>
                <w:sz w:val="22"/>
              </w:rPr>
              <w:t>93.27</w:t>
            </w:r>
            <w:r>
              <w:rPr>
                <w:sz w:val="22"/>
                <w:vertAlign w:val="superscript"/>
              </w:rPr>
              <w:t xml:space="preserve">d </w:t>
            </w:r>
            <w:r>
              <w:rPr>
                <w:sz w:val="22"/>
              </w:rPr>
              <w:t>±0.10</w:t>
            </w:r>
          </w:p>
        </w:tc>
        <w:tc>
          <w:tcPr>
            <w:tcW w:w="1530" w:type="dxa"/>
            <w:shd w:val="clear" w:color="auto" w:fill="FFFFFF"/>
          </w:tcPr>
          <w:p w14:paraId="4DA80A68" w14:textId="77777777" w:rsidR="004879C6" w:rsidRDefault="00934F55">
            <w:pPr>
              <w:spacing w:line="276" w:lineRule="auto"/>
            </w:pPr>
            <w:r>
              <w:rPr>
                <w:sz w:val="22"/>
              </w:rPr>
              <w:t>111.65</w:t>
            </w:r>
            <w:r>
              <w:rPr>
                <w:sz w:val="22"/>
                <w:vertAlign w:val="superscript"/>
              </w:rPr>
              <w:t xml:space="preserve">d </w:t>
            </w:r>
            <w:r>
              <w:rPr>
                <w:sz w:val="22"/>
              </w:rPr>
              <w:t>±0.12</w:t>
            </w:r>
          </w:p>
        </w:tc>
        <w:tc>
          <w:tcPr>
            <w:tcW w:w="1620" w:type="dxa"/>
            <w:shd w:val="clear" w:color="auto" w:fill="FFFFFF"/>
          </w:tcPr>
          <w:p w14:paraId="42A40748" w14:textId="77777777" w:rsidR="004879C6" w:rsidRDefault="00934F55">
            <w:pPr>
              <w:spacing w:line="276" w:lineRule="auto"/>
            </w:pPr>
            <w:r>
              <w:rPr>
                <w:sz w:val="22"/>
              </w:rPr>
              <w:t>111.24</w:t>
            </w:r>
            <w:r>
              <w:rPr>
                <w:sz w:val="22"/>
                <w:vertAlign w:val="superscript"/>
              </w:rPr>
              <w:t xml:space="preserve">d </w:t>
            </w:r>
            <w:r>
              <w:rPr>
                <w:sz w:val="22"/>
              </w:rPr>
              <w:t>±0.00</w:t>
            </w:r>
          </w:p>
        </w:tc>
        <w:tc>
          <w:tcPr>
            <w:tcW w:w="1440" w:type="dxa"/>
            <w:shd w:val="clear" w:color="auto" w:fill="FFFFFF"/>
          </w:tcPr>
          <w:p w14:paraId="29B82448" w14:textId="77777777" w:rsidR="004879C6" w:rsidRDefault="00934F55">
            <w:pPr>
              <w:spacing w:line="276" w:lineRule="auto"/>
            </w:pPr>
            <w:r>
              <w:rPr>
                <w:sz w:val="22"/>
              </w:rPr>
              <w:t>72.95</w:t>
            </w:r>
            <w:r>
              <w:rPr>
                <w:sz w:val="22"/>
                <w:vertAlign w:val="superscript"/>
              </w:rPr>
              <w:t xml:space="preserve">d </w:t>
            </w:r>
            <w:r>
              <w:rPr>
                <w:sz w:val="22"/>
              </w:rPr>
              <w:t>±0.00</w:t>
            </w:r>
          </w:p>
        </w:tc>
        <w:tc>
          <w:tcPr>
            <w:tcW w:w="1350" w:type="dxa"/>
            <w:shd w:val="clear" w:color="auto" w:fill="FFFFFF"/>
          </w:tcPr>
          <w:p w14:paraId="1854B0CE" w14:textId="77777777" w:rsidR="004879C6" w:rsidRDefault="00934F55">
            <w:pPr>
              <w:spacing w:line="276" w:lineRule="auto"/>
            </w:pPr>
            <w:r>
              <w:rPr>
                <w:sz w:val="22"/>
              </w:rPr>
              <w:t>1.58</w:t>
            </w:r>
            <w:r>
              <w:rPr>
                <w:sz w:val="22"/>
                <w:vertAlign w:val="superscript"/>
              </w:rPr>
              <w:t xml:space="preserve">d </w:t>
            </w:r>
            <w:r>
              <w:rPr>
                <w:sz w:val="22"/>
              </w:rPr>
              <w:t>±0.04</w:t>
            </w:r>
          </w:p>
        </w:tc>
        <w:tc>
          <w:tcPr>
            <w:tcW w:w="1371" w:type="dxa"/>
            <w:shd w:val="clear" w:color="auto" w:fill="FFFFFF"/>
          </w:tcPr>
          <w:p w14:paraId="040F8FBA" w14:textId="77777777" w:rsidR="004879C6" w:rsidRDefault="00934F55">
            <w:pPr>
              <w:spacing w:line="276" w:lineRule="auto"/>
            </w:pPr>
            <w:r>
              <w:rPr>
                <w:sz w:val="22"/>
              </w:rPr>
              <w:t>1.75</w:t>
            </w:r>
            <w:r>
              <w:rPr>
                <w:sz w:val="22"/>
                <w:vertAlign w:val="superscript"/>
              </w:rPr>
              <w:t xml:space="preserve">d </w:t>
            </w:r>
            <w:r>
              <w:rPr>
                <w:sz w:val="22"/>
              </w:rPr>
              <w:t>± 0.04</w:t>
            </w:r>
          </w:p>
        </w:tc>
      </w:tr>
      <w:tr w:rsidR="004879C6" w14:paraId="48E56F90" w14:textId="77777777">
        <w:trPr>
          <w:trHeight w:val="1"/>
        </w:trPr>
        <w:tc>
          <w:tcPr>
            <w:tcW w:w="900" w:type="dxa"/>
            <w:shd w:val="clear" w:color="auto" w:fill="FFFFFF"/>
          </w:tcPr>
          <w:p w14:paraId="5E22F81D" w14:textId="77777777" w:rsidR="004879C6" w:rsidRDefault="00934F55">
            <w:pPr>
              <w:spacing w:line="276" w:lineRule="auto"/>
            </w:pPr>
            <w:r>
              <w:rPr>
                <w:sz w:val="22"/>
              </w:rPr>
              <w:t>D</w:t>
            </w:r>
          </w:p>
        </w:tc>
        <w:tc>
          <w:tcPr>
            <w:tcW w:w="1530" w:type="dxa"/>
            <w:shd w:val="clear" w:color="auto" w:fill="FFFFFF"/>
          </w:tcPr>
          <w:p w14:paraId="7E955B74" w14:textId="77777777" w:rsidR="004879C6" w:rsidRDefault="00934F55">
            <w:pPr>
              <w:spacing w:line="276" w:lineRule="auto"/>
            </w:pPr>
            <w:r>
              <w:rPr>
                <w:sz w:val="22"/>
              </w:rPr>
              <w:t>70 : 20 :  10</w:t>
            </w:r>
          </w:p>
        </w:tc>
        <w:tc>
          <w:tcPr>
            <w:tcW w:w="1527" w:type="dxa"/>
            <w:shd w:val="clear" w:color="auto" w:fill="FFFFFF"/>
          </w:tcPr>
          <w:p w14:paraId="42E27910" w14:textId="77777777" w:rsidR="004879C6" w:rsidRDefault="00934F55">
            <w:pPr>
              <w:spacing w:line="276" w:lineRule="auto"/>
            </w:pPr>
            <w:r>
              <w:rPr>
                <w:sz w:val="22"/>
              </w:rPr>
              <w:t>104.97</w:t>
            </w:r>
            <w:r>
              <w:rPr>
                <w:sz w:val="22"/>
                <w:vertAlign w:val="superscript"/>
              </w:rPr>
              <w:t xml:space="preserve">c </w:t>
            </w:r>
            <w:r>
              <w:rPr>
                <w:sz w:val="22"/>
              </w:rPr>
              <w:t>±0.11</w:t>
            </w:r>
          </w:p>
        </w:tc>
        <w:tc>
          <w:tcPr>
            <w:tcW w:w="1530" w:type="dxa"/>
            <w:shd w:val="clear" w:color="auto" w:fill="FFFFFF"/>
          </w:tcPr>
          <w:p w14:paraId="054B2179" w14:textId="77777777" w:rsidR="004879C6" w:rsidRDefault="00934F55">
            <w:pPr>
              <w:spacing w:line="276" w:lineRule="auto"/>
            </w:pPr>
            <w:r>
              <w:rPr>
                <w:sz w:val="22"/>
              </w:rPr>
              <w:t>125.83</w:t>
            </w:r>
            <w:r>
              <w:rPr>
                <w:sz w:val="22"/>
                <w:vertAlign w:val="superscript"/>
              </w:rPr>
              <w:t xml:space="preserve">c </w:t>
            </w:r>
            <w:r>
              <w:rPr>
                <w:sz w:val="22"/>
              </w:rPr>
              <w:t>± 0.04</w:t>
            </w:r>
          </w:p>
        </w:tc>
        <w:tc>
          <w:tcPr>
            <w:tcW w:w="1620" w:type="dxa"/>
            <w:shd w:val="clear" w:color="auto" w:fill="FFFFFF"/>
          </w:tcPr>
          <w:p w14:paraId="2E4FDD73" w14:textId="77777777" w:rsidR="004879C6" w:rsidRDefault="00934F55">
            <w:pPr>
              <w:spacing w:line="276" w:lineRule="auto"/>
            </w:pPr>
            <w:r>
              <w:rPr>
                <w:sz w:val="22"/>
              </w:rPr>
              <w:t>124.38</w:t>
            </w:r>
            <w:r>
              <w:rPr>
                <w:sz w:val="22"/>
                <w:vertAlign w:val="superscript"/>
              </w:rPr>
              <w:t xml:space="preserve">c </w:t>
            </w:r>
            <w:r>
              <w:rPr>
                <w:sz w:val="22"/>
              </w:rPr>
              <w:t>±0.05</w:t>
            </w:r>
          </w:p>
        </w:tc>
        <w:tc>
          <w:tcPr>
            <w:tcW w:w="1440" w:type="dxa"/>
            <w:shd w:val="clear" w:color="auto" w:fill="FFFFFF"/>
          </w:tcPr>
          <w:p w14:paraId="48EF4AFC" w14:textId="77777777" w:rsidR="004879C6" w:rsidRDefault="00934F55">
            <w:pPr>
              <w:spacing w:line="276" w:lineRule="auto"/>
            </w:pPr>
            <w:r>
              <w:rPr>
                <w:sz w:val="22"/>
              </w:rPr>
              <w:t>83.65</w:t>
            </w:r>
            <w:r>
              <w:rPr>
                <w:sz w:val="22"/>
                <w:vertAlign w:val="superscript"/>
              </w:rPr>
              <w:t xml:space="preserve">c </w:t>
            </w:r>
            <w:r>
              <w:rPr>
                <w:sz w:val="22"/>
              </w:rPr>
              <w:t>±0.05</w:t>
            </w:r>
          </w:p>
        </w:tc>
        <w:tc>
          <w:tcPr>
            <w:tcW w:w="1350" w:type="dxa"/>
            <w:shd w:val="clear" w:color="auto" w:fill="FFFFFF"/>
          </w:tcPr>
          <w:p w14:paraId="1F1C86F5" w14:textId="77777777" w:rsidR="004879C6" w:rsidRDefault="00934F55">
            <w:pPr>
              <w:spacing w:line="276" w:lineRule="auto"/>
            </w:pPr>
            <w:r>
              <w:rPr>
                <w:sz w:val="22"/>
              </w:rPr>
              <w:t>1.67</w:t>
            </w:r>
            <w:r>
              <w:rPr>
                <w:sz w:val="22"/>
                <w:vertAlign w:val="superscript"/>
              </w:rPr>
              <w:t xml:space="preserve">c </w:t>
            </w:r>
            <w:r>
              <w:rPr>
                <w:sz w:val="22"/>
              </w:rPr>
              <w:t>±0.03</w:t>
            </w:r>
          </w:p>
        </w:tc>
        <w:tc>
          <w:tcPr>
            <w:tcW w:w="1371" w:type="dxa"/>
            <w:shd w:val="clear" w:color="auto" w:fill="FFFFFF"/>
          </w:tcPr>
          <w:p w14:paraId="24721D94" w14:textId="77777777" w:rsidR="004879C6" w:rsidRDefault="00934F55">
            <w:pPr>
              <w:spacing w:line="276" w:lineRule="auto"/>
            </w:pPr>
            <w:r>
              <w:rPr>
                <w:sz w:val="22"/>
              </w:rPr>
              <w:t>1.87</w:t>
            </w:r>
            <w:r>
              <w:rPr>
                <w:sz w:val="22"/>
                <w:vertAlign w:val="superscript"/>
              </w:rPr>
              <w:t xml:space="preserve">c </w:t>
            </w:r>
            <w:r>
              <w:rPr>
                <w:sz w:val="22"/>
              </w:rPr>
              <w:t>±0.02</w:t>
            </w:r>
          </w:p>
        </w:tc>
      </w:tr>
      <w:tr w:rsidR="004879C6" w14:paraId="7916D24E" w14:textId="77777777">
        <w:trPr>
          <w:trHeight w:val="1"/>
        </w:trPr>
        <w:tc>
          <w:tcPr>
            <w:tcW w:w="900" w:type="dxa"/>
            <w:shd w:val="clear" w:color="auto" w:fill="FFFFFF"/>
          </w:tcPr>
          <w:p w14:paraId="24F5B504" w14:textId="77777777" w:rsidR="004879C6" w:rsidRDefault="00934F55">
            <w:pPr>
              <w:spacing w:line="276" w:lineRule="auto"/>
            </w:pPr>
            <w:r>
              <w:rPr>
                <w:sz w:val="22"/>
              </w:rPr>
              <w:t xml:space="preserve">E </w:t>
            </w:r>
          </w:p>
        </w:tc>
        <w:tc>
          <w:tcPr>
            <w:tcW w:w="1530" w:type="dxa"/>
            <w:shd w:val="clear" w:color="auto" w:fill="FFFFFF"/>
          </w:tcPr>
          <w:p w14:paraId="012E1BCB" w14:textId="77777777" w:rsidR="004879C6" w:rsidRDefault="00934F55">
            <w:pPr>
              <w:spacing w:line="276" w:lineRule="auto"/>
            </w:pPr>
            <w:r>
              <w:rPr>
                <w:sz w:val="22"/>
              </w:rPr>
              <w:t>60 : 25 : 15</w:t>
            </w:r>
          </w:p>
        </w:tc>
        <w:tc>
          <w:tcPr>
            <w:tcW w:w="1527" w:type="dxa"/>
            <w:shd w:val="clear" w:color="auto" w:fill="FFFFFF"/>
          </w:tcPr>
          <w:p w14:paraId="60ECFD35" w14:textId="77777777" w:rsidR="004879C6" w:rsidRDefault="00934F55">
            <w:pPr>
              <w:spacing w:line="276" w:lineRule="auto"/>
            </w:pPr>
            <w:r>
              <w:rPr>
                <w:sz w:val="22"/>
              </w:rPr>
              <w:t>118.77</w:t>
            </w:r>
            <w:r>
              <w:rPr>
                <w:sz w:val="22"/>
                <w:vertAlign w:val="superscript"/>
              </w:rPr>
              <w:t xml:space="preserve">b </w:t>
            </w:r>
            <w:r>
              <w:rPr>
                <w:sz w:val="22"/>
              </w:rPr>
              <w:t>± 0.12</w:t>
            </w:r>
          </w:p>
        </w:tc>
        <w:tc>
          <w:tcPr>
            <w:tcW w:w="1530" w:type="dxa"/>
            <w:shd w:val="clear" w:color="auto" w:fill="FFFFFF"/>
          </w:tcPr>
          <w:p w14:paraId="7EBAB883" w14:textId="77777777" w:rsidR="004879C6" w:rsidRDefault="00934F55">
            <w:pPr>
              <w:spacing w:line="276" w:lineRule="auto"/>
            </w:pPr>
            <w:r>
              <w:rPr>
                <w:sz w:val="22"/>
              </w:rPr>
              <w:t>143.79</w:t>
            </w:r>
            <w:r>
              <w:rPr>
                <w:sz w:val="22"/>
                <w:vertAlign w:val="superscript"/>
              </w:rPr>
              <w:t xml:space="preserve">b </w:t>
            </w:r>
            <w:r>
              <w:rPr>
                <w:sz w:val="22"/>
              </w:rPr>
              <w:t>±0.05</w:t>
            </w:r>
          </w:p>
        </w:tc>
        <w:tc>
          <w:tcPr>
            <w:tcW w:w="1620" w:type="dxa"/>
            <w:shd w:val="clear" w:color="auto" w:fill="FFFFFF"/>
          </w:tcPr>
          <w:p w14:paraId="5C457239" w14:textId="77777777" w:rsidR="004879C6" w:rsidRDefault="00934F55">
            <w:pPr>
              <w:spacing w:line="276" w:lineRule="auto"/>
            </w:pPr>
            <w:r>
              <w:rPr>
                <w:sz w:val="22"/>
              </w:rPr>
              <w:t>137.87</w:t>
            </w:r>
            <w:r>
              <w:rPr>
                <w:sz w:val="22"/>
                <w:vertAlign w:val="superscript"/>
              </w:rPr>
              <w:t xml:space="preserve">b </w:t>
            </w:r>
            <w:r>
              <w:rPr>
                <w:sz w:val="22"/>
              </w:rPr>
              <w:t>±0.04</w:t>
            </w:r>
          </w:p>
        </w:tc>
        <w:tc>
          <w:tcPr>
            <w:tcW w:w="1440" w:type="dxa"/>
            <w:shd w:val="clear" w:color="auto" w:fill="FFFFFF"/>
          </w:tcPr>
          <w:p w14:paraId="6F3BDFA1" w14:textId="77777777" w:rsidR="004879C6" w:rsidRDefault="00934F55">
            <w:pPr>
              <w:spacing w:line="276" w:lineRule="auto"/>
            </w:pPr>
            <w:r>
              <w:rPr>
                <w:sz w:val="22"/>
              </w:rPr>
              <w:t>103.67</w:t>
            </w:r>
            <w:r>
              <w:rPr>
                <w:sz w:val="22"/>
                <w:vertAlign w:val="superscript"/>
              </w:rPr>
              <w:t xml:space="preserve">b </w:t>
            </w:r>
            <w:r>
              <w:rPr>
                <w:sz w:val="22"/>
              </w:rPr>
              <w:t>±0.04</w:t>
            </w:r>
          </w:p>
        </w:tc>
        <w:tc>
          <w:tcPr>
            <w:tcW w:w="1350" w:type="dxa"/>
            <w:shd w:val="clear" w:color="auto" w:fill="FFFFFF"/>
          </w:tcPr>
          <w:p w14:paraId="66FF050B" w14:textId="77777777" w:rsidR="004879C6" w:rsidRDefault="00934F55">
            <w:pPr>
              <w:spacing w:line="276" w:lineRule="auto"/>
            </w:pPr>
            <w:r>
              <w:rPr>
                <w:sz w:val="22"/>
              </w:rPr>
              <w:t>1.76</w:t>
            </w:r>
            <w:r>
              <w:rPr>
                <w:sz w:val="22"/>
                <w:vertAlign w:val="superscript"/>
              </w:rPr>
              <w:t xml:space="preserve">b </w:t>
            </w:r>
            <w:r>
              <w:rPr>
                <w:sz w:val="22"/>
              </w:rPr>
              <w:t>±0.11</w:t>
            </w:r>
          </w:p>
        </w:tc>
        <w:tc>
          <w:tcPr>
            <w:tcW w:w="1371" w:type="dxa"/>
            <w:shd w:val="clear" w:color="auto" w:fill="FFFFFF"/>
          </w:tcPr>
          <w:p w14:paraId="60716404" w14:textId="77777777" w:rsidR="004879C6" w:rsidRDefault="00934F55">
            <w:pPr>
              <w:spacing w:line="276" w:lineRule="auto"/>
            </w:pPr>
            <w:r>
              <w:rPr>
                <w:sz w:val="22"/>
              </w:rPr>
              <w:t>1.98</w:t>
            </w:r>
            <w:r>
              <w:rPr>
                <w:sz w:val="22"/>
                <w:vertAlign w:val="superscript"/>
              </w:rPr>
              <w:t xml:space="preserve">b </w:t>
            </w:r>
            <w:r>
              <w:rPr>
                <w:sz w:val="22"/>
              </w:rPr>
              <w:t>±0.04</w:t>
            </w:r>
          </w:p>
        </w:tc>
      </w:tr>
      <w:tr w:rsidR="004879C6" w14:paraId="70B25376" w14:textId="77777777">
        <w:trPr>
          <w:trHeight w:val="1"/>
        </w:trPr>
        <w:tc>
          <w:tcPr>
            <w:tcW w:w="900" w:type="dxa"/>
            <w:shd w:val="clear" w:color="auto" w:fill="FFFFFF"/>
          </w:tcPr>
          <w:p w14:paraId="7B8EE6E7" w14:textId="77777777" w:rsidR="004879C6" w:rsidRDefault="00934F55">
            <w:pPr>
              <w:spacing w:line="276" w:lineRule="auto"/>
            </w:pPr>
            <w:r>
              <w:rPr>
                <w:sz w:val="22"/>
              </w:rPr>
              <w:t xml:space="preserve">F </w:t>
            </w:r>
          </w:p>
        </w:tc>
        <w:tc>
          <w:tcPr>
            <w:tcW w:w="1530" w:type="dxa"/>
            <w:shd w:val="clear" w:color="auto" w:fill="FFFFFF"/>
          </w:tcPr>
          <w:p w14:paraId="343D33C4" w14:textId="77777777" w:rsidR="004879C6" w:rsidRDefault="00934F55">
            <w:pPr>
              <w:spacing w:line="276" w:lineRule="auto"/>
            </w:pPr>
            <w:r>
              <w:rPr>
                <w:sz w:val="22"/>
              </w:rPr>
              <w:t>50 : 30 : 20</w:t>
            </w:r>
          </w:p>
        </w:tc>
        <w:tc>
          <w:tcPr>
            <w:tcW w:w="1527" w:type="dxa"/>
            <w:shd w:val="clear" w:color="auto" w:fill="FFFFFF"/>
          </w:tcPr>
          <w:p w14:paraId="2AF7A5D2" w14:textId="77777777" w:rsidR="004879C6" w:rsidRDefault="00934F55">
            <w:pPr>
              <w:spacing w:line="276" w:lineRule="auto"/>
            </w:pPr>
            <w:r>
              <w:rPr>
                <w:sz w:val="22"/>
              </w:rPr>
              <w:t xml:space="preserve"> 3.44</w:t>
            </w:r>
            <w:r>
              <w:rPr>
                <w:sz w:val="22"/>
                <w:vertAlign w:val="superscript"/>
              </w:rPr>
              <w:t>a</w:t>
            </w:r>
            <w:r>
              <w:rPr>
                <w:sz w:val="22"/>
              </w:rPr>
              <w:t>± 0.16</w:t>
            </w:r>
          </w:p>
        </w:tc>
        <w:tc>
          <w:tcPr>
            <w:tcW w:w="1530" w:type="dxa"/>
            <w:shd w:val="clear" w:color="auto" w:fill="FFFFFF"/>
          </w:tcPr>
          <w:p w14:paraId="79A124EE" w14:textId="77777777" w:rsidR="004879C6" w:rsidRDefault="00934F55">
            <w:pPr>
              <w:spacing w:line="276" w:lineRule="auto"/>
            </w:pPr>
            <w:r>
              <w:rPr>
                <w:sz w:val="22"/>
              </w:rPr>
              <w:t>4.16</w:t>
            </w:r>
            <w:r>
              <w:rPr>
                <w:sz w:val="22"/>
                <w:vertAlign w:val="superscript"/>
              </w:rPr>
              <w:t xml:space="preserve">a </w:t>
            </w:r>
            <w:r>
              <w:rPr>
                <w:sz w:val="22"/>
              </w:rPr>
              <w:t>±0.03</w:t>
            </w:r>
          </w:p>
        </w:tc>
        <w:tc>
          <w:tcPr>
            <w:tcW w:w="1620" w:type="dxa"/>
            <w:shd w:val="clear" w:color="auto" w:fill="FFFFFF"/>
          </w:tcPr>
          <w:p w14:paraId="3612AEC8" w14:textId="77777777" w:rsidR="004879C6" w:rsidRDefault="00934F55">
            <w:pPr>
              <w:spacing w:line="276" w:lineRule="auto"/>
            </w:pPr>
            <w:r>
              <w:rPr>
                <w:sz w:val="22"/>
              </w:rPr>
              <w:t>3.96</w:t>
            </w:r>
            <w:r>
              <w:rPr>
                <w:sz w:val="22"/>
                <w:vertAlign w:val="superscript"/>
              </w:rPr>
              <w:t xml:space="preserve">a </w:t>
            </w:r>
            <w:r>
              <w:rPr>
                <w:sz w:val="22"/>
              </w:rPr>
              <w:t>±0.05</w:t>
            </w:r>
          </w:p>
        </w:tc>
        <w:tc>
          <w:tcPr>
            <w:tcW w:w="1440" w:type="dxa"/>
            <w:shd w:val="clear" w:color="auto" w:fill="FFFFFF"/>
          </w:tcPr>
          <w:p w14:paraId="05C7ECED" w14:textId="77777777" w:rsidR="004879C6" w:rsidRDefault="00934F55">
            <w:pPr>
              <w:spacing w:line="276" w:lineRule="auto"/>
            </w:pPr>
            <w:r>
              <w:rPr>
                <w:sz w:val="22"/>
              </w:rPr>
              <w:t>4.16</w:t>
            </w:r>
            <w:r>
              <w:rPr>
                <w:sz w:val="22"/>
                <w:vertAlign w:val="superscript"/>
              </w:rPr>
              <w:t xml:space="preserve">a </w:t>
            </w:r>
            <w:r>
              <w:rPr>
                <w:sz w:val="22"/>
              </w:rPr>
              <w:t>±0.07</w:t>
            </w:r>
          </w:p>
        </w:tc>
        <w:tc>
          <w:tcPr>
            <w:tcW w:w="1350" w:type="dxa"/>
            <w:shd w:val="clear" w:color="auto" w:fill="FFFFFF"/>
          </w:tcPr>
          <w:p w14:paraId="61D8F166" w14:textId="77777777" w:rsidR="004879C6" w:rsidRDefault="00934F55">
            <w:pPr>
              <w:spacing w:line="276" w:lineRule="auto"/>
            </w:pPr>
            <w:r>
              <w:rPr>
                <w:sz w:val="22"/>
              </w:rPr>
              <w:t>0.24</w:t>
            </w:r>
            <w:r>
              <w:rPr>
                <w:sz w:val="22"/>
                <w:vertAlign w:val="superscript"/>
              </w:rPr>
              <w:t xml:space="preserve">a </w:t>
            </w:r>
            <w:r>
              <w:rPr>
                <w:sz w:val="22"/>
              </w:rPr>
              <w:t>± 0.03</w:t>
            </w:r>
          </w:p>
        </w:tc>
        <w:tc>
          <w:tcPr>
            <w:tcW w:w="1371" w:type="dxa"/>
            <w:shd w:val="clear" w:color="auto" w:fill="FFFFFF"/>
          </w:tcPr>
          <w:p w14:paraId="5AB1C3D3" w14:textId="77777777" w:rsidR="004879C6" w:rsidRDefault="00934F55">
            <w:pPr>
              <w:spacing w:line="276" w:lineRule="auto"/>
            </w:pPr>
            <w:r>
              <w:rPr>
                <w:sz w:val="22"/>
              </w:rPr>
              <w:t>0.36</w:t>
            </w:r>
            <w:r>
              <w:rPr>
                <w:sz w:val="22"/>
                <w:vertAlign w:val="superscript"/>
              </w:rPr>
              <w:t xml:space="preserve">a </w:t>
            </w:r>
            <w:r>
              <w:rPr>
                <w:sz w:val="22"/>
              </w:rPr>
              <w:t>±0.07</w:t>
            </w:r>
          </w:p>
        </w:tc>
      </w:tr>
      <w:tr w:rsidR="004879C6" w14:paraId="697DCEB0" w14:textId="77777777">
        <w:trPr>
          <w:trHeight w:val="1"/>
        </w:trPr>
        <w:tc>
          <w:tcPr>
            <w:tcW w:w="900" w:type="dxa"/>
            <w:shd w:val="clear" w:color="auto" w:fill="FFFFFF"/>
          </w:tcPr>
          <w:p w14:paraId="0438BF98" w14:textId="77777777" w:rsidR="004879C6" w:rsidRDefault="00934F55">
            <w:pPr>
              <w:spacing w:line="276" w:lineRule="auto"/>
              <w:rPr>
                <w:sz w:val="22"/>
              </w:rPr>
            </w:pPr>
            <w:r>
              <w:rPr>
                <w:sz w:val="22"/>
              </w:rPr>
              <w:t>LSD</w:t>
            </w:r>
          </w:p>
        </w:tc>
        <w:tc>
          <w:tcPr>
            <w:tcW w:w="1530" w:type="dxa"/>
            <w:shd w:val="clear" w:color="auto" w:fill="FFFFFF"/>
          </w:tcPr>
          <w:p w14:paraId="101AE916" w14:textId="77777777" w:rsidR="004879C6" w:rsidRDefault="00934F55">
            <w:pPr>
              <w:spacing w:line="276" w:lineRule="auto"/>
              <w:rPr>
                <w:sz w:val="22"/>
              </w:rPr>
            </w:pPr>
            <w:r>
              <w:rPr>
                <w:sz w:val="22"/>
              </w:rPr>
              <w:t>(0.05)</w:t>
            </w:r>
          </w:p>
        </w:tc>
        <w:tc>
          <w:tcPr>
            <w:tcW w:w="1527" w:type="dxa"/>
            <w:shd w:val="clear" w:color="auto" w:fill="FFFFFF"/>
          </w:tcPr>
          <w:p w14:paraId="736CB3AD" w14:textId="77777777" w:rsidR="004879C6" w:rsidRDefault="00934F55">
            <w:pPr>
              <w:spacing w:line="276" w:lineRule="auto"/>
              <w:rPr>
                <w:sz w:val="22"/>
              </w:rPr>
            </w:pPr>
            <w:r>
              <w:rPr>
                <w:sz w:val="22"/>
              </w:rPr>
              <w:t>3.44</w:t>
            </w:r>
          </w:p>
        </w:tc>
        <w:tc>
          <w:tcPr>
            <w:tcW w:w="1530" w:type="dxa"/>
            <w:shd w:val="clear" w:color="auto" w:fill="FFFFFF"/>
          </w:tcPr>
          <w:p w14:paraId="2C35E704" w14:textId="77777777" w:rsidR="004879C6" w:rsidRDefault="00934F55">
            <w:pPr>
              <w:spacing w:line="276" w:lineRule="auto"/>
              <w:rPr>
                <w:sz w:val="22"/>
              </w:rPr>
            </w:pPr>
            <w:r>
              <w:rPr>
                <w:sz w:val="22"/>
              </w:rPr>
              <w:t>4.16</w:t>
            </w:r>
          </w:p>
        </w:tc>
        <w:tc>
          <w:tcPr>
            <w:tcW w:w="1620" w:type="dxa"/>
            <w:shd w:val="clear" w:color="auto" w:fill="FFFFFF"/>
          </w:tcPr>
          <w:p w14:paraId="2AEC3EF9" w14:textId="77777777" w:rsidR="004879C6" w:rsidRDefault="00934F55">
            <w:pPr>
              <w:spacing w:line="276" w:lineRule="auto"/>
              <w:rPr>
                <w:sz w:val="22"/>
              </w:rPr>
            </w:pPr>
            <w:r>
              <w:rPr>
                <w:sz w:val="22"/>
              </w:rPr>
              <w:t>3.96</w:t>
            </w:r>
          </w:p>
        </w:tc>
        <w:tc>
          <w:tcPr>
            <w:tcW w:w="1440" w:type="dxa"/>
            <w:shd w:val="clear" w:color="auto" w:fill="FFFFFF"/>
          </w:tcPr>
          <w:p w14:paraId="4438AAFA" w14:textId="77777777" w:rsidR="004879C6" w:rsidRDefault="00934F55">
            <w:pPr>
              <w:spacing w:line="276" w:lineRule="auto"/>
              <w:rPr>
                <w:sz w:val="22"/>
              </w:rPr>
            </w:pPr>
            <w:r>
              <w:rPr>
                <w:sz w:val="22"/>
              </w:rPr>
              <w:t>4.16</w:t>
            </w:r>
          </w:p>
        </w:tc>
        <w:tc>
          <w:tcPr>
            <w:tcW w:w="1350" w:type="dxa"/>
            <w:shd w:val="clear" w:color="auto" w:fill="FFFFFF"/>
          </w:tcPr>
          <w:p w14:paraId="4D040E76" w14:textId="77777777" w:rsidR="004879C6" w:rsidRDefault="00934F55">
            <w:pPr>
              <w:spacing w:line="276" w:lineRule="auto"/>
              <w:rPr>
                <w:sz w:val="22"/>
              </w:rPr>
            </w:pPr>
            <w:r>
              <w:rPr>
                <w:sz w:val="22"/>
              </w:rPr>
              <w:t>0.34</w:t>
            </w:r>
          </w:p>
        </w:tc>
        <w:tc>
          <w:tcPr>
            <w:tcW w:w="1371" w:type="dxa"/>
            <w:shd w:val="clear" w:color="auto" w:fill="FFFFFF"/>
          </w:tcPr>
          <w:p w14:paraId="2FABB64F" w14:textId="77777777" w:rsidR="004879C6" w:rsidRDefault="00934F55">
            <w:pPr>
              <w:spacing w:line="276" w:lineRule="auto"/>
              <w:rPr>
                <w:sz w:val="22"/>
              </w:rPr>
            </w:pPr>
            <w:r>
              <w:rPr>
                <w:sz w:val="22"/>
              </w:rPr>
              <w:t>0.36</w:t>
            </w:r>
          </w:p>
        </w:tc>
      </w:tr>
    </w:tbl>
    <w:p w14:paraId="1A6F158C" w14:textId="77777777" w:rsidR="004879C6" w:rsidRDefault="004879C6">
      <w:pPr>
        <w:tabs>
          <w:tab w:val="left" w:pos="2700"/>
        </w:tabs>
        <w:spacing w:line="276" w:lineRule="auto"/>
        <w:rPr>
          <w:sz w:val="20"/>
          <w:szCs w:val="20"/>
        </w:rPr>
      </w:pPr>
    </w:p>
    <w:p w14:paraId="329A6D02" w14:textId="77777777" w:rsidR="004879C6" w:rsidRDefault="004879C6">
      <w:pPr>
        <w:tabs>
          <w:tab w:val="left" w:pos="2700"/>
        </w:tabs>
        <w:spacing w:line="276" w:lineRule="auto"/>
        <w:rPr>
          <w:sz w:val="20"/>
          <w:szCs w:val="20"/>
        </w:rPr>
      </w:pPr>
    </w:p>
    <w:p w14:paraId="6954B4B3" w14:textId="77777777" w:rsidR="004879C6" w:rsidRDefault="004879C6">
      <w:pPr>
        <w:tabs>
          <w:tab w:val="left" w:pos="2700"/>
        </w:tabs>
        <w:spacing w:line="276" w:lineRule="auto"/>
        <w:rPr>
          <w:sz w:val="20"/>
          <w:szCs w:val="20"/>
        </w:rPr>
      </w:pPr>
    </w:p>
    <w:p w14:paraId="71A52219"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(p&lt;0.05).</w:t>
      </w:r>
    </w:p>
    <w:p w14:paraId="671A0893" w14:textId="77777777" w:rsidR="004879C6" w:rsidRDefault="00934F55">
      <w:pPr>
        <w:spacing w:line="276" w:lineRule="auto"/>
        <w:rPr>
          <w:sz w:val="20"/>
          <w:szCs w:val="20"/>
        </w:rPr>
      </w:pPr>
      <w:bookmarkStart w:id="21" w:name="_heading=h.48pi1tg" w:colFirst="0" w:colLast="0"/>
      <w:bookmarkEnd w:id="21"/>
      <w:r>
        <w:rPr>
          <w:sz w:val="20"/>
          <w:szCs w:val="20"/>
        </w:rPr>
        <w:t xml:space="preserve">A – Biscuits prepared from 100% wheat flour. B – </w:t>
      </w:r>
      <w:r>
        <w:rPr>
          <w:sz w:val="20"/>
          <w:szCs w:val="20"/>
        </w:rPr>
        <w:t>Biscuits prepared from 90% wheat, 5% Bambara groundnut and 5% African bush mango mesocarp flours.  C – Biscuits prepared from 80% wheat, 15% Bambara groundnut and 5% African bush mango mesocarp flours. D – Biscuit prepared from 70% wheat, 20% Bambara groun</w:t>
      </w:r>
      <w:r>
        <w:rPr>
          <w:sz w:val="20"/>
          <w:szCs w:val="20"/>
        </w:rPr>
        <w:t>dnut and 10% African bush mango mesocarp flours.  E – Biscuits prepared from 60% wheat, 25% Bambara groundnut and 15% African bush mango mesocarp flours. F – Biscuits prepared from 50% wheat, 30% Bambara groundnut and 20% African bush mango mesocarp flours</w:t>
      </w:r>
      <w:r>
        <w:rPr>
          <w:sz w:val="20"/>
          <w:szCs w:val="20"/>
        </w:rPr>
        <w:t>.</w:t>
      </w:r>
    </w:p>
    <w:p w14:paraId="6CC7D407" w14:textId="77777777" w:rsidR="004879C6" w:rsidRDefault="00934F55">
      <w:pPr>
        <w:spacing w:line="276" w:lineRule="auto"/>
        <w:rPr>
          <w:sz w:val="20"/>
          <w:szCs w:val="20"/>
        </w:rPr>
      </w:pPr>
      <w:r>
        <w:rPr>
          <w:sz w:val="20"/>
          <w:szCs w:val="20"/>
        </w:rPr>
        <w:t>WF- Wheat flour, BGF- Bambara groundnut flour, ABMF- African bush mango mesocarp flour.</w:t>
      </w:r>
    </w:p>
    <w:p w14:paraId="491E0E92" w14:textId="77777777" w:rsidR="004879C6" w:rsidRDefault="00934F55">
      <w:pPr>
        <w:spacing w:line="276" w:lineRule="auto"/>
        <w:rPr>
          <w:sz w:val="20"/>
          <w:szCs w:val="20"/>
        </w:rPr>
      </w:pPr>
      <w:r>
        <w:rPr>
          <w:sz w:val="20"/>
          <w:szCs w:val="20"/>
        </w:rPr>
        <w:br w:type="page"/>
      </w:r>
    </w:p>
    <w:p w14:paraId="2121E4F6" w14:textId="77777777" w:rsidR="004879C6" w:rsidRDefault="00934F55">
      <w:pPr>
        <w:spacing w:line="276" w:lineRule="auto"/>
        <w:rPr>
          <w:b/>
        </w:rPr>
      </w:pPr>
      <w:r>
        <w:rPr>
          <w:b/>
        </w:rPr>
        <w:lastRenderedPageBreak/>
        <w:t xml:space="preserve">Vitamin Composition of Biscuit Samples </w:t>
      </w:r>
    </w:p>
    <w:p w14:paraId="2C5976C1" w14:textId="77777777" w:rsidR="004879C6" w:rsidRDefault="00934F55">
      <w:pPr>
        <w:spacing w:line="276" w:lineRule="auto"/>
      </w:pPr>
      <w:r>
        <w:t xml:space="preserve">The vitamin composition of the biscuit samples are presented in Table 3. </w:t>
      </w:r>
    </w:p>
    <w:p w14:paraId="7F2D853A" w14:textId="77777777" w:rsidR="004879C6" w:rsidRDefault="00934F55">
      <w:pPr>
        <w:spacing w:line="276" w:lineRule="auto"/>
      </w:pPr>
      <w:r>
        <w:t>The niacin content of the biscuit samples ranged f</w:t>
      </w:r>
      <w:r>
        <w:t>rom 2.54 to 3.26mg/100g. The composite biscuits substituted with 30% Bambara groundnut and 20% bush mango mesocarp flours had the highest niacin content (3.26mg/100g), while the control sample (Biscuits made with 100% wheat flour) had the least value (2.54</w:t>
      </w:r>
      <w:r>
        <w:t xml:space="preserve">mg/100g). The increase in niacin content could be attributed to the addition of Bambara groundnut and bush mango mesocarp flours to the products which have been reported to rich sources of niacin (Begermann </w:t>
      </w:r>
      <w:r>
        <w:rPr>
          <w:i/>
        </w:rPr>
        <w:t xml:space="preserve">et al., </w:t>
      </w:r>
      <w:r>
        <w:t xml:space="preserve">2019; Vashney </w:t>
      </w:r>
      <w:r>
        <w:rPr>
          <w:i/>
        </w:rPr>
        <w:t xml:space="preserve">et al., </w:t>
      </w:r>
      <w:r>
        <w:t>2019). The result s</w:t>
      </w:r>
      <w:r>
        <w:t>howed that the niacin content of the composite biscuits increased with increased substitution of Bambara groundnut and bush mango mesocarp flours. The values (2.54-3.26mg/100g) obtained in this study were lower than the naicin content (2.86 -4.24mg/100g) r</w:t>
      </w:r>
      <w:r>
        <w:t xml:space="preserve">eported by Iwe and Egwuekwe (2010) for cookies supplemented with fluted pumpkin seed flour. </w:t>
      </w:r>
      <w:r>
        <w:rPr>
          <w:highlight w:val="white"/>
        </w:rPr>
        <w:t>Niacin plays a vital role in the conversion of carbohydrates into glucose and metabolism of fats and proteins in the body. Niacin also helps the body to produce sex</w:t>
      </w:r>
      <w:r>
        <w:rPr>
          <w:highlight w:val="white"/>
        </w:rPr>
        <w:t xml:space="preserve"> and stress-related hormones. It also helps to improve the circulation of blood and control of cholesterol level in the body (Ohizua </w:t>
      </w:r>
      <w:r>
        <w:rPr>
          <w:i/>
          <w:highlight w:val="white"/>
        </w:rPr>
        <w:t>et al.,</w:t>
      </w:r>
      <w:r>
        <w:rPr>
          <w:highlight w:val="white"/>
        </w:rPr>
        <w:t xml:space="preserve"> 2017; Ehimen e</w:t>
      </w:r>
      <w:r>
        <w:rPr>
          <w:i/>
          <w:highlight w:val="white"/>
        </w:rPr>
        <w:t>t al.,</w:t>
      </w:r>
      <w:r>
        <w:rPr>
          <w:highlight w:val="white"/>
        </w:rPr>
        <w:t xml:space="preserve"> 2017).</w:t>
      </w:r>
    </w:p>
    <w:p w14:paraId="105D0E57" w14:textId="77777777" w:rsidR="004879C6" w:rsidRDefault="004879C6">
      <w:pPr>
        <w:spacing w:line="276" w:lineRule="auto"/>
      </w:pPr>
    </w:p>
    <w:p w14:paraId="5CFBD447" w14:textId="77777777" w:rsidR="004879C6" w:rsidRDefault="00934F55">
      <w:pPr>
        <w:spacing w:line="276" w:lineRule="auto"/>
      </w:pPr>
      <w:r>
        <w:t>The thiamine content of the biscuit samples which ranged from 2.57 to 3.47mg/100g incr</w:t>
      </w:r>
      <w:r>
        <w:t xml:space="preserve">eased significantly (p&lt;0.05) with increased substitution of Bambara groundnut and bush mango mesocarp flours. The result clearly showed that Bambara groundnut and bush mango mesocarp are rich sources of thiamine (Ojukwu </w:t>
      </w:r>
      <w:r>
        <w:rPr>
          <w:i/>
        </w:rPr>
        <w:t>et al.,</w:t>
      </w:r>
      <w:r>
        <w:t xml:space="preserve"> 2012; Adebiyi </w:t>
      </w:r>
      <w:r>
        <w:rPr>
          <w:i/>
        </w:rPr>
        <w:t>et al.,</w:t>
      </w:r>
      <w:r>
        <w:t xml:space="preserve"> 2019).</w:t>
      </w:r>
      <w:r>
        <w:t xml:space="preserve"> Thiamine functions as a coenzyme in energy metabolism. It also helps in the functioning of peripheral nerves and the treatment of beriberi (Potter and Hotchkiss, 2006).</w:t>
      </w:r>
      <w:r>
        <w:rPr>
          <w:highlight w:val="white"/>
        </w:rPr>
        <w:t xml:space="preserve"> Thiamine also plays a significant role in muscle contraction and conduction of nerve s</w:t>
      </w:r>
      <w:r>
        <w:rPr>
          <w:highlight w:val="white"/>
        </w:rPr>
        <w:t>ignals</w:t>
      </w:r>
      <w:r>
        <w:t xml:space="preserve"> (Otitoju </w:t>
      </w:r>
      <w:r>
        <w:rPr>
          <w:i/>
        </w:rPr>
        <w:t>et al</w:t>
      </w:r>
      <w:r>
        <w:t xml:space="preserve">., 2014; Okoye </w:t>
      </w:r>
      <w:r>
        <w:rPr>
          <w:i/>
        </w:rPr>
        <w:t xml:space="preserve">et al., </w:t>
      </w:r>
      <w:r>
        <w:t>2015).</w:t>
      </w:r>
    </w:p>
    <w:p w14:paraId="440B9C3B" w14:textId="77777777" w:rsidR="004879C6" w:rsidRDefault="00934F55">
      <w:pPr>
        <w:spacing w:line="276" w:lineRule="auto"/>
      </w:pPr>
      <w:r>
        <w:t xml:space="preserve"> </w:t>
      </w:r>
    </w:p>
    <w:p w14:paraId="0C75679E" w14:textId="77777777" w:rsidR="004879C6" w:rsidRDefault="00934F55">
      <w:pPr>
        <w:spacing w:line="276" w:lineRule="auto"/>
      </w:pPr>
      <w:r>
        <w:t>The riboflavin content of the biscuit samples ranged from 2.61 to 3.26mg/100g. The composite biscuits substituted with 30% Bambara groundnut and 20% bush mango mesocarp flours had the highest value (3.26mg/100g), while the control sample (Biscuits made wit</w:t>
      </w:r>
      <w:r>
        <w:t>h 100% wheat flour) had the least riboflavin content (2.61mg/100g). The riboflavin content of the biscuit samples increased significantly (p&lt;0.05) with increased substitution of Bambara groundnut and bush mango mesocarp flours. The increase in the riboflav</w:t>
      </w:r>
      <w:r>
        <w:t xml:space="preserve">in content could be due to substitution effect which is an indication that Bambara groundnut and bush mango mesocarp flours are good sources of riboflavin (Onimawo </w:t>
      </w:r>
      <w:r>
        <w:rPr>
          <w:i/>
        </w:rPr>
        <w:t>et al.,</w:t>
      </w:r>
      <w:r>
        <w:t xml:space="preserve"> 2013; Unigwe </w:t>
      </w:r>
      <w:r>
        <w:rPr>
          <w:i/>
        </w:rPr>
        <w:t>et al.,</w:t>
      </w:r>
      <w:r>
        <w:t xml:space="preserve"> 2018). Riboflavin is essential in the production of energy need</w:t>
      </w:r>
      <w:r>
        <w:t>ed for the catabolism of fatty acids and maintenance of the citric acid cycle in the body. It also helps to prevent abnormal gait in the human body (Elochukwu and Onyekwelu, 2015).</w:t>
      </w:r>
    </w:p>
    <w:p w14:paraId="0F14C642" w14:textId="77777777" w:rsidR="004879C6" w:rsidRDefault="004879C6">
      <w:pPr>
        <w:spacing w:line="276" w:lineRule="auto"/>
      </w:pPr>
    </w:p>
    <w:p w14:paraId="2B068BBF" w14:textId="77777777" w:rsidR="004879C6" w:rsidRDefault="00934F55">
      <w:pPr>
        <w:spacing w:line="276" w:lineRule="auto"/>
      </w:pPr>
      <w:r>
        <w:t>The vitamin A content of the biscuit samples ranged from 3.23 to 4.36mg/10</w:t>
      </w:r>
      <w:r>
        <w:t>0g with the control sample (Biscuit made with 100% wheat flour) and the composite biscuits substituted with 30% Bambara groundnut and 20% bush mango mesocarp flours having the least (3.23mg/100g) and highest (4.36mg/100g) values, respectively. The values (</w:t>
      </w:r>
      <w:r>
        <w:t xml:space="preserve">3.23-4.36mg/100g) obtained in this study were higher than the vitamin A content (0.89-1.45mgmg/100g) reported by Nasr </w:t>
      </w:r>
      <w:r>
        <w:rPr>
          <w:i/>
        </w:rPr>
        <w:t>et al</w:t>
      </w:r>
      <w:r>
        <w:t>. (2004) for biscuits made from wheat and free fat watermelon seed kernel composite flours. Vitamin A helps in the maintenance of nor</w:t>
      </w:r>
      <w:r>
        <w:t xml:space="preserve">mal vision of the eyes (Okaka </w:t>
      </w:r>
      <w:r>
        <w:rPr>
          <w:i/>
        </w:rPr>
        <w:t>et al</w:t>
      </w:r>
      <w:r>
        <w:t xml:space="preserve">., 2006). A </w:t>
      </w:r>
      <w:r>
        <w:lastRenderedPageBreak/>
        <w:t xml:space="preserve">deficiency of vitamin A leads to blindness and improper development of bones and tooth in the young children (Potter and Hotchkiss, 2006; Varshney </w:t>
      </w:r>
      <w:r>
        <w:rPr>
          <w:i/>
        </w:rPr>
        <w:t xml:space="preserve">et al., </w:t>
      </w:r>
      <w:r>
        <w:t xml:space="preserve">2019). </w:t>
      </w:r>
    </w:p>
    <w:p w14:paraId="352BF9F3" w14:textId="77777777" w:rsidR="004879C6" w:rsidRDefault="004879C6">
      <w:pPr>
        <w:spacing w:line="276" w:lineRule="auto"/>
      </w:pPr>
    </w:p>
    <w:p w14:paraId="7320B7C4" w14:textId="77777777" w:rsidR="004879C6" w:rsidRDefault="00934F55">
      <w:pPr>
        <w:spacing w:line="276" w:lineRule="auto"/>
      </w:pPr>
      <w:r>
        <w:t>The ascorbic acid content of the biscuit samp</w:t>
      </w:r>
      <w:r>
        <w:t>les ranged from 1.43 to 1.91mg/100g. The composite biscuits substituted with 30% Bambara groundnut and 20% bush mango mesocarp flours had the highest ascorbic acid content (1.91mg/100g), while the control sample (Biscuits made with 100% wheat flour) had th</w:t>
      </w:r>
      <w:r>
        <w:t>e least value (1.43mg/100g). The result showed that the ascorbic acid content of the composite biscuit samples increased significantly (p&lt;0.05) with increased substitution of Bambara groundnut and bush mango mesocarp flours. The values (1.43-1.91mg/100g) o</w:t>
      </w:r>
      <w:r>
        <w:t xml:space="preserve">btained in this study were lower than the ascorbic acid content (4.23-6.87mg/100g) reported by Ajibola </w:t>
      </w:r>
      <w:r>
        <w:rPr>
          <w:i/>
        </w:rPr>
        <w:t>et al.</w:t>
      </w:r>
      <w:r>
        <w:t xml:space="preserve"> (2015) for whole wheat biscuits incorporated with </w:t>
      </w:r>
      <w:r>
        <w:rPr>
          <w:i/>
        </w:rPr>
        <w:t>Moringa oleifera</w:t>
      </w:r>
      <w:r>
        <w:t xml:space="preserve"> leaves and cocoa powder. Ascorbic acid plays an important role in the preventio</w:t>
      </w:r>
      <w:r>
        <w:t xml:space="preserve">n of scurvy. It also promotes wound healing, healthy immune system and prevents the development of cardiovascular diseases in the body (Okaka </w:t>
      </w:r>
      <w:r>
        <w:rPr>
          <w:i/>
        </w:rPr>
        <w:t>et al</w:t>
      </w:r>
      <w:r>
        <w:t>., 2006). Ascorbic acid is easily destroyed by oxidation, especially at high temperatures and it is generally</w:t>
      </w:r>
      <w:r>
        <w:t xml:space="preserve"> known and regarded as the most heat labile vitamin during food processing operations (Valente </w:t>
      </w:r>
      <w:r>
        <w:rPr>
          <w:i/>
        </w:rPr>
        <w:t>et al</w:t>
      </w:r>
      <w:r>
        <w:t xml:space="preserve">., 2014; Sharrif </w:t>
      </w:r>
      <w:r>
        <w:rPr>
          <w:i/>
        </w:rPr>
        <w:t>et al.,</w:t>
      </w:r>
      <w:r>
        <w:t xml:space="preserve"> 2017).</w:t>
      </w:r>
    </w:p>
    <w:p w14:paraId="4936C7E6" w14:textId="77777777" w:rsidR="004879C6" w:rsidRDefault="004879C6">
      <w:pPr>
        <w:spacing w:line="276" w:lineRule="auto"/>
      </w:pPr>
    </w:p>
    <w:p w14:paraId="559F9965" w14:textId="77777777" w:rsidR="004879C6" w:rsidRDefault="00934F55">
      <w:pPr>
        <w:spacing w:line="276" w:lineRule="auto"/>
      </w:pPr>
      <w:r>
        <w:rPr>
          <w:noProof/>
        </w:rPr>
        <mc:AlternateContent>
          <mc:Choice Requires="wps">
            <w:drawing>
              <wp:anchor distT="0" distB="0" distL="0" distR="0" simplePos="0" relativeHeight="2" behindDoc="0" locked="0" layoutInCell="1" allowOverlap="1" wp14:anchorId="1D91CA53" wp14:editId="7D0B857A">
                <wp:simplePos x="0" y="0"/>
                <wp:positionH relativeFrom="column">
                  <wp:posOffset>5729605</wp:posOffset>
                </wp:positionH>
                <wp:positionV relativeFrom="paragraph">
                  <wp:posOffset>762635</wp:posOffset>
                </wp:positionV>
                <wp:extent cx="409575" cy="266700"/>
                <wp:effectExtent l="0" t="0" r="9525" b="0"/>
                <wp:wrapNone/>
                <wp:docPr id="10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6700"/>
                        </a:xfrm>
                        <a:prstGeom prst="rect">
                          <a:avLst/>
                        </a:prstGeom>
                        <a:solidFill>
                          <a:srgbClr val="FFFFFF"/>
                        </a:solidFill>
                        <a:ln>
                          <a:noFill/>
                        </a:ln>
                      </wps:spPr>
                      <wps:txbx>
                        <w:txbxContent>
                          <w:p w14:paraId="577943E3" w14:textId="77777777" w:rsidR="004879C6" w:rsidRDefault="004879C6"/>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CA53" id="Text Box 29" o:spid="_x0000_s1026" style="position:absolute;left:0;text-align:left;margin-left:451.15pt;margin-top:60.05pt;width:32.25pt;height: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" stroked="f">
                <v:textbox>
                  <w:txbxContent>
                    <w:p w14:paraId="577943E3" w14:textId="77777777" w:rsidR="004879C6" w:rsidRDefault="004879C6"/>
                  </w:txbxContent>
                </v:textbox>
              </v:rect>
            </w:pict>
          </mc:Fallback>
        </mc:AlternateContent>
      </w:r>
      <w:r>
        <w:t xml:space="preserve">The folic acid content of the biscuit samples ranged from 1.12 to 1.71mg/100g. The composite biscuits substituted with </w:t>
      </w:r>
      <w:r>
        <w:t>30% Bambara groundnut and 20% bush mango mesocarp flours had the highest folic acid content (1.71mg/100g), while the control sample (Biscuits made with 100% wheat flour) had the least value (1.12mg/100g). The result showed that the folic acid content of th</w:t>
      </w:r>
      <w:r>
        <w:t>e composite biscuit samples increased with increased substitution of Bambara groundnut and bush mango mesocarp flours. The folic acid content (1.12-1.71mg/100g) obtained in this study was lower than the values (1.17-2.80mg/100g) reported by Abiodun and Ehi</w:t>
      </w:r>
      <w:r>
        <w:t>men (2017) for biscuits prepared from blends of unripe cooking banana, Bambara groundnut and sweet potato flour. Folic acid plays a significant role as a coenzyme in the body. It is also very active in the transfer of methyl groups in the synthesis of nucl</w:t>
      </w:r>
      <w:r>
        <w:t xml:space="preserve">eic acids. The deficiency of folic acid results in anemic condition in the human body (Okaka </w:t>
      </w:r>
      <w:r>
        <w:rPr>
          <w:i/>
        </w:rPr>
        <w:t>et al.,</w:t>
      </w:r>
      <w:r>
        <w:t xml:space="preserve"> 2006; Sharrif </w:t>
      </w:r>
      <w:r>
        <w:rPr>
          <w:i/>
        </w:rPr>
        <w:t xml:space="preserve">et al., </w:t>
      </w:r>
      <w:r>
        <w:t>2017).  The substitution of wheat flour with Bambara groundnut and bush mango mesocarp flours in the preparation of biscuits generall</w:t>
      </w:r>
      <w:r>
        <w:t>y increased the vitamin contents of the products.</w:t>
      </w:r>
    </w:p>
    <w:p w14:paraId="66CCA589" w14:textId="77777777" w:rsidR="004879C6" w:rsidRDefault="004879C6">
      <w:pPr>
        <w:spacing w:line="276" w:lineRule="auto"/>
        <w:rPr>
          <w:b/>
        </w:rPr>
        <w:sectPr w:rsidR="004879C6">
          <w:pgSz w:w="11906" w:h="16838" w:code="9"/>
          <w:pgMar w:top="900" w:right="1440" w:bottom="1440" w:left="1440" w:header="720" w:footer="720" w:gutter="0"/>
          <w:pgNumType w:start="12"/>
          <w:cols w:space="720"/>
          <w:docGrid w:linePitch="326"/>
        </w:sectPr>
      </w:pPr>
    </w:p>
    <w:p w14:paraId="53F75D8C" w14:textId="77777777" w:rsidR="004879C6" w:rsidRDefault="00934F55">
      <w:pPr>
        <w:spacing w:line="276" w:lineRule="auto"/>
        <w:rPr>
          <w:b/>
        </w:rPr>
      </w:pPr>
      <w:r>
        <w:rPr>
          <w:b/>
        </w:rPr>
        <w:lastRenderedPageBreak/>
        <w:t xml:space="preserve">Table 3: Vitamin composition (mg/100g) of biscuit samples </w:t>
      </w:r>
    </w:p>
    <w:tbl>
      <w:tblPr>
        <w:tblW w:w="11250" w:type="dxa"/>
        <w:tblInd w:w="-720" w:type="dxa"/>
        <w:tblBorders>
          <w:top w:val="single" w:sz="4" w:space="0" w:color="auto"/>
          <w:bottom w:val="single" w:sz="4" w:space="0" w:color="auto"/>
        </w:tblBorders>
        <w:tblLayout w:type="fixed"/>
        <w:tblLook w:val="0000" w:firstRow="0" w:lastRow="0" w:firstColumn="0" w:lastColumn="0" w:noHBand="0" w:noVBand="0"/>
      </w:tblPr>
      <w:tblGrid>
        <w:gridCol w:w="1350"/>
        <w:gridCol w:w="1710"/>
        <w:gridCol w:w="1350"/>
        <w:gridCol w:w="1350"/>
        <w:gridCol w:w="1440"/>
        <w:gridCol w:w="1350"/>
        <w:gridCol w:w="1350"/>
        <w:gridCol w:w="1350"/>
      </w:tblGrid>
      <w:tr w:rsidR="004879C6" w14:paraId="3AF6C702" w14:textId="77777777">
        <w:trPr>
          <w:trHeight w:val="502"/>
        </w:trPr>
        <w:tc>
          <w:tcPr>
            <w:tcW w:w="1350" w:type="dxa"/>
            <w:tcBorders>
              <w:top w:val="single" w:sz="4" w:space="0" w:color="auto"/>
              <w:bottom w:val="single" w:sz="4" w:space="0" w:color="auto"/>
            </w:tcBorders>
            <w:shd w:val="clear" w:color="auto" w:fill="FFFFFF"/>
          </w:tcPr>
          <w:p w14:paraId="53CCA976" w14:textId="77777777" w:rsidR="004879C6" w:rsidRDefault="00934F55">
            <w:pPr>
              <w:spacing w:line="276" w:lineRule="auto"/>
              <w:rPr>
                <w:b/>
              </w:rPr>
            </w:pPr>
            <w:r>
              <w:rPr>
                <w:b/>
                <w:sz w:val="22"/>
              </w:rPr>
              <w:t>Samples</w:t>
            </w:r>
          </w:p>
        </w:tc>
        <w:tc>
          <w:tcPr>
            <w:tcW w:w="1710" w:type="dxa"/>
            <w:tcBorders>
              <w:top w:val="single" w:sz="4" w:space="0" w:color="auto"/>
              <w:bottom w:val="single" w:sz="4" w:space="0" w:color="auto"/>
            </w:tcBorders>
            <w:shd w:val="clear" w:color="auto" w:fill="FFFFFF"/>
          </w:tcPr>
          <w:p w14:paraId="6D8DF964" w14:textId="77777777" w:rsidR="004879C6" w:rsidRDefault="00934F55">
            <w:pPr>
              <w:spacing w:line="276" w:lineRule="auto"/>
              <w:rPr>
                <w:b/>
                <w:szCs w:val="20"/>
              </w:rPr>
            </w:pPr>
            <w:r>
              <w:rPr>
                <w:b/>
                <w:sz w:val="22"/>
                <w:szCs w:val="20"/>
              </w:rPr>
              <w:t xml:space="preserve">%Substitution </w:t>
            </w:r>
          </w:p>
          <w:p w14:paraId="7AA5763F" w14:textId="77777777" w:rsidR="004879C6" w:rsidRDefault="00934F55">
            <w:pPr>
              <w:spacing w:line="276" w:lineRule="auto"/>
              <w:rPr>
                <w:b/>
                <w:szCs w:val="20"/>
              </w:rPr>
            </w:pPr>
            <w:r>
              <w:rPr>
                <w:b/>
                <w:sz w:val="22"/>
                <w:szCs w:val="20"/>
              </w:rPr>
              <w:t>WF:BBF:BMF</w:t>
            </w:r>
          </w:p>
        </w:tc>
        <w:tc>
          <w:tcPr>
            <w:tcW w:w="1350" w:type="dxa"/>
            <w:tcBorders>
              <w:top w:val="single" w:sz="4" w:space="0" w:color="auto"/>
              <w:bottom w:val="single" w:sz="4" w:space="0" w:color="auto"/>
            </w:tcBorders>
            <w:shd w:val="clear" w:color="auto" w:fill="FFFFFF"/>
          </w:tcPr>
          <w:p w14:paraId="38B65815" w14:textId="77777777" w:rsidR="004879C6" w:rsidRDefault="00934F55">
            <w:pPr>
              <w:spacing w:line="276" w:lineRule="auto"/>
              <w:rPr>
                <w:b/>
              </w:rPr>
            </w:pPr>
            <w:r>
              <w:rPr>
                <w:b/>
                <w:sz w:val="22"/>
              </w:rPr>
              <w:t>Niacin</w:t>
            </w:r>
          </w:p>
        </w:tc>
        <w:tc>
          <w:tcPr>
            <w:tcW w:w="1350" w:type="dxa"/>
            <w:tcBorders>
              <w:top w:val="single" w:sz="4" w:space="0" w:color="auto"/>
              <w:bottom w:val="single" w:sz="4" w:space="0" w:color="auto"/>
            </w:tcBorders>
            <w:shd w:val="clear" w:color="auto" w:fill="FFFFFF"/>
          </w:tcPr>
          <w:p w14:paraId="465DE795" w14:textId="77777777" w:rsidR="004879C6" w:rsidRDefault="00934F55">
            <w:pPr>
              <w:spacing w:line="276" w:lineRule="auto"/>
              <w:rPr>
                <w:b/>
              </w:rPr>
            </w:pPr>
            <w:r>
              <w:rPr>
                <w:b/>
                <w:sz w:val="22"/>
              </w:rPr>
              <w:t>Thiamine</w:t>
            </w:r>
          </w:p>
        </w:tc>
        <w:tc>
          <w:tcPr>
            <w:tcW w:w="1440" w:type="dxa"/>
            <w:tcBorders>
              <w:top w:val="single" w:sz="4" w:space="0" w:color="auto"/>
              <w:bottom w:val="single" w:sz="4" w:space="0" w:color="auto"/>
            </w:tcBorders>
            <w:shd w:val="clear" w:color="auto" w:fill="FFFFFF"/>
          </w:tcPr>
          <w:p w14:paraId="1B8A23AF" w14:textId="77777777" w:rsidR="004879C6" w:rsidRDefault="00934F55">
            <w:pPr>
              <w:spacing w:line="276" w:lineRule="auto"/>
              <w:rPr>
                <w:b/>
              </w:rPr>
            </w:pPr>
            <w:r>
              <w:rPr>
                <w:b/>
                <w:sz w:val="22"/>
              </w:rPr>
              <w:t>Riboflavin</w:t>
            </w:r>
          </w:p>
        </w:tc>
        <w:tc>
          <w:tcPr>
            <w:tcW w:w="1350" w:type="dxa"/>
            <w:tcBorders>
              <w:top w:val="single" w:sz="4" w:space="0" w:color="auto"/>
              <w:bottom w:val="single" w:sz="4" w:space="0" w:color="auto"/>
            </w:tcBorders>
            <w:shd w:val="clear" w:color="auto" w:fill="FFFFFF"/>
          </w:tcPr>
          <w:p w14:paraId="1D87C146" w14:textId="77777777" w:rsidR="004879C6" w:rsidRDefault="00934F55">
            <w:pPr>
              <w:spacing w:line="276" w:lineRule="auto"/>
              <w:rPr>
                <w:b/>
              </w:rPr>
            </w:pPr>
            <w:r>
              <w:rPr>
                <w:b/>
                <w:sz w:val="22"/>
              </w:rPr>
              <w:t>Vitamin A</w:t>
            </w:r>
          </w:p>
        </w:tc>
        <w:tc>
          <w:tcPr>
            <w:tcW w:w="1350" w:type="dxa"/>
            <w:tcBorders>
              <w:top w:val="single" w:sz="4" w:space="0" w:color="auto"/>
              <w:bottom w:val="single" w:sz="4" w:space="0" w:color="auto"/>
            </w:tcBorders>
            <w:shd w:val="clear" w:color="auto" w:fill="FFFFFF"/>
          </w:tcPr>
          <w:p w14:paraId="7C0E65F4" w14:textId="77777777" w:rsidR="004879C6" w:rsidRDefault="00934F55">
            <w:pPr>
              <w:spacing w:line="276" w:lineRule="auto"/>
              <w:rPr>
                <w:b/>
              </w:rPr>
            </w:pPr>
            <w:r>
              <w:rPr>
                <w:b/>
                <w:sz w:val="22"/>
              </w:rPr>
              <w:t>Ascorbic acid</w:t>
            </w:r>
          </w:p>
        </w:tc>
        <w:tc>
          <w:tcPr>
            <w:tcW w:w="1350" w:type="dxa"/>
            <w:tcBorders>
              <w:top w:val="single" w:sz="4" w:space="0" w:color="auto"/>
              <w:bottom w:val="single" w:sz="4" w:space="0" w:color="auto"/>
            </w:tcBorders>
            <w:shd w:val="clear" w:color="auto" w:fill="FFFFFF"/>
          </w:tcPr>
          <w:p w14:paraId="4F6A4570" w14:textId="77777777" w:rsidR="004879C6" w:rsidRDefault="00934F55">
            <w:pPr>
              <w:spacing w:line="276" w:lineRule="auto"/>
              <w:rPr>
                <w:b/>
              </w:rPr>
            </w:pPr>
            <w:r>
              <w:rPr>
                <w:b/>
                <w:sz w:val="22"/>
              </w:rPr>
              <w:t>Folic acid</w:t>
            </w:r>
          </w:p>
        </w:tc>
      </w:tr>
      <w:tr w:rsidR="004879C6" w14:paraId="37BB3B18" w14:textId="77777777">
        <w:trPr>
          <w:trHeight w:val="1"/>
        </w:trPr>
        <w:tc>
          <w:tcPr>
            <w:tcW w:w="1350" w:type="dxa"/>
            <w:tcBorders>
              <w:top w:val="single" w:sz="4" w:space="0" w:color="auto"/>
            </w:tcBorders>
            <w:shd w:val="clear" w:color="auto" w:fill="FFFFFF"/>
          </w:tcPr>
          <w:p w14:paraId="283D7218" w14:textId="77777777" w:rsidR="004879C6" w:rsidRDefault="00934F55">
            <w:pPr>
              <w:spacing w:line="276" w:lineRule="auto"/>
            </w:pPr>
            <w:r>
              <w:rPr>
                <w:sz w:val="22"/>
              </w:rPr>
              <w:t>A</w:t>
            </w:r>
          </w:p>
        </w:tc>
        <w:tc>
          <w:tcPr>
            <w:tcW w:w="1710" w:type="dxa"/>
            <w:tcBorders>
              <w:top w:val="single" w:sz="4" w:space="0" w:color="auto"/>
            </w:tcBorders>
            <w:shd w:val="clear" w:color="auto" w:fill="FFFFFF"/>
          </w:tcPr>
          <w:p w14:paraId="584EB871" w14:textId="77777777" w:rsidR="004879C6" w:rsidRDefault="00934F55">
            <w:pPr>
              <w:spacing w:line="276" w:lineRule="auto"/>
            </w:pPr>
            <w:r>
              <w:rPr>
                <w:sz w:val="22"/>
              </w:rPr>
              <w:t>100:  0 :   0</w:t>
            </w:r>
          </w:p>
        </w:tc>
        <w:tc>
          <w:tcPr>
            <w:tcW w:w="1350" w:type="dxa"/>
            <w:tcBorders>
              <w:top w:val="single" w:sz="4" w:space="0" w:color="auto"/>
            </w:tcBorders>
            <w:shd w:val="clear" w:color="auto" w:fill="FFFFFF"/>
          </w:tcPr>
          <w:p w14:paraId="5F06A9F4" w14:textId="77777777" w:rsidR="004879C6" w:rsidRDefault="00934F55">
            <w:pPr>
              <w:spacing w:line="276" w:lineRule="auto"/>
            </w:pPr>
            <w:r>
              <w:rPr>
                <w:sz w:val="22"/>
              </w:rPr>
              <w:t>2.54</w:t>
            </w:r>
            <w:r>
              <w:rPr>
                <w:sz w:val="22"/>
                <w:vertAlign w:val="superscript"/>
              </w:rPr>
              <w:t xml:space="preserve">f </w:t>
            </w:r>
            <w:r>
              <w:rPr>
                <w:sz w:val="22"/>
              </w:rPr>
              <w:t>±0.03</w:t>
            </w:r>
          </w:p>
        </w:tc>
        <w:tc>
          <w:tcPr>
            <w:tcW w:w="1350" w:type="dxa"/>
            <w:tcBorders>
              <w:top w:val="single" w:sz="4" w:space="0" w:color="auto"/>
            </w:tcBorders>
            <w:shd w:val="clear" w:color="auto" w:fill="FFFFFF"/>
          </w:tcPr>
          <w:p w14:paraId="1DB2ECDB" w14:textId="77777777" w:rsidR="004879C6" w:rsidRDefault="00934F55">
            <w:pPr>
              <w:spacing w:line="276" w:lineRule="auto"/>
            </w:pPr>
            <w:r>
              <w:rPr>
                <w:sz w:val="22"/>
              </w:rPr>
              <w:t>2.57</w:t>
            </w:r>
            <w:r>
              <w:rPr>
                <w:sz w:val="22"/>
                <w:vertAlign w:val="superscript"/>
              </w:rPr>
              <w:t xml:space="preserve">f </w:t>
            </w:r>
            <w:r>
              <w:rPr>
                <w:sz w:val="22"/>
              </w:rPr>
              <w:t>±0.06</w:t>
            </w:r>
          </w:p>
        </w:tc>
        <w:tc>
          <w:tcPr>
            <w:tcW w:w="1440" w:type="dxa"/>
            <w:tcBorders>
              <w:top w:val="single" w:sz="4" w:space="0" w:color="auto"/>
            </w:tcBorders>
            <w:shd w:val="clear" w:color="auto" w:fill="FFFFFF"/>
          </w:tcPr>
          <w:p w14:paraId="743540A8" w14:textId="77777777" w:rsidR="004879C6" w:rsidRDefault="00934F55">
            <w:pPr>
              <w:spacing w:line="276" w:lineRule="auto"/>
            </w:pPr>
            <w:r>
              <w:rPr>
                <w:sz w:val="22"/>
              </w:rPr>
              <w:t>2.61</w:t>
            </w:r>
            <w:r>
              <w:rPr>
                <w:sz w:val="22"/>
                <w:vertAlign w:val="superscript"/>
              </w:rPr>
              <w:t xml:space="preserve">f </w:t>
            </w:r>
            <w:r>
              <w:rPr>
                <w:sz w:val="22"/>
              </w:rPr>
              <w:t>±0.04</w:t>
            </w:r>
          </w:p>
        </w:tc>
        <w:tc>
          <w:tcPr>
            <w:tcW w:w="1350" w:type="dxa"/>
            <w:tcBorders>
              <w:top w:val="single" w:sz="4" w:space="0" w:color="auto"/>
            </w:tcBorders>
            <w:shd w:val="clear" w:color="auto" w:fill="FFFFFF"/>
          </w:tcPr>
          <w:p w14:paraId="39FE6897" w14:textId="77777777" w:rsidR="004879C6" w:rsidRDefault="00934F55">
            <w:pPr>
              <w:spacing w:line="276" w:lineRule="auto"/>
            </w:pPr>
            <w:r>
              <w:rPr>
                <w:sz w:val="22"/>
              </w:rPr>
              <w:t>3.23</w:t>
            </w:r>
            <w:r>
              <w:rPr>
                <w:sz w:val="22"/>
                <w:vertAlign w:val="superscript"/>
              </w:rPr>
              <w:t xml:space="preserve">f </w:t>
            </w:r>
            <w:r>
              <w:rPr>
                <w:sz w:val="22"/>
              </w:rPr>
              <w:t>±0.05</w:t>
            </w:r>
          </w:p>
        </w:tc>
        <w:tc>
          <w:tcPr>
            <w:tcW w:w="1350" w:type="dxa"/>
            <w:tcBorders>
              <w:top w:val="single" w:sz="4" w:space="0" w:color="auto"/>
            </w:tcBorders>
            <w:shd w:val="clear" w:color="auto" w:fill="FFFFFF"/>
          </w:tcPr>
          <w:p w14:paraId="6FFF308F" w14:textId="77777777" w:rsidR="004879C6" w:rsidRDefault="00934F55">
            <w:pPr>
              <w:spacing w:line="276" w:lineRule="auto"/>
            </w:pPr>
            <w:r>
              <w:rPr>
                <w:sz w:val="22"/>
              </w:rPr>
              <w:t>1.43</w:t>
            </w:r>
            <w:r>
              <w:rPr>
                <w:sz w:val="22"/>
                <w:vertAlign w:val="superscript"/>
              </w:rPr>
              <w:t xml:space="preserve">f </w:t>
            </w:r>
            <w:r>
              <w:rPr>
                <w:sz w:val="22"/>
              </w:rPr>
              <w:t>±0.02</w:t>
            </w:r>
          </w:p>
        </w:tc>
        <w:tc>
          <w:tcPr>
            <w:tcW w:w="1350" w:type="dxa"/>
            <w:tcBorders>
              <w:top w:val="single" w:sz="4" w:space="0" w:color="auto"/>
            </w:tcBorders>
            <w:shd w:val="clear" w:color="auto" w:fill="FFFFFF"/>
          </w:tcPr>
          <w:p w14:paraId="2BF6D7A2" w14:textId="77777777" w:rsidR="004879C6" w:rsidRDefault="00934F55">
            <w:pPr>
              <w:spacing w:line="276" w:lineRule="auto"/>
            </w:pPr>
            <w:r>
              <w:rPr>
                <w:sz w:val="22"/>
              </w:rPr>
              <w:t>1.12</w:t>
            </w:r>
            <w:r>
              <w:rPr>
                <w:sz w:val="22"/>
                <w:vertAlign w:val="superscript"/>
              </w:rPr>
              <w:t xml:space="preserve">f </w:t>
            </w:r>
            <w:r>
              <w:rPr>
                <w:sz w:val="22"/>
              </w:rPr>
              <w:t>± 0.013</w:t>
            </w:r>
          </w:p>
        </w:tc>
      </w:tr>
      <w:tr w:rsidR="004879C6" w14:paraId="2F782E4D" w14:textId="77777777">
        <w:trPr>
          <w:trHeight w:val="1"/>
        </w:trPr>
        <w:tc>
          <w:tcPr>
            <w:tcW w:w="1350" w:type="dxa"/>
            <w:shd w:val="clear" w:color="auto" w:fill="FFFFFF"/>
          </w:tcPr>
          <w:p w14:paraId="24D6C802" w14:textId="77777777" w:rsidR="004879C6" w:rsidRDefault="00934F55">
            <w:pPr>
              <w:spacing w:line="276" w:lineRule="auto"/>
            </w:pPr>
            <w:r>
              <w:rPr>
                <w:sz w:val="22"/>
              </w:rPr>
              <w:t>B</w:t>
            </w:r>
          </w:p>
        </w:tc>
        <w:tc>
          <w:tcPr>
            <w:tcW w:w="1710" w:type="dxa"/>
            <w:shd w:val="clear" w:color="auto" w:fill="FFFFFF"/>
          </w:tcPr>
          <w:p w14:paraId="5EC3C8B8" w14:textId="77777777" w:rsidR="004879C6" w:rsidRDefault="00934F55">
            <w:pPr>
              <w:spacing w:line="276" w:lineRule="auto"/>
            </w:pPr>
            <w:r>
              <w:rPr>
                <w:sz w:val="22"/>
              </w:rPr>
              <w:t>90  : 5  :   5</w:t>
            </w:r>
          </w:p>
        </w:tc>
        <w:tc>
          <w:tcPr>
            <w:tcW w:w="1350" w:type="dxa"/>
            <w:shd w:val="clear" w:color="auto" w:fill="FFFFFF"/>
          </w:tcPr>
          <w:p w14:paraId="17F82C70" w14:textId="77777777" w:rsidR="004879C6" w:rsidRDefault="00934F55">
            <w:pPr>
              <w:spacing w:line="276" w:lineRule="auto"/>
            </w:pPr>
            <w:r>
              <w:rPr>
                <w:sz w:val="22"/>
              </w:rPr>
              <w:t>2.65</w:t>
            </w:r>
            <w:r>
              <w:rPr>
                <w:sz w:val="22"/>
                <w:vertAlign w:val="superscript"/>
              </w:rPr>
              <w:t xml:space="preserve">e </w:t>
            </w:r>
            <w:r>
              <w:rPr>
                <w:sz w:val="22"/>
              </w:rPr>
              <w:t>± 0.05</w:t>
            </w:r>
          </w:p>
        </w:tc>
        <w:tc>
          <w:tcPr>
            <w:tcW w:w="1350" w:type="dxa"/>
            <w:shd w:val="clear" w:color="auto" w:fill="FFFFFF"/>
          </w:tcPr>
          <w:p w14:paraId="26CD8640" w14:textId="77777777" w:rsidR="004879C6" w:rsidRDefault="00934F55">
            <w:pPr>
              <w:spacing w:line="276" w:lineRule="auto"/>
            </w:pPr>
            <w:r>
              <w:rPr>
                <w:sz w:val="22"/>
              </w:rPr>
              <w:t>2.64</w:t>
            </w:r>
            <w:r>
              <w:rPr>
                <w:sz w:val="22"/>
                <w:vertAlign w:val="superscript"/>
              </w:rPr>
              <w:t xml:space="preserve">e </w:t>
            </w:r>
            <w:r>
              <w:rPr>
                <w:sz w:val="22"/>
              </w:rPr>
              <w:t>± 0.09</w:t>
            </w:r>
          </w:p>
        </w:tc>
        <w:tc>
          <w:tcPr>
            <w:tcW w:w="1440" w:type="dxa"/>
            <w:shd w:val="clear" w:color="auto" w:fill="FFFFFF"/>
          </w:tcPr>
          <w:p w14:paraId="35A41C9E" w14:textId="77777777" w:rsidR="004879C6" w:rsidRDefault="00934F55">
            <w:pPr>
              <w:spacing w:line="276" w:lineRule="auto"/>
            </w:pPr>
            <w:r>
              <w:rPr>
                <w:sz w:val="22"/>
              </w:rPr>
              <w:t>2.68</w:t>
            </w:r>
            <w:r>
              <w:rPr>
                <w:sz w:val="22"/>
                <w:vertAlign w:val="superscript"/>
              </w:rPr>
              <w:t xml:space="preserve">e </w:t>
            </w:r>
            <w:r>
              <w:rPr>
                <w:sz w:val="22"/>
              </w:rPr>
              <w:t>± 0.04</w:t>
            </w:r>
          </w:p>
        </w:tc>
        <w:tc>
          <w:tcPr>
            <w:tcW w:w="1350" w:type="dxa"/>
            <w:shd w:val="clear" w:color="auto" w:fill="FFFFFF"/>
          </w:tcPr>
          <w:p w14:paraId="73EAAB4B" w14:textId="77777777" w:rsidR="004879C6" w:rsidRDefault="00934F55">
            <w:pPr>
              <w:spacing w:line="276" w:lineRule="auto"/>
            </w:pPr>
            <w:r>
              <w:rPr>
                <w:sz w:val="22"/>
              </w:rPr>
              <w:t>3.54</w:t>
            </w:r>
            <w:r>
              <w:rPr>
                <w:sz w:val="22"/>
                <w:vertAlign w:val="superscript"/>
              </w:rPr>
              <w:t xml:space="preserve">e </w:t>
            </w:r>
            <w:r>
              <w:rPr>
                <w:sz w:val="22"/>
              </w:rPr>
              <w:t>± 0.02</w:t>
            </w:r>
          </w:p>
        </w:tc>
        <w:tc>
          <w:tcPr>
            <w:tcW w:w="1350" w:type="dxa"/>
            <w:shd w:val="clear" w:color="auto" w:fill="FFFFFF"/>
          </w:tcPr>
          <w:p w14:paraId="0CBA4A8B" w14:textId="77777777" w:rsidR="004879C6" w:rsidRDefault="00934F55">
            <w:pPr>
              <w:spacing w:line="276" w:lineRule="auto"/>
            </w:pPr>
            <w:r>
              <w:rPr>
                <w:sz w:val="22"/>
              </w:rPr>
              <w:t>1.53</w:t>
            </w:r>
            <w:r>
              <w:rPr>
                <w:sz w:val="22"/>
                <w:vertAlign w:val="superscript"/>
              </w:rPr>
              <w:t xml:space="preserve">e </w:t>
            </w:r>
            <w:r>
              <w:rPr>
                <w:sz w:val="22"/>
              </w:rPr>
              <w:t>± 0.03</w:t>
            </w:r>
          </w:p>
        </w:tc>
        <w:tc>
          <w:tcPr>
            <w:tcW w:w="1350" w:type="dxa"/>
            <w:shd w:val="clear" w:color="auto" w:fill="FFFFFF"/>
          </w:tcPr>
          <w:p w14:paraId="61CA785B" w14:textId="77777777" w:rsidR="004879C6" w:rsidRDefault="00934F55">
            <w:pPr>
              <w:spacing w:line="276" w:lineRule="auto"/>
            </w:pPr>
            <w:r>
              <w:rPr>
                <w:sz w:val="22"/>
              </w:rPr>
              <w:t>1.17</w:t>
            </w:r>
            <w:r>
              <w:rPr>
                <w:sz w:val="22"/>
                <w:vertAlign w:val="superscript"/>
              </w:rPr>
              <w:t xml:space="preserve">e </w:t>
            </w:r>
            <w:r>
              <w:rPr>
                <w:sz w:val="22"/>
              </w:rPr>
              <w:t>± 0.05</w:t>
            </w:r>
          </w:p>
        </w:tc>
      </w:tr>
      <w:tr w:rsidR="004879C6" w14:paraId="566C4089" w14:textId="77777777">
        <w:trPr>
          <w:trHeight w:val="1"/>
        </w:trPr>
        <w:tc>
          <w:tcPr>
            <w:tcW w:w="1350" w:type="dxa"/>
            <w:shd w:val="clear" w:color="auto" w:fill="FFFFFF"/>
          </w:tcPr>
          <w:p w14:paraId="30950163" w14:textId="77777777" w:rsidR="004879C6" w:rsidRDefault="00934F55">
            <w:pPr>
              <w:spacing w:line="276" w:lineRule="auto"/>
            </w:pPr>
            <w:r>
              <w:rPr>
                <w:sz w:val="22"/>
              </w:rPr>
              <w:t>C</w:t>
            </w:r>
          </w:p>
        </w:tc>
        <w:tc>
          <w:tcPr>
            <w:tcW w:w="1710" w:type="dxa"/>
            <w:shd w:val="clear" w:color="auto" w:fill="FFFFFF"/>
          </w:tcPr>
          <w:p w14:paraId="5F62FC65" w14:textId="77777777" w:rsidR="004879C6" w:rsidRDefault="00934F55">
            <w:pPr>
              <w:spacing w:line="276" w:lineRule="auto"/>
            </w:pPr>
            <w:r>
              <w:rPr>
                <w:sz w:val="22"/>
              </w:rPr>
              <w:t>80 : 15 :  5</w:t>
            </w:r>
          </w:p>
        </w:tc>
        <w:tc>
          <w:tcPr>
            <w:tcW w:w="1350" w:type="dxa"/>
            <w:shd w:val="clear" w:color="auto" w:fill="FFFFFF"/>
          </w:tcPr>
          <w:p w14:paraId="737988D4" w14:textId="77777777" w:rsidR="004879C6" w:rsidRDefault="00934F55">
            <w:pPr>
              <w:spacing w:line="276" w:lineRule="auto"/>
            </w:pPr>
            <w:r>
              <w:rPr>
                <w:sz w:val="22"/>
              </w:rPr>
              <w:t>2.74</w:t>
            </w:r>
            <w:r>
              <w:rPr>
                <w:sz w:val="22"/>
                <w:vertAlign w:val="superscript"/>
              </w:rPr>
              <w:t xml:space="preserve">d </w:t>
            </w:r>
            <w:r>
              <w:rPr>
                <w:sz w:val="22"/>
              </w:rPr>
              <w:t>±0.04</w:t>
            </w:r>
          </w:p>
        </w:tc>
        <w:tc>
          <w:tcPr>
            <w:tcW w:w="1350" w:type="dxa"/>
            <w:shd w:val="clear" w:color="auto" w:fill="FFFFFF"/>
          </w:tcPr>
          <w:p w14:paraId="18831A90" w14:textId="77777777" w:rsidR="004879C6" w:rsidRDefault="00934F55">
            <w:pPr>
              <w:spacing w:line="276" w:lineRule="auto"/>
            </w:pPr>
            <w:r>
              <w:rPr>
                <w:sz w:val="22"/>
              </w:rPr>
              <w:t>2.79</w:t>
            </w:r>
            <w:r>
              <w:rPr>
                <w:sz w:val="22"/>
                <w:vertAlign w:val="superscript"/>
              </w:rPr>
              <w:t xml:space="preserve">d </w:t>
            </w:r>
            <w:r>
              <w:rPr>
                <w:sz w:val="22"/>
              </w:rPr>
              <w:t>±0.03</w:t>
            </w:r>
          </w:p>
        </w:tc>
        <w:tc>
          <w:tcPr>
            <w:tcW w:w="1440" w:type="dxa"/>
            <w:shd w:val="clear" w:color="auto" w:fill="FFFFFF"/>
          </w:tcPr>
          <w:p w14:paraId="789ECF5D" w14:textId="77777777" w:rsidR="004879C6" w:rsidRDefault="00934F55">
            <w:pPr>
              <w:spacing w:line="276" w:lineRule="auto"/>
            </w:pPr>
            <w:r>
              <w:rPr>
                <w:sz w:val="22"/>
              </w:rPr>
              <w:t>2.73</w:t>
            </w:r>
            <w:r>
              <w:rPr>
                <w:sz w:val="22"/>
                <w:vertAlign w:val="superscript"/>
              </w:rPr>
              <w:t xml:space="preserve">d </w:t>
            </w:r>
            <w:r>
              <w:rPr>
                <w:sz w:val="22"/>
              </w:rPr>
              <w:t>±0.03</w:t>
            </w:r>
          </w:p>
        </w:tc>
        <w:tc>
          <w:tcPr>
            <w:tcW w:w="1350" w:type="dxa"/>
            <w:shd w:val="clear" w:color="auto" w:fill="FFFFFF"/>
          </w:tcPr>
          <w:p w14:paraId="7F8626CE" w14:textId="77777777" w:rsidR="004879C6" w:rsidRDefault="00934F55">
            <w:pPr>
              <w:spacing w:line="276" w:lineRule="auto"/>
            </w:pPr>
            <w:r>
              <w:rPr>
                <w:sz w:val="22"/>
              </w:rPr>
              <w:t>3.85</w:t>
            </w:r>
            <w:r>
              <w:rPr>
                <w:sz w:val="22"/>
                <w:vertAlign w:val="superscript"/>
              </w:rPr>
              <w:t xml:space="preserve">d </w:t>
            </w:r>
            <w:r>
              <w:rPr>
                <w:sz w:val="22"/>
              </w:rPr>
              <w:t>±0.07</w:t>
            </w:r>
          </w:p>
        </w:tc>
        <w:tc>
          <w:tcPr>
            <w:tcW w:w="1350" w:type="dxa"/>
            <w:shd w:val="clear" w:color="auto" w:fill="FFFFFF"/>
          </w:tcPr>
          <w:p w14:paraId="588BAF23" w14:textId="77777777" w:rsidR="004879C6" w:rsidRDefault="00934F55">
            <w:pPr>
              <w:spacing w:line="276" w:lineRule="auto"/>
            </w:pPr>
            <w:r>
              <w:rPr>
                <w:sz w:val="22"/>
              </w:rPr>
              <w:t>1.58</w:t>
            </w:r>
            <w:r>
              <w:rPr>
                <w:sz w:val="22"/>
                <w:vertAlign w:val="superscript"/>
              </w:rPr>
              <w:t xml:space="preserve">d </w:t>
            </w:r>
            <w:r>
              <w:rPr>
                <w:sz w:val="22"/>
              </w:rPr>
              <w:t>±0.04</w:t>
            </w:r>
          </w:p>
        </w:tc>
        <w:tc>
          <w:tcPr>
            <w:tcW w:w="1350" w:type="dxa"/>
            <w:shd w:val="clear" w:color="auto" w:fill="FFFFFF"/>
          </w:tcPr>
          <w:p w14:paraId="01CAA6C3" w14:textId="77777777" w:rsidR="004879C6" w:rsidRDefault="00934F55">
            <w:pPr>
              <w:spacing w:line="276" w:lineRule="auto"/>
            </w:pPr>
            <w:r>
              <w:rPr>
                <w:sz w:val="22"/>
              </w:rPr>
              <w:t>1.25</w:t>
            </w:r>
            <w:r>
              <w:rPr>
                <w:sz w:val="22"/>
                <w:vertAlign w:val="superscript"/>
              </w:rPr>
              <w:t xml:space="preserve">d </w:t>
            </w:r>
            <w:r>
              <w:rPr>
                <w:sz w:val="22"/>
              </w:rPr>
              <w:t>± 0.04</w:t>
            </w:r>
          </w:p>
        </w:tc>
      </w:tr>
      <w:tr w:rsidR="004879C6" w14:paraId="77FD5903" w14:textId="77777777">
        <w:trPr>
          <w:trHeight w:val="1"/>
        </w:trPr>
        <w:tc>
          <w:tcPr>
            <w:tcW w:w="1350" w:type="dxa"/>
            <w:shd w:val="clear" w:color="auto" w:fill="FFFFFF"/>
          </w:tcPr>
          <w:p w14:paraId="11F49C5E" w14:textId="77777777" w:rsidR="004879C6" w:rsidRDefault="00934F55">
            <w:pPr>
              <w:spacing w:line="276" w:lineRule="auto"/>
            </w:pPr>
            <w:r>
              <w:rPr>
                <w:sz w:val="22"/>
              </w:rPr>
              <w:t>D</w:t>
            </w:r>
          </w:p>
        </w:tc>
        <w:tc>
          <w:tcPr>
            <w:tcW w:w="1710" w:type="dxa"/>
            <w:shd w:val="clear" w:color="auto" w:fill="FFFFFF"/>
          </w:tcPr>
          <w:p w14:paraId="701F8F66" w14:textId="77777777" w:rsidR="004879C6" w:rsidRDefault="00934F55">
            <w:pPr>
              <w:spacing w:line="276" w:lineRule="auto"/>
            </w:pPr>
            <w:r>
              <w:rPr>
                <w:sz w:val="22"/>
              </w:rPr>
              <w:t xml:space="preserve">70 : </w:t>
            </w:r>
            <w:r>
              <w:rPr>
                <w:sz w:val="22"/>
              </w:rPr>
              <w:t>20 :  10</w:t>
            </w:r>
          </w:p>
        </w:tc>
        <w:tc>
          <w:tcPr>
            <w:tcW w:w="1350" w:type="dxa"/>
            <w:shd w:val="clear" w:color="auto" w:fill="FFFFFF"/>
          </w:tcPr>
          <w:p w14:paraId="05CD2050" w14:textId="77777777" w:rsidR="004879C6" w:rsidRDefault="00934F55">
            <w:pPr>
              <w:spacing w:line="276" w:lineRule="auto"/>
            </w:pPr>
            <w:r>
              <w:rPr>
                <w:sz w:val="22"/>
              </w:rPr>
              <w:t>2.88</w:t>
            </w:r>
            <w:r>
              <w:rPr>
                <w:sz w:val="22"/>
                <w:vertAlign w:val="superscript"/>
              </w:rPr>
              <w:t xml:space="preserve">c </w:t>
            </w:r>
            <w:r>
              <w:rPr>
                <w:sz w:val="22"/>
              </w:rPr>
              <w:t>±0.07</w:t>
            </w:r>
          </w:p>
        </w:tc>
        <w:tc>
          <w:tcPr>
            <w:tcW w:w="1350" w:type="dxa"/>
            <w:shd w:val="clear" w:color="auto" w:fill="FFFFFF"/>
          </w:tcPr>
          <w:p w14:paraId="295D520A" w14:textId="77777777" w:rsidR="004879C6" w:rsidRDefault="00934F55">
            <w:pPr>
              <w:spacing w:line="276" w:lineRule="auto"/>
            </w:pPr>
            <w:r>
              <w:rPr>
                <w:sz w:val="22"/>
              </w:rPr>
              <w:t>2.97</w:t>
            </w:r>
            <w:r>
              <w:rPr>
                <w:sz w:val="22"/>
                <w:vertAlign w:val="superscript"/>
              </w:rPr>
              <w:t xml:space="preserve">c </w:t>
            </w:r>
            <w:r>
              <w:rPr>
                <w:sz w:val="22"/>
              </w:rPr>
              <w:t>± 0.02</w:t>
            </w:r>
          </w:p>
        </w:tc>
        <w:tc>
          <w:tcPr>
            <w:tcW w:w="1440" w:type="dxa"/>
            <w:shd w:val="clear" w:color="auto" w:fill="FFFFFF"/>
          </w:tcPr>
          <w:p w14:paraId="7C210D37" w14:textId="77777777" w:rsidR="004879C6" w:rsidRDefault="00934F55">
            <w:pPr>
              <w:spacing w:line="276" w:lineRule="auto"/>
            </w:pPr>
            <w:r>
              <w:rPr>
                <w:sz w:val="22"/>
              </w:rPr>
              <w:t>2.83</w:t>
            </w:r>
            <w:r>
              <w:rPr>
                <w:sz w:val="22"/>
                <w:vertAlign w:val="superscript"/>
              </w:rPr>
              <w:t xml:space="preserve">c </w:t>
            </w:r>
            <w:r>
              <w:rPr>
                <w:sz w:val="22"/>
              </w:rPr>
              <w:t>±0.05</w:t>
            </w:r>
          </w:p>
        </w:tc>
        <w:tc>
          <w:tcPr>
            <w:tcW w:w="1350" w:type="dxa"/>
            <w:shd w:val="clear" w:color="auto" w:fill="FFFFFF"/>
          </w:tcPr>
          <w:p w14:paraId="1B04F10B" w14:textId="77777777" w:rsidR="004879C6" w:rsidRDefault="00934F55">
            <w:pPr>
              <w:spacing w:line="276" w:lineRule="auto"/>
            </w:pPr>
            <w:r>
              <w:rPr>
                <w:sz w:val="22"/>
              </w:rPr>
              <w:t>4.03</w:t>
            </w:r>
            <w:r>
              <w:rPr>
                <w:sz w:val="22"/>
                <w:vertAlign w:val="superscript"/>
              </w:rPr>
              <w:t xml:space="preserve">c </w:t>
            </w:r>
            <w:r>
              <w:rPr>
                <w:sz w:val="22"/>
              </w:rPr>
              <w:t>±0.03</w:t>
            </w:r>
          </w:p>
        </w:tc>
        <w:tc>
          <w:tcPr>
            <w:tcW w:w="1350" w:type="dxa"/>
            <w:shd w:val="clear" w:color="auto" w:fill="FFFFFF"/>
          </w:tcPr>
          <w:p w14:paraId="279FE26D" w14:textId="77777777" w:rsidR="004879C6" w:rsidRDefault="00934F55">
            <w:pPr>
              <w:spacing w:line="276" w:lineRule="auto"/>
            </w:pPr>
            <w:r>
              <w:rPr>
                <w:sz w:val="22"/>
              </w:rPr>
              <w:t>1.67</w:t>
            </w:r>
            <w:r>
              <w:rPr>
                <w:sz w:val="22"/>
                <w:vertAlign w:val="superscript"/>
              </w:rPr>
              <w:t xml:space="preserve">c </w:t>
            </w:r>
            <w:r>
              <w:rPr>
                <w:sz w:val="22"/>
              </w:rPr>
              <w:t>±0.03</w:t>
            </w:r>
          </w:p>
        </w:tc>
        <w:tc>
          <w:tcPr>
            <w:tcW w:w="1350" w:type="dxa"/>
            <w:vMerge w:val="restart"/>
            <w:shd w:val="clear" w:color="auto" w:fill="FFFFFF"/>
          </w:tcPr>
          <w:p w14:paraId="3BBE489D" w14:textId="77777777" w:rsidR="004879C6" w:rsidRDefault="00934F55">
            <w:pPr>
              <w:spacing w:line="276" w:lineRule="auto"/>
            </w:pPr>
            <w:r>
              <w:rPr>
                <w:sz w:val="22"/>
              </w:rPr>
              <w:t>1.36</w:t>
            </w:r>
            <w:r>
              <w:rPr>
                <w:sz w:val="22"/>
                <w:vertAlign w:val="superscript"/>
              </w:rPr>
              <w:t xml:space="preserve">c </w:t>
            </w:r>
            <w:r>
              <w:rPr>
                <w:sz w:val="22"/>
              </w:rPr>
              <w:t>±0.02</w:t>
            </w:r>
          </w:p>
          <w:p w14:paraId="0DF480C9" w14:textId="77777777" w:rsidR="004879C6" w:rsidRDefault="00934F55">
            <w:pPr>
              <w:spacing w:line="276" w:lineRule="auto"/>
            </w:pPr>
            <w:r>
              <w:rPr>
                <w:sz w:val="22"/>
              </w:rPr>
              <w:t>1.57</w:t>
            </w:r>
            <w:r>
              <w:rPr>
                <w:sz w:val="22"/>
                <w:vertAlign w:val="superscript"/>
              </w:rPr>
              <w:t xml:space="preserve">b </w:t>
            </w:r>
            <w:r>
              <w:rPr>
                <w:sz w:val="22"/>
              </w:rPr>
              <w:t>±0.04</w:t>
            </w:r>
          </w:p>
        </w:tc>
      </w:tr>
      <w:tr w:rsidR="004879C6" w14:paraId="7F292305" w14:textId="77777777">
        <w:trPr>
          <w:trHeight w:val="96"/>
        </w:trPr>
        <w:tc>
          <w:tcPr>
            <w:tcW w:w="1350" w:type="dxa"/>
            <w:vMerge w:val="restart"/>
            <w:shd w:val="clear" w:color="auto" w:fill="FFFFFF"/>
          </w:tcPr>
          <w:p w14:paraId="4D4CB88F" w14:textId="77777777" w:rsidR="004879C6" w:rsidRDefault="00934F55">
            <w:pPr>
              <w:spacing w:line="276" w:lineRule="auto"/>
            </w:pPr>
            <w:r>
              <w:rPr>
                <w:sz w:val="22"/>
              </w:rPr>
              <w:t>E</w:t>
            </w:r>
          </w:p>
          <w:p w14:paraId="13511228" w14:textId="77777777" w:rsidR="004879C6" w:rsidRDefault="00934F55">
            <w:pPr>
              <w:spacing w:line="276" w:lineRule="auto"/>
              <w:rPr>
                <w:sz w:val="22"/>
              </w:rPr>
            </w:pPr>
            <w:r>
              <w:rPr>
                <w:sz w:val="22"/>
              </w:rPr>
              <w:t>F</w:t>
            </w:r>
          </w:p>
          <w:p w14:paraId="28323198" w14:textId="77777777" w:rsidR="004879C6" w:rsidRDefault="00934F55">
            <w:pPr>
              <w:spacing w:line="276" w:lineRule="auto"/>
            </w:pPr>
            <w:r>
              <w:rPr>
                <w:sz w:val="22"/>
              </w:rPr>
              <w:t xml:space="preserve">LSD </w:t>
            </w:r>
          </w:p>
        </w:tc>
        <w:tc>
          <w:tcPr>
            <w:tcW w:w="1710" w:type="dxa"/>
            <w:shd w:val="clear" w:color="auto" w:fill="FFFFFF"/>
          </w:tcPr>
          <w:p w14:paraId="28A55C60" w14:textId="77777777" w:rsidR="004879C6" w:rsidRDefault="00934F55">
            <w:pPr>
              <w:spacing w:line="276" w:lineRule="auto"/>
            </w:pPr>
            <w:r>
              <w:rPr>
                <w:sz w:val="22"/>
              </w:rPr>
              <w:t>60 : 25 : 15</w:t>
            </w:r>
          </w:p>
        </w:tc>
        <w:tc>
          <w:tcPr>
            <w:tcW w:w="1350" w:type="dxa"/>
            <w:shd w:val="clear" w:color="auto" w:fill="FFFFFF"/>
          </w:tcPr>
          <w:p w14:paraId="6AD5A5A4" w14:textId="77777777" w:rsidR="004879C6" w:rsidRDefault="00934F55">
            <w:pPr>
              <w:spacing w:line="276" w:lineRule="auto"/>
            </w:pPr>
            <w:r>
              <w:rPr>
                <w:sz w:val="22"/>
              </w:rPr>
              <w:t>3.14</w:t>
            </w:r>
            <w:r>
              <w:rPr>
                <w:sz w:val="22"/>
                <w:vertAlign w:val="superscript"/>
              </w:rPr>
              <w:t xml:space="preserve">b </w:t>
            </w:r>
            <w:r>
              <w:rPr>
                <w:sz w:val="22"/>
              </w:rPr>
              <w:t>± 0.06</w:t>
            </w:r>
          </w:p>
        </w:tc>
        <w:tc>
          <w:tcPr>
            <w:tcW w:w="1350" w:type="dxa"/>
            <w:shd w:val="clear" w:color="auto" w:fill="FFFFFF"/>
          </w:tcPr>
          <w:p w14:paraId="21406B75" w14:textId="77777777" w:rsidR="004879C6" w:rsidRDefault="00934F55">
            <w:pPr>
              <w:spacing w:line="276" w:lineRule="auto"/>
            </w:pPr>
            <w:r>
              <w:rPr>
                <w:sz w:val="22"/>
              </w:rPr>
              <w:t>3.09</w:t>
            </w:r>
            <w:r>
              <w:rPr>
                <w:sz w:val="22"/>
                <w:vertAlign w:val="superscript"/>
              </w:rPr>
              <w:t xml:space="preserve">b </w:t>
            </w:r>
            <w:r>
              <w:rPr>
                <w:sz w:val="22"/>
              </w:rPr>
              <w:t>±0.05</w:t>
            </w:r>
          </w:p>
        </w:tc>
        <w:tc>
          <w:tcPr>
            <w:tcW w:w="1440" w:type="dxa"/>
            <w:shd w:val="clear" w:color="auto" w:fill="FFFFFF"/>
          </w:tcPr>
          <w:p w14:paraId="3F672A1E" w14:textId="77777777" w:rsidR="004879C6" w:rsidRDefault="00934F55">
            <w:pPr>
              <w:spacing w:line="276" w:lineRule="auto"/>
            </w:pPr>
            <w:r>
              <w:rPr>
                <w:sz w:val="22"/>
              </w:rPr>
              <w:t>3.07</w:t>
            </w:r>
            <w:r>
              <w:rPr>
                <w:sz w:val="22"/>
                <w:vertAlign w:val="superscript"/>
              </w:rPr>
              <w:t xml:space="preserve">b </w:t>
            </w:r>
            <w:r>
              <w:rPr>
                <w:sz w:val="22"/>
              </w:rPr>
              <w:t>±0.04</w:t>
            </w:r>
          </w:p>
        </w:tc>
        <w:tc>
          <w:tcPr>
            <w:tcW w:w="1350" w:type="dxa"/>
            <w:shd w:val="clear" w:color="auto" w:fill="FFFFFF"/>
          </w:tcPr>
          <w:p w14:paraId="73C786BB" w14:textId="77777777" w:rsidR="004879C6" w:rsidRDefault="00934F55">
            <w:pPr>
              <w:spacing w:line="276" w:lineRule="auto"/>
            </w:pPr>
            <w:r>
              <w:rPr>
                <w:sz w:val="22"/>
              </w:rPr>
              <w:t>4.17</w:t>
            </w:r>
            <w:r>
              <w:rPr>
                <w:sz w:val="22"/>
                <w:vertAlign w:val="superscript"/>
              </w:rPr>
              <w:t xml:space="preserve">b </w:t>
            </w:r>
            <w:r>
              <w:rPr>
                <w:sz w:val="22"/>
              </w:rPr>
              <w:t>±0.04</w:t>
            </w:r>
          </w:p>
        </w:tc>
        <w:tc>
          <w:tcPr>
            <w:tcW w:w="1350" w:type="dxa"/>
            <w:shd w:val="clear" w:color="auto" w:fill="FFFFFF"/>
          </w:tcPr>
          <w:p w14:paraId="488898DD" w14:textId="77777777" w:rsidR="004879C6" w:rsidRDefault="00934F55">
            <w:pPr>
              <w:spacing w:line="276" w:lineRule="auto"/>
            </w:pPr>
            <w:r>
              <w:rPr>
                <w:sz w:val="22"/>
              </w:rPr>
              <w:t>1.76</w:t>
            </w:r>
            <w:r>
              <w:rPr>
                <w:sz w:val="22"/>
                <w:vertAlign w:val="superscript"/>
              </w:rPr>
              <w:t xml:space="preserve">b </w:t>
            </w:r>
            <w:r>
              <w:rPr>
                <w:sz w:val="22"/>
              </w:rPr>
              <w:t>±0.06</w:t>
            </w:r>
          </w:p>
        </w:tc>
        <w:tc>
          <w:tcPr>
            <w:tcW w:w="1350" w:type="dxa"/>
            <w:vMerge/>
            <w:shd w:val="clear" w:color="auto" w:fill="FFFFFF"/>
          </w:tcPr>
          <w:p w14:paraId="3B5D2389" w14:textId="77777777" w:rsidR="004879C6" w:rsidRDefault="004879C6">
            <w:pPr>
              <w:widowControl w:val="0"/>
              <w:spacing w:line="276" w:lineRule="auto"/>
              <w:jc w:val="left"/>
            </w:pPr>
          </w:p>
        </w:tc>
      </w:tr>
      <w:tr w:rsidR="004879C6" w14:paraId="273E2CCA" w14:textId="77777777">
        <w:trPr>
          <w:trHeight w:val="1"/>
        </w:trPr>
        <w:tc>
          <w:tcPr>
            <w:tcW w:w="1350" w:type="dxa"/>
            <w:vMerge/>
            <w:shd w:val="clear" w:color="auto" w:fill="FFFFFF"/>
          </w:tcPr>
          <w:p w14:paraId="6831785E" w14:textId="77777777" w:rsidR="004879C6" w:rsidRDefault="004879C6">
            <w:pPr>
              <w:widowControl w:val="0"/>
              <w:spacing w:line="276" w:lineRule="auto"/>
              <w:jc w:val="left"/>
            </w:pPr>
          </w:p>
        </w:tc>
        <w:tc>
          <w:tcPr>
            <w:tcW w:w="1710" w:type="dxa"/>
            <w:shd w:val="clear" w:color="auto" w:fill="FFFFFF"/>
          </w:tcPr>
          <w:p w14:paraId="4CE38A3C" w14:textId="77777777" w:rsidR="004879C6" w:rsidRDefault="00934F55">
            <w:pPr>
              <w:spacing w:line="276" w:lineRule="auto"/>
              <w:rPr>
                <w:sz w:val="22"/>
              </w:rPr>
            </w:pPr>
            <w:r>
              <w:rPr>
                <w:sz w:val="22"/>
              </w:rPr>
              <w:t>50 : 30 : 20</w:t>
            </w:r>
          </w:p>
          <w:p w14:paraId="503B02B4" w14:textId="77777777" w:rsidR="004879C6" w:rsidRDefault="00934F55">
            <w:pPr>
              <w:spacing w:line="276" w:lineRule="auto"/>
            </w:pPr>
            <w:r>
              <w:rPr>
                <w:sz w:val="22"/>
              </w:rPr>
              <w:t>(0.05)</w:t>
            </w:r>
          </w:p>
        </w:tc>
        <w:tc>
          <w:tcPr>
            <w:tcW w:w="1350" w:type="dxa"/>
            <w:shd w:val="clear" w:color="auto" w:fill="FFFFFF"/>
          </w:tcPr>
          <w:p w14:paraId="02E3843E" w14:textId="77777777" w:rsidR="004879C6" w:rsidRDefault="00934F55">
            <w:pPr>
              <w:spacing w:line="276" w:lineRule="auto"/>
              <w:rPr>
                <w:sz w:val="22"/>
              </w:rPr>
            </w:pPr>
            <w:r>
              <w:rPr>
                <w:sz w:val="22"/>
              </w:rPr>
              <w:t>3.26</w:t>
            </w:r>
            <w:r>
              <w:rPr>
                <w:sz w:val="22"/>
                <w:vertAlign w:val="superscript"/>
              </w:rPr>
              <w:t>a</w:t>
            </w:r>
            <w:r>
              <w:rPr>
                <w:sz w:val="22"/>
              </w:rPr>
              <w:t>± 0.08</w:t>
            </w:r>
          </w:p>
          <w:p w14:paraId="6D54F19F" w14:textId="77777777" w:rsidR="004879C6" w:rsidRDefault="00934F55">
            <w:pPr>
              <w:spacing w:line="276" w:lineRule="auto"/>
            </w:pPr>
            <w:r>
              <w:rPr>
                <w:sz w:val="22"/>
              </w:rPr>
              <w:t>0.25</w:t>
            </w:r>
          </w:p>
        </w:tc>
        <w:tc>
          <w:tcPr>
            <w:tcW w:w="1350" w:type="dxa"/>
            <w:shd w:val="clear" w:color="auto" w:fill="FFFFFF"/>
          </w:tcPr>
          <w:p w14:paraId="6EC65C51" w14:textId="77777777" w:rsidR="004879C6" w:rsidRDefault="00934F55">
            <w:pPr>
              <w:spacing w:line="276" w:lineRule="auto"/>
              <w:rPr>
                <w:sz w:val="22"/>
              </w:rPr>
            </w:pPr>
            <w:r>
              <w:rPr>
                <w:sz w:val="22"/>
              </w:rPr>
              <w:t>3.47</w:t>
            </w:r>
            <w:r>
              <w:rPr>
                <w:sz w:val="22"/>
                <w:vertAlign w:val="superscript"/>
              </w:rPr>
              <w:t xml:space="preserve">a </w:t>
            </w:r>
            <w:r>
              <w:rPr>
                <w:sz w:val="22"/>
              </w:rPr>
              <w:t>±0.03</w:t>
            </w:r>
          </w:p>
          <w:p w14:paraId="4AD0946C" w14:textId="77777777" w:rsidR="004879C6" w:rsidRDefault="00934F55">
            <w:pPr>
              <w:spacing w:line="276" w:lineRule="auto"/>
            </w:pPr>
            <w:r>
              <w:rPr>
                <w:sz w:val="22"/>
              </w:rPr>
              <w:t>0.26</w:t>
            </w:r>
          </w:p>
        </w:tc>
        <w:tc>
          <w:tcPr>
            <w:tcW w:w="1440" w:type="dxa"/>
            <w:shd w:val="clear" w:color="auto" w:fill="FFFFFF"/>
          </w:tcPr>
          <w:p w14:paraId="3EDADCF5" w14:textId="77777777" w:rsidR="004879C6" w:rsidRDefault="00934F55">
            <w:pPr>
              <w:spacing w:line="276" w:lineRule="auto"/>
              <w:rPr>
                <w:sz w:val="22"/>
              </w:rPr>
            </w:pPr>
            <w:r>
              <w:rPr>
                <w:sz w:val="22"/>
              </w:rPr>
              <w:t>3.26</w:t>
            </w:r>
            <w:r>
              <w:rPr>
                <w:sz w:val="22"/>
                <w:vertAlign w:val="superscript"/>
              </w:rPr>
              <w:t xml:space="preserve">a </w:t>
            </w:r>
            <w:r>
              <w:rPr>
                <w:sz w:val="22"/>
              </w:rPr>
              <w:t>±0.05</w:t>
            </w:r>
          </w:p>
          <w:p w14:paraId="6D5B8828" w14:textId="77777777" w:rsidR="004879C6" w:rsidRDefault="00934F55">
            <w:pPr>
              <w:spacing w:line="276" w:lineRule="auto"/>
            </w:pPr>
            <w:r>
              <w:rPr>
                <w:sz w:val="22"/>
              </w:rPr>
              <w:t>0.26</w:t>
            </w:r>
          </w:p>
        </w:tc>
        <w:tc>
          <w:tcPr>
            <w:tcW w:w="1350" w:type="dxa"/>
            <w:shd w:val="clear" w:color="auto" w:fill="FFFFFF"/>
          </w:tcPr>
          <w:p w14:paraId="6B83489C" w14:textId="77777777" w:rsidR="004879C6" w:rsidRDefault="00934F55">
            <w:pPr>
              <w:spacing w:line="276" w:lineRule="auto"/>
              <w:rPr>
                <w:sz w:val="22"/>
              </w:rPr>
            </w:pPr>
            <w:r>
              <w:rPr>
                <w:sz w:val="22"/>
              </w:rPr>
              <w:t>4.36</w:t>
            </w:r>
            <w:r>
              <w:rPr>
                <w:sz w:val="22"/>
                <w:vertAlign w:val="superscript"/>
              </w:rPr>
              <w:t xml:space="preserve">a </w:t>
            </w:r>
            <w:r>
              <w:rPr>
                <w:sz w:val="22"/>
              </w:rPr>
              <w:t>±0.06</w:t>
            </w:r>
          </w:p>
          <w:p w14:paraId="26858009" w14:textId="77777777" w:rsidR="004879C6" w:rsidRDefault="00934F55">
            <w:pPr>
              <w:spacing w:line="276" w:lineRule="auto"/>
            </w:pPr>
            <w:r>
              <w:rPr>
                <w:sz w:val="22"/>
              </w:rPr>
              <w:t>0.23</w:t>
            </w:r>
          </w:p>
        </w:tc>
        <w:tc>
          <w:tcPr>
            <w:tcW w:w="1350" w:type="dxa"/>
            <w:shd w:val="clear" w:color="auto" w:fill="FFFFFF"/>
          </w:tcPr>
          <w:p w14:paraId="6A8D9A61" w14:textId="77777777" w:rsidR="004879C6" w:rsidRDefault="00934F55">
            <w:pPr>
              <w:spacing w:line="276" w:lineRule="auto"/>
              <w:rPr>
                <w:sz w:val="22"/>
              </w:rPr>
            </w:pPr>
            <w:r>
              <w:rPr>
                <w:sz w:val="22"/>
              </w:rPr>
              <w:t>1.91</w:t>
            </w:r>
            <w:r>
              <w:rPr>
                <w:sz w:val="22"/>
                <w:vertAlign w:val="superscript"/>
              </w:rPr>
              <w:t xml:space="preserve">a </w:t>
            </w:r>
            <w:r>
              <w:rPr>
                <w:sz w:val="22"/>
              </w:rPr>
              <w:t>± 0.03</w:t>
            </w:r>
          </w:p>
          <w:p w14:paraId="55687585" w14:textId="77777777" w:rsidR="004879C6" w:rsidRDefault="00934F55">
            <w:pPr>
              <w:spacing w:line="276" w:lineRule="auto"/>
            </w:pPr>
            <w:r>
              <w:rPr>
                <w:sz w:val="22"/>
              </w:rPr>
              <w:t>0.21</w:t>
            </w:r>
          </w:p>
        </w:tc>
        <w:tc>
          <w:tcPr>
            <w:tcW w:w="1350" w:type="dxa"/>
            <w:shd w:val="clear" w:color="auto" w:fill="FFFFFF"/>
          </w:tcPr>
          <w:p w14:paraId="237159F1" w14:textId="77777777" w:rsidR="004879C6" w:rsidRDefault="00934F55">
            <w:pPr>
              <w:spacing w:line="276" w:lineRule="auto"/>
              <w:rPr>
                <w:sz w:val="22"/>
              </w:rPr>
            </w:pPr>
            <w:r>
              <w:rPr>
                <w:sz w:val="22"/>
              </w:rPr>
              <w:t>1.71</w:t>
            </w:r>
            <w:r>
              <w:rPr>
                <w:sz w:val="22"/>
                <w:vertAlign w:val="superscript"/>
              </w:rPr>
              <w:t xml:space="preserve">a </w:t>
            </w:r>
            <w:r>
              <w:rPr>
                <w:sz w:val="22"/>
              </w:rPr>
              <w:t>±0.07</w:t>
            </w:r>
          </w:p>
          <w:p w14:paraId="4E94383C" w14:textId="77777777" w:rsidR="004879C6" w:rsidRDefault="00934F55">
            <w:pPr>
              <w:spacing w:line="276" w:lineRule="auto"/>
            </w:pPr>
            <w:r>
              <w:t>0.19</w:t>
            </w:r>
          </w:p>
        </w:tc>
      </w:tr>
    </w:tbl>
    <w:p w14:paraId="174916CE"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 &lt; 0.05).</w:t>
      </w:r>
    </w:p>
    <w:p w14:paraId="69FC9302" w14:textId="77777777" w:rsidR="004879C6" w:rsidRDefault="00934F55">
      <w:pPr>
        <w:spacing w:line="276" w:lineRule="auto"/>
        <w:rPr>
          <w:sz w:val="20"/>
          <w:szCs w:val="20"/>
        </w:rPr>
      </w:pPr>
      <w:bookmarkStart w:id="22" w:name="_heading=h.2nusc19" w:colFirst="0" w:colLast="0"/>
      <w:bookmarkEnd w:id="22"/>
      <w:r>
        <w:rPr>
          <w:sz w:val="20"/>
          <w:szCs w:val="20"/>
        </w:rPr>
        <w:t xml:space="preserve">A – Biscuits prepared from 100% wheat flour. B – </w:t>
      </w:r>
      <w:r>
        <w:rPr>
          <w:sz w:val="20"/>
          <w:szCs w:val="20"/>
        </w:rPr>
        <w:t>Biscuits prepared from 90% wheat, 5% Bambara groundnut and 5% African bush mango mesocarp flours.  C – Biscuits prepared from 80% wheat, 15% Bambara groundnut and 5% African bush mango mesocarp flours. D – Biscuit prepared from 70% wheat, 20% Bambara groun</w:t>
      </w:r>
      <w:r>
        <w:rPr>
          <w:sz w:val="20"/>
          <w:szCs w:val="20"/>
        </w:rPr>
        <w:t>dnut and 10% African bush mango mesocarp flours.  E – Biscuits prepared from 60% wheat, 25% Bambara groundnut and 15% African bush mango mesocarp flours. F – Biscuits prepared from 50% wheat, 30% Bambara groundnut and 20% African bush mango mesocarp flours</w:t>
      </w:r>
      <w:r>
        <w:rPr>
          <w:sz w:val="20"/>
          <w:szCs w:val="20"/>
        </w:rPr>
        <w:t>.</w:t>
      </w:r>
    </w:p>
    <w:p w14:paraId="19A09A15" w14:textId="77777777" w:rsidR="004879C6" w:rsidRDefault="00934F55">
      <w:pPr>
        <w:spacing w:line="276" w:lineRule="auto"/>
        <w:rPr>
          <w:sz w:val="20"/>
          <w:szCs w:val="20"/>
        </w:rPr>
      </w:pPr>
      <w:r>
        <w:rPr>
          <w:sz w:val="20"/>
          <w:szCs w:val="20"/>
        </w:rPr>
        <w:t>WF- Wheat flour, BGF- Bambara groundnut flour, ABMF- African bush mango mesocarp flour.</w:t>
      </w:r>
    </w:p>
    <w:p w14:paraId="4143CFC0" w14:textId="77777777" w:rsidR="004879C6" w:rsidRDefault="00934F55">
      <w:pPr>
        <w:pStyle w:val="Heading2"/>
        <w:spacing w:line="276" w:lineRule="auto"/>
      </w:pPr>
      <w:r>
        <w:br w:type="page"/>
      </w:r>
    </w:p>
    <w:p w14:paraId="6185D476" w14:textId="77777777" w:rsidR="004879C6" w:rsidRDefault="00934F55">
      <w:pPr>
        <w:pStyle w:val="Heading2"/>
        <w:spacing w:line="276" w:lineRule="auto"/>
      </w:pPr>
      <w:r>
        <w:lastRenderedPageBreak/>
        <w:t>Microbial Counts of Biscuit Samples</w:t>
      </w:r>
    </w:p>
    <w:p w14:paraId="6634994B" w14:textId="77777777" w:rsidR="004879C6" w:rsidRDefault="00934F55">
      <w:pPr>
        <w:spacing w:line="276" w:lineRule="auto"/>
      </w:pPr>
      <w:r>
        <w:t xml:space="preserve">The microbial counts of the biscuit samples are presented in Table 4. </w:t>
      </w:r>
    </w:p>
    <w:p w14:paraId="0AE9B7B4" w14:textId="77777777" w:rsidR="004879C6" w:rsidRDefault="00934F55">
      <w:pPr>
        <w:spacing w:line="276" w:lineRule="auto"/>
      </w:pPr>
      <w:r>
        <w:t>The total viable count of the biscuit samples ranged from</w:t>
      </w:r>
      <w:r>
        <w:t xml:space="preserve"> 0.3</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to 1.20</w:t>
      </w:r>
      <m:oMath>
        <m:r>
          <m:rPr>
            <m:sty m:val="p"/>
          </m:rPr>
          <w:rPr>
            <w:rFonts w:ascii="Cambria Math" w:hAnsi="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4</m:t>
            </m:r>
          </m:sup>
        </m:sSup>
        <m:r>
          <m:rPr>
            <m:sty m:val="p"/>
          </m:rPr>
          <w:rPr>
            <w:rFonts w:ascii="Cambria Math" w:eastAsia="Cambria Math" w:hAnsi="Cambria Math" w:cs="Cambria Math"/>
          </w:rPr>
          <m:t>cfu/g.</m:t>
        </m:r>
      </m:oMath>
      <w:r>
        <w:t xml:space="preserve"> The result showed that the control sample (Biscuits made with 100% wheat flour) had the lowest total viable count (0.32</w:t>
      </w:r>
      <m:oMath>
        <m:r>
          <w:rPr>
            <w:rFonts w:ascii="Cambria Math" w:eastAsia="Cambria Math" w:hAnsi="Cambria Math" w:cs="Cambria Math"/>
          </w:rPr>
          <m:t>×10</m:t>
        </m:r>
      </m:oMath>
      <w:r>
        <w:rPr>
          <w:vertAlign w:val="superscript"/>
        </w:rPr>
        <w:t>4</w:t>
      </w:r>
      <w:r>
        <w:t xml:space="preserve">cfu/g), while the composite biscuits substituted with 30% Bambara groundnut and 20% bush mango mesocarp </w:t>
      </w:r>
      <w:r>
        <w:t>flours had the highest  total viable count (1.20</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cfu/g). The low total viable counts recorded by the samples generally could be due to the fact that the preparation of the biscuit samples was carried out in a clean environment. In addition, it also show</w:t>
      </w:r>
      <w:r>
        <w:t>ed that clean containers were used to package the flour samples used for the preparation of the biscuits after processing. The result further showed that none of the samples of the biscuits was identified to have the growth of microorganisms such as colifo</w:t>
      </w:r>
      <w:r>
        <w:t>rm and fungi. The absence of coliform bacteria and fungi in all the biscuit samples is an indication that they were safe for human consumption and would be stored for a long period without spoilage provided they are properly packaged.</w:t>
      </w:r>
    </w:p>
    <w:p w14:paraId="4339259E" w14:textId="77777777" w:rsidR="004879C6" w:rsidRDefault="00934F55">
      <w:pPr>
        <w:spacing w:line="276" w:lineRule="auto"/>
      </w:pPr>
      <w:r>
        <w:t>The total viable coun</w:t>
      </w:r>
      <w:r>
        <w:t xml:space="preserve">t of microorganisms in the food samples was not high when assessed using guidelines for microbiological quality of snacks and others ready to eat foods (Anon, 2001; Farinde </w:t>
      </w:r>
      <w:r>
        <w:rPr>
          <w:i/>
        </w:rPr>
        <w:t xml:space="preserve">et al., </w:t>
      </w:r>
      <w:r>
        <w:t>2017) which indicates (10</w:t>
      </w:r>
      <w:r>
        <w:rPr>
          <w:vertAlign w:val="superscript"/>
        </w:rPr>
        <w:t>4</w:t>
      </w:r>
      <w:r>
        <w:t>cfu/g) for satisfactory, (10</w:t>
      </w:r>
      <w:r>
        <w:rPr>
          <w:vertAlign w:val="superscript"/>
        </w:rPr>
        <w:t>4</w:t>
      </w:r>
      <w:r>
        <w:t xml:space="preserve"> to 10</w:t>
      </w:r>
      <w:r>
        <w:rPr>
          <w:vertAlign w:val="superscript"/>
        </w:rPr>
        <w:t>5</w:t>
      </w:r>
      <w:r>
        <w:t>cfu/g) for ac</w:t>
      </w:r>
      <w:r>
        <w:t>ceptable and the unsatisfactory quality being 10</w:t>
      </w:r>
      <w:r>
        <w:rPr>
          <w:vertAlign w:val="superscript"/>
        </w:rPr>
        <w:t>5</w:t>
      </w:r>
      <w:r>
        <w:t xml:space="preserve">cfu/g. The total bacterial and fungal counts in a food product may be a consequence of the low level of hygiene maintained after post processing, preservation and storage of the product. Microorganisms play </w:t>
      </w:r>
      <w:r>
        <w:t>a significant role in the determination of shelf-life of food products. They are usually responsible for the spoilage of many food products (James, 2003). Limits of microbial counts have been developed and recommended in most foods to keep them safe for co</w:t>
      </w:r>
      <w:r>
        <w:t>nsumption. Therefore, there is a need to properly store a food product with packaging material best suitable for it and in the best environment in order to prevent contamination and more microorganisms from gaining entrance. Moreover, it is preferable to u</w:t>
      </w:r>
      <w:r>
        <w:t>tilize these flours as soon as possible especially Bambara groundnut flour because of its high protein content which may cause spoilage with ease after prolonged storage.</w:t>
      </w:r>
    </w:p>
    <w:p w14:paraId="02650534" w14:textId="77777777" w:rsidR="004879C6" w:rsidRDefault="004879C6">
      <w:pPr>
        <w:pStyle w:val="Heading2"/>
        <w:spacing w:line="276" w:lineRule="auto"/>
      </w:pPr>
      <w:bookmarkStart w:id="23" w:name="_heading=h.8iwyyh28a7yj" w:colFirst="0" w:colLast="0"/>
      <w:bookmarkEnd w:id="23"/>
    </w:p>
    <w:p w14:paraId="78855775" w14:textId="77777777" w:rsidR="004879C6" w:rsidRDefault="004879C6">
      <w:pPr>
        <w:spacing w:line="276" w:lineRule="auto"/>
      </w:pPr>
    </w:p>
    <w:p w14:paraId="2E790CDB" w14:textId="77777777" w:rsidR="004879C6" w:rsidRDefault="00934F55">
      <w:pPr>
        <w:spacing w:after="160" w:line="276" w:lineRule="auto"/>
      </w:pPr>
      <w:r>
        <w:br w:type="page"/>
      </w:r>
    </w:p>
    <w:p w14:paraId="74EF06F2" w14:textId="77777777" w:rsidR="004879C6" w:rsidRDefault="00934F55">
      <w:pPr>
        <w:spacing w:after="160" w:line="276" w:lineRule="auto"/>
        <w:rPr>
          <w:b/>
        </w:rPr>
      </w:pPr>
      <w:r>
        <w:rPr>
          <w:b/>
        </w:rPr>
        <w:lastRenderedPageBreak/>
        <w:t>Table 4: Microbial counts of biscuit samples (cfu/g)</w:t>
      </w:r>
    </w:p>
    <w:tbl>
      <w:tblPr>
        <w:tblW w:w="9043" w:type="dxa"/>
        <w:tblInd w:w="-115" w:type="dxa"/>
        <w:tblLayout w:type="fixed"/>
        <w:tblLook w:val="0600" w:firstRow="0" w:lastRow="0" w:firstColumn="0" w:lastColumn="0" w:noHBand="1" w:noVBand="1"/>
      </w:tblPr>
      <w:tblGrid>
        <w:gridCol w:w="1030"/>
        <w:gridCol w:w="2073"/>
        <w:gridCol w:w="1710"/>
        <w:gridCol w:w="1806"/>
        <w:gridCol w:w="2424"/>
      </w:tblGrid>
      <w:tr w:rsidR="004879C6" w14:paraId="00E518CA" w14:textId="77777777">
        <w:trPr>
          <w:trHeight w:val="763"/>
        </w:trPr>
        <w:tc>
          <w:tcPr>
            <w:tcW w:w="1030" w:type="dxa"/>
            <w:tcBorders>
              <w:top w:val="single" w:sz="4" w:space="0" w:color="auto"/>
              <w:bottom w:val="single" w:sz="4" w:space="0" w:color="auto"/>
            </w:tcBorders>
          </w:tcPr>
          <w:p w14:paraId="10EA6681" w14:textId="77777777" w:rsidR="004879C6" w:rsidRDefault="00934F55">
            <w:pPr>
              <w:spacing w:line="276" w:lineRule="auto"/>
            </w:pPr>
            <w:r>
              <w:t xml:space="preserve">Samples </w:t>
            </w:r>
          </w:p>
        </w:tc>
        <w:tc>
          <w:tcPr>
            <w:tcW w:w="2073" w:type="dxa"/>
            <w:tcBorders>
              <w:top w:val="single" w:sz="4" w:space="0" w:color="auto"/>
              <w:bottom w:val="single" w:sz="4" w:space="0" w:color="auto"/>
            </w:tcBorders>
          </w:tcPr>
          <w:p w14:paraId="0B6B2E9F" w14:textId="77777777" w:rsidR="004879C6" w:rsidRDefault="00934F55">
            <w:pPr>
              <w:spacing w:line="276" w:lineRule="auto"/>
              <w:rPr>
                <w:b/>
                <w:sz w:val="20"/>
                <w:szCs w:val="20"/>
              </w:rPr>
            </w:pPr>
            <w:r>
              <w:rPr>
                <w:b/>
                <w:sz w:val="20"/>
                <w:szCs w:val="20"/>
              </w:rPr>
              <w:t xml:space="preserve">%Substitution </w:t>
            </w:r>
          </w:p>
          <w:p w14:paraId="29E82F61" w14:textId="77777777" w:rsidR="004879C6" w:rsidRDefault="00934F55">
            <w:pPr>
              <w:spacing w:line="276" w:lineRule="auto"/>
              <w:rPr>
                <w:b/>
                <w:sz w:val="20"/>
                <w:szCs w:val="20"/>
              </w:rPr>
            </w:pPr>
            <w:r>
              <w:rPr>
                <w:b/>
                <w:sz w:val="20"/>
                <w:szCs w:val="20"/>
              </w:rPr>
              <w:t>WF:BBF:BMF</w:t>
            </w:r>
          </w:p>
        </w:tc>
        <w:tc>
          <w:tcPr>
            <w:tcW w:w="1710" w:type="dxa"/>
            <w:tcBorders>
              <w:top w:val="single" w:sz="4" w:space="0" w:color="auto"/>
              <w:bottom w:val="single" w:sz="4" w:space="0" w:color="auto"/>
            </w:tcBorders>
          </w:tcPr>
          <w:p w14:paraId="4B6E56C2" w14:textId="77777777" w:rsidR="004879C6" w:rsidRDefault="00934F55">
            <w:pPr>
              <w:spacing w:line="276" w:lineRule="auto"/>
            </w:pPr>
            <w:r>
              <w:t>Total Viable Count (cfu/g)</w:t>
            </w:r>
          </w:p>
        </w:tc>
        <w:tc>
          <w:tcPr>
            <w:tcW w:w="1806" w:type="dxa"/>
            <w:tcBorders>
              <w:top w:val="single" w:sz="4" w:space="0" w:color="auto"/>
              <w:bottom w:val="single" w:sz="4" w:space="0" w:color="auto"/>
            </w:tcBorders>
          </w:tcPr>
          <w:p w14:paraId="630324FE" w14:textId="77777777" w:rsidR="004879C6" w:rsidRDefault="00934F55">
            <w:pPr>
              <w:spacing w:line="276" w:lineRule="auto"/>
            </w:pPr>
            <w:r>
              <w:t>Coliform Count</w:t>
            </w:r>
          </w:p>
          <w:p w14:paraId="0AAF2049" w14:textId="77777777" w:rsidR="004879C6" w:rsidRDefault="00934F55">
            <w:pPr>
              <w:spacing w:line="276" w:lineRule="auto"/>
            </w:pPr>
            <w:r>
              <w:t xml:space="preserve"> (cfu/g)</w:t>
            </w:r>
          </w:p>
        </w:tc>
        <w:tc>
          <w:tcPr>
            <w:tcW w:w="2424" w:type="dxa"/>
            <w:tcBorders>
              <w:top w:val="single" w:sz="4" w:space="0" w:color="auto"/>
              <w:bottom w:val="single" w:sz="4" w:space="0" w:color="auto"/>
            </w:tcBorders>
          </w:tcPr>
          <w:p w14:paraId="7B76353B" w14:textId="77777777" w:rsidR="004879C6" w:rsidRDefault="00934F55">
            <w:pPr>
              <w:spacing w:line="276" w:lineRule="auto"/>
            </w:pPr>
            <w:r>
              <w:t>Fungal Count (cfu/g)</w:t>
            </w:r>
          </w:p>
        </w:tc>
      </w:tr>
      <w:tr w:rsidR="004879C6" w14:paraId="19CB28C1" w14:textId="77777777">
        <w:trPr>
          <w:trHeight w:val="544"/>
        </w:trPr>
        <w:tc>
          <w:tcPr>
            <w:tcW w:w="1030" w:type="dxa"/>
            <w:vMerge w:val="restart"/>
            <w:tcBorders>
              <w:top w:val="single" w:sz="4" w:space="0" w:color="auto"/>
            </w:tcBorders>
          </w:tcPr>
          <w:p w14:paraId="6FF4B6B3" w14:textId="77777777" w:rsidR="004879C6" w:rsidRDefault="00934F55">
            <w:pPr>
              <w:spacing w:line="276" w:lineRule="auto"/>
            </w:pPr>
            <w:r>
              <w:t>A</w:t>
            </w:r>
          </w:p>
          <w:p w14:paraId="1A11EF83" w14:textId="77777777" w:rsidR="004879C6" w:rsidRDefault="00934F55">
            <w:pPr>
              <w:spacing w:line="276" w:lineRule="auto"/>
            </w:pPr>
            <w:r>
              <w:t>B</w:t>
            </w:r>
          </w:p>
        </w:tc>
        <w:tc>
          <w:tcPr>
            <w:tcW w:w="2073" w:type="dxa"/>
            <w:tcBorders>
              <w:top w:val="single" w:sz="4" w:space="0" w:color="auto"/>
            </w:tcBorders>
          </w:tcPr>
          <w:p w14:paraId="3D1E249F" w14:textId="77777777" w:rsidR="004879C6" w:rsidRDefault="00934F55">
            <w:pPr>
              <w:spacing w:line="276" w:lineRule="auto"/>
            </w:pPr>
            <w:r>
              <w:t>100:  0 :   0</w:t>
            </w:r>
          </w:p>
        </w:tc>
        <w:tc>
          <w:tcPr>
            <w:tcW w:w="1710" w:type="dxa"/>
            <w:tcBorders>
              <w:top w:val="single" w:sz="4" w:space="0" w:color="auto"/>
            </w:tcBorders>
          </w:tcPr>
          <w:p w14:paraId="486FABCC" w14:textId="77777777" w:rsidR="004879C6" w:rsidRDefault="00934F55">
            <w:pPr>
              <w:spacing w:line="276" w:lineRule="auto"/>
            </w:pPr>
            <w:r>
              <w:t>0.32 x 10</w:t>
            </w:r>
            <w:r>
              <w:rPr>
                <w:vertAlign w:val="superscript"/>
              </w:rPr>
              <w:t>4</w:t>
            </w:r>
          </w:p>
        </w:tc>
        <w:tc>
          <w:tcPr>
            <w:tcW w:w="1806" w:type="dxa"/>
            <w:tcBorders>
              <w:top w:val="single" w:sz="4" w:space="0" w:color="auto"/>
            </w:tcBorders>
          </w:tcPr>
          <w:p w14:paraId="7F1E883F" w14:textId="77777777" w:rsidR="004879C6" w:rsidRDefault="00934F55">
            <w:pPr>
              <w:spacing w:line="276" w:lineRule="auto"/>
            </w:pPr>
            <w:r>
              <w:t xml:space="preserve">     Nil</w:t>
            </w:r>
          </w:p>
        </w:tc>
        <w:tc>
          <w:tcPr>
            <w:tcW w:w="2424" w:type="dxa"/>
            <w:tcBorders>
              <w:top w:val="single" w:sz="4" w:space="0" w:color="auto"/>
            </w:tcBorders>
          </w:tcPr>
          <w:p w14:paraId="515DE29B" w14:textId="77777777" w:rsidR="004879C6" w:rsidRDefault="00934F55">
            <w:pPr>
              <w:spacing w:line="276" w:lineRule="auto"/>
            </w:pPr>
            <w:r>
              <w:t xml:space="preserve">    Nil</w:t>
            </w:r>
          </w:p>
        </w:tc>
      </w:tr>
      <w:tr w:rsidR="004879C6" w14:paraId="6A143EC7" w14:textId="77777777">
        <w:trPr>
          <w:trHeight w:val="544"/>
        </w:trPr>
        <w:tc>
          <w:tcPr>
            <w:tcW w:w="1030" w:type="dxa"/>
            <w:vMerge/>
          </w:tcPr>
          <w:p w14:paraId="21E742CA" w14:textId="77777777" w:rsidR="004879C6" w:rsidRDefault="004879C6">
            <w:pPr>
              <w:widowControl w:val="0"/>
              <w:pBdr>
                <w:top w:val="nil"/>
                <w:left w:val="nil"/>
                <w:bottom w:val="nil"/>
                <w:right w:val="nil"/>
                <w:between w:val="nil"/>
              </w:pBdr>
              <w:spacing w:line="276" w:lineRule="auto"/>
              <w:jc w:val="left"/>
            </w:pPr>
          </w:p>
        </w:tc>
        <w:tc>
          <w:tcPr>
            <w:tcW w:w="2073" w:type="dxa"/>
          </w:tcPr>
          <w:p w14:paraId="3FFA0E95" w14:textId="77777777" w:rsidR="004879C6" w:rsidRDefault="00934F55">
            <w:pPr>
              <w:spacing w:line="276" w:lineRule="auto"/>
            </w:pPr>
            <w:r>
              <w:t>90  : 5  :   5</w:t>
            </w:r>
          </w:p>
        </w:tc>
        <w:tc>
          <w:tcPr>
            <w:tcW w:w="1710" w:type="dxa"/>
          </w:tcPr>
          <w:p w14:paraId="770E43BD" w14:textId="77777777" w:rsidR="004879C6" w:rsidRDefault="00934F55">
            <w:pPr>
              <w:spacing w:line="276" w:lineRule="auto"/>
            </w:pPr>
            <w:r>
              <w:t>0.57 x 10</w:t>
            </w:r>
            <w:r>
              <w:rPr>
                <w:vertAlign w:val="superscript"/>
              </w:rPr>
              <w:t>4</w:t>
            </w:r>
          </w:p>
        </w:tc>
        <w:tc>
          <w:tcPr>
            <w:tcW w:w="1806" w:type="dxa"/>
          </w:tcPr>
          <w:p w14:paraId="7949B327" w14:textId="77777777" w:rsidR="004879C6" w:rsidRDefault="00934F55">
            <w:pPr>
              <w:spacing w:line="276" w:lineRule="auto"/>
            </w:pPr>
            <w:r>
              <w:t xml:space="preserve">     Nil</w:t>
            </w:r>
          </w:p>
        </w:tc>
        <w:tc>
          <w:tcPr>
            <w:tcW w:w="2424" w:type="dxa"/>
          </w:tcPr>
          <w:p w14:paraId="1B6AC500" w14:textId="77777777" w:rsidR="004879C6" w:rsidRDefault="00934F55">
            <w:pPr>
              <w:spacing w:line="276" w:lineRule="auto"/>
            </w:pPr>
            <w:r>
              <w:t xml:space="preserve">    Nil</w:t>
            </w:r>
          </w:p>
        </w:tc>
      </w:tr>
      <w:tr w:rsidR="004879C6" w14:paraId="3B5A854D" w14:textId="77777777">
        <w:trPr>
          <w:trHeight w:val="544"/>
        </w:trPr>
        <w:tc>
          <w:tcPr>
            <w:tcW w:w="1030" w:type="dxa"/>
            <w:vMerge w:val="restart"/>
          </w:tcPr>
          <w:p w14:paraId="25B957D3" w14:textId="77777777" w:rsidR="004879C6" w:rsidRDefault="00934F55">
            <w:pPr>
              <w:spacing w:line="276" w:lineRule="auto"/>
            </w:pPr>
            <w:r>
              <w:t xml:space="preserve">C </w:t>
            </w:r>
          </w:p>
          <w:p w14:paraId="526AF2F9" w14:textId="77777777" w:rsidR="004879C6" w:rsidRDefault="00934F55">
            <w:pPr>
              <w:spacing w:line="276" w:lineRule="auto"/>
            </w:pPr>
            <w:r>
              <w:t>D</w:t>
            </w:r>
          </w:p>
        </w:tc>
        <w:tc>
          <w:tcPr>
            <w:tcW w:w="2073" w:type="dxa"/>
          </w:tcPr>
          <w:p w14:paraId="6BF81292" w14:textId="77777777" w:rsidR="004879C6" w:rsidRDefault="00934F55">
            <w:pPr>
              <w:spacing w:line="276" w:lineRule="auto"/>
            </w:pPr>
            <w:r>
              <w:t>80 : 15 :  5</w:t>
            </w:r>
          </w:p>
        </w:tc>
        <w:tc>
          <w:tcPr>
            <w:tcW w:w="1710" w:type="dxa"/>
          </w:tcPr>
          <w:p w14:paraId="26ED5C42" w14:textId="77777777" w:rsidR="004879C6" w:rsidRDefault="00934F55">
            <w:pPr>
              <w:spacing w:line="276" w:lineRule="auto"/>
            </w:pPr>
            <w:r>
              <w:t>0.72 x 10</w:t>
            </w:r>
            <w:r>
              <w:rPr>
                <w:vertAlign w:val="superscript"/>
              </w:rPr>
              <w:t>4</w:t>
            </w:r>
          </w:p>
        </w:tc>
        <w:tc>
          <w:tcPr>
            <w:tcW w:w="1806" w:type="dxa"/>
          </w:tcPr>
          <w:p w14:paraId="7AF91522" w14:textId="77777777" w:rsidR="004879C6" w:rsidRDefault="00934F55">
            <w:pPr>
              <w:spacing w:line="276" w:lineRule="auto"/>
            </w:pPr>
            <w:r>
              <w:t xml:space="preserve">     Nil</w:t>
            </w:r>
          </w:p>
        </w:tc>
        <w:tc>
          <w:tcPr>
            <w:tcW w:w="2424" w:type="dxa"/>
          </w:tcPr>
          <w:p w14:paraId="40ACAC4B" w14:textId="77777777" w:rsidR="004879C6" w:rsidRDefault="00934F55">
            <w:pPr>
              <w:spacing w:line="276" w:lineRule="auto"/>
            </w:pPr>
            <w:r>
              <w:t xml:space="preserve">    Nil</w:t>
            </w:r>
          </w:p>
        </w:tc>
      </w:tr>
      <w:tr w:rsidR="004879C6" w14:paraId="0AB128FA" w14:textId="77777777">
        <w:trPr>
          <w:trHeight w:val="544"/>
        </w:trPr>
        <w:tc>
          <w:tcPr>
            <w:tcW w:w="1030" w:type="dxa"/>
            <w:vMerge/>
          </w:tcPr>
          <w:p w14:paraId="1AB89C76" w14:textId="77777777" w:rsidR="004879C6" w:rsidRDefault="004879C6">
            <w:pPr>
              <w:widowControl w:val="0"/>
              <w:pBdr>
                <w:top w:val="nil"/>
                <w:left w:val="nil"/>
                <w:bottom w:val="nil"/>
                <w:right w:val="nil"/>
                <w:between w:val="nil"/>
              </w:pBdr>
              <w:spacing w:line="276" w:lineRule="auto"/>
              <w:jc w:val="left"/>
            </w:pPr>
          </w:p>
        </w:tc>
        <w:tc>
          <w:tcPr>
            <w:tcW w:w="2073" w:type="dxa"/>
          </w:tcPr>
          <w:p w14:paraId="37572B44" w14:textId="77777777" w:rsidR="004879C6" w:rsidRDefault="00934F55">
            <w:pPr>
              <w:spacing w:line="276" w:lineRule="auto"/>
            </w:pPr>
            <w:r>
              <w:t>70 : 20 :  10</w:t>
            </w:r>
          </w:p>
        </w:tc>
        <w:tc>
          <w:tcPr>
            <w:tcW w:w="1710" w:type="dxa"/>
          </w:tcPr>
          <w:p w14:paraId="2623A5B9" w14:textId="77777777" w:rsidR="004879C6" w:rsidRDefault="00934F55">
            <w:pPr>
              <w:spacing w:line="276" w:lineRule="auto"/>
            </w:pPr>
            <w:r>
              <w:t>0.98 x 10</w:t>
            </w:r>
            <w:r>
              <w:rPr>
                <w:vertAlign w:val="superscript"/>
              </w:rPr>
              <w:t xml:space="preserve">4 </w:t>
            </w:r>
          </w:p>
        </w:tc>
        <w:tc>
          <w:tcPr>
            <w:tcW w:w="1806" w:type="dxa"/>
          </w:tcPr>
          <w:p w14:paraId="409971C4" w14:textId="77777777" w:rsidR="004879C6" w:rsidRDefault="00934F55">
            <w:pPr>
              <w:spacing w:line="276" w:lineRule="auto"/>
            </w:pPr>
            <w:r>
              <w:t xml:space="preserve">     Nil</w:t>
            </w:r>
          </w:p>
        </w:tc>
        <w:tc>
          <w:tcPr>
            <w:tcW w:w="2424" w:type="dxa"/>
          </w:tcPr>
          <w:p w14:paraId="59AE3196" w14:textId="77777777" w:rsidR="004879C6" w:rsidRDefault="00934F55">
            <w:pPr>
              <w:spacing w:line="276" w:lineRule="auto"/>
            </w:pPr>
            <w:r>
              <w:t xml:space="preserve">    Nil</w:t>
            </w:r>
          </w:p>
        </w:tc>
      </w:tr>
      <w:tr w:rsidR="004879C6" w14:paraId="162EBD16" w14:textId="77777777">
        <w:trPr>
          <w:trHeight w:val="544"/>
        </w:trPr>
        <w:tc>
          <w:tcPr>
            <w:tcW w:w="1030" w:type="dxa"/>
          </w:tcPr>
          <w:p w14:paraId="497DBE5C" w14:textId="77777777" w:rsidR="004879C6" w:rsidRDefault="00934F55">
            <w:pPr>
              <w:spacing w:line="276" w:lineRule="auto"/>
            </w:pPr>
            <w:r>
              <w:t xml:space="preserve">E </w:t>
            </w:r>
          </w:p>
        </w:tc>
        <w:tc>
          <w:tcPr>
            <w:tcW w:w="2073" w:type="dxa"/>
          </w:tcPr>
          <w:p w14:paraId="77FCAA75" w14:textId="77777777" w:rsidR="004879C6" w:rsidRDefault="00934F55">
            <w:pPr>
              <w:spacing w:line="276" w:lineRule="auto"/>
            </w:pPr>
            <w:r>
              <w:t>60 : 25 : 15</w:t>
            </w:r>
          </w:p>
        </w:tc>
        <w:tc>
          <w:tcPr>
            <w:tcW w:w="1710" w:type="dxa"/>
          </w:tcPr>
          <w:p w14:paraId="33243EF2" w14:textId="77777777" w:rsidR="004879C6" w:rsidRDefault="00934F55">
            <w:pPr>
              <w:spacing w:line="276" w:lineRule="auto"/>
            </w:pPr>
            <w:r>
              <w:t>1.10 x 10</w:t>
            </w:r>
            <w:r>
              <w:rPr>
                <w:vertAlign w:val="superscript"/>
              </w:rPr>
              <w:t xml:space="preserve">4 </w:t>
            </w:r>
          </w:p>
        </w:tc>
        <w:tc>
          <w:tcPr>
            <w:tcW w:w="1806" w:type="dxa"/>
          </w:tcPr>
          <w:p w14:paraId="108F87E2" w14:textId="77777777" w:rsidR="004879C6" w:rsidRDefault="00934F55">
            <w:pPr>
              <w:spacing w:line="276" w:lineRule="auto"/>
            </w:pPr>
            <w:r>
              <w:t xml:space="preserve">     Nil</w:t>
            </w:r>
          </w:p>
        </w:tc>
        <w:tc>
          <w:tcPr>
            <w:tcW w:w="2424" w:type="dxa"/>
          </w:tcPr>
          <w:p w14:paraId="6D5CA4E4" w14:textId="77777777" w:rsidR="004879C6" w:rsidRDefault="00934F55">
            <w:pPr>
              <w:spacing w:line="276" w:lineRule="auto"/>
            </w:pPr>
            <w:r>
              <w:t xml:space="preserve">    Nil</w:t>
            </w:r>
          </w:p>
        </w:tc>
      </w:tr>
      <w:tr w:rsidR="004879C6" w14:paraId="390CEEEB" w14:textId="77777777">
        <w:trPr>
          <w:trHeight w:val="544"/>
        </w:trPr>
        <w:tc>
          <w:tcPr>
            <w:tcW w:w="1030" w:type="dxa"/>
            <w:tcBorders>
              <w:bottom w:val="single" w:sz="4" w:space="0" w:color="auto"/>
            </w:tcBorders>
          </w:tcPr>
          <w:p w14:paraId="1A18AB05" w14:textId="77777777" w:rsidR="004879C6" w:rsidRDefault="00934F55">
            <w:pPr>
              <w:spacing w:line="276" w:lineRule="auto"/>
            </w:pPr>
            <w:r>
              <w:t xml:space="preserve">F </w:t>
            </w:r>
          </w:p>
        </w:tc>
        <w:tc>
          <w:tcPr>
            <w:tcW w:w="2073" w:type="dxa"/>
            <w:tcBorders>
              <w:bottom w:val="single" w:sz="4" w:space="0" w:color="auto"/>
            </w:tcBorders>
          </w:tcPr>
          <w:p w14:paraId="3F6590DE" w14:textId="77777777" w:rsidR="004879C6" w:rsidRDefault="00934F55">
            <w:pPr>
              <w:spacing w:line="276" w:lineRule="auto"/>
            </w:pPr>
            <w:r>
              <w:t>50 : 30 : 20</w:t>
            </w:r>
          </w:p>
        </w:tc>
        <w:tc>
          <w:tcPr>
            <w:tcW w:w="1710" w:type="dxa"/>
            <w:tcBorders>
              <w:bottom w:val="single" w:sz="4" w:space="0" w:color="auto"/>
            </w:tcBorders>
          </w:tcPr>
          <w:p w14:paraId="36737B60" w14:textId="77777777" w:rsidR="004879C6" w:rsidRDefault="00934F55">
            <w:pPr>
              <w:spacing w:line="276" w:lineRule="auto"/>
            </w:pPr>
            <w:r>
              <w:t>1.20 x 10</w:t>
            </w:r>
            <w:r>
              <w:rPr>
                <w:vertAlign w:val="superscript"/>
              </w:rPr>
              <w:t xml:space="preserve">4 </w:t>
            </w:r>
          </w:p>
        </w:tc>
        <w:tc>
          <w:tcPr>
            <w:tcW w:w="1806" w:type="dxa"/>
            <w:tcBorders>
              <w:bottom w:val="single" w:sz="4" w:space="0" w:color="auto"/>
            </w:tcBorders>
          </w:tcPr>
          <w:p w14:paraId="0750ECD7" w14:textId="77777777" w:rsidR="004879C6" w:rsidRDefault="00934F55">
            <w:pPr>
              <w:spacing w:line="276" w:lineRule="auto"/>
            </w:pPr>
            <w:r>
              <w:t xml:space="preserve">     Nil</w:t>
            </w:r>
          </w:p>
        </w:tc>
        <w:tc>
          <w:tcPr>
            <w:tcW w:w="2424" w:type="dxa"/>
            <w:tcBorders>
              <w:bottom w:val="single" w:sz="4" w:space="0" w:color="auto"/>
            </w:tcBorders>
          </w:tcPr>
          <w:p w14:paraId="469ABB36" w14:textId="77777777" w:rsidR="004879C6" w:rsidRDefault="00934F55">
            <w:pPr>
              <w:spacing w:line="276" w:lineRule="auto"/>
            </w:pPr>
            <w:r>
              <w:t xml:space="preserve">    Nil</w:t>
            </w:r>
          </w:p>
        </w:tc>
      </w:tr>
    </w:tbl>
    <w:p w14:paraId="40368137" w14:textId="77777777" w:rsidR="004879C6" w:rsidRDefault="004879C6">
      <w:pPr>
        <w:spacing w:line="276" w:lineRule="auto"/>
        <w:rPr>
          <w:sz w:val="20"/>
          <w:szCs w:val="20"/>
        </w:rPr>
      </w:pPr>
    </w:p>
    <w:p w14:paraId="0607FEA4" w14:textId="77777777" w:rsidR="004879C6" w:rsidRDefault="00934F55">
      <w:pPr>
        <w:spacing w:line="276" w:lineRule="auto"/>
        <w:rPr>
          <w:sz w:val="20"/>
          <w:szCs w:val="20"/>
        </w:rPr>
      </w:pPr>
      <w:r>
        <w:rPr>
          <w:sz w:val="20"/>
          <w:szCs w:val="20"/>
        </w:rPr>
        <w:t xml:space="preserve">A – Biscuits prepared from 100% wheat flour. B – Biscuits prepared from 90% wheat, 5% Bambara groundnut and 5% African bush mango mesocarp </w:t>
      </w:r>
      <w:r>
        <w:rPr>
          <w:sz w:val="20"/>
          <w:szCs w:val="20"/>
        </w:rPr>
        <w:t>flours.  C – Biscuits prepared from 80% wheat, 15% Bambara groundnut and 5% African bush mango mesocarp flours. D – Biscuit prepared from 70% wheat, 20% Bambara groundnut and 10% African bush mango mesocarp flours.  E – Biscuits prepared from 60% wheat, 25</w:t>
      </w:r>
      <w:r>
        <w:rPr>
          <w:sz w:val="20"/>
          <w:szCs w:val="20"/>
        </w:rPr>
        <w:t>% Bambara groundnut and 15% African bush mango mesocarp flours. F – Biscuits prepared from 50% wheat, 30% Bambara groundnut and 20% African bush mango mesocarp flours.</w:t>
      </w:r>
    </w:p>
    <w:p w14:paraId="7BC07D04" w14:textId="77777777" w:rsidR="004879C6" w:rsidRDefault="00934F55">
      <w:pPr>
        <w:spacing w:line="276" w:lineRule="auto"/>
        <w:rPr>
          <w:sz w:val="20"/>
          <w:szCs w:val="20"/>
        </w:rPr>
      </w:pPr>
      <w:r>
        <w:rPr>
          <w:sz w:val="20"/>
          <w:szCs w:val="20"/>
        </w:rPr>
        <w:t>WF- Wheat flour, BGF- Bambara groundnut flour, ABMF- African bush mango mesocarp flour.</w:t>
      </w:r>
    </w:p>
    <w:p w14:paraId="2288FF70" w14:textId="77777777" w:rsidR="004879C6" w:rsidRDefault="004879C6">
      <w:pPr>
        <w:spacing w:line="276" w:lineRule="auto"/>
        <w:rPr>
          <w:sz w:val="20"/>
          <w:szCs w:val="20"/>
        </w:rPr>
      </w:pPr>
    </w:p>
    <w:p w14:paraId="7CBC1E43" w14:textId="77777777" w:rsidR="004879C6" w:rsidRDefault="004879C6">
      <w:pPr>
        <w:spacing w:line="276" w:lineRule="auto"/>
        <w:rPr>
          <w:sz w:val="20"/>
          <w:szCs w:val="20"/>
        </w:rPr>
      </w:pPr>
    </w:p>
    <w:p w14:paraId="57E1E17B" w14:textId="77777777" w:rsidR="004879C6" w:rsidRDefault="00934F55">
      <w:pPr>
        <w:spacing w:line="276" w:lineRule="auto"/>
        <w:rPr>
          <w:sz w:val="20"/>
          <w:szCs w:val="20"/>
        </w:rPr>
      </w:pPr>
      <w:r>
        <w:rPr>
          <w:sz w:val="20"/>
          <w:szCs w:val="20"/>
        </w:rPr>
        <w:t>          </w:t>
      </w:r>
    </w:p>
    <w:p w14:paraId="0F941051" w14:textId="77777777" w:rsidR="004879C6" w:rsidRDefault="00934F55">
      <w:pPr>
        <w:pStyle w:val="Heading2"/>
        <w:spacing w:line="276" w:lineRule="auto"/>
      </w:pPr>
      <w:bookmarkStart w:id="24" w:name="_heading=h.1302m92" w:colFirst="0" w:colLast="0"/>
      <w:bookmarkEnd w:id="24"/>
      <w:r>
        <w:br w:type="page"/>
      </w:r>
    </w:p>
    <w:p w14:paraId="3E42A4BB" w14:textId="77777777" w:rsidR="004879C6" w:rsidRDefault="00934F55">
      <w:pPr>
        <w:pStyle w:val="Heading2"/>
        <w:spacing w:line="276" w:lineRule="auto"/>
      </w:pPr>
      <w:r>
        <w:lastRenderedPageBreak/>
        <w:t>Physical Properties of Biscuit Samples</w:t>
      </w:r>
    </w:p>
    <w:p w14:paraId="1DB66158" w14:textId="77777777" w:rsidR="004879C6" w:rsidRDefault="00934F55">
      <w:pPr>
        <w:spacing w:line="276" w:lineRule="auto"/>
      </w:pPr>
      <w:r>
        <w:t>The physical properties of the biscuit samples are presented in Table 5.</w:t>
      </w:r>
    </w:p>
    <w:p w14:paraId="78C1246A" w14:textId="77777777" w:rsidR="004879C6" w:rsidRDefault="00934F55">
      <w:pPr>
        <w:spacing w:line="276" w:lineRule="auto"/>
      </w:pPr>
      <w:r>
        <w:t>The diameter of the biscuit samples ranged from 1.36 – 2.57cm.  The composite biscuits substituted with 30% Bambara groundnut and 20% bush mango mesocarp flours had the least diameter (1.36cm), while the control sample (Biscuits made from 100% wheat flour)</w:t>
      </w:r>
      <w:r>
        <w:t xml:space="preserve"> had the highest value (2.57cm). The decrease in diameter observed in the composite biscuit samples could be due to the substitution effect caused by the increase in the presence of hydrophilic sites due to the high protein content of Bambara groundnut flo</w:t>
      </w:r>
      <w:r>
        <w:t xml:space="preserve">ur. The values (1.36 – 2.57cm) obtained in this study were lower than the diameter (1.82 – 2.86cm) reported by Nasr </w:t>
      </w:r>
      <w:r>
        <w:rPr>
          <w:i/>
        </w:rPr>
        <w:t xml:space="preserve">et al. </w:t>
      </w:r>
      <w:r>
        <w:t>(2004) for biscuits made from wheat and free fat water melon seed kernel composite flours.</w:t>
      </w:r>
    </w:p>
    <w:p w14:paraId="249EE03C" w14:textId="77777777" w:rsidR="004879C6" w:rsidRDefault="00934F55">
      <w:pPr>
        <w:spacing w:line="276" w:lineRule="auto"/>
      </w:pPr>
      <w:r>
        <w:t>The height of the biscuit samples which ra</w:t>
      </w:r>
      <w:r>
        <w:t>nged from 2.14-3.56m</w:t>
      </w:r>
      <w:r>
        <w:rPr>
          <w:vertAlign w:val="superscript"/>
        </w:rPr>
        <w:t>2</w:t>
      </w:r>
      <w:r>
        <w:t xml:space="preserve"> increased significantly (p&lt;0.05) with increased substitution of Bambara groundnut and bush mango mesocarp flours. Zhang and Datta (2016) reported that the height of the biscuits is primarily affected by the volumetric expansion of the</w:t>
      </w:r>
      <w:r>
        <w:t xml:space="preserve"> dough caused by the evolution of gas during baking. It has also been reported that the onset of gelatinization during baking causes rapid plasticization of the starch-protein networks on gas cell wall formed, which tends to increase the mechanical strengt</w:t>
      </w:r>
      <w:r>
        <w:t xml:space="preserve">h of the dough near the surface, thereby making further expansion difficult (Singh </w:t>
      </w:r>
      <w:r>
        <w:rPr>
          <w:i/>
        </w:rPr>
        <w:t>et al</w:t>
      </w:r>
      <w:r>
        <w:t>., 2000). The values (2.14 – 3.56m</w:t>
      </w:r>
      <w:r>
        <w:rPr>
          <w:vertAlign w:val="superscript"/>
        </w:rPr>
        <w:t>2</w:t>
      </w:r>
      <w:r>
        <w:t>) obtained in this study were higher than the height (2.08 – 3.18m</w:t>
      </w:r>
      <w:r>
        <w:rPr>
          <w:vertAlign w:val="superscript"/>
        </w:rPr>
        <w:t>2</w:t>
      </w:r>
      <w:r>
        <w:t>) reported by Okoye and Obi (2017) for cookies made from wheat and</w:t>
      </w:r>
      <w:r>
        <w:t xml:space="preserve"> African bread fruit composite flours.</w:t>
      </w:r>
    </w:p>
    <w:p w14:paraId="7E0D1CA9" w14:textId="77777777" w:rsidR="004879C6" w:rsidRDefault="00934F55">
      <w:pPr>
        <w:spacing w:line="276" w:lineRule="auto"/>
      </w:pPr>
      <w:r>
        <w:t>The weight of the biscuit samples ranged from 2.36-3.51g. There were significant (p˂0.05) differences in the weight of the biscuit samples. The increase in weight observed in composite flour biscuits compared to the c</w:t>
      </w:r>
      <w:r>
        <w:t xml:space="preserve">ontrol could be probably due to increase in the availability of hydrophilic sites caused by the addition of Bambara groundnut and bush mango mesocarp flours which contributed to the structural development of the biscuits during baking (Anuonye </w:t>
      </w:r>
      <w:r>
        <w:rPr>
          <w:i/>
        </w:rPr>
        <w:t>et al.,</w:t>
      </w:r>
      <w:r>
        <w:t xml:space="preserve"> 2012</w:t>
      </w:r>
      <w:r>
        <w:t>; Iain, 2019).  The values (2.36-3.51g) obtained in this study were higher than the weight (1.18-2.05g) reported by Erleen (2011) for biscuits produced from millet-Bambara groundnut composite flours. Similar increase in weight was reported by Ubbor and Ako</w:t>
      </w:r>
      <w:r>
        <w:t xml:space="preserve">bundu (2009) for cookies made from watermelon seed, cassava and wheat composite flours. </w:t>
      </w:r>
    </w:p>
    <w:p w14:paraId="58116871" w14:textId="77777777" w:rsidR="004879C6" w:rsidRDefault="00934F55">
      <w:pPr>
        <w:spacing w:line="276" w:lineRule="auto"/>
      </w:pPr>
      <w:r>
        <w:t>The spread ratio of the samples ranged from 2.23-4.27. The spread ratio of biscuits is an important parameter used for evaluating the leavening ability of biscuits (Ok</w:t>
      </w:r>
      <w:r>
        <w:t xml:space="preserve">oye </w:t>
      </w:r>
      <w:r>
        <w:rPr>
          <w:i/>
        </w:rPr>
        <w:t xml:space="preserve">et al., </w:t>
      </w:r>
      <w:r>
        <w:t>2016). Biscuits with low spread ratio would have better leavening ability than those with high spread ratio (Ayto, 2002; Abiodun and Ehimen, 2017). The addition of Bambara groundnut and bush mango mesocarp flours reduced the spread ratio of the</w:t>
      </w:r>
      <w:r>
        <w:t xml:space="preserve"> biscuits. Previous studies have shown that the lower the fat content of biscuits, the higher the spread ratio (Abiodun and Ehimen, 2017; Kure </w:t>
      </w:r>
      <w:r>
        <w:rPr>
          <w:i/>
        </w:rPr>
        <w:t>et al.,</w:t>
      </w:r>
      <w:r>
        <w:t xml:space="preserve"> 2018). Biscuits with high spread ratio are more acceptable than those with low spread ratio (Olapade and </w:t>
      </w:r>
      <w:r>
        <w:t xml:space="preserve">Adeyemo, 2007; Okpala </w:t>
      </w:r>
      <w:r>
        <w:rPr>
          <w:i/>
        </w:rPr>
        <w:t>et al</w:t>
      </w:r>
      <w:r>
        <w:t>., 2013). Thus, the control sample (100% wheat flour biscuits) which had high spread ratio would be more acceptable to the consumers than the composite flour biscuits. The determination of spread ratio is important in biscuit mak</w:t>
      </w:r>
      <w:r>
        <w:t xml:space="preserve">ing because it is used to determine the number of biscuits that would be packaged in a standard package. </w:t>
      </w:r>
    </w:p>
    <w:p w14:paraId="2EE0AA5E" w14:textId="77777777" w:rsidR="004879C6" w:rsidRDefault="004879C6">
      <w:pPr>
        <w:spacing w:line="276" w:lineRule="auto"/>
      </w:pPr>
    </w:p>
    <w:p w14:paraId="7BF4A087" w14:textId="77777777" w:rsidR="004879C6" w:rsidRDefault="00934F55">
      <w:pPr>
        <w:spacing w:line="276" w:lineRule="auto"/>
        <w:sectPr w:rsidR="004879C6">
          <w:pgSz w:w="12240" w:h="15840"/>
          <w:pgMar w:top="900" w:right="1440" w:bottom="990" w:left="1440" w:header="708" w:footer="708" w:gutter="0"/>
          <w:pgNumType w:start="19"/>
          <w:cols w:space="720"/>
        </w:sectPr>
      </w:pPr>
      <w:r>
        <w:lastRenderedPageBreak/>
        <w:t xml:space="preserve">The spread factor of the biscuit samples which ranged from 1.55-2.22 decreased significantly (p&lt;0.05) with increased substitution of </w:t>
      </w:r>
      <w:r>
        <w:t xml:space="preserve">Bambara groundnut and bush mango mesocarp flours. The decrease could be attributed to the substitution effect which resulted in the collapse of the dough </w:t>
      </w:r>
    </w:p>
    <w:p w14:paraId="72BF46B6" w14:textId="77777777" w:rsidR="004879C6" w:rsidRDefault="00934F55">
      <w:pPr>
        <w:spacing w:line="276" w:lineRule="auto"/>
      </w:pPr>
      <w:r>
        <w:lastRenderedPageBreak/>
        <w:t>during baking coupled with the disruption of further expansion for the evolution of gas (Ubbor and Ak</w:t>
      </w:r>
      <w:r>
        <w:t xml:space="preserve">ibundu, 2009; Adegunwa </w:t>
      </w:r>
      <w:r>
        <w:rPr>
          <w:i/>
        </w:rPr>
        <w:t>et al.,</w:t>
      </w:r>
      <w:r>
        <w:t xml:space="preserve"> 2012). The values (1.55 – 2.22) obtained in this study were higher than the spread factor (1.12 – 1.82) reported by Adeyeye and Akingbala (2013) for cookies produced sweet potato and maize flour blends. </w:t>
      </w:r>
    </w:p>
    <w:p w14:paraId="2F08B512" w14:textId="77777777" w:rsidR="004879C6" w:rsidRDefault="004879C6">
      <w:pPr>
        <w:spacing w:line="276" w:lineRule="auto"/>
      </w:pPr>
    </w:p>
    <w:p w14:paraId="7C173E3D" w14:textId="77777777" w:rsidR="004879C6" w:rsidRDefault="00934F55">
      <w:pPr>
        <w:spacing w:line="276" w:lineRule="auto"/>
      </w:pPr>
      <w:r>
        <w:t>The thickness of the</w:t>
      </w:r>
      <w:r>
        <w:t xml:space="preserve"> biscuit samples which ranged from 1.55-1.80cm was significantly (p&lt;0.05) higher in composite biscuit samples compared to the control (100% wheat flour biscuits).  The thickness of the samples increased with increased substitution of Bambara groundnut and </w:t>
      </w:r>
      <w:r>
        <w:t>bush mango mesocarp flours. The increase in the thickness of biscuits supplemented with different proportions of Bambara groundnut bush mango mesocarp flours might be due to decrease in the availability of hydrophilic sites which tend to compete with limit</w:t>
      </w:r>
      <w:r>
        <w:t>ed amount of free water in the biscuit dough as a result of their high protein and fat contents. The values (1.55-1.80cm) obtained in this study were higher than the thickness (1.68-1.74cm) reported by Kumar and Rekha-Sinha (2010) for biscuits made from mi</w:t>
      </w:r>
      <w:r>
        <w:t xml:space="preserve">llet and soybean flour blends. </w:t>
      </w:r>
    </w:p>
    <w:p w14:paraId="22BBAE09" w14:textId="77777777" w:rsidR="004879C6" w:rsidRDefault="00934F55">
      <w:pPr>
        <w:spacing w:line="276" w:lineRule="auto"/>
      </w:pPr>
      <w:r>
        <w:t>The substitution of wheat flour with Bambara groundnut and bush mango mesocarp flours in the preparation of biscuits generally increased the height, weight and thickness with reducition in diameter, spread ratio and spread f</w:t>
      </w:r>
      <w:r>
        <w:t>actor of the products.</w:t>
      </w:r>
    </w:p>
    <w:p w14:paraId="15105D1F" w14:textId="77777777" w:rsidR="004879C6" w:rsidRDefault="004879C6">
      <w:pPr>
        <w:spacing w:line="276" w:lineRule="auto"/>
        <w:sectPr w:rsidR="004879C6">
          <w:pgSz w:w="12240" w:h="15840"/>
          <w:pgMar w:top="900" w:right="1440" w:bottom="990" w:left="1440" w:header="708" w:footer="708" w:gutter="0"/>
          <w:pgNumType w:start="23"/>
          <w:cols w:space="720"/>
        </w:sectPr>
      </w:pPr>
    </w:p>
    <w:p w14:paraId="2FD13D8A" w14:textId="77777777" w:rsidR="004879C6" w:rsidRDefault="004879C6">
      <w:pPr>
        <w:spacing w:line="276" w:lineRule="auto"/>
        <w:rPr>
          <w:b/>
        </w:rPr>
        <w:sectPr w:rsidR="004879C6">
          <w:pgSz w:w="12240" w:h="15840"/>
          <w:pgMar w:top="1440" w:right="1440" w:bottom="1440" w:left="1440" w:header="708" w:footer="708" w:gutter="0"/>
          <w:pgNumType w:start="66"/>
          <w:cols w:space="720"/>
        </w:sectPr>
      </w:pPr>
    </w:p>
    <w:p w14:paraId="0932915B" w14:textId="77777777" w:rsidR="004879C6" w:rsidRDefault="00934F55">
      <w:pPr>
        <w:spacing w:line="276" w:lineRule="auto"/>
        <w:rPr>
          <w:b/>
        </w:rPr>
      </w:pPr>
      <w:r>
        <w:rPr>
          <w:b/>
        </w:rPr>
        <w:lastRenderedPageBreak/>
        <w:t>Table 5: Physical Properties of Biscuit Samples</w:t>
      </w:r>
    </w:p>
    <w:tbl>
      <w:tblPr>
        <w:tblW w:w="10735" w:type="dxa"/>
        <w:tblInd w:w="-115" w:type="dxa"/>
        <w:tblBorders>
          <w:top w:val="single" w:sz="4" w:space="0" w:color="auto"/>
          <w:bottom w:val="single" w:sz="4" w:space="0" w:color="auto"/>
        </w:tblBorders>
        <w:tblLayout w:type="fixed"/>
        <w:tblLook w:val="0000" w:firstRow="0" w:lastRow="0" w:firstColumn="0" w:lastColumn="0" w:noHBand="0" w:noVBand="0"/>
      </w:tblPr>
      <w:tblGrid>
        <w:gridCol w:w="1015"/>
        <w:gridCol w:w="1530"/>
        <w:gridCol w:w="1440"/>
        <w:gridCol w:w="1260"/>
        <w:gridCol w:w="1260"/>
        <w:gridCol w:w="1260"/>
        <w:gridCol w:w="1440"/>
        <w:gridCol w:w="1530"/>
      </w:tblGrid>
      <w:tr w:rsidR="004879C6" w14:paraId="7FAD304B" w14:textId="77777777">
        <w:trPr>
          <w:trHeight w:val="534"/>
        </w:trPr>
        <w:tc>
          <w:tcPr>
            <w:tcW w:w="1015" w:type="dxa"/>
            <w:tcBorders>
              <w:top w:val="single" w:sz="4" w:space="0" w:color="auto"/>
              <w:bottom w:val="single" w:sz="4" w:space="0" w:color="auto"/>
            </w:tcBorders>
            <w:shd w:val="clear" w:color="auto" w:fill="FFFFFF"/>
          </w:tcPr>
          <w:p w14:paraId="73FF08B4" w14:textId="77777777" w:rsidR="004879C6" w:rsidRDefault="00934F55">
            <w:pPr>
              <w:spacing w:line="276" w:lineRule="auto"/>
              <w:rPr>
                <w:b/>
                <w:sz w:val="20"/>
              </w:rPr>
            </w:pPr>
            <w:r>
              <w:rPr>
                <w:b/>
                <w:sz w:val="20"/>
              </w:rPr>
              <w:t>Samples</w:t>
            </w:r>
          </w:p>
        </w:tc>
        <w:tc>
          <w:tcPr>
            <w:tcW w:w="1530" w:type="dxa"/>
            <w:tcBorders>
              <w:top w:val="single" w:sz="4" w:space="0" w:color="auto"/>
              <w:bottom w:val="single" w:sz="4" w:space="0" w:color="auto"/>
            </w:tcBorders>
            <w:shd w:val="clear" w:color="auto" w:fill="FFFFFF"/>
          </w:tcPr>
          <w:p w14:paraId="19FDC785" w14:textId="77777777" w:rsidR="004879C6" w:rsidRDefault="00934F55">
            <w:pPr>
              <w:spacing w:line="276" w:lineRule="auto"/>
              <w:rPr>
                <w:b/>
                <w:sz w:val="20"/>
                <w:szCs w:val="20"/>
              </w:rPr>
            </w:pPr>
            <w:r>
              <w:rPr>
                <w:b/>
                <w:sz w:val="20"/>
                <w:szCs w:val="20"/>
              </w:rPr>
              <w:t xml:space="preserve">%Substitution </w:t>
            </w:r>
          </w:p>
          <w:p w14:paraId="37DC02F9" w14:textId="77777777" w:rsidR="004879C6" w:rsidRDefault="00934F55">
            <w:pPr>
              <w:spacing w:line="276" w:lineRule="auto"/>
              <w:rPr>
                <w:b/>
                <w:sz w:val="20"/>
                <w:szCs w:val="20"/>
              </w:rPr>
            </w:pPr>
            <w:r>
              <w:rPr>
                <w:b/>
                <w:sz w:val="20"/>
                <w:szCs w:val="20"/>
              </w:rPr>
              <w:t>WF:BBF:BMF</w:t>
            </w:r>
          </w:p>
        </w:tc>
        <w:tc>
          <w:tcPr>
            <w:tcW w:w="1440" w:type="dxa"/>
            <w:tcBorders>
              <w:top w:val="single" w:sz="4" w:space="0" w:color="auto"/>
              <w:bottom w:val="single" w:sz="4" w:space="0" w:color="auto"/>
            </w:tcBorders>
            <w:shd w:val="clear" w:color="auto" w:fill="FFFFFF"/>
          </w:tcPr>
          <w:p w14:paraId="0E6AD324" w14:textId="77777777" w:rsidR="004879C6" w:rsidRDefault="00934F55">
            <w:pPr>
              <w:spacing w:line="276" w:lineRule="auto"/>
              <w:rPr>
                <w:b/>
                <w:sz w:val="20"/>
              </w:rPr>
            </w:pPr>
            <w:r>
              <w:rPr>
                <w:b/>
                <w:sz w:val="20"/>
              </w:rPr>
              <w:t>Diameter(cm)</w:t>
            </w:r>
          </w:p>
        </w:tc>
        <w:tc>
          <w:tcPr>
            <w:tcW w:w="1260" w:type="dxa"/>
            <w:tcBorders>
              <w:top w:val="single" w:sz="4" w:space="0" w:color="auto"/>
              <w:bottom w:val="single" w:sz="4" w:space="0" w:color="auto"/>
            </w:tcBorders>
            <w:shd w:val="clear" w:color="auto" w:fill="FFFFFF"/>
          </w:tcPr>
          <w:p w14:paraId="3332C6E6" w14:textId="77777777" w:rsidR="004879C6" w:rsidRDefault="00934F55">
            <w:pPr>
              <w:spacing w:line="276" w:lineRule="auto"/>
              <w:rPr>
                <w:b/>
                <w:sz w:val="20"/>
              </w:rPr>
            </w:pPr>
            <w:r>
              <w:rPr>
                <w:b/>
                <w:sz w:val="20"/>
              </w:rPr>
              <w:t>Height (m</w:t>
            </w:r>
            <w:r>
              <w:rPr>
                <w:b/>
                <w:sz w:val="20"/>
                <w:vertAlign w:val="superscript"/>
              </w:rPr>
              <w:t>2</w:t>
            </w:r>
            <w:r>
              <w:rPr>
                <w:b/>
                <w:sz w:val="20"/>
              </w:rPr>
              <w:t>)</w:t>
            </w:r>
          </w:p>
        </w:tc>
        <w:tc>
          <w:tcPr>
            <w:tcW w:w="1260" w:type="dxa"/>
            <w:tcBorders>
              <w:top w:val="single" w:sz="4" w:space="0" w:color="auto"/>
              <w:bottom w:val="single" w:sz="4" w:space="0" w:color="auto"/>
            </w:tcBorders>
            <w:shd w:val="clear" w:color="auto" w:fill="FFFFFF"/>
          </w:tcPr>
          <w:p w14:paraId="3E052F96" w14:textId="77777777" w:rsidR="004879C6" w:rsidRDefault="00934F55">
            <w:pPr>
              <w:spacing w:line="276" w:lineRule="auto"/>
              <w:rPr>
                <w:b/>
                <w:sz w:val="20"/>
              </w:rPr>
            </w:pPr>
            <w:r>
              <w:rPr>
                <w:b/>
                <w:sz w:val="20"/>
              </w:rPr>
              <w:t>Weight (g)</w:t>
            </w:r>
          </w:p>
        </w:tc>
        <w:tc>
          <w:tcPr>
            <w:tcW w:w="1260" w:type="dxa"/>
            <w:tcBorders>
              <w:top w:val="single" w:sz="4" w:space="0" w:color="auto"/>
              <w:bottom w:val="single" w:sz="4" w:space="0" w:color="auto"/>
            </w:tcBorders>
            <w:shd w:val="clear" w:color="auto" w:fill="FFFFFF"/>
          </w:tcPr>
          <w:p w14:paraId="67FF52A6" w14:textId="77777777" w:rsidR="004879C6" w:rsidRDefault="00934F55">
            <w:pPr>
              <w:spacing w:line="276" w:lineRule="auto"/>
              <w:rPr>
                <w:b/>
                <w:sz w:val="20"/>
              </w:rPr>
            </w:pPr>
            <w:r>
              <w:rPr>
                <w:b/>
                <w:sz w:val="20"/>
              </w:rPr>
              <w:t>Spread ratio</w:t>
            </w:r>
          </w:p>
        </w:tc>
        <w:tc>
          <w:tcPr>
            <w:tcW w:w="1440" w:type="dxa"/>
            <w:tcBorders>
              <w:top w:val="single" w:sz="4" w:space="0" w:color="auto"/>
              <w:bottom w:val="single" w:sz="4" w:space="0" w:color="auto"/>
            </w:tcBorders>
            <w:shd w:val="clear" w:color="auto" w:fill="FFFFFF"/>
          </w:tcPr>
          <w:p w14:paraId="49129D3F" w14:textId="77777777" w:rsidR="004879C6" w:rsidRDefault="00934F55">
            <w:pPr>
              <w:spacing w:line="276" w:lineRule="auto"/>
              <w:rPr>
                <w:b/>
                <w:sz w:val="20"/>
              </w:rPr>
            </w:pPr>
            <w:r>
              <w:rPr>
                <w:b/>
                <w:sz w:val="20"/>
              </w:rPr>
              <w:t>Spread factor</w:t>
            </w:r>
          </w:p>
        </w:tc>
        <w:tc>
          <w:tcPr>
            <w:tcW w:w="1530" w:type="dxa"/>
            <w:tcBorders>
              <w:top w:val="single" w:sz="4" w:space="0" w:color="auto"/>
              <w:bottom w:val="single" w:sz="4" w:space="0" w:color="auto"/>
            </w:tcBorders>
            <w:shd w:val="clear" w:color="auto" w:fill="FFFFFF"/>
          </w:tcPr>
          <w:p w14:paraId="6A2745C9" w14:textId="77777777" w:rsidR="004879C6" w:rsidRDefault="00934F55">
            <w:pPr>
              <w:spacing w:line="276" w:lineRule="auto"/>
              <w:rPr>
                <w:b/>
                <w:sz w:val="20"/>
              </w:rPr>
            </w:pPr>
            <w:r>
              <w:rPr>
                <w:b/>
                <w:sz w:val="20"/>
              </w:rPr>
              <w:t>Thickness (cm)</w:t>
            </w:r>
          </w:p>
        </w:tc>
      </w:tr>
      <w:tr w:rsidR="004879C6" w14:paraId="4ED45820" w14:textId="77777777">
        <w:trPr>
          <w:trHeight w:val="1"/>
        </w:trPr>
        <w:tc>
          <w:tcPr>
            <w:tcW w:w="1015" w:type="dxa"/>
            <w:tcBorders>
              <w:top w:val="single" w:sz="4" w:space="0" w:color="auto"/>
            </w:tcBorders>
            <w:shd w:val="clear" w:color="auto" w:fill="FFFFFF"/>
          </w:tcPr>
          <w:p w14:paraId="3222AC40" w14:textId="77777777" w:rsidR="004879C6" w:rsidRDefault="00934F55">
            <w:pPr>
              <w:spacing w:line="276" w:lineRule="auto"/>
              <w:rPr>
                <w:sz w:val="20"/>
              </w:rPr>
            </w:pPr>
            <w:r>
              <w:rPr>
                <w:sz w:val="20"/>
              </w:rPr>
              <w:t>A</w:t>
            </w:r>
          </w:p>
        </w:tc>
        <w:tc>
          <w:tcPr>
            <w:tcW w:w="1530" w:type="dxa"/>
            <w:tcBorders>
              <w:top w:val="single" w:sz="4" w:space="0" w:color="auto"/>
            </w:tcBorders>
            <w:shd w:val="clear" w:color="auto" w:fill="FFFFFF"/>
          </w:tcPr>
          <w:p w14:paraId="7736E897" w14:textId="77777777" w:rsidR="004879C6" w:rsidRDefault="00934F55">
            <w:pPr>
              <w:spacing w:line="276" w:lineRule="auto"/>
              <w:rPr>
                <w:sz w:val="20"/>
              </w:rPr>
            </w:pPr>
            <w:r>
              <w:rPr>
                <w:sz w:val="20"/>
              </w:rPr>
              <w:t>100:  0 :   0</w:t>
            </w:r>
          </w:p>
        </w:tc>
        <w:tc>
          <w:tcPr>
            <w:tcW w:w="1440" w:type="dxa"/>
            <w:tcBorders>
              <w:top w:val="single" w:sz="4" w:space="0" w:color="auto"/>
            </w:tcBorders>
            <w:shd w:val="clear" w:color="auto" w:fill="FFFFFF"/>
          </w:tcPr>
          <w:p w14:paraId="1085E4CA" w14:textId="77777777" w:rsidR="004879C6" w:rsidRDefault="00934F55">
            <w:pPr>
              <w:spacing w:line="276" w:lineRule="auto"/>
              <w:rPr>
                <w:sz w:val="20"/>
              </w:rPr>
            </w:pPr>
            <w:r>
              <w:rPr>
                <w:sz w:val="20"/>
              </w:rPr>
              <w:t>2.57</w:t>
            </w:r>
            <w:r>
              <w:rPr>
                <w:sz w:val="20"/>
                <w:vertAlign w:val="superscript"/>
              </w:rPr>
              <w:t xml:space="preserve">a </w:t>
            </w:r>
            <w:r>
              <w:rPr>
                <w:sz w:val="20"/>
              </w:rPr>
              <w:t>±0.03</w:t>
            </w:r>
          </w:p>
        </w:tc>
        <w:tc>
          <w:tcPr>
            <w:tcW w:w="1260" w:type="dxa"/>
            <w:tcBorders>
              <w:top w:val="single" w:sz="4" w:space="0" w:color="auto"/>
            </w:tcBorders>
            <w:shd w:val="clear" w:color="auto" w:fill="FFFFFF"/>
          </w:tcPr>
          <w:p w14:paraId="7BA6DDA4" w14:textId="77777777" w:rsidR="004879C6" w:rsidRDefault="00934F55">
            <w:pPr>
              <w:spacing w:line="276" w:lineRule="auto"/>
              <w:rPr>
                <w:sz w:val="20"/>
              </w:rPr>
            </w:pPr>
            <w:r>
              <w:rPr>
                <w:sz w:val="20"/>
              </w:rPr>
              <w:t>2.14</w:t>
            </w:r>
            <w:r>
              <w:rPr>
                <w:sz w:val="20"/>
                <w:vertAlign w:val="superscript"/>
              </w:rPr>
              <w:t xml:space="preserve">f </w:t>
            </w:r>
            <w:r>
              <w:rPr>
                <w:sz w:val="20"/>
              </w:rPr>
              <w:t>±0.28</w:t>
            </w:r>
          </w:p>
        </w:tc>
        <w:tc>
          <w:tcPr>
            <w:tcW w:w="1260" w:type="dxa"/>
            <w:tcBorders>
              <w:top w:val="single" w:sz="4" w:space="0" w:color="auto"/>
            </w:tcBorders>
            <w:shd w:val="clear" w:color="auto" w:fill="FFFFFF"/>
          </w:tcPr>
          <w:p w14:paraId="4B91C8A0" w14:textId="77777777" w:rsidR="004879C6" w:rsidRDefault="00934F55">
            <w:pPr>
              <w:spacing w:line="276" w:lineRule="auto"/>
              <w:rPr>
                <w:sz w:val="20"/>
              </w:rPr>
            </w:pPr>
            <w:r>
              <w:rPr>
                <w:sz w:val="20"/>
              </w:rPr>
              <w:t>2.36</w:t>
            </w:r>
            <w:r>
              <w:rPr>
                <w:sz w:val="20"/>
                <w:vertAlign w:val="superscript"/>
              </w:rPr>
              <w:t xml:space="preserve">f </w:t>
            </w:r>
            <w:r>
              <w:rPr>
                <w:sz w:val="20"/>
              </w:rPr>
              <w:t>±0.01</w:t>
            </w:r>
          </w:p>
        </w:tc>
        <w:tc>
          <w:tcPr>
            <w:tcW w:w="1260" w:type="dxa"/>
            <w:tcBorders>
              <w:top w:val="single" w:sz="4" w:space="0" w:color="auto"/>
            </w:tcBorders>
            <w:shd w:val="clear" w:color="auto" w:fill="FFFFFF"/>
          </w:tcPr>
          <w:p w14:paraId="32CA7945" w14:textId="77777777" w:rsidR="004879C6" w:rsidRDefault="00934F55">
            <w:pPr>
              <w:spacing w:line="276" w:lineRule="auto"/>
              <w:rPr>
                <w:sz w:val="20"/>
              </w:rPr>
            </w:pPr>
            <w:r>
              <w:rPr>
                <w:sz w:val="20"/>
              </w:rPr>
              <w:t>4.27</w:t>
            </w:r>
            <w:r>
              <w:rPr>
                <w:sz w:val="20"/>
                <w:vertAlign w:val="superscript"/>
              </w:rPr>
              <w:t xml:space="preserve">a </w:t>
            </w:r>
            <w:r>
              <w:rPr>
                <w:sz w:val="20"/>
              </w:rPr>
              <w:t>±0.01</w:t>
            </w:r>
          </w:p>
        </w:tc>
        <w:tc>
          <w:tcPr>
            <w:tcW w:w="1440" w:type="dxa"/>
            <w:tcBorders>
              <w:top w:val="single" w:sz="4" w:space="0" w:color="auto"/>
            </w:tcBorders>
            <w:shd w:val="clear" w:color="auto" w:fill="FFFFFF"/>
          </w:tcPr>
          <w:p w14:paraId="1C9B090F" w14:textId="77777777" w:rsidR="004879C6" w:rsidRDefault="00934F55">
            <w:pPr>
              <w:spacing w:line="276" w:lineRule="auto"/>
              <w:rPr>
                <w:sz w:val="20"/>
              </w:rPr>
            </w:pPr>
            <w:r>
              <w:rPr>
                <w:sz w:val="20"/>
              </w:rPr>
              <w:t>2.22</w:t>
            </w:r>
            <w:r>
              <w:rPr>
                <w:sz w:val="20"/>
                <w:vertAlign w:val="superscript"/>
              </w:rPr>
              <w:t xml:space="preserve">a </w:t>
            </w:r>
            <w:r>
              <w:rPr>
                <w:sz w:val="20"/>
              </w:rPr>
              <w:t>±0.04</w:t>
            </w:r>
          </w:p>
        </w:tc>
        <w:tc>
          <w:tcPr>
            <w:tcW w:w="1530" w:type="dxa"/>
            <w:tcBorders>
              <w:top w:val="single" w:sz="4" w:space="0" w:color="auto"/>
            </w:tcBorders>
            <w:shd w:val="clear" w:color="auto" w:fill="FFFFFF"/>
          </w:tcPr>
          <w:p w14:paraId="02B758BF" w14:textId="77777777" w:rsidR="004879C6" w:rsidRDefault="00934F55">
            <w:pPr>
              <w:spacing w:line="276" w:lineRule="auto"/>
              <w:rPr>
                <w:sz w:val="20"/>
              </w:rPr>
            </w:pPr>
            <w:r>
              <w:rPr>
                <w:sz w:val="20"/>
              </w:rPr>
              <w:t>1.55</w:t>
            </w:r>
            <w:r>
              <w:rPr>
                <w:sz w:val="20"/>
                <w:vertAlign w:val="superscript"/>
              </w:rPr>
              <w:t xml:space="preserve">f </w:t>
            </w:r>
            <w:r>
              <w:rPr>
                <w:sz w:val="20"/>
              </w:rPr>
              <w:t>± 0.07</w:t>
            </w:r>
          </w:p>
        </w:tc>
      </w:tr>
      <w:tr w:rsidR="004879C6" w14:paraId="193DDA21" w14:textId="77777777">
        <w:trPr>
          <w:trHeight w:val="1"/>
        </w:trPr>
        <w:tc>
          <w:tcPr>
            <w:tcW w:w="1015" w:type="dxa"/>
            <w:shd w:val="clear" w:color="auto" w:fill="FFFFFF"/>
          </w:tcPr>
          <w:p w14:paraId="43459B12" w14:textId="77777777" w:rsidR="004879C6" w:rsidRDefault="00934F55">
            <w:pPr>
              <w:spacing w:line="276" w:lineRule="auto"/>
              <w:rPr>
                <w:sz w:val="20"/>
              </w:rPr>
            </w:pPr>
            <w:r>
              <w:rPr>
                <w:sz w:val="20"/>
              </w:rPr>
              <w:t>B</w:t>
            </w:r>
          </w:p>
        </w:tc>
        <w:tc>
          <w:tcPr>
            <w:tcW w:w="1530" w:type="dxa"/>
            <w:shd w:val="clear" w:color="auto" w:fill="FFFFFF"/>
          </w:tcPr>
          <w:p w14:paraId="605ACB0B" w14:textId="77777777" w:rsidR="004879C6" w:rsidRDefault="00934F55">
            <w:pPr>
              <w:spacing w:line="276" w:lineRule="auto"/>
              <w:rPr>
                <w:sz w:val="20"/>
              </w:rPr>
            </w:pPr>
            <w:r>
              <w:rPr>
                <w:sz w:val="20"/>
              </w:rPr>
              <w:t>90  : 5  :   5</w:t>
            </w:r>
          </w:p>
        </w:tc>
        <w:tc>
          <w:tcPr>
            <w:tcW w:w="1440" w:type="dxa"/>
            <w:shd w:val="clear" w:color="auto" w:fill="FFFFFF"/>
          </w:tcPr>
          <w:p w14:paraId="162C461B" w14:textId="77777777" w:rsidR="004879C6" w:rsidRDefault="00934F55">
            <w:pPr>
              <w:spacing w:line="276" w:lineRule="auto"/>
              <w:rPr>
                <w:sz w:val="20"/>
              </w:rPr>
            </w:pPr>
            <w:r>
              <w:rPr>
                <w:sz w:val="20"/>
              </w:rPr>
              <w:t>2.27</w:t>
            </w:r>
            <w:r>
              <w:rPr>
                <w:sz w:val="20"/>
                <w:vertAlign w:val="superscript"/>
              </w:rPr>
              <w:t xml:space="preserve">b </w:t>
            </w:r>
            <w:r>
              <w:rPr>
                <w:sz w:val="20"/>
              </w:rPr>
              <w:t>± 0.05</w:t>
            </w:r>
          </w:p>
        </w:tc>
        <w:tc>
          <w:tcPr>
            <w:tcW w:w="1260" w:type="dxa"/>
            <w:shd w:val="clear" w:color="auto" w:fill="FFFFFF"/>
          </w:tcPr>
          <w:p w14:paraId="3B8A3CDF" w14:textId="77777777" w:rsidR="004879C6" w:rsidRDefault="00934F55">
            <w:pPr>
              <w:spacing w:line="276" w:lineRule="auto"/>
              <w:rPr>
                <w:sz w:val="20"/>
              </w:rPr>
            </w:pPr>
            <w:r>
              <w:rPr>
                <w:sz w:val="20"/>
              </w:rPr>
              <w:t>2.20</w:t>
            </w:r>
            <w:r>
              <w:rPr>
                <w:sz w:val="20"/>
                <w:vertAlign w:val="superscript"/>
              </w:rPr>
              <w:t xml:space="preserve">e </w:t>
            </w:r>
            <w:r>
              <w:rPr>
                <w:sz w:val="20"/>
              </w:rPr>
              <w:t>± 0.16</w:t>
            </w:r>
          </w:p>
        </w:tc>
        <w:tc>
          <w:tcPr>
            <w:tcW w:w="1260" w:type="dxa"/>
            <w:shd w:val="clear" w:color="auto" w:fill="FFFFFF"/>
          </w:tcPr>
          <w:p w14:paraId="414E004B" w14:textId="77777777" w:rsidR="004879C6" w:rsidRDefault="00934F55">
            <w:pPr>
              <w:spacing w:line="276" w:lineRule="auto"/>
              <w:rPr>
                <w:sz w:val="20"/>
              </w:rPr>
            </w:pPr>
            <w:r>
              <w:rPr>
                <w:sz w:val="20"/>
              </w:rPr>
              <w:t>2.67</w:t>
            </w:r>
            <w:r>
              <w:rPr>
                <w:sz w:val="20"/>
                <w:vertAlign w:val="superscript"/>
              </w:rPr>
              <w:t xml:space="preserve">e </w:t>
            </w:r>
            <w:r>
              <w:rPr>
                <w:sz w:val="20"/>
              </w:rPr>
              <w:t>± 0.04</w:t>
            </w:r>
          </w:p>
        </w:tc>
        <w:tc>
          <w:tcPr>
            <w:tcW w:w="1260" w:type="dxa"/>
            <w:shd w:val="clear" w:color="auto" w:fill="FFFFFF"/>
          </w:tcPr>
          <w:p w14:paraId="686E0972" w14:textId="77777777" w:rsidR="004879C6" w:rsidRDefault="00934F55">
            <w:pPr>
              <w:spacing w:line="276" w:lineRule="auto"/>
              <w:rPr>
                <w:sz w:val="20"/>
              </w:rPr>
            </w:pPr>
            <w:r>
              <w:rPr>
                <w:sz w:val="20"/>
              </w:rPr>
              <w:t>3.87</w:t>
            </w:r>
            <w:r>
              <w:rPr>
                <w:sz w:val="20"/>
                <w:vertAlign w:val="superscript"/>
              </w:rPr>
              <w:t xml:space="preserve">b </w:t>
            </w:r>
            <w:r>
              <w:rPr>
                <w:sz w:val="20"/>
              </w:rPr>
              <w:t>± 0.02</w:t>
            </w:r>
          </w:p>
        </w:tc>
        <w:tc>
          <w:tcPr>
            <w:tcW w:w="1440" w:type="dxa"/>
            <w:shd w:val="clear" w:color="auto" w:fill="FFFFFF"/>
          </w:tcPr>
          <w:p w14:paraId="606D5033" w14:textId="77777777" w:rsidR="004879C6" w:rsidRDefault="00934F55">
            <w:pPr>
              <w:spacing w:line="276" w:lineRule="auto"/>
              <w:rPr>
                <w:sz w:val="20"/>
              </w:rPr>
            </w:pPr>
            <w:r>
              <w:rPr>
                <w:sz w:val="20"/>
              </w:rPr>
              <w:t>2.09</w:t>
            </w:r>
            <w:r>
              <w:rPr>
                <w:sz w:val="20"/>
                <w:vertAlign w:val="superscript"/>
              </w:rPr>
              <w:t xml:space="preserve">b </w:t>
            </w:r>
            <w:r>
              <w:rPr>
                <w:sz w:val="20"/>
              </w:rPr>
              <w:t>± 0.03</w:t>
            </w:r>
          </w:p>
        </w:tc>
        <w:tc>
          <w:tcPr>
            <w:tcW w:w="1530" w:type="dxa"/>
            <w:shd w:val="clear" w:color="auto" w:fill="FFFFFF"/>
          </w:tcPr>
          <w:p w14:paraId="5CAAA30C" w14:textId="77777777" w:rsidR="004879C6" w:rsidRDefault="00934F55">
            <w:pPr>
              <w:spacing w:line="276" w:lineRule="auto"/>
              <w:rPr>
                <w:sz w:val="20"/>
              </w:rPr>
            </w:pPr>
            <w:r>
              <w:rPr>
                <w:sz w:val="20"/>
              </w:rPr>
              <w:t>1.63</w:t>
            </w:r>
            <w:r>
              <w:rPr>
                <w:sz w:val="20"/>
                <w:vertAlign w:val="superscript"/>
              </w:rPr>
              <w:t xml:space="preserve">e </w:t>
            </w:r>
            <w:r>
              <w:rPr>
                <w:sz w:val="20"/>
              </w:rPr>
              <w:t>± 0.05</w:t>
            </w:r>
          </w:p>
        </w:tc>
      </w:tr>
      <w:tr w:rsidR="004879C6" w14:paraId="40E6DF16" w14:textId="77777777">
        <w:trPr>
          <w:trHeight w:val="1"/>
        </w:trPr>
        <w:tc>
          <w:tcPr>
            <w:tcW w:w="1015" w:type="dxa"/>
            <w:shd w:val="clear" w:color="auto" w:fill="FFFFFF"/>
          </w:tcPr>
          <w:p w14:paraId="74E5E480" w14:textId="77777777" w:rsidR="004879C6" w:rsidRDefault="00934F55">
            <w:pPr>
              <w:spacing w:line="276" w:lineRule="auto"/>
              <w:rPr>
                <w:sz w:val="20"/>
              </w:rPr>
            </w:pPr>
            <w:r>
              <w:rPr>
                <w:sz w:val="20"/>
              </w:rPr>
              <w:t xml:space="preserve">C </w:t>
            </w:r>
          </w:p>
        </w:tc>
        <w:tc>
          <w:tcPr>
            <w:tcW w:w="1530" w:type="dxa"/>
            <w:shd w:val="clear" w:color="auto" w:fill="FFFFFF"/>
          </w:tcPr>
          <w:p w14:paraId="327BEB67" w14:textId="77777777" w:rsidR="004879C6" w:rsidRDefault="00934F55">
            <w:pPr>
              <w:spacing w:line="276" w:lineRule="auto"/>
              <w:rPr>
                <w:sz w:val="20"/>
              </w:rPr>
            </w:pPr>
            <w:r>
              <w:rPr>
                <w:sz w:val="20"/>
              </w:rPr>
              <w:t>80 : 15 :  5</w:t>
            </w:r>
          </w:p>
        </w:tc>
        <w:tc>
          <w:tcPr>
            <w:tcW w:w="1440" w:type="dxa"/>
            <w:shd w:val="clear" w:color="auto" w:fill="FFFFFF"/>
          </w:tcPr>
          <w:p w14:paraId="57028D48" w14:textId="77777777" w:rsidR="004879C6" w:rsidRDefault="00934F55">
            <w:pPr>
              <w:spacing w:line="276" w:lineRule="auto"/>
              <w:rPr>
                <w:sz w:val="20"/>
              </w:rPr>
            </w:pPr>
            <w:r>
              <w:rPr>
                <w:sz w:val="20"/>
              </w:rPr>
              <w:t>1.97</w:t>
            </w:r>
            <w:r>
              <w:rPr>
                <w:sz w:val="20"/>
                <w:vertAlign w:val="superscript"/>
              </w:rPr>
              <w:t xml:space="preserve">c </w:t>
            </w:r>
            <w:r>
              <w:rPr>
                <w:sz w:val="20"/>
              </w:rPr>
              <w:t>±0.04</w:t>
            </w:r>
          </w:p>
        </w:tc>
        <w:tc>
          <w:tcPr>
            <w:tcW w:w="1260" w:type="dxa"/>
            <w:shd w:val="clear" w:color="auto" w:fill="FFFFFF"/>
          </w:tcPr>
          <w:p w14:paraId="17F2EC35" w14:textId="77777777" w:rsidR="004879C6" w:rsidRDefault="00934F55">
            <w:pPr>
              <w:spacing w:line="276" w:lineRule="auto"/>
              <w:rPr>
                <w:sz w:val="20"/>
              </w:rPr>
            </w:pPr>
            <w:r>
              <w:rPr>
                <w:sz w:val="20"/>
              </w:rPr>
              <w:t>2.45</w:t>
            </w:r>
            <w:r>
              <w:rPr>
                <w:sz w:val="20"/>
                <w:vertAlign w:val="superscript"/>
              </w:rPr>
              <w:t xml:space="preserve">d </w:t>
            </w:r>
            <w:r>
              <w:rPr>
                <w:sz w:val="20"/>
              </w:rPr>
              <w:t>±0.14</w:t>
            </w:r>
          </w:p>
        </w:tc>
        <w:tc>
          <w:tcPr>
            <w:tcW w:w="1260" w:type="dxa"/>
            <w:shd w:val="clear" w:color="auto" w:fill="FFFFFF"/>
          </w:tcPr>
          <w:p w14:paraId="5D5C7A0E" w14:textId="77777777" w:rsidR="004879C6" w:rsidRDefault="00934F55">
            <w:pPr>
              <w:spacing w:line="276" w:lineRule="auto"/>
              <w:rPr>
                <w:sz w:val="20"/>
              </w:rPr>
            </w:pPr>
            <w:r>
              <w:rPr>
                <w:sz w:val="20"/>
              </w:rPr>
              <w:t>2.83</w:t>
            </w:r>
            <w:r>
              <w:rPr>
                <w:sz w:val="20"/>
                <w:vertAlign w:val="superscript"/>
              </w:rPr>
              <w:t xml:space="preserve">d </w:t>
            </w:r>
            <w:r>
              <w:rPr>
                <w:sz w:val="20"/>
              </w:rPr>
              <w:t>±0.00</w:t>
            </w:r>
          </w:p>
        </w:tc>
        <w:tc>
          <w:tcPr>
            <w:tcW w:w="1260" w:type="dxa"/>
            <w:shd w:val="clear" w:color="auto" w:fill="FFFFFF"/>
          </w:tcPr>
          <w:p w14:paraId="3FC34BE5" w14:textId="77777777" w:rsidR="004879C6" w:rsidRDefault="00934F55">
            <w:pPr>
              <w:spacing w:line="276" w:lineRule="auto"/>
              <w:rPr>
                <w:sz w:val="20"/>
              </w:rPr>
            </w:pPr>
            <w:r>
              <w:rPr>
                <w:sz w:val="20"/>
              </w:rPr>
              <w:t>3.43</w:t>
            </w:r>
            <w:r>
              <w:rPr>
                <w:sz w:val="20"/>
                <w:vertAlign w:val="superscript"/>
              </w:rPr>
              <w:t xml:space="preserve">c </w:t>
            </w:r>
            <w:r>
              <w:rPr>
                <w:sz w:val="20"/>
              </w:rPr>
              <w:t>±0.00</w:t>
            </w:r>
          </w:p>
        </w:tc>
        <w:tc>
          <w:tcPr>
            <w:tcW w:w="1440" w:type="dxa"/>
            <w:shd w:val="clear" w:color="auto" w:fill="FFFFFF"/>
          </w:tcPr>
          <w:p w14:paraId="42435DBE" w14:textId="77777777" w:rsidR="004879C6" w:rsidRDefault="00934F55">
            <w:pPr>
              <w:spacing w:line="276" w:lineRule="auto"/>
              <w:rPr>
                <w:sz w:val="20"/>
              </w:rPr>
            </w:pPr>
            <w:r>
              <w:rPr>
                <w:sz w:val="20"/>
              </w:rPr>
              <w:t>1.89</w:t>
            </w:r>
            <w:r>
              <w:rPr>
                <w:sz w:val="20"/>
                <w:vertAlign w:val="superscript"/>
              </w:rPr>
              <w:t xml:space="preserve">c </w:t>
            </w:r>
            <w:r>
              <w:rPr>
                <w:sz w:val="20"/>
              </w:rPr>
              <w:t>±0.04</w:t>
            </w:r>
          </w:p>
        </w:tc>
        <w:tc>
          <w:tcPr>
            <w:tcW w:w="1530" w:type="dxa"/>
            <w:shd w:val="clear" w:color="auto" w:fill="FFFFFF"/>
          </w:tcPr>
          <w:p w14:paraId="2D701BCA" w14:textId="77777777" w:rsidR="004879C6" w:rsidRDefault="00934F55">
            <w:pPr>
              <w:spacing w:line="276" w:lineRule="auto"/>
              <w:rPr>
                <w:sz w:val="20"/>
              </w:rPr>
            </w:pPr>
            <w:r>
              <w:rPr>
                <w:sz w:val="20"/>
              </w:rPr>
              <w:t>1.69</w:t>
            </w:r>
            <w:r>
              <w:rPr>
                <w:sz w:val="20"/>
                <w:vertAlign w:val="superscript"/>
              </w:rPr>
              <w:t xml:space="preserve">d </w:t>
            </w:r>
            <w:r>
              <w:rPr>
                <w:sz w:val="20"/>
              </w:rPr>
              <w:t>± 0.04</w:t>
            </w:r>
          </w:p>
        </w:tc>
      </w:tr>
      <w:tr w:rsidR="004879C6" w14:paraId="516C955E" w14:textId="77777777">
        <w:trPr>
          <w:trHeight w:val="1"/>
        </w:trPr>
        <w:tc>
          <w:tcPr>
            <w:tcW w:w="1015" w:type="dxa"/>
            <w:shd w:val="clear" w:color="auto" w:fill="FFFFFF"/>
          </w:tcPr>
          <w:p w14:paraId="74092C80" w14:textId="77777777" w:rsidR="004879C6" w:rsidRDefault="00934F55">
            <w:pPr>
              <w:spacing w:line="276" w:lineRule="auto"/>
              <w:rPr>
                <w:sz w:val="20"/>
              </w:rPr>
            </w:pPr>
            <w:r>
              <w:rPr>
                <w:sz w:val="20"/>
              </w:rPr>
              <w:t>D</w:t>
            </w:r>
          </w:p>
        </w:tc>
        <w:tc>
          <w:tcPr>
            <w:tcW w:w="1530" w:type="dxa"/>
            <w:shd w:val="clear" w:color="auto" w:fill="FFFFFF"/>
          </w:tcPr>
          <w:p w14:paraId="1EFD1EB7" w14:textId="77777777" w:rsidR="004879C6" w:rsidRDefault="00934F55">
            <w:pPr>
              <w:spacing w:line="276" w:lineRule="auto"/>
              <w:rPr>
                <w:sz w:val="20"/>
              </w:rPr>
            </w:pPr>
            <w:r>
              <w:rPr>
                <w:sz w:val="20"/>
              </w:rPr>
              <w:t>70 : 20 :  10</w:t>
            </w:r>
          </w:p>
        </w:tc>
        <w:tc>
          <w:tcPr>
            <w:tcW w:w="1440" w:type="dxa"/>
            <w:shd w:val="clear" w:color="auto" w:fill="FFFFFF"/>
          </w:tcPr>
          <w:p w14:paraId="6F9021D4" w14:textId="77777777" w:rsidR="004879C6" w:rsidRDefault="00934F55">
            <w:pPr>
              <w:spacing w:line="276" w:lineRule="auto"/>
              <w:rPr>
                <w:sz w:val="20"/>
              </w:rPr>
            </w:pPr>
            <w:r>
              <w:rPr>
                <w:sz w:val="20"/>
              </w:rPr>
              <w:t>1.79</w:t>
            </w:r>
            <w:r>
              <w:rPr>
                <w:sz w:val="20"/>
                <w:vertAlign w:val="superscript"/>
              </w:rPr>
              <w:t xml:space="preserve">d </w:t>
            </w:r>
            <w:r>
              <w:rPr>
                <w:sz w:val="20"/>
              </w:rPr>
              <w:t>±0.06</w:t>
            </w:r>
          </w:p>
        </w:tc>
        <w:tc>
          <w:tcPr>
            <w:tcW w:w="1260" w:type="dxa"/>
            <w:shd w:val="clear" w:color="auto" w:fill="FFFFFF"/>
          </w:tcPr>
          <w:p w14:paraId="076EA992" w14:textId="77777777" w:rsidR="004879C6" w:rsidRDefault="00934F55">
            <w:pPr>
              <w:spacing w:line="276" w:lineRule="auto"/>
              <w:rPr>
                <w:sz w:val="20"/>
              </w:rPr>
            </w:pPr>
            <w:r>
              <w:rPr>
                <w:sz w:val="20"/>
              </w:rPr>
              <w:t>2.83</w:t>
            </w:r>
            <w:r>
              <w:rPr>
                <w:sz w:val="20"/>
                <w:vertAlign w:val="superscript"/>
              </w:rPr>
              <w:t xml:space="preserve">c </w:t>
            </w:r>
            <w:r>
              <w:rPr>
                <w:sz w:val="20"/>
              </w:rPr>
              <w:t>± 0.02</w:t>
            </w:r>
          </w:p>
        </w:tc>
        <w:tc>
          <w:tcPr>
            <w:tcW w:w="1260" w:type="dxa"/>
            <w:shd w:val="clear" w:color="auto" w:fill="FFFFFF"/>
          </w:tcPr>
          <w:p w14:paraId="3B6BFAB7" w14:textId="77777777" w:rsidR="004879C6" w:rsidRDefault="00934F55">
            <w:pPr>
              <w:spacing w:line="276" w:lineRule="auto"/>
              <w:rPr>
                <w:sz w:val="20"/>
              </w:rPr>
            </w:pPr>
            <w:r>
              <w:rPr>
                <w:sz w:val="20"/>
              </w:rPr>
              <w:t>3.04</w:t>
            </w:r>
            <w:r>
              <w:rPr>
                <w:sz w:val="20"/>
                <w:vertAlign w:val="superscript"/>
              </w:rPr>
              <w:t xml:space="preserve">c </w:t>
            </w:r>
            <w:r>
              <w:rPr>
                <w:sz w:val="20"/>
              </w:rPr>
              <w:t>±0.05</w:t>
            </w:r>
          </w:p>
        </w:tc>
        <w:tc>
          <w:tcPr>
            <w:tcW w:w="1260" w:type="dxa"/>
            <w:shd w:val="clear" w:color="auto" w:fill="FFFFFF"/>
          </w:tcPr>
          <w:p w14:paraId="387E0C8E" w14:textId="77777777" w:rsidR="004879C6" w:rsidRDefault="00934F55">
            <w:pPr>
              <w:spacing w:line="276" w:lineRule="auto"/>
              <w:rPr>
                <w:sz w:val="20"/>
              </w:rPr>
            </w:pPr>
            <w:r>
              <w:rPr>
                <w:sz w:val="20"/>
              </w:rPr>
              <w:t>2.85</w:t>
            </w:r>
            <w:r>
              <w:rPr>
                <w:sz w:val="20"/>
                <w:vertAlign w:val="superscript"/>
              </w:rPr>
              <w:t xml:space="preserve">d </w:t>
            </w:r>
            <w:r>
              <w:rPr>
                <w:sz w:val="20"/>
              </w:rPr>
              <w:t>±0.03</w:t>
            </w:r>
          </w:p>
        </w:tc>
        <w:tc>
          <w:tcPr>
            <w:tcW w:w="1440" w:type="dxa"/>
            <w:shd w:val="clear" w:color="auto" w:fill="FFFFFF"/>
          </w:tcPr>
          <w:p w14:paraId="56B487C4" w14:textId="77777777" w:rsidR="004879C6" w:rsidRDefault="00934F55">
            <w:pPr>
              <w:spacing w:line="276" w:lineRule="auto"/>
              <w:rPr>
                <w:sz w:val="20"/>
              </w:rPr>
            </w:pPr>
            <w:r>
              <w:rPr>
                <w:sz w:val="20"/>
              </w:rPr>
              <w:t>1.79</w:t>
            </w:r>
            <w:r>
              <w:rPr>
                <w:sz w:val="20"/>
                <w:vertAlign w:val="superscript"/>
              </w:rPr>
              <w:t xml:space="preserve">d </w:t>
            </w:r>
            <w:r>
              <w:rPr>
                <w:sz w:val="20"/>
              </w:rPr>
              <w:t>±0.05</w:t>
            </w:r>
          </w:p>
        </w:tc>
        <w:tc>
          <w:tcPr>
            <w:tcW w:w="1530" w:type="dxa"/>
            <w:shd w:val="clear" w:color="auto" w:fill="FFFFFF"/>
          </w:tcPr>
          <w:p w14:paraId="66C93E6C" w14:textId="77777777" w:rsidR="004879C6" w:rsidRDefault="00934F55">
            <w:pPr>
              <w:spacing w:line="276" w:lineRule="auto"/>
              <w:rPr>
                <w:sz w:val="20"/>
              </w:rPr>
            </w:pPr>
            <w:r>
              <w:rPr>
                <w:sz w:val="20"/>
              </w:rPr>
              <w:t>1.76</w:t>
            </w:r>
            <w:r>
              <w:rPr>
                <w:sz w:val="20"/>
                <w:vertAlign w:val="superscript"/>
              </w:rPr>
              <w:t xml:space="preserve">c </w:t>
            </w:r>
            <w:r>
              <w:rPr>
                <w:sz w:val="20"/>
              </w:rPr>
              <w:t>±0.02</w:t>
            </w:r>
          </w:p>
        </w:tc>
      </w:tr>
      <w:tr w:rsidR="004879C6" w14:paraId="584390E3" w14:textId="77777777">
        <w:trPr>
          <w:trHeight w:val="1"/>
        </w:trPr>
        <w:tc>
          <w:tcPr>
            <w:tcW w:w="1015" w:type="dxa"/>
            <w:shd w:val="clear" w:color="auto" w:fill="FFFFFF"/>
          </w:tcPr>
          <w:p w14:paraId="4DAB12B6" w14:textId="77777777" w:rsidR="004879C6" w:rsidRDefault="00934F55">
            <w:pPr>
              <w:spacing w:line="276" w:lineRule="auto"/>
              <w:rPr>
                <w:sz w:val="20"/>
              </w:rPr>
            </w:pPr>
            <w:r>
              <w:rPr>
                <w:sz w:val="20"/>
              </w:rPr>
              <w:t xml:space="preserve">E </w:t>
            </w:r>
          </w:p>
        </w:tc>
        <w:tc>
          <w:tcPr>
            <w:tcW w:w="1530" w:type="dxa"/>
            <w:shd w:val="clear" w:color="auto" w:fill="FFFFFF"/>
          </w:tcPr>
          <w:p w14:paraId="36F9A89C" w14:textId="77777777" w:rsidR="004879C6" w:rsidRDefault="00934F55">
            <w:pPr>
              <w:spacing w:line="276" w:lineRule="auto"/>
              <w:rPr>
                <w:sz w:val="20"/>
              </w:rPr>
            </w:pPr>
            <w:r>
              <w:rPr>
                <w:sz w:val="20"/>
              </w:rPr>
              <w:t>60 : 25 : 15</w:t>
            </w:r>
          </w:p>
        </w:tc>
        <w:tc>
          <w:tcPr>
            <w:tcW w:w="1440" w:type="dxa"/>
            <w:shd w:val="clear" w:color="auto" w:fill="FFFFFF"/>
          </w:tcPr>
          <w:p w14:paraId="22C63001" w14:textId="77777777" w:rsidR="004879C6" w:rsidRDefault="00934F55">
            <w:pPr>
              <w:spacing w:line="276" w:lineRule="auto"/>
              <w:rPr>
                <w:sz w:val="20"/>
              </w:rPr>
            </w:pPr>
            <w:r>
              <w:rPr>
                <w:sz w:val="20"/>
              </w:rPr>
              <w:t>1.54</w:t>
            </w:r>
            <w:r>
              <w:rPr>
                <w:sz w:val="20"/>
                <w:vertAlign w:val="superscript"/>
              </w:rPr>
              <w:t xml:space="preserve">e </w:t>
            </w:r>
            <w:r>
              <w:rPr>
                <w:sz w:val="20"/>
              </w:rPr>
              <w:t>± 0.07</w:t>
            </w:r>
          </w:p>
        </w:tc>
        <w:tc>
          <w:tcPr>
            <w:tcW w:w="1260" w:type="dxa"/>
            <w:shd w:val="clear" w:color="auto" w:fill="FFFFFF"/>
          </w:tcPr>
          <w:p w14:paraId="282C6D35" w14:textId="77777777" w:rsidR="004879C6" w:rsidRDefault="00934F55">
            <w:pPr>
              <w:spacing w:line="276" w:lineRule="auto"/>
              <w:rPr>
                <w:sz w:val="20"/>
              </w:rPr>
            </w:pPr>
            <w:r>
              <w:rPr>
                <w:sz w:val="20"/>
              </w:rPr>
              <w:t>3.27</w:t>
            </w:r>
            <w:r>
              <w:rPr>
                <w:sz w:val="20"/>
                <w:vertAlign w:val="superscript"/>
              </w:rPr>
              <w:t xml:space="preserve">b </w:t>
            </w:r>
            <w:r>
              <w:rPr>
                <w:sz w:val="20"/>
              </w:rPr>
              <w:t>±0.05</w:t>
            </w:r>
          </w:p>
        </w:tc>
        <w:tc>
          <w:tcPr>
            <w:tcW w:w="1260" w:type="dxa"/>
            <w:shd w:val="clear" w:color="auto" w:fill="FFFFFF"/>
          </w:tcPr>
          <w:p w14:paraId="4B6651BC" w14:textId="77777777" w:rsidR="004879C6" w:rsidRDefault="00934F55">
            <w:pPr>
              <w:spacing w:line="276" w:lineRule="auto"/>
              <w:rPr>
                <w:sz w:val="20"/>
              </w:rPr>
            </w:pPr>
            <w:r>
              <w:rPr>
                <w:sz w:val="20"/>
              </w:rPr>
              <w:t>3.21</w:t>
            </w:r>
            <w:r>
              <w:rPr>
                <w:sz w:val="20"/>
                <w:vertAlign w:val="superscript"/>
              </w:rPr>
              <w:t xml:space="preserve">b </w:t>
            </w:r>
            <w:r>
              <w:rPr>
                <w:sz w:val="20"/>
              </w:rPr>
              <w:t>±0.04</w:t>
            </w:r>
          </w:p>
        </w:tc>
        <w:tc>
          <w:tcPr>
            <w:tcW w:w="1260" w:type="dxa"/>
            <w:shd w:val="clear" w:color="auto" w:fill="FFFFFF"/>
          </w:tcPr>
          <w:p w14:paraId="2F5A7E14" w14:textId="77777777" w:rsidR="004879C6" w:rsidRDefault="00934F55">
            <w:pPr>
              <w:spacing w:line="276" w:lineRule="auto"/>
              <w:rPr>
                <w:sz w:val="20"/>
              </w:rPr>
            </w:pPr>
            <w:r>
              <w:rPr>
                <w:sz w:val="20"/>
              </w:rPr>
              <w:t>2.54</w:t>
            </w:r>
            <w:r>
              <w:rPr>
                <w:sz w:val="20"/>
                <w:vertAlign w:val="superscript"/>
              </w:rPr>
              <w:t xml:space="preserve">e </w:t>
            </w:r>
            <w:r>
              <w:rPr>
                <w:sz w:val="20"/>
              </w:rPr>
              <w:t>±0.04</w:t>
            </w:r>
          </w:p>
        </w:tc>
        <w:tc>
          <w:tcPr>
            <w:tcW w:w="1440" w:type="dxa"/>
            <w:shd w:val="clear" w:color="auto" w:fill="FFFFFF"/>
          </w:tcPr>
          <w:p w14:paraId="3DA38481" w14:textId="77777777" w:rsidR="004879C6" w:rsidRDefault="00934F55">
            <w:pPr>
              <w:spacing w:line="276" w:lineRule="auto"/>
              <w:rPr>
                <w:sz w:val="20"/>
              </w:rPr>
            </w:pPr>
            <w:r>
              <w:rPr>
                <w:sz w:val="20"/>
              </w:rPr>
              <w:t>1.63</w:t>
            </w:r>
            <w:r>
              <w:rPr>
                <w:sz w:val="20"/>
                <w:vertAlign w:val="superscript"/>
              </w:rPr>
              <w:t xml:space="preserve">e </w:t>
            </w:r>
            <w:r>
              <w:rPr>
                <w:sz w:val="20"/>
              </w:rPr>
              <w:t>±0.11</w:t>
            </w:r>
          </w:p>
        </w:tc>
        <w:tc>
          <w:tcPr>
            <w:tcW w:w="1530" w:type="dxa"/>
            <w:shd w:val="clear" w:color="auto" w:fill="FFFFFF"/>
          </w:tcPr>
          <w:p w14:paraId="451F2E64" w14:textId="77777777" w:rsidR="004879C6" w:rsidRDefault="00934F55">
            <w:pPr>
              <w:spacing w:line="276" w:lineRule="auto"/>
              <w:rPr>
                <w:sz w:val="20"/>
              </w:rPr>
            </w:pPr>
            <w:r>
              <w:rPr>
                <w:sz w:val="20"/>
              </w:rPr>
              <w:t>1.83</w:t>
            </w:r>
            <w:r>
              <w:rPr>
                <w:sz w:val="20"/>
                <w:vertAlign w:val="superscript"/>
              </w:rPr>
              <w:t xml:space="preserve">b </w:t>
            </w:r>
            <w:r>
              <w:rPr>
                <w:sz w:val="20"/>
              </w:rPr>
              <w:t>±0.04</w:t>
            </w:r>
          </w:p>
        </w:tc>
      </w:tr>
      <w:tr w:rsidR="004879C6" w14:paraId="5FFF3317" w14:textId="77777777">
        <w:trPr>
          <w:trHeight w:val="1"/>
        </w:trPr>
        <w:tc>
          <w:tcPr>
            <w:tcW w:w="1015" w:type="dxa"/>
            <w:shd w:val="clear" w:color="auto" w:fill="FFFFFF"/>
          </w:tcPr>
          <w:p w14:paraId="331A3726" w14:textId="77777777" w:rsidR="004879C6" w:rsidRDefault="00934F55">
            <w:pPr>
              <w:spacing w:line="276" w:lineRule="auto"/>
              <w:rPr>
                <w:sz w:val="20"/>
              </w:rPr>
            </w:pPr>
            <w:r>
              <w:rPr>
                <w:sz w:val="20"/>
              </w:rPr>
              <w:t>F</w:t>
            </w:r>
          </w:p>
          <w:p w14:paraId="0FC268C0" w14:textId="77777777" w:rsidR="004879C6" w:rsidRDefault="00934F55">
            <w:pPr>
              <w:spacing w:line="276" w:lineRule="auto"/>
              <w:rPr>
                <w:sz w:val="20"/>
              </w:rPr>
            </w:pPr>
            <w:r>
              <w:rPr>
                <w:sz w:val="20"/>
              </w:rPr>
              <w:t xml:space="preserve">LSD </w:t>
            </w:r>
          </w:p>
        </w:tc>
        <w:tc>
          <w:tcPr>
            <w:tcW w:w="1530" w:type="dxa"/>
            <w:shd w:val="clear" w:color="auto" w:fill="FFFFFF"/>
          </w:tcPr>
          <w:p w14:paraId="30394D37" w14:textId="77777777" w:rsidR="004879C6" w:rsidRDefault="00934F55">
            <w:pPr>
              <w:spacing w:line="276" w:lineRule="auto"/>
              <w:rPr>
                <w:sz w:val="20"/>
              </w:rPr>
            </w:pPr>
            <w:r>
              <w:rPr>
                <w:sz w:val="20"/>
              </w:rPr>
              <w:t>50 : 30 : 20</w:t>
            </w:r>
          </w:p>
          <w:p w14:paraId="21540B0D" w14:textId="77777777" w:rsidR="004879C6" w:rsidRDefault="00934F55">
            <w:pPr>
              <w:spacing w:line="276" w:lineRule="auto"/>
              <w:rPr>
                <w:sz w:val="20"/>
              </w:rPr>
            </w:pPr>
            <w:r>
              <w:rPr>
                <w:sz w:val="20"/>
              </w:rPr>
              <w:t>(0.05)</w:t>
            </w:r>
          </w:p>
        </w:tc>
        <w:tc>
          <w:tcPr>
            <w:tcW w:w="1440" w:type="dxa"/>
            <w:shd w:val="clear" w:color="auto" w:fill="FFFFFF"/>
          </w:tcPr>
          <w:p w14:paraId="3038C3EC" w14:textId="77777777" w:rsidR="004879C6" w:rsidRDefault="00934F55">
            <w:pPr>
              <w:spacing w:line="276" w:lineRule="auto"/>
              <w:rPr>
                <w:sz w:val="20"/>
              </w:rPr>
            </w:pPr>
            <w:r>
              <w:rPr>
                <w:sz w:val="20"/>
              </w:rPr>
              <w:t>1.36</w:t>
            </w:r>
            <w:r>
              <w:rPr>
                <w:sz w:val="20"/>
                <w:vertAlign w:val="superscript"/>
              </w:rPr>
              <w:t xml:space="preserve">f </w:t>
            </w:r>
            <w:r>
              <w:rPr>
                <w:sz w:val="20"/>
              </w:rPr>
              <w:t>± 0.04</w:t>
            </w:r>
          </w:p>
          <w:p w14:paraId="0CC0F22E" w14:textId="77777777" w:rsidR="004879C6" w:rsidRDefault="00934F55">
            <w:pPr>
              <w:spacing w:line="276" w:lineRule="auto"/>
              <w:rPr>
                <w:sz w:val="20"/>
              </w:rPr>
            </w:pPr>
            <w:r>
              <w:rPr>
                <w:sz w:val="20"/>
              </w:rPr>
              <w:t>0.16</w:t>
            </w:r>
          </w:p>
        </w:tc>
        <w:tc>
          <w:tcPr>
            <w:tcW w:w="1260" w:type="dxa"/>
            <w:shd w:val="clear" w:color="auto" w:fill="FFFFFF"/>
          </w:tcPr>
          <w:p w14:paraId="61178016" w14:textId="77777777" w:rsidR="004879C6" w:rsidRDefault="00934F55">
            <w:pPr>
              <w:spacing w:line="276" w:lineRule="auto"/>
              <w:rPr>
                <w:sz w:val="20"/>
              </w:rPr>
            </w:pPr>
            <w:r>
              <w:rPr>
                <w:sz w:val="20"/>
              </w:rPr>
              <w:t>3.56</w:t>
            </w:r>
            <w:r>
              <w:rPr>
                <w:sz w:val="20"/>
                <w:vertAlign w:val="superscript"/>
              </w:rPr>
              <w:t xml:space="preserve">a </w:t>
            </w:r>
            <w:r>
              <w:rPr>
                <w:sz w:val="20"/>
              </w:rPr>
              <w:t>±0.03</w:t>
            </w:r>
          </w:p>
          <w:p w14:paraId="5D99C0BB" w14:textId="77777777" w:rsidR="004879C6" w:rsidRDefault="00934F55">
            <w:pPr>
              <w:spacing w:line="276" w:lineRule="auto"/>
              <w:rPr>
                <w:sz w:val="20"/>
              </w:rPr>
            </w:pPr>
            <w:r>
              <w:rPr>
                <w:sz w:val="20"/>
              </w:rPr>
              <w:t>0.26</w:t>
            </w:r>
          </w:p>
        </w:tc>
        <w:tc>
          <w:tcPr>
            <w:tcW w:w="1260" w:type="dxa"/>
            <w:shd w:val="clear" w:color="auto" w:fill="FFFFFF"/>
          </w:tcPr>
          <w:p w14:paraId="6E839F9F" w14:textId="77777777" w:rsidR="004879C6" w:rsidRDefault="00934F55">
            <w:pPr>
              <w:spacing w:line="276" w:lineRule="auto"/>
              <w:rPr>
                <w:sz w:val="20"/>
              </w:rPr>
            </w:pPr>
            <w:r>
              <w:rPr>
                <w:sz w:val="20"/>
              </w:rPr>
              <w:t>3.51</w:t>
            </w:r>
            <w:r>
              <w:rPr>
                <w:sz w:val="20"/>
                <w:vertAlign w:val="superscript"/>
              </w:rPr>
              <w:t xml:space="preserve">a </w:t>
            </w:r>
            <w:r>
              <w:rPr>
                <w:sz w:val="20"/>
              </w:rPr>
              <w:t>±0.05</w:t>
            </w:r>
          </w:p>
          <w:p w14:paraId="4A8F80DC" w14:textId="77777777" w:rsidR="004879C6" w:rsidRDefault="00934F55">
            <w:pPr>
              <w:spacing w:line="276" w:lineRule="auto"/>
              <w:rPr>
                <w:sz w:val="20"/>
              </w:rPr>
            </w:pPr>
            <w:r>
              <w:rPr>
                <w:sz w:val="20"/>
              </w:rPr>
              <w:t>0.23</w:t>
            </w:r>
          </w:p>
        </w:tc>
        <w:tc>
          <w:tcPr>
            <w:tcW w:w="1260" w:type="dxa"/>
            <w:shd w:val="clear" w:color="auto" w:fill="FFFFFF"/>
          </w:tcPr>
          <w:p w14:paraId="7E4F598D" w14:textId="77777777" w:rsidR="004879C6" w:rsidRDefault="00934F55">
            <w:pPr>
              <w:spacing w:line="276" w:lineRule="auto"/>
              <w:rPr>
                <w:sz w:val="20"/>
              </w:rPr>
            </w:pPr>
            <w:r>
              <w:rPr>
                <w:sz w:val="20"/>
              </w:rPr>
              <w:t>2.23</w:t>
            </w:r>
            <w:r>
              <w:rPr>
                <w:sz w:val="20"/>
                <w:vertAlign w:val="superscript"/>
              </w:rPr>
              <w:t xml:space="preserve">f </w:t>
            </w:r>
            <w:r>
              <w:rPr>
                <w:sz w:val="20"/>
              </w:rPr>
              <w:t>±0.05</w:t>
            </w:r>
          </w:p>
          <w:p w14:paraId="452B6A10" w14:textId="77777777" w:rsidR="004879C6" w:rsidRDefault="00934F55">
            <w:pPr>
              <w:spacing w:line="276" w:lineRule="auto"/>
              <w:rPr>
                <w:sz w:val="20"/>
              </w:rPr>
            </w:pPr>
            <w:r>
              <w:rPr>
                <w:sz w:val="20"/>
              </w:rPr>
              <w:t>0.19</w:t>
            </w:r>
          </w:p>
        </w:tc>
        <w:tc>
          <w:tcPr>
            <w:tcW w:w="1440" w:type="dxa"/>
            <w:shd w:val="clear" w:color="auto" w:fill="FFFFFF"/>
          </w:tcPr>
          <w:p w14:paraId="2D90BAC2" w14:textId="77777777" w:rsidR="004879C6" w:rsidRDefault="00934F55">
            <w:pPr>
              <w:spacing w:line="276" w:lineRule="auto"/>
              <w:rPr>
                <w:sz w:val="20"/>
              </w:rPr>
            </w:pPr>
            <w:r>
              <w:rPr>
                <w:sz w:val="20"/>
              </w:rPr>
              <w:t>155</w:t>
            </w:r>
            <w:r>
              <w:rPr>
                <w:sz w:val="20"/>
                <w:vertAlign w:val="superscript"/>
              </w:rPr>
              <w:t xml:space="preserve">f </w:t>
            </w:r>
            <w:r>
              <w:rPr>
                <w:sz w:val="20"/>
              </w:rPr>
              <w:t>± 0.06</w:t>
            </w:r>
          </w:p>
          <w:p w14:paraId="2459813D" w14:textId="77777777" w:rsidR="004879C6" w:rsidRDefault="00934F55">
            <w:pPr>
              <w:spacing w:line="276" w:lineRule="auto"/>
              <w:rPr>
                <w:sz w:val="20"/>
              </w:rPr>
            </w:pPr>
            <w:r>
              <w:rPr>
                <w:sz w:val="20"/>
              </w:rPr>
              <w:t>0.15</w:t>
            </w:r>
          </w:p>
        </w:tc>
        <w:tc>
          <w:tcPr>
            <w:tcW w:w="1530" w:type="dxa"/>
            <w:shd w:val="clear" w:color="auto" w:fill="FFFFFF"/>
          </w:tcPr>
          <w:p w14:paraId="18BFD60E" w14:textId="77777777" w:rsidR="004879C6" w:rsidRDefault="00934F55">
            <w:pPr>
              <w:spacing w:line="276" w:lineRule="auto"/>
              <w:rPr>
                <w:sz w:val="20"/>
              </w:rPr>
            </w:pPr>
            <w:r>
              <w:rPr>
                <w:sz w:val="20"/>
              </w:rPr>
              <w:t>1.89</w:t>
            </w:r>
            <w:r>
              <w:rPr>
                <w:sz w:val="20"/>
                <w:vertAlign w:val="superscript"/>
              </w:rPr>
              <w:t xml:space="preserve">a </w:t>
            </w:r>
            <w:r>
              <w:rPr>
                <w:sz w:val="20"/>
              </w:rPr>
              <w:t>±0.07</w:t>
            </w:r>
          </w:p>
          <w:p w14:paraId="1283A936" w14:textId="77777777" w:rsidR="004879C6" w:rsidRDefault="00934F55">
            <w:pPr>
              <w:spacing w:line="276" w:lineRule="auto"/>
              <w:rPr>
                <w:sz w:val="20"/>
              </w:rPr>
            </w:pPr>
            <w:r>
              <w:rPr>
                <w:sz w:val="20"/>
              </w:rPr>
              <w:t>0.17</w:t>
            </w:r>
          </w:p>
        </w:tc>
      </w:tr>
    </w:tbl>
    <w:p w14:paraId="5C57D537" w14:textId="77777777" w:rsidR="004879C6" w:rsidRDefault="00934F55">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(p0.05) different.</w:t>
      </w:r>
    </w:p>
    <w:p w14:paraId="309B9358" w14:textId="77777777" w:rsidR="004879C6" w:rsidRDefault="00934F55">
      <w:pPr>
        <w:spacing w:line="276" w:lineRule="auto"/>
        <w:rPr>
          <w:sz w:val="20"/>
          <w:szCs w:val="20"/>
        </w:rPr>
      </w:pPr>
      <w:bookmarkStart w:id="25" w:name="_heading=h.3mzq4wv" w:colFirst="0" w:colLast="0"/>
      <w:bookmarkEnd w:id="25"/>
      <w:r>
        <w:rPr>
          <w:sz w:val="20"/>
          <w:szCs w:val="20"/>
        </w:rPr>
        <w:t xml:space="preserve">A – Biscuits prepared from 100% wheat flour. B – Biscuits prepared </w:t>
      </w:r>
      <w:r>
        <w:rPr>
          <w:sz w:val="20"/>
          <w:szCs w:val="20"/>
        </w:rPr>
        <w:t>from 90% wheat, 5% Bambara groundnut and 5% African bush mango mesocarp flours.  C – Biscuits prepared from 80% wheat, 15% Bambara groundnut and 5% African bush mango mesocarp flours. D – Biscuit prepared from 70% wheat, 20% Bambara groundnut and 10% Afric</w:t>
      </w:r>
      <w:r>
        <w:rPr>
          <w:sz w:val="20"/>
          <w:szCs w:val="20"/>
        </w:rPr>
        <w:t>an bush mango mesocarp flours.  E – Biscuits prepared from 60% wheat, 25% Bambara groundnut and 15% African bush mango mesocarp flours. F – Biscuits prepared from 50% wheat, 30% Bambara groundnut and 20% African bush mango mesocarp flours.</w:t>
      </w:r>
    </w:p>
    <w:p w14:paraId="5B70742E" w14:textId="77777777" w:rsidR="004879C6" w:rsidRDefault="00934F55">
      <w:pPr>
        <w:spacing w:line="276" w:lineRule="auto"/>
        <w:rPr>
          <w:sz w:val="20"/>
          <w:szCs w:val="20"/>
        </w:rPr>
      </w:pPr>
      <w:r>
        <w:rPr>
          <w:sz w:val="20"/>
          <w:szCs w:val="20"/>
        </w:rPr>
        <w:t>WF- Wheat flour,</w:t>
      </w:r>
      <w:r>
        <w:rPr>
          <w:sz w:val="20"/>
          <w:szCs w:val="20"/>
        </w:rPr>
        <w:t> BGF- Bambara groundnut flour, ABMF- African bush mango mesocarp flour.</w:t>
      </w:r>
    </w:p>
    <w:p w14:paraId="0425E10E" w14:textId="77777777" w:rsidR="004879C6" w:rsidRDefault="00934F55">
      <w:pPr>
        <w:spacing w:line="276" w:lineRule="auto"/>
        <w:rPr>
          <w:sz w:val="20"/>
          <w:szCs w:val="20"/>
        </w:rPr>
      </w:pPr>
      <w:r>
        <w:rPr>
          <w:sz w:val="20"/>
          <w:szCs w:val="20"/>
        </w:rPr>
        <w:br w:type="page"/>
      </w:r>
    </w:p>
    <w:p w14:paraId="3C378F7B" w14:textId="77777777" w:rsidR="004879C6" w:rsidRDefault="00934F55">
      <w:pPr>
        <w:spacing w:line="276" w:lineRule="auto"/>
        <w:rPr>
          <w:b/>
        </w:rPr>
      </w:pPr>
      <w:r>
        <w:rPr>
          <w:b/>
        </w:rPr>
        <w:lastRenderedPageBreak/>
        <w:t>Sensory Properties of Biscuit Samples</w:t>
      </w:r>
    </w:p>
    <w:p w14:paraId="3A8840C5" w14:textId="77777777" w:rsidR="004879C6" w:rsidRDefault="00934F55">
      <w:pPr>
        <w:spacing w:line="276" w:lineRule="auto"/>
      </w:pPr>
      <w:r>
        <w:t>The sensory properties of the biscuit samples are presented in Table 6.</w:t>
      </w:r>
    </w:p>
    <w:p w14:paraId="18298C4D" w14:textId="77777777" w:rsidR="004879C6" w:rsidRDefault="00934F55">
      <w:pPr>
        <w:spacing w:line="276" w:lineRule="auto"/>
      </w:pPr>
      <w:r>
        <w:t>The score for the colour of the biscuit samples ranged from 7.17-8.27 wi</w:t>
      </w:r>
      <w:r>
        <w:t xml:space="preserve">th the control sample (100% wheat flour biscuits) and the composite biscuits substituted with 30% Bambara groundnut 20% bush mango mesocarp flours having the highest (8.27) and least (7.17) values, respectively. The biscuits produced from 100% wheat flour </w:t>
      </w:r>
      <w:r>
        <w:t xml:space="preserve">were the most acceptable in terms of colour and also showed significant (p&lt;0.05) difference when compared to the composite biscuit samples. This could be due to the unique quality of wheat flour used in biscuit making. The change in the colour of biscuits </w:t>
      </w:r>
      <w:r>
        <w:t xml:space="preserve">could be attributed to the increase in the addition of Bambara groundnut flour coupled with caramelization and Maillard reactions which occurred during baking (Alobo, 2001; Bala </w:t>
      </w:r>
      <w:r>
        <w:rPr>
          <w:i/>
        </w:rPr>
        <w:t xml:space="preserve">et al., </w:t>
      </w:r>
      <w:r>
        <w:t xml:space="preserve">2015). </w:t>
      </w:r>
    </w:p>
    <w:p w14:paraId="0CF82B6F" w14:textId="77777777" w:rsidR="004879C6" w:rsidRDefault="00934F55">
      <w:pPr>
        <w:spacing w:line="276" w:lineRule="auto"/>
      </w:pPr>
      <w:r>
        <w:t>The score for the mouthfeel of the biscuit samples ranged from</w:t>
      </w:r>
      <w:r>
        <w:t xml:space="preserve"> 6.00-8.50. The control sample had the highest value (8.50), while the composite biscuits substituted with 30% Bambara groundnut and 20% bush mango mesocarp flours had the least value (6.00). The mouthfeel of the composite biscuits decreased significantly </w:t>
      </w:r>
      <w:r>
        <w:t xml:space="preserve">(p&lt;0.05) with increased substitution compared to the control sample (100% wheat flour biscuits). The difference could be due to the unique quality of wheat flour used for the preparation of biscuits and other baked products (Thaoge </w:t>
      </w:r>
      <w:r>
        <w:rPr>
          <w:i/>
        </w:rPr>
        <w:t>et al</w:t>
      </w:r>
      <w:r>
        <w:t>., 2003). Mouthfeel</w:t>
      </w:r>
      <w:r>
        <w:t xml:space="preserve"> is the measure of dryness of the biscuits while chewing. Mouthfeel is the primary factor that determines the acceptability of any food product and it also has the highest impact as far as the marketability of a food product is concerned (Onabanjo and Ighe</w:t>
      </w:r>
      <w:r>
        <w:t xml:space="preserve">re, 2014, Suresh </w:t>
      </w:r>
      <w:r>
        <w:rPr>
          <w:i/>
        </w:rPr>
        <w:t>et al</w:t>
      </w:r>
      <w:r>
        <w:t xml:space="preserve">., 2015). </w:t>
      </w:r>
    </w:p>
    <w:p w14:paraId="27A7036A" w14:textId="77777777" w:rsidR="004879C6" w:rsidRDefault="004879C6">
      <w:pPr>
        <w:spacing w:line="276" w:lineRule="auto"/>
      </w:pPr>
    </w:p>
    <w:p w14:paraId="4D3AB4ED" w14:textId="77777777" w:rsidR="004879C6" w:rsidRDefault="00934F55">
      <w:pPr>
        <w:spacing w:line="276" w:lineRule="auto"/>
      </w:pPr>
      <w:r>
        <w:t>The score for the flavour of the biscuit samples ranged from 6.10-8.10 with the control sample having the highest value (8.10), while the sample substituted with 30% Bambara groundnut and 20% bush mango mesocarp flours had</w:t>
      </w:r>
      <w:r>
        <w:t xml:space="preserve"> the least value (6.10). The biscuits prepared from 100% wheat flour (control) were the most acceptable to the panellists in terms of flavour compared to the other test samples</w:t>
      </w:r>
      <w:r>
        <w:rPr>
          <w:highlight w:val="white"/>
        </w:rPr>
        <w:t>. The change in the flavour of the composite biscuit samples could be attributed</w:t>
      </w:r>
      <w:r>
        <w:rPr>
          <w:highlight w:val="white"/>
        </w:rPr>
        <w:t xml:space="preserve"> to the increase in the addition of Bambara groundnut flour </w:t>
      </w:r>
      <w:r>
        <w:rPr>
          <w:b/>
          <w:highlight w:val="white"/>
        </w:rPr>
        <w:t xml:space="preserve">coupled with the beany flavor associated with it </w:t>
      </w:r>
      <w:r>
        <w:rPr>
          <w:highlight w:val="white"/>
        </w:rPr>
        <w:t xml:space="preserve">(Alobo, 2001; Arisa </w:t>
      </w:r>
      <w:r>
        <w:rPr>
          <w:i/>
          <w:highlight w:val="white"/>
        </w:rPr>
        <w:t>et al</w:t>
      </w:r>
      <w:r>
        <w:rPr>
          <w:highlight w:val="white"/>
        </w:rPr>
        <w:t xml:space="preserve">., 2013). </w:t>
      </w:r>
    </w:p>
    <w:p w14:paraId="603BC382" w14:textId="77777777" w:rsidR="004879C6" w:rsidRDefault="004879C6">
      <w:pPr>
        <w:spacing w:line="276" w:lineRule="auto"/>
      </w:pPr>
    </w:p>
    <w:p w14:paraId="6FC84324" w14:textId="77777777" w:rsidR="004879C6" w:rsidRDefault="00934F55">
      <w:pPr>
        <w:spacing w:line="276" w:lineRule="auto"/>
      </w:pPr>
      <w:r>
        <w:t>The score for the crispness of the biscuit samples which ranged from 6.00-8.33 decreased significantly with in</w:t>
      </w:r>
      <w:r>
        <w:t>creased substitution of Bambara groundnut and bush mango mesocarp flours. The result showed that the control sample (100% wheat flour biscuits) was rated higher in crispness by the judges compared to the composite biscuit samples. The decrease in crispness</w:t>
      </w:r>
      <w:r>
        <w:t xml:space="preserve"> of the composite flour biscuits could be due to the substitution effect which causes the weakness of the gluten content of wheat flour (Suresh </w:t>
      </w:r>
      <w:r>
        <w:rPr>
          <w:i/>
        </w:rPr>
        <w:t xml:space="preserve">et al., </w:t>
      </w:r>
      <w:r>
        <w:t>2015). Similar decrease in crispness has been reported by Abiodun and Ehimen (2017) for biscuits made fr</w:t>
      </w:r>
      <w:r>
        <w:t xml:space="preserve">om blends of unripe cooking banana. Bambara groundnut and sweet potato flours. </w:t>
      </w:r>
    </w:p>
    <w:p w14:paraId="70C4B203" w14:textId="77777777" w:rsidR="004879C6" w:rsidRDefault="004879C6">
      <w:pPr>
        <w:spacing w:line="276" w:lineRule="auto"/>
      </w:pPr>
    </w:p>
    <w:p w14:paraId="44EE19B2" w14:textId="77777777" w:rsidR="004879C6" w:rsidRDefault="00934F55">
      <w:pPr>
        <w:spacing w:line="276" w:lineRule="auto"/>
      </w:pPr>
      <w:r>
        <w:t xml:space="preserve">The score for the overall acceptability of the biscuit samples ranged from 6.61-8.23. The result showed that the biscuits produced from 100% wheat flour sample (control) were </w:t>
      </w:r>
      <w:r>
        <w:t xml:space="preserve">the most </w:t>
      </w:r>
      <w:r>
        <w:lastRenderedPageBreak/>
        <w:t xml:space="preserve">acceptable by the judges compared to the composite biscuit samples and hence, they were rated higher in colour, flavour, crispness and mouthfeel. The overall acceptability of a food product is primarily determined by comparing the ratings of such </w:t>
      </w:r>
      <w:r>
        <w:t>a product in terms of colour, mouthfeel, flavour, crispness and other sensory attributes with that of the control after sensory evaluation. The substitution of wheat flour with Bambara groundnut and bush mango mesocarp flours in the preparation of biscuits</w:t>
      </w:r>
      <w:r>
        <w:t xml:space="preserve"> generally reduced the sensory properties of composite biscuit samples compared to the control sample. Furthermore, the composite biscuit samples were also acceptable by the judges because they were equally rated high in all the sensory attributes evaluate</w:t>
      </w:r>
      <w:r>
        <w:t>d in this study.</w:t>
      </w:r>
    </w:p>
    <w:p w14:paraId="7D5C9E32" w14:textId="77777777" w:rsidR="004879C6" w:rsidRDefault="004879C6">
      <w:pPr>
        <w:spacing w:line="276" w:lineRule="auto"/>
        <w:rPr>
          <w:b/>
        </w:rPr>
      </w:pPr>
    </w:p>
    <w:p w14:paraId="652DF0E1" w14:textId="77777777" w:rsidR="004879C6" w:rsidRDefault="004879C6">
      <w:pPr>
        <w:spacing w:line="276" w:lineRule="auto"/>
        <w:rPr>
          <w:b/>
        </w:rPr>
      </w:pPr>
    </w:p>
    <w:p w14:paraId="2E7EC660" w14:textId="77777777" w:rsidR="004879C6" w:rsidRDefault="004879C6">
      <w:pPr>
        <w:spacing w:line="276" w:lineRule="auto"/>
        <w:rPr>
          <w:b/>
        </w:rPr>
      </w:pPr>
    </w:p>
    <w:p w14:paraId="508D1429" w14:textId="77777777" w:rsidR="004879C6" w:rsidRDefault="004879C6">
      <w:pPr>
        <w:spacing w:line="276" w:lineRule="auto"/>
        <w:rPr>
          <w:b/>
        </w:rPr>
      </w:pPr>
    </w:p>
    <w:p w14:paraId="4F4B4714" w14:textId="77777777" w:rsidR="004879C6" w:rsidRDefault="004879C6">
      <w:pPr>
        <w:spacing w:line="276" w:lineRule="auto"/>
        <w:rPr>
          <w:b/>
        </w:rPr>
      </w:pPr>
    </w:p>
    <w:p w14:paraId="15F2B079" w14:textId="77777777" w:rsidR="004879C6" w:rsidRDefault="004879C6">
      <w:pPr>
        <w:spacing w:line="276" w:lineRule="auto"/>
        <w:rPr>
          <w:b/>
        </w:rPr>
      </w:pPr>
    </w:p>
    <w:p w14:paraId="1A68BC25" w14:textId="77777777" w:rsidR="004879C6" w:rsidRDefault="004879C6">
      <w:pPr>
        <w:spacing w:line="276" w:lineRule="auto"/>
        <w:rPr>
          <w:b/>
        </w:rPr>
      </w:pPr>
    </w:p>
    <w:p w14:paraId="3F069508" w14:textId="77777777" w:rsidR="004879C6" w:rsidRDefault="004879C6">
      <w:pPr>
        <w:spacing w:line="276" w:lineRule="auto"/>
        <w:rPr>
          <w:b/>
        </w:rPr>
      </w:pPr>
    </w:p>
    <w:p w14:paraId="7A903995" w14:textId="77777777" w:rsidR="004879C6" w:rsidRDefault="004879C6">
      <w:pPr>
        <w:spacing w:line="276" w:lineRule="auto"/>
        <w:rPr>
          <w:b/>
        </w:rPr>
        <w:sectPr w:rsidR="004879C6">
          <w:pgSz w:w="12240" w:h="15840"/>
          <w:pgMar w:top="1440" w:right="1440" w:bottom="1440" w:left="1440" w:header="708" w:footer="708" w:gutter="0"/>
          <w:pgNumType w:start="20"/>
          <w:cols w:space="720"/>
        </w:sectPr>
      </w:pPr>
    </w:p>
    <w:p w14:paraId="09FDF5A1" w14:textId="77777777" w:rsidR="004879C6" w:rsidRDefault="00934F55">
      <w:pPr>
        <w:spacing w:line="276" w:lineRule="auto"/>
        <w:rPr>
          <w:b/>
        </w:rPr>
      </w:pPr>
      <w:r>
        <w:rPr>
          <w:b/>
        </w:rPr>
        <w:lastRenderedPageBreak/>
        <w:t xml:space="preserve">Table 6: Sensory properties of biscuit samples           </w:t>
      </w:r>
    </w:p>
    <w:tbl>
      <w:tblPr>
        <w:tblpPr w:leftFromText="180" w:rightFromText="180" w:vertAnchor="page" w:horzAnchor="margin" w:tblpXSpec="center" w:tblpY="2451"/>
        <w:tblW w:w="10638" w:type="dxa"/>
        <w:tblLayout w:type="fixed"/>
        <w:tblLook w:val="06A0" w:firstRow="1" w:lastRow="0" w:firstColumn="1" w:lastColumn="0" w:noHBand="1" w:noVBand="1"/>
      </w:tblPr>
      <w:tblGrid>
        <w:gridCol w:w="900"/>
        <w:gridCol w:w="1728"/>
        <w:gridCol w:w="1440"/>
        <w:gridCol w:w="1350"/>
        <w:gridCol w:w="1350"/>
        <w:gridCol w:w="1620"/>
        <w:gridCol w:w="2250"/>
      </w:tblGrid>
      <w:tr w:rsidR="004879C6" w14:paraId="5AC11AA8" w14:textId="77777777">
        <w:tc>
          <w:tcPr>
            <w:tcW w:w="900" w:type="dxa"/>
            <w:tcBorders>
              <w:top w:val="single" w:sz="4" w:space="0" w:color="auto"/>
              <w:bottom w:val="single" w:sz="4" w:space="0" w:color="auto"/>
            </w:tcBorders>
          </w:tcPr>
          <w:p w14:paraId="6EC4D590" w14:textId="77777777" w:rsidR="004879C6" w:rsidRDefault="00934F55">
            <w:pPr>
              <w:spacing w:line="276" w:lineRule="auto"/>
              <w:rPr>
                <w:sz w:val="23"/>
              </w:rPr>
            </w:pPr>
            <w:r>
              <w:rPr>
                <w:sz w:val="23"/>
                <w:szCs w:val="25"/>
              </w:rPr>
              <w:t>Sample</w:t>
            </w:r>
          </w:p>
        </w:tc>
        <w:tc>
          <w:tcPr>
            <w:tcW w:w="1728" w:type="dxa"/>
            <w:tcBorders>
              <w:top w:val="single" w:sz="4" w:space="0" w:color="auto"/>
              <w:bottom w:val="single" w:sz="4" w:space="0" w:color="auto"/>
            </w:tcBorders>
          </w:tcPr>
          <w:p w14:paraId="1041D85F" w14:textId="77777777" w:rsidR="004879C6" w:rsidRDefault="00934F55">
            <w:pPr>
              <w:spacing w:line="276" w:lineRule="auto"/>
              <w:rPr>
                <w:b/>
                <w:sz w:val="23"/>
                <w:szCs w:val="20"/>
              </w:rPr>
            </w:pPr>
            <w:r>
              <w:rPr>
                <w:b/>
                <w:sz w:val="23"/>
                <w:szCs w:val="20"/>
              </w:rPr>
              <w:t xml:space="preserve">%Substitution </w:t>
            </w:r>
          </w:p>
          <w:p w14:paraId="49166D15" w14:textId="77777777" w:rsidR="004879C6" w:rsidRDefault="00934F55">
            <w:pPr>
              <w:spacing w:line="276" w:lineRule="auto"/>
              <w:rPr>
                <w:b/>
                <w:sz w:val="23"/>
                <w:szCs w:val="20"/>
              </w:rPr>
            </w:pPr>
            <w:r>
              <w:rPr>
                <w:b/>
                <w:sz w:val="23"/>
                <w:szCs w:val="20"/>
              </w:rPr>
              <w:t>WF:BBF:BMF</w:t>
            </w:r>
          </w:p>
        </w:tc>
        <w:tc>
          <w:tcPr>
            <w:tcW w:w="1440" w:type="dxa"/>
            <w:tcBorders>
              <w:top w:val="single" w:sz="4" w:space="0" w:color="auto"/>
              <w:bottom w:val="single" w:sz="4" w:space="0" w:color="auto"/>
            </w:tcBorders>
          </w:tcPr>
          <w:p w14:paraId="7C639DC9" w14:textId="77777777" w:rsidR="004879C6" w:rsidRDefault="00934F55">
            <w:pPr>
              <w:spacing w:line="276" w:lineRule="auto"/>
              <w:rPr>
                <w:sz w:val="23"/>
              </w:rPr>
            </w:pPr>
            <w:r>
              <w:rPr>
                <w:sz w:val="23"/>
                <w:szCs w:val="25"/>
              </w:rPr>
              <w:t xml:space="preserve">  Colour         </w:t>
            </w:r>
          </w:p>
        </w:tc>
        <w:tc>
          <w:tcPr>
            <w:tcW w:w="1350" w:type="dxa"/>
            <w:tcBorders>
              <w:top w:val="single" w:sz="4" w:space="0" w:color="auto"/>
              <w:bottom w:val="single" w:sz="4" w:space="0" w:color="auto"/>
            </w:tcBorders>
          </w:tcPr>
          <w:p w14:paraId="14A91C16" w14:textId="77777777" w:rsidR="004879C6" w:rsidRDefault="00934F55">
            <w:pPr>
              <w:spacing w:line="276" w:lineRule="auto"/>
              <w:rPr>
                <w:sz w:val="23"/>
              </w:rPr>
            </w:pPr>
            <w:r>
              <w:rPr>
                <w:sz w:val="23"/>
                <w:szCs w:val="25"/>
              </w:rPr>
              <w:t xml:space="preserve">  Mouthfeel         </w:t>
            </w:r>
          </w:p>
        </w:tc>
        <w:tc>
          <w:tcPr>
            <w:tcW w:w="1350" w:type="dxa"/>
            <w:tcBorders>
              <w:top w:val="single" w:sz="4" w:space="0" w:color="auto"/>
              <w:bottom w:val="single" w:sz="4" w:space="0" w:color="auto"/>
            </w:tcBorders>
          </w:tcPr>
          <w:p w14:paraId="36A73968" w14:textId="77777777" w:rsidR="004879C6" w:rsidRDefault="00934F55">
            <w:pPr>
              <w:spacing w:line="276" w:lineRule="auto"/>
              <w:rPr>
                <w:sz w:val="23"/>
              </w:rPr>
            </w:pPr>
            <w:r>
              <w:rPr>
                <w:sz w:val="23"/>
                <w:szCs w:val="25"/>
              </w:rPr>
              <w:t xml:space="preserve">  Flavour           </w:t>
            </w:r>
          </w:p>
        </w:tc>
        <w:tc>
          <w:tcPr>
            <w:tcW w:w="1620" w:type="dxa"/>
            <w:tcBorders>
              <w:top w:val="single" w:sz="4" w:space="0" w:color="auto"/>
              <w:bottom w:val="single" w:sz="4" w:space="0" w:color="auto"/>
            </w:tcBorders>
          </w:tcPr>
          <w:p w14:paraId="48521436" w14:textId="77777777" w:rsidR="004879C6" w:rsidRDefault="00934F55">
            <w:pPr>
              <w:spacing w:line="276" w:lineRule="auto"/>
              <w:rPr>
                <w:sz w:val="23"/>
              </w:rPr>
            </w:pPr>
            <w:r>
              <w:rPr>
                <w:sz w:val="23"/>
                <w:szCs w:val="25"/>
              </w:rPr>
              <w:t xml:space="preserve">  Crispiness          </w:t>
            </w:r>
          </w:p>
        </w:tc>
        <w:tc>
          <w:tcPr>
            <w:tcW w:w="2250" w:type="dxa"/>
            <w:tcBorders>
              <w:top w:val="single" w:sz="4" w:space="0" w:color="auto"/>
              <w:bottom w:val="single" w:sz="4" w:space="0" w:color="auto"/>
            </w:tcBorders>
          </w:tcPr>
          <w:p w14:paraId="0FDE35C2" w14:textId="77777777" w:rsidR="004879C6" w:rsidRDefault="00934F55">
            <w:pPr>
              <w:spacing w:line="276" w:lineRule="auto"/>
              <w:rPr>
                <w:sz w:val="23"/>
              </w:rPr>
            </w:pPr>
            <w:r>
              <w:rPr>
                <w:sz w:val="23"/>
                <w:szCs w:val="25"/>
              </w:rPr>
              <w:t xml:space="preserve"> Overall acceptability </w:t>
            </w:r>
          </w:p>
        </w:tc>
      </w:tr>
      <w:tr w:rsidR="004879C6" w14:paraId="642AB91C" w14:textId="77777777">
        <w:tc>
          <w:tcPr>
            <w:tcW w:w="900" w:type="dxa"/>
            <w:tcBorders>
              <w:top w:val="single" w:sz="4" w:space="0" w:color="auto"/>
            </w:tcBorders>
          </w:tcPr>
          <w:p w14:paraId="3D288E4D" w14:textId="77777777" w:rsidR="004879C6" w:rsidRDefault="00934F55">
            <w:pPr>
              <w:spacing w:line="276" w:lineRule="auto"/>
              <w:rPr>
                <w:sz w:val="23"/>
              </w:rPr>
            </w:pPr>
            <w:r>
              <w:rPr>
                <w:sz w:val="23"/>
              </w:rPr>
              <w:t>A</w:t>
            </w:r>
          </w:p>
        </w:tc>
        <w:tc>
          <w:tcPr>
            <w:tcW w:w="1728" w:type="dxa"/>
            <w:tcBorders>
              <w:top w:val="single" w:sz="4" w:space="0" w:color="auto"/>
            </w:tcBorders>
          </w:tcPr>
          <w:p w14:paraId="57E7EFB2" w14:textId="77777777" w:rsidR="004879C6" w:rsidRDefault="00934F55">
            <w:pPr>
              <w:spacing w:line="276" w:lineRule="auto"/>
              <w:rPr>
                <w:sz w:val="23"/>
              </w:rPr>
            </w:pPr>
            <w:r>
              <w:rPr>
                <w:sz w:val="23"/>
              </w:rPr>
              <w:t>100:  0 :   0</w:t>
            </w:r>
          </w:p>
        </w:tc>
        <w:tc>
          <w:tcPr>
            <w:tcW w:w="1440" w:type="dxa"/>
            <w:tcBorders>
              <w:top w:val="single" w:sz="4" w:space="0" w:color="auto"/>
            </w:tcBorders>
          </w:tcPr>
          <w:p w14:paraId="77E363B1" w14:textId="77777777" w:rsidR="004879C6" w:rsidRDefault="00934F55">
            <w:pPr>
              <w:spacing w:line="276" w:lineRule="auto"/>
              <w:rPr>
                <w:sz w:val="23"/>
              </w:rPr>
            </w:pPr>
            <w:r>
              <w:rPr>
                <w:sz w:val="23"/>
                <w:szCs w:val="25"/>
              </w:rPr>
              <w:t>8.27</w:t>
            </w:r>
            <w:r>
              <w:rPr>
                <w:sz w:val="23"/>
                <w:szCs w:val="25"/>
                <w:vertAlign w:val="superscript"/>
              </w:rPr>
              <w:t>a</w:t>
            </w:r>
            <w:r>
              <w:rPr>
                <w:sz w:val="23"/>
                <w:szCs w:val="25"/>
              </w:rPr>
              <w:t xml:space="preserve">±1.18          </w:t>
            </w:r>
          </w:p>
        </w:tc>
        <w:tc>
          <w:tcPr>
            <w:tcW w:w="1350" w:type="dxa"/>
            <w:tcBorders>
              <w:top w:val="single" w:sz="4" w:space="0" w:color="auto"/>
            </w:tcBorders>
          </w:tcPr>
          <w:p w14:paraId="697469F2" w14:textId="77777777" w:rsidR="004879C6" w:rsidRDefault="00934F55">
            <w:pPr>
              <w:spacing w:line="276" w:lineRule="auto"/>
              <w:rPr>
                <w:sz w:val="23"/>
              </w:rPr>
            </w:pPr>
            <w:r>
              <w:rPr>
                <w:sz w:val="23"/>
                <w:szCs w:val="25"/>
              </w:rPr>
              <w:t>8.50</w:t>
            </w:r>
            <w:r>
              <w:rPr>
                <w:sz w:val="23"/>
                <w:szCs w:val="25"/>
                <w:vertAlign w:val="superscript"/>
              </w:rPr>
              <w:t>a</w:t>
            </w:r>
            <w:r>
              <w:rPr>
                <w:sz w:val="23"/>
                <w:szCs w:val="25"/>
              </w:rPr>
              <w:t xml:space="preserve">±0.93         </w:t>
            </w:r>
          </w:p>
        </w:tc>
        <w:tc>
          <w:tcPr>
            <w:tcW w:w="1350" w:type="dxa"/>
            <w:tcBorders>
              <w:top w:val="single" w:sz="4" w:space="0" w:color="auto"/>
            </w:tcBorders>
          </w:tcPr>
          <w:p w14:paraId="32115171" w14:textId="77777777" w:rsidR="004879C6" w:rsidRDefault="00934F55">
            <w:pPr>
              <w:spacing w:line="276" w:lineRule="auto"/>
              <w:rPr>
                <w:sz w:val="23"/>
              </w:rPr>
            </w:pPr>
            <w:r>
              <w:rPr>
                <w:sz w:val="23"/>
                <w:szCs w:val="25"/>
              </w:rPr>
              <w:t>8.10</w:t>
            </w:r>
            <w:r>
              <w:rPr>
                <w:sz w:val="23"/>
                <w:szCs w:val="25"/>
                <w:vertAlign w:val="superscript"/>
              </w:rPr>
              <w:t>a</w:t>
            </w:r>
            <w:r>
              <w:rPr>
                <w:sz w:val="23"/>
                <w:szCs w:val="25"/>
              </w:rPr>
              <w:t xml:space="preserve">±1.37      </w:t>
            </w:r>
          </w:p>
        </w:tc>
        <w:tc>
          <w:tcPr>
            <w:tcW w:w="1620" w:type="dxa"/>
            <w:tcBorders>
              <w:top w:val="single" w:sz="4" w:space="0" w:color="auto"/>
            </w:tcBorders>
          </w:tcPr>
          <w:p w14:paraId="5D6E1E70" w14:textId="77777777" w:rsidR="004879C6" w:rsidRDefault="00934F55">
            <w:pPr>
              <w:spacing w:line="276" w:lineRule="auto"/>
              <w:rPr>
                <w:sz w:val="23"/>
              </w:rPr>
            </w:pPr>
            <w:r>
              <w:rPr>
                <w:sz w:val="23"/>
                <w:szCs w:val="25"/>
              </w:rPr>
              <w:t>8.33</w:t>
            </w:r>
            <w:r>
              <w:rPr>
                <w:sz w:val="23"/>
                <w:szCs w:val="25"/>
                <w:vertAlign w:val="superscript"/>
              </w:rPr>
              <w:t>a</w:t>
            </w:r>
            <w:r>
              <w:rPr>
                <w:sz w:val="23"/>
                <w:szCs w:val="25"/>
              </w:rPr>
              <w:t xml:space="preserve">±1.35           </w:t>
            </w:r>
          </w:p>
        </w:tc>
        <w:tc>
          <w:tcPr>
            <w:tcW w:w="2250" w:type="dxa"/>
            <w:tcBorders>
              <w:top w:val="single" w:sz="4" w:space="0" w:color="auto"/>
            </w:tcBorders>
          </w:tcPr>
          <w:p w14:paraId="649285FA" w14:textId="77777777" w:rsidR="004879C6" w:rsidRDefault="00934F55">
            <w:pPr>
              <w:spacing w:line="276" w:lineRule="auto"/>
              <w:rPr>
                <w:sz w:val="23"/>
              </w:rPr>
            </w:pPr>
            <w:r>
              <w:rPr>
                <w:sz w:val="23"/>
                <w:szCs w:val="25"/>
              </w:rPr>
              <w:t>8.23</w:t>
            </w:r>
            <w:r>
              <w:rPr>
                <w:sz w:val="23"/>
                <w:szCs w:val="25"/>
                <w:vertAlign w:val="superscript"/>
              </w:rPr>
              <w:t>a</w:t>
            </w:r>
            <w:r>
              <w:rPr>
                <w:sz w:val="23"/>
                <w:szCs w:val="25"/>
              </w:rPr>
              <w:t>±1.00</w:t>
            </w:r>
          </w:p>
        </w:tc>
      </w:tr>
      <w:tr w:rsidR="004879C6" w14:paraId="5996FE6E" w14:textId="77777777">
        <w:tc>
          <w:tcPr>
            <w:tcW w:w="900" w:type="dxa"/>
          </w:tcPr>
          <w:p w14:paraId="560C5996" w14:textId="77777777" w:rsidR="004879C6" w:rsidRDefault="00934F55">
            <w:pPr>
              <w:spacing w:line="276" w:lineRule="auto"/>
              <w:rPr>
                <w:sz w:val="23"/>
              </w:rPr>
            </w:pPr>
            <w:r>
              <w:rPr>
                <w:sz w:val="23"/>
              </w:rPr>
              <w:t>B</w:t>
            </w:r>
          </w:p>
        </w:tc>
        <w:tc>
          <w:tcPr>
            <w:tcW w:w="1728" w:type="dxa"/>
          </w:tcPr>
          <w:p w14:paraId="32D5B758" w14:textId="77777777" w:rsidR="004879C6" w:rsidRDefault="00934F55">
            <w:pPr>
              <w:spacing w:line="276" w:lineRule="auto"/>
              <w:rPr>
                <w:sz w:val="23"/>
              </w:rPr>
            </w:pPr>
            <w:r>
              <w:rPr>
                <w:sz w:val="23"/>
              </w:rPr>
              <w:t>90  : 5  :   5</w:t>
            </w:r>
          </w:p>
        </w:tc>
        <w:tc>
          <w:tcPr>
            <w:tcW w:w="1440" w:type="dxa"/>
          </w:tcPr>
          <w:p w14:paraId="4BE77B5E"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±0.88          </w:t>
            </w:r>
          </w:p>
        </w:tc>
        <w:tc>
          <w:tcPr>
            <w:tcW w:w="1350" w:type="dxa"/>
          </w:tcPr>
          <w:p w14:paraId="0A749B2B" w14:textId="77777777" w:rsidR="004879C6" w:rsidRDefault="00934F55">
            <w:pPr>
              <w:spacing w:line="276" w:lineRule="auto"/>
              <w:rPr>
                <w:b/>
                <w:sz w:val="23"/>
              </w:rPr>
            </w:pPr>
            <w:r>
              <w:rPr>
                <w:sz w:val="23"/>
                <w:szCs w:val="25"/>
              </w:rPr>
              <w:t>7.10</w:t>
            </w:r>
            <w:r>
              <w:rPr>
                <w:sz w:val="23"/>
                <w:szCs w:val="25"/>
                <w:vertAlign w:val="superscript"/>
              </w:rPr>
              <w:t>b</w:t>
            </w:r>
            <w:r>
              <w:rPr>
                <w:sz w:val="23"/>
                <w:szCs w:val="25"/>
              </w:rPr>
              <w:t xml:space="preserve">±1.06        </w:t>
            </w:r>
          </w:p>
        </w:tc>
        <w:tc>
          <w:tcPr>
            <w:tcW w:w="1350" w:type="dxa"/>
          </w:tcPr>
          <w:p w14:paraId="3671882E"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±1.11       </w:t>
            </w:r>
          </w:p>
        </w:tc>
        <w:tc>
          <w:tcPr>
            <w:tcW w:w="1620" w:type="dxa"/>
          </w:tcPr>
          <w:p w14:paraId="3C821218"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 xml:space="preserve">±0.48           </w:t>
            </w:r>
          </w:p>
        </w:tc>
        <w:tc>
          <w:tcPr>
            <w:tcW w:w="2250" w:type="dxa"/>
          </w:tcPr>
          <w:p w14:paraId="64FD0433" w14:textId="77777777" w:rsidR="004879C6" w:rsidRDefault="00934F55">
            <w:pPr>
              <w:spacing w:line="276" w:lineRule="auto"/>
              <w:rPr>
                <w:b/>
                <w:sz w:val="23"/>
              </w:rPr>
            </w:pPr>
            <w:r>
              <w:rPr>
                <w:sz w:val="23"/>
                <w:szCs w:val="25"/>
              </w:rPr>
              <w:t>8.00</w:t>
            </w:r>
            <w:r>
              <w:rPr>
                <w:sz w:val="23"/>
                <w:szCs w:val="25"/>
                <w:vertAlign w:val="superscript"/>
              </w:rPr>
              <w:t>b</w:t>
            </w:r>
            <w:r>
              <w:rPr>
                <w:sz w:val="23"/>
                <w:szCs w:val="25"/>
              </w:rPr>
              <w:t>±0.83</w:t>
            </w:r>
          </w:p>
        </w:tc>
      </w:tr>
      <w:tr w:rsidR="004879C6" w14:paraId="07D970E3" w14:textId="77777777">
        <w:tc>
          <w:tcPr>
            <w:tcW w:w="900" w:type="dxa"/>
          </w:tcPr>
          <w:p w14:paraId="10AB9D01" w14:textId="77777777" w:rsidR="004879C6" w:rsidRDefault="00934F55">
            <w:pPr>
              <w:spacing w:line="276" w:lineRule="auto"/>
              <w:rPr>
                <w:sz w:val="23"/>
              </w:rPr>
            </w:pPr>
            <w:r>
              <w:rPr>
                <w:sz w:val="23"/>
              </w:rPr>
              <w:t xml:space="preserve">C </w:t>
            </w:r>
          </w:p>
        </w:tc>
        <w:tc>
          <w:tcPr>
            <w:tcW w:w="1728" w:type="dxa"/>
          </w:tcPr>
          <w:p w14:paraId="22B2D714" w14:textId="77777777" w:rsidR="004879C6" w:rsidRDefault="00934F55">
            <w:pPr>
              <w:spacing w:line="276" w:lineRule="auto"/>
              <w:rPr>
                <w:sz w:val="23"/>
              </w:rPr>
            </w:pPr>
            <w:r>
              <w:rPr>
                <w:sz w:val="23"/>
              </w:rPr>
              <w:t>80 : 15 :  5</w:t>
            </w:r>
          </w:p>
        </w:tc>
        <w:tc>
          <w:tcPr>
            <w:tcW w:w="1440" w:type="dxa"/>
          </w:tcPr>
          <w:p w14:paraId="41F1D815" w14:textId="77777777" w:rsidR="004879C6" w:rsidRDefault="00934F55">
            <w:pPr>
              <w:spacing w:line="276" w:lineRule="auto"/>
              <w:rPr>
                <w:b/>
                <w:sz w:val="23"/>
              </w:rPr>
            </w:pPr>
            <w:r>
              <w:rPr>
                <w:sz w:val="23"/>
                <w:szCs w:val="25"/>
              </w:rPr>
              <w:t>7.80</w:t>
            </w:r>
            <w:r>
              <w:rPr>
                <w:sz w:val="23"/>
                <w:szCs w:val="25"/>
                <w:vertAlign w:val="superscript"/>
              </w:rPr>
              <w:t>c</w:t>
            </w:r>
            <w:r>
              <w:rPr>
                <w:sz w:val="23"/>
                <w:szCs w:val="25"/>
              </w:rPr>
              <w:t xml:space="preserve">±1.27          </w:t>
            </w:r>
          </w:p>
        </w:tc>
        <w:tc>
          <w:tcPr>
            <w:tcW w:w="1350" w:type="dxa"/>
          </w:tcPr>
          <w:p w14:paraId="75FB71D8" w14:textId="77777777" w:rsidR="004879C6" w:rsidRDefault="00934F55">
            <w:pPr>
              <w:spacing w:line="276" w:lineRule="auto"/>
              <w:rPr>
                <w:b/>
                <w:sz w:val="23"/>
              </w:rPr>
            </w:pPr>
            <w:r>
              <w:rPr>
                <w:sz w:val="23"/>
                <w:szCs w:val="25"/>
              </w:rPr>
              <w:t>7.07</w:t>
            </w:r>
            <w:r>
              <w:rPr>
                <w:sz w:val="23"/>
                <w:szCs w:val="25"/>
                <w:vertAlign w:val="superscript"/>
              </w:rPr>
              <w:t>c</w:t>
            </w:r>
            <w:r>
              <w:rPr>
                <w:sz w:val="23"/>
                <w:szCs w:val="25"/>
              </w:rPr>
              <w:t xml:space="preserve">±1.10        </w:t>
            </w:r>
          </w:p>
        </w:tc>
        <w:tc>
          <w:tcPr>
            <w:tcW w:w="1350" w:type="dxa"/>
          </w:tcPr>
          <w:p w14:paraId="4A4B71F7" w14:textId="77777777" w:rsidR="004879C6" w:rsidRDefault="00934F55">
            <w:pPr>
              <w:spacing w:line="276" w:lineRule="auto"/>
              <w:rPr>
                <w:b/>
                <w:sz w:val="23"/>
              </w:rPr>
            </w:pPr>
            <w:r>
              <w:rPr>
                <w:sz w:val="23"/>
                <w:szCs w:val="25"/>
              </w:rPr>
              <w:t>7.77</w:t>
            </w:r>
            <w:r>
              <w:rPr>
                <w:sz w:val="23"/>
                <w:szCs w:val="25"/>
                <w:vertAlign w:val="superscript"/>
              </w:rPr>
              <w:t>c</w:t>
            </w:r>
            <w:r>
              <w:rPr>
                <w:sz w:val="23"/>
                <w:szCs w:val="25"/>
              </w:rPr>
              <w:t xml:space="preserve">±1.54       </w:t>
            </w:r>
          </w:p>
        </w:tc>
        <w:tc>
          <w:tcPr>
            <w:tcW w:w="1620" w:type="dxa"/>
          </w:tcPr>
          <w:p w14:paraId="4B5FEC5E" w14:textId="77777777" w:rsidR="004879C6" w:rsidRDefault="00934F55">
            <w:pPr>
              <w:spacing w:line="276" w:lineRule="auto"/>
              <w:rPr>
                <w:b/>
                <w:sz w:val="23"/>
              </w:rPr>
            </w:pPr>
            <w:r>
              <w:rPr>
                <w:sz w:val="23"/>
                <w:szCs w:val="25"/>
              </w:rPr>
              <w:t>7.81</w:t>
            </w:r>
            <w:r>
              <w:rPr>
                <w:sz w:val="23"/>
                <w:szCs w:val="25"/>
                <w:vertAlign w:val="superscript"/>
              </w:rPr>
              <w:t>c</w:t>
            </w:r>
            <w:r>
              <w:rPr>
                <w:sz w:val="23"/>
                <w:szCs w:val="25"/>
              </w:rPr>
              <w:t xml:space="preserve">±1.16           </w:t>
            </w:r>
          </w:p>
        </w:tc>
        <w:tc>
          <w:tcPr>
            <w:tcW w:w="2250" w:type="dxa"/>
          </w:tcPr>
          <w:p w14:paraId="39FBB19C" w14:textId="77777777" w:rsidR="004879C6" w:rsidRDefault="00934F55">
            <w:pPr>
              <w:spacing w:line="276" w:lineRule="auto"/>
              <w:rPr>
                <w:b/>
                <w:sz w:val="23"/>
              </w:rPr>
            </w:pPr>
            <w:r>
              <w:rPr>
                <w:sz w:val="23"/>
                <w:szCs w:val="25"/>
              </w:rPr>
              <w:t>7.90</w:t>
            </w:r>
            <w:r>
              <w:rPr>
                <w:sz w:val="23"/>
                <w:szCs w:val="25"/>
                <w:vertAlign w:val="superscript"/>
              </w:rPr>
              <w:t>c</w:t>
            </w:r>
            <w:r>
              <w:rPr>
                <w:sz w:val="23"/>
                <w:szCs w:val="25"/>
              </w:rPr>
              <w:t>±1.51</w:t>
            </w:r>
          </w:p>
        </w:tc>
      </w:tr>
      <w:tr w:rsidR="004879C6" w14:paraId="24236EDE" w14:textId="77777777">
        <w:tc>
          <w:tcPr>
            <w:tcW w:w="900" w:type="dxa"/>
          </w:tcPr>
          <w:p w14:paraId="3BCC6552" w14:textId="77777777" w:rsidR="004879C6" w:rsidRDefault="00934F55">
            <w:pPr>
              <w:spacing w:line="276" w:lineRule="auto"/>
              <w:rPr>
                <w:sz w:val="23"/>
              </w:rPr>
            </w:pPr>
            <w:r>
              <w:rPr>
                <w:sz w:val="23"/>
              </w:rPr>
              <w:t>D</w:t>
            </w:r>
          </w:p>
        </w:tc>
        <w:tc>
          <w:tcPr>
            <w:tcW w:w="1728" w:type="dxa"/>
          </w:tcPr>
          <w:p w14:paraId="2B57BEC0" w14:textId="77777777" w:rsidR="004879C6" w:rsidRDefault="00934F55">
            <w:pPr>
              <w:spacing w:line="276" w:lineRule="auto"/>
              <w:rPr>
                <w:sz w:val="23"/>
              </w:rPr>
            </w:pPr>
            <w:r>
              <w:rPr>
                <w:sz w:val="23"/>
              </w:rPr>
              <w:t>70 : 20 :  10</w:t>
            </w:r>
          </w:p>
        </w:tc>
        <w:tc>
          <w:tcPr>
            <w:tcW w:w="1440" w:type="dxa"/>
          </w:tcPr>
          <w:p w14:paraId="603D9BEC" w14:textId="77777777" w:rsidR="004879C6" w:rsidRDefault="00934F55">
            <w:pPr>
              <w:spacing w:line="276" w:lineRule="auto"/>
              <w:rPr>
                <w:b/>
                <w:sz w:val="23"/>
              </w:rPr>
            </w:pPr>
            <w:r>
              <w:rPr>
                <w:sz w:val="23"/>
                <w:szCs w:val="25"/>
              </w:rPr>
              <w:t>7.43</w:t>
            </w:r>
            <w:r>
              <w:rPr>
                <w:sz w:val="23"/>
                <w:szCs w:val="25"/>
                <w:vertAlign w:val="superscript"/>
              </w:rPr>
              <w:t>d</w:t>
            </w:r>
            <w:r>
              <w:rPr>
                <w:sz w:val="23"/>
                <w:szCs w:val="25"/>
              </w:rPr>
              <w:t xml:space="preserve">±1.05          </w:t>
            </w:r>
          </w:p>
        </w:tc>
        <w:tc>
          <w:tcPr>
            <w:tcW w:w="1350" w:type="dxa"/>
          </w:tcPr>
          <w:p w14:paraId="36939436" w14:textId="77777777" w:rsidR="004879C6" w:rsidRDefault="00934F55">
            <w:pPr>
              <w:spacing w:line="276" w:lineRule="auto"/>
              <w:rPr>
                <w:b/>
                <w:sz w:val="23"/>
              </w:rPr>
            </w:pPr>
            <w:r>
              <w:rPr>
                <w:sz w:val="23"/>
                <w:szCs w:val="25"/>
              </w:rPr>
              <w:t>6.78</w:t>
            </w:r>
            <w:r>
              <w:rPr>
                <w:sz w:val="23"/>
                <w:szCs w:val="25"/>
                <w:vertAlign w:val="superscript"/>
              </w:rPr>
              <w:t>d</w:t>
            </w:r>
            <w:r>
              <w:rPr>
                <w:sz w:val="23"/>
                <w:szCs w:val="25"/>
              </w:rPr>
              <w:t xml:space="preserve">±1.03              </w:t>
            </w:r>
          </w:p>
        </w:tc>
        <w:tc>
          <w:tcPr>
            <w:tcW w:w="1350" w:type="dxa"/>
          </w:tcPr>
          <w:p w14:paraId="56A9AF89" w14:textId="77777777" w:rsidR="004879C6" w:rsidRDefault="00934F55">
            <w:pPr>
              <w:spacing w:line="276" w:lineRule="auto"/>
              <w:rPr>
                <w:b/>
                <w:sz w:val="23"/>
              </w:rPr>
            </w:pPr>
            <w:r>
              <w:rPr>
                <w:sz w:val="23"/>
                <w:szCs w:val="25"/>
              </w:rPr>
              <w:t>7.40</w:t>
            </w:r>
            <w:r>
              <w:rPr>
                <w:sz w:val="23"/>
                <w:szCs w:val="25"/>
                <w:vertAlign w:val="superscript"/>
              </w:rPr>
              <w:t>d</w:t>
            </w:r>
            <w:r>
              <w:rPr>
                <w:sz w:val="23"/>
                <w:szCs w:val="25"/>
              </w:rPr>
              <w:t>±1.10</w:t>
            </w:r>
          </w:p>
        </w:tc>
        <w:tc>
          <w:tcPr>
            <w:tcW w:w="1620" w:type="dxa"/>
          </w:tcPr>
          <w:p w14:paraId="46C00564" w14:textId="77777777" w:rsidR="004879C6" w:rsidRDefault="00934F55">
            <w:pPr>
              <w:spacing w:line="276" w:lineRule="auto"/>
              <w:rPr>
                <w:b/>
                <w:sz w:val="23"/>
              </w:rPr>
            </w:pPr>
            <w:r>
              <w:rPr>
                <w:sz w:val="23"/>
                <w:szCs w:val="25"/>
              </w:rPr>
              <w:t>7.26</w:t>
            </w:r>
            <w:r>
              <w:rPr>
                <w:sz w:val="23"/>
                <w:szCs w:val="25"/>
                <w:vertAlign w:val="superscript"/>
              </w:rPr>
              <w:t>d</w:t>
            </w:r>
            <w:r>
              <w:rPr>
                <w:sz w:val="23"/>
                <w:szCs w:val="25"/>
              </w:rPr>
              <w:t xml:space="preserve">±1.18           </w:t>
            </w:r>
          </w:p>
        </w:tc>
        <w:tc>
          <w:tcPr>
            <w:tcW w:w="2250" w:type="dxa"/>
          </w:tcPr>
          <w:p w14:paraId="4F9BB960" w14:textId="77777777" w:rsidR="004879C6" w:rsidRDefault="00934F55">
            <w:pPr>
              <w:spacing w:line="276" w:lineRule="auto"/>
              <w:rPr>
                <w:b/>
                <w:sz w:val="23"/>
              </w:rPr>
            </w:pPr>
            <w:r>
              <w:rPr>
                <w:sz w:val="23"/>
                <w:szCs w:val="25"/>
              </w:rPr>
              <w:t>7.61</w:t>
            </w:r>
            <w:r>
              <w:rPr>
                <w:sz w:val="23"/>
                <w:szCs w:val="25"/>
                <w:vertAlign w:val="superscript"/>
              </w:rPr>
              <w:t>e</w:t>
            </w:r>
            <w:r>
              <w:rPr>
                <w:sz w:val="23"/>
                <w:szCs w:val="25"/>
              </w:rPr>
              <w:t xml:space="preserve">±0.96                                                                                                                                                                 </w:t>
            </w:r>
          </w:p>
        </w:tc>
      </w:tr>
      <w:tr w:rsidR="004879C6" w14:paraId="7323AE78" w14:textId="77777777">
        <w:tc>
          <w:tcPr>
            <w:tcW w:w="900" w:type="dxa"/>
          </w:tcPr>
          <w:p w14:paraId="7E611010" w14:textId="77777777" w:rsidR="004879C6" w:rsidRDefault="00934F55">
            <w:pPr>
              <w:spacing w:line="276" w:lineRule="auto"/>
              <w:rPr>
                <w:sz w:val="23"/>
              </w:rPr>
            </w:pPr>
            <w:r>
              <w:rPr>
                <w:sz w:val="23"/>
              </w:rPr>
              <w:t xml:space="preserve">E </w:t>
            </w:r>
          </w:p>
        </w:tc>
        <w:tc>
          <w:tcPr>
            <w:tcW w:w="1728" w:type="dxa"/>
          </w:tcPr>
          <w:p w14:paraId="6CB238B6" w14:textId="77777777" w:rsidR="004879C6" w:rsidRDefault="00934F55">
            <w:pPr>
              <w:spacing w:line="276" w:lineRule="auto"/>
              <w:rPr>
                <w:sz w:val="23"/>
              </w:rPr>
            </w:pPr>
            <w:r>
              <w:rPr>
                <w:sz w:val="23"/>
              </w:rPr>
              <w:t>60 : 25 : 15</w:t>
            </w:r>
          </w:p>
        </w:tc>
        <w:tc>
          <w:tcPr>
            <w:tcW w:w="1440" w:type="dxa"/>
          </w:tcPr>
          <w:p w14:paraId="0C36848C" w14:textId="77777777" w:rsidR="004879C6" w:rsidRDefault="00934F55">
            <w:pPr>
              <w:spacing w:line="276" w:lineRule="auto"/>
              <w:rPr>
                <w:b/>
                <w:sz w:val="23"/>
              </w:rPr>
            </w:pPr>
            <w:r>
              <w:rPr>
                <w:sz w:val="23"/>
                <w:szCs w:val="25"/>
              </w:rPr>
              <w:t>7.33</w:t>
            </w:r>
            <w:r>
              <w:rPr>
                <w:sz w:val="23"/>
                <w:szCs w:val="25"/>
                <w:vertAlign w:val="superscript"/>
              </w:rPr>
              <w:t>e</w:t>
            </w:r>
            <w:r>
              <w:rPr>
                <w:sz w:val="23"/>
                <w:szCs w:val="25"/>
              </w:rPr>
              <w:t xml:space="preserve">±0.91           </w:t>
            </w:r>
          </w:p>
        </w:tc>
        <w:tc>
          <w:tcPr>
            <w:tcW w:w="1350" w:type="dxa"/>
          </w:tcPr>
          <w:p w14:paraId="2287AE07" w14:textId="77777777" w:rsidR="004879C6" w:rsidRDefault="00934F55">
            <w:pPr>
              <w:spacing w:line="276" w:lineRule="auto"/>
              <w:rPr>
                <w:b/>
                <w:sz w:val="23"/>
              </w:rPr>
            </w:pPr>
            <w:r>
              <w:rPr>
                <w:sz w:val="23"/>
                <w:szCs w:val="25"/>
              </w:rPr>
              <w:t>6.64</w:t>
            </w:r>
            <w:r>
              <w:rPr>
                <w:sz w:val="23"/>
                <w:szCs w:val="25"/>
                <w:vertAlign w:val="superscript"/>
              </w:rPr>
              <w:t>e</w:t>
            </w:r>
            <w:r>
              <w:rPr>
                <w:sz w:val="23"/>
                <w:szCs w:val="25"/>
              </w:rPr>
              <w:t xml:space="preserve">±1.26       </w:t>
            </w:r>
          </w:p>
        </w:tc>
        <w:tc>
          <w:tcPr>
            <w:tcW w:w="1350" w:type="dxa"/>
          </w:tcPr>
          <w:p w14:paraId="4A2BFABD" w14:textId="77777777" w:rsidR="004879C6" w:rsidRDefault="00934F55">
            <w:pPr>
              <w:spacing w:line="276" w:lineRule="auto"/>
              <w:rPr>
                <w:b/>
                <w:sz w:val="23"/>
              </w:rPr>
            </w:pPr>
            <w:r>
              <w:rPr>
                <w:sz w:val="23"/>
                <w:szCs w:val="25"/>
              </w:rPr>
              <w:t>7.27</w:t>
            </w:r>
            <w:r>
              <w:rPr>
                <w:sz w:val="23"/>
                <w:szCs w:val="25"/>
                <w:vertAlign w:val="superscript"/>
              </w:rPr>
              <w:t>e</w:t>
            </w:r>
            <w:r>
              <w:rPr>
                <w:sz w:val="23"/>
                <w:szCs w:val="25"/>
              </w:rPr>
              <w:t xml:space="preserve">±1.23        </w:t>
            </w:r>
          </w:p>
        </w:tc>
        <w:tc>
          <w:tcPr>
            <w:tcW w:w="1620" w:type="dxa"/>
          </w:tcPr>
          <w:p w14:paraId="143F0758" w14:textId="77777777" w:rsidR="004879C6" w:rsidRDefault="00934F55">
            <w:pPr>
              <w:spacing w:line="276" w:lineRule="auto"/>
              <w:rPr>
                <w:b/>
                <w:sz w:val="23"/>
              </w:rPr>
            </w:pPr>
            <w:r>
              <w:rPr>
                <w:sz w:val="23"/>
                <w:szCs w:val="25"/>
              </w:rPr>
              <w:t>7.10</w:t>
            </w:r>
            <w:r>
              <w:rPr>
                <w:sz w:val="23"/>
                <w:szCs w:val="25"/>
                <w:vertAlign w:val="superscript"/>
              </w:rPr>
              <w:t>e</w:t>
            </w:r>
            <w:r>
              <w:rPr>
                <w:sz w:val="23"/>
                <w:szCs w:val="25"/>
              </w:rPr>
              <w:t xml:space="preserve">±0.62          </w:t>
            </w:r>
          </w:p>
        </w:tc>
        <w:tc>
          <w:tcPr>
            <w:tcW w:w="2250" w:type="dxa"/>
          </w:tcPr>
          <w:p w14:paraId="510976E9" w14:textId="77777777" w:rsidR="004879C6" w:rsidRDefault="00934F55">
            <w:pPr>
              <w:spacing w:line="276" w:lineRule="auto"/>
              <w:rPr>
                <w:b/>
                <w:sz w:val="23"/>
              </w:rPr>
            </w:pPr>
            <w:r>
              <w:rPr>
                <w:sz w:val="23"/>
                <w:szCs w:val="25"/>
              </w:rPr>
              <w:t>7.77</w:t>
            </w:r>
            <w:r>
              <w:rPr>
                <w:sz w:val="23"/>
                <w:szCs w:val="25"/>
                <w:vertAlign w:val="superscript"/>
              </w:rPr>
              <w:t>c</w:t>
            </w:r>
            <w:r>
              <w:rPr>
                <w:sz w:val="23"/>
                <w:szCs w:val="25"/>
              </w:rPr>
              <w:t xml:space="preserve">±1.43                                                                                                                                                                                                                                      </w:t>
            </w:r>
            <w:r>
              <w:rPr>
                <w:sz w:val="23"/>
                <w:szCs w:val="25"/>
              </w:rPr>
              <w:t xml:space="preserve">             </w:t>
            </w:r>
          </w:p>
        </w:tc>
      </w:tr>
      <w:tr w:rsidR="004879C6" w14:paraId="3FFEF670" w14:textId="77777777">
        <w:tc>
          <w:tcPr>
            <w:tcW w:w="900" w:type="dxa"/>
            <w:tcBorders>
              <w:bottom w:val="single" w:sz="4" w:space="0" w:color="auto"/>
            </w:tcBorders>
          </w:tcPr>
          <w:p w14:paraId="3AE92C07" w14:textId="77777777" w:rsidR="004879C6" w:rsidRDefault="00934F55">
            <w:pPr>
              <w:spacing w:line="276" w:lineRule="auto"/>
              <w:rPr>
                <w:sz w:val="23"/>
              </w:rPr>
            </w:pPr>
            <w:r>
              <w:rPr>
                <w:sz w:val="23"/>
              </w:rPr>
              <w:t>F</w:t>
            </w:r>
          </w:p>
          <w:p w14:paraId="1E4ADAE4" w14:textId="77777777" w:rsidR="004879C6" w:rsidRDefault="00934F55">
            <w:pPr>
              <w:spacing w:line="276" w:lineRule="auto"/>
              <w:rPr>
                <w:sz w:val="23"/>
              </w:rPr>
            </w:pPr>
            <w:r>
              <w:rPr>
                <w:sz w:val="23"/>
              </w:rPr>
              <w:t xml:space="preserve">LSD </w:t>
            </w:r>
          </w:p>
        </w:tc>
        <w:tc>
          <w:tcPr>
            <w:tcW w:w="1728" w:type="dxa"/>
            <w:tcBorders>
              <w:bottom w:val="single" w:sz="4" w:space="0" w:color="auto"/>
            </w:tcBorders>
          </w:tcPr>
          <w:p w14:paraId="38BC2835" w14:textId="77777777" w:rsidR="004879C6" w:rsidRDefault="00934F55">
            <w:pPr>
              <w:spacing w:line="276" w:lineRule="auto"/>
              <w:rPr>
                <w:sz w:val="23"/>
              </w:rPr>
            </w:pPr>
            <w:r>
              <w:rPr>
                <w:sz w:val="23"/>
              </w:rPr>
              <w:t>50 : 30 : 20</w:t>
            </w:r>
          </w:p>
          <w:p w14:paraId="255F48C1" w14:textId="77777777" w:rsidR="004879C6" w:rsidRDefault="00934F55">
            <w:pPr>
              <w:spacing w:line="276" w:lineRule="auto"/>
              <w:rPr>
                <w:sz w:val="23"/>
              </w:rPr>
            </w:pPr>
            <w:r>
              <w:rPr>
                <w:sz w:val="23"/>
              </w:rPr>
              <w:t>(0.05)</w:t>
            </w:r>
          </w:p>
        </w:tc>
        <w:tc>
          <w:tcPr>
            <w:tcW w:w="1440" w:type="dxa"/>
            <w:tcBorders>
              <w:bottom w:val="single" w:sz="4" w:space="0" w:color="auto"/>
            </w:tcBorders>
          </w:tcPr>
          <w:p w14:paraId="5376E33D" w14:textId="77777777" w:rsidR="004879C6" w:rsidRDefault="00934F55">
            <w:pPr>
              <w:spacing w:line="276" w:lineRule="auto"/>
              <w:rPr>
                <w:sz w:val="23"/>
                <w:szCs w:val="25"/>
              </w:rPr>
            </w:pPr>
            <w:r>
              <w:rPr>
                <w:sz w:val="23"/>
                <w:szCs w:val="25"/>
              </w:rPr>
              <w:t>7.17</w:t>
            </w:r>
            <w:r>
              <w:rPr>
                <w:sz w:val="23"/>
                <w:szCs w:val="25"/>
                <w:vertAlign w:val="superscript"/>
              </w:rPr>
              <w:t>f</w:t>
            </w:r>
            <w:r>
              <w:rPr>
                <w:sz w:val="23"/>
                <w:szCs w:val="25"/>
              </w:rPr>
              <w:t>±1.35</w:t>
            </w:r>
          </w:p>
          <w:p w14:paraId="12F86DCF" w14:textId="77777777" w:rsidR="004879C6" w:rsidRDefault="00934F55">
            <w:pPr>
              <w:spacing w:line="276" w:lineRule="auto"/>
              <w:rPr>
                <w:b/>
                <w:sz w:val="23"/>
              </w:rPr>
            </w:pPr>
            <w:r>
              <w:rPr>
                <w:sz w:val="23"/>
                <w:szCs w:val="25"/>
              </w:rPr>
              <w:t xml:space="preserve">0.47           </w:t>
            </w:r>
          </w:p>
        </w:tc>
        <w:tc>
          <w:tcPr>
            <w:tcW w:w="1350" w:type="dxa"/>
            <w:tcBorders>
              <w:bottom w:val="single" w:sz="4" w:space="0" w:color="auto"/>
            </w:tcBorders>
          </w:tcPr>
          <w:p w14:paraId="5F995F16" w14:textId="77777777" w:rsidR="004879C6" w:rsidRDefault="00934F55">
            <w:pPr>
              <w:spacing w:line="276" w:lineRule="auto"/>
              <w:rPr>
                <w:sz w:val="23"/>
                <w:szCs w:val="25"/>
              </w:rPr>
            </w:pPr>
            <w:r>
              <w:rPr>
                <w:sz w:val="23"/>
                <w:szCs w:val="25"/>
              </w:rPr>
              <w:t>6.00</w:t>
            </w:r>
            <w:r>
              <w:rPr>
                <w:sz w:val="23"/>
                <w:szCs w:val="25"/>
                <w:vertAlign w:val="superscript"/>
              </w:rPr>
              <w:t>f</w:t>
            </w:r>
            <w:r>
              <w:rPr>
                <w:sz w:val="23"/>
                <w:szCs w:val="25"/>
              </w:rPr>
              <w:t>±1.30</w:t>
            </w:r>
          </w:p>
          <w:p w14:paraId="19E1B45F" w14:textId="77777777" w:rsidR="004879C6" w:rsidRDefault="00934F55">
            <w:pPr>
              <w:spacing w:line="276" w:lineRule="auto"/>
              <w:rPr>
                <w:b/>
                <w:sz w:val="23"/>
              </w:rPr>
            </w:pPr>
            <w:r>
              <w:rPr>
                <w:sz w:val="23"/>
                <w:szCs w:val="25"/>
              </w:rPr>
              <w:t xml:space="preserve">0.38        </w:t>
            </w:r>
          </w:p>
        </w:tc>
        <w:tc>
          <w:tcPr>
            <w:tcW w:w="1350" w:type="dxa"/>
            <w:tcBorders>
              <w:bottom w:val="single" w:sz="4" w:space="0" w:color="auto"/>
            </w:tcBorders>
          </w:tcPr>
          <w:p w14:paraId="02D17123" w14:textId="77777777" w:rsidR="004879C6" w:rsidRDefault="00934F55">
            <w:pPr>
              <w:spacing w:line="276" w:lineRule="auto"/>
              <w:rPr>
                <w:sz w:val="23"/>
                <w:szCs w:val="25"/>
              </w:rPr>
            </w:pPr>
            <w:r>
              <w:rPr>
                <w:sz w:val="23"/>
                <w:szCs w:val="25"/>
              </w:rPr>
              <w:t>6.10</w:t>
            </w:r>
            <w:r>
              <w:rPr>
                <w:sz w:val="23"/>
                <w:szCs w:val="25"/>
                <w:vertAlign w:val="superscript"/>
              </w:rPr>
              <w:t>f</w:t>
            </w:r>
            <w:r>
              <w:rPr>
                <w:sz w:val="23"/>
                <w:szCs w:val="25"/>
              </w:rPr>
              <w:t>±1.13</w:t>
            </w:r>
          </w:p>
          <w:p w14:paraId="37EE1046" w14:textId="77777777" w:rsidR="004879C6" w:rsidRDefault="00934F55">
            <w:pPr>
              <w:spacing w:line="276" w:lineRule="auto"/>
              <w:rPr>
                <w:b/>
                <w:sz w:val="23"/>
              </w:rPr>
            </w:pPr>
            <w:r>
              <w:rPr>
                <w:sz w:val="23"/>
                <w:szCs w:val="25"/>
              </w:rPr>
              <w:t xml:space="preserve">0.38                                                                                                                                                    </w:t>
            </w:r>
            <w:r>
              <w:rPr>
                <w:sz w:val="23"/>
                <w:szCs w:val="25"/>
              </w:rPr>
              <w:t xml:space="preserve">                                                                                                                                                                                                                                                                </w:t>
            </w:r>
            <w:r>
              <w:rPr>
                <w:sz w:val="23"/>
                <w:szCs w:val="25"/>
              </w:rPr>
              <w:t xml:space="preserve">                                                                                                                                                                                                                                                                </w:t>
            </w:r>
            <w:r>
              <w:rPr>
                <w:sz w:val="23"/>
                <w:szCs w:val="25"/>
              </w:rPr>
              <w:t xml:space="preserve">                              </w:t>
            </w:r>
          </w:p>
        </w:tc>
        <w:tc>
          <w:tcPr>
            <w:tcW w:w="1620" w:type="dxa"/>
            <w:tcBorders>
              <w:bottom w:val="single" w:sz="4" w:space="0" w:color="auto"/>
            </w:tcBorders>
          </w:tcPr>
          <w:p w14:paraId="42F32EFD" w14:textId="77777777" w:rsidR="004879C6" w:rsidRDefault="00934F55">
            <w:pPr>
              <w:spacing w:line="276" w:lineRule="auto"/>
              <w:rPr>
                <w:sz w:val="23"/>
                <w:szCs w:val="25"/>
              </w:rPr>
            </w:pPr>
            <w:r>
              <w:rPr>
                <w:sz w:val="23"/>
                <w:szCs w:val="25"/>
              </w:rPr>
              <w:t>6.00</w:t>
            </w:r>
            <w:r>
              <w:rPr>
                <w:sz w:val="23"/>
                <w:szCs w:val="25"/>
                <w:vertAlign w:val="superscript"/>
              </w:rPr>
              <w:t>f</w:t>
            </w:r>
            <w:r>
              <w:rPr>
                <w:sz w:val="23"/>
                <w:szCs w:val="25"/>
              </w:rPr>
              <w:t xml:space="preserve">±1.22 </w:t>
            </w:r>
          </w:p>
          <w:p w14:paraId="065E7D6D" w14:textId="77777777" w:rsidR="004879C6" w:rsidRDefault="00934F55">
            <w:pPr>
              <w:spacing w:line="276" w:lineRule="auto"/>
              <w:rPr>
                <w:b/>
                <w:sz w:val="23"/>
              </w:rPr>
            </w:pPr>
            <w:r>
              <w:rPr>
                <w:sz w:val="23"/>
                <w:szCs w:val="25"/>
              </w:rPr>
              <w:t xml:space="preserve">0.37 </w:t>
            </w:r>
          </w:p>
        </w:tc>
        <w:tc>
          <w:tcPr>
            <w:tcW w:w="2250" w:type="dxa"/>
            <w:tcBorders>
              <w:bottom w:val="single" w:sz="4" w:space="0" w:color="auto"/>
            </w:tcBorders>
          </w:tcPr>
          <w:p w14:paraId="71FE6615" w14:textId="77777777" w:rsidR="004879C6" w:rsidRDefault="00934F55">
            <w:pPr>
              <w:spacing w:line="276" w:lineRule="auto"/>
              <w:rPr>
                <w:sz w:val="23"/>
                <w:szCs w:val="25"/>
              </w:rPr>
            </w:pPr>
            <w:r>
              <w:rPr>
                <w:sz w:val="23"/>
                <w:szCs w:val="25"/>
              </w:rPr>
              <w:t>6.61</w:t>
            </w:r>
            <w:r>
              <w:rPr>
                <w:sz w:val="23"/>
                <w:szCs w:val="25"/>
                <w:vertAlign w:val="superscript"/>
              </w:rPr>
              <w:t>d</w:t>
            </w:r>
            <w:r>
              <w:rPr>
                <w:sz w:val="23"/>
                <w:szCs w:val="25"/>
              </w:rPr>
              <w:t xml:space="preserve">±1.28    </w:t>
            </w:r>
          </w:p>
          <w:p w14:paraId="479F2944" w14:textId="77777777" w:rsidR="004879C6" w:rsidRDefault="00934F55">
            <w:pPr>
              <w:spacing w:line="276" w:lineRule="auto"/>
              <w:rPr>
                <w:b/>
                <w:sz w:val="23"/>
              </w:rPr>
            </w:pPr>
            <w:r>
              <w:rPr>
                <w:sz w:val="23"/>
                <w:szCs w:val="25"/>
              </w:rPr>
              <w:t>0.42</w:t>
            </w:r>
          </w:p>
        </w:tc>
      </w:tr>
    </w:tbl>
    <w:p w14:paraId="3340ED45" w14:textId="77777777" w:rsidR="004879C6" w:rsidRDefault="004879C6">
      <w:pPr>
        <w:shd w:val="clear" w:color="auto" w:fill="FFFFFF"/>
        <w:spacing w:before="150" w:after="300" w:line="276" w:lineRule="auto"/>
        <w:rPr>
          <w:sz w:val="22"/>
          <w:szCs w:val="22"/>
        </w:rPr>
      </w:pPr>
    </w:p>
    <w:p w14:paraId="5CDB4DF3" w14:textId="77777777" w:rsidR="004879C6" w:rsidRDefault="00934F55">
      <w:pPr>
        <w:shd w:val="clear" w:color="auto" w:fill="FFFFFF"/>
        <w:spacing w:before="150" w:after="300" w:line="276" w:lineRule="auto"/>
        <w:rPr>
          <w:sz w:val="22"/>
          <w:szCs w:val="22"/>
        </w:rPr>
      </w:pPr>
      <w:r>
        <w:rPr>
          <w:sz w:val="22"/>
          <w:szCs w:val="22"/>
        </w:rPr>
        <w:t xml:space="preserve">Data are mean ± </w:t>
      </w:r>
      <w:r>
        <w:rPr>
          <w:sz w:val="20"/>
          <w:szCs w:val="20"/>
        </w:rPr>
        <w:t xml:space="preserve">standard deviation </w:t>
      </w:r>
      <w:r>
        <w:rPr>
          <w:sz w:val="22"/>
          <w:szCs w:val="22"/>
        </w:rPr>
        <w:t>of twenty (20) semi-trained judges. Means in the same column bearing different superscripts differed significantly (p˂0.05) from each other.</w:t>
      </w:r>
    </w:p>
    <w:p w14:paraId="644A53F8" w14:textId="77777777" w:rsidR="004879C6" w:rsidRDefault="00934F55">
      <w:pPr>
        <w:spacing w:line="276" w:lineRule="auto"/>
        <w:rPr>
          <w:sz w:val="20"/>
          <w:szCs w:val="20"/>
        </w:rPr>
      </w:pPr>
      <w:r>
        <w:rPr>
          <w:sz w:val="20"/>
          <w:szCs w:val="20"/>
        </w:rPr>
        <w:t xml:space="preserve">A – </w:t>
      </w:r>
      <w:r>
        <w:rPr>
          <w:sz w:val="20"/>
          <w:szCs w:val="20"/>
        </w:rPr>
        <w:t>Biscuits prepared from 100% wheat flour. B – Biscuits prepared from 90% wheat, 5% Bambara groundnut and 5% African bush mango mesocarp flours.  C – Biscuits prepared from 80% wheat, 15% Bambara groundnut and 5% African bush mango mesocarp flours. D – Biscu</w:t>
      </w:r>
      <w:r>
        <w:rPr>
          <w:sz w:val="20"/>
          <w:szCs w:val="20"/>
        </w:rPr>
        <w:t>it prepared from 70% wheat, 20% Bambara groundnut and 10% African bush mango mesocarp flours.  E – Biscuits prepared from 60% wheat, 25% Bambara groundnut and 15% African bush mango mesocarp flours. F – Biscuits prepared from 50% wheat, 30% Bambara groundn</w:t>
      </w:r>
      <w:r>
        <w:rPr>
          <w:sz w:val="20"/>
          <w:szCs w:val="20"/>
        </w:rPr>
        <w:t>ut and 20% African bush mango mesocarp flours.</w:t>
      </w:r>
    </w:p>
    <w:p w14:paraId="12843221" w14:textId="77777777" w:rsidR="004879C6" w:rsidRDefault="00934F55">
      <w:pPr>
        <w:spacing w:line="276" w:lineRule="auto"/>
        <w:rPr>
          <w:sz w:val="20"/>
          <w:szCs w:val="20"/>
        </w:rPr>
      </w:pPr>
      <w:r>
        <w:rPr>
          <w:sz w:val="20"/>
          <w:szCs w:val="20"/>
        </w:rPr>
        <w:t>WF- Wheat flour, BGF- Bambara groundnut flour, ABMF- African bush mango mesocarp flour.</w:t>
      </w:r>
    </w:p>
    <w:p w14:paraId="7483D814" w14:textId="77777777" w:rsidR="004879C6" w:rsidRDefault="00934F55">
      <w:pPr>
        <w:spacing w:line="276" w:lineRule="auto"/>
        <w:jc w:val="center"/>
        <w:rPr>
          <w:b/>
        </w:rPr>
      </w:pPr>
      <w:r>
        <w:rPr>
          <w:b/>
        </w:rPr>
        <w:br w:type="page"/>
      </w:r>
    </w:p>
    <w:p w14:paraId="01056B09" w14:textId="77777777" w:rsidR="004879C6" w:rsidRDefault="00934F55">
      <w:pPr>
        <w:spacing w:line="276" w:lineRule="auto"/>
        <w:rPr>
          <w:b/>
        </w:rPr>
      </w:pPr>
      <w:r>
        <w:rPr>
          <w:b/>
        </w:rPr>
        <w:lastRenderedPageBreak/>
        <w:t xml:space="preserve">CONCLUSION </w:t>
      </w:r>
    </w:p>
    <w:p w14:paraId="47E7DDCF" w14:textId="77777777" w:rsidR="004879C6" w:rsidRDefault="00934F55">
      <w:pPr>
        <w:spacing w:line="276" w:lineRule="auto"/>
      </w:pPr>
      <w:r>
        <w:t>The study showed that the addition of various proportions of  bambara groundnut and bush mango mesocarp flo</w:t>
      </w:r>
      <w:r>
        <w:t xml:space="preserve">urs to wheat flour in the preparation of  biscuits significantly increased the proximate composition, mineral and vitamin contents as well as some physical properties of composite biscuit samples. The increase in the addition of Bambara groundnut and bush </w:t>
      </w:r>
      <w:r>
        <w:t>mango mesocarp flours resulted in increase in the protein, ash, fat, crude fibre, calcium, potassium, phosphorus, iron, niacin, ascorbic acid, riboflavin, thiamine, vitamin A and folic acid contents with slight decrease in the carbohydrate and energy conte</w:t>
      </w:r>
      <w:r>
        <w:t>nts of the biscuits.</w:t>
      </w:r>
    </w:p>
    <w:p w14:paraId="2535281E" w14:textId="77777777" w:rsidR="004879C6" w:rsidRDefault="00934F55">
      <w:pPr>
        <w:spacing w:line="276" w:lineRule="auto"/>
      </w:pPr>
      <w:r>
        <w:t>The study also revealed that the enrichment of wheat flour with Bambara groundnut and bush mango mesocarp flours in biscuit production resulted in low total viable count and absence of coliform bacteria and fungi from the products whic</w:t>
      </w:r>
      <w:r>
        <w:t>h is a clear indication that they were wholesome, safe and would have longer shelf life when properly packaged and stored. The result also showed that the height, weight and thickness of the biscuits increased gradually with increase in the addition of Bam</w:t>
      </w:r>
      <w:r>
        <w:t>bara groundnut and bush mango mesocarp flours, while the diameter, spread ratio and spread factor decreased.</w:t>
      </w:r>
    </w:p>
    <w:p w14:paraId="0350C4A5" w14:textId="77777777" w:rsidR="004879C6" w:rsidRDefault="00934F55">
      <w:pPr>
        <w:spacing w:line="276" w:lineRule="auto"/>
      </w:pPr>
      <w:r>
        <w:t>The sensory properties showed the biscuits made with 100% wheat flour (control) were the most acceptable organoleptically to the panellists compare</w:t>
      </w:r>
      <w:r>
        <w:t>d to the composite flour biscuits. In addition, the composite flour biscuits substituted with Bambara groundnut and bush mango mesocarp flours at different stated levels were equally acceptable because they were also rated between 6-8 using a 9-point Hedon</w:t>
      </w:r>
      <w:r>
        <w:t>ic scale by the judges.</w:t>
      </w:r>
    </w:p>
    <w:p w14:paraId="4C9494D4" w14:textId="77777777" w:rsidR="004879C6" w:rsidRDefault="00934F55">
      <w:pPr>
        <w:spacing w:line="276" w:lineRule="auto"/>
      </w:pPr>
      <w:r>
        <w:t xml:space="preserve">Generally, the study showed that the supplementation of wheat flour with lower proportions of Bambara groundnut and bush mango mesocarp flours could be used in the production of biscuits that would be organoleptically acceptable by </w:t>
      </w:r>
      <w:r>
        <w:t>the public and  also have good nutrient contents.</w:t>
      </w:r>
    </w:p>
    <w:p w14:paraId="7B1E6D45" w14:textId="77777777" w:rsidR="004879C6" w:rsidRDefault="00934F55">
      <w:pPr>
        <w:spacing w:line="276" w:lineRule="auto"/>
      </w:pPr>
      <w:r>
        <w:t>The incorporation of these nutrient dense and functional ingredients in the preparation of composite flour biscuits could serve  as cheap sources of nutrients  and would also extend the utilization of  Bamb</w:t>
      </w:r>
      <w:r>
        <w:t>ara groundnut and bush mango mesocarp in food preparations.</w:t>
      </w:r>
    </w:p>
    <w:p w14:paraId="5952E242" w14:textId="77777777" w:rsidR="004879C6" w:rsidRDefault="004879C6">
      <w:pPr>
        <w:spacing w:after="200" w:line="276" w:lineRule="auto"/>
        <w:jc w:val="center"/>
        <w:rPr>
          <w:b/>
        </w:rPr>
      </w:pPr>
    </w:p>
    <w:p w14:paraId="5BBED0EC" w14:textId="77777777" w:rsidR="004879C6" w:rsidRDefault="004879C6">
      <w:pPr>
        <w:spacing w:after="200" w:line="276" w:lineRule="auto"/>
        <w:jc w:val="center"/>
        <w:rPr>
          <w:b/>
        </w:rPr>
      </w:pPr>
    </w:p>
    <w:p w14:paraId="4261CA7F" w14:textId="77777777" w:rsidR="004879C6" w:rsidRDefault="00934F55">
      <w:pPr>
        <w:spacing w:after="160" w:line="259" w:lineRule="auto"/>
        <w:jc w:val="left"/>
        <w:rPr>
          <w:b/>
        </w:rPr>
      </w:pPr>
      <w:r>
        <w:rPr>
          <w:b/>
        </w:rPr>
        <w:br w:type="page"/>
      </w:r>
    </w:p>
    <w:p w14:paraId="3CA23F08" w14:textId="77777777" w:rsidR="004879C6" w:rsidRDefault="00934F55">
      <w:pPr>
        <w:spacing w:after="200" w:line="240" w:lineRule="auto"/>
        <w:jc w:val="center"/>
        <w:rPr>
          <w:b/>
        </w:rPr>
      </w:pPr>
      <w:r>
        <w:rPr>
          <w:b/>
        </w:rPr>
        <w:lastRenderedPageBreak/>
        <w:t>REFERENCES</w:t>
      </w:r>
    </w:p>
    <w:p w14:paraId="3758E807" w14:textId="77777777" w:rsidR="004879C6" w:rsidRDefault="00934F55">
      <w:pPr>
        <w:spacing w:before="240" w:after="24" w:line="240" w:lineRule="auto"/>
        <w:ind w:left="720" w:hanging="720"/>
      </w:pPr>
      <w:r>
        <w:t xml:space="preserve">Abiodun, A.A. and </w:t>
      </w:r>
      <w:proofErr w:type="spellStart"/>
      <w:r>
        <w:t>Ehimen</w:t>
      </w:r>
      <w:proofErr w:type="spellEnd"/>
      <w:r>
        <w:t xml:space="preserve">, R.O. (2017). Physical, chemical, and sensory properties of biscuits prepared from blends of unripe cooking banana, bambara groundnut, and sweet potato flour. </w:t>
      </w:r>
      <w:r>
        <w:rPr>
          <w:i/>
        </w:rPr>
        <w:t>Food Science and Nutrition</w:t>
      </w:r>
      <w:r>
        <w:t xml:space="preserve">; </w:t>
      </w:r>
      <w:r>
        <w:rPr>
          <w:i/>
        </w:rPr>
        <w:t>12: 120-127</w:t>
      </w:r>
      <w:r>
        <w:t>.</w:t>
      </w:r>
    </w:p>
    <w:p w14:paraId="68CA3161" w14:textId="77777777" w:rsidR="004879C6" w:rsidRDefault="00934F55">
      <w:pPr>
        <w:spacing w:before="240" w:after="24" w:line="240" w:lineRule="auto"/>
        <w:ind w:left="720" w:hanging="720"/>
      </w:pPr>
      <w:r>
        <w:rPr>
          <w:rFonts w:eastAsia="Calibri"/>
        </w:rPr>
        <w:t>A</w:t>
      </w:r>
      <w:r>
        <w:rPr>
          <w:rFonts w:eastAsia="Calibri"/>
        </w:rPr>
        <w:t xml:space="preserve">debiyi, J.A., Njobeh, P.B and </w:t>
      </w:r>
      <w:r>
        <w:rPr>
          <w:rFonts w:eastAsia="Calibri"/>
        </w:rPr>
        <w:t>Kayitesi, E. (2019).Assessment of nutritional and phytochemical  quality of dawadawa (an African fermented condiment) produced from bambara groundnut (</w:t>
      </w:r>
      <w:r>
        <w:rPr>
          <w:rFonts w:eastAsia="Calibri"/>
          <w:i/>
        </w:rPr>
        <w:t>Vigna subterranea</w:t>
      </w:r>
      <w:r>
        <w:rPr>
          <w:rFonts w:eastAsia="Calibri"/>
        </w:rPr>
        <w:t xml:space="preserve">). </w:t>
      </w:r>
      <w:r>
        <w:rPr>
          <w:rFonts w:eastAsia="Calibri"/>
          <w:i/>
        </w:rPr>
        <w:t xml:space="preserve">Microchemical </w:t>
      </w:r>
      <w:r>
        <w:rPr>
          <w:i/>
        </w:rPr>
        <w:t>Journal</w:t>
      </w:r>
      <w:r>
        <w:t xml:space="preserve">, </w:t>
      </w:r>
      <w:r>
        <w:rPr>
          <w:rFonts w:eastAsia="Calibri"/>
          <w:i/>
        </w:rPr>
        <w:t>14,104-234.</w:t>
      </w:r>
    </w:p>
    <w:p w14:paraId="2FD5321A" w14:textId="77777777" w:rsidR="004879C6" w:rsidRDefault="00934F55">
      <w:pPr>
        <w:spacing w:before="240" w:after="24" w:line="240" w:lineRule="auto"/>
        <w:ind w:left="720" w:hanging="720"/>
      </w:pPr>
      <w:r>
        <w:t>A</w:t>
      </w:r>
      <w:r>
        <w:t>degunwa, A.V., Hung, Y.C., Phillips, R.D. and Mad</w:t>
      </w:r>
      <w:r>
        <w:t xml:space="preserve">u, H. (2012). Chemical, functional, properties and baking potentials of African breadfruit kernel and wheat flour blends. </w:t>
      </w:r>
      <w:r>
        <w:rPr>
          <w:i/>
        </w:rPr>
        <w:t>International Journal of Food Science and Technology</w:t>
      </w:r>
      <w:r>
        <w:t xml:space="preserve">, </w:t>
      </w:r>
      <w:r>
        <w:rPr>
          <w:i/>
        </w:rPr>
        <w:t>39, 223-229</w:t>
      </w:r>
      <w:r>
        <w:t>.</w:t>
      </w:r>
    </w:p>
    <w:p w14:paraId="20EFDD73" w14:textId="77777777" w:rsidR="004879C6" w:rsidRDefault="00934F55">
      <w:pPr>
        <w:spacing w:before="240" w:after="24" w:line="240" w:lineRule="auto"/>
        <w:ind w:left="720" w:hanging="720"/>
      </w:pPr>
      <w:r>
        <w:rPr>
          <w:highlight w:val="white"/>
        </w:rPr>
        <w:t>A</w:t>
      </w:r>
      <w:r>
        <w:rPr>
          <w:highlight w:val="white"/>
        </w:rPr>
        <w:t>deleke, H.A. and Odedeji, R.B. (2010). </w:t>
      </w:r>
      <w:hyperlink r:id="rId21" w:history="1">
        <w:r w:rsidR="004879C6">
          <w:rPr>
            <w:highlight w:val="white"/>
          </w:rPr>
          <w:t>Effect of an afternoon confectionery snack on cognitive processes critical to learning</w:t>
        </w:r>
      </w:hyperlink>
      <w:r>
        <w:rPr>
          <w:highlight w:val="white"/>
        </w:rPr>
        <w:t>. </w:t>
      </w:r>
      <w:r>
        <w:rPr>
          <w:i/>
          <w:highlight w:val="white"/>
        </w:rPr>
        <w:t>Physiology and Behavior</w:t>
      </w:r>
      <w:r>
        <w:rPr>
          <w:highlight w:val="white"/>
        </w:rPr>
        <w:t>, </w:t>
      </w:r>
      <w:r>
        <w:rPr>
          <w:i/>
          <w:highlight w:val="white"/>
        </w:rPr>
        <w:t>90 (2–3), 344–52</w:t>
      </w:r>
      <w:r>
        <w:rPr>
          <w:highlight w:val="white"/>
        </w:rPr>
        <w:t>.</w:t>
      </w:r>
    </w:p>
    <w:p w14:paraId="2D0F3BA0" w14:textId="77777777" w:rsidR="004879C6" w:rsidRDefault="00934F55">
      <w:pPr>
        <w:spacing w:before="240" w:after="24" w:line="240" w:lineRule="auto"/>
        <w:ind w:left="720" w:hanging="720"/>
      </w:pPr>
      <w:r>
        <w:t>A</w:t>
      </w:r>
      <w:r>
        <w:t xml:space="preserve">deyeye, S. A., and  Akingbala, J. O. (2013). Physico- chemical and functional properties of cookies produced from sweet potato-maize flour blends. </w:t>
      </w:r>
      <w:r>
        <w:rPr>
          <w:i/>
        </w:rPr>
        <w:t>Food Science and Quality Management, 43, 48–57.</w:t>
      </w:r>
    </w:p>
    <w:p w14:paraId="3C6F4177" w14:textId="77777777" w:rsidR="004879C6" w:rsidRDefault="00934F55">
      <w:pPr>
        <w:spacing w:before="240" w:line="240" w:lineRule="auto"/>
        <w:ind w:left="720" w:hanging="720"/>
        <w:rPr>
          <w:i/>
        </w:rPr>
      </w:pPr>
      <w:r>
        <w:t>A</w:t>
      </w:r>
      <w:r>
        <w:t>du-Gyami, J.A., Babarinde, G.O., Adekunle, A.A., Olajire, A</w:t>
      </w:r>
      <w:r>
        <w:t xml:space="preserve">.S. and Adegboye, A.A. (2008). Quality characteristics of cookies produced from wheat, acha and bambara groundnut flour blends. </w:t>
      </w:r>
      <w:r>
        <w:rPr>
          <w:i/>
        </w:rPr>
        <w:t>Annals Food Science and Technology</w:t>
      </w:r>
      <w:r>
        <w:t xml:space="preserve">, </w:t>
      </w:r>
      <w:r>
        <w:rPr>
          <w:i/>
        </w:rPr>
        <w:t>19(4), 691- 698.</w:t>
      </w:r>
    </w:p>
    <w:p w14:paraId="132F51FE" w14:textId="77777777" w:rsidR="004879C6" w:rsidRDefault="00934F55">
      <w:pPr>
        <w:spacing w:before="240" w:line="240" w:lineRule="auto"/>
        <w:ind w:left="720" w:hanging="720"/>
      </w:pPr>
      <w:r>
        <w:t>A</w:t>
      </w:r>
      <w:r>
        <w:t>hmad, S. and Ahmed, M. (2014).A review on biscuit, a largest consumed proc</w:t>
      </w:r>
      <w:r>
        <w:t xml:space="preserve">essed product in India: its fortification and nutritional importance. </w:t>
      </w:r>
      <w:r>
        <w:rPr>
          <w:i/>
        </w:rPr>
        <w:t>International Journal of Science Inventions Today</w:t>
      </w:r>
      <w:r>
        <w:t xml:space="preserve">, </w:t>
      </w:r>
      <w:r>
        <w:rPr>
          <w:i/>
        </w:rPr>
        <w:t>3,169-186.</w:t>
      </w:r>
    </w:p>
    <w:p w14:paraId="196935FF" w14:textId="77777777" w:rsidR="004879C6" w:rsidRDefault="00934F55">
      <w:pPr>
        <w:spacing w:before="240" w:line="240" w:lineRule="auto"/>
        <w:ind w:left="720" w:hanging="720"/>
        <w:rPr>
          <w:i/>
        </w:rPr>
      </w:pPr>
      <w:r>
        <w:t>A</w:t>
      </w:r>
      <w:r>
        <w:t xml:space="preserve">jibola, F.C., Oyerinde, O.V. and Adeniyan, S.O. (2015). Physicochemical and antioxidant properties of whole wheat biscuits </w:t>
      </w:r>
      <w:r>
        <w:t xml:space="preserve">incorporated with </w:t>
      </w:r>
      <w:r>
        <w:rPr>
          <w:i/>
        </w:rPr>
        <w:t>Moringa oleifera</w:t>
      </w:r>
      <w:r>
        <w:t xml:space="preserve"> leaves and cocoa powder. </w:t>
      </w:r>
      <w:r>
        <w:rPr>
          <w:i/>
        </w:rPr>
        <w:t>Journal of Scientific Research and Report</w:t>
      </w:r>
      <w:r>
        <w:t xml:space="preserve">, </w:t>
      </w:r>
      <w:r>
        <w:rPr>
          <w:i/>
        </w:rPr>
        <w:t>7(3), 195 – 206.</w:t>
      </w:r>
    </w:p>
    <w:p w14:paraId="74493E5E" w14:textId="77777777" w:rsidR="004879C6" w:rsidRDefault="00934F55">
      <w:pPr>
        <w:shd w:val="clear" w:color="auto" w:fill="FFFFFF"/>
        <w:spacing w:before="240" w:after="24" w:line="240" w:lineRule="auto"/>
        <w:ind w:left="720" w:hanging="720"/>
      </w:pPr>
      <w:r>
        <w:t>A</w:t>
      </w:r>
      <w:r>
        <w:t xml:space="preserve">lobo, A.P., 2001. </w:t>
      </w:r>
      <w:bookmarkStart w:id="26" w:name="36831_con"/>
      <w:bookmarkEnd w:id="26"/>
      <w:r>
        <w:t>Effect of jackbean (</w:t>
      </w:r>
      <w:r>
        <w:rPr>
          <w:i/>
          <w:iCs/>
        </w:rPr>
        <w:t>Canavalia ensiformis</w:t>
      </w:r>
      <w:r>
        <w:t>) flour on maize cookie characteristics.</w:t>
      </w:r>
      <w:r>
        <w:rPr>
          <w:i/>
        </w:rPr>
        <w:t xml:space="preserve"> Proceedings of the Conference of Nig</w:t>
      </w:r>
      <w:r>
        <w:rPr>
          <w:i/>
        </w:rPr>
        <w:t>erian Institute of Food Science and Technology</w:t>
      </w:r>
      <w:r>
        <w:t>, Pp. 189-190.</w:t>
      </w:r>
    </w:p>
    <w:p w14:paraId="38EA87F9" w14:textId="77777777" w:rsidR="004879C6" w:rsidRDefault="00934F55">
      <w:pPr>
        <w:spacing w:before="240" w:line="240" w:lineRule="auto"/>
        <w:ind w:left="720" w:hanging="720"/>
      </w:pPr>
      <w:r>
        <w:t>A</w:t>
      </w:r>
      <w:r>
        <w:t>martenifo, J.O., Tibe, O. and Njungo, R.M. (2016). The composition of bambara groundnut (</w:t>
      </w:r>
      <w:r>
        <w:rPr>
          <w:i/>
        </w:rPr>
        <w:t>Vigna substerranea</w:t>
      </w:r>
      <w:r>
        <w:t xml:space="preserve"> L Verdc) grown in southern, Africa. </w:t>
      </w:r>
      <w:r>
        <w:rPr>
          <w:i/>
        </w:rPr>
        <w:t xml:space="preserve">African Journal of Biotechnology, </w:t>
      </w:r>
      <w:r>
        <w:rPr>
          <w:b/>
          <w:i/>
        </w:rPr>
        <w:t>5</w:t>
      </w:r>
      <w:r>
        <w:rPr>
          <w:i/>
        </w:rPr>
        <w:t>:2408-2411.</w:t>
      </w:r>
    </w:p>
    <w:p w14:paraId="186F1D9F" w14:textId="77777777" w:rsidR="004879C6" w:rsidRDefault="00934F55">
      <w:pPr>
        <w:spacing w:before="240" w:line="240" w:lineRule="auto"/>
        <w:ind w:left="720" w:hanging="720"/>
      </w:pPr>
      <w:r>
        <w:t>A</w:t>
      </w:r>
      <w:r>
        <w:t>nd</w:t>
      </w:r>
      <w:r>
        <w:t xml:space="preserve">erson, R.P. Degano P, Godkin, A.J, Jewell, D.P and Hill A.V.S. (2009). In </w:t>
      </w:r>
      <w:r>
        <w:rPr>
          <w:i/>
        </w:rPr>
        <w:t>vivo antigen</w:t>
      </w:r>
      <w:r>
        <w:t xml:space="preserve"> challenge in celiac disease identifies a single trans- glutaminase-modified peptide as the dominant a-gliadin t-cell epi- tope. </w:t>
      </w:r>
      <w:r>
        <w:rPr>
          <w:i/>
        </w:rPr>
        <w:t>Nature Medicine, 6,337–342.</w:t>
      </w:r>
    </w:p>
    <w:p w14:paraId="79D01F25" w14:textId="77777777" w:rsidR="004879C6" w:rsidRDefault="00934F55">
      <w:pPr>
        <w:spacing w:before="240" w:line="240" w:lineRule="auto"/>
        <w:ind w:left="720" w:hanging="720"/>
        <w:rPr>
          <w:i/>
        </w:rPr>
      </w:pPr>
      <w:r>
        <w:t>A</w:t>
      </w:r>
      <w:r>
        <w:t xml:space="preserve">non (2001). </w:t>
      </w:r>
      <w:r>
        <w:rPr>
          <w:i/>
        </w:rPr>
        <w:t>Microbiological Guideline for Ready to eat Food. Recommendation for Food Safety Monitoring in Hong Kong by the expert panel on microbiological safety of food,</w:t>
      </w:r>
      <w:r>
        <w:t xml:space="preserve"> Hong Kong. </w:t>
      </w:r>
      <w:r>
        <w:rPr>
          <w:i/>
        </w:rPr>
        <w:t>Pp. 7-8.</w:t>
      </w:r>
    </w:p>
    <w:p w14:paraId="4047CC19" w14:textId="77777777" w:rsidR="004879C6" w:rsidRDefault="00934F55">
      <w:pPr>
        <w:spacing w:before="240" w:line="240" w:lineRule="auto"/>
        <w:ind w:left="720" w:hanging="720"/>
      </w:pPr>
      <w:r>
        <w:lastRenderedPageBreak/>
        <w:t>A</w:t>
      </w:r>
      <w:r>
        <w:t>ni, E. C. and Okoye, J. I. (2021). Nutrient composition, physical and sensor</w:t>
      </w:r>
      <w:r>
        <w:t xml:space="preserve">y properties of cookies produced from millet African walnut and unripe plantain composite flours. </w:t>
      </w:r>
      <w:r>
        <w:rPr>
          <w:i/>
        </w:rPr>
        <w:t xml:space="preserve">Journal of Food and Science and Nutrition, </w:t>
      </w:r>
      <w:r>
        <w:t>7(108), 1-12.</w:t>
      </w:r>
    </w:p>
    <w:p w14:paraId="1D6DA616" w14:textId="77777777" w:rsidR="004879C6" w:rsidRDefault="00934F55">
      <w:pPr>
        <w:spacing w:before="240" w:line="240" w:lineRule="auto"/>
        <w:ind w:left="720" w:hanging="720"/>
        <w:rPr>
          <w:i/>
        </w:rPr>
      </w:pPr>
      <w:r>
        <w:t>A</w:t>
      </w:r>
      <w:r>
        <w:t xml:space="preserve">nuonye, C., Singh, S. and Kumari, D. (2012).Evaluation of functional properties of composite flours </w:t>
      </w:r>
      <w:r>
        <w:t xml:space="preserve">and sensorial attributes of composite flour biscuits. </w:t>
      </w:r>
      <w:r>
        <w:rPr>
          <w:i/>
        </w:rPr>
        <w:t>Journal of Food Science and Technology</w:t>
      </w:r>
      <w:r>
        <w:t xml:space="preserve">, </w:t>
      </w:r>
      <w:r>
        <w:rPr>
          <w:i/>
        </w:rPr>
        <w:t>52(6),3681–3688.</w:t>
      </w:r>
    </w:p>
    <w:p w14:paraId="12896D04" w14:textId="77777777" w:rsidR="004879C6" w:rsidRDefault="00934F55">
      <w:pPr>
        <w:spacing w:before="240" w:line="240" w:lineRule="auto"/>
        <w:ind w:left="720" w:hanging="720"/>
        <w:rPr>
          <w:i/>
        </w:rPr>
      </w:pPr>
      <w:r>
        <w:t>A</w:t>
      </w:r>
      <w:r>
        <w:t xml:space="preserve">OAC (2016). </w:t>
      </w:r>
      <w:r>
        <w:rPr>
          <w:i/>
        </w:rPr>
        <w:t>Official Methods of Analysis. Association of Analytical Chemists</w:t>
      </w:r>
      <w:r>
        <w:t>. 18</w:t>
      </w:r>
      <w:r>
        <w:rPr>
          <w:vertAlign w:val="superscript"/>
        </w:rPr>
        <w:t>th</w:t>
      </w:r>
      <w:r>
        <w:t xml:space="preserve"> edn. Washington, D.C. USA</w:t>
      </w:r>
      <w:r>
        <w:rPr>
          <w:i/>
        </w:rPr>
        <w:t xml:space="preserve">. </w:t>
      </w:r>
      <w:r>
        <w:t>Pp. 618-632.</w:t>
      </w:r>
    </w:p>
    <w:p w14:paraId="3D27EFD2" w14:textId="77777777" w:rsidR="004879C6" w:rsidRDefault="00934F55">
      <w:pPr>
        <w:spacing w:before="240" w:line="240" w:lineRule="auto"/>
        <w:ind w:left="720" w:hanging="720"/>
      </w:pPr>
      <w:r>
        <w:t>A</w:t>
      </w:r>
      <w:r>
        <w:t>prianita, M., Jau-Sh</w:t>
      </w:r>
      <w:r>
        <w:t xml:space="preserve">ya, L., Md-Shaarani, S. and Abu-Bakar, M.F.  (2009). Effect of defatted germ flour addition on the physical and sensory quality of wheat bread. </w:t>
      </w:r>
      <w:r>
        <w:rPr>
          <w:i/>
        </w:rPr>
        <w:t>Food Science and Technology</w:t>
      </w:r>
      <w:r>
        <w:t xml:space="preserve">; </w:t>
      </w:r>
      <w:r>
        <w:rPr>
          <w:i/>
        </w:rPr>
        <w:t>42 (2), 464-470.</w:t>
      </w:r>
    </w:p>
    <w:p w14:paraId="40281C10" w14:textId="77777777" w:rsidR="004879C6" w:rsidRDefault="00934F55">
      <w:pPr>
        <w:spacing w:before="240" w:line="240" w:lineRule="auto"/>
        <w:ind w:left="720" w:hanging="720"/>
      </w:pPr>
      <w:r>
        <w:rPr>
          <w:highlight w:val="white"/>
        </w:rPr>
        <w:t>A</w:t>
      </w:r>
      <w:r>
        <w:rPr>
          <w:highlight w:val="white"/>
        </w:rPr>
        <w:t xml:space="preserve">rawande, S.C. and Borokini, E.N. (2010). Quality characteristics </w:t>
      </w:r>
      <w:r>
        <w:rPr>
          <w:highlight w:val="white"/>
        </w:rPr>
        <w:t>of cookies from composite flours of watermelon seed, cassava and wheat. </w:t>
      </w:r>
      <w:r>
        <w:rPr>
          <w:i/>
          <w:highlight w:val="white"/>
        </w:rPr>
        <w:t>Pakistan Journal of Nutrition, 8, 1097-1102</w:t>
      </w:r>
      <w:r>
        <w:rPr>
          <w:highlight w:val="white"/>
        </w:rPr>
        <w:t>.</w:t>
      </w:r>
    </w:p>
    <w:p w14:paraId="5DC9644F" w14:textId="77777777" w:rsidR="004879C6" w:rsidRDefault="00934F55">
      <w:pPr>
        <w:spacing w:before="240" w:after="240" w:line="240" w:lineRule="auto"/>
        <w:ind w:left="720" w:hanging="720"/>
      </w:pPr>
      <w:r>
        <w:t>A</w:t>
      </w:r>
      <w:r>
        <w:t xml:space="preserve">risa, A., Rosli, W. and Robert, S. (2013). Physiocochemical and sensory evaluation of bread and muffin incorporated with young corn powder. </w:t>
      </w:r>
      <w:r>
        <w:rPr>
          <w:i/>
        </w:rPr>
        <w:t>Sains Malasiana, 43(1), 45-52.</w:t>
      </w:r>
    </w:p>
    <w:p w14:paraId="121A0404" w14:textId="77777777" w:rsidR="004879C6" w:rsidRDefault="00934F55">
      <w:pPr>
        <w:spacing w:before="240" w:line="240" w:lineRule="auto"/>
        <w:ind w:left="720" w:hanging="720"/>
      </w:pPr>
      <w:r>
        <w:t>A</w:t>
      </w:r>
      <w:r>
        <w:t>yensu, J., Lutterodt, H. and Peng, S.L. (2019). Nutritional composition and accepta</w:t>
      </w:r>
      <w:r>
        <w:t>bility of cookies fortified with palm weevil larvae (</w:t>
      </w:r>
      <w:r>
        <w:rPr>
          <w:i/>
        </w:rPr>
        <w:t>Rhynchophorus phonenicis fabricius</w:t>
      </w:r>
      <w:r>
        <w:t xml:space="preserve">) and orange-fleshed sweet potato among pregnant women. </w:t>
      </w:r>
      <w:r>
        <w:rPr>
          <w:i/>
        </w:rPr>
        <w:t>Journal of Food Science and Nutrition</w:t>
      </w:r>
      <w:r>
        <w:t xml:space="preserve">, </w:t>
      </w:r>
      <w:r>
        <w:rPr>
          <w:i/>
        </w:rPr>
        <w:t>6, 24-32</w:t>
      </w:r>
      <w:r>
        <w:t>.</w:t>
      </w:r>
    </w:p>
    <w:p w14:paraId="0B18D4B7" w14:textId="77777777" w:rsidR="004879C6" w:rsidRDefault="00934F55">
      <w:pPr>
        <w:spacing w:before="240" w:line="240" w:lineRule="auto"/>
        <w:ind w:left="720" w:hanging="720"/>
      </w:pPr>
      <w:r>
        <w:t>A</w:t>
      </w:r>
      <w:r>
        <w:t>yoola, P.B., Adeyeye, I., and Onawumi, O.O. (2010). Trace eleme</w:t>
      </w:r>
      <w:r>
        <w:t xml:space="preserve">nts and major minerals evaluation of </w:t>
      </w:r>
      <w:r>
        <w:rPr>
          <w:i/>
        </w:rPr>
        <w:t>Spondias mombin</w:t>
      </w:r>
      <w:r>
        <w:t xml:space="preserve">, </w:t>
      </w:r>
      <w:r>
        <w:rPr>
          <w:i/>
        </w:rPr>
        <w:t>Vernomia amygdalina</w:t>
      </w:r>
      <w:r>
        <w:t xml:space="preserve"> and </w:t>
      </w:r>
      <w:r>
        <w:rPr>
          <w:i/>
        </w:rPr>
        <w:t>Mmordica charantia</w:t>
      </w:r>
      <w:r>
        <w:t xml:space="preserve"> leaves. </w:t>
      </w:r>
      <w:r>
        <w:rPr>
          <w:i/>
        </w:rPr>
        <w:t>Pakistian Journal of Nutrition</w:t>
      </w:r>
      <w:r>
        <w:t xml:space="preserve">, </w:t>
      </w:r>
      <w:r>
        <w:rPr>
          <w:i/>
        </w:rPr>
        <w:t xml:space="preserve">9(8), 755-756. </w:t>
      </w:r>
    </w:p>
    <w:p w14:paraId="52A519FD" w14:textId="77777777" w:rsidR="004879C6" w:rsidRDefault="00934F55">
      <w:pPr>
        <w:spacing w:before="240" w:line="240" w:lineRule="auto"/>
        <w:ind w:left="720" w:hanging="720"/>
      </w:pPr>
      <w:r>
        <w:t>A</w:t>
      </w:r>
      <w:r>
        <w:t xml:space="preserve">yto, O.F. (2002). Effect of malted sorghum on quality characteristics of wheat- soybean flour for potential use in confectionaries. </w:t>
      </w:r>
      <w:r>
        <w:rPr>
          <w:i/>
        </w:rPr>
        <w:t>Food and Nutrition Sciences</w:t>
      </w:r>
      <w:r>
        <w:t xml:space="preserve">, </w:t>
      </w:r>
      <w:r>
        <w:rPr>
          <w:i/>
        </w:rPr>
        <w:t>7, 1241-1252.</w:t>
      </w:r>
    </w:p>
    <w:p w14:paraId="22E2F0E1" w14:textId="77777777" w:rsidR="004879C6" w:rsidRDefault="00934F55">
      <w:pPr>
        <w:spacing w:before="240" w:line="240" w:lineRule="auto"/>
        <w:ind w:left="720" w:hanging="720"/>
        <w:rPr>
          <w:i/>
        </w:rPr>
      </w:pPr>
      <w:r>
        <w:t>B</w:t>
      </w:r>
      <w:r>
        <w:t>adifu, G. I. O., Ilochi, J. C., and Akpapunam, M. A. (2000). Use of mango mesoc</w:t>
      </w:r>
      <w:r>
        <w:t xml:space="preserve">arp flour to enrich the pro-vitamin A content of a complementary food blend of maize and soybean flours for porridges. </w:t>
      </w:r>
      <w:r>
        <w:rPr>
          <w:rFonts w:eastAsia="Calibri"/>
          <w:i/>
        </w:rPr>
        <w:t xml:space="preserve">Food Nutrition Bulletin, </w:t>
      </w:r>
      <w:r>
        <w:rPr>
          <w:i/>
        </w:rPr>
        <w:t>21, 316 – 322.</w:t>
      </w:r>
    </w:p>
    <w:p w14:paraId="773FA5C7" w14:textId="77777777" w:rsidR="004879C6" w:rsidRDefault="00934F55">
      <w:pPr>
        <w:spacing w:before="240" w:line="240" w:lineRule="auto"/>
        <w:ind w:left="720" w:hanging="720"/>
      </w:pPr>
      <w:r>
        <w:t>B</w:t>
      </w:r>
      <w:r>
        <w:t>ala, A., Gul, K., and Riar, C.S. (2015). Functional and sensory properties of cookies prepared f</w:t>
      </w:r>
      <w:r>
        <w:t xml:space="preserve">rom wheat flour supplemented with cassava and water chestnut flours. </w:t>
      </w:r>
      <w:r>
        <w:rPr>
          <w:i/>
        </w:rPr>
        <w:t>Cogent Food and Agriculture,</w:t>
      </w:r>
      <w:r>
        <w:t xml:space="preserve"> 1, 1-98.</w:t>
      </w:r>
    </w:p>
    <w:p w14:paraId="5FC7AC6A" w14:textId="77777777" w:rsidR="004879C6" w:rsidRDefault="00934F55">
      <w:pPr>
        <w:spacing w:before="240" w:line="240" w:lineRule="auto"/>
        <w:ind w:left="720" w:hanging="720"/>
      </w:pPr>
      <w:r>
        <w:t>B</w:t>
      </w:r>
      <w:r>
        <w:t xml:space="preserve">egemann, F.I., Mukema A. and Obel-Lawson, E. (2019). Promotion of bambara groundnut (Vigna subterranean); lastest developments of bambara groundnut </w:t>
      </w:r>
      <w:r>
        <w:t xml:space="preserve">research. </w:t>
      </w:r>
      <w:r>
        <w:rPr>
          <w:i/>
        </w:rPr>
        <w:t>Proceedings of the Second International Workshop on Bambara Groundnut Network</w:t>
      </w:r>
      <w:r>
        <w:t xml:space="preserve">. Newyork </w:t>
      </w:r>
      <w:r>
        <w:rPr>
          <w:i/>
        </w:rPr>
        <w:t>Pp.</w:t>
      </w:r>
      <w:r>
        <w:t xml:space="preserve"> </w:t>
      </w:r>
      <w:r>
        <w:rPr>
          <w:i/>
        </w:rPr>
        <w:t>1-7</w:t>
      </w:r>
    </w:p>
    <w:p w14:paraId="0A2E58B8" w14:textId="77777777" w:rsidR="004879C6" w:rsidRDefault="00934F55">
      <w:pPr>
        <w:spacing w:before="240" w:line="240" w:lineRule="auto"/>
        <w:ind w:left="720" w:hanging="720"/>
      </w:pPr>
      <w:r>
        <w:t>B</w:t>
      </w:r>
      <w:r>
        <w:t xml:space="preserve">lack, R. (2003). Micronutrient deficiency: an underlying cause of morbidity and mortality. </w:t>
      </w:r>
      <w:r>
        <w:rPr>
          <w:i/>
        </w:rPr>
        <w:t>Bulletin of World Health Organization, 8(2), 79-82.</w:t>
      </w:r>
    </w:p>
    <w:p w14:paraId="2F0E4823" w14:textId="77777777" w:rsidR="004879C6" w:rsidRDefault="00934F55">
      <w:pPr>
        <w:spacing w:before="240" w:after="24" w:line="240" w:lineRule="auto"/>
        <w:ind w:left="720" w:hanging="720"/>
        <w:rPr>
          <w:highlight w:val="white"/>
        </w:rPr>
      </w:pPr>
      <w:r>
        <w:lastRenderedPageBreak/>
        <w:t>B</w:t>
      </w:r>
      <w:r>
        <w:t>rennan</w:t>
      </w:r>
      <w:r>
        <w:t>, M.A., Derbyshire, E., Tiwari, B.K. and Brennan, C.S. (2013).</w:t>
      </w:r>
      <w:r>
        <w:rPr>
          <w:highlight w:val="white"/>
        </w:rPr>
        <w:t xml:space="preserve">Nutrient composition and sensory properties of biscuits from mushroom-wheat composite flours. </w:t>
      </w:r>
      <w:r>
        <w:rPr>
          <w:i/>
          <w:highlight w:val="white"/>
        </w:rPr>
        <w:t>Archives of Current Research International</w:t>
      </w:r>
      <w:r>
        <w:rPr>
          <w:highlight w:val="white"/>
        </w:rPr>
        <w:t xml:space="preserve">, </w:t>
      </w:r>
      <w:r>
        <w:rPr>
          <w:i/>
          <w:highlight w:val="white"/>
        </w:rPr>
        <w:t>5, 1-12.</w:t>
      </w:r>
    </w:p>
    <w:p w14:paraId="51F23085" w14:textId="77777777" w:rsidR="004879C6" w:rsidRDefault="00934F55">
      <w:pPr>
        <w:spacing w:before="240" w:line="240" w:lineRule="auto"/>
        <w:ind w:left="720" w:hanging="720"/>
      </w:pPr>
      <w:r>
        <w:rPr>
          <w:highlight w:val="white"/>
        </w:rPr>
        <w:t>C</w:t>
      </w:r>
      <w:r>
        <w:rPr>
          <w:highlight w:val="white"/>
        </w:rPr>
        <w:t>arolli, A. (2013). </w:t>
      </w:r>
      <w:hyperlink r:id="rId22" w:history="1">
        <w:r w:rsidR="004879C6">
          <w:rPr>
            <w:highlight w:val="white"/>
          </w:rPr>
          <w:t>How snacking became respectable</w:t>
        </w:r>
      </w:hyperlink>
      <w:r>
        <w:rPr>
          <w:highlight w:val="white"/>
        </w:rPr>
        <w:t>. </w:t>
      </w:r>
      <w:r>
        <w:rPr>
          <w:i/>
          <w:highlight w:val="white"/>
        </w:rPr>
        <w:t>Wall Street Journal</w:t>
      </w:r>
      <w:r>
        <w:rPr>
          <w:highlight w:val="white"/>
        </w:rPr>
        <w:t xml:space="preserve">, </w:t>
      </w:r>
      <w:r>
        <w:rPr>
          <w:i/>
          <w:highlight w:val="white"/>
        </w:rPr>
        <w:t>3(9), 8-12.</w:t>
      </w:r>
    </w:p>
    <w:p w14:paraId="533C34EF" w14:textId="77777777" w:rsidR="004879C6" w:rsidRDefault="00934F55">
      <w:pPr>
        <w:spacing w:before="240" w:line="240" w:lineRule="auto"/>
        <w:ind w:left="720" w:hanging="720"/>
        <w:rPr>
          <w:i/>
        </w:rPr>
      </w:pPr>
      <w:r>
        <w:rPr>
          <w:highlight w:val="white"/>
        </w:rPr>
        <w:t>C</w:t>
      </w:r>
      <w:r>
        <w:rPr>
          <w:highlight w:val="white"/>
        </w:rPr>
        <w:t>hinma, C.E., James, S., Imam, H., Ocheme, O.B., Anuonye, J.C and Yakubu, C.M. (2011). Physicochemical and sensory properties an</w:t>
      </w:r>
      <w:r>
        <w:rPr>
          <w:highlight w:val="white"/>
        </w:rPr>
        <w:t xml:space="preserve">d in </w:t>
      </w:r>
      <w:r>
        <w:rPr>
          <w:i/>
          <w:highlight w:val="white"/>
        </w:rPr>
        <w:t>vitro digestibility</w:t>
      </w:r>
      <w:r>
        <w:rPr>
          <w:highlight w:val="white"/>
        </w:rPr>
        <w:t xml:space="preserve"> of biscuits made from blends of tiger nut (</w:t>
      </w:r>
      <w:r>
        <w:rPr>
          <w:i/>
          <w:highlight w:val="white"/>
        </w:rPr>
        <w:t>Cyperus esculentus</w:t>
      </w:r>
      <w:r>
        <w:rPr>
          <w:highlight w:val="white"/>
        </w:rPr>
        <w:t>) and bambara groundnut (</w:t>
      </w:r>
      <w:r>
        <w:rPr>
          <w:i/>
          <w:highlight w:val="white"/>
        </w:rPr>
        <w:t>Vigna subtemanea</w:t>
      </w:r>
      <w:r>
        <w:rPr>
          <w:highlight w:val="white"/>
        </w:rPr>
        <w:t>). </w:t>
      </w:r>
      <w:r>
        <w:rPr>
          <w:i/>
          <w:highlight w:val="white"/>
        </w:rPr>
        <w:t>Nigerian Journal of Nutritional Sciences</w:t>
      </w:r>
      <w:r>
        <w:rPr>
          <w:highlight w:val="white"/>
        </w:rPr>
        <w:t>, </w:t>
      </w:r>
      <w:r>
        <w:rPr>
          <w:i/>
          <w:highlight w:val="white"/>
        </w:rPr>
        <w:t>32, 55– 62.</w:t>
      </w:r>
    </w:p>
    <w:p w14:paraId="47C78DC4" w14:textId="77777777" w:rsidR="004879C6" w:rsidRDefault="004879C6">
      <w:pPr>
        <w:spacing w:line="240" w:lineRule="auto"/>
        <w:ind w:left="720" w:hanging="720"/>
      </w:pPr>
    </w:p>
    <w:p w14:paraId="4D9662FB" w14:textId="77777777" w:rsidR="004879C6" w:rsidRDefault="00934F55">
      <w:pPr>
        <w:spacing w:line="240" w:lineRule="auto"/>
        <w:ind w:left="720" w:hanging="720"/>
      </w:pPr>
      <w:r>
        <w:t>Ebere, C. O., Emelike, N. J. T. and Kiin-Kabari, D. B. (2015). Physico-</w:t>
      </w:r>
      <w:r>
        <w:t xml:space="preserve">chemical and sensory properties of cookies prepared from wheat flour and cashew-apple residue as a source of fibre. </w:t>
      </w:r>
      <w:r>
        <w:rPr>
          <w:i/>
        </w:rPr>
        <w:t xml:space="preserve">Asian Journal of Agriculture and Food Sciences, </w:t>
      </w:r>
      <w:r>
        <w:t>3(2), 2321-2330.</w:t>
      </w:r>
    </w:p>
    <w:p w14:paraId="1D601BAA" w14:textId="77777777" w:rsidR="004879C6" w:rsidRDefault="00934F55">
      <w:pPr>
        <w:spacing w:line="240" w:lineRule="auto"/>
        <w:ind w:left="720" w:hanging="720"/>
      </w:pPr>
      <w:r>
        <w:t xml:space="preserve"> </w:t>
      </w:r>
    </w:p>
    <w:p w14:paraId="0B12127E" w14:textId="77777777" w:rsidR="004879C6" w:rsidRDefault="00934F55">
      <w:pPr>
        <w:spacing w:line="240" w:lineRule="auto"/>
        <w:ind w:left="720" w:hanging="720"/>
        <w:rPr>
          <w:i/>
        </w:rPr>
      </w:pPr>
      <w:r>
        <w:t>Ehimen .R. Ohizua, C. and Abiodun A. (2017). Nutrient composition, physic</w:t>
      </w:r>
      <w:r>
        <w:t xml:space="preserve">al, functional and pasting properties of unripe cooking banana, pigeon pea and sweet potatoes flour blends. </w:t>
      </w:r>
      <w:r>
        <w:rPr>
          <w:i/>
        </w:rPr>
        <w:t>Journal of Food Science and Nutrition</w:t>
      </w:r>
      <w:r>
        <w:t xml:space="preserve">, </w:t>
      </w:r>
      <w:r>
        <w:rPr>
          <w:i/>
        </w:rPr>
        <w:t>5(3), 750-762.</w:t>
      </w:r>
    </w:p>
    <w:p w14:paraId="4F5C150F" w14:textId="77777777" w:rsidR="004879C6" w:rsidRDefault="00934F55">
      <w:pPr>
        <w:spacing w:before="240" w:line="240" w:lineRule="auto"/>
        <w:ind w:left="720" w:hanging="720"/>
        <w:rPr>
          <w:i/>
        </w:rPr>
      </w:pPr>
      <w:r>
        <w:t>E</w:t>
      </w:r>
      <w:r>
        <w:t xml:space="preserve">l-Adawy T.A, (2002). Characteristics and composition of watermelon, pumpkin and paprika seed </w:t>
      </w:r>
      <w:r>
        <w:t xml:space="preserve">oils and flours. </w:t>
      </w:r>
      <w:r>
        <w:rPr>
          <w:i/>
        </w:rPr>
        <w:t>Journal of Agriculture and Food Chemistry,</w:t>
      </w:r>
      <w:r>
        <w:t xml:space="preserve"> </w:t>
      </w:r>
      <w:r>
        <w:rPr>
          <w:b/>
          <w:i/>
        </w:rPr>
        <w:t>49,</w:t>
      </w:r>
      <w:r>
        <w:rPr>
          <w:i/>
        </w:rPr>
        <w:t xml:space="preserve"> 1253-1259</w:t>
      </w:r>
    </w:p>
    <w:p w14:paraId="1AA0BD83" w14:textId="77777777" w:rsidR="004879C6" w:rsidRDefault="00934F55">
      <w:pPr>
        <w:spacing w:before="240" w:line="240" w:lineRule="auto"/>
        <w:ind w:left="720" w:hanging="720"/>
        <w:rPr>
          <w:i/>
        </w:rPr>
      </w:pPr>
      <w:r>
        <w:t>E</w:t>
      </w:r>
      <w:r>
        <w:t>lochukwu, E.W. and Onyekwelu, L.W. (2015).</w:t>
      </w:r>
      <w:r>
        <w:rPr>
          <w:i/>
        </w:rPr>
        <w:t>Snack Foods Processing</w:t>
      </w:r>
      <w:r>
        <w:t>. CRC Press Ltd, London. Pp. 122 – 134.</w:t>
      </w:r>
    </w:p>
    <w:p w14:paraId="239314FF" w14:textId="77777777" w:rsidR="004879C6" w:rsidRDefault="00934F55">
      <w:pPr>
        <w:spacing w:before="240" w:line="240" w:lineRule="auto"/>
        <w:ind w:left="720" w:hanging="720"/>
        <w:rPr>
          <w:i/>
        </w:rPr>
      </w:pPr>
      <w:r>
        <w:t>E</w:t>
      </w:r>
      <w:r>
        <w:t>rleen, T. (2011). Biscuit making potential of millet/bambara groundnut flour</w:t>
      </w:r>
      <w:r>
        <w:t xml:space="preserve"> blends. </w:t>
      </w:r>
      <w:r>
        <w:rPr>
          <w:i/>
        </w:rPr>
        <w:t>Plant Foods for Human Nutrition</w:t>
      </w:r>
      <w:r>
        <w:t xml:space="preserve">, </w:t>
      </w:r>
      <w:r>
        <w:rPr>
          <w:i/>
        </w:rPr>
        <w:t>6(2), 625-630.</w:t>
      </w:r>
    </w:p>
    <w:p w14:paraId="5C993C46" w14:textId="77777777" w:rsidR="004879C6" w:rsidRDefault="00934F55">
      <w:pPr>
        <w:spacing w:before="240" w:line="240" w:lineRule="auto"/>
        <w:ind w:left="720" w:hanging="720"/>
        <w:rPr>
          <w:i/>
        </w:rPr>
      </w:pPr>
      <w:r>
        <w:t>E</w:t>
      </w:r>
      <w:r>
        <w:t>tong, D.I., Mustapha, A.O. and Taleat, A.A. (2014). Physicochemical properties and fatty acid composition of dikanut (</w:t>
      </w:r>
      <w:r>
        <w:rPr>
          <w:i/>
        </w:rPr>
        <w:t>Irvingia gabonensis</w:t>
      </w:r>
      <w:r>
        <w:t xml:space="preserve">) seed oil. </w:t>
      </w:r>
      <w:r>
        <w:rPr>
          <w:i/>
        </w:rPr>
        <w:t>Research Journal of Chemical Sciences, 4(12),70-7</w:t>
      </w:r>
      <w:r>
        <w:rPr>
          <w:i/>
        </w:rPr>
        <w:t>4.</w:t>
      </w:r>
    </w:p>
    <w:p w14:paraId="7DAA27C3" w14:textId="77777777" w:rsidR="004879C6" w:rsidRDefault="00934F55">
      <w:pPr>
        <w:spacing w:before="240" w:line="240" w:lineRule="auto"/>
        <w:ind w:left="720" w:hanging="720"/>
        <w:rPr>
          <w:i/>
        </w:rPr>
      </w:pPr>
      <w:r>
        <w:t>E</w:t>
      </w:r>
      <w:r>
        <w:t xml:space="preserve">tukudo, M.M. Hamilton, A., Amachree, E.M. and Roberts, A.A. (2015). Study on mineral and proximate compositions of callus segments of </w:t>
      </w:r>
      <w:r>
        <w:rPr>
          <w:i/>
        </w:rPr>
        <w:t>Irvingia  wombolu</w:t>
      </w:r>
      <w:r>
        <w:t xml:space="preserve"> using  </w:t>
      </w:r>
      <w:r>
        <w:rPr>
          <w:i/>
        </w:rPr>
        <w:t>vitro technique</w:t>
      </w:r>
      <w:r>
        <w:t>.</w:t>
      </w:r>
      <w:r>
        <w:rPr>
          <w:i/>
        </w:rPr>
        <w:t xml:space="preserve"> European International Journal of Science and Technology, 4, 38-46</w:t>
      </w:r>
    </w:p>
    <w:p w14:paraId="03C457FC" w14:textId="77777777" w:rsidR="004879C6" w:rsidRDefault="00934F55">
      <w:pPr>
        <w:spacing w:before="240" w:line="240" w:lineRule="auto"/>
        <w:ind w:left="720" w:hanging="720"/>
      </w:pPr>
      <w:r>
        <w:t>F</w:t>
      </w:r>
      <w:r>
        <w:t xml:space="preserve">AO </w:t>
      </w:r>
      <w:r>
        <w:t>(2013).</w:t>
      </w:r>
      <w:r>
        <w:rPr>
          <w:i/>
        </w:rPr>
        <w:t>Dietary Protein Quality Evaluation in Human Nutrition</w:t>
      </w:r>
      <w:r>
        <w:t>. Food and Agriculture Organization of the United Nation</w:t>
      </w:r>
      <w:r>
        <w:rPr>
          <w:i/>
        </w:rPr>
        <w:t>,</w:t>
      </w:r>
      <w:r>
        <w:t xml:space="preserve"> Pp. 5-10.</w:t>
      </w:r>
    </w:p>
    <w:p w14:paraId="1E7000A4" w14:textId="77777777" w:rsidR="004879C6" w:rsidRDefault="00934F55">
      <w:pPr>
        <w:spacing w:before="240" w:line="240" w:lineRule="auto"/>
        <w:ind w:left="720" w:hanging="720"/>
      </w:pPr>
      <w:r>
        <w:t>F</w:t>
      </w:r>
      <w:r>
        <w:t>arheena, I., Avanish, K. and Uzma, A. (2015).  Development and quality evaluation of cookies fortified with date paste (</w:t>
      </w:r>
      <w:r>
        <w:rPr>
          <w:i/>
        </w:rPr>
        <w:t>Phoenix</w:t>
      </w:r>
      <w:r>
        <w:rPr>
          <w:i/>
        </w:rPr>
        <w:t xml:space="preserve"> dactylifera L).International Journal of Science and Technology</w:t>
      </w:r>
      <w:r>
        <w:t xml:space="preserve">, </w:t>
      </w:r>
      <w:r>
        <w:rPr>
          <w:i/>
        </w:rPr>
        <w:t>3(4), 46-75</w:t>
      </w:r>
      <w:r>
        <w:t>.</w:t>
      </w:r>
    </w:p>
    <w:p w14:paraId="49D55FDB" w14:textId="77777777" w:rsidR="004879C6" w:rsidRDefault="00934F55">
      <w:pPr>
        <w:keepNext/>
        <w:keepLines/>
        <w:spacing w:before="240" w:line="240" w:lineRule="auto"/>
        <w:ind w:left="720" w:hanging="720"/>
        <w:outlineLvl w:val="1"/>
        <w:rPr>
          <w:i/>
        </w:rPr>
      </w:pPr>
      <w:r>
        <w:lastRenderedPageBreak/>
        <w:t>F</w:t>
      </w:r>
      <w:r>
        <w:t xml:space="preserve">arinde, E. O., Abiose, S. H. and Adeniran, H. A. (2017). Diversity of bacteria during fermentation of lima beans into daddawa. </w:t>
      </w:r>
      <w:r>
        <w:rPr>
          <w:i/>
        </w:rPr>
        <w:t xml:space="preserve">Journal of Microbiology, Biotechnology and Food Science, 6(6), 1228-1232. </w:t>
      </w:r>
    </w:p>
    <w:p w14:paraId="19CB2AF4" w14:textId="77777777" w:rsidR="004879C6" w:rsidRDefault="00934F55">
      <w:pPr>
        <w:spacing w:before="240" w:line="240" w:lineRule="auto"/>
        <w:ind w:left="720" w:hanging="720"/>
      </w:pPr>
      <w:r>
        <w:t>H</w:t>
      </w:r>
      <w:r>
        <w:t>anan, M.A., and Al-Sayed, J.U. (2013). Organoleptic and nutritional evaluation of wheat biscuits supplemented with untreated and treated fenugreek flour</w:t>
      </w:r>
      <w:r>
        <w:rPr>
          <w:i/>
        </w:rPr>
        <w:t>. Journal of Applied Science</w:t>
      </w:r>
      <w:r>
        <w:rPr>
          <w:i/>
        </w:rPr>
        <w:t xml:space="preserve"> Research</w:t>
      </w:r>
      <w:r>
        <w:t xml:space="preserve">, </w:t>
      </w:r>
      <w:r>
        <w:rPr>
          <w:i/>
        </w:rPr>
        <w:t>9(1), 435-443.</w:t>
      </w:r>
    </w:p>
    <w:p w14:paraId="223B96AD" w14:textId="77777777" w:rsidR="004879C6" w:rsidRDefault="00934F55">
      <w:pPr>
        <w:spacing w:before="240" w:after="24" w:line="240" w:lineRule="auto"/>
        <w:ind w:left="720" w:hanging="720"/>
        <w:rPr>
          <w:i/>
        </w:rPr>
      </w:pPr>
      <w:r>
        <w:rPr>
          <w:highlight w:val="white"/>
        </w:rPr>
        <w:t>I</w:t>
      </w:r>
      <w:r>
        <w:rPr>
          <w:highlight w:val="white"/>
        </w:rPr>
        <w:t xml:space="preserve">ain, D. (2019). </w:t>
      </w:r>
      <w:r>
        <w:t xml:space="preserve">Physicochemical and sensory properties of cookies made from blends of germinated bambara groundnut, fermented sorghum and cocoyam flours. </w:t>
      </w:r>
      <w:r>
        <w:rPr>
          <w:i/>
        </w:rPr>
        <w:t>Journal of Food Science and Nutrition</w:t>
      </w:r>
      <w:r>
        <w:t xml:space="preserve">, </w:t>
      </w:r>
      <w:r>
        <w:rPr>
          <w:i/>
        </w:rPr>
        <w:t>1,(1) 8-14.</w:t>
      </w:r>
    </w:p>
    <w:p w14:paraId="631041FD" w14:textId="77777777" w:rsidR="004879C6" w:rsidRDefault="00934F55">
      <w:pPr>
        <w:spacing w:before="240" w:after="24" w:line="240" w:lineRule="auto"/>
        <w:ind w:left="720" w:hanging="720"/>
        <w:rPr>
          <w:i/>
          <w:highlight w:val="white"/>
        </w:rPr>
      </w:pPr>
      <w:r>
        <w:t>I</w:t>
      </w:r>
      <w:r>
        <w:t xml:space="preserve">nyang, A. S. and Ekpo, </w:t>
      </w:r>
      <w:r>
        <w:t xml:space="preserve">E. N. (2015). Anti-nutritional factors and potassium bromate content in bread and flour samples in Uyo metropolis, Nigeria. </w:t>
      </w:r>
      <w:r>
        <w:rPr>
          <w:i/>
        </w:rPr>
        <w:t>European Journal of Chemistry, 5, 736 – 741.</w:t>
      </w:r>
    </w:p>
    <w:p w14:paraId="01C06A45" w14:textId="77777777" w:rsidR="004879C6" w:rsidRDefault="00934F55">
      <w:pPr>
        <w:spacing w:before="240" w:line="240" w:lineRule="auto"/>
        <w:ind w:left="720" w:hanging="720"/>
        <w:rPr>
          <w:i/>
        </w:rPr>
      </w:pPr>
      <w:r>
        <w:t>I</w:t>
      </w:r>
      <w:r>
        <w:t>we, C.O., Okunji, G.O., Ohiaeri, P., Akah, D., Corley, M.M. and Tempesta, M.S. (2014).</w:t>
      </w:r>
      <w:r>
        <w:t xml:space="preserve"> “Hypoglycaemic activity of dioscoretine from tubers of </w:t>
      </w:r>
      <w:r>
        <w:rPr>
          <w:i/>
        </w:rPr>
        <w:t>Dioscorea dumetorum</w:t>
      </w:r>
      <w:r>
        <w:t xml:space="preserve"> in normal and alloxan diabetic rabbits,” </w:t>
      </w:r>
      <w:r>
        <w:rPr>
          <w:i/>
        </w:rPr>
        <w:t>Planta</w:t>
      </w:r>
      <w:r>
        <w:t xml:space="preserve"> </w:t>
      </w:r>
      <w:r>
        <w:rPr>
          <w:i/>
        </w:rPr>
        <w:t>Medica</w:t>
      </w:r>
      <w:r>
        <w:t xml:space="preserve">, </w:t>
      </w:r>
      <w:r>
        <w:rPr>
          <w:i/>
        </w:rPr>
        <w:t>56, (3): 264–267.</w:t>
      </w:r>
    </w:p>
    <w:p w14:paraId="4DB986FF" w14:textId="77777777" w:rsidR="004879C6" w:rsidRDefault="00934F55">
      <w:pPr>
        <w:spacing w:before="240" w:line="240" w:lineRule="auto"/>
        <w:ind w:left="720" w:hanging="720"/>
        <w:rPr>
          <w:i/>
        </w:rPr>
      </w:pPr>
      <w:r>
        <w:t>I</w:t>
      </w:r>
      <w:r>
        <w:t>we, S.C., and Egwuekwe, C. (2010). The quality and sensory attributes of cookies supplemented with fluted</w:t>
      </w:r>
      <w:r>
        <w:t xml:space="preserve"> pumpkin (</w:t>
      </w:r>
      <w:r>
        <w:rPr>
          <w:i/>
        </w:rPr>
        <w:t>Telfairia occidentalis Hook</w:t>
      </w:r>
      <w:r>
        <w:t xml:space="preserve">) seed flour. </w:t>
      </w:r>
      <w:r>
        <w:rPr>
          <w:i/>
        </w:rPr>
        <w:t>International Journal of Food Science and Technology</w:t>
      </w:r>
      <w:r>
        <w:t xml:space="preserve">; </w:t>
      </w:r>
      <w:r>
        <w:rPr>
          <w:i/>
        </w:rPr>
        <w:t>40(6): 613-620.</w:t>
      </w:r>
    </w:p>
    <w:p w14:paraId="617CCBBD" w14:textId="77777777" w:rsidR="004879C6" w:rsidRDefault="00934F55">
      <w:pPr>
        <w:spacing w:before="240" w:line="240" w:lineRule="auto"/>
        <w:ind w:left="720" w:hanging="720"/>
      </w:pPr>
      <w:hyperlink r:id="rId23" w:history="1">
        <w:r w:rsidR="004879C6">
          <w:t>James, M.J. (2003).</w:t>
        </w:r>
      </w:hyperlink>
      <w:r w:rsidR="004879C6">
        <w:rPr>
          <w:i/>
        </w:rPr>
        <w:t>Modern Food Microbiology,</w:t>
      </w:r>
      <w:r w:rsidR="004879C6">
        <w:t xml:space="preserve"> 12th edn Food Science Texts Series. Van Nostrand Reinhold, Ireland. Pp. 17-32.</w:t>
      </w:r>
    </w:p>
    <w:p w14:paraId="0BA1001C" w14:textId="77777777" w:rsidR="004879C6" w:rsidRDefault="00934F55">
      <w:pPr>
        <w:spacing w:before="240" w:line="240" w:lineRule="auto"/>
        <w:ind w:left="720" w:hanging="720"/>
      </w:pPr>
      <w:r>
        <w:t>J</w:t>
      </w:r>
      <w:r>
        <w:t>auharah, C.A., Zin, C.M., Robert, S.D. and Ishak, W.R. (2014). Effect of biscuits and muffins added with cornlette powder on the glycemic responses of healthy individual</w:t>
      </w:r>
      <w:r>
        <w:t xml:space="preserve">s. </w:t>
      </w:r>
      <w:r>
        <w:rPr>
          <w:i/>
        </w:rPr>
        <w:t>Food and Nutrition Sciences</w:t>
      </w:r>
      <w:r>
        <w:t xml:space="preserve">, </w:t>
      </w:r>
      <w:r>
        <w:rPr>
          <w:i/>
        </w:rPr>
        <w:t>5, 2195-2202</w:t>
      </w:r>
      <w:r>
        <w:t>.</w:t>
      </w:r>
    </w:p>
    <w:p w14:paraId="3A8DDB9C" w14:textId="77777777" w:rsidR="004879C6" w:rsidRDefault="00934F55">
      <w:pPr>
        <w:spacing w:before="240" w:line="240" w:lineRule="auto"/>
        <w:ind w:left="720" w:hanging="720"/>
      </w:pPr>
      <w:r>
        <w:t>K</w:t>
      </w:r>
      <w:r>
        <w:t xml:space="preserve">umar, S. and Rekha-Sinha, L.K. (2010). Evaluation of quality characteristics of soy-based millet biscuits, </w:t>
      </w:r>
      <w:r>
        <w:rPr>
          <w:i/>
        </w:rPr>
        <w:t>Advances in Applied Science Research</w:t>
      </w:r>
      <w:r>
        <w:t>,</w:t>
      </w:r>
      <w:r>
        <w:rPr>
          <w:i/>
        </w:rPr>
        <w:t xml:space="preserve"> 1,187-196.</w:t>
      </w:r>
    </w:p>
    <w:p w14:paraId="6F2EB44E" w14:textId="77777777" w:rsidR="004879C6" w:rsidRDefault="00934F55">
      <w:pPr>
        <w:spacing w:before="240" w:line="240" w:lineRule="auto"/>
        <w:ind w:left="720" w:hanging="720"/>
      </w:pPr>
      <w:r>
        <w:t>K</w:t>
      </w:r>
      <w:r>
        <w:t>ure, O.A., Bahago, E.J. and Daniel, E.A. (2018). Stu</w:t>
      </w:r>
      <w:r>
        <w:t xml:space="preserve">dies on the proximate composition and effect of flour particle size on the acceptability of biscuits produced from blends of soybean and plantain flours. </w:t>
      </w:r>
      <w:r>
        <w:rPr>
          <w:i/>
        </w:rPr>
        <w:t>Namoda Technical Scope Journal</w:t>
      </w:r>
      <w:r>
        <w:t>,</w:t>
      </w:r>
      <w:r>
        <w:rPr>
          <w:i/>
        </w:rPr>
        <w:t xml:space="preserve"> 3(2),17-22.</w:t>
      </w:r>
    </w:p>
    <w:p w14:paraId="6DC7FCDC" w14:textId="77777777" w:rsidR="004879C6" w:rsidRDefault="00934F55">
      <w:pPr>
        <w:spacing w:before="240" w:line="240" w:lineRule="auto"/>
        <w:ind w:left="720" w:hanging="720"/>
      </w:pPr>
      <w:r>
        <w:rPr>
          <w:highlight w:val="white"/>
        </w:rPr>
        <w:t>M</w:t>
      </w:r>
      <w:r>
        <w:rPr>
          <w:highlight w:val="white"/>
        </w:rPr>
        <w:t>ahoney, C.R., Taylor, H.A. and Kanarek, R.B. (2007). </w:t>
      </w:r>
      <w:hyperlink r:id="rId24" w:history="1">
        <w:r w:rsidR="004879C6">
          <w:rPr>
            <w:highlight w:val="white"/>
          </w:rPr>
          <w:t>Effect of an afternoon confectionery snack on cognitive processes critical to learning</w:t>
        </w:r>
      </w:hyperlink>
      <w:r>
        <w:rPr>
          <w:highlight w:val="white"/>
        </w:rPr>
        <w:t>. </w:t>
      </w:r>
      <w:r>
        <w:rPr>
          <w:i/>
          <w:highlight w:val="white"/>
        </w:rPr>
        <w:t>Physiology and Behaviour</w:t>
      </w:r>
      <w:r>
        <w:rPr>
          <w:highlight w:val="white"/>
        </w:rPr>
        <w:t>, </w:t>
      </w:r>
      <w:r>
        <w:rPr>
          <w:i/>
          <w:highlight w:val="white"/>
        </w:rPr>
        <w:t>90 (2–3), 344–52.</w:t>
      </w:r>
    </w:p>
    <w:p w14:paraId="2C3C6CC0" w14:textId="77777777" w:rsidR="004879C6" w:rsidRDefault="00934F55">
      <w:pPr>
        <w:spacing w:before="240" w:line="240" w:lineRule="auto"/>
        <w:ind w:left="720" w:hanging="720"/>
      </w:pPr>
      <w:r>
        <w:t>M</w:t>
      </w:r>
      <w:r>
        <w:t xml:space="preserve">asoodi, L. and  Bas, V. (2012). </w:t>
      </w:r>
      <w:r>
        <w:t xml:space="preserve">Fortification of biscuits with flaxseed: biscuit production and quality evaluation. </w:t>
      </w:r>
      <w:r>
        <w:rPr>
          <w:i/>
        </w:rPr>
        <w:t>IOSR Journal of Environmental Science Toxicology and Food Technology</w:t>
      </w:r>
      <w:r>
        <w:t xml:space="preserve">, </w:t>
      </w:r>
      <w:r>
        <w:rPr>
          <w:i/>
        </w:rPr>
        <w:t>1,6-9</w:t>
      </w:r>
      <w:r>
        <w:t xml:space="preserve">. </w:t>
      </w:r>
    </w:p>
    <w:p w14:paraId="2524B9B9" w14:textId="77777777" w:rsidR="004879C6" w:rsidRDefault="00934F55">
      <w:pPr>
        <w:spacing w:before="240" w:line="240" w:lineRule="auto"/>
        <w:ind w:left="720" w:hanging="720"/>
        <w:rPr>
          <w:i/>
        </w:rPr>
      </w:pPr>
      <w:r>
        <w:t>M</w:t>
      </w:r>
      <w:r>
        <w:t xml:space="preserve">atos, L. Nzijou, J.M., Kimnonguila, A., Ndangui, C.B., Pambou-Tobi, N.P.G., Aben Abena A.A., Silou, T.H, Scher, J. and Desobry, S. (2009). Compositional and nutritional </w:t>
      </w:r>
      <w:r>
        <w:lastRenderedPageBreak/>
        <w:t xml:space="preserve">properties of </w:t>
      </w:r>
      <w:r>
        <w:rPr>
          <w:i/>
        </w:rPr>
        <w:t>Irvingia gabonesis</w:t>
      </w:r>
      <w:r>
        <w:t xml:space="preserve">. </w:t>
      </w:r>
      <w:r>
        <w:rPr>
          <w:i/>
        </w:rPr>
        <w:t>Advance Journal of Food Science and Technology,</w:t>
      </w:r>
      <w:r>
        <w:rPr>
          <w:b/>
          <w:i/>
        </w:rPr>
        <w:t>1</w:t>
      </w:r>
      <w:r>
        <w:rPr>
          <w:i/>
        </w:rPr>
        <w:t>(1),</w:t>
      </w:r>
      <w:r>
        <w:rPr>
          <w:i/>
        </w:rPr>
        <w:t xml:space="preserve"> 71-76 </w:t>
      </w:r>
    </w:p>
    <w:p w14:paraId="0CF5BBFC" w14:textId="77777777" w:rsidR="004879C6" w:rsidRDefault="00934F55">
      <w:pPr>
        <w:spacing w:before="240" w:line="240" w:lineRule="auto"/>
        <w:ind w:left="720" w:hanging="720"/>
      </w:pPr>
      <w:r>
        <w:t>N</w:t>
      </w:r>
      <w:r>
        <w:t>asr, S.I., Ages, T.H. and Abu, F. (2004).Using free fat watermelon (</w:t>
      </w:r>
      <w:r>
        <w:rPr>
          <w:i/>
        </w:rPr>
        <w:t>Citrullus Vulgaris</w:t>
      </w:r>
      <w:r>
        <w:t xml:space="preserve">) seed kernels in preparing high protein biscuits. </w:t>
      </w:r>
      <w:r>
        <w:rPr>
          <w:i/>
        </w:rPr>
        <w:t>International Journal of Science and Technology,</w:t>
      </w:r>
      <w:r>
        <w:t xml:space="preserve"> </w:t>
      </w:r>
      <w:r>
        <w:rPr>
          <w:i/>
        </w:rPr>
        <w:t>7(1), 45-54.</w:t>
      </w:r>
    </w:p>
    <w:p w14:paraId="4A397ADA" w14:textId="77777777" w:rsidR="004879C6" w:rsidRDefault="00934F55">
      <w:pPr>
        <w:spacing w:before="240" w:line="240" w:lineRule="auto"/>
        <w:ind w:left="720" w:hanging="720"/>
        <w:rPr>
          <w:i/>
        </w:rPr>
      </w:pPr>
      <w:r>
        <w:t>N</w:t>
      </w:r>
      <w:r>
        <w:t>wosu, J.N, (2013). Production and evaluation of</w:t>
      </w:r>
      <w:r>
        <w:t xml:space="preserve"> biscuits from blends of bambara groundnut and wheat flour. </w:t>
      </w:r>
      <w:r>
        <w:rPr>
          <w:i/>
        </w:rPr>
        <w:t>International Journal of Food and Nutrition Science, 2, 12-50.</w:t>
      </w:r>
    </w:p>
    <w:p w14:paraId="1A2AE1E7" w14:textId="77777777" w:rsidR="004879C6" w:rsidRDefault="00934F55">
      <w:pPr>
        <w:spacing w:before="240" w:line="240" w:lineRule="auto"/>
        <w:ind w:left="720" w:hanging="720"/>
      </w:pPr>
      <w:r>
        <w:t>O</w:t>
      </w:r>
      <w:r>
        <w:t>hizua, C.B., Nwanya, S.C. and Nwaoha, I.E. (2017).Effect on blend ratio on the thermo-physical and sensory characteristics of compos</w:t>
      </w:r>
      <w:r>
        <w:t xml:space="preserve">ite wheat, cassava and soy bread. </w:t>
      </w:r>
      <w:r>
        <w:rPr>
          <w:i/>
        </w:rPr>
        <w:t>Nigerian Food Journal,</w:t>
      </w:r>
      <w:r>
        <w:t xml:space="preserve"> </w:t>
      </w:r>
      <w:r>
        <w:rPr>
          <w:i/>
        </w:rPr>
        <w:t>33(2),184-191</w:t>
      </w:r>
      <w:r>
        <w:t>.</w:t>
      </w:r>
    </w:p>
    <w:p w14:paraId="7A291330" w14:textId="77777777" w:rsidR="004879C6" w:rsidRDefault="00934F55">
      <w:pPr>
        <w:spacing w:before="240" w:line="240" w:lineRule="auto"/>
        <w:ind w:left="720" w:hanging="720"/>
      </w:pPr>
      <w:r>
        <w:t>O</w:t>
      </w:r>
      <w:r>
        <w:t xml:space="preserve">jukwu, J.C., Jigam, A.A. and Ndaceko, G.M. (2012). Effects of extrusion cooking on the nutrient and anti-nutrient composition of bambara groundnut and bush mango mesocarp blends. </w:t>
      </w:r>
      <w:r>
        <w:rPr>
          <w:i/>
        </w:rPr>
        <w:t>Jour</w:t>
      </w:r>
      <w:r>
        <w:rPr>
          <w:i/>
        </w:rPr>
        <w:t>nal of Applied Pharmaceutical Sciences</w:t>
      </w:r>
      <w:r>
        <w:t xml:space="preserve">, </w:t>
      </w:r>
      <w:r>
        <w:rPr>
          <w:i/>
        </w:rPr>
        <w:t>2</w:t>
      </w:r>
      <w:r>
        <w:t xml:space="preserve">, </w:t>
      </w:r>
      <w:r>
        <w:rPr>
          <w:i/>
        </w:rPr>
        <w:t>158–162</w:t>
      </w:r>
      <w:r>
        <w:t xml:space="preserve">. </w:t>
      </w:r>
    </w:p>
    <w:p w14:paraId="14D20217" w14:textId="77777777" w:rsidR="004879C6" w:rsidRDefault="00934F55">
      <w:pPr>
        <w:spacing w:before="240" w:line="240" w:lineRule="auto"/>
        <w:ind w:left="720" w:hanging="720"/>
      </w:pPr>
      <w:r>
        <w:t>O</w:t>
      </w:r>
      <w:r>
        <w:t xml:space="preserve">kaka, J.C., Akobundu, E.N.T. Okaka, A.N.C. (2006). </w:t>
      </w:r>
      <w:r>
        <w:rPr>
          <w:i/>
        </w:rPr>
        <w:t xml:space="preserve">Food and Human Nutrition: An Integrated Approach, Ocjanco </w:t>
      </w:r>
      <w:r>
        <w:t xml:space="preserve">Academic Publishers, Enugu, Nigeria. </w:t>
      </w:r>
      <w:r>
        <w:rPr>
          <w:i/>
        </w:rPr>
        <w:t>Pp. 135-138.</w:t>
      </w:r>
    </w:p>
    <w:p w14:paraId="57A6E453" w14:textId="77777777" w:rsidR="004879C6" w:rsidRDefault="00934F55">
      <w:pPr>
        <w:spacing w:before="240" w:line="240" w:lineRule="auto"/>
        <w:ind w:left="720" w:hanging="720"/>
      </w:pPr>
      <w:r>
        <w:t>O</w:t>
      </w:r>
      <w:r>
        <w:t>kolo, H.C. (2000).</w:t>
      </w:r>
      <w:r>
        <w:rPr>
          <w:i/>
        </w:rPr>
        <w:t xml:space="preserve">Industrial potential of </w:t>
      </w:r>
      <w:r>
        <w:rPr>
          <w:i/>
        </w:rPr>
        <w:t>various Irvingia gabonesis products, such as Oil, Ogbeno and Juice.</w:t>
      </w:r>
      <w:r>
        <w:t xml:space="preserve"> In: D. Boland and D.O. Ladipo (Eds). </w:t>
      </w:r>
      <w:r>
        <w:rPr>
          <w:i/>
        </w:rPr>
        <w:t>Irvingia</w:t>
      </w:r>
      <w:r>
        <w:t>: Uses, Potentials and Domestication. Nairobi, Kenye: Pp. 205 -220.</w:t>
      </w:r>
    </w:p>
    <w:p w14:paraId="3892384B" w14:textId="77777777" w:rsidR="004879C6" w:rsidRDefault="00934F55">
      <w:pPr>
        <w:spacing w:before="240" w:line="240" w:lineRule="auto"/>
        <w:ind w:left="720" w:hanging="720"/>
      </w:pPr>
      <w:r>
        <w:t>O</w:t>
      </w:r>
      <w:r>
        <w:t xml:space="preserve">koye J.I and Mazi E.A. (2012). Nutrient and anti nutrient contents of raw </w:t>
      </w:r>
      <w:r>
        <w:t xml:space="preserve">boiled, fermented and geminated bambara groundnut flour. </w:t>
      </w:r>
      <w:r>
        <w:rPr>
          <w:i/>
        </w:rPr>
        <w:t>Journal of Science Technology,</w:t>
      </w:r>
      <w:r>
        <w:t xml:space="preserve"> </w:t>
      </w:r>
      <w:r>
        <w:rPr>
          <w:b/>
        </w:rPr>
        <w:t>2</w:t>
      </w:r>
      <w:r>
        <w:t>, 6-13.</w:t>
      </w:r>
    </w:p>
    <w:p w14:paraId="5C865D8D" w14:textId="77777777" w:rsidR="004879C6" w:rsidRDefault="00934F55">
      <w:pPr>
        <w:spacing w:before="240" w:line="240" w:lineRule="auto"/>
        <w:ind w:left="720" w:hanging="720"/>
      </w:pPr>
      <w:r>
        <w:t>O</w:t>
      </w:r>
      <w:r>
        <w:t>koye, C.E., James, S., Imam, H., Ocheme, O.B., Anuonye, J.C. and Yakubu, C.M. (2015). Chemical composition, anti-nutritional factors and pasting properties of</w:t>
      </w:r>
      <w:r>
        <w:t xml:space="preserve"> cassava-African yam bean flour blends for noodle preparation. </w:t>
      </w:r>
      <w:r>
        <w:rPr>
          <w:i/>
        </w:rPr>
        <w:t>International Journal of Food Studies</w:t>
      </w:r>
      <w:r>
        <w:t xml:space="preserve">, </w:t>
      </w:r>
      <w:r>
        <w:rPr>
          <w:i/>
        </w:rPr>
        <w:t>32</w:t>
      </w:r>
      <w:r>
        <w:t xml:space="preserve">, 55–62. </w:t>
      </w:r>
    </w:p>
    <w:p w14:paraId="29BFCEEE" w14:textId="77777777" w:rsidR="004879C6" w:rsidRDefault="00934F55">
      <w:pPr>
        <w:spacing w:before="240" w:line="240" w:lineRule="auto"/>
        <w:ind w:left="720" w:hanging="720"/>
      </w:pPr>
      <w:r>
        <w:t>O</w:t>
      </w:r>
      <w:r>
        <w:t>koye J.I and Ojimelukwe, P. C. and Ukom, A. N. (2016). Nutritional quality of wheat flour biscuits fortified with soybean and Bambara groundn</w:t>
      </w:r>
      <w:r>
        <w:t xml:space="preserve">ut flours. </w:t>
      </w:r>
      <w:r>
        <w:rPr>
          <w:i/>
        </w:rPr>
        <w:t xml:space="preserve">International Journal of Applied Research and Technology, </w:t>
      </w:r>
      <w:r>
        <w:t xml:space="preserve">5(3), </w:t>
      </w:r>
      <w:r>
        <w:rPr>
          <w:i/>
        </w:rPr>
        <w:t xml:space="preserve">62-72. </w:t>
      </w:r>
    </w:p>
    <w:p w14:paraId="3E7238BC" w14:textId="77777777" w:rsidR="004879C6" w:rsidRDefault="00934F55">
      <w:pPr>
        <w:spacing w:before="240" w:line="240" w:lineRule="auto"/>
        <w:ind w:left="720" w:hanging="720"/>
      </w:pPr>
      <w:r>
        <w:t>O</w:t>
      </w:r>
      <w:r>
        <w:t xml:space="preserve">koye, J.I. and Obi, C.D. (2017). Nutrient  composition and sensory properties of wheat-African bread fruit composite flour cookies Sky </w:t>
      </w:r>
      <w:r>
        <w:rPr>
          <w:i/>
        </w:rPr>
        <w:t>Journal of Food Science,</w:t>
      </w:r>
      <w:r>
        <w:t xml:space="preserve"> </w:t>
      </w:r>
      <w:r>
        <w:rPr>
          <w:b/>
        </w:rPr>
        <w:t>6</w:t>
      </w:r>
      <w:r>
        <w:t>(3), 27-32</w:t>
      </w:r>
    </w:p>
    <w:p w14:paraId="3EF74795" w14:textId="77777777" w:rsidR="004879C6" w:rsidRDefault="00934F55">
      <w:pPr>
        <w:spacing w:before="240" w:line="240" w:lineRule="auto"/>
        <w:ind w:left="720" w:hanging="720"/>
      </w:pPr>
      <w:r>
        <w:t>O</w:t>
      </w:r>
      <w:r>
        <w:t xml:space="preserve">kpala, L., Okoli, E. and Udensi, E. (2013). Physico-chemical and sensory properties of cookies made from blends of germinated pigeon pea, fermented sorghum and cocoyam flours. </w:t>
      </w:r>
      <w:r>
        <w:rPr>
          <w:i/>
        </w:rPr>
        <w:t>Food Science and Nutrition</w:t>
      </w:r>
      <w:r>
        <w:t xml:space="preserve">, </w:t>
      </w:r>
      <w:r>
        <w:rPr>
          <w:i/>
        </w:rPr>
        <w:t>1(1), 8-14.</w:t>
      </w:r>
    </w:p>
    <w:p w14:paraId="2F81FD51" w14:textId="77777777" w:rsidR="004879C6" w:rsidRDefault="00934F55">
      <w:pPr>
        <w:spacing w:before="240" w:line="240" w:lineRule="auto"/>
        <w:ind w:left="720" w:hanging="720"/>
      </w:pPr>
      <w:r>
        <w:t>O</w:t>
      </w:r>
      <w:r>
        <w:t>laoye, O.A; Onilude, A .A and Idowu, O</w:t>
      </w:r>
      <w:r>
        <w:t xml:space="preserve">. A. (2007). Quality characteristics of bread produced from composite flours of wheat, plantain and soybean. </w:t>
      </w:r>
      <w:r>
        <w:rPr>
          <w:i/>
        </w:rPr>
        <w:t>African Journal of Biotechnology</w:t>
      </w:r>
      <w:r>
        <w:t xml:space="preserve">, </w:t>
      </w:r>
      <w:r>
        <w:rPr>
          <w:i/>
        </w:rPr>
        <w:t>5, 1102-1106</w:t>
      </w:r>
    </w:p>
    <w:p w14:paraId="28DFCC44" w14:textId="77777777" w:rsidR="004879C6" w:rsidRDefault="00934F55">
      <w:pPr>
        <w:spacing w:before="240" w:line="240" w:lineRule="auto"/>
        <w:ind w:left="720" w:hanging="720"/>
        <w:rPr>
          <w:i/>
        </w:rPr>
      </w:pPr>
      <w:r>
        <w:lastRenderedPageBreak/>
        <w:t>O</w:t>
      </w:r>
      <w:r>
        <w:t>lapade, A.A., Cloake, F. and Akinyanju, F.T., (2014).Chemical and functional properties and perform</w:t>
      </w:r>
      <w:r>
        <w:t>ance of blends of water yam (</w:t>
      </w:r>
      <w:r>
        <w:rPr>
          <w:i/>
        </w:rPr>
        <w:t>Dioscorea alata</w:t>
      </w:r>
      <w:r>
        <w:t xml:space="preserve">) and (ojojo) in biscuit production. </w:t>
      </w:r>
      <w:r>
        <w:rPr>
          <w:i/>
        </w:rPr>
        <w:t>American Journal of Chemistry</w:t>
      </w:r>
      <w:r>
        <w:t xml:space="preserve">, </w:t>
      </w:r>
      <w:r>
        <w:rPr>
          <w:i/>
        </w:rPr>
        <w:t>4(3),89-96.</w:t>
      </w:r>
    </w:p>
    <w:p w14:paraId="2CAC1D41" w14:textId="77777777" w:rsidR="004879C6" w:rsidRDefault="00934F55">
      <w:pPr>
        <w:spacing w:before="240" w:line="240" w:lineRule="auto"/>
        <w:ind w:left="720" w:hanging="720"/>
        <w:rPr>
          <w:b/>
          <w:i/>
        </w:rPr>
      </w:pPr>
      <w:r>
        <w:t>O</w:t>
      </w:r>
      <w:r>
        <w:t>lapade, O.O and Adeyemo, M.O. (2007). Nutritional, functional and sensory properties of biscuits produced from wheat-sweet potato c</w:t>
      </w:r>
      <w:r>
        <w:t xml:space="preserve">omposite flours. </w:t>
      </w:r>
      <w:r>
        <w:rPr>
          <w:i/>
        </w:rPr>
        <w:t>Journal of Food Technology Research, 1, 111-121.</w:t>
      </w:r>
    </w:p>
    <w:p w14:paraId="61EB0434" w14:textId="77777777" w:rsidR="004879C6" w:rsidRDefault="00934F55">
      <w:pPr>
        <w:spacing w:before="240" w:line="240" w:lineRule="auto"/>
        <w:ind w:left="720" w:hanging="720"/>
      </w:pPr>
      <w:r>
        <w:t>O</w:t>
      </w:r>
      <w:r>
        <w:t xml:space="preserve">nabanjo, O.O., and Ighere, D.A. (2014). Nutritional, functional and sensory properties of biscuit produced from wheat-sweet potato composite flour. </w:t>
      </w:r>
      <w:r>
        <w:rPr>
          <w:i/>
        </w:rPr>
        <w:t>Journal of Food Technology Research, 1,11</w:t>
      </w:r>
      <w:r>
        <w:rPr>
          <w:i/>
        </w:rPr>
        <w:t>1-121.</w:t>
      </w:r>
    </w:p>
    <w:p w14:paraId="100D2492" w14:textId="77777777" w:rsidR="004879C6" w:rsidRDefault="00934F55">
      <w:pPr>
        <w:spacing w:before="240" w:line="240" w:lineRule="auto"/>
        <w:ind w:left="720" w:hanging="720"/>
        <w:rPr>
          <w:b/>
        </w:rPr>
      </w:pPr>
      <w:r>
        <w:t>O</w:t>
      </w:r>
      <w:r>
        <w:t>nimawo, I.A., Ofeno, F, Orokpo, G. and Akubor, P.I. (2013). Physiochemical and nutritional evaluation of African bush mango (</w:t>
      </w:r>
      <w:r>
        <w:rPr>
          <w:i/>
        </w:rPr>
        <w:t>Irvingia gagbonensis</w:t>
      </w:r>
      <w:r>
        <w:t xml:space="preserve">) seeds and pulp. </w:t>
      </w:r>
      <w:r>
        <w:rPr>
          <w:i/>
        </w:rPr>
        <w:t>Plant Foods for Human Nutrition,</w:t>
      </w:r>
      <w:r>
        <w:t xml:space="preserve"> 58, 1-6.</w:t>
      </w:r>
    </w:p>
    <w:p w14:paraId="6340BB2C" w14:textId="77777777" w:rsidR="004879C6" w:rsidRDefault="00934F55">
      <w:pPr>
        <w:spacing w:before="240" w:line="240" w:lineRule="auto"/>
        <w:ind w:left="720" w:hanging="720"/>
        <w:rPr>
          <w:b/>
        </w:rPr>
      </w:pPr>
      <w:r>
        <w:t>O</w:t>
      </w:r>
      <w:r>
        <w:t xml:space="preserve">sman, A.M. (2007). Effect of different processing methods on nutrient composition, anti nutritional factors, and in </w:t>
      </w:r>
      <w:r>
        <w:rPr>
          <w:i/>
        </w:rPr>
        <w:t>vitro protein digestibility of Dolichos lablab bean. Journal of Nutrition, 6, 299-303.</w:t>
      </w:r>
    </w:p>
    <w:p w14:paraId="4559616C" w14:textId="77777777" w:rsidR="004879C6" w:rsidRDefault="00934F55">
      <w:pPr>
        <w:spacing w:before="240" w:line="240" w:lineRule="auto"/>
        <w:ind w:left="720" w:hanging="720"/>
        <w:rPr>
          <w:b/>
        </w:rPr>
      </w:pPr>
      <w:r>
        <w:t>O</w:t>
      </w:r>
      <w:r>
        <w:t xml:space="preserve">titoju, K.H., Ouedraogo, J.B., Resurreccion, A.V., </w:t>
      </w:r>
      <w:r>
        <w:t>Hung, Y.C. and Phillips, R.D. (2014).Physical and sensory characteristics of sugar cookies containing mixtures of wheat, fonio (</w:t>
      </w:r>
      <w:r>
        <w:rPr>
          <w:i/>
        </w:rPr>
        <w:t>Digitaria exilis</w:t>
      </w:r>
      <w:r>
        <w:t>) and cowpea (</w:t>
      </w:r>
      <w:r>
        <w:rPr>
          <w:i/>
        </w:rPr>
        <w:t>Vigna unguiculata</w:t>
      </w:r>
      <w:r>
        <w:t xml:space="preserve">) flours. </w:t>
      </w:r>
      <w:r>
        <w:rPr>
          <w:i/>
        </w:rPr>
        <w:t>International Journal of Food Science and Technology, 38(4), 403- 410.</w:t>
      </w:r>
    </w:p>
    <w:p w14:paraId="10FB4F4B" w14:textId="77777777" w:rsidR="004879C6" w:rsidRDefault="00934F55">
      <w:pPr>
        <w:spacing w:before="240" w:line="240" w:lineRule="auto"/>
        <w:ind w:left="720" w:hanging="720"/>
      </w:pPr>
      <w:r>
        <w:rPr>
          <w:rFonts w:eastAsia="Calibri"/>
        </w:rPr>
        <w:t>O</w:t>
      </w:r>
      <w:r>
        <w:rPr>
          <w:rFonts w:eastAsia="Calibri"/>
        </w:rPr>
        <w:t xml:space="preserve">yeyinka, A.T., and Oyekinka, M. (2018).  Physical, nutritional and antioxidant properties of Zimbabwean Bambara groundnut and effects of processing methods on their chemical properties. </w:t>
      </w:r>
      <w:r>
        <w:rPr>
          <w:rFonts w:eastAsia="Calibri"/>
          <w:i/>
        </w:rPr>
        <w:t xml:space="preserve">International Journal of Food Science and Technology, </w:t>
      </w:r>
      <w:r>
        <w:rPr>
          <w:rFonts w:eastAsia="Calibri"/>
        </w:rPr>
        <w:t>52, 38 – 47.</w:t>
      </w:r>
    </w:p>
    <w:p w14:paraId="141DA8AC" w14:textId="77777777" w:rsidR="004879C6" w:rsidRDefault="00934F55">
      <w:pPr>
        <w:spacing w:before="240" w:after="24" w:line="240" w:lineRule="auto"/>
        <w:ind w:left="720" w:hanging="720"/>
        <w:rPr>
          <w:rStyle w:val="mixed-citation"/>
          <w:i/>
        </w:rPr>
      </w:pPr>
      <w:r>
        <w:rPr>
          <w:rStyle w:val="mixed-citation"/>
        </w:rPr>
        <w:t>P</w:t>
      </w:r>
      <w:r>
        <w:rPr>
          <w:rStyle w:val="mixed-citation"/>
        </w:rPr>
        <w:t>o</w:t>
      </w:r>
      <w:r>
        <w:rPr>
          <w:rStyle w:val="mixed-citation"/>
        </w:rPr>
        <w:t xml:space="preserve">tter, N. N. and  Hotchkiss, J. H. (2006). </w:t>
      </w:r>
      <w:r>
        <w:rPr>
          <w:rStyle w:val="ref-journal"/>
          <w:i/>
        </w:rPr>
        <w:t>Food</w:t>
      </w:r>
      <w:r>
        <w:rPr>
          <w:rStyle w:val="ref-journal"/>
        </w:rPr>
        <w:t xml:space="preserve"> </w:t>
      </w:r>
      <w:r>
        <w:rPr>
          <w:rStyle w:val="ref-journal"/>
          <w:i/>
        </w:rPr>
        <w:t>Science</w:t>
      </w:r>
      <w:r>
        <w:rPr>
          <w:rStyle w:val="mixed-citation"/>
        </w:rPr>
        <w:t>, 5th edn. Chapman and Hall Inc; New York, USA. Pp. 215-221</w:t>
      </w:r>
    </w:p>
    <w:p w14:paraId="50DC7958" w14:textId="77777777" w:rsidR="004879C6" w:rsidRDefault="00934F55">
      <w:pPr>
        <w:spacing w:before="240" w:after="24" w:line="240" w:lineRule="auto"/>
        <w:ind w:left="720" w:hanging="720"/>
      </w:pPr>
      <w:r>
        <w:t>P</w:t>
      </w:r>
      <w:r>
        <w:t>yler, O.F. (2016). The role of wheat flour constituents, sugar, and fat in low moisture cereal based products: a review on sugar-snap cookies</w:t>
      </w:r>
      <w:r>
        <w:t xml:space="preserve">. </w:t>
      </w:r>
      <w:r>
        <w:rPr>
          <w:i/>
        </w:rPr>
        <w:t>Journal of Critical Review in Food Science and Nutrition, 48(9), 824-839</w:t>
      </w:r>
      <w:r>
        <w:t xml:space="preserve">. </w:t>
      </w:r>
    </w:p>
    <w:p w14:paraId="3527FAEA" w14:textId="77777777" w:rsidR="004879C6" w:rsidRDefault="00934F55">
      <w:pPr>
        <w:spacing w:before="240" w:line="240" w:lineRule="auto"/>
        <w:ind w:left="720" w:hanging="720"/>
      </w:pPr>
      <w:r>
        <w:t>S</w:t>
      </w:r>
      <w:r>
        <w:t>harrif, H., Uddin, H., Zakir H. and Kabir, Y. (2017).</w:t>
      </w:r>
      <w:r>
        <w:rPr>
          <w:i/>
        </w:rPr>
        <w:t> </w:t>
      </w:r>
      <w:hyperlink r:id="rId25" w:anchor="v=onepage&amp;q=the%20relationship%20of%20the%20modern%20soybean%20to%20wild-growing%20species%20can%20no%20longer%20be%20traced%20with%20any%20degree%20of%20certainty&amp;f=false" w:history="1">
        <w:r w:rsidR="004879C6">
          <w:t>Exploring the nutrition and health benefits of functional foods</w:t>
        </w:r>
      </w:hyperlink>
      <w:r>
        <w:rPr>
          <w:i/>
        </w:rPr>
        <w:t>. African Journal of Food Science</w:t>
      </w:r>
      <w:r>
        <w:t xml:space="preserve">, </w:t>
      </w:r>
      <w:r>
        <w:rPr>
          <w:i/>
        </w:rPr>
        <w:t>12, 223-227</w:t>
      </w:r>
    </w:p>
    <w:p w14:paraId="59D1A398" w14:textId="77777777" w:rsidR="004879C6" w:rsidRDefault="00934F55">
      <w:pPr>
        <w:spacing w:before="240" w:line="240" w:lineRule="auto"/>
        <w:ind w:left="720" w:hanging="720"/>
      </w:pPr>
      <w:r>
        <w:t>S</w:t>
      </w:r>
      <w:r>
        <w:t xml:space="preserve">ingh, C., Singh, S. and Kumari, D. (2000).Evaluation of functional properties of composite flours and sensory attributes of composite flour biscuits. </w:t>
      </w:r>
      <w:r>
        <w:rPr>
          <w:i/>
        </w:rPr>
        <w:t>Jo</w:t>
      </w:r>
      <w:r>
        <w:rPr>
          <w:i/>
        </w:rPr>
        <w:t>urnal of Food Science and Technology</w:t>
      </w:r>
      <w:r>
        <w:t xml:space="preserve">, </w:t>
      </w:r>
      <w:r>
        <w:rPr>
          <w:i/>
        </w:rPr>
        <w:t>52(6), 3681–3688.</w:t>
      </w:r>
    </w:p>
    <w:p w14:paraId="5A7DEE16" w14:textId="77777777" w:rsidR="004879C6" w:rsidRDefault="00934F55">
      <w:pPr>
        <w:spacing w:before="240" w:line="240" w:lineRule="auto"/>
        <w:ind w:left="720" w:hanging="720"/>
      </w:pPr>
      <w:r>
        <w:t>S</w:t>
      </w:r>
      <w:r>
        <w:t xml:space="preserve">oetan, K.O., Olaiya, C.O.  and Oyewole, O.E. (2010).  The importance of mineral elements for humans, domestic animals and plants: a review. </w:t>
      </w:r>
      <w:r>
        <w:rPr>
          <w:i/>
        </w:rPr>
        <w:t>African Journal of Food Science, 4(5), 200-222.</w:t>
      </w:r>
    </w:p>
    <w:p w14:paraId="2C23A31A" w14:textId="77777777" w:rsidR="004879C6" w:rsidRDefault="00934F55">
      <w:pPr>
        <w:spacing w:before="240" w:line="240" w:lineRule="auto"/>
        <w:ind w:left="720" w:hanging="720"/>
      </w:pPr>
      <w:r>
        <w:lastRenderedPageBreak/>
        <w:t>S</w:t>
      </w:r>
      <w:r>
        <w:t>uresh, C.,</w:t>
      </w:r>
      <w:r>
        <w:t xml:space="preserve"> Singh, S. and Kumari, D. (2015). Physicochemical and sensory evaluation of breads supplemented with pumpkin flour. </w:t>
      </w:r>
      <w:r>
        <w:rPr>
          <w:i/>
        </w:rPr>
        <w:t>Asian Food Science Journal, 14(2), 123 -130.</w:t>
      </w:r>
    </w:p>
    <w:p w14:paraId="6E34DF81" w14:textId="77777777" w:rsidR="004879C6" w:rsidRDefault="00934F55">
      <w:pPr>
        <w:spacing w:before="240" w:line="240" w:lineRule="auto"/>
        <w:ind w:left="720" w:hanging="720"/>
        <w:rPr>
          <w:i/>
        </w:rPr>
      </w:pPr>
      <w:r>
        <w:t>T</w:t>
      </w:r>
      <w:r>
        <w:t>haoge, R., Glamoclija, D., Demin, M., Radovic, B.V., Jovanoic, Z. and Milojkovic, D. (2003).Ag</w:t>
      </w:r>
      <w:r>
        <w:t xml:space="preserve">ronomical and nutritional evaluation of </w:t>
      </w:r>
      <w:r>
        <w:rPr>
          <w:i/>
        </w:rPr>
        <w:t>quinoa</w:t>
      </w:r>
      <w:r>
        <w:t xml:space="preserve"> seed as an ingredient in bread formulation. </w:t>
      </w:r>
      <w:r>
        <w:rPr>
          <w:i/>
        </w:rPr>
        <w:t>Journal of Cereal Science</w:t>
      </w:r>
      <w:r>
        <w:t xml:space="preserve">, </w:t>
      </w:r>
      <w:r>
        <w:rPr>
          <w:i/>
        </w:rPr>
        <w:t>55, 132-138.</w:t>
      </w:r>
    </w:p>
    <w:p w14:paraId="7D6F4781" w14:textId="77777777" w:rsidR="004879C6" w:rsidRDefault="00934F55">
      <w:pPr>
        <w:spacing w:before="240" w:after="240" w:line="240" w:lineRule="auto"/>
        <w:ind w:left="720" w:hanging="720"/>
      </w:pPr>
      <w:r>
        <w:t>U</w:t>
      </w:r>
      <w:r>
        <w:t>bbor, S.C and Akobundu E.N.T. (2009), Quality Characteristics of cookies from composite flour of watermelon seed, cassava an</w:t>
      </w:r>
      <w:r>
        <w:t xml:space="preserve">d wheat. </w:t>
      </w:r>
      <w:r>
        <w:rPr>
          <w:i/>
        </w:rPr>
        <w:t xml:space="preserve">Pakistan Journal of Nutrition, </w:t>
      </w:r>
      <w:r>
        <w:t>8(7), 1095-1102.</w:t>
      </w:r>
    </w:p>
    <w:p w14:paraId="31171294" w14:textId="77777777" w:rsidR="004879C6" w:rsidRDefault="00934F55">
      <w:pPr>
        <w:spacing w:before="240" w:after="240" w:line="240" w:lineRule="auto"/>
        <w:ind w:left="720" w:hanging="720"/>
      </w:pPr>
      <w:r>
        <w:t>U</w:t>
      </w:r>
      <w:r>
        <w:t xml:space="preserve">densi E.A, Onwuka G.I, and Okoli EG (2005).Effect of processing on the levels of some antinutritional factors of </w:t>
      </w:r>
      <w:r>
        <w:rPr>
          <w:i/>
        </w:rPr>
        <w:t>Mucuna utilis</w:t>
      </w:r>
      <w:r>
        <w:t>.</w:t>
      </w:r>
      <w:r>
        <w:rPr>
          <w:i/>
        </w:rPr>
        <w:t xml:space="preserve">Pakistan Journal of </w:t>
      </w:r>
      <w:r>
        <w:t>Nutrition</w:t>
      </w:r>
      <w:r>
        <w:rPr>
          <w:i/>
        </w:rPr>
        <w:t>, 9</w:t>
      </w:r>
      <w:r>
        <w:t>(2), 179-181</w:t>
      </w:r>
    </w:p>
    <w:p w14:paraId="5D309533" w14:textId="77777777" w:rsidR="004879C6" w:rsidRDefault="00934F55">
      <w:pPr>
        <w:spacing w:before="240" w:after="240" w:line="240" w:lineRule="auto"/>
        <w:ind w:left="720" w:hanging="720"/>
      </w:pPr>
      <w:r>
        <w:t>U</w:t>
      </w:r>
      <w:r>
        <w:t xml:space="preserve">gwu, F.M. and Oranye, N. </w:t>
      </w:r>
      <w:r>
        <w:t xml:space="preserve">A. (2006). Effects of some processing methods on the toxic components of Africa bread fruit. </w:t>
      </w:r>
      <w:r>
        <w:rPr>
          <w:i/>
        </w:rPr>
        <w:t>African</w:t>
      </w:r>
      <w:r>
        <w:t xml:space="preserve"> </w:t>
      </w:r>
      <w:r>
        <w:rPr>
          <w:i/>
        </w:rPr>
        <w:t>Journal of Biotechnology, 5(22), 81-98</w:t>
      </w:r>
    </w:p>
    <w:p w14:paraId="2BD8B2C6" w14:textId="77777777" w:rsidR="004879C6" w:rsidRDefault="00934F55">
      <w:pPr>
        <w:spacing w:before="240" w:line="240" w:lineRule="auto"/>
        <w:ind w:left="720" w:hanging="720"/>
      </w:pPr>
      <w:r>
        <w:rPr>
          <w:rFonts w:eastAsia="Calibri"/>
        </w:rPr>
        <w:t>U</w:t>
      </w:r>
      <w:r>
        <w:rPr>
          <w:rFonts w:eastAsia="Calibri"/>
        </w:rPr>
        <w:t>nigwe, A.E., Doria, E, Adebola P, Gerrano  A.S. and  Pillay, M. (2018). Anti nutrient analysis of 30 bambara ground</w:t>
      </w:r>
      <w:r>
        <w:rPr>
          <w:rFonts w:eastAsia="Calibri"/>
        </w:rPr>
        <w:t>nut (</w:t>
      </w:r>
      <w:r>
        <w:rPr>
          <w:rFonts w:eastAsia="Calibri"/>
          <w:i/>
        </w:rPr>
        <w:t>Vigna subterranea</w:t>
      </w:r>
      <w:r>
        <w:rPr>
          <w:rFonts w:eastAsia="Calibri"/>
        </w:rPr>
        <w:t xml:space="preserve">) accessions in </w:t>
      </w:r>
      <w:r>
        <w:rPr>
          <w:rFonts w:eastAsia="Calibri"/>
          <w:i/>
        </w:rPr>
        <w:t>South Africa Journal of Crop Improvement, 32, 28 – 34</w:t>
      </w:r>
    </w:p>
    <w:p w14:paraId="334F2953" w14:textId="77777777" w:rsidR="004879C6" w:rsidRDefault="00934F55">
      <w:pPr>
        <w:spacing w:before="240" w:line="240" w:lineRule="auto"/>
        <w:ind w:left="720" w:hanging="720"/>
      </w:pPr>
      <w:r>
        <w:t>U</w:t>
      </w:r>
      <w:r>
        <w:t>zoechina, O.B. (2007). Evaluation of the effect of processing techniques on the nutrient and anti-nutrients contents of pigeon pea (</w:t>
      </w:r>
      <w:r>
        <w:rPr>
          <w:i/>
        </w:rPr>
        <w:t>Cajanus</w:t>
      </w:r>
      <w:r>
        <w:t xml:space="preserve"> </w:t>
      </w:r>
      <w:r>
        <w:rPr>
          <w:i/>
        </w:rPr>
        <w:t>cajan</w:t>
      </w:r>
      <w:r>
        <w:t xml:space="preserve">) seed flour. </w:t>
      </w:r>
      <w:r>
        <w:t>Nigerian Food Journal, 28,72-77.</w:t>
      </w:r>
    </w:p>
    <w:p w14:paraId="7EF1355B" w14:textId="77777777" w:rsidR="004879C6" w:rsidRDefault="00934F55">
      <w:pPr>
        <w:spacing w:before="240" w:line="240" w:lineRule="auto"/>
        <w:ind w:left="720" w:hanging="720"/>
      </w:pPr>
      <w:r>
        <w:t>V</w:t>
      </w:r>
      <w:r>
        <w:t xml:space="preserve">alente, D.W., Marais, E., Harmse, P., Nestel, P.J. and Rodriguez-Amaya, D.B. (2014). Retention of </w:t>
      </w:r>
      <w:r>
        <w:rPr>
          <w:rFonts w:ascii="Cambria Math" w:eastAsia="Cambria Math" w:hAnsi="Cambria Math" w:cs="Cambria Math"/>
        </w:rPr>
        <w:t>𝛽</w:t>
      </w:r>
      <w:r>
        <w:t xml:space="preserve">-carotene in boiled and mashed orange-fleshed sweet potato, </w:t>
      </w:r>
      <w:r>
        <w:rPr>
          <w:i/>
        </w:rPr>
        <w:t>Journal of Food Composition and Analysis</w:t>
      </w:r>
      <w:r>
        <w:t xml:space="preserve">, </w:t>
      </w:r>
      <w:r>
        <w:rPr>
          <w:i/>
        </w:rPr>
        <w:t>19(4), 321–329.</w:t>
      </w:r>
    </w:p>
    <w:p w14:paraId="0698ECF5" w14:textId="77777777" w:rsidR="004879C6" w:rsidRDefault="00934F55">
      <w:pPr>
        <w:spacing w:before="240" w:line="240" w:lineRule="auto"/>
        <w:ind w:left="720" w:hanging="720"/>
      </w:pPr>
      <w:r>
        <w:t>V</w:t>
      </w:r>
      <w:r>
        <w:t>ars</w:t>
      </w:r>
      <w:r>
        <w:t xml:space="preserve">hney, U.E., Akindolu, B.E. and Elijah, A.I. (2019). Nutrient composition, amino acid profile and anti nutritional factors of nixtamalized maize flour supplemented with sprouted soybean flour. </w:t>
      </w:r>
      <w:r>
        <w:rPr>
          <w:i/>
        </w:rPr>
        <w:t>European Journal of Nutrition and Food Safety</w:t>
      </w:r>
      <w:r>
        <w:t xml:space="preserve">, </w:t>
      </w:r>
      <w:r>
        <w:rPr>
          <w:i/>
        </w:rPr>
        <w:t>9(1), 41-51.</w:t>
      </w:r>
    </w:p>
    <w:p w14:paraId="33C72116" w14:textId="77777777" w:rsidR="004879C6" w:rsidRDefault="004879C6">
      <w:pPr>
        <w:spacing w:line="240" w:lineRule="auto"/>
        <w:ind w:left="720" w:hanging="720"/>
      </w:pPr>
    </w:p>
    <w:p w14:paraId="794D17AA" w14:textId="1EB56AAF" w:rsidR="004879C6" w:rsidRDefault="00934F55">
      <w:pPr>
        <w:spacing w:line="240" w:lineRule="auto"/>
        <w:ind w:left="720" w:hanging="720"/>
        <w:rPr>
          <w:i/>
        </w:rPr>
      </w:pPr>
      <w:r>
        <w:t xml:space="preserve">Zhang, J. and Datta, A.K. (2016).Mathematical modeling of bread baking process. </w:t>
      </w:r>
      <w:r>
        <w:rPr>
          <w:i/>
        </w:rPr>
        <w:t>Journal of Food Engineering</w:t>
      </w:r>
      <w:r>
        <w:t xml:space="preserve">, </w:t>
      </w:r>
      <w:r>
        <w:rPr>
          <w:i/>
        </w:rPr>
        <w:t>75, 78-89.</w:t>
      </w:r>
    </w:p>
    <w:p w14:paraId="30CA82C2" w14:textId="0E5BE030" w:rsidR="008F4175" w:rsidRPr="008F4175" w:rsidRDefault="008F4175">
      <w:pPr>
        <w:spacing w:line="240" w:lineRule="auto"/>
        <w:ind w:left="720" w:hanging="720"/>
        <w:rPr>
          <w:i/>
          <w:highlight w:val="yellow"/>
        </w:rPr>
      </w:pPr>
      <w:proofErr w:type="spellStart"/>
      <w:r w:rsidRPr="008F4175">
        <w:rPr>
          <w:i/>
          <w:highlight w:val="yellow"/>
        </w:rPr>
        <w:t>Obaroakpo</w:t>
      </w:r>
      <w:proofErr w:type="spellEnd"/>
      <w:r w:rsidRPr="008F4175">
        <w:rPr>
          <w:i/>
          <w:highlight w:val="yellow"/>
        </w:rPr>
        <w:t xml:space="preserve">, J. U., I. </w:t>
      </w:r>
      <w:proofErr w:type="spellStart"/>
      <w:r w:rsidRPr="008F4175">
        <w:rPr>
          <w:i/>
          <w:highlight w:val="yellow"/>
        </w:rPr>
        <w:t>Iwanegbe</w:t>
      </w:r>
      <w:proofErr w:type="spellEnd"/>
      <w:r w:rsidRPr="008F4175">
        <w:rPr>
          <w:i/>
          <w:highlight w:val="yellow"/>
        </w:rPr>
        <w:t xml:space="preserve">, and A. </w:t>
      </w:r>
      <w:proofErr w:type="spellStart"/>
      <w:r w:rsidRPr="008F4175">
        <w:rPr>
          <w:i/>
          <w:highlight w:val="yellow"/>
        </w:rPr>
        <w:t>Ojokoh</w:t>
      </w:r>
      <w:proofErr w:type="spellEnd"/>
      <w:r w:rsidRPr="008F4175">
        <w:rPr>
          <w:i/>
          <w:highlight w:val="yellow"/>
        </w:rPr>
        <w:t xml:space="preserve">. 2017. “The Functional and Sensory Evaluation of Biscuits Produced from Wheat, Defatted Soybean and Coconut Flour”. Current Journal of Applied Science and Technology 23 (6):1-7. </w:t>
      </w:r>
      <w:hyperlink r:id="rId26" w:history="1">
        <w:r w:rsidRPr="008F4175">
          <w:rPr>
            <w:rStyle w:val="Hyperlink"/>
            <w:i/>
            <w:highlight w:val="yellow"/>
          </w:rPr>
          <w:t>https://doi.org/10.9734/CJAST/2017/30836</w:t>
        </w:r>
      </w:hyperlink>
      <w:r w:rsidRPr="008F4175">
        <w:rPr>
          <w:i/>
          <w:highlight w:val="yellow"/>
        </w:rPr>
        <w:t>.</w:t>
      </w:r>
    </w:p>
    <w:p w14:paraId="4EF4D1F9" w14:textId="0A2BBB99" w:rsidR="008B3B46" w:rsidRDefault="008B3B46">
      <w:pPr>
        <w:spacing w:line="240" w:lineRule="auto"/>
        <w:ind w:left="720" w:hanging="720"/>
        <w:rPr>
          <w:i/>
        </w:rPr>
      </w:pPr>
      <w:proofErr w:type="spellStart"/>
      <w:r w:rsidRPr="008B3B46">
        <w:rPr>
          <w:i/>
        </w:rPr>
        <w:t>Ezegbe</w:t>
      </w:r>
      <w:proofErr w:type="spellEnd"/>
      <w:r w:rsidR="008F4175" w:rsidRPr="008F4175">
        <w:rPr>
          <w:i/>
          <w:highlight w:val="yellow"/>
        </w:rPr>
        <w:t xml:space="preserve">, Clement C., Felix E. </w:t>
      </w:r>
      <w:proofErr w:type="spellStart"/>
      <w:r w:rsidR="008F4175" w:rsidRPr="008F4175">
        <w:rPr>
          <w:i/>
          <w:highlight w:val="yellow"/>
        </w:rPr>
        <w:t>Okpalanma</w:t>
      </w:r>
      <w:proofErr w:type="spellEnd"/>
      <w:r w:rsidR="008F4175" w:rsidRPr="008F4175">
        <w:rPr>
          <w:i/>
          <w:highlight w:val="yellow"/>
        </w:rPr>
        <w:t xml:space="preserve">, Sunday K. Okocha, Eunice N. </w:t>
      </w:r>
      <w:proofErr w:type="spellStart"/>
      <w:r w:rsidR="008F4175" w:rsidRPr="008F4175">
        <w:rPr>
          <w:i/>
          <w:highlight w:val="yellow"/>
        </w:rPr>
        <w:t>Odoh</w:t>
      </w:r>
      <w:proofErr w:type="spellEnd"/>
      <w:r w:rsidR="008F4175" w:rsidRPr="008F4175">
        <w:rPr>
          <w:i/>
          <w:highlight w:val="yellow"/>
        </w:rPr>
        <w:t xml:space="preserve">, Josephine C. </w:t>
      </w:r>
      <w:proofErr w:type="spellStart"/>
      <w:r w:rsidR="008F4175" w:rsidRPr="008F4175">
        <w:rPr>
          <w:i/>
          <w:highlight w:val="yellow"/>
        </w:rPr>
        <w:t>Ohuche</w:t>
      </w:r>
      <w:proofErr w:type="spellEnd"/>
      <w:r w:rsidR="008F4175" w:rsidRPr="008F4175">
        <w:rPr>
          <w:i/>
          <w:highlight w:val="yellow"/>
        </w:rPr>
        <w:t xml:space="preserve">, Sylvester N. </w:t>
      </w:r>
      <w:proofErr w:type="spellStart"/>
      <w:r w:rsidR="008F4175" w:rsidRPr="008F4175">
        <w:rPr>
          <w:i/>
          <w:highlight w:val="yellow"/>
        </w:rPr>
        <w:t>Orjiakor</w:t>
      </w:r>
      <w:proofErr w:type="spellEnd"/>
      <w:r w:rsidR="008F4175" w:rsidRPr="008F4175">
        <w:rPr>
          <w:i/>
          <w:highlight w:val="yellow"/>
        </w:rPr>
        <w:t xml:space="preserve">, and </w:t>
      </w:r>
      <w:proofErr w:type="spellStart"/>
      <w:r w:rsidR="008F4175" w:rsidRPr="008F4175">
        <w:rPr>
          <w:i/>
          <w:highlight w:val="yellow"/>
        </w:rPr>
        <w:t>Johnwilfred</w:t>
      </w:r>
      <w:proofErr w:type="spellEnd"/>
      <w:r w:rsidR="008F4175" w:rsidRPr="008F4175">
        <w:rPr>
          <w:i/>
          <w:highlight w:val="yellow"/>
        </w:rPr>
        <w:t xml:space="preserve"> C. </w:t>
      </w:r>
      <w:proofErr w:type="spellStart"/>
      <w:r w:rsidR="008F4175" w:rsidRPr="008F4175">
        <w:rPr>
          <w:i/>
          <w:highlight w:val="yellow"/>
        </w:rPr>
        <w:t>Ndulue</w:t>
      </w:r>
      <w:proofErr w:type="spellEnd"/>
      <w:r w:rsidR="008F4175" w:rsidRPr="008F4175">
        <w:rPr>
          <w:i/>
          <w:highlight w:val="yellow"/>
        </w:rPr>
        <w:t xml:space="preserve">. 2024. “Physicochemical and Sensory Evaluation of Biscuits Produced from Composite Flour of Wheat and Fermented Cowpea Hull”. Asian Food Science Journal 23 (8):69-79. </w:t>
      </w:r>
      <w:hyperlink r:id="rId27" w:history="1">
        <w:r w:rsidR="00EA62A2" w:rsidRPr="0027182C">
          <w:rPr>
            <w:rStyle w:val="Hyperlink"/>
            <w:i/>
            <w:highlight w:val="yellow"/>
          </w:rPr>
          <w:t>https://doi.org/10.9734/afsj/2024/v23i8736</w:t>
        </w:r>
      </w:hyperlink>
      <w:r w:rsidR="008F4175" w:rsidRPr="008F4175">
        <w:rPr>
          <w:i/>
          <w:highlight w:val="yellow"/>
        </w:rPr>
        <w:t>.</w:t>
      </w:r>
      <w:r w:rsidR="00EA62A2">
        <w:rPr>
          <w:i/>
          <w:highlight w:val="yellow"/>
        </w:rPr>
        <w:t xml:space="preserve"> </w:t>
      </w:r>
    </w:p>
    <w:p w14:paraId="13C5DF1E" w14:textId="290D35AD" w:rsidR="008B3B46" w:rsidRDefault="008B3B46" w:rsidP="008B3B46"/>
    <w:sectPr w:rsidR="008B3B4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5EC8" w14:textId="77777777" w:rsidR="00934F55" w:rsidRDefault="00934F55">
      <w:pPr>
        <w:spacing w:line="240" w:lineRule="auto"/>
      </w:pPr>
      <w:r>
        <w:separator/>
      </w:r>
    </w:p>
  </w:endnote>
  <w:endnote w:type="continuationSeparator" w:id="0">
    <w:p w14:paraId="194C9581" w14:textId="77777777" w:rsidR="00934F55" w:rsidRDefault="00934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1587" w14:textId="77777777" w:rsidR="004879C6" w:rsidRDefault="00934F55">
    <w:pPr>
      <w:pStyle w:val="Footer"/>
      <w:jc w:val="right"/>
    </w:pPr>
    <w:r>
      <w:fldChar w:fldCharType="begin"/>
    </w:r>
    <w:r>
      <w:instrText xml:space="preserve"> PAGE   \* MERGEFORMAT </w:instrText>
    </w:r>
    <w:r>
      <w:fldChar w:fldCharType="separate"/>
    </w:r>
    <w:r>
      <w:rPr>
        <w:noProof/>
      </w:rPr>
      <w:t>30</w:t>
    </w:r>
    <w:r>
      <w:rPr>
        <w:noProof/>
      </w:rPr>
      <w:fldChar w:fldCharType="end"/>
    </w:r>
  </w:p>
  <w:p w14:paraId="3D34A240" w14:textId="77777777" w:rsidR="004879C6" w:rsidRDefault="004879C6">
    <w:pPr>
      <w:pBdr>
        <w:top w:val="nil"/>
        <w:left w:val="nil"/>
        <w:bottom w:val="nil"/>
        <w:right w:val="nil"/>
        <w:between w:val="nil"/>
      </w:pBdr>
      <w:tabs>
        <w:tab w:val="center" w:pos="4513"/>
        <w:tab w:val="right" w:pos="9026"/>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206E" w14:textId="77777777" w:rsidR="00934F55" w:rsidRDefault="00934F55">
      <w:pPr>
        <w:spacing w:line="240" w:lineRule="auto"/>
      </w:pPr>
      <w:r>
        <w:separator/>
      </w:r>
    </w:p>
  </w:footnote>
  <w:footnote w:type="continuationSeparator" w:id="0">
    <w:p w14:paraId="5372AC4F" w14:textId="77777777" w:rsidR="00934F55" w:rsidRDefault="00934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98C0" w14:textId="1BE74854" w:rsidR="007C3E25" w:rsidRDefault="002636DD">
    <w:pPr>
      <w:pStyle w:val="Header"/>
    </w:pPr>
    <w:r>
      <w:rPr>
        <w:noProof/>
      </w:rPr>
      <mc:AlternateContent>
        <mc:Choice Requires="wps">
          <w:drawing>
            <wp:anchor distT="0" distB="0" distL="114300" distR="114300" simplePos="0" relativeHeight="251661312" behindDoc="1" locked="0" layoutInCell="0" allowOverlap="1" wp14:anchorId="34E8CCC3" wp14:editId="78A2E2E4">
              <wp:simplePos x="0" y="0"/>
              <wp:positionH relativeFrom="margin">
                <wp:align>center</wp:align>
              </wp:positionH>
              <wp:positionV relativeFrom="margin">
                <wp:align>center</wp:align>
              </wp:positionV>
              <wp:extent cx="7541895" cy="837565"/>
              <wp:effectExtent l="0" t="2476500" r="0" b="2305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7A9B9"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E8CCC3" id="_x0000_t202" coordsize="21600,21600" o:spt="202" path="m,l,21600r21600,l21600,xe">
              <v:stroke joinstyle="miter"/>
              <v:path gradientshapeok="t" o:connecttype="rect"/>
            </v:shapetype>
            <v:shape id="Text Box 4" o:spid="_x0000_s1027" type="#_x0000_t202" style="position:absolute;left:0;text-align:left;margin-left:0;margin-top:0;width:593.85pt;height:65.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" o:allowincell="f" filled="f" stroked="f">
              <v:stroke joinstyle="round"/>
              <o:lock v:ext="edit" shapetype="t"/>
              <v:textbox style="mso-fit-shape-to-text:t">
                <w:txbxContent>
                  <w:p w14:paraId="54F7A9B9"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F865" w14:textId="167BF3B0" w:rsidR="007C3E25" w:rsidRDefault="002636DD">
    <w:pPr>
      <w:pStyle w:val="Header"/>
    </w:pPr>
    <w:r>
      <w:rPr>
        <w:noProof/>
      </w:rPr>
      <mc:AlternateContent>
        <mc:Choice Requires="wps">
          <w:drawing>
            <wp:anchor distT="0" distB="0" distL="114300" distR="114300" simplePos="0" relativeHeight="251663360" behindDoc="1" locked="0" layoutInCell="0" allowOverlap="1" wp14:anchorId="5B371D6F" wp14:editId="073850AF">
              <wp:simplePos x="0" y="0"/>
              <wp:positionH relativeFrom="margin">
                <wp:align>center</wp:align>
              </wp:positionH>
              <wp:positionV relativeFrom="margin">
                <wp:align>center</wp:align>
              </wp:positionV>
              <wp:extent cx="7541895" cy="837565"/>
              <wp:effectExtent l="0" t="2476500" r="0" b="2305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42F8F"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71D6F" id="_x0000_t202" coordsize="21600,21600" o:spt="202" path="m,l,21600r21600,l21600,xe">
              <v:stroke joinstyle="miter"/>
              <v:path gradientshapeok="t" o:connecttype="rect"/>
            </v:shapetype>
            <v:shape id="Text Box 3" o:spid="_x0000_s1028" type="#_x0000_t202" style="position:absolute;left:0;text-align:left;margin-left:0;margin-top:0;width:593.85pt;height:65.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" o:allowincell="f" filled="f" stroked="f">
              <v:stroke joinstyle="round"/>
              <o:lock v:ext="edit" shapetype="t"/>
              <v:textbox style="mso-fit-shape-to-text:t">
                <w:txbxContent>
                  <w:p w14:paraId="45542F8F" w14:textId="77777777" w:rsidR="002636DD" w:rsidRDefault="002636DD" w:rsidP="002636DD">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23D3" w14:textId="6721D56D" w:rsidR="007C3E25" w:rsidRDefault="00934F55">
    <w:pPr>
      <w:pStyle w:val="Header"/>
    </w:pPr>
    <w:r>
      <w:rPr>
        <w:noProof/>
      </w:rPr>
      <w:pict w14:anchorId="170CF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678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 w15:restartNumberingAfterBreak="0">
    <w:nsid w:val="363A096A"/>
    <w:multiLevelType w:val="multilevel"/>
    <w:tmpl w:val="FCD2AB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6"/>
    <w:rsid w:val="001A2C0E"/>
    <w:rsid w:val="002636DD"/>
    <w:rsid w:val="00366116"/>
    <w:rsid w:val="003C6371"/>
    <w:rsid w:val="003D1CE3"/>
    <w:rsid w:val="004879C6"/>
    <w:rsid w:val="005A219F"/>
    <w:rsid w:val="00780019"/>
    <w:rsid w:val="007C3E25"/>
    <w:rsid w:val="008B3B46"/>
    <w:rsid w:val="008F4175"/>
    <w:rsid w:val="00934F55"/>
    <w:rsid w:val="00BA51B3"/>
    <w:rsid w:val="00CE187D"/>
    <w:rsid w:val="00DE24EA"/>
    <w:rsid w:val="00EA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58DD17"/>
  <w15:docId w15:val="{7A7D0106-2809-40F7-B115-5A9158E6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480" w:lineRule="auto"/>
      <w:jc w:val="both"/>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pPr>
      <w:keepNext/>
      <w:keepLines/>
      <w:spacing w:after="0" w:line="480" w:lineRule="auto"/>
      <w:jc w:val="center"/>
      <w:outlineLvl w:val="0"/>
    </w:pPr>
    <w:rPr>
      <w:rFonts w:ascii="Times New Roman" w:eastAsia="Times New Roman" w:hAnsi="Times New Roman" w:cs="Times New Roman"/>
      <w:b/>
      <w:color w:val="000000"/>
      <w:kern w:val="0"/>
      <w:sz w:val="24"/>
      <w:szCs w:val="24"/>
      <w14:ligatures w14:val="none"/>
    </w:rPr>
  </w:style>
  <w:style w:type="paragraph" w:styleId="Heading2">
    <w:name w:val="heading 2"/>
    <w:basedOn w:val="Normal"/>
    <w:next w:val="Normal"/>
    <w:link w:val="Heading2Char"/>
    <w:uiPriority w:val="9"/>
    <w:unhideWhenUsed/>
    <w:qFormat/>
    <w:pPr>
      <w:keepNext/>
      <w:keepLines/>
      <w:outlineLvl w:val="1"/>
    </w:pPr>
    <w:rPr>
      <w:rFonts w:eastAsia="SimSun" w:cs="SimSun"/>
      <w:b/>
      <w:bCs/>
      <w:szCs w:val="26"/>
    </w:rPr>
  </w:style>
  <w:style w:type="paragraph" w:styleId="Heading3">
    <w:name w:val="heading 3"/>
    <w:next w:val="Normal"/>
    <w:link w:val="Heading3Char"/>
    <w:uiPriority w:val="9"/>
    <w:semiHidden/>
    <w:unhideWhenUsed/>
    <w:qFormat/>
    <w:pPr>
      <w:keepNext/>
      <w:keepLines/>
      <w:tabs>
        <w:tab w:val="left" w:pos="9360"/>
      </w:tabs>
      <w:spacing w:before="240" w:after="0" w:line="480" w:lineRule="auto"/>
      <w:jc w:val="both"/>
      <w:outlineLvl w:val="2"/>
    </w:pPr>
    <w:rPr>
      <w:rFonts w:ascii="Times New Roman" w:eastAsia="Minion Pro" w:hAnsi="Times New Roman" w:cs="Times New Roman"/>
      <w:b/>
      <w:color w:val="181717"/>
      <w:kern w:val="0"/>
      <w:sz w:val="24"/>
      <w:szCs w:val="24"/>
      <w14:ligatures w14:val="none"/>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0"/>
      <w:sz w:val="24"/>
      <w:szCs w:val="24"/>
      <w14:ligatures w14:val="none"/>
    </w:rPr>
  </w:style>
  <w:style w:type="character" w:customStyle="1" w:styleId="Heading2Char">
    <w:name w:val="Heading 2 Char"/>
    <w:basedOn w:val="DefaultParagraphFont"/>
    <w:link w:val="Heading2"/>
    <w:uiPriority w:val="9"/>
    <w:rPr>
      <w:rFonts w:ascii="Times New Roman" w:eastAsia="SimSun" w:hAnsi="Times New Roman" w:cs="SimSun"/>
      <w:b/>
      <w:bCs/>
      <w:kern w:val="0"/>
      <w:sz w:val="24"/>
      <w:szCs w:val="26"/>
      <w14:ligatures w14:val="none"/>
    </w:rPr>
  </w:style>
  <w:style w:type="character" w:customStyle="1" w:styleId="Heading3Char">
    <w:name w:val="Heading 3 Char"/>
    <w:basedOn w:val="DefaultParagraphFont"/>
    <w:link w:val="Heading3"/>
    <w:uiPriority w:val="9"/>
    <w:rPr>
      <w:rFonts w:ascii="Times New Roman" w:eastAsia="Minion Pro" w:hAnsi="Times New Roman" w:cs="Times New Roman"/>
      <w:b/>
      <w:color w:val="181717"/>
      <w:kern w:val="0"/>
      <w:sz w:val="24"/>
      <w:szCs w:val="24"/>
      <w14:ligatures w14:val="none"/>
    </w:rPr>
  </w:style>
  <w:style w:type="character" w:customStyle="1" w:styleId="Heading4Char">
    <w:name w:val="Heading 4 Char"/>
    <w:basedOn w:val="DefaultParagraphFont"/>
    <w:link w:val="Heading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rPr>
      <w:rFonts w:ascii="Times New Roman" w:eastAsia="Times New Roman" w:hAnsi="Times New Roman"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rPr>
      <w:rFonts w:ascii="Times New Roman" w:eastAsia="Times New Roman" w:hAnsi="Times New Roman" w:cs="Times New Roman"/>
      <w:b/>
      <w:kern w:val="0"/>
      <w:sz w:val="72"/>
      <w:szCs w:val="72"/>
      <w14:ligatures w14:val="none"/>
    </w:rPr>
  </w:style>
  <w:style w:type="paragraph" w:styleId="NormalWeb">
    <w:name w:val="Normal (Web)"/>
    <w:basedOn w:val="Normal"/>
    <w:uiPriority w:val="99"/>
    <w:pPr>
      <w:spacing w:before="100" w:beforeAutospacing="1" w:after="100" w:afterAutospacing="1" w:line="240" w:lineRule="auto"/>
    </w:p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jc w:val="both"/>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character" w:styleId="Hyperlink">
    <w:name w:val="Hyperlink"/>
    <w:basedOn w:val="DefaultParagraphFont"/>
    <w:uiPriority w:val="99"/>
    <w:rPr>
      <w:color w:val="0000FF"/>
      <w:u w:val="single"/>
    </w:rPr>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character" w:customStyle="1" w:styleId="toctext">
    <w:name w:val="toctext"/>
    <w:basedOn w:val="DefaultParagraphFont"/>
  </w:style>
  <w:style w:type="character" w:customStyle="1" w:styleId="markedcontent">
    <w:name w:val="markedcontent"/>
    <w:basedOn w:val="DefaultParagraphFont"/>
  </w:style>
  <w:style w:type="paragraph" w:customStyle="1" w:styleId="Pa2">
    <w:name w:val="Pa2"/>
    <w:basedOn w:val="Normal"/>
    <w:next w:val="Normal"/>
    <w:uiPriority w:val="99"/>
    <w:pPr>
      <w:autoSpaceDE w:val="0"/>
      <w:autoSpaceDN w:val="0"/>
      <w:adjustRightInd w:val="0"/>
      <w:spacing w:line="221" w:lineRule="atLeast"/>
    </w:pPr>
  </w:style>
  <w:style w:type="paragraph" w:styleId="NoSpacing">
    <w:name w:val="No Spacing"/>
    <w:uiPriority w:val="1"/>
    <w:qFormat/>
    <w:pPr>
      <w:spacing w:after="0" w:line="240" w:lineRule="auto"/>
      <w:jc w:val="both"/>
    </w:pPr>
    <w:rPr>
      <w:rFonts w:ascii="Times New Roman" w:eastAsia="Times New Roman" w:hAnsi="Times New Roman" w:cs="Times New Roman"/>
      <w:kern w:val="0"/>
      <w:sz w:val="24"/>
      <w:szCs w:val="24"/>
      <w14:ligatures w14:val="none"/>
    </w:rPr>
  </w:style>
  <w:style w:type="table" w:styleId="LightShading-Accent1">
    <w:name w:val="Light Shading Accent 1"/>
    <w:basedOn w:val="TableNormal"/>
    <w:uiPriority w:val="60"/>
    <w:pPr>
      <w:spacing w:after="0" w:line="240" w:lineRule="auto"/>
      <w:jc w:val="both"/>
    </w:pPr>
    <w:rPr>
      <w:rFonts w:ascii="Times New Roman" w:eastAsia="Times New Roman" w:hAnsi="Times New Roman" w:cs="Times New Roman"/>
      <w:color w:val="2F5496"/>
      <w:kern w:val="0"/>
      <w:sz w:val="24"/>
      <w:szCs w:val="24"/>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
    <w:name w:val="Light Shading"/>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character" w:customStyle="1" w:styleId="topic-highlight">
    <w:name w:val="topic-highlight"/>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paragraph" w:styleId="TOCHeading">
    <w:name w:val="TOC Heading"/>
    <w:basedOn w:val="Heading1"/>
    <w:next w:val="Normal"/>
    <w:uiPriority w:val="39"/>
    <w:qFormat/>
    <w:pPr>
      <w:spacing w:before="480" w:line="276" w:lineRule="auto"/>
      <w:jc w:val="left"/>
      <w:outlineLvl w:val="9"/>
    </w:pPr>
    <w:rPr>
      <w:rFonts w:ascii="Calibri Light" w:eastAsia="SimSun" w:hAnsi="Calibri Light" w:cs="SimSun"/>
      <w:bCs/>
      <w:color w:val="2F5496"/>
      <w:sz w:val="28"/>
      <w:szCs w:val="28"/>
      <w:lang w:eastAsia="ja-JP"/>
    </w:rPr>
  </w:style>
  <w:style w:type="paragraph" w:styleId="TOC1">
    <w:name w:val="toc 1"/>
    <w:basedOn w:val="Normal"/>
    <w:next w:val="Normal"/>
    <w:uiPriority w:val="39"/>
    <w:pPr>
      <w:tabs>
        <w:tab w:val="right" w:leader="dot" w:pos="9350"/>
      </w:tabs>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76" w:lineRule="auto"/>
      <w:ind w:left="660"/>
      <w:jc w:val="left"/>
    </w:pPr>
    <w:rPr>
      <w:rFonts w:ascii="Calibri" w:eastAsia="SimSun" w:hAnsi="Calibri"/>
      <w:sz w:val="22"/>
    </w:rPr>
  </w:style>
  <w:style w:type="paragraph" w:styleId="TOC5">
    <w:name w:val="toc 5"/>
    <w:basedOn w:val="Normal"/>
    <w:next w:val="Normal"/>
    <w:uiPriority w:val="39"/>
    <w:pPr>
      <w:spacing w:after="100" w:line="276" w:lineRule="auto"/>
      <w:ind w:left="880"/>
      <w:jc w:val="left"/>
    </w:pPr>
    <w:rPr>
      <w:rFonts w:ascii="Calibri" w:eastAsia="SimSun" w:hAnsi="Calibri"/>
      <w:sz w:val="22"/>
    </w:rPr>
  </w:style>
  <w:style w:type="paragraph" w:styleId="TOC6">
    <w:name w:val="toc 6"/>
    <w:basedOn w:val="Normal"/>
    <w:next w:val="Normal"/>
    <w:uiPriority w:val="39"/>
    <w:pPr>
      <w:spacing w:after="100" w:line="276" w:lineRule="auto"/>
      <w:ind w:left="1100"/>
      <w:jc w:val="left"/>
    </w:pPr>
    <w:rPr>
      <w:rFonts w:ascii="Calibri" w:eastAsia="SimSun" w:hAnsi="Calibri"/>
      <w:sz w:val="22"/>
    </w:rPr>
  </w:style>
  <w:style w:type="paragraph" w:styleId="TOC7">
    <w:name w:val="toc 7"/>
    <w:basedOn w:val="Normal"/>
    <w:next w:val="Normal"/>
    <w:uiPriority w:val="39"/>
    <w:pPr>
      <w:spacing w:after="100" w:line="276" w:lineRule="auto"/>
      <w:ind w:left="1320"/>
      <w:jc w:val="left"/>
    </w:pPr>
    <w:rPr>
      <w:rFonts w:ascii="Calibri" w:eastAsia="SimSun" w:hAnsi="Calibri"/>
      <w:sz w:val="22"/>
    </w:rPr>
  </w:style>
  <w:style w:type="paragraph" w:styleId="TOC8">
    <w:name w:val="toc 8"/>
    <w:basedOn w:val="Normal"/>
    <w:next w:val="Normal"/>
    <w:uiPriority w:val="39"/>
    <w:pPr>
      <w:spacing w:after="100" w:line="276" w:lineRule="auto"/>
      <w:ind w:left="1540"/>
      <w:jc w:val="left"/>
    </w:pPr>
    <w:rPr>
      <w:rFonts w:ascii="Calibri" w:eastAsia="SimSun" w:hAnsi="Calibri"/>
      <w:sz w:val="22"/>
    </w:rPr>
  </w:style>
  <w:style w:type="paragraph" w:styleId="TOC9">
    <w:name w:val="toc 9"/>
    <w:basedOn w:val="Normal"/>
    <w:next w:val="Normal"/>
    <w:uiPriority w:val="39"/>
    <w:pPr>
      <w:spacing w:after="100" w:line="276" w:lineRule="auto"/>
      <w:ind w:left="1760"/>
      <w:jc w:val="left"/>
    </w:pPr>
    <w:rPr>
      <w:rFonts w:ascii="Calibri" w:eastAsia="SimSun" w:hAnsi="Calibri"/>
      <w:sz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kern w:val="0"/>
      <w:sz w:val="48"/>
      <w:szCs w:val="48"/>
      <w14:ligatures w14:val="none"/>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styleId="UnresolvedMention">
    <w:name w:val="Unresolved Mention"/>
    <w:basedOn w:val="DefaultParagraphFont"/>
    <w:uiPriority w:val="99"/>
    <w:semiHidden/>
    <w:unhideWhenUsed/>
    <w:rsid w:val="008F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1163">
      <w:bodyDiv w:val="1"/>
      <w:marLeft w:val="0"/>
      <w:marRight w:val="0"/>
      <w:marTop w:val="0"/>
      <w:marBottom w:val="0"/>
      <w:divBdr>
        <w:top w:val="none" w:sz="0" w:space="0" w:color="auto"/>
        <w:left w:val="none" w:sz="0" w:space="0" w:color="auto"/>
        <w:bottom w:val="none" w:sz="0" w:space="0" w:color="auto"/>
        <w:right w:val="none" w:sz="0" w:space="0" w:color="auto"/>
      </w:divBdr>
      <w:divsChild>
        <w:div w:id="2128043034">
          <w:marLeft w:val="0"/>
          <w:marRight w:val="0"/>
          <w:marTop w:val="0"/>
          <w:marBottom w:val="0"/>
          <w:divBdr>
            <w:top w:val="none" w:sz="0" w:space="0" w:color="auto"/>
            <w:left w:val="none" w:sz="0" w:space="0" w:color="auto"/>
            <w:bottom w:val="none" w:sz="0" w:space="0" w:color="auto"/>
            <w:right w:val="none" w:sz="0" w:space="0" w:color="auto"/>
          </w:divBdr>
          <w:divsChild>
            <w:div w:id="2096900848">
              <w:marLeft w:val="0"/>
              <w:marRight w:val="0"/>
              <w:marTop w:val="0"/>
              <w:marBottom w:val="0"/>
              <w:divBdr>
                <w:top w:val="none" w:sz="0" w:space="0" w:color="auto"/>
                <w:left w:val="none" w:sz="0" w:space="0" w:color="auto"/>
                <w:bottom w:val="none" w:sz="0" w:space="0" w:color="auto"/>
                <w:right w:val="none" w:sz="0" w:space="0" w:color="auto"/>
              </w:divBdr>
              <w:divsChild>
                <w:div w:id="1530484782">
                  <w:marLeft w:val="0"/>
                  <w:marRight w:val="0"/>
                  <w:marTop w:val="0"/>
                  <w:marBottom w:val="0"/>
                  <w:divBdr>
                    <w:top w:val="none" w:sz="0" w:space="0" w:color="auto"/>
                    <w:left w:val="none" w:sz="0" w:space="0" w:color="auto"/>
                    <w:bottom w:val="none" w:sz="0" w:space="0" w:color="auto"/>
                    <w:right w:val="none" w:sz="0" w:space="0" w:color="auto"/>
                  </w:divBdr>
                  <w:divsChild>
                    <w:div w:id="20132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7871">
      <w:bodyDiv w:val="1"/>
      <w:marLeft w:val="0"/>
      <w:marRight w:val="0"/>
      <w:marTop w:val="0"/>
      <w:marBottom w:val="0"/>
      <w:divBdr>
        <w:top w:val="none" w:sz="0" w:space="0" w:color="auto"/>
        <w:left w:val="none" w:sz="0" w:space="0" w:color="auto"/>
        <w:bottom w:val="none" w:sz="0" w:space="0" w:color="auto"/>
        <w:right w:val="none" w:sz="0" w:space="0" w:color="auto"/>
      </w:divBdr>
      <w:divsChild>
        <w:div w:id="1720783672">
          <w:marLeft w:val="0"/>
          <w:marRight w:val="0"/>
          <w:marTop w:val="0"/>
          <w:marBottom w:val="0"/>
          <w:divBdr>
            <w:top w:val="none" w:sz="0" w:space="0" w:color="auto"/>
            <w:left w:val="none" w:sz="0" w:space="0" w:color="auto"/>
            <w:bottom w:val="none" w:sz="0" w:space="0" w:color="auto"/>
            <w:right w:val="none" w:sz="0" w:space="0" w:color="auto"/>
          </w:divBdr>
          <w:divsChild>
            <w:div w:id="2112427825">
              <w:marLeft w:val="0"/>
              <w:marRight w:val="0"/>
              <w:marTop w:val="0"/>
              <w:marBottom w:val="0"/>
              <w:divBdr>
                <w:top w:val="none" w:sz="0" w:space="0" w:color="auto"/>
                <w:left w:val="none" w:sz="0" w:space="0" w:color="auto"/>
                <w:bottom w:val="none" w:sz="0" w:space="0" w:color="auto"/>
                <w:right w:val="none" w:sz="0" w:space="0" w:color="auto"/>
              </w:divBdr>
              <w:divsChild>
                <w:div w:id="2055956207">
                  <w:marLeft w:val="0"/>
                  <w:marRight w:val="0"/>
                  <w:marTop w:val="0"/>
                  <w:marBottom w:val="0"/>
                  <w:divBdr>
                    <w:top w:val="none" w:sz="0" w:space="0" w:color="auto"/>
                    <w:left w:val="none" w:sz="0" w:space="0" w:color="auto"/>
                    <w:bottom w:val="none" w:sz="0" w:space="0" w:color="auto"/>
                    <w:right w:val="none" w:sz="0" w:space="0" w:color="auto"/>
                  </w:divBdr>
                  <w:divsChild>
                    <w:div w:id="1470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snack_foods" TargetMode="External"/><Relationship Id="rId13" Type="http://schemas.openxmlformats.org/officeDocument/2006/relationships/hyperlink" Target="https://en.wikipedia.org/wiki/Africa" TargetMode="External"/><Relationship Id="rId18" Type="http://schemas.openxmlformats.org/officeDocument/2006/relationships/header" Target="header2.xml"/><Relationship Id="rId26" Type="http://schemas.openxmlformats.org/officeDocument/2006/relationships/hyperlink" Target="https://doi.org/10.9734/CJAST/2017/30836" TargetMode="External"/><Relationship Id="rId3" Type="http://schemas.openxmlformats.org/officeDocument/2006/relationships/styles" Target="styles.xml"/><Relationship Id="rId21" Type="http://schemas.openxmlformats.org/officeDocument/2006/relationships/hyperlink" Target="https://www.semanticscholar.org/paper/6bc009ef98289ffde7ba270cd05724088d2019d2" TargetMode="External"/><Relationship Id="rId7" Type="http://schemas.openxmlformats.org/officeDocument/2006/relationships/endnotes" Target="endnotes.xml"/><Relationship Id="rId12" Type="http://schemas.openxmlformats.org/officeDocument/2006/relationships/hyperlink" Target="https://en.wikipedia.org/wiki/List_of_snack_foods" TargetMode="External"/><Relationship Id="rId17" Type="http://schemas.openxmlformats.org/officeDocument/2006/relationships/header" Target="header1.xml"/><Relationship Id="rId25" Type="http://schemas.openxmlformats.org/officeDocument/2006/relationships/hyperlink" Target="https://books.google.com/?id=H2m_DAAAQBAJ&amp;pg=PA223&amp;lpg=PA223&amp;dq=the+relationship+of+the+modern+soybean+to+wild-growing+species+can+no+longer+be+traced+with+any+degree+of+certainty" TargetMode="External"/><Relationship Id="rId2" Type="http://schemas.openxmlformats.org/officeDocument/2006/relationships/numbering" Target="numbering.xml"/><Relationship Id="rId16" Type="http://schemas.openxmlformats.org/officeDocument/2006/relationships/hyperlink" Target="https://en.wikipedia.org/wiki/Protein"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st_of_snack_foods" TargetMode="External"/><Relationship Id="rId24" Type="http://schemas.openxmlformats.org/officeDocument/2006/relationships/hyperlink" Target="https://www.semanticscholar.org/paper/6bc009ef98289ffde7ba270cd05724088d2019d2" TargetMode="External"/><Relationship Id="rId5" Type="http://schemas.openxmlformats.org/officeDocument/2006/relationships/webSettings" Target="webSettings.xml"/><Relationship Id="rId15" Type="http://schemas.openxmlformats.org/officeDocument/2006/relationships/hyperlink" Target="https://en.wikipedia.org/wiki/Fat" TargetMode="External"/><Relationship Id="rId23" Type="http://schemas.openxmlformats.org/officeDocument/2006/relationships/hyperlink" Target="https://www.google.com.ng/search?tbo=p&amp;tbm=bks&amp;q=inauthor:%22James+Monroe+Jay%22" TargetMode="External"/><Relationship Id="rId28" Type="http://schemas.openxmlformats.org/officeDocument/2006/relationships/fontTable" Target="fontTable.xml"/><Relationship Id="rId10" Type="http://schemas.openxmlformats.org/officeDocument/2006/relationships/hyperlink" Target="https://en.wikipedia.org/wiki/List_of_snack_foo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List_of_snack_foods" TargetMode="External"/><Relationship Id="rId14" Type="http://schemas.openxmlformats.org/officeDocument/2006/relationships/hyperlink" Target="https://en.wikipedia.org/wiki/Mango" TargetMode="External"/><Relationship Id="rId22" Type="http://schemas.openxmlformats.org/officeDocument/2006/relationships/hyperlink" Target="https://www.wsj.com/articles/SB10001424127887324009304579041322667981650" TargetMode="External"/><Relationship Id="rId27" Type="http://schemas.openxmlformats.org/officeDocument/2006/relationships/hyperlink" Target="https://doi.org/10.9734/afsj/2024/v23i8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D99D-3A7C-485A-BD89-E484761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12536</Words>
  <Characters>71458</Characters>
  <Application>Microsoft Office Word</Application>
  <DocSecurity>0</DocSecurity>
  <Lines>595</Lines>
  <Paragraphs>167</Paragraphs>
  <ScaleCrop>false</ScaleCrop>
  <Company/>
  <LinksUpToDate>false</LinksUpToDate>
  <CharactersWithSpaces>83827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82</cp:revision>
  <cp:lastPrinted>2024-09-03T16:44:00Z</cp:lastPrinted>
  <dcterms:created xsi:type="dcterms:W3CDTF">2024-12-15T17:41:00Z</dcterms:created>
  <dcterms:modified xsi:type="dcterms:W3CDTF">2024-12-30T08:51:00Z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4b90b6cd2ace4e9086bfc40d3118a28b</vt:lpwstr>
  </property>
</Properties>
</file>