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6B85" w14:textId="77777777" w:rsidR="004E2B68" w:rsidRPr="00BF0E72" w:rsidRDefault="004E2B68" w:rsidP="009B47DE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14:paraId="4C857616" w14:textId="40B2D170" w:rsidR="002E0E75" w:rsidRPr="009B47DE" w:rsidRDefault="005F23FA" w:rsidP="009B47DE">
      <w:pPr>
        <w:spacing w:line="240" w:lineRule="auto"/>
        <w:jc w:val="right"/>
        <w:rPr>
          <w:rFonts w:ascii="Times New Roman" w:hAnsi="Times New Roman" w:cs="Times New Roman"/>
          <w:b/>
          <w:iCs/>
          <w:sz w:val="32"/>
          <w:szCs w:val="32"/>
        </w:rPr>
      </w:pP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Phytochemical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study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and 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evaluation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of anti-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inflammatory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properties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of 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aqueous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extract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of </w:t>
      </w:r>
      <w:proofErr w:type="spellStart"/>
      <w:r w:rsidRPr="009B47DE">
        <w:rPr>
          <w:rFonts w:ascii="Times New Roman" w:hAnsi="Times New Roman" w:cs="Times New Roman"/>
          <w:b/>
          <w:i/>
          <w:sz w:val="32"/>
          <w:szCs w:val="32"/>
        </w:rPr>
        <w:t>Picralima</w:t>
      </w:r>
      <w:proofErr w:type="spellEnd"/>
      <w:r w:rsidRPr="009B47D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9B47DE">
        <w:rPr>
          <w:rFonts w:ascii="Times New Roman" w:hAnsi="Times New Roman" w:cs="Times New Roman"/>
          <w:b/>
          <w:i/>
          <w:sz w:val="32"/>
          <w:szCs w:val="32"/>
        </w:rPr>
        <w:t>nitida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(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Apocynaceae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) 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seeds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in </w:t>
      </w:r>
      <w:proofErr w:type="spellStart"/>
      <w:r w:rsidRPr="009B47DE">
        <w:rPr>
          <w:rFonts w:ascii="Times New Roman" w:hAnsi="Times New Roman" w:cs="Times New Roman"/>
          <w:b/>
          <w:iCs/>
          <w:sz w:val="32"/>
          <w:szCs w:val="32"/>
        </w:rPr>
        <w:t>Wistar</w:t>
      </w:r>
      <w:proofErr w:type="spellEnd"/>
      <w:r w:rsidRPr="009B47DE">
        <w:rPr>
          <w:rFonts w:ascii="Times New Roman" w:hAnsi="Times New Roman" w:cs="Times New Roman"/>
          <w:b/>
          <w:iCs/>
          <w:sz w:val="32"/>
          <w:szCs w:val="32"/>
        </w:rPr>
        <w:t xml:space="preserve"> rats</w:t>
      </w:r>
    </w:p>
    <w:p w14:paraId="4E064747" w14:textId="77777777" w:rsidR="009A155A" w:rsidRPr="00BF0E72" w:rsidRDefault="009A155A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6ADCD" w14:textId="7C9FF670" w:rsidR="00A83E72" w:rsidRPr="009B47DE" w:rsidRDefault="00A83E72" w:rsidP="009B47DE">
      <w:pPr>
        <w:tabs>
          <w:tab w:val="left" w:pos="319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0083452"/>
      <w:r w:rsidR="00F7104A" w:rsidRPr="00BF0E7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9B47DE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070C4B34" w14:textId="77777777" w:rsidR="009F76F3" w:rsidRPr="00BF0E72" w:rsidRDefault="009F76F3" w:rsidP="00BF0E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Aim : </w:t>
      </w:r>
      <w:r w:rsidRPr="00BF0E7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aim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evaluate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the anti-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effect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apocynaceae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, a plant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widely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African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medicine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for 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treatment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various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pathologies.</w:t>
      </w:r>
    </w:p>
    <w:p w14:paraId="7DADCC93" w14:textId="77777777" w:rsidR="009F76F3" w:rsidRPr="00BF0E72" w:rsidRDefault="009F76F3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Methods</w:t>
      </w:r>
      <w:r w:rsidRPr="00BF0E72">
        <w:rPr>
          <w:rFonts w:ascii="Times New Roman" w:hAnsi="Times New Roman" w:cs="Times New Roman"/>
          <w:bCs/>
          <w:sz w:val="24"/>
          <w:szCs w:val="24"/>
        </w:rPr>
        <w:t xml:space="preserve"> : 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decoction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method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toxicological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photochemical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pharmacological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tests. The acute oral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carried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out by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administering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1 ml of a single dose of 300, 2000 and 5000 mg/kg body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weight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three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batches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, in accordance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the guidelines of the Organisation for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Co-operation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1" w:name="_Hlk208960081"/>
      <w:r w:rsidRPr="00BF0E72">
        <w:rPr>
          <w:rFonts w:ascii="Times New Roman" w:hAnsi="Times New Roman" w:cs="Times New Roman"/>
          <w:sz w:val="24"/>
          <w:szCs w:val="24"/>
        </w:rPr>
        <w:t xml:space="preserve">Qualitative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screening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out in accordance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techniques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Emina et al.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Winter et al., the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rats.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injection of 1%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plantar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pad of the rats' right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hind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leg. 300 mg/kg BW. </w:t>
      </w:r>
      <w:proofErr w:type="gramStart"/>
      <w:r w:rsidRPr="00BF0E7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10 mg/kg BW. </w:t>
      </w:r>
      <w:proofErr w:type="gramStart"/>
      <w:r w:rsidRPr="00BF0E7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(INDOCID)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administered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gavage to the test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batches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control batch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water. </w:t>
      </w:r>
    </w:p>
    <w:p w14:paraId="0F8E1692" w14:textId="77777777" w:rsidR="009F76F3" w:rsidRPr="00BF0E72" w:rsidRDefault="009F76F3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presence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treated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batches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(p &lt; 0.05)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decrease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mean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compared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the control group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1st to 6th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hour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. At 4ᵉ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, inflammation inhibition rates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94.5 ± 0.33% and 78 ± 1% (p &lt; 0.001)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respectively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thus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showed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anti-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similar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those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. Oral administration of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at a single high dose of 5000 mg/kg BW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produced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no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mortality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 the 14-day observation </w:t>
      </w:r>
      <w:proofErr w:type="spellStart"/>
      <w:r w:rsidRPr="00BF0E72">
        <w:rPr>
          <w:rFonts w:ascii="Times New Roman" w:hAnsi="Times New Roman" w:cs="Times New Roman"/>
          <w:iCs/>
          <w:sz w:val="24"/>
          <w:szCs w:val="24"/>
        </w:rPr>
        <w:t>period</w:t>
      </w:r>
      <w:proofErr w:type="spellEnd"/>
      <w:r w:rsidRPr="00BF0E72">
        <w:rPr>
          <w:rFonts w:ascii="Times New Roman" w:hAnsi="Times New Roman" w:cs="Times New Roman"/>
          <w:iCs/>
          <w:sz w:val="24"/>
          <w:szCs w:val="24"/>
        </w:rPr>
        <w:t xml:space="preserve">. </w:t>
      </w:r>
      <w:bookmarkEnd w:id="1"/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deduce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lethal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dose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5000 mg/kg BW.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the oral route. Qualitative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screening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saponosides,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tannins.</w:t>
      </w:r>
    </w:p>
    <w:p w14:paraId="5904998F" w14:textId="77777777" w:rsidR="009F76F3" w:rsidRPr="00BF0E72" w:rsidRDefault="009F76F3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Conclusion : </w:t>
      </w:r>
      <w:r w:rsidRPr="00BF0E7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chemical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groups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present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responsible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for the anti-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. This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offers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an accessible and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sustainable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alternative for the management of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6BD8BFF" w14:textId="0CD8700E" w:rsidR="00764A91" w:rsidRPr="00BF0E72" w:rsidRDefault="0071284E" w:rsidP="00BF0E72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="00A963E0"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>, anti-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medicinal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plants</w:t>
      </w:r>
    </w:p>
    <w:p w14:paraId="56B99E18" w14:textId="50223D49" w:rsidR="0071284E" w:rsidRPr="00BF0E72" w:rsidRDefault="0071284E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1.INTRODUCTION </w:t>
      </w:r>
    </w:p>
    <w:p w14:paraId="02D8C09B" w14:textId="77777777" w:rsidR="0071284E" w:rsidRPr="00BF0E72" w:rsidRDefault="0071284E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B8976" w14:textId="77777777" w:rsidR="009F76F3" w:rsidRPr="00BF0E72" w:rsidRDefault="009F76F3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Accordingto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WHO, non-communicable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are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cause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43 million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75% of non-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deaths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18 million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-and middle-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countries. </w:t>
      </w:r>
      <w:bookmarkStart w:id="2" w:name="_Hlk210234579"/>
      <w:proofErr w:type="spellStart"/>
      <w:r w:rsidRPr="00BF0E72">
        <w:rPr>
          <w:rFonts w:ascii="Times New Roman" w:hAnsi="Times New Roman" w:cs="Times New Roman"/>
          <w:sz w:val="24"/>
          <w:szCs w:val="24"/>
        </w:rPr>
        <w:t>Atherosclerosis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intima,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cause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countries (Alexey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Pshezhetsky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2021).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encompass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fever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pain, are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diverse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chronicity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absence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effective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patients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countries,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combine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herbal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cure (Singh et al., 2012). </w:t>
      </w:r>
      <w:bookmarkStart w:id="3" w:name="_Hlk208961252"/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plants continue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 important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influence of the modern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system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Elqaj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2007, Diop et al. 2019,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Guelé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2021). 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in West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as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continent, over 80% of the population relies 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plants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Kambale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2016). </w:t>
      </w:r>
      <w:bookmarkEnd w:id="3"/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global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lastRenderedPageBreak/>
        <w:t>rise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patients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control over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and more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personalized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(WHO, 2023).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phytomedicines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accessible to all.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continent,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Côte d'Ivoire,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boasts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exceptional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hold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promise for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innovative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agents.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stands out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virtues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Akabassa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al.2017,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Tsobou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2023).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set out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as part of an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populations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6D0BEBE" w14:textId="77777777" w:rsidR="000436D8" w:rsidRPr="00BF0E72" w:rsidRDefault="000436D8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2. MATERIALS AND METHODS</w:t>
      </w:r>
    </w:p>
    <w:p w14:paraId="01325F16" w14:textId="77777777" w:rsidR="000436D8" w:rsidRPr="00BF0E72" w:rsidRDefault="000436D8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2.1. Materials </w:t>
      </w:r>
    </w:p>
    <w:p w14:paraId="04767D3A" w14:textId="77777777" w:rsidR="000436D8" w:rsidRPr="00BF0E72" w:rsidRDefault="000436D8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2.1.1. Plant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material</w:t>
      </w:r>
      <w:proofErr w:type="spellEnd"/>
    </w:p>
    <w:p w14:paraId="40D91CA7" w14:textId="6697A5DB" w:rsidR="000436D8" w:rsidRPr="00BF0E72" w:rsidRDefault="000436D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plant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July 2019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Abrotchi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 village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Alépé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Ivory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Coast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). The identification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Herbarium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National Center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Floristics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Félix Houphouët-Boigny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(Abidjan, Ivory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Coast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UCJ 002135.</w:t>
      </w:r>
    </w:p>
    <w:p w14:paraId="7848C033" w14:textId="77777777" w:rsidR="000436D8" w:rsidRPr="00BF0E72" w:rsidRDefault="000436D8" w:rsidP="00BF0E7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2.1.2. Animal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material</w:t>
      </w:r>
      <w:proofErr w:type="spellEnd"/>
    </w:p>
    <w:p w14:paraId="2FEF4145" w14:textId="1A025586" w:rsidR="000436D8" w:rsidRPr="00BF0E72" w:rsidRDefault="000436D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Mus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musculus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Swiss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20 and 30 g,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the acute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Rattus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norvegicus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rats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140 and 200 g,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the inflammation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came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vivarium of the Ecole Nationale Supérieure (ENS, Abidjan)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room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(28 ± 3°C)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water.</w:t>
      </w:r>
    </w:p>
    <w:p w14:paraId="77F1B195" w14:textId="77777777" w:rsidR="000436D8" w:rsidRPr="00BF0E72" w:rsidRDefault="000436D8" w:rsidP="00BF0E7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2.1.3. Chemicals and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physiological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solutions</w:t>
      </w:r>
    </w:p>
    <w:p w14:paraId="4B336C39" w14:textId="77777777" w:rsidR="00221442" w:rsidRPr="00BF0E72" w:rsidRDefault="00430CFA" w:rsidP="00BF0E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0081490"/>
      <w:r w:rsidRPr="00BF0E72">
        <w:rPr>
          <w:rFonts w:ascii="Times New Roman" w:hAnsi="Times New Roman" w:cs="Times New Roman"/>
          <w:b/>
          <w:bCs/>
          <w:sz w:val="24"/>
          <w:szCs w:val="24"/>
        </w:rPr>
        <w:t>Chemicals</w:t>
      </w:r>
      <w:r w:rsidRPr="00BF0E72">
        <w:rPr>
          <w:rFonts w:ascii="Times New Roman" w:hAnsi="Times New Roman" w:cs="Times New Roman"/>
          <w:sz w:val="24"/>
          <w:szCs w:val="24"/>
        </w:rPr>
        <w:t xml:space="preserve"> : </w:t>
      </w:r>
      <w:bookmarkEnd w:id="4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in addition to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compounds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(INDOCID : FROSST IBERICA S.A., Madrid, Spain),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nosteroidal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ainti-inflammatory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relieve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inflammation and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paws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of rats ; and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(CARRAGEENAN : WAKO Pure Chemical Industries, Ltd., Japan)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induce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42"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="00221442" w:rsidRPr="00BF0E72">
        <w:rPr>
          <w:rFonts w:ascii="Times New Roman" w:hAnsi="Times New Roman" w:cs="Times New Roman"/>
          <w:sz w:val="24"/>
          <w:szCs w:val="24"/>
        </w:rPr>
        <w:t xml:space="preserve"> in rats.</w:t>
      </w:r>
    </w:p>
    <w:p w14:paraId="4DF0934B" w14:textId="0ECBB65A" w:rsidR="000436D8" w:rsidRPr="00BF0E72" w:rsidRDefault="000436D8" w:rsidP="00BF0E7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Physiological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A93" w:rsidRPr="00BF0E72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="00B26A93" w:rsidRPr="00BF0E72">
        <w:rPr>
          <w:rFonts w:ascii="Times New Roman" w:hAnsi="Times New Roman" w:cs="Times New Roman"/>
          <w:sz w:val="24"/>
          <w:szCs w:val="24"/>
        </w:rPr>
        <w:t xml:space="preserve"> :</w:t>
      </w:r>
      <w:r w:rsidR="00430CFA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="00057805" w:rsidRPr="00BF0E72">
        <w:rPr>
          <w:rFonts w:ascii="Times New Roman" w:hAnsi="Times New Roman" w:cs="Times New Roman"/>
          <w:sz w:val="24"/>
          <w:szCs w:val="24"/>
        </w:rPr>
        <w:t>0,</w:t>
      </w:r>
      <w:r w:rsidRPr="00BF0E72">
        <w:rPr>
          <w:rFonts w:ascii="Times New Roman" w:hAnsi="Times New Roman" w:cs="Times New Roman"/>
          <w:sz w:val="24"/>
          <w:szCs w:val="24"/>
        </w:rPr>
        <w:t>9</w:t>
      </w:r>
      <w:r w:rsidR="00057805" w:rsidRPr="00BF0E72">
        <w:rPr>
          <w:rFonts w:ascii="Times New Roman" w:hAnsi="Times New Roman" w:cs="Times New Roman"/>
          <w:sz w:val="24"/>
          <w:szCs w:val="24"/>
        </w:rPr>
        <w:t xml:space="preserve"> %</w:t>
      </w:r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solution,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4.5 g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500 ml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</w:p>
    <w:p w14:paraId="06181054" w14:textId="77777777" w:rsidR="000436D8" w:rsidRPr="00BF0E72" w:rsidRDefault="000436D8" w:rsidP="00BF0E7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2.2. Methods</w:t>
      </w:r>
    </w:p>
    <w:p w14:paraId="64372B13" w14:textId="77777777" w:rsidR="000436D8" w:rsidRPr="00BF0E72" w:rsidRDefault="000436D8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2.2.1.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Preparation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</w:p>
    <w:p w14:paraId="55C9DEE0" w14:textId="4EDFB81F" w:rsidR="0027551C" w:rsidRPr="00BF0E72" w:rsidRDefault="000436D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fruit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17–22°C,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  <w:r w:rsidR="001E6EBB" w:rsidRPr="00BF0E72">
        <w:rPr>
          <w:rFonts w:ascii="Times New Roman" w:hAnsi="Times New Roman" w:cs="Times New Roman"/>
          <w:sz w:val="24"/>
          <w:szCs w:val="24"/>
        </w:rPr>
        <w:t xml:space="preserve"> 200 g of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boiled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for 15 minutes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liters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water,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filtered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successively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cotton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wool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Whatman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No. 3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at 60°C for 5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="001E6EBB" w:rsidRPr="00BF0E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water-soluble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). This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airtight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light and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moisture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BB" w:rsidRPr="00BF0E72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="001E6EBB" w:rsidRPr="00BF0E72">
        <w:rPr>
          <w:rFonts w:ascii="Times New Roman" w:hAnsi="Times New Roman" w:cs="Times New Roman"/>
          <w:sz w:val="24"/>
          <w:szCs w:val="24"/>
        </w:rPr>
        <w:t xml:space="preserve"> use.</w:t>
      </w:r>
    </w:p>
    <w:p w14:paraId="56C3230F" w14:textId="3C780C58" w:rsidR="001E6EBB" w:rsidRPr="00BF0E72" w:rsidRDefault="001E6EBB" w:rsidP="00BF0E7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2.2.2. Acute oral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</w:p>
    <w:p w14:paraId="0F5A59FE" w14:textId="78B80BCE" w:rsidR="00837372" w:rsidRPr="00BF0E72" w:rsidRDefault="001E6EB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oral administration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12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4 groups of 3,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20 g and 30 g, in accordance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OECD 423 (OECD, 2001). For the initial dose, one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four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predefined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="00837372" w:rsidRPr="00BF0E72">
        <w:rPr>
          <w:rFonts w:ascii="Times New Roman" w:hAnsi="Times New Roman" w:cs="Times New Roman"/>
          <w:sz w:val="24"/>
          <w:szCs w:val="24"/>
        </w:rPr>
        <w:t>doses :</w:t>
      </w:r>
      <w:r w:rsidRPr="00BF0E72">
        <w:rPr>
          <w:rFonts w:ascii="Times New Roman" w:hAnsi="Times New Roman" w:cs="Times New Roman"/>
          <w:sz w:val="24"/>
          <w:szCs w:val="24"/>
        </w:rPr>
        <w:t xml:space="preserve"> 5, 50, 300, and 2000 mg/kg BW.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The dose of 300 mg/kg BW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groups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300 and 2000 mg/kg </w:t>
      </w:r>
      <w:r w:rsidR="00E25BDD" w:rsidRPr="00BF0E72">
        <w:rPr>
          <w:rFonts w:ascii="Times New Roman" w:hAnsi="Times New Roman" w:cs="Times New Roman"/>
          <w:sz w:val="24"/>
          <w:szCs w:val="24"/>
        </w:rPr>
        <w:t xml:space="preserve">BW </w:t>
      </w:r>
      <w:r w:rsidRPr="00BF0E7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The control group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water.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Exceptionally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lastRenderedPageBreak/>
        <w:t>additional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predetermined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maximum dose of 5000 mg/kg BW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administered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group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high doses. </w:t>
      </w:r>
    </w:p>
    <w:p w14:paraId="37DC407F" w14:textId="24F2BD71" w:rsidR="001E6EBB" w:rsidRPr="00BF0E72" w:rsidRDefault="001E6EB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fasted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administration of the substance, but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water.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fasting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mouse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single dose of 1 ml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mg/kg body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(mg/kg BW).</w:t>
      </w:r>
    </w:p>
    <w:p w14:paraId="0E712059" w14:textId="77777777" w:rsidR="00837372" w:rsidRPr="00BF0E72" w:rsidRDefault="001E6EB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control group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 ml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administration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deprived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one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interval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BA2CA" w14:textId="3FFE00CA" w:rsidR="00B26A93" w:rsidRPr="00BF0E72" w:rsidRDefault="001E6EB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individually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the first 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14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attention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synoptic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signs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tremors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convulsions, salivation,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lethargy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and coma.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once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administration of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dose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lethal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dose (LD₅₀)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  <w:r w:rsidR="00B26A93" w:rsidRPr="00BF0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09A95" w14:textId="77777777" w:rsidR="00B26A93" w:rsidRPr="00BF0E72" w:rsidRDefault="00B26A93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650B0" w14:textId="66165323" w:rsidR="00B26A93" w:rsidRPr="00BF0E72" w:rsidRDefault="00B26A93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06E7B" w:rsidRPr="00BF0E7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EAPn</w:t>
      </w:r>
      <w:proofErr w:type="spellEnd"/>
    </w:p>
    <w:p w14:paraId="53C99B58" w14:textId="372578E4" w:rsidR="00AF781A" w:rsidRPr="00BF0E72" w:rsidRDefault="00B26A93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234534"/>
      <w:r w:rsidRPr="00BF0E72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are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  <w:r w:rsidR="001F0234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F0234" w:rsidRPr="00BF0E72">
        <w:rPr>
          <w:rFonts w:ascii="Times New Roman" w:hAnsi="Times New Roman" w:cs="Times New Roman"/>
          <w:sz w:val="24"/>
          <w:szCs w:val="24"/>
        </w:rPr>
        <w:t>he</w:t>
      </w:r>
      <w:proofErr w:type="spellEnd"/>
      <w:proofErr w:type="gram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compounds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tests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techniques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1F0234" w:rsidRPr="00BF0E7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1F0234" w:rsidRPr="00BF0E72">
        <w:rPr>
          <w:rFonts w:ascii="Times New Roman" w:hAnsi="Times New Roman" w:cs="Times New Roman"/>
          <w:sz w:val="24"/>
          <w:szCs w:val="24"/>
        </w:rPr>
        <w:t xml:space="preserve"> of Mea et al. (2017)</w:t>
      </w:r>
      <w:r w:rsidR="00BB4FE7"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r w:rsidR="00BB4FE7"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Emina et al. </w:t>
      </w:r>
      <w:r w:rsidR="00BB4FE7"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(</w:t>
      </w:r>
      <w:r w:rsidR="00BB4FE7"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2024).</w:t>
      </w:r>
    </w:p>
    <w:bookmarkEnd w:id="5"/>
    <w:p w14:paraId="6730F948" w14:textId="197FB82F" w:rsidR="001F0234" w:rsidRPr="00BF0E72" w:rsidRDefault="001F0234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Sterols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polyterpenes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Liberman-Burchard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Polyphenols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ferric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cyanidin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Tannins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Stiasny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0E72">
        <w:rPr>
          <w:rFonts w:ascii="Times New Roman" w:hAnsi="Times New Roman" w:cs="Times New Roman"/>
          <w:sz w:val="24"/>
          <w:szCs w:val="24"/>
        </w:rPr>
        <w:t>reagents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Dragendorff's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(potassium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iodobismuthate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Bouchardat's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iodo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-iodide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Saponins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test.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Borntraeger's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quinone substances.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Cardiotonic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glycosides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Baljet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test.</w:t>
      </w:r>
    </w:p>
    <w:p w14:paraId="7ABDD510" w14:textId="6FEBFFD0" w:rsidR="00806E7B" w:rsidRPr="00BF0E72" w:rsidRDefault="00806E7B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2.2.4. Anti-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activity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</w:p>
    <w:p w14:paraId="70E6F32A" w14:textId="4A29FF92" w:rsidR="002E4F45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Winter et al. (1962). Injection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plantar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pad of the right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hind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rats causes an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substances.</w:t>
      </w:r>
    </w:p>
    <w:p w14:paraId="79AE7DF7" w14:textId="56C424E7" w:rsidR="00806E7B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rats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="00E25BDD" w:rsidRPr="00BF0E72">
        <w:rPr>
          <w:rFonts w:ascii="Times New Roman" w:hAnsi="Times New Roman" w:cs="Times New Roman"/>
          <w:sz w:val="24"/>
          <w:szCs w:val="24"/>
        </w:rPr>
        <w:t>3</w:t>
      </w:r>
      <w:r w:rsidRPr="00BF0E72">
        <w:rPr>
          <w:rFonts w:ascii="Times New Roman" w:hAnsi="Times New Roman" w:cs="Times New Roman"/>
          <w:sz w:val="24"/>
          <w:szCs w:val="24"/>
        </w:rPr>
        <w:t xml:space="preserve"> groups of 8.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fasted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16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rat,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circumference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right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hind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</w:p>
    <w:p w14:paraId="2B882BFC" w14:textId="424485BB" w:rsidR="00806E7B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water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administered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rats by gavage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orally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at a dose of 1 ml per 100 g of body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Oral administration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rigid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olive-tip probe.</w:t>
      </w:r>
    </w:p>
    <w:p w14:paraId="48CD2F07" w14:textId="63F4CDC1" w:rsidR="00806E7B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•    Group 1 (control) : Animals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water. </w:t>
      </w:r>
    </w:p>
    <w:p w14:paraId="0291F4AA" w14:textId="78E59891" w:rsidR="00806E7B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•    Group 2 :  Animals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300 mg/kg body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34665" w14:textId="7896F1E8" w:rsidR="00806E7B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•    Group 3 : Animals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10 mg/kg body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(INDOCID).</w:t>
      </w:r>
    </w:p>
    <w:p w14:paraId="74C7C45C" w14:textId="77DE94C8" w:rsidR="00A55A4E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="005E188D" w:rsidRPr="00BF0E72">
        <w:rPr>
          <w:rFonts w:ascii="Times New Roman" w:hAnsi="Times New Roman" w:cs="Times New Roman"/>
          <w:sz w:val="24"/>
          <w:szCs w:val="24"/>
        </w:rPr>
        <w:t>0,</w:t>
      </w:r>
      <w:r w:rsidRPr="00BF0E72">
        <w:rPr>
          <w:rFonts w:ascii="Times New Roman" w:hAnsi="Times New Roman" w:cs="Times New Roman"/>
          <w:sz w:val="24"/>
          <w:szCs w:val="24"/>
        </w:rPr>
        <w:t>9</w:t>
      </w:r>
      <w:r w:rsidR="005E188D" w:rsidRPr="00BF0E72">
        <w:rPr>
          <w:rFonts w:ascii="Times New Roman" w:hAnsi="Times New Roman" w:cs="Times New Roman"/>
          <w:sz w:val="24"/>
          <w:szCs w:val="24"/>
        </w:rPr>
        <w:t xml:space="preserve"> %</w:t>
      </w:r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gavage,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rat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injected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0.05 ml of the 1</w:t>
      </w:r>
      <w:r w:rsidR="005E188D"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solution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pad of the right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hind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The progression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1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and 6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injection.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transmetatarsal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ankle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circumference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metatarsal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(lacet)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STAINLESS HARDENED (France)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caliper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The percentage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inhibition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formula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</w:t>
      </w:r>
      <w:r w:rsidR="0027551C" w:rsidRPr="00BF0E72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6A0C2" wp14:editId="4BD3C33B">
                <wp:simplePos x="0" y="0"/>
                <wp:positionH relativeFrom="column">
                  <wp:posOffset>1404860</wp:posOffset>
                </wp:positionH>
                <wp:positionV relativeFrom="paragraph">
                  <wp:posOffset>248920</wp:posOffset>
                </wp:positionV>
                <wp:extent cx="3277235" cy="826135"/>
                <wp:effectExtent l="0" t="0" r="0" b="0"/>
                <wp:wrapNone/>
                <wp:docPr id="12466568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0924E" w14:textId="09BD95D2" w:rsidR="0027551C" w:rsidRDefault="0027551C" w:rsidP="00275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A0C2" id="Rectangle 7" o:spid="_x0000_s1026" style="position:absolute;left:0;text-align:left;margin-left:110.6pt;margin-top:19.6pt;width:258.05pt;height: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" filled="f" stroked="f" strokeweight="1pt">
                <v:textbox>
                  <w:txbxContent>
                    <w:p w14:paraId="1D80924E" w14:textId="09BD95D2" w:rsidR="0027551C" w:rsidRDefault="0027551C" w:rsidP="00275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Nongoniermar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="00121D67" w:rsidRPr="00BF0E72">
        <w:rPr>
          <w:rFonts w:ascii="Times New Roman" w:hAnsi="Times New Roman" w:cs="Times New Roman"/>
          <w:sz w:val="24"/>
          <w:szCs w:val="24"/>
        </w:rPr>
        <w:t>et al. (</w:t>
      </w:r>
      <w:r w:rsidRPr="00BF0E72">
        <w:rPr>
          <w:rFonts w:ascii="Times New Roman" w:hAnsi="Times New Roman" w:cs="Times New Roman"/>
          <w:sz w:val="24"/>
          <w:szCs w:val="24"/>
        </w:rPr>
        <w:t>2006</w:t>
      </w:r>
      <w:proofErr w:type="gramStart"/>
      <w:r w:rsidRPr="00BF0E72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14:paraId="46D0C1C7" w14:textId="6F8D0C7F" w:rsidR="00121D67" w:rsidRPr="00BF0E72" w:rsidRDefault="00BA5B3E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2566BD" wp14:editId="2208753A">
                <wp:simplePos x="0" y="0"/>
                <wp:positionH relativeFrom="column">
                  <wp:posOffset>2124710</wp:posOffset>
                </wp:positionH>
                <wp:positionV relativeFrom="paragraph">
                  <wp:posOffset>40640</wp:posOffset>
                </wp:positionV>
                <wp:extent cx="2814320" cy="635635"/>
                <wp:effectExtent l="0" t="0" r="0" b="0"/>
                <wp:wrapSquare wrapText="bothSides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320" cy="635635"/>
                          <a:chOff x="0" y="0"/>
                          <a:chExt cx="2814762" cy="636104"/>
                        </a:xfrm>
                      </wpg:grpSpPr>
                      <wps:wsp>
                        <wps:cNvPr id="1449131168" name="Connecteur droit 10"/>
                        <wps:cNvCnPr/>
                        <wps:spPr>
                          <a:xfrm flipV="1">
                            <a:off x="1669774" y="310101"/>
                            <a:ext cx="558800" cy="889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116487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762" cy="63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111085" id="Groupe 1" o:spid="_x0000_s1026" style="position:absolute;margin-left:167.3pt;margin-top:3.2pt;width:221.6pt;height:50.05pt;z-index:251662336" coordsize="28147,63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">
                <v:line id="Connecteur droit 10" o:spid="_x0000_s1027" style="position:absolute;flip:y;visibility:visible;mso-wrap-style:square" from="16697,3101" to="22285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" strokecolor="black [3213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28147;height:6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">
                  <v:imagedata r:id="rId8" o:title=""/>
                </v:shape>
                <w10:wrap type="square"/>
              </v:group>
            </w:pict>
          </mc:Fallback>
        </mc:AlternateContent>
      </w:r>
    </w:p>
    <w:p w14:paraId="2E8CD325" w14:textId="0763D09D" w:rsidR="00121D67" w:rsidRPr="00BF0E72" w:rsidRDefault="00121D67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BB0E5" w14:textId="267272F3" w:rsidR="002E4F45" w:rsidRPr="00BF0E72" w:rsidRDefault="002E4F45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D2C7F" w14:textId="77777777" w:rsidR="0027551C" w:rsidRPr="00BF0E72" w:rsidRDefault="0027551C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88454" w14:textId="77777777" w:rsidR="00BA5B3E" w:rsidRPr="00BF0E72" w:rsidRDefault="00BA5B3E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106B8" w14:textId="08D0CE9E" w:rsidR="00F22C69" w:rsidRPr="00BF0E72" w:rsidRDefault="00F22C69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lastRenderedPageBreak/>
        <w:t xml:space="preserve">C= Percentage (%)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circumference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edematous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leg of the control group (batch 1 at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time). </w:t>
      </w:r>
    </w:p>
    <w:p w14:paraId="77BB7B23" w14:textId="77777777" w:rsidR="00F22C69" w:rsidRPr="00BF0E72" w:rsidRDefault="00F22C69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>C</w:t>
      </w:r>
      <w:r w:rsidRPr="00BF0E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F0E72">
        <w:rPr>
          <w:rFonts w:ascii="Times New Roman" w:hAnsi="Times New Roman" w:cs="Times New Roman"/>
          <w:sz w:val="24"/>
          <w:szCs w:val="24"/>
        </w:rPr>
        <w:t xml:space="preserve">= Percentage (%)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circumference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edematous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leg of the test group at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time.</w:t>
      </w:r>
    </w:p>
    <w:p w14:paraId="5D10F4E1" w14:textId="0A379BB6" w:rsidR="00DE4383" w:rsidRPr="00BF0E72" w:rsidRDefault="00DE4383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2.2.5.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Statistical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</w:p>
    <w:p w14:paraId="5ADD6D72" w14:textId="79D84524" w:rsidR="00DE4383" w:rsidRPr="00BF0E72" w:rsidRDefault="00DE4383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analyses of the values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GraphPad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Prism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version 7 software (San Diego, California, USA).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variance (ANOVA),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Tukey-Kramer's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test,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P &lt; 0.05. All values are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± SEM (standard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).</w:t>
      </w:r>
    </w:p>
    <w:p w14:paraId="56598110" w14:textId="77777777" w:rsidR="00DE4383" w:rsidRPr="00BF0E72" w:rsidRDefault="00DE4383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3. RESULTS AND DISCUSSION</w:t>
      </w:r>
    </w:p>
    <w:p w14:paraId="42B922DF" w14:textId="77777777" w:rsidR="00DE4383" w:rsidRPr="00BF0E72" w:rsidRDefault="00DE4383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bookmarkStart w:id="6" w:name="_Hlk209186743"/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</w:p>
    <w:bookmarkEnd w:id="6"/>
    <w:p w14:paraId="6FD9A4D0" w14:textId="537B999B" w:rsidR="00DE4383" w:rsidRPr="00BF0E72" w:rsidRDefault="00DE4383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3.1.1. Acute oral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</w:p>
    <w:p w14:paraId="522F8B24" w14:textId="518C8450" w:rsidR="00546C53" w:rsidRPr="00BF0E72" w:rsidRDefault="008246AE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administration of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at a dose of 2000 mg/kg BW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via gavage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administration of the 5000 mg/kg </w:t>
      </w:r>
      <w:r w:rsidR="00E25BDD" w:rsidRPr="00BF0E72">
        <w:rPr>
          <w:rFonts w:ascii="Times New Roman" w:hAnsi="Times New Roman" w:cs="Times New Roman"/>
          <w:sz w:val="24"/>
          <w:szCs w:val="24"/>
        </w:rPr>
        <w:t xml:space="preserve">BW </w:t>
      </w:r>
      <w:r w:rsidRPr="00BF0E72">
        <w:rPr>
          <w:rFonts w:ascii="Times New Roman" w:hAnsi="Times New Roman" w:cs="Times New Roman"/>
          <w:sz w:val="24"/>
          <w:szCs w:val="24"/>
        </w:rPr>
        <w:t xml:space="preserve">dose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huddle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BF0E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0E72">
        <w:rPr>
          <w:rFonts w:ascii="Times New Roman" w:hAnsi="Times New Roman" w:cs="Times New Roman"/>
          <w:sz w:val="24"/>
          <w:szCs w:val="24"/>
        </w:rPr>
        <w:t xml:space="preserve"> corner of the cage for 30 minutes,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returned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normal. No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the 2000 mg/kg BW dose or the 5000 mg/kg BW dose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14-day observation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(Table 1).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lethal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dose (LD</w:t>
      </w:r>
      <w:r w:rsidRPr="00BF0E72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BF0E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5000 mg/kg BW.</w:t>
      </w:r>
    </w:p>
    <w:p w14:paraId="41385863" w14:textId="77777777" w:rsidR="000F7663" w:rsidRPr="00FB13F5" w:rsidRDefault="000F7663" w:rsidP="00BF0E72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1F4B5CF" w14:textId="68E92C7D" w:rsidR="008246AE" w:rsidRPr="00BF0E72" w:rsidRDefault="008246AE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Table1 : Percentage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mortality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to the dose of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Picralima</w:t>
      </w:r>
      <w:proofErr w:type="spellEnd"/>
    </w:p>
    <w:p w14:paraId="0135F5F2" w14:textId="545C9BED" w:rsidR="008246AE" w:rsidRPr="00BF0E72" w:rsidRDefault="008246AE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nitida</w:t>
      </w:r>
      <w:proofErr w:type="spellEnd"/>
      <w:proofErr w:type="gram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</w:p>
    <w:p w14:paraId="602B2990" w14:textId="77777777" w:rsidR="00546C53" w:rsidRPr="00BF0E72" w:rsidRDefault="00546C53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2F177" w14:textId="77777777" w:rsidR="00645B65" w:rsidRPr="00BF0E72" w:rsidRDefault="00645B65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3794"/>
        <w:gridCol w:w="2130"/>
        <w:gridCol w:w="2824"/>
      </w:tblGrid>
      <w:tr w:rsidR="00BF0E72" w:rsidRPr="00BF0E72" w14:paraId="67804FCA" w14:textId="77777777" w:rsidTr="001C23F3">
        <w:trPr>
          <w:trHeight w:val="686"/>
          <w:jc w:val="center"/>
        </w:trPr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14:paraId="633406B6" w14:textId="6B6E548C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Batches</w:t>
            </w:r>
            <w:proofErr w:type="spellEnd"/>
          </w:p>
          <w:p w14:paraId="20001D04" w14:textId="1EA9627D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8" w:space="0" w:color="auto"/>
              <w:bottom w:val="single" w:sz="8" w:space="0" w:color="auto"/>
            </w:tcBorders>
          </w:tcPr>
          <w:p w14:paraId="412F2576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Dose of </w:t>
            </w: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EAPn</w:t>
            </w:r>
            <w:proofErr w:type="spellEnd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administered</w:t>
            </w:r>
            <w:proofErr w:type="spellEnd"/>
          </w:p>
          <w:p w14:paraId="3F65F181" w14:textId="6E733756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</w:t>
            </w:r>
            <w:proofErr w:type="gramEnd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/kg BW)</w:t>
            </w: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</w:tcPr>
          <w:p w14:paraId="79862FEE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mice</w:t>
            </w:r>
            <w:proofErr w:type="spellEnd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tested</w:t>
            </w:r>
            <w:proofErr w:type="spellEnd"/>
          </w:p>
          <w:p w14:paraId="44EEAD8A" w14:textId="5903955F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8" w:space="0" w:color="auto"/>
              <w:bottom w:val="single" w:sz="8" w:space="0" w:color="auto"/>
            </w:tcBorders>
          </w:tcPr>
          <w:p w14:paraId="69654579" w14:textId="7397D39A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Percentage of </w:t>
            </w: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deaths</w:t>
            </w:r>
            <w:proofErr w:type="spellEnd"/>
          </w:p>
          <w:p w14:paraId="6D272C57" w14:textId="229DBA40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  <w:p w14:paraId="5B29A3DE" w14:textId="3BC0AACD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0E72" w:rsidRPr="00BF0E72" w14:paraId="478D08EA" w14:textId="77777777" w:rsidTr="001C23F3">
        <w:trPr>
          <w:trHeight w:val="345"/>
          <w:jc w:val="center"/>
        </w:trPr>
        <w:tc>
          <w:tcPr>
            <w:tcW w:w="1220" w:type="dxa"/>
            <w:tcBorders>
              <w:top w:val="single" w:sz="8" w:space="0" w:color="auto"/>
            </w:tcBorders>
          </w:tcPr>
          <w:p w14:paraId="4081F7E9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4" w:type="dxa"/>
            <w:tcBorders>
              <w:top w:val="single" w:sz="8" w:space="0" w:color="auto"/>
            </w:tcBorders>
          </w:tcPr>
          <w:p w14:paraId="55108554" w14:textId="3950AC9F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Control (</w:t>
            </w:r>
            <w:proofErr w:type="spellStart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distilled</w:t>
            </w:r>
            <w:proofErr w:type="spellEnd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water)</w:t>
            </w:r>
          </w:p>
        </w:tc>
        <w:tc>
          <w:tcPr>
            <w:tcW w:w="2130" w:type="dxa"/>
            <w:tcBorders>
              <w:top w:val="single" w:sz="8" w:space="0" w:color="auto"/>
            </w:tcBorders>
          </w:tcPr>
          <w:p w14:paraId="75D7BFA1" w14:textId="7BD0168A" w:rsidR="00645B65" w:rsidRPr="00BF0E72" w:rsidRDefault="00577CF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  <w:tcBorders>
              <w:top w:val="single" w:sz="8" w:space="0" w:color="auto"/>
            </w:tcBorders>
          </w:tcPr>
          <w:p w14:paraId="70DF74B4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E72" w:rsidRPr="00BF0E72" w14:paraId="6A6CAFEA" w14:textId="77777777" w:rsidTr="00577CF1">
        <w:trPr>
          <w:trHeight w:val="328"/>
          <w:jc w:val="center"/>
        </w:trPr>
        <w:tc>
          <w:tcPr>
            <w:tcW w:w="1220" w:type="dxa"/>
          </w:tcPr>
          <w:p w14:paraId="089BC5AA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4" w:type="dxa"/>
          </w:tcPr>
          <w:p w14:paraId="5AFAB744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30" w:type="dxa"/>
          </w:tcPr>
          <w:p w14:paraId="5F55817F" w14:textId="60CD8948" w:rsidR="00645B65" w:rsidRPr="00BF0E72" w:rsidRDefault="00577CF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14:paraId="6E55BE26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0E72" w:rsidRPr="00BF0E72" w14:paraId="49FF4433" w14:textId="77777777" w:rsidTr="00577CF1">
        <w:trPr>
          <w:trHeight w:val="328"/>
          <w:jc w:val="center"/>
        </w:trPr>
        <w:tc>
          <w:tcPr>
            <w:tcW w:w="1220" w:type="dxa"/>
          </w:tcPr>
          <w:p w14:paraId="66A58470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4" w:type="dxa"/>
          </w:tcPr>
          <w:p w14:paraId="76D6B41F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30" w:type="dxa"/>
          </w:tcPr>
          <w:p w14:paraId="25C8F7A2" w14:textId="28DDE782" w:rsidR="00645B65" w:rsidRPr="00BF0E72" w:rsidRDefault="00577CF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14:paraId="29D0CAC2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5B65" w:rsidRPr="00BF0E72" w14:paraId="7A5BA99F" w14:textId="77777777" w:rsidTr="001C23F3">
        <w:trPr>
          <w:trHeight w:val="328"/>
          <w:jc w:val="center"/>
        </w:trPr>
        <w:tc>
          <w:tcPr>
            <w:tcW w:w="1220" w:type="dxa"/>
            <w:tcBorders>
              <w:bottom w:val="single" w:sz="8" w:space="0" w:color="auto"/>
            </w:tcBorders>
          </w:tcPr>
          <w:p w14:paraId="60E83C8E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4" w:type="dxa"/>
            <w:tcBorders>
              <w:bottom w:val="single" w:sz="8" w:space="0" w:color="auto"/>
            </w:tcBorders>
          </w:tcPr>
          <w:p w14:paraId="4868003B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130" w:type="dxa"/>
            <w:tcBorders>
              <w:bottom w:val="single" w:sz="8" w:space="0" w:color="auto"/>
            </w:tcBorders>
          </w:tcPr>
          <w:p w14:paraId="58DDBFCF" w14:textId="60AEA4E0" w:rsidR="00645B65" w:rsidRPr="00BF0E72" w:rsidRDefault="00577CF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  <w:tcBorders>
              <w:bottom w:val="single" w:sz="8" w:space="0" w:color="auto"/>
            </w:tcBorders>
          </w:tcPr>
          <w:p w14:paraId="4E144303" w14:textId="26F81D43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FC9CD4" w14:textId="77777777" w:rsidR="009A155A" w:rsidRPr="00BF0E72" w:rsidRDefault="009A155A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14FEC" w14:textId="37440339" w:rsidR="00645B65" w:rsidRPr="00BF0E72" w:rsidRDefault="00645B65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4BAC64" w14:textId="67789797" w:rsidR="00645B65" w:rsidRPr="00BF0E72" w:rsidRDefault="00645B65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qualitative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Table 2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shows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sterols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polyterpenes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polyphenols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catechin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tannins,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and saponosides.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gallic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tannins or quinone compounds.</w:t>
      </w:r>
    </w:p>
    <w:p w14:paraId="418175FC" w14:textId="77777777" w:rsidR="006A13EA" w:rsidRPr="00BF0E72" w:rsidRDefault="006A13EA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ACBD3" w14:textId="77777777" w:rsidR="006A13EA" w:rsidRPr="00BF0E72" w:rsidRDefault="006A13EA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88E60" w14:textId="77777777" w:rsidR="006A13EA" w:rsidRPr="00BF0E72" w:rsidRDefault="006A13EA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27359" w14:textId="77777777" w:rsidR="006A13EA" w:rsidRPr="00BF0E72" w:rsidRDefault="006A13EA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CBCFE" w14:textId="77777777" w:rsidR="006A13EA" w:rsidRPr="00BF0E72" w:rsidRDefault="006A13EA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9A5E" w14:textId="0BA5F352" w:rsidR="00645B65" w:rsidRPr="00BF0E72" w:rsidRDefault="00645B65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2</w:t>
      </w:r>
      <w:r w:rsidR="00577CF1"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: Chemical composition of the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E4E980" w14:textId="77777777" w:rsidR="00546C53" w:rsidRPr="00BF0E72" w:rsidRDefault="00546C53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2323"/>
      </w:tblGrid>
      <w:tr w:rsidR="00BF0E72" w:rsidRPr="00BF0E72" w14:paraId="52E68210" w14:textId="77777777" w:rsidTr="006E0468">
        <w:trPr>
          <w:trHeight w:val="490"/>
          <w:jc w:val="center"/>
        </w:trPr>
        <w:tc>
          <w:tcPr>
            <w:tcW w:w="4953" w:type="dxa"/>
            <w:tcBorders>
              <w:top w:val="single" w:sz="8" w:space="0" w:color="auto"/>
              <w:bottom w:val="single" w:sz="8" w:space="0" w:color="auto"/>
            </w:tcBorders>
          </w:tcPr>
          <w:p w14:paraId="4A2C30EC" w14:textId="774D5BDB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Compounds </w:t>
            </w: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sought</w:t>
            </w:r>
            <w:proofErr w:type="spellEnd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3" w:type="dxa"/>
            <w:tcBorders>
              <w:top w:val="single" w:sz="8" w:space="0" w:color="auto"/>
              <w:bottom w:val="single" w:sz="8" w:space="0" w:color="auto"/>
            </w:tcBorders>
          </w:tcPr>
          <w:p w14:paraId="1C5DBB48" w14:textId="30FEADF3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  <w:proofErr w:type="spellEnd"/>
          </w:p>
        </w:tc>
      </w:tr>
      <w:tr w:rsidR="00BF0E72" w:rsidRPr="00BF0E72" w14:paraId="4A5384D4" w14:textId="77777777" w:rsidTr="006E0468">
        <w:trPr>
          <w:trHeight w:val="328"/>
          <w:jc w:val="center"/>
        </w:trPr>
        <w:tc>
          <w:tcPr>
            <w:tcW w:w="4953" w:type="dxa"/>
            <w:tcBorders>
              <w:top w:val="single" w:sz="8" w:space="0" w:color="auto"/>
            </w:tcBorders>
          </w:tcPr>
          <w:p w14:paraId="70186F89" w14:textId="6A8323B8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Sterols</w:t>
            </w:r>
            <w:proofErr w:type="spellEnd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polyterpenes</w:t>
            </w:r>
            <w:proofErr w:type="spellEnd"/>
          </w:p>
        </w:tc>
        <w:tc>
          <w:tcPr>
            <w:tcW w:w="2323" w:type="dxa"/>
            <w:tcBorders>
              <w:top w:val="single" w:sz="8" w:space="0" w:color="auto"/>
            </w:tcBorders>
          </w:tcPr>
          <w:p w14:paraId="747BBECC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F0E72" w:rsidRPr="00BF0E72" w14:paraId="7782AA55" w14:textId="77777777" w:rsidTr="006E0468">
        <w:trPr>
          <w:trHeight w:val="373"/>
          <w:jc w:val="center"/>
        </w:trPr>
        <w:tc>
          <w:tcPr>
            <w:tcW w:w="4953" w:type="dxa"/>
          </w:tcPr>
          <w:p w14:paraId="011BA870" w14:textId="3527F1BD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Polyphénols</w:t>
            </w:r>
          </w:p>
        </w:tc>
        <w:tc>
          <w:tcPr>
            <w:tcW w:w="2323" w:type="dxa"/>
          </w:tcPr>
          <w:p w14:paraId="1D1987FD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F0E72" w:rsidRPr="00BF0E72" w14:paraId="21DAF109" w14:textId="77777777" w:rsidTr="006E0468">
        <w:trPr>
          <w:trHeight w:val="342"/>
          <w:jc w:val="center"/>
        </w:trPr>
        <w:tc>
          <w:tcPr>
            <w:tcW w:w="4953" w:type="dxa"/>
          </w:tcPr>
          <w:p w14:paraId="6ACD77C6" w14:textId="5A04494A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Flavonoids</w:t>
            </w:r>
            <w:proofErr w:type="spellEnd"/>
          </w:p>
        </w:tc>
        <w:tc>
          <w:tcPr>
            <w:tcW w:w="2323" w:type="dxa"/>
          </w:tcPr>
          <w:p w14:paraId="6778D6F2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F0E72" w:rsidRPr="00BF0E72" w14:paraId="4FDE47F4" w14:textId="77777777" w:rsidTr="006E0468">
        <w:trPr>
          <w:trHeight w:val="347"/>
          <w:jc w:val="center"/>
        </w:trPr>
        <w:tc>
          <w:tcPr>
            <w:tcW w:w="4953" w:type="dxa"/>
          </w:tcPr>
          <w:p w14:paraId="675DA80E" w14:textId="70C3436D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Saponosides</w:t>
            </w:r>
          </w:p>
        </w:tc>
        <w:tc>
          <w:tcPr>
            <w:tcW w:w="2323" w:type="dxa"/>
          </w:tcPr>
          <w:p w14:paraId="0F050D5C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F0E72" w:rsidRPr="00BF0E72" w14:paraId="4F0979F5" w14:textId="77777777" w:rsidTr="006E0468">
        <w:trPr>
          <w:trHeight w:val="353"/>
          <w:jc w:val="center"/>
        </w:trPr>
        <w:tc>
          <w:tcPr>
            <w:tcW w:w="4953" w:type="dxa"/>
          </w:tcPr>
          <w:p w14:paraId="1D7B4B10" w14:textId="4D7FB4DA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Quinone compounds</w:t>
            </w:r>
          </w:p>
        </w:tc>
        <w:tc>
          <w:tcPr>
            <w:tcW w:w="2323" w:type="dxa"/>
          </w:tcPr>
          <w:p w14:paraId="1DFB5C1D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̶</w:t>
            </w:r>
          </w:p>
        </w:tc>
      </w:tr>
      <w:tr w:rsidR="00BF0E72" w:rsidRPr="00BF0E72" w14:paraId="2B5810EF" w14:textId="77777777" w:rsidTr="006E0468">
        <w:trPr>
          <w:trHeight w:val="369"/>
          <w:jc w:val="center"/>
        </w:trPr>
        <w:tc>
          <w:tcPr>
            <w:tcW w:w="4953" w:type="dxa"/>
          </w:tcPr>
          <w:p w14:paraId="39989966" w14:textId="2EE69373" w:rsidR="00645B65" w:rsidRPr="00BF0E72" w:rsidRDefault="008D1E01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Alkaloids</w:t>
            </w:r>
            <w:proofErr w:type="spellEnd"/>
          </w:p>
        </w:tc>
        <w:tc>
          <w:tcPr>
            <w:tcW w:w="2323" w:type="dxa"/>
          </w:tcPr>
          <w:p w14:paraId="2E41BF63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BF0E72" w:rsidRPr="00BF0E72" w14:paraId="266F673B" w14:textId="77777777" w:rsidTr="006E0468">
        <w:trPr>
          <w:trHeight w:val="770"/>
          <w:jc w:val="center"/>
        </w:trPr>
        <w:tc>
          <w:tcPr>
            <w:tcW w:w="4953" w:type="dxa"/>
            <w:tcBorders>
              <w:bottom w:val="single" w:sz="8" w:space="0" w:color="auto"/>
            </w:tcBorders>
          </w:tcPr>
          <w:p w14:paraId="6C8E5DBD" w14:textId="1FC734E2" w:rsidR="00645B65" w:rsidRPr="00BF0E72" w:rsidRDefault="006A13EA" w:rsidP="00BF0E72">
            <w:pPr>
              <w:tabs>
                <w:tab w:val="right" w:pos="37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8D1E01" w:rsidRPr="00BF0E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8D1E01" w:rsidRPr="00BF0E7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tannins</w:t>
            </w:r>
          </w:p>
          <w:p w14:paraId="7000A408" w14:textId="77777777" w:rsidR="006A13EA" w:rsidRPr="00BF0E72" w:rsidRDefault="006A13EA" w:rsidP="00BF0E72">
            <w:pPr>
              <w:tabs>
                <w:tab w:val="right" w:pos="37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CB48E" w14:textId="7E125149" w:rsidR="00645B65" w:rsidRPr="00BF0E72" w:rsidRDefault="006A13EA" w:rsidP="00BF0E72">
            <w:pPr>
              <w:tabs>
                <w:tab w:val="right" w:pos="37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45B65" w:rsidRPr="00BF0E72">
              <w:rPr>
                <w:rFonts w:ascii="Times New Roman" w:hAnsi="Times New Roman" w:cs="Times New Roman"/>
                <w:sz w:val="24"/>
                <w:szCs w:val="24"/>
              </w:rPr>
              <w:t>alli</w:t>
            </w:r>
            <w:r w:rsidR="008D1E01" w:rsidRPr="00BF0E7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BF0E72">
              <w:rPr>
                <w:rFonts w:ascii="Times New Roman" w:hAnsi="Times New Roman" w:cs="Times New Roman"/>
                <w:sz w:val="24"/>
                <w:szCs w:val="24"/>
              </w:rPr>
              <w:t xml:space="preserve"> tannins</w:t>
            </w:r>
          </w:p>
        </w:tc>
        <w:tc>
          <w:tcPr>
            <w:tcW w:w="2323" w:type="dxa"/>
            <w:tcBorders>
              <w:bottom w:val="single" w:sz="8" w:space="0" w:color="auto"/>
            </w:tcBorders>
          </w:tcPr>
          <w:p w14:paraId="5DD782A7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14:paraId="2FBC1D0E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37A80" w14:textId="77777777" w:rsidR="00645B65" w:rsidRPr="00BF0E72" w:rsidRDefault="00645B65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̶</w:t>
            </w:r>
          </w:p>
        </w:tc>
      </w:tr>
    </w:tbl>
    <w:p w14:paraId="7D57F42E" w14:textId="4F166DE9" w:rsidR="00A963E0" w:rsidRPr="00BF0E72" w:rsidRDefault="00097934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27A0F4" wp14:editId="415CB050">
                <wp:simplePos x="0" y="0"/>
                <wp:positionH relativeFrom="column">
                  <wp:posOffset>1178560</wp:posOffset>
                </wp:positionH>
                <wp:positionV relativeFrom="paragraph">
                  <wp:posOffset>121817</wp:posOffset>
                </wp:positionV>
                <wp:extent cx="3691890" cy="278765"/>
                <wp:effectExtent l="0" t="0" r="0" b="0"/>
                <wp:wrapNone/>
                <wp:docPr id="16827832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89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F7B48" w14:textId="77777777" w:rsidR="00E0071A" w:rsidRPr="00E0071A" w:rsidRDefault="00E0071A" w:rsidP="00E0071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(+) </w:t>
                            </w:r>
                            <w:proofErr w:type="spellStart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</w:t>
                            </w:r>
                            <w:proofErr w:type="spellEnd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means</w:t>
                            </w:r>
                            <w:proofErr w:type="spellEnd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presence</w:t>
                            </w:r>
                            <w:proofErr w:type="spellEnd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The (-) </w:t>
                            </w:r>
                            <w:proofErr w:type="spellStart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</w:t>
                            </w:r>
                            <w:proofErr w:type="spellEnd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means</w:t>
                            </w:r>
                            <w:proofErr w:type="spellEnd"/>
                            <w:r w:rsidRPr="000D6E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absence</w:t>
                            </w:r>
                          </w:p>
                          <w:p w14:paraId="63509022" w14:textId="77777777" w:rsidR="00E0071A" w:rsidRDefault="00E0071A" w:rsidP="00E007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7A0F4" id="Rectangle 3" o:spid="_x0000_s1027" style="position:absolute;left:0;text-align:left;margin-left:92.8pt;margin-top:9.6pt;width:290.7pt;height:21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" filled="f" stroked="f" strokeweight="1pt">
                <v:textbox>
                  <w:txbxContent>
                    <w:p w14:paraId="4E1F7B48" w14:textId="77777777" w:rsidR="00E0071A" w:rsidRPr="00E0071A" w:rsidRDefault="00E0071A" w:rsidP="00E0071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(+) </w:t>
                      </w:r>
                      <w:proofErr w:type="spellStart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</w:t>
                      </w:r>
                      <w:proofErr w:type="spellEnd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means</w:t>
                      </w:r>
                      <w:proofErr w:type="spellEnd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presence</w:t>
                      </w:r>
                      <w:proofErr w:type="spellEnd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The (-) </w:t>
                      </w:r>
                      <w:proofErr w:type="spellStart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</w:t>
                      </w:r>
                      <w:proofErr w:type="spellEnd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means</w:t>
                      </w:r>
                      <w:proofErr w:type="spellEnd"/>
                      <w:r w:rsidRPr="000D6E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absence</w:t>
                      </w:r>
                    </w:p>
                    <w:p w14:paraId="63509022" w14:textId="77777777" w:rsidR="00E0071A" w:rsidRDefault="00E0071A" w:rsidP="00E007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6F0D9E" w14:textId="62C5889A" w:rsidR="00A963E0" w:rsidRPr="00BF0E72" w:rsidRDefault="00A963E0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C88BE" w14:textId="0259BC59" w:rsidR="00184E30" w:rsidRPr="00BF0E72" w:rsidRDefault="00D76432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3.1.3.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36B" w:rsidRPr="00BF0E72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  <w:r w:rsidR="0095536B"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on inflammation</w:t>
      </w:r>
    </w:p>
    <w:p w14:paraId="5A3E2C7D" w14:textId="77777777" w:rsidR="00910B31" w:rsidRPr="00BF0E72" w:rsidRDefault="0095536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Table 3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progression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an injection of 1</w:t>
      </w:r>
      <w:r w:rsidR="00645B65"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right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plantar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pad of rats. In the control group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water,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circumference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13.13 ± 0.522 mm to 16.86 ± 0.86 mm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reaching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maximum of 27.58 ± 1.56 mm at 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decreased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24.09 ± 0.58 mm at the 6th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in rats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orally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10 mg/kg BW 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300 mg/kg BW,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maximum at 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12.9 ± 0.47 mm and 13.69 ± 0.14 mm,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2A939A" w14:textId="5C1C94FA" w:rsidR="00E0071A" w:rsidRPr="00BF0E72" w:rsidRDefault="0095536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0071A" w:rsidRPr="00BF0E72" w:rsidSect="00806E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BF0E72">
        <w:rPr>
          <w:rFonts w:ascii="Times New Roman" w:hAnsi="Times New Roman" w:cs="Times New Roman"/>
          <w:sz w:val="24"/>
          <w:szCs w:val="24"/>
        </w:rPr>
        <w:t xml:space="preserve">At the 4th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inflammation inhibition rates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94.5 ± 0.33</w:t>
      </w:r>
      <w:r w:rsidR="00645B65"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sz w:val="24"/>
          <w:szCs w:val="24"/>
        </w:rPr>
        <w:t xml:space="preserve">%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78 ± 1</w:t>
      </w:r>
      <w:r w:rsidR="00645B65"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sz w:val="24"/>
          <w:szCs w:val="24"/>
        </w:rPr>
        <w:t xml:space="preserve">%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inhibitor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B31" w:rsidRPr="00BF0E72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910B31"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</w:p>
    <w:p w14:paraId="111391C3" w14:textId="77777777" w:rsidR="00366BA4" w:rsidRPr="00BF0E72" w:rsidRDefault="00366BA4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98816" w14:textId="77777777" w:rsidR="00366BA4" w:rsidRPr="00BF0E72" w:rsidRDefault="00366BA4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7E783" w14:textId="77777777" w:rsidR="00366BA4" w:rsidRPr="00BF0E72" w:rsidRDefault="00366BA4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5E66F" w14:textId="77777777" w:rsidR="00366BA4" w:rsidRPr="00BF0E72" w:rsidRDefault="00366BA4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EB4A2" w14:textId="596440C7" w:rsidR="00E0071A" w:rsidRPr="00BF0E72" w:rsidRDefault="00E0071A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Table 3 :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Effect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on the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increase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incircumference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carrageenan-induced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/>
          <w:bCs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in rats</w:t>
      </w:r>
    </w:p>
    <w:p w14:paraId="55F4C80A" w14:textId="77777777" w:rsidR="00546C53" w:rsidRPr="00BF0E72" w:rsidRDefault="00546C53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AA1E1" w14:textId="77777777" w:rsidR="00366BA4" w:rsidRPr="00BF0E72" w:rsidRDefault="00366BA4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17"/>
        <w:tblW w:w="15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1785"/>
        <w:gridCol w:w="1719"/>
        <w:gridCol w:w="1986"/>
        <w:gridCol w:w="2134"/>
        <w:gridCol w:w="1870"/>
        <w:gridCol w:w="1870"/>
        <w:gridCol w:w="1889"/>
      </w:tblGrid>
      <w:tr w:rsidR="00BF0E72" w:rsidRPr="00BF0E72" w14:paraId="37FA6A37" w14:textId="77777777" w:rsidTr="005E188D">
        <w:trPr>
          <w:trHeight w:val="734"/>
        </w:trPr>
        <w:tc>
          <w:tcPr>
            <w:tcW w:w="15277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132B1B27" w14:textId="0047C71F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D65E1" w14:textId="21DE4C5E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Change in leg </w:t>
            </w: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circumference</w:t>
            </w:r>
            <w:proofErr w:type="spellEnd"/>
            <w:r w:rsidR="001D7787"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(mm)</w:t>
            </w:r>
          </w:p>
        </w:tc>
      </w:tr>
      <w:tr w:rsidR="00BF0E72" w:rsidRPr="00BF0E72" w14:paraId="68DB6965" w14:textId="77777777" w:rsidTr="005E188D">
        <w:trPr>
          <w:trHeight w:val="628"/>
        </w:trPr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</w:tcPr>
          <w:p w14:paraId="1CC9950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auto"/>
              <w:bottom w:val="single" w:sz="8" w:space="0" w:color="auto"/>
            </w:tcBorders>
          </w:tcPr>
          <w:p w14:paraId="7C66E73C" w14:textId="709BCE64" w:rsidR="00366BA4" w:rsidRPr="00BF0E72" w:rsidRDefault="00366BA4" w:rsidP="00BF0E72">
            <w:pPr>
              <w:widowControl w:val="0"/>
              <w:autoSpaceDE w:val="0"/>
              <w:autoSpaceDN w:val="0"/>
              <w:ind w:left="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F0E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Before</w:t>
            </w:r>
            <w:proofErr w:type="spellEnd"/>
          </w:p>
          <w:p w14:paraId="12C1E3C2" w14:textId="287519CF" w:rsidR="00366BA4" w:rsidRPr="00BF0E72" w:rsidRDefault="00BA2BB0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Treatment</w:t>
            </w:r>
          </w:p>
        </w:tc>
        <w:tc>
          <w:tcPr>
            <w:tcW w:w="11467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14:paraId="334B3FCD" w14:textId="3ABAB24C" w:rsidR="00366BA4" w:rsidRPr="00BF0E72" w:rsidRDefault="001C23F3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After</w:t>
            </w:r>
            <w:proofErr w:type="spellEnd"/>
            <w:r w:rsidRPr="00BF0E7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Treatment</w:t>
            </w:r>
          </w:p>
        </w:tc>
      </w:tr>
      <w:tr w:rsidR="00BF0E72" w:rsidRPr="00BF0E72" w14:paraId="1BE37A91" w14:textId="77777777" w:rsidTr="005E188D">
        <w:trPr>
          <w:trHeight w:val="377"/>
        </w:trPr>
        <w:tc>
          <w:tcPr>
            <w:tcW w:w="2024" w:type="dxa"/>
            <w:tcBorders>
              <w:top w:val="single" w:sz="8" w:space="0" w:color="auto"/>
            </w:tcBorders>
          </w:tcPr>
          <w:p w14:paraId="709180CB" w14:textId="79D03493" w:rsidR="001D7787" w:rsidRPr="00BF0E72" w:rsidRDefault="001D7787" w:rsidP="00BF0E72">
            <w:pPr>
              <w:widowControl w:val="0"/>
              <w:autoSpaceDE w:val="0"/>
              <w:autoSpaceDN w:val="0"/>
              <w:spacing w:before="44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  <w:p w14:paraId="48B3F412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auto"/>
            </w:tcBorders>
          </w:tcPr>
          <w:p w14:paraId="3AA735EC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auto"/>
            </w:tcBorders>
          </w:tcPr>
          <w:p w14:paraId="3BCC815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1h</w:t>
            </w:r>
          </w:p>
        </w:tc>
        <w:tc>
          <w:tcPr>
            <w:tcW w:w="1986" w:type="dxa"/>
            <w:tcBorders>
              <w:top w:val="single" w:sz="8" w:space="0" w:color="auto"/>
            </w:tcBorders>
          </w:tcPr>
          <w:p w14:paraId="2F8AC1F2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2h</w:t>
            </w:r>
          </w:p>
        </w:tc>
        <w:tc>
          <w:tcPr>
            <w:tcW w:w="2134" w:type="dxa"/>
            <w:tcBorders>
              <w:top w:val="single" w:sz="8" w:space="0" w:color="auto"/>
            </w:tcBorders>
          </w:tcPr>
          <w:p w14:paraId="793F247F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3h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06681633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4h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622851F5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5h</w:t>
            </w:r>
          </w:p>
        </w:tc>
        <w:tc>
          <w:tcPr>
            <w:tcW w:w="1886" w:type="dxa"/>
            <w:tcBorders>
              <w:top w:val="single" w:sz="8" w:space="0" w:color="auto"/>
            </w:tcBorders>
          </w:tcPr>
          <w:p w14:paraId="3FDCFD05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6h</w:t>
            </w:r>
          </w:p>
        </w:tc>
      </w:tr>
      <w:tr w:rsidR="00BF0E72" w:rsidRPr="00BF0E72" w14:paraId="3EBD48EA" w14:textId="77777777" w:rsidTr="005E188D">
        <w:trPr>
          <w:trHeight w:val="1087"/>
        </w:trPr>
        <w:tc>
          <w:tcPr>
            <w:tcW w:w="2024" w:type="dxa"/>
          </w:tcPr>
          <w:p w14:paraId="2579E7A8" w14:textId="77777777" w:rsidR="001D7787" w:rsidRPr="00BF0E72" w:rsidRDefault="001D7787" w:rsidP="00BF0E72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BF0E72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   Control</w:t>
            </w:r>
          </w:p>
          <w:p w14:paraId="50B8DBB1" w14:textId="77777777" w:rsidR="001D7787" w:rsidRPr="00BF0E72" w:rsidRDefault="001D7787" w:rsidP="00BF0E72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BF0E72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BF0E72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>Distilled</w:t>
            </w:r>
            <w:proofErr w:type="spellEnd"/>
            <w:r w:rsidRPr="00BF0E72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water)</w:t>
            </w:r>
          </w:p>
          <w:p w14:paraId="708F7E96" w14:textId="5759A774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4BF832FC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C18C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13,13 ± 0,522</w:t>
            </w:r>
          </w:p>
        </w:tc>
        <w:tc>
          <w:tcPr>
            <w:tcW w:w="1719" w:type="dxa"/>
          </w:tcPr>
          <w:p w14:paraId="2FB5BCBA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5ED21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16,86 ± 0,86</w:t>
            </w:r>
          </w:p>
        </w:tc>
        <w:tc>
          <w:tcPr>
            <w:tcW w:w="1986" w:type="dxa"/>
          </w:tcPr>
          <w:p w14:paraId="663708B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4CBD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19,06 ± 1,19</w:t>
            </w:r>
          </w:p>
        </w:tc>
        <w:tc>
          <w:tcPr>
            <w:tcW w:w="2134" w:type="dxa"/>
          </w:tcPr>
          <w:p w14:paraId="51CADCF4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64DD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24,95 ± 1,26</w:t>
            </w:r>
          </w:p>
        </w:tc>
        <w:tc>
          <w:tcPr>
            <w:tcW w:w="1870" w:type="dxa"/>
          </w:tcPr>
          <w:p w14:paraId="74A96586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AD9B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27,58 ± 1,56</w:t>
            </w:r>
          </w:p>
        </w:tc>
        <w:tc>
          <w:tcPr>
            <w:tcW w:w="1870" w:type="dxa"/>
          </w:tcPr>
          <w:p w14:paraId="5F18EAC0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2A09D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24,62 ± 0,59</w:t>
            </w:r>
          </w:p>
        </w:tc>
        <w:tc>
          <w:tcPr>
            <w:tcW w:w="1886" w:type="dxa"/>
          </w:tcPr>
          <w:p w14:paraId="4C089135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86DA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24,09 ± 0,58</w:t>
            </w:r>
          </w:p>
        </w:tc>
      </w:tr>
      <w:tr w:rsidR="00BF0E72" w:rsidRPr="00BF0E72" w14:paraId="4DD02ACA" w14:textId="77777777" w:rsidTr="005E188D">
        <w:trPr>
          <w:trHeight w:val="834"/>
        </w:trPr>
        <w:tc>
          <w:tcPr>
            <w:tcW w:w="2024" w:type="dxa"/>
          </w:tcPr>
          <w:p w14:paraId="6AD44FC7" w14:textId="77777777" w:rsidR="001D7787" w:rsidRPr="00BF0E72" w:rsidRDefault="001D7787" w:rsidP="00BF0E7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BF0E7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Indomethacin</w:t>
            </w:r>
            <w:proofErr w:type="spellEnd"/>
            <w:r w:rsidRPr="00BF0E7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14:paraId="5019EBE2" w14:textId="3ABE7BEB" w:rsidR="00366BA4" w:rsidRPr="00BF0E72" w:rsidRDefault="001D7787" w:rsidP="00BF0E7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(10 mg/kg BW)</w:t>
            </w:r>
          </w:p>
        </w:tc>
        <w:tc>
          <w:tcPr>
            <w:tcW w:w="1785" w:type="dxa"/>
          </w:tcPr>
          <w:p w14:paraId="0D7B280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B4FBC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12,83 ± 0,48</w:t>
            </w:r>
          </w:p>
        </w:tc>
        <w:tc>
          <w:tcPr>
            <w:tcW w:w="1719" w:type="dxa"/>
          </w:tcPr>
          <w:p w14:paraId="54EECC2B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6489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14,36 ± 0,63 *</w:t>
            </w:r>
          </w:p>
        </w:tc>
        <w:tc>
          <w:tcPr>
            <w:tcW w:w="1986" w:type="dxa"/>
          </w:tcPr>
          <w:p w14:paraId="7DECD094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C4CA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14,36 ± 0,34 **</w:t>
            </w:r>
          </w:p>
        </w:tc>
        <w:tc>
          <w:tcPr>
            <w:tcW w:w="2134" w:type="dxa"/>
          </w:tcPr>
          <w:p w14:paraId="152C3926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3062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13,21 ± 0,22 ***</w:t>
            </w:r>
          </w:p>
        </w:tc>
        <w:tc>
          <w:tcPr>
            <w:tcW w:w="1870" w:type="dxa"/>
          </w:tcPr>
          <w:p w14:paraId="7BE2132D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6995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12,9 ± 0,47 ***</w:t>
            </w:r>
          </w:p>
        </w:tc>
        <w:tc>
          <w:tcPr>
            <w:tcW w:w="1870" w:type="dxa"/>
          </w:tcPr>
          <w:p w14:paraId="373558FA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3568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14,73 ± 0,17 ***</w:t>
            </w:r>
          </w:p>
        </w:tc>
        <w:tc>
          <w:tcPr>
            <w:tcW w:w="1886" w:type="dxa"/>
          </w:tcPr>
          <w:p w14:paraId="54448E4D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410AA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13,36 ± 0,35 ***</w:t>
            </w:r>
          </w:p>
        </w:tc>
      </w:tr>
      <w:tr w:rsidR="00BF0E72" w:rsidRPr="00BF0E72" w14:paraId="52F8D370" w14:textId="77777777" w:rsidTr="005E188D">
        <w:trPr>
          <w:trHeight w:val="782"/>
        </w:trPr>
        <w:tc>
          <w:tcPr>
            <w:tcW w:w="2024" w:type="dxa"/>
            <w:tcBorders>
              <w:bottom w:val="single" w:sz="8" w:space="0" w:color="auto"/>
            </w:tcBorders>
          </w:tcPr>
          <w:p w14:paraId="2914F79C" w14:textId="16463FA9" w:rsidR="001D7787" w:rsidRPr="00BF0E72" w:rsidRDefault="00366BA4" w:rsidP="00BF0E72">
            <w:pPr>
              <w:widowControl w:val="0"/>
              <w:autoSpaceDE w:val="0"/>
              <w:autoSpaceDN w:val="0"/>
              <w:ind w:left="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E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1D7787" w:rsidRPr="00BF0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D7787" w:rsidRPr="00BF0E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EAPn</w:t>
            </w:r>
            <w:proofErr w:type="spellEnd"/>
            <w:r w:rsidR="001D7787" w:rsidRPr="00BF0E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7F172A81" w14:textId="1D19137D" w:rsidR="00366BA4" w:rsidRPr="00BF0E72" w:rsidRDefault="001D7787" w:rsidP="00BF0E72">
            <w:pPr>
              <w:widowControl w:val="0"/>
              <w:autoSpaceDE w:val="0"/>
              <w:autoSpaceDN w:val="0"/>
              <w:ind w:left="5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0E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(300 mg/kg BW)</w:t>
            </w:r>
          </w:p>
        </w:tc>
        <w:tc>
          <w:tcPr>
            <w:tcW w:w="1785" w:type="dxa"/>
            <w:tcBorders>
              <w:bottom w:val="single" w:sz="8" w:space="0" w:color="auto"/>
            </w:tcBorders>
          </w:tcPr>
          <w:p w14:paraId="36C6890E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B10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12,88 ± 0,25</w:t>
            </w:r>
          </w:p>
        </w:tc>
        <w:tc>
          <w:tcPr>
            <w:tcW w:w="1719" w:type="dxa"/>
            <w:tcBorders>
              <w:bottom w:val="single" w:sz="8" w:space="0" w:color="auto"/>
            </w:tcBorders>
          </w:tcPr>
          <w:p w14:paraId="72885CAA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7E129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13,96 ± 0,54 *</w:t>
            </w:r>
          </w:p>
        </w:tc>
        <w:tc>
          <w:tcPr>
            <w:tcW w:w="1986" w:type="dxa"/>
            <w:tcBorders>
              <w:bottom w:val="single" w:sz="8" w:space="0" w:color="auto"/>
            </w:tcBorders>
          </w:tcPr>
          <w:p w14:paraId="6A65E863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11FF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14,37 ± 0,29 **</w:t>
            </w:r>
          </w:p>
        </w:tc>
        <w:tc>
          <w:tcPr>
            <w:tcW w:w="2134" w:type="dxa"/>
            <w:tcBorders>
              <w:bottom w:val="single" w:sz="8" w:space="0" w:color="auto"/>
            </w:tcBorders>
          </w:tcPr>
          <w:p w14:paraId="74842630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9E904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14,24 ± 0,12 ***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532CEF61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84D87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13,69 ± 0,14 ***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53F32675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3E6E" w14:textId="58878FC0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14,32± 0,08 ***</w:t>
            </w:r>
          </w:p>
        </w:tc>
        <w:tc>
          <w:tcPr>
            <w:tcW w:w="1886" w:type="dxa"/>
            <w:tcBorders>
              <w:bottom w:val="single" w:sz="8" w:space="0" w:color="auto"/>
            </w:tcBorders>
          </w:tcPr>
          <w:p w14:paraId="40C2D954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83D6A" w14:textId="77777777" w:rsidR="00366BA4" w:rsidRPr="00BF0E72" w:rsidRDefault="00366BA4" w:rsidP="00BF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72">
              <w:rPr>
                <w:rFonts w:ascii="Times New Roman" w:hAnsi="Times New Roman" w:cs="Times New Roman"/>
                <w:sz w:val="24"/>
                <w:szCs w:val="24"/>
              </w:rPr>
              <w:t>13,48 ± 0,29 ***</w:t>
            </w:r>
          </w:p>
        </w:tc>
      </w:tr>
    </w:tbl>
    <w:p w14:paraId="2A337563" w14:textId="77777777" w:rsidR="00366BA4" w:rsidRPr="00BF0E72" w:rsidRDefault="00366BA4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0B300" w14:textId="77777777" w:rsidR="001D7787" w:rsidRPr="00BF0E72" w:rsidRDefault="001D7787" w:rsidP="00BF0E72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Values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represent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mean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± SEM ; n = 8 for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each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group * p &lt; 0.05; **p &lt; 0.01; ***p &lt; 0.001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compared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to the control group.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at 10 mg/kg BW and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at 300 mg/kg BW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reduce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carrageenan-induced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in the rat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4A97463" w14:textId="77777777" w:rsidR="00366BA4" w:rsidRPr="00BF0E72" w:rsidRDefault="00366BA4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66BA4" w:rsidRPr="00BF0E72" w:rsidSect="00E0071A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1C75562A" w14:textId="77777777" w:rsidR="002E3B4C" w:rsidRPr="00BF0E72" w:rsidRDefault="002E3B4C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Discussion</w:t>
      </w:r>
    </w:p>
    <w:p w14:paraId="4789F5B8" w14:textId="30791A2D" w:rsidR="00BB4FE7" w:rsidRPr="00BF0E72" w:rsidRDefault="00BB4FE7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0234470"/>
      <w:r w:rsidRPr="00BF0E7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acute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enabled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us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50%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lethal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dose (LD</w:t>
      </w:r>
      <w:r w:rsidRPr="00BF0E72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BF0E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OECD-423 (OECD, 2001).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administration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a single dose of 2000 mg/kg </w:t>
      </w:r>
      <w:r w:rsidR="000D5FD5" w:rsidRPr="00BF0E72">
        <w:rPr>
          <w:rFonts w:ascii="Times New Roman" w:hAnsi="Times New Roman" w:cs="Times New Roman"/>
          <w:sz w:val="24"/>
          <w:szCs w:val="24"/>
        </w:rPr>
        <w:t xml:space="preserve">BW </w:t>
      </w:r>
      <w:r w:rsidRPr="00BF0E7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exceptionally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5000 mg/kg BW by the oral route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not cause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lethality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observation. </w:t>
      </w:r>
      <w:bookmarkStart w:id="8" w:name="_Hlk207089627"/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the OCED 423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Globally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Harmonized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System of Classification (GHS),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the oral route. The absence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gavage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plants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pharmacopoeia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Mitragyna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inennis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Rubiaceae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Oussou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(2016) and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Kigelia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africana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.) by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Iwaka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(2022). Qualitative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screening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sterols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polyterpenes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polyphenols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catechic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tannins and saponosides.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corroborate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Tsobou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2023,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saponins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tannins in an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plant. This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group of compounds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Daniellia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oliveri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(Soro, 2022) and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Tabernaemontana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inconpiscua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Ngah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2023).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, N'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Dri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 (2015)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absence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polyphenols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tannins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discrepancies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extraction conditions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plants,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stage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techniques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Haifaa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 (2024) and Coulibaly et al (2025)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compounds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 The p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harmacological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EAPn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300 mg/kg P.C.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carrageenan-induced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oedema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the rat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edema-inhibiting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indomethacin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at 10 mg/kg BW. Injection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carrageenan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provokes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due to the release of histamine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serotonin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vasodilatation, plasma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transudation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edema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formation,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the initial 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phase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first and second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Sene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et al. 2024).</w:t>
      </w:r>
    </w:p>
    <w:p w14:paraId="12A481EB" w14:textId="656A6796" w:rsidR="00BB4FE7" w:rsidRPr="00BF0E72" w:rsidRDefault="00BB4FE7" w:rsidP="00BF0E72">
      <w:pPr>
        <w:spacing w:after="0" w:line="240" w:lineRule="auto"/>
        <w:jc w:val="both"/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Bradykinin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released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during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second phase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responsible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increase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vascular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permeability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prostaglandin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biosynthesis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takes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place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beyond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third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hour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late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phase. </w:t>
      </w:r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The latter,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associated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with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leukocytes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migrate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into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the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inflamed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zone for the production of pro-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factors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such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as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cyclooxygenase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2 (COX2) and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interleukin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1 beta (IL 1β)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hence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the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peak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at the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fourth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hour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(Saini and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Singha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,</w:t>
      </w:r>
      <w:r w:rsidR="000D5FD5"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2012).</w:t>
      </w:r>
      <w:r w:rsidR="000D5FD5"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EAPn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is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thought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to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exert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anti-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effects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by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inhibiting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Syk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phosphorylation in the NF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κB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pathway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reducing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IL 1β and COX2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proliferation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(Yan et al. 2024).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EAPn's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anti-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properties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may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be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due in part to the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presence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flavonoids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and saponosides. Indeed,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flavonoids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and saponosides have an anti-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effect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because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they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can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modulate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processes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in the body,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notably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by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inhibiting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arachidonic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acid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via the enzymes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cyclooxygenase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lipoxygenase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, and by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reducing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cytokines.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They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thus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contribute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to the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prevention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treatment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chronic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diseases</w:t>
      </w:r>
      <w:proofErr w:type="spellEnd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bookmarkStart w:id="9" w:name="_Hlk210228638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(Emina et al. 2024).</w:t>
      </w:r>
      <w:bookmarkEnd w:id="8"/>
      <w:r w:rsidRPr="00BF0E72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bookmarkEnd w:id="9"/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chemical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compounds are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found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numerous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plants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including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Carthamus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caeruleus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 (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Bouhenni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Benkablia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93195"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2019),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Sorbus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Species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(Emina et al. 2024),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used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traditional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medicine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treatment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inflammation.</w:t>
      </w:r>
    </w:p>
    <w:bookmarkEnd w:id="7"/>
    <w:p w14:paraId="4C18C154" w14:textId="77777777" w:rsidR="00BB4FE7" w:rsidRPr="00BF0E72" w:rsidRDefault="00BB4FE7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3A688" w14:textId="058F352A" w:rsidR="00017F08" w:rsidRPr="00BF0E72" w:rsidRDefault="00017F08" w:rsidP="00BF0E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93195"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E72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D411733" w14:textId="77777777" w:rsidR="00CB46EE" w:rsidRPr="00BF0E72" w:rsidRDefault="00CB46EE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notable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compounds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polyphenols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tannins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orally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real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 accessible, long-lasting alternative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conventional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the absence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3D493" w14:textId="77777777" w:rsidR="00CB46EE" w:rsidRPr="00BF0E72" w:rsidRDefault="00CB46EE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sz w:val="24"/>
          <w:szCs w:val="24"/>
        </w:rPr>
        <w:lastRenderedPageBreak/>
        <w:t>Looking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analyses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purified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undertaken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precisely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compounds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elucidate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mode of action.</w:t>
      </w:r>
    </w:p>
    <w:p w14:paraId="2B7EB56D" w14:textId="77777777" w:rsidR="002940A8" w:rsidRPr="00BF0E72" w:rsidRDefault="002940A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1F8DE" w14:textId="77777777" w:rsidR="002940A8" w:rsidRPr="00BF0E72" w:rsidRDefault="002940A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08B1A" w14:textId="32B548ED" w:rsidR="00465100" w:rsidRPr="00BF0E72" w:rsidRDefault="00465100" w:rsidP="00BF0E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AUTHORS’ CONTRIBUTIONS</w:t>
      </w:r>
    </w:p>
    <w:p w14:paraId="18F7C00C" w14:textId="3E08FC9A" w:rsidR="00465100" w:rsidRPr="00BF0E72" w:rsidRDefault="00465100" w:rsidP="00BF0E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F0E72">
        <w:rPr>
          <w:rFonts w:ascii="Times New Roman" w:hAnsi="Times New Roman" w:cs="Times New Roman"/>
          <w:bCs/>
          <w:sz w:val="24"/>
          <w:szCs w:val="24"/>
        </w:rPr>
        <w:t xml:space="preserve">All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authors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participated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in drafting the article or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revising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critically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agreed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submit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the article to the </w:t>
      </w:r>
      <w:proofErr w:type="spellStart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>European</w:t>
      </w:r>
      <w:proofErr w:type="spellEnd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Journal of </w:t>
      </w:r>
      <w:proofErr w:type="spellStart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>Medicinal</w:t>
      </w:r>
      <w:proofErr w:type="spellEnd"/>
      <w:r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D7CFB" w:rsidRPr="00BF0E72">
        <w:rPr>
          <w:rFonts w:ascii="Times New Roman" w:hAnsi="Times New Roman" w:cs="Times New Roman"/>
          <w:bCs/>
          <w:i/>
          <w:iCs/>
          <w:sz w:val="24"/>
          <w:szCs w:val="24"/>
        </w:rPr>
        <w:t>Plants</w:t>
      </w:r>
      <w:r w:rsidR="005D7CFB" w:rsidRPr="00BF0E72">
        <w:rPr>
          <w:rFonts w:ascii="Times New Roman" w:hAnsi="Times New Roman" w:cs="Times New Roman"/>
          <w:bCs/>
          <w:sz w:val="24"/>
          <w:szCs w:val="24"/>
        </w:rPr>
        <w:t xml:space="preserve"> ;</w:t>
      </w:r>
      <w:r w:rsidRPr="00BF0E72">
        <w:rPr>
          <w:rFonts w:ascii="Times New Roman" w:hAnsi="Times New Roman" w:cs="Times New Roman"/>
          <w:bCs/>
          <w:sz w:val="24"/>
          <w:szCs w:val="24"/>
        </w:rPr>
        <w:t xml:space="preserve"> gave final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approval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the version to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published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. All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authors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meet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criteria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authorship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according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recommendations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the International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Committee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Medical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Journal Editors (ICMJE).</w:t>
      </w:r>
    </w:p>
    <w:p w14:paraId="1FB9D639" w14:textId="78B37E0D" w:rsidR="002940A8" w:rsidRPr="00BF0E72" w:rsidRDefault="002940A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CONSENT</w:t>
      </w:r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30C7F" w14:textId="77777777" w:rsidR="002940A8" w:rsidRPr="00BF0E72" w:rsidRDefault="002940A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not applicable. </w:t>
      </w:r>
    </w:p>
    <w:p w14:paraId="7715CAA3" w14:textId="77777777" w:rsidR="002940A8" w:rsidRPr="00BF0E72" w:rsidRDefault="002940A8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35C61" w14:textId="77777777" w:rsidR="002940A8" w:rsidRPr="00BF0E72" w:rsidRDefault="002940A8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ETHICAL APPROVAL </w:t>
      </w:r>
    </w:p>
    <w:p w14:paraId="0F508FBA" w14:textId="20A69004" w:rsidR="005D7CFB" w:rsidRPr="00BF0E72" w:rsidRDefault="00465100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9717073"/>
      <w:r w:rsidRPr="00BF0E72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Picralima</w:t>
      </w:r>
      <w:proofErr w:type="spellEnd"/>
      <w:r w:rsidRPr="00BF0E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i/>
          <w:iCs/>
          <w:sz w:val="24"/>
          <w:szCs w:val="24"/>
        </w:rPr>
        <w:t>nitida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strict compliance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conservation and the use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plants. The collection of plant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responsibly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duly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areas. All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accordance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directive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24, 1986 (86/609/EEC) and 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decree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April 19, 1988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to the use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</w:p>
    <w:p w14:paraId="545AF3F1" w14:textId="1818ED34" w:rsidR="005D7CFB" w:rsidRPr="00BF0E72" w:rsidRDefault="005D7CF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>USE OF ARTIFICIAL INTELLIGENCE (AI)-ASSISTED TECHNOLOGY</w:t>
      </w:r>
    </w:p>
    <w:p w14:paraId="50F5A731" w14:textId="77777777" w:rsidR="005D7CFB" w:rsidRPr="00BF0E72" w:rsidRDefault="005D7CFB" w:rsidP="00BF0E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7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authors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declare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did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not use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artificial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intelligence (AI)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tools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writing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revising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manuscript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, and no images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manipulated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BF0E72">
        <w:rPr>
          <w:rFonts w:ascii="Times New Roman" w:hAnsi="Times New Roman" w:cs="Times New Roman"/>
          <w:bCs/>
          <w:sz w:val="24"/>
          <w:szCs w:val="24"/>
        </w:rPr>
        <w:t xml:space="preserve"> AI.</w:t>
      </w:r>
    </w:p>
    <w:p w14:paraId="3B84B21A" w14:textId="77777777" w:rsidR="005D7CFB" w:rsidRPr="00BF0E72" w:rsidRDefault="005D7CF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9717166"/>
      <w:r w:rsidRPr="00BF0E72">
        <w:rPr>
          <w:rFonts w:ascii="Times New Roman" w:hAnsi="Times New Roman" w:cs="Times New Roman"/>
          <w:b/>
          <w:bCs/>
          <w:sz w:val="24"/>
          <w:szCs w:val="24"/>
        </w:rPr>
        <w:t>CONFLICTS OF INTEREST</w:t>
      </w:r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27DAD" w14:textId="71703E02" w:rsidR="001A0AF4" w:rsidRPr="00BF0E72" w:rsidRDefault="005D7CFB" w:rsidP="00B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7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report no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E7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F0E72">
        <w:rPr>
          <w:rFonts w:ascii="Times New Roman" w:hAnsi="Times New Roman" w:cs="Times New Roman"/>
          <w:sz w:val="24"/>
          <w:szCs w:val="24"/>
        </w:rPr>
        <w:t>.</w:t>
      </w:r>
      <w:bookmarkEnd w:id="10"/>
      <w:bookmarkEnd w:id="11"/>
    </w:p>
    <w:p w14:paraId="430E8153" w14:textId="76734B73" w:rsidR="00806E7B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72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66EA2EBB" w14:textId="77777777" w:rsidR="00A93195" w:rsidRPr="00BF0E72" w:rsidRDefault="00A93195" w:rsidP="00BF0E72">
      <w:pPr>
        <w:widowControl w:val="0"/>
        <w:autoSpaceDE w:val="0"/>
        <w:autoSpaceDN w:val="0"/>
        <w:spacing w:after="0" w:line="240" w:lineRule="auto"/>
        <w:ind w:left="993" w:right="137" w:hanging="852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1AECD3A" w14:textId="77777777" w:rsidR="00811F2F" w:rsidRPr="00811F2F" w:rsidRDefault="00811F2F" w:rsidP="00BF0E72">
      <w:pPr>
        <w:widowControl w:val="0"/>
        <w:autoSpaceDE w:val="0"/>
        <w:autoSpaceDN w:val="0"/>
        <w:spacing w:after="0" w:line="240" w:lineRule="auto"/>
        <w:ind w:left="993" w:right="137" w:hanging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" w:name="_Hlk210079295"/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Akabassi</w:t>
      </w:r>
      <w:bookmarkEnd w:id="12"/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G.C, </w:t>
      </w:r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Padonou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E.A, </w:t>
      </w:r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Chadare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F.J &amp; </w:t>
      </w:r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Assogbadjo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A.E. (2017). </w:t>
      </w:r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Ethnobotanical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Importance and Use Value of </w:t>
      </w:r>
      <w:proofErr w:type="spellStart"/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Picralima</w:t>
      </w:r>
      <w:proofErr w:type="spellEnd"/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nitida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Stapf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in </w:t>
      </w:r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Southern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Benin (West </w:t>
      </w:r>
      <w:proofErr w:type="spellStart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Africa</w:t>
      </w:r>
      <w:proofErr w:type="spellEnd"/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774A33B" w14:textId="60CEB1F1" w:rsidR="00811F2F" w:rsidRPr="00BF0E72" w:rsidRDefault="00811F2F" w:rsidP="00BF0E72">
      <w:pPr>
        <w:widowControl w:val="0"/>
        <w:autoSpaceDE w:val="0"/>
        <w:autoSpaceDN w:val="0"/>
        <w:spacing w:after="0" w:line="240" w:lineRule="auto"/>
        <w:ind w:left="993" w:right="137" w:hanging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           </w:t>
      </w:r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International Journal </w:t>
      </w:r>
      <w:proofErr w:type="spellStart"/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Biology</w:t>
      </w:r>
      <w:proofErr w:type="spellEnd"/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and Chemical Science</w:t>
      </w:r>
      <w:r w:rsidRPr="00811F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11(5) : 1979-1993 </w:t>
      </w:r>
    </w:p>
    <w:p w14:paraId="5EDA4499" w14:textId="503A28F2" w:rsidR="00A93195" w:rsidRPr="00BF0E72" w:rsidRDefault="00A93195" w:rsidP="00BF0E72">
      <w:pPr>
        <w:widowControl w:val="0"/>
        <w:autoSpaceDE w:val="0"/>
        <w:autoSpaceDN w:val="0"/>
        <w:spacing w:after="0" w:line="240" w:lineRule="auto"/>
        <w:ind w:left="993" w:right="137" w:hanging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Alexey P. (2021). </w:t>
      </w:r>
      <w:proofErr w:type="spellStart"/>
      <w:r w:rsidRPr="00A93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Understanding</w:t>
      </w:r>
      <w:proofErr w:type="spellEnd"/>
      <w:r w:rsidRPr="00A93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93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Atherosclerosis</w:t>
      </w:r>
      <w:proofErr w:type="spellEnd"/>
      <w:r w:rsidRPr="00A93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A931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Journal of American </w:t>
      </w:r>
      <w:proofErr w:type="spellStart"/>
      <w:r w:rsidRPr="00A931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Heart</w:t>
      </w:r>
      <w:proofErr w:type="spellEnd"/>
      <w:r w:rsidRPr="00A931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Association</w:t>
      </w:r>
      <w:r w:rsidRPr="00A93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,10</w:t>
      </w:r>
      <w:r w:rsidR="00EC7EAF"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: </w:t>
      </w:r>
      <w:r w:rsidR="00EC7EAF"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EC7EAF" w:rsidRPr="00A931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proofErr w:type="gramStart"/>
      <w:r w:rsidR="00EC7EAF"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EC7EAF" w:rsidRPr="00A931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https://recherche.chusj.org/Medias/Nouvelles/2021/Comprehension-de-l</w:t>
      </w:r>
      <w:proofErr w:type="gram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’athero</w:t>
      </w:r>
      <w:r w:rsidR="00EC7EAF"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scle</w:t>
      </w:r>
      <w:r w:rsidR="00EC7EAF"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 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rose</w:t>
      </w:r>
      <w:r w:rsidRPr="00A9319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</w:p>
    <w:p w14:paraId="3C9E21CC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Bouhenni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I.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Benkablia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I. (2019). Evaluation of the anti-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activity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Carthamus</w:t>
      </w:r>
      <w:proofErr w:type="spellEnd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caeruleus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L. “In vivo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study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NMRI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mice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.”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Master's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thesis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Abdelhamid Ibn Badis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University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-Mostaganem (Algeria), 51.</w:t>
      </w:r>
    </w:p>
    <w:p w14:paraId="19835911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Coulibaly S.,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Mian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J. C, Koffi S. and Soro T.Y. (2025). Evaluation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Phytochemical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Composition,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Safety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Anti-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Potential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Pseudocedrela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kotschyi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Harms (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Meliaceae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)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Trunk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Bark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Extract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European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Journal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Medicinal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Plants 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36 (3) 141-149.</w:t>
      </w:r>
    </w:p>
    <w:p w14:paraId="2A74362F" w14:textId="5940B0C6" w:rsidR="00811F2F" w:rsidRPr="00BF0E72" w:rsidRDefault="00811F2F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Diop R.D, Mbaye M.S, Diop I.,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Bassene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C.,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Sarr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O., Camara A.A,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Sy.</w:t>
      </w:r>
      <w:proofErr w:type="gram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A.T</w:t>
      </w:r>
      <w:proofErr w:type="spellEnd"/>
      <w:proofErr w:type="gram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&amp;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Noba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K. (2019). </w:t>
      </w:r>
      <w:bookmarkStart w:id="13" w:name="_Hlk210224653"/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Medicinal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Plant Uses by the Riverside Population of the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Botanical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Conservatory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bookmarkEnd w:id="13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Michel Adanson de Mbour (Sénégal). </w:t>
      </w:r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Animal and plant Sciences</w:t>
      </w:r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40 (3) : 6690-6711</w:t>
      </w:r>
    </w:p>
    <w:p w14:paraId="1C7AA9D9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Elqaj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Ahami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A.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Belghyti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D. (2007).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Phytotherapy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as an alternative to intestinal parasite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resistance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to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antiparasitic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drugs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Scientific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conference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on “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natural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resources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antibiotics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.” Morocco. </w:t>
      </w:r>
      <w:proofErr w:type="spellStart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Ethnopharmacology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1 (45</w:t>
      </w:r>
      <w:proofErr w:type="gram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):</w:t>
      </w:r>
      <w:proofErr w:type="gram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18-24.</w:t>
      </w:r>
    </w:p>
    <w:p w14:paraId="000A0596" w14:textId="4479EC31" w:rsidR="00AC1EF7" w:rsidRPr="005E107D" w:rsidRDefault="00AC1EF7" w:rsidP="005E107D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Emina K., Violeta M., Alma H-B., Faruk B., Tatjana K-V, Irma G., Jelena R.,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SelgradKemal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D. &amp; Haris N, (2024).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Phytochemical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Characterisation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 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Sorbus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 </w:t>
      </w:r>
      <w:proofErr w:type="spellStart"/>
      <w:proofErr w:type="gram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Species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proofErr w:type="gram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Unveiling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Flavonoid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Profiles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Related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to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Ploidy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Hybrid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Origin. </w:t>
      </w:r>
      <w:hyperlink r:id="rId15" w:history="1">
        <w:r w:rsidRPr="00AC1EF7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t xml:space="preserve">Phytochemistry and </w:t>
        </w:r>
        <w:r w:rsidRPr="00AC1EF7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lastRenderedPageBreak/>
          <w:t xml:space="preserve">Pharmacological Properties of </w:t>
        </w:r>
        <w:proofErr w:type="spellStart"/>
        <w:r w:rsidRPr="00AC1EF7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t>Medicinal</w:t>
        </w:r>
        <w:proofErr w:type="spellEnd"/>
        <w:r w:rsidRPr="00AC1EF7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t xml:space="preserve"> Plants</w:t>
        </w:r>
      </w:hyperlink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14 (1)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 :</w:t>
      </w:r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119 </w:t>
      </w:r>
    </w:p>
    <w:p w14:paraId="59AAF6D8" w14:textId="77777777" w:rsidR="00811F2F" w:rsidRPr="00BF0E72" w:rsidRDefault="00811F2F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Guelé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G.P &amp; Koffi B.A (2021). Marketing Channels for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Medicinal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Plants in the City of Daloa (Côte d’Ivoire) : A Geographic Perspective on a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Rapidly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Growing Informal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Sector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African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Cities.  </w:t>
      </w:r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International Journal of </w:t>
      </w:r>
      <w:proofErr w:type="spellStart"/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Humanities</w:t>
      </w:r>
      <w:proofErr w:type="spellEnd"/>
      <w:r w:rsidRPr="00811F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and Social Science Invention.</w:t>
      </w:r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10 (6) : 2319 -7722</w:t>
      </w:r>
    </w:p>
    <w:p w14:paraId="66149D2A" w14:textId="2656889E" w:rsidR="00AC1EF7" w:rsidRPr="00BF0E72" w:rsidRDefault="00AC1EF7" w:rsidP="005E107D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Haifaa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L.,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Thoraya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G., Fatima Z., Karima S., Sara G.,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Lekhmici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Seddik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K.,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Gokhan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Z &amp; Abderrahmane B., (2024</w:t>
      </w:r>
      <w:bookmarkStart w:id="14" w:name="_Hlk210224854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Antioxidant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Anti‐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Potentials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Seed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Extracts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Ammodaucus</w:t>
      </w:r>
      <w:proofErr w:type="spellEnd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leucotrichus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Coss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&amp; </w:t>
      </w:r>
      <w:proofErr w:type="spellStart"/>
      <w:proofErr w:type="gram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Durieu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proofErr w:type="gram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Vitro and In Vivo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Studies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  <w:bookmarkEnd w:id="14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hyperlink r:id="rId16" w:history="1">
        <w:r w:rsidRPr="00AC1EF7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t xml:space="preserve">Journal of </w:t>
        </w:r>
        <w:proofErr w:type="spellStart"/>
        <w:r w:rsidRPr="00AC1EF7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u w:val="none"/>
            <w14:ligatures w14:val="none"/>
          </w:rPr>
          <w:t>Ethnopharmacology</w:t>
        </w:r>
        <w:proofErr w:type="spellEnd"/>
        <w:r w:rsidRPr="00AC1EF7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14:ligatures w14:val="none"/>
          </w:rPr>
          <w:t> </w:t>
        </w:r>
      </w:hyperlink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10.1016-11796</w:t>
      </w:r>
    </w:p>
    <w:p w14:paraId="2054A038" w14:textId="6B66DC96" w:rsidR="00AC1EF7" w:rsidRPr="00AC1EF7" w:rsidRDefault="00AC1EF7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Iwaka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C.,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Azando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E.V.,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Etchetan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E,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Assani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A.S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Olounladé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A.P &amp;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Hounzangbé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5E107D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M.S</w:t>
      </w:r>
      <w:r w:rsidR="005E107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  <w:r w:rsidR="005E107D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(</w:t>
      </w:r>
      <w:r w:rsidR="005E107D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2022)</w:t>
      </w:r>
    </w:p>
    <w:p w14:paraId="48576BAC" w14:textId="7EDCF3E8" w:rsidR="005E107D" w:rsidRDefault="005E107D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  </w:t>
      </w:r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      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Biological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Pharmacological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Properties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="00AC1EF7"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Kigelia</w:t>
      </w:r>
      <w:proofErr w:type="spellEnd"/>
      <w:r w:rsidR="00AC1EF7"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AC1EF7"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africana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Lam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.)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Benth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</w:t>
      </w:r>
    </w:p>
    <w:p w14:paraId="3DCEB80B" w14:textId="1B6D7A9F" w:rsidR="00811F2F" w:rsidRPr="00BF0E72" w:rsidRDefault="005E107D" w:rsidP="005E107D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           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Traditional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Human and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Veterinary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Medicine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proofErr w:type="gram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Natural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Resources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Forestry</w:t>
      </w:r>
      <w:proofErr w:type="spellEnd"/>
      <w:r w:rsidR="00AC1EF7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10 (4).</w:t>
      </w:r>
    </w:p>
    <w:p w14:paraId="28D2B55D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Kambale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J. K.,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Feza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F. M.,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Tsongo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J. M.,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Asimonyio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J. A.,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Mapeta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S.,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Nshimba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H.,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Gbolo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B. Z.,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Mpiana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P. T.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Ngbolua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K. N. (2016). The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wood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energy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sector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degradation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forest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ecosystems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peri-urban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areas : Challenges and impact on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residents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Mbiye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Island in Kisangani (Democratic Republic of Congo). </w:t>
      </w:r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International Journal of Innovation and Scientific </w:t>
      </w:r>
      <w:proofErr w:type="spellStart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Research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21(1</w:t>
      </w:r>
      <w:proofErr w:type="gram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):</w:t>
      </w:r>
      <w:proofErr w:type="gram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51–60.</w:t>
      </w:r>
    </w:p>
    <w:p w14:paraId="109129CF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Méa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Ekissi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Y.H.R., Abo K.J.C.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Kahou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Bi G.P. (2017).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Hypoglycaemiant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anti-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hyperglycaemiant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effect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Juscticia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secunda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vahl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acanthaceae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) on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glycaemia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the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wistar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rat. 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International Journal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Development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Research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Article ID : 9072, 7 :  7.</w:t>
      </w:r>
    </w:p>
    <w:p w14:paraId="3A9F92A4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N’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dri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K. K. F., Nene-Bi A.,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Zahoui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O. S. &amp; Traoré F. (2015).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Phytochemical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toxicological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studies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an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extract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the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seeds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Picralima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nitida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Stapf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 (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Apocynaceae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)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its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pharmacological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effects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one the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blood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pressure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rabbit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Journal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Biology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and Life Sciences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6 (1) : 116 p.</w:t>
      </w:r>
    </w:p>
    <w:p w14:paraId="2833A49B" w14:textId="7E819685" w:rsidR="00AC1EF7" w:rsidRPr="00BF0E72" w:rsidRDefault="00AC1EF7" w:rsidP="005E107D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Ngah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L.,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Malolo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F.S, Nyobe N.C,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Ngoule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C.,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Loe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G.E,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Mpondo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M.E &amp;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Ndom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J.C (2023) : </w:t>
      </w:r>
      <w:bookmarkStart w:id="15" w:name="_Hlk210224928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P12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Phytochemical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Study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a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Cameroonian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5E107D"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Plant :</w:t>
      </w:r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Tabernaemontana</w:t>
      </w:r>
      <w:proofErr w:type="spellEnd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inconpiscua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Trial Formulation of a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Wound</w:t>
      </w:r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noBreakHyphen/>
        <w:t xml:space="preserve">Healing </w:t>
      </w:r>
      <w:proofErr w:type="spell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Ointment</w:t>
      </w:r>
      <w:bookmarkEnd w:id="15"/>
      <w:proofErr w:type="spell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Journal of 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Pharmacceutical</w:t>
      </w:r>
      <w:proofErr w:type="spellEnd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Technology</w:t>
      </w:r>
      <w:proofErr w:type="spellEnd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Biopharmacy</w:t>
      </w:r>
      <w:proofErr w:type="spellEnd"/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2 (3</w:t>
      </w:r>
      <w:proofErr w:type="gramStart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):</w:t>
      </w:r>
      <w:proofErr w:type="gramEnd"/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AC1E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https://doi.org/10.57220/jatpb/v2i3</w:t>
      </w:r>
      <w:r w:rsidRPr="00AC1E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1D2D8037" w14:textId="2AF072E6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Nongonierma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R., Ndiaye A., Ndiaye M., Faye B. (2006).</w:t>
      </w:r>
      <w:r w:rsidRPr="00BF0E72">
        <w:rPr>
          <w:rFonts w:ascii="Times New Roman" w:hAnsi="Times New Roman" w:cs="Times New Roman"/>
          <w:sz w:val="24"/>
          <w:szCs w:val="24"/>
        </w:rPr>
        <w:t xml:space="preserve"> 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Anti-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activity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aqueous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alcoholic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decocts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the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leaves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Boscia</w:t>
      </w:r>
      <w:proofErr w:type="spellEnd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senegalensis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(Pers)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Lam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Ex.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poir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Capparridaceae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Medicine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Black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Africa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53, 557- 563.</w:t>
      </w:r>
    </w:p>
    <w:p w14:paraId="759C70DB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OECD (2001). Test guideline 423, OECD guideline for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chemicals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Acute Oral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Toxicity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Acute </w:t>
      </w:r>
      <w:proofErr w:type="spellStart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Toxic</w:t>
      </w:r>
      <w:proofErr w:type="spellEnd"/>
      <w:r w:rsidRPr="00BF0E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Class Method,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14.</w:t>
      </w:r>
    </w:p>
    <w:p w14:paraId="1F591B0D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Oussou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J-B.,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Asiedu-Gyekye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I., Yapo A., N’Guessan B.,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Amoateng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P., Kouakou K. L.,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Asante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I.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Ehile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E. (2016). In-vitro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scavenging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activity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acrute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toxicity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study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methanol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leaves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extract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fraction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Lophira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lanceolata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Tiegh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 Ex Keay (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Ochnaceae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) in rats. 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International Journal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Phytomedecine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8 : 411-421.</w:t>
      </w:r>
    </w:p>
    <w:p w14:paraId="45874A51" w14:textId="0E5B7183" w:rsidR="00DC2E33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Saini N. K.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Singha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M. (2012). Anti-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analgesic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antipyretic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activity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methanolic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Tecomaria</w:t>
      </w:r>
      <w:proofErr w:type="spellEnd"/>
      <w:r w:rsidRPr="00BF0E7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capensis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leaves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extract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Asian Pacific Journal of Tropical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Biomedicine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2 (11) : 870-874.</w:t>
      </w:r>
    </w:p>
    <w:p w14:paraId="589F3B9C" w14:textId="787A6299" w:rsidR="00BF0E72" w:rsidRPr="00BF0E72" w:rsidRDefault="00BF0E72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Sene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</w:t>
      </w:r>
      <w:r w:rsidR="005E107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Senghor B</w:t>
      </w:r>
      <w:r w:rsidR="005E107D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Dioufi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Diawa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B, Ba A. ; Kane M.O,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Sarr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Sene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M. (2024). </w:t>
      </w:r>
      <w:proofErr w:type="gram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anti</w:t>
      </w:r>
      <w:proofErr w:type="gram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-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activity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Ceiba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pentandra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extract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on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carrageenan-induced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acute rat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paw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edema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68 (2) 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Dakar Médical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(Bulletin of the French</w:t>
      </w:r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noBreakHyphen/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Language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Medical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Society of Black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Africa</w:t>
      </w:r>
      <w:proofErr w:type="spellEnd"/>
    </w:p>
    <w:p w14:paraId="7439AF21" w14:textId="77777777" w:rsidR="00811F2F" w:rsidRPr="00811F2F" w:rsidRDefault="00811F2F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11F2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Singh U., Singh S. &amp; </w:t>
      </w:r>
      <w:proofErr w:type="spellStart"/>
      <w:r w:rsidRPr="00811F2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Kochhar</w:t>
      </w:r>
      <w:proofErr w:type="spellEnd"/>
      <w:r w:rsidRPr="00811F2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A. (2012).</w:t>
      </w:r>
      <w:r w:rsidRPr="00811F2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Therapeutic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potential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antiabetic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nutraceuticals</w:t>
      </w:r>
      <w:proofErr w:type="spellEnd"/>
      <w:r w:rsidRPr="00811F2F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252C9782" w14:textId="53EDAFB1" w:rsidR="00811F2F" w:rsidRPr="00BF0E72" w:rsidRDefault="00811F2F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               </w:t>
      </w:r>
      <w:proofErr w:type="spellStart"/>
      <w:r w:rsidRPr="00B967C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Phytopharmacology</w:t>
      </w:r>
      <w:proofErr w:type="spellEnd"/>
      <w:r w:rsidRPr="00B967C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r w:rsidRPr="00B967C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2</w:t>
      </w:r>
      <w:r w:rsidRPr="00B967C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r w:rsidRPr="00B967C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(1</w:t>
      </w:r>
      <w:r w:rsidR="005E107D" w:rsidRPr="00B967C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 :</w:t>
      </w:r>
      <w:r w:rsidRPr="00B967CE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144-169</w:t>
      </w:r>
    </w:p>
    <w:p w14:paraId="48463A62" w14:textId="2EA4A05F" w:rsidR="00BF0E72" w:rsidRPr="00BF0E72" w:rsidRDefault="00BF0E72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Soro T.Y, </w:t>
      </w:r>
      <w:proofErr w:type="spellStart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Mian</w:t>
      </w:r>
      <w:proofErr w:type="spellEnd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J.C, Coulibaly S., Traoré F., (2022). 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Antipyretic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Activity of the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Aqueous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Extract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Daniellia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oliveri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Leaves</w:t>
      </w:r>
      <w:proofErr w:type="spellEnd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Rolfe</w:t>
      </w:r>
      <w:proofErr w:type="spellEnd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Hutch</w:t>
      </w:r>
      <w:proofErr w:type="spellEnd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Et </w:t>
      </w:r>
      <w:proofErr w:type="spellStart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Dalz</w:t>
      </w:r>
      <w:proofErr w:type="spellEnd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) (</w:t>
      </w:r>
      <w:proofErr w:type="spellStart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Fabaceae</w:t>
      </w:r>
      <w:proofErr w:type="spellEnd"/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),</w:t>
      </w:r>
      <w:r w:rsidRPr="00BF0E7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Scholars Academic Journal of </w:t>
      </w:r>
      <w:proofErr w:type="spellStart"/>
      <w:proofErr w:type="gramStart"/>
      <w:r w:rsidRPr="00BF0E7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Pharmacy</w:t>
      </w:r>
      <w:proofErr w:type="spellEnd"/>
      <w:r w:rsidRPr="00BF0E72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Pr="00BF0E72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,</w:t>
      </w:r>
      <w:proofErr w:type="gramEnd"/>
      <w:r w:rsidRPr="00BF0E72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</w:t>
      </w:r>
      <w:r w:rsidRPr="00BF0E7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11</w:t>
      </w: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(11) : 2320-4206</w:t>
      </w:r>
    </w:p>
    <w:p w14:paraId="66BD3204" w14:textId="77777777" w:rsidR="00AC1EF7" w:rsidRPr="00AC1EF7" w:rsidRDefault="00AC1EF7" w:rsidP="00BF0E72">
      <w:pPr>
        <w:spacing w:after="0" w:line="240" w:lineRule="auto"/>
        <w:ind w:left="993" w:right="137" w:hanging="852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Tsobou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R.,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Tiokeng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B.,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Neme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F.S,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Mekemzeu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F.P &amp;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Nzetchou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N.S. (2023).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Antidiabetic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and antihypertensive plants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sold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in the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markets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of Yaoundé, </w:t>
      </w:r>
      <w:proofErr w:type="spellStart"/>
      <w:r w:rsidRPr="00AC1EF7">
        <w:rPr>
          <w:rFonts w:ascii="Times New Roman" w:hAnsi="Times New Roman" w:cs="Times New Roman"/>
          <w:w w:val="105"/>
          <w:sz w:val="24"/>
          <w:szCs w:val="24"/>
        </w:rPr>
        <w:t>Cameroon</w:t>
      </w:r>
      <w:proofErr w:type="spellEnd"/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AC1EF7">
        <w:rPr>
          <w:rFonts w:ascii="Times New Roman" w:hAnsi="Times New Roman" w:cs="Times New Roman"/>
          <w:i/>
          <w:iCs/>
          <w:w w:val="105"/>
          <w:sz w:val="24"/>
          <w:szCs w:val="24"/>
        </w:rPr>
        <w:t>Journal of Animal &amp; Plant Sciences</w:t>
      </w:r>
      <w:r w:rsidRPr="00AC1EF7">
        <w:rPr>
          <w:rFonts w:ascii="Times New Roman" w:hAnsi="Times New Roman" w:cs="Times New Roman"/>
          <w:w w:val="105"/>
          <w:sz w:val="24"/>
          <w:szCs w:val="24"/>
        </w:rPr>
        <w:t xml:space="preserve"> 55 (1) : 10067-10110</w:t>
      </w:r>
    </w:p>
    <w:p w14:paraId="6DD55EB9" w14:textId="77777777" w:rsidR="00AC1EF7" w:rsidRPr="00BF0E72" w:rsidRDefault="00AC1EF7" w:rsidP="00BF0E72">
      <w:pPr>
        <w:spacing w:after="0" w:line="240" w:lineRule="auto"/>
        <w:ind w:left="993" w:right="137" w:hanging="85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BAA9C39" w14:textId="4C78792E" w:rsidR="00BF0E72" w:rsidRPr="00BF0E72" w:rsidRDefault="00BF0E72" w:rsidP="005E107D">
      <w:pPr>
        <w:spacing w:after="0" w:line="240" w:lineRule="auto"/>
        <w:ind w:left="993" w:right="137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Yan l.,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ji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h.k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hyun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k.l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lei h.,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wooram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c.,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spandana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r.,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sarah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l.,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byong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h.l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ji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h.l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youngwoon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j.,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jongsung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l. 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Jae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y.c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(2024).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Millingtonia</w:t>
      </w:r>
      <w:proofErr w:type="spellEnd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hortensis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L.</w:t>
      </w:r>
      <w:proofErr w:type="gram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f.ethanol</w:t>
      </w:r>
      <w:proofErr w:type="spellEnd"/>
      <w:proofErr w:type="gram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extract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exerts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vivo and in vitro anti-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actvities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through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inhibtion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SyK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kinase in NF-KB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pathway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’, journal of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ethnopharmacolgy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(10) : 1016-118386.</w:t>
      </w:r>
    </w:p>
    <w:p w14:paraId="48E578B3" w14:textId="77777777" w:rsidR="00D33BC6" w:rsidRPr="00D33BC6" w:rsidRDefault="00D33BC6" w:rsidP="00BF0E72">
      <w:pPr>
        <w:spacing w:after="0" w:line="240" w:lineRule="auto"/>
        <w:ind w:left="993" w:right="137" w:hanging="85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D33BC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WHO (2023), </w:t>
      </w:r>
      <w:proofErr w:type="spellStart"/>
      <w:r w:rsidRPr="00D33BC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Traditional</w:t>
      </w:r>
      <w:proofErr w:type="spellEnd"/>
      <w:r w:rsidRPr="00D33BC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33BC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Medecine</w:t>
      </w:r>
      <w:proofErr w:type="spellEnd"/>
      <w:r w:rsidRPr="00D33BC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Pr="00D33BC6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https://www.who.int/fr/news-room/ questions-and-</w:t>
      </w:r>
      <w:proofErr w:type="spellStart"/>
      <w:r w:rsidRPr="00D33BC6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answers</w:t>
      </w:r>
      <w:proofErr w:type="spellEnd"/>
    </w:p>
    <w:p w14:paraId="4A6E8E13" w14:textId="1D59EC3A" w:rsidR="00EC7EAF" w:rsidRPr="00BF0E72" w:rsidRDefault="00D33BC6" w:rsidP="00BF0E72">
      <w:pPr>
        <w:spacing w:after="0" w:line="240" w:lineRule="auto"/>
        <w:ind w:left="993" w:right="137" w:hanging="85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D33BC6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           /item/</w:t>
      </w:r>
      <w:proofErr w:type="spellStart"/>
      <w:r w:rsidRPr="00D33BC6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traditional-medecine</w:t>
      </w:r>
      <w:proofErr w:type="spellEnd"/>
    </w:p>
    <w:p w14:paraId="1119C63F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bookmarkStart w:id="16" w:name="_Hlk210235962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Winter C.,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Risley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E. &amp;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Nuss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G. (1962).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Carrageenan-induced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edema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hind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paws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the rats as an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essay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anti-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inflammatory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drugs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Proceedings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of the Society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Experimental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Biology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Medicine</w:t>
      </w:r>
      <w:proofErr w:type="spellEnd"/>
      <w:r w:rsidRPr="00BF0E7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, 111(3) ,544-547.</w:t>
      </w:r>
    </w:p>
    <w:p w14:paraId="24D71091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69A34E8F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3909B385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p w14:paraId="4438BA8D" w14:textId="77777777" w:rsidR="00806E7B" w:rsidRPr="00BF0E72" w:rsidRDefault="00806E7B" w:rsidP="00BF0E72">
      <w:pPr>
        <w:widowControl w:val="0"/>
        <w:autoSpaceDE w:val="0"/>
        <w:autoSpaceDN w:val="0"/>
        <w:spacing w:after="0" w:line="240" w:lineRule="auto"/>
        <w:ind w:left="993" w:right="138" w:hanging="852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</w:p>
    <w:bookmarkEnd w:id="16"/>
    <w:p w14:paraId="53097B11" w14:textId="77777777" w:rsidR="00806E7B" w:rsidRPr="00BF0E72" w:rsidRDefault="00806E7B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6E7B" w:rsidRPr="00BF0E72" w:rsidSect="00E007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C111" w14:textId="77777777" w:rsidR="00877BC8" w:rsidRDefault="00877BC8" w:rsidP="00A963E0">
      <w:pPr>
        <w:spacing w:after="0" w:line="240" w:lineRule="auto"/>
      </w:pPr>
      <w:r>
        <w:separator/>
      </w:r>
    </w:p>
  </w:endnote>
  <w:endnote w:type="continuationSeparator" w:id="0">
    <w:p w14:paraId="1C2BB362" w14:textId="77777777" w:rsidR="00877BC8" w:rsidRDefault="00877BC8" w:rsidP="00A9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D15C" w14:textId="77777777" w:rsidR="001A0AF4" w:rsidRDefault="001A0A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10505"/>
      <w:docPartObj>
        <w:docPartGallery w:val="Page Numbers (Bottom of Page)"/>
        <w:docPartUnique/>
      </w:docPartObj>
    </w:sdtPr>
    <w:sdtEndPr/>
    <w:sdtContent>
      <w:p w14:paraId="6F017AA6" w14:textId="7DA8B971" w:rsidR="00A963E0" w:rsidRDefault="00A963E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54A">
          <w:rPr>
            <w:noProof/>
          </w:rPr>
          <w:t>8</w:t>
        </w:r>
        <w:r>
          <w:fldChar w:fldCharType="end"/>
        </w:r>
      </w:p>
    </w:sdtContent>
  </w:sdt>
  <w:p w14:paraId="602833B8" w14:textId="77777777" w:rsidR="00A963E0" w:rsidRDefault="00A963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03A8" w14:textId="77777777" w:rsidR="001A0AF4" w:rsidRDefault="001A0A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11E9" w14:textId="77777777" w:rsidR="00877BC8" w:rsidRDefault="00877BC8" w:rsidP="00A963E0">
      <w:pPr>
        <w:spacing w:after="0" w:line="240" w:lineRule="auto"/>
      </w:pPr>
      <w:r>
        <w:separator/>
      </w:r>
    </w:p>
  </w:footnote>
  <w:footnote w:type="continuationSeparator" w:id="0">
    <w:p w14:paraId="2EBD7C67" w14:textId="77777777" w:rsidR="00877BC8" w:rsidRDefault="00877BC8" w:rsidP="00A9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5AC0" w14:textId="69191CF1" w:rsidR="001A0AF4" w:rsidRDefault="00760325">
    <w:pPr>
      <w:pStyle w:val="En-tte"/>
    </w:pPr>
    <w:r>
      <w:rPr>
        <w:noProof/>
      </w:rPr>
      <w:pict w14:anchorId="7C411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177751" o:spid="_x0000_s1026" type="#_x0000_t136" style="position:absolute;margin-left:0;margin-top:0;width:572.15pt;height:10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461F" w14:textId="0B10C93E" w:rsidR="001A0AF4" w:rsidRDefault="00760325">
    <w:pPr>
      <w:pStyle w:val="En-tte"/>
    </w:pPr>
    <w:r>
      <w:rPr>
        <w:noProof/>
      </w:rPr>
      <w:pict w14:anchorId="5BC40C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177752" o:spid="_x0000_s1027" type="#_x0000_t136" style="position:absolute;margin-left:0;margin-top:0;width:572.15pt;height:10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C139" w14:textId="28B55E02" w:rsidR="001A0AF4" w:rsidRDefault="00760325">
    <w:pPr>
      <w:pStyle w:val="En-tte"/>
    </w:pPr>
    <w:r>
      <w:rPr>
        <w:noProof/>
      </w:rPr>
      <w:pict w14:anchorId="20C10A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177750" o:spid="_x0000_s1025" type="#_x0000_t136" style="position:absolute;margin-left:0;margin-top:0;width:572.15pt;height:10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2951"/>
    <w:multiLevelType w:val="hybridMultilevel"/>
    <w:tmpl w:val="91A4E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28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E72"/>
    <w:rsid w:val="00000001"/>
    <w:rsid w:val="00017F08"/>
    <w:rsid w:val="000436D8"/>
    <w:rsid w:val="00057805"/>
    <w:rsid w:val="00097934"/>
    <w:rsid w:val="000A3B16"/>
    <w:rsid w:val="000D5FD5"/>
    <w:rsid w:val="000F7663"/>
    <w:rsid w:val="00121D67"/>
    <w:rsid w:val="00132736"/>
    <w:rsid w:val="001825BE"/>
    <w:rsid w:val="00184E30"/>
    <w:rsid w:val="00187867"/>
    <w:rsid w:val="001A0AF4"/>
    <w:rsid w:val="001C23F3"/>
    <w:rsid w:val="001D7787"/>
    <w:rsid w:val="001E6EBB"/>
    <w:rsid w:val="001F0234"/>
    <w:rsid w:val="00221442"/>
    <w:rsid w:val="00267DEA"/>
    <w:rsid w:val="0027551C"/>
    <w:rsid w:val="002940A8"/>
    <w:rsid w:val="002E0E75"/>
    <w:rsid w:val="002E3B4C"/>
    <w:rsid w:val="002E4F45"/>
    <w:rsid w:val="002F277D"/>
    <w:rsid w:val="00310DD8"/>
    <w:rsid w:val="00317E13"/>
    <w:rsid w:val="003570D7"/>
    <w:rsid w:val="00365CE2"/>
    <w:rsid w:val="00366BA4"/>
    <w:rsid w:val="00420736"/>
    <w:rsid w:val="00430CFA"/>
    <w:rsid w:val="00447C88"/>
    <w:rsid w:val="00456A04"/>
    <w:rsid w:val="00465100"/>
    <w:rsid w:val="00486DFC"/>
    <w:rsid w:val="004E2B68"/>
    <w:rsid w:val="0052603C"/>
    <w:rsid w:val="00546C53"/>
    <w:rsid w:val="00577CF1"/>
    <w:rsid w:val="005866E8"/>
    <w:rsid w:val="005D2254"/>
    <w:rsid w:val="005D7CFB"/>
    <w:rsid w:val="005E107D"/>
    <w:rsid w:val="005E188D"/>
    <w:rsid w:val="005E708F"/>
    <w:rsid w:val="005F23FA"/>
    <w:rsid w:val="00601C77"/>
    <w:rsid w:val="00631F99"/>
    <w:rsid w:val="0064054A"/>
    <w:rsid w:val="00645B65"/>
    <w:rsid w:val="00650F7D"/>
    <w:rsid w:val="00662B09"/>
    <w:rsid w:val="00671594"/>
    <w:rsid w:val="00673251"/>
    <w:rsid w:val="0067397D"/>
    <w:rsid w:val="006A13EA"/>
    <w:rsid w:val="006C17E7"/>
    <w:rsid w:val="006C1CA5"/>
    <w:rsid w:val="006E0468"/>
    <w:rsid w:val="006F45CF"/>
    <w:rsid w:val="006F780B"/>
    <w:rsid w:val="007046C1"/>
    <w:rsid w:val="0071284E"/>
    <w:rsid w:val="00760325"/>
    <w:rsid w:val="00764A91"/>
    <w:rsid w:val="00786783"/>
    <w:rsid w:val="0079228F"/>
    <w:rsid w:val="007B6536"/>
    <w:rsid w:val="007C5DC3"/>
    <w:rsid w:val="00806E7B"/>
    <w:rsid w:val="00811F2F"/>
    <w:rsid w:val="008246AE"/>
    <w:rsid w:val="008314F6"/>
    <w:rsid w:val="00837372"/>
    <w:rsid w:val="00846E83"/>
    <w:rsid w:val="00877BC8"/>
    <w:rsid w:val="008D1E01"/>
    <w:rsid w:val="00910B31"/>
    <w:rsid w:val="0095536B"/>
    <w:rsid w:val="009A155A"/>
    <w:rsid w:val="009B47DE"/>
    <w:rsid w:val="009E7BFE"/>
    <w:rsid w:val="009F12FF"/>
    <w:rsid w:val="009F76F3"/>
    <w:rsid w:val="00A0556E"/>
    <w:rsid w:val="00A107BC"/>
    <w:rsid w:val="00A2265F"/>
    <w:rsid w:val="00A55A4E"/>
    <w:rsid w:val="00A63985"/>
    <w:rsid w:val="00A83E72"/>
    <w:rsid w:val="00A93195"/>
    <w:rsid w:val="00A963E0"/>
    <w:rsid w:val="00AA2BFC"/>
    <w:rsid w:val="00AB3A7C"/>
    <w:rsid w:val="00AC1EF7"/>
    <w:rsid w:val="00AF53AA"/>
    <w:rsid w:val="00AF781A"/>
    <w:rsid w:val="00B26A93"/>
    <w:rsid w:val="00B33C28"/>
    <w:rsid w:val="00B90FA4"/>
    <w:rsid w:val="00BA2BB0"/>
    <w:rsid w:val="00BA4D6F"/>
    <w:rsid w:val="00BA5B3E"/>
    <w:rsid w:val="00BB4FE7"/>
    <w:rsid w:val="00BF0E72"/>
    <w:rsid w:val="00C92A9E"/>
    <w:rsid w:val="00CB46EE"/>
    <w:rsid w:val="00D0072E"/>
    <w:rsid w:val="00D00DAA"/>
    <w:rsid w:val="00D33BC6"/>
    <w:rsid w:val="00D613E3"/>
    <w:rsid w:val="00D76432"/>
    <w:rsid w:val="00D9257E"/>
    <w:rsid w:val="00DC2E33"/>
    <w:rsid w:val="00DE4383"/>
    <w:rsid w:val="00E0071A"/>
    <w:rsid w:val="00E04900"/>
    <w:rsid w:val="00E25BDD"/>
    <w:rsid w:val="00E96637"/>
    <w:rsid w:val="00EC7EAF"/>
    <w:rsid w:val="00EF5CEF"/>
    <w:rsid w:val="00F22C69"/>
    <w:rsid w:val="00F26771"/>
    <w:rsid w:val="00F41CC0"/>
    <w:rsid w:val="00F436C7"/>
    <w:rsid w:val="00F43B3D"/>
    <w:rsid w:val="00F663E3"/>
    <w:rsid w:val="00F7104A"/>
    <w:rsid w:val="00F73EBF"/>
    <w:rsid w:val="00F8191A"/>
    <w:rsid w:val="00F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F8B5A"/>
  <w15:docId w15:val="{17CE4C83-DEAA-43AB-A70D-84A7A501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EA"/>
  </w:style>
  <w:style w:type="paragraph" w:styleId="Titre1">
    <w:name w:val="heading 1"/>
    <w:basedOn w:val="Normal"/>
    <w:next w:val="Normal"/>
    <w:link w:val="Titre1Car"/>
    <w:uiPriority w:val="9"/>
    <w:qFormat/>
    <w:rsid w:val="00A8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3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3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3E7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3E7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3E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3E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3E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3E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3E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3E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3E7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3E7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3E7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63E0"/>
  </w:style>
  <w:style w:type="paragraph" w:styleId="Pieddepage">
    <w:name w:val="footer"/>
    <w:basedOn w:val="Normal"/>
    <w:link w:val="PieddepageCar"/>
    <w:uiPriority w:val="99"/>
    <w:unhideWhenUsed/>
    <w:rsid w:val="00A9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63E0"/>
  </w:style>
  <w:style w:type="paragraph" w:styleId="Textedebulles">
    <w:name w:val="Balloon Text"/>
    <w:basedOn w:val="Normal"/>
    <w:link w:val="TextedebullesCar"/>
    <w:uiPriority w:val="99"/>
    <w:semiHidden/>
    <w:unhideWhenUsed/>
    <w:rsid w:val="00AA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B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A15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x-mol.net/paperList/1/1116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dpi.com/journal/plants/special_issues/S310XG50DB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10</Pages>
  <Words>4098</Words>
  <Characters>22542</Characters>
  <Application>Microsoft Office Word</Application>
  <DocSecurity>0</DocSecurity>
  <Lines>187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2025-09-16T23:36:00Z</dcterms:created>
  <dcterms:modified xsi:type="dcterms:W3CDTF">2025-10-01T19:32:00Z</dcterms:modified>
</cp:coreProperties>
</file>