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BBC37" w14:textId="18DB8B69" w:rsidR="00AD4184" w:rsidRPr="00AD4184" w:rsidRDefault="00AD4184" w:rsidP="00AD4184">
      <w:pPr>
        <w:rPr>
          <w:rFonts w:ascii="Arial" w:hAnsi="Arial" w:cs="Arial"/>
          <w:b/>
          <w:sz w:val="36"/>
          <w:szCs w:val="36"/>
          <w:u w:val="single"/>
          <w:lang w:val="en-US"/>
        </w:rPr>
      </w:pPr>
      <w:r w:rsidRPr="00AD4184">
        <w:rPr>
          <w:rFonts w:ascii="Arial" w:hAnsi="Arial" w:cs="Arial"/>
          <w:b/>
          <w:sz w:val="36"/>
          <w:szCs w:val="36"/>
          <w:u w:val="single"/>
          <w:lang w:val="en-US"/>
        </w:rPr>
        <w:t xml:space="preserve">Short Research Article            </w:t>
      </w:r>
    </w:p>
    <w:p w14:paraId="5081F40D" w14:textId="1B98CDCC" w:rsidR="009F799C" w:rsidRPr="00BB0BEB" w:rsidRDefault="00492629" w:rsidP="00BB0BEB">
      <w:pPr>
        <w:jc w:val="right"/>
        <w:rPr>
          <w:rFonts w:ascii="Arial" w:hAnsi="Arial" w:cs="Arial"/>
          <w:b/>
          <w:sz w:val="36"/>
          <w:szCs w:val="36"/>
          <w:lang w:val="en-US"/>
        </w:rPr>
      </w:pPr>
      <w:r>
        <w:rPr>
          <w:rFonts w:ascii="Arial" w:hAnsi="Arial" w:cs="Arial"/>
          <w:b/>
          <w:sz w:val="36"/>
          <w:szCs w:val="36"/>
          <w:lang w:val="en-US"/>
        </w:rPr>
        <w:t xml:space="preserve"> </w:t>
      </w:r>
    </w:p>
    <w:p w14:paraId="30AF8939" w14:textId="2C3F04F9" w:rsidR="009F799C" w:rsidRPr="00492629" w:rsidRDefault="00492629" w:rsidP="00492629">
      <w:pPr>
        <w:spacing w:line="240" w:lineRule="auto"/>
        <w:jc w:val="right"/>
        <w:rPr>
          <w:rFonts w:ascii="Arial" w:hAnsi="Arial" w:cs="Arial"/>
          <w:b/>
          <w:sz w:val="36"/>
          <w:szCs w:val="36"/>
          <w:lang w:val="en-US"/>
        </w:rPr>
      </w:pPr>
      <w:r w:rsidRPr="00492629">
        <w:rPr>
          <w:rFonts w:ascii="Arial" w:hAnsi="Arial" w:cs="Arial"/>
          <w:b/>
          <w:sz w:val="36"/>
          <w:szCs w:val="36"/>
          <w:highlight w:val="yellow"/>
          <w:lang w:val="en-US"/>
        </w:rPr>
        <w:t xml:space="preserve">Ionospheric Phase Scintillation during Solar Cycle 24 over West Africa: Analysis from GPS Stations at </w:t>
      </w:r>
      <w:proofErr w:type="spellStart"/>
      <w:r w:rsidRPr="00492629">
        <w:rPr>
          <w:rFonts w:ascii="Arial" w:hAnsi="Arial" w:cs="Arial"/>
          <w:b/>
          <w:sz w:val="36"/>
          <w:szCs w:val="36"/>
          <w:highlight w:val="yellow"/>
          <w:lang w:val="en-US"/>
        </w:rPr>
        <w:t>Koudougou</w:t>
      </w:r>
      <w:proofErr w:type="spellEnd"/>
      <w:r w:rsidRPr="00492629">
        <w:rPr>
          <w:rFonts w:ascii="Arial" w:hAnsi="Arial" w:cs="Arial"/>
          <w:b/>
          <w:sz w:val="36"/>
          <w:szCs w:val="36"/>
          <w:highlight w:val="yellow"/>
          <w:lang w:val="en-US"/>
        </w:rPr>
        <w:t xml:space="preserve"> and Ouagadougou (BF01)</w:t>
      </w:r>
      <w:r w:rsidR="005C2A2A" w:rsidRPr="00492629">
        <w:rPr>
          <w:rFonts w:ascii="Arial" w:hAnsi="Arial" w:cs="Arial"/>
          <w:b/>
          <w:sz w:val="36"/>
          <w:szCs w:val="36"/>
          <w:lang w:val="en-US"/>
        </w:rPr>
        <w:t xml:space="preserve"> </w:t>
      </w:r>
      <w:r w:rsidR="009F799C" w:rsidRPr="00492629">
        <w:rPr>
          <w:rFonts w:ascii="Arial" w:hAnsi="Arial" w:cs="Arial"/>
          <w:b/>
          <w:sz w:val="36"/>
          <w:szCs w:val="36"/>
          <w:lang w:val="en-US"/>
        </w:rPr>
        <w:t xml:space="preserve"> </w:t>
      </w:r>
    </w:p>
    <w:p w14:paraId="59301949" w14:textId="77777777" w:rsidR="009F799C" w:rsidRPr="00BB0BEB" w:rsidRDefault="009F799C" w:rsidP="00C60BA0">
      <w:pPr>
        <w:jc w:val="both"/>
        <w:rPr>
          <w:rFonts w:ascii="Arial" w:hAnsi="Arial" w:cs="Arial"/>
          <w:b/>
          <w:sz w:val="20"/>
          <w:szCs w:val="20"/>
          <w:lang w:val="en-US"/>
        </w:rPr>
      </w:pPr>
    </w:p>
    <w:p w14:paraId="2546ED99" w14:textId="77777777" w:rsidR="006E00BA" w:rsidRPr="005C2A2A" w:rsidRDefault="006E00BA" w:rsidP="00C60BA0">
      <w:pPr>
        <w:jc w:val="both"/>
        <w:rPr>
          <w:rFonts w:ascii="Arial" w:hAnsi="Arial" w:cs="Arial"/>
          <w:b/>
          <w:lang w:val="en-US"/>
        </w:rPr>
      </w:pPr>
      <w:r w:rsidRPr="005C2A2A">
        <w:rPr>
          <w:rFonts w:ascii="Arial" w:hAnsi="Arial" w:cs="Arial"/>
          <w:b/>
          <w:lang w:val="en-US"/>
        </w:rPr>
        <w:t>Abstract</w:t>
      </w:r>
    </w:p>
    <w:p w14:paraId="2D15C586" w14:textId="51330786" w:rsidR="003C6653" w:rsidRPr="002F1209" w:rsidRDefault="00251C2D" w:rsidP="002F1209">
      <w:pPr>
        <w:pStyle w:val="HTMLPreformatted"/>
        <w:shd w:val="clear" w:color="auto" w:fill="F8F9FA"/>
        <w:jc w:val="both"/>
        <w:rPr>
          <w:rFonts w:ascii="Arial" w:hAnsi="Arial" w:cs="Arial"/>
          <w:color w:val="1F1F1F"/>
          <w:lang w:val="en-US"/>
        </w:rPr>
      </w:pPr>
      <w:r w:rsidRPr="00BB0BEB">
        <w:rPr>
          <w:rFonts w:ascii="Arial" w:hAnsi="Arial" w:cs="Arial"/>
          <w:lang w:val="en-US"/>
        </w:rPr>
        <w:t>Ionospheric scintillation is a phenomenon of rapid and irregular fluctuations in the intensity of radiofrequency signals passing through the ionosphere. It generally arises from interactions between GNSS signals and irregularities in the ionospheric plasma. These interactions can lead to rapid variations in the amplitude and/or phase of the signals passing through the ionosphere, giving rise to what is called amplitude and/or phase scintillation. Phase scintillation was the subject of this study.</w:t>
      </w:r>
      <w:r w:rsidR="006E00BA" w:rsidRPr="00BB0BEB">
        <w:rPr>
          <w:rFonts w:ascii="Arial" w:hAnsi="Arial" w:cs="Arial"/>
          <w:lang w:val="en-US"/>
        </w:rPr>
        <w:t xml:space="preserve"> Based on the RINEX data available at the GPS stations of </w:t>
      </w:r>
      <w:proofErr w:type="spellStart"/>
      <w:r w:rsidR="006E00BA" w:rsidRPr="00BB0BEB">
        <w:rPr>
          <w:rFonts w:ascii="Arial" w:hAnsi="Arial" w:cs="Arial"/>
          <w:lang w:val="en-US"/>
        </w:rPr>
        <w:t>Koudougou</w:t>
      </w:r>
      <w:proofErr w:type="spellEnd"/>
      <w:r w:rsidR="006E00BA" w:rsidRPr="00BB0BEB">
        <w:rPr>
          <w:rFonts w:ascii="Arial" w:hAnsi="Arial" w:cs="Arial"/>
          <w:lang w:val="en-US"/>
        </w:rPr>
        <w:t xml:space="preserve"> and BF01 of Ouagadougou, we calculated for solar cycle 24</w:t>
      </w:r>
      <w:r w:rsidR="003A76F5">
        <w:rPr>
          <w:rFonts w:ascii="Arial" w:hAnsi="Arial" w:cs="Arial"/>
          <w:lang w:val="en-US"/>
        </w:rPr>
        <w:t xml:space="preserve"> </w:t>
      </w:r>
      <w:r w:rsidR="003A76F5" w:rsidRPr="003A76F5">
        <w:rPr>
          <w:rFonts w:ascii="Arial" w:hAnsi="Arial" w:cs="Arial"/>
          <w:highlight w:val="yellow"/>
          <w:lang w:val="en-US"/>
        </w:rPr>
        <w:t>(2008-2018)</w:t>
      </w:r>
      <w:r w:rsidR="006E00BA" w:rsidRPr="003A76F5">
        <w:rPr>
          <w:rFonts w:ascii="Arial" w:hAnsi="Arial" w:cs="Arial"/>
          <w:highlight w:val="yellow"/>
          <w:lang w:val="en-US"/>
        </w:rPr>
        <w:t>,</w:t>
      </w:r>
      <w:r w:rsidR="006E00BA" w:rsidRPr="00BB0BEB">
        <w:rPr>
          <w:rFonts w:ascii="Arial" w:hAnsi="Arial" w:cs="Arial"/>
          <w:lang w:val="en-US"/>
        </w:rPr>
        <w:t xml:space="preserve"> the daily </w:t>
      </w:r>
      <w:r w:rsidR="006E00BA" w:rsidRPr="004D1F80">
        <w:rPr>
          <w:rFonts w:ascii="Arial" w:hAnsi="Arial" w:cs="Arial"/>
          <w:lang w:val="en-US"/>
        </w:rPr>
        <w:t xml:space="preserve">and monthly hourly values ​​of the </w:t>
      </w:r>
      <w:r w:rsidR="00354B17" w:rsidRPr="004D1F80">
        <w:rPr>
          <w:rFonts w:ascii="Arial" w:hAnsi="Arial" w:cs="Arial"/>
          <w:lang w:val="en-US"/>
        </w:rPr>
        <w:t xml:space="preserve">rate of total electron content change index </w:t>
      </w:r>
      <w:r w:rsidR="006E00BA" w:rsidRPr="004D1F80">
        <w:rPr>
          <w:rFonts w:ascii="Arial" w:hAnsi="Arial" w:cs="Arial"/>
          <w:lang w:val="en-US"/>
        </w:rPr>
        <w:t>(ROTI) which is a good indicator of phase scintil</w:t>
      </w:r>
      <w:r w:rsidR="00354B17" w:rsidRPr="004D1F80">
        <w:rPr>
          <w:rFonts w:ascii="Arial" w:hAnsi="Arial" w:cs="Arial"/>
          <w:lang w:val="en-US"/>
        </w:rPr>
        <w:t>lation. The study of the ROTI</w:t>
      </w:r>
      <w:r w:rsidR="006E00BA" w:rsidRPr="004D1F80">
        <w:rPr>
          <w:rFonts w:ascii="Arial" w:hAnsi="Arial" w:cs="Arial"/>
          <w:lang w:val="en-US"/>
        </w:rPr>
        <w:t xml:space="preserve"> in these two equatorial stations, shows an ionospheric phase scintillation after </w:t>
      </w:r>
      <w:r w:rsidR="006E00BA" w:rsidRPr="00BB0BEB">
        <w:rPr>
          <w:rFonts w:ascii="Arial" w:hAnsi="Arial" w:cs="Arial"/>
          <w:lang w:val="en-US"/>
        </w:rPr>
        <w:t>sunset from 2000 LT to 2300 LT during periods of quiet geomagnetic activity.</w:t>
      </w:r>
      <w:r w:rsidR="00EE279A" w:rsidRPr="00EE279A">
        <w:rPr>
          <w:lang w:val="en-US"/>
        </w:rPr>
        <w:t xml:space="preserve"> </w:t>
      </w:r>
      <w:r w:rsidR="00563C30">
        <w:rPr>
          <w:rFonts w:ascii="Arial" w:hAnsi="Arial" w:cs="Arial"/>
          <w:highlight w:val="yellow"/>
          <w:lang w:val="en-US"/>
        </w:rPr>
        <w:t>At this moment</w:t>
      </w:r>
      <w:r w:rsidR="00EE279A" w:rsidRPr="00EE279A">
        <w:rPr>
          <w:rFonts w:ascii="Arial" w:hAnsi="Arial" w:cs="Arial"/>
          <w:highlight w:val="yellow"/>
          <w:lang w:val="en-US"/>
        </w:rPr>
        <w:t xml:space="preserve"> of night, maximum ROTI values ​​of approximately 1 </w:t>
      </w:r>
      <w:proofErr w:type="spellStart"/>
      <w:r w:rsidR="00EE279A" w:rsidRPr="00EE279A">
        <w:rPr>
          <w:rFonts w:ascii="Arial" w:hAnsi="Arial" w:cs="Arial"/>
          <w:highlight w:val="yellow"/>
          <w:lang w:val="en-US"/>
        </w:rPr>
        <w:t>tecu</w:t>
      </w:r>
      <w:proofErr w:type="spellEnd"/>
      <w:r w:rsidR="00EE279A" w:rsidRPr="00EE279A">
        <w:rPr>
          <w:rFonts w:ascii="Arial" w:hAnsi="Arial" w:cs="Arial"/>
          <w:highlight w:val="yellow"/>
          <w:lang w:val="en-US"/>
        </w:rPr>
        <w:t xml:space="preserve">/min are recorded. The phenomenon often continues at a low intensity (approximately 0.5 </w:t>
      </w:r>
      <w:proofErr w:type="spellStart"/>
      <w:r w:rsidR="00EE279A" w:rsidRPr="00EE279A">
        <w:rPr>
          <w:rFonts w:ascii="Arial" w:hAnsi="Arial" w:cs="Arial"/>
          <w:highlight w:val="yellow"/>
          <w:lang w:val="en-US"/>
        </w:rPr>
        <w:t>tecu</w:t>
      </w:r>
      <w:proofErr w:type="spellEnd"/>
      <w:r w:rsidR="00EE279A" w:rsidRPr="00EE279A">
        <w:rPr>
          <w:rFonts w:ascii="Arial" w:hAnsi="Arial" w:cs="Arial"/>
          <w:highlight w:val="yellow"/>
          <w:lang w:val="en-US"/>
        </w:rPr>
        <w:t>/min) during the night between 0000LT and 0200LT.</w:t>
      </w:r>
      <w:r w:rsidR="006E00BA" w:rsidRPr="00EE279A">
        <w:rPr>
          <w:rFonts w:ascii="Arial" w:hAnsi="Arial" w:cs="Arial"/>
          <w:lang w:val="en-US"/>
        </w:rPr>
        <w:t xml:space="preserve"> </w:t>
      </w:r>
      <w:r w:rsidR="006E00BA" w:rsidRPr="00BB0BEB">
        <w:rPr>
          <w:rFonts w:ascii="Arial" w:hAnsi="Arial" w:cs="Arial"/>
          <w:lang w:val="en-US"/>
        </w:rPr>
        <w:t>The nocturnal scintillation phenomenon is explained by the formation of plasma bubbles caused by the Rayleigh-Taylor instability after sunset. Phase scintillation is strongly influenced b</w:t>
      </w:r>
      <w:r w:rsidR="00F84FFD">
        <w:rPr>
          <w:rFonts w:ascii="Arial" w:hAnsi="Arial" w:cs="Arial"/>
          <w:lang w:val="en-US"/>
        </w:rPr>
        <w:t xml:space="preserve">y solar activity. The </w:t>
      </w:r>
      <w:r w:rsidR="00EE279A">
        <w:rPr>
          <w:rFonts w:ascii="Arial" w:hAnsi="Arial" w:cs="Arial"/>
          <w:lang w:val="en-US"/>
        </w:rPr>
        <w:t xml:space="preserve">ROTI </w:t>
      </w:r>
      <w:r w:rsidR="00EE279A" w:rsidRPr="00BB0BEB">
        <w:rPr>
          <w:rFonts w:ascii="Arial" w:hAnsi="Arial" w:cs="Arial"/>
          <w:lang w:val="en-US"/>
        </w:rPr>
        <w:t>is</w:t>
      </w:r>
      <w:r w:rsidR="006E00BA" w:rsidRPr="00BB0BEB">
        <w:rPr>
          <w:rFonts w:ascii="Arial" w:hAnsi="Arial" w:cs="Arial"/>
          <w:lang w:val="en-US"/>
        </w:rPr>
        <w:t xml:space="preserve"> indeed higher at solar </w:t>
      </w:r>
      <w:r w:rsidR="006E00BA" w:rsidRPr="002F1209">
        <w:rPr>
          <w:rFonts w:ascii="Arial" w:hAnsi="Arial" w:cs="Arial"/>
          <w:lang w:val="en-US"/>
        </w:rPr>
        <w:t>maximum</w:t>
      </w:r>
      <w:r w:rsidR="002F1209" w:rsidRPr="002F1209">
        <w:rPr>
          <w:rStyle w:val="HTMLPreformattedChar"/>
          <w:rFonts w:ascii="inherit" w:eastAsiaTheme="minorHAnsi" w:hAnsi="inherit"/>
          <w:color w:val="1F1F1F"/>
          <w:lang w:val="en"/>
        </w:rPr>
        <w:t xml:space="preserve"> </w:t>
      </w:r>
      <w:r w:rsidR="002F1209" w:rsidRPr="002F1209">
        <w:rPr>
          <w:rFonts w:ascii="Arial" w:hAnsi="Arial" w:cs="Arial"/>
          <w:color w:val="1F1F1F"/>
          <w:highlight w:val="yellow"/>
          <w:lang w:val="en"/>
        </w:rPr>
        <w:t xml:space="preserve">with a peak value exceeding 1.5 </w:t>
      </w:r>
      <w:proofErr w:type="spellStart"/>
      <w:r w:rsidR="002F1209" w:rsidRPr="002F1209">
        <w:rPr>
          <w:rFonts w:ascii="Arial" w:hAnsi="Arial" w:cs="Arial"/>
          <w:color w:val="1F1F1F"/>
          <w:highlight w:val="yellow"/>
          <w:lang w:val="en"/>
        </w:rPr>
        <w:t>tecu</w:t>
      </w:r>
      <w:proofErr w:type="spellEnd"/>
      <w:r w:rsidR="002F1209" w:rsidRPr="002F1209">
        <w:rPr>
          <w:rFonts w:ascii="Arial" w:hAnsi="Arial" w:cs="Arial"/>
          <w:color w:val="1F1F1F"/>
          <w:highlight w:val="yellow"/>
          <w:lang w:val="en"/>
        </w:rPr>
        <w:t>/min</w:t>
      </w:r>
      <w:r w:rsidR="002F1209" w:rsidRPr="002F1209">
        <w:rPr>
          <w:rFonts w:ascii="Arial" w:hAnsi="Arial" w:cs="Arial"/>
          <w:color w:val="1F1F1F"/>
          <w:lang w:val="en"/>
        </w:rPr>
        <w:t>.</w:t>
      </w:r>
      <w:r w:rsidR="002F1209">
        <w:rPr>
          <w:rFonts w:ascii="Arial" w:hAnsi="Arial" w:cs="Arial"/>
          <w:color w:val="1F1F1F"/>
          <w:lang w:val="en"/>
        </w:rPr>
        <w:t xml:space="preserve"> </w:t>
      </w:r>
      <w:r w:rsidR="006E00BA" w:rsidRPr="00BB0BEB">
        <w:rPr>
          <w:rFonts w:ascii="Arial" w:hAnsi="Arial" w:cs="Arial"/>
          <w:lang w:val="en-US"/>
        </w:rPr>
        <w:t>Seasonal effects are also noted in the disturbance of GNSS signals. ROTI values ​​are indeed higher at the equinoxes than at the solstices. During geomagnetic storms, phase scintillation is inhibited when the main phase occurs in the morning. When the main phase occurs after sunset, scintillation occurs in the same evening during the main phase or in the overlap phase. After sunset, the increase in the intensity of the ring current in the main phase causes the formation of ionospheric irregularitie</w:t>
      </w:r>
      <w:r w:rsidR="0006176E">
        <w:rPr>
          <w:rFonts w:ascii="Arial" w:hAnsi="Arial" w:cs="Arial"/>
          <w:lang w:val="en-US"/>
        </w:rPr>
        <w:t xml:space="preserve">s responsible for scintillation. </w:t>
      </w:r>
      <w:r w:rsidR="0006176E" w:rsidRPr="0006176E">
        <w:rPr>
          <w:rFonts w:ascii="Arial" w:hAnsi="Arial" w:cs="Arial"/>
          <w:highlight w:val="yellow"/>
          <w:lang w:val="en-US"/>
        </w:rPr>
        <w:t>It is very important to understand ionospheric irregularities in order to better optimize the reliability of GNSS system</w:t>
      </w:r>
      <w:r w:rsidR="0006176E" w:rsidRPr="0006176E">
        <w:rPr>
          <w:rFonts w:ascii="Arial" w:hAnsi="Arial" w:cs="Arial"/>
          <w:lang w:val="en-US"/>
        </w:rPr>
        <w:t>.</w:t>
      </w:r>
    </w:p>
    <w:p w14:paraId="37476F56" w14:textId="77777777" w:rsidR="005C2A2A" w:rsidRPr="005C2A2A" w:rsidRDefault="005C2A2A" w:rsidP="002F1209">
      <w:pPr>
        <w:jc w:val="both"/>
        <w:rPr>
          <w:rFonts w:ascii="Arial" w:hAnsi="Arial" w:cs="Arial"/>
          <w:i/>
          <w:sz w:val="20"/>
          <w:szCs w:val="20"/>
          <w:lang w:val="en-US"/>
        </w:rPr>
      </w:pPr>
      <w:r w:rsidRPr="005C2A2A">
        <w:rPr>
          <w:rFonts w:ascii="Arial" w:hAnsi="Arial" w:cs="Arial"/>
          <w:i/>
          <w:sz w:val="20"/>
          <w:szCs w:val="20"/>
          <w:lang w:val="en-US"/>
        </w:rPr>
        <w:t>Keywords: Scintillation, ROTI index, TEC, Plasma bubbles, magnetic storms</w:t>
      </w:r>
    </w:p>
    <w:p w14:paraId="4A86FEEC" w14:textId="77777777" w:rsidR="003C6653" w:rsidRPr="00BB0BEB" w:rsidRDefault="003C6653" w:rsidP="00C60BA0">
      <w:pPr>
        <w:jc w:val="both"/>
        <w:rPr>
          <w:rFonts w:ascii="Arial" w:hAnsi="Arial" w:cs="Arial"/>
          <w:sz w:val="20"/>
          <w:szCs w:val="20"/>
          <w:lang w:val="en-US"/>
        </w:rPr>
      </w:pPr>
      <w:r w:rsidRPr="00BB0BEB">
        <w:rPr>
          <w:rFonts w:ascii="Arial" w:hAnsi="Arial" w:cs="Arial"/>
          <w:sz w:val="20"/>
          <w:szCs w:val="20"/>
          <w:lang w:val="en-US"/>
        </w:rPr>
        <w:br w:type="page"/>
      </w:r>
    </w:p>
    <w:p w14:paraId="37EE84EB" w14:textId="77777777" w:rsidR="00F01F44" w:rsidRPr="005C2A2A" w:rsidRDefault="005C2A2A" w:rsidP="00C60BA0">
      <w:pPr>
        <w:pStyle w:val="ListParagraph"/>
        <w:numPr>
          <w:ilvl w:val="0"/>
          <w:numId w:val="1"/>
        </w:numPr>
        <w:jc w:val="both"/>
        <w:rPr>
          <w:rFonts w:ascii="Arial" w:hAnsi="Arial" w:cs="Arial"/>
          <w:b/>
          <w:lang w:val="en-US"/>
        </w:rPr>
      </w:pPr>
      <w:r w:rsidRPr="005C2A2A">
        <w:rPr>
          <w:rFonts w:ascii="Arial" w:hAnsi="Arial" w:cs="Arial"/>
          <w:b/>
          <w:lang w:val="en-US"/>
        </w:rPr>
        <w:lastRenderedPageBreak/>
        <w:t xml:space="preserve">INTRODUCTION </w:t>
      </w:r>
    </w:p>
    <w:p w14:paraId="546DF566" w14:textId="6247C078" w:rsidR="003C6653" w:rsidRPr="00BB0BEB" w:rsidRDefault="003C6653" w:rsidP="00C60BA0">
      <w:pPr>
        <w:jc w:val="both"/>
        <w:rPr>
          <w:rFonts w:ascii="Arial" w:hAnsi="Arial" w:cs="Arial"/>
          <w:sz w:val="20"/>
          <w:szCs w:val="20"/>
          <w:lang w:val="en-US"/>
        </w:rPr>
      </w:pPr>
      <w:r w:rsidRPr="00BB0BEB">
        <w:rPr>
          <w:rFonts w:ascii="Arial" w:hAnsi="Arial" w:cs="Arial"/>
          <w:sz w:val="20"/>
          <w:szCs w:val="20"/>
          <w:lang w:val="en-US"/>
        </w:rPr>
        <w:t xml:space="preserve">The ionosphere plays a very important role in telecommunication, navigation, and GPS satellite positioning systems. Radio signals passing through this layer of the Earth's atmosphere are often disrupted by irregularities in electron density within ionospheric plasma bubbles. The interaction of these irregularities with the Global Navigation Satellite System (GNSS) could lead to rapid fluctuations in the amplitude and/or phase of the signals, giving rise to a phenomenon known as scintillations (Aarons, 1982). Ionospheric scintillations vary depending on the frequency of the emitted signal, geomagnetic latitude, local time, season and solar activity. They are very important in the equatorial region. Indeed, the geomagnetic field is horizontal and the ionospheric height is strongly controlled by the electric field, making the ionosphere unstable especially after nightfall (Aarons and </w:t>
      </w:r>
      <w:proofErr w:type="spellStart"/>
      <w:r w:rsidRPr="00BB0BEB">
        <w:rPr>
          <w:rFonts w:ascii="Arial" w:hAnsi="Arial" w:cs="Arial"/>
          <w:sz w:val="20"/>
          <w:szCs w:val="20"/>
          <w:lang w:val="en-US"/>
        </w:rPr>
        <w:t>Basu</w:t>
      </w:r>
      <w:proofErr w:type="spellEnd"/>
      <w:r w:rsidRPr="00BB0BEB">
        <w:rPr>
          <w:rFonts w:ascii="Arial" w:hAnsi="Arial" w:cs="Arial"/>
          <w:sz w:val="20"/>
          <w:szCs w:val="20"/>
          <w:lang w:val="en-US"/>
        </w:rPr>
        <w:t xml:space="preserve">, 1994). The GPS receivers of </w:t>
      </w:r>
      <w:proofErr w:type="spellStart"/>
      <w:r w:rsidRPr="00BB0BEB">
        <w:rPr>
          <w:rFonts w:ascii="Arial" w:hAnsi="Arial" w:cs="Arial"/>
          <w:sz w:val="20"/>
          <w:szCs w:val="20"/>
          <w:lang w:val="en-US"/>
        </w:rPr>
        <w:t>Koudougou</w:t>
      </w:r>
      <w:proofErr w:type="spellEnd"/>
      <w:r w:rsidRPr="00BB0BEB">
        <w:rPr>
          <w:rFonts w:ascii="Arial" w:hAnsi="Arial" w:cs="Arial"/>
          <w:sz w:val="20"/>
          <w:szCs w:val="20"/>
          <w:lang w:val="en-US"/>
        </w:rPr>
        <w:t xml:space="preserve"> and BF01 of Ouagadougou (Burkina Faso) are located in the equatorial ionization trough near the northern ridge of the West African zone. They provide respectively RINEX (Receiver Independent Exchange </w:t>
      </w:r>
      <w:r w:rsidRPr="00F84FFD">
        <w:rPr>
          <w:rFonts w:ascii="Arial" w:hAnsi="Arial" w:cs="Arial"/>
          <w:sz w:val="20"/>
          <w:szCs w:val="20"/>
          <w:lang w:val="en-US"/>
        </w:rPr>
        <w:t>Format) data and raw data convertible into RINEX f</w:t>
      </w:r>
      <w:r w:rsidR="007555FB">
        <w:rPr>
          <w:rFonts w:ascii="Arial" w:hAnsi="Arial" w:cs="Arial"/>
          <w:sz w:val="20"/>
          <w:szCs w:val="20"/>
          <w:lang w:val="en-US"/>
        </w:rPr>
        <w:t>ormat (</w:t>
      </w:r>
      <w:proofErr w:type="spellStart"/>
      <w:r w:rsidR="007555FB">
        <w:rPr>
          <w:rFonts w:ascii="Arial" w:hAnsi="Arial" w:cs="Arial"/>
          <w:sz w:val="20"/>
          <w:szCs w:val="20"/>
          <w:lang w:val="en-US"/>
        </w:rPr>
        <w:t>Ouédraogo</w:t>
      </w:r>
      <w:proofErr w:type="spellEnd"/>
      <w:r w:rsidR="007555FB">
        <w:rPr>
          <w:rFonts w:ascii="Arial" w:hAnsi="Arial" w:cs="Arial"/>
          <w:sz w:val="20"/>
          <w:szCs w:val="20"/>
          <w:lang w:val="en-US"/>
        </w:rPr>
        <w:t xml:space="preserve"> et al., 2024).</w:t>
      </w:r>
      <w:r w:rsidR="00F72244" w:rsidRPr="00F72244">
        <w:rPr>
          <w:lang w:val="en-US"/>
        </w:rPr>
        <w:t xml:space="preserve"> </w:t>
      </w:r>
      <w:r w:rsidR="00F72244" w:rsidRPr="00F72244">
        <w:rPr>
          <w:rFonts w:ascii="Arial" w:hAnsi="Arial" w:cs="Arial"/>
          <w:color w:val="FF0000"/>
          <w:sz w:val="20"/>
          <w:szCs w:val="20"/>
          <w:lang w:val="en-US"/>
        </w:rPr>
        <w:t>This work focuses on the available data for solar cycle 24 (2008-2018). Based on these RINEX data, we study phase scintillation at</w:t>
      </w:r>
      <w:r w:rsidR="00D16135">
        <w:rPr>
          <w:rFonts w:ascii="Arial" w:hAnsi="Arial" w:cs="Arial"/>
          <w:color w:val="FF0000"/>
          <w:sz w:val="20"/>
          <w:szCs w:val="20"/>
          <w:lang w:val="en-US"/>
        </w:rPr>
        <w:t xml:space="preserve"> the</w:t>
      </w:r>
      <w:r w:rsidR="00F72244" w:rsidRPr="00F72244">
        <w:rPr>
          <w:rFonts w:ascii="Arial" w:hAnsi="Arial" w:cs="Arial"/>
          <w:color w:val="FF0000"/>
          <w:sz w:val="20"/>
          <w:szCs w:val="20"/>
          <w:lang w:val="en-US"/>
        </w:rPr>
        <w:t xml:space="preserve"> two equatorial stations.</w:t>
      </w:r>
      <w:r w:rsidRPr="00F72244">
        <w:rPr>
          <w:rFonts w:ascii="Arial" w:hAnsi="Arial" w:cs="Arial"/>
          <w:color w:val="FF0000"/>
          <w:sz w:val="20"/>
          <w:szCs w:val="20"/>
          <w:lang w:val="en-US"/>
        </w:rPr>
        <w:t xml:space="preserve"> </w:t>
      </w:r>
      <w:r w:rsidRPr="00F84FFD">
        <w:rPr>
          <w:rFonts w:ascii="Arial" w:hAnsi="Arial" w:cs="Arial"/>
          <w:sz w:val="20"/>
          <w:szCs w:val="20"/>
          <w:lang w:val="en-US"/>
        </w:rPr>
        <w:t xml:space="preserve">It should be noted that ROTI is used to evaluate the rapidity of variations in total electron content (TEC), which can affect </w:t>
      </w:r>
      <w:r w:rsidRPr="00BB0BEB">
        <w:rPr>
          <w:rFonts w:ascii="Arial" w:hAnsi="Arial" w:cs="Arial"/>
          <w:sz w:val="20"/>
          <w:szCs w:val="20"/>
          <w:lang w:val="en-US"/>
        </w:rPr>
        <w:t>GNSS signals by causing scintillations.</w:t>
      </w:r>
    </w:p>
    <w:p w14:paraId="196C3594" w14:textId="77777777" w:rsidR="003C6653" w:rsidRPr="00BB0BEB" w:rsidRDefault="003C6653" w:rsidP="00C60BA0">
      <w:pPr>
        <w:jc w:val="both"/>
        <w:rPr>
          <w:rFonts w:ascii="Arial" w:hAnsi="Arial" w:cs="Arial"/>
          <w:sz w:val="20"/>
          <w:szCs w:val="20"/>
          <w:lang w:val="en-US"/>
        </w:rPr>
      </w:pPr>
      <w:r w:rsidRPr="00F84FFD">
        <w:rPr>
          <w:rFonts w:ascii="Arial" w:hAnsi="Arial" w:cs="Arial"/>
          <w:sz w:val="20"/>
          <w:szCs w:val="20"/>
          <w:lang w:val="en-US"/>
        </w:rPr>
        <w:t>Section 2 of this work deals with the data and methodology us</w:t>
      </w:r>
      <w:r w:rsidR="00F84FFD" w:rsidRPr="00F84FFD">
        <w:rPr>
          <w:rFonts w:ascii="Arial" w:hAnsi="Arial" w:cs="Arial"/>
          <w:sz w:val="20"/>
          <w:szCs w:val="20"/>
          <w:lang w:val="en-US"/>
        </w:rPr>
        <w:t xml:space="preserve">ed. In Section 3 we present </w:t>
      </w:r>
      <w:r w:rsidR="009D58F4" w:rsidRPr="00F84FFD">
        <w:rPr>
          <w:rFonts w:ascii="Arial" w:hAnsi="Arial" w:cs="Arial"/>
          <w:sz w:val="20"/>
          <w:szCs w:val="20"/>
          <w:lang w:val="en-US"/>
        </w:rPr>
        <w:t>the obtained results</w:t>
      </w:r>
      <w:r w:rsidR="00F84FFD" w:rsidRPr="00F84FFD">
        <w:rPr>
          <w:rFonts w:ascii="Arial" w:hAnsi="Arial" w:cs="Arial"/>
          <w:sz w:val="20"/>
          <w:szCs w:val="20"/>
          <w:lang w:val="en-US"/>
        </w:rPr>
        <w:t xml:space="preserve"> </w:t>
      </w:r>
      <w:r w:rsidRPr="00F84FFD">
        <w:rPr>
          <w:rFonts w:ascii="Arial" w:hAnsi="Arial" w:cs="Arial"/>
          <w:sz w:val="20"/>
          <w:szCs w:val="20"/>
          <w:lang w:val="en-US"/>
        </w:rPr>
        <w:t xml:space="preserve">followed by discussion. The results concern on the one hand the hourly variations of the ROTI index </w:t>
      </w:r>
      <w:r w:rsidRPr="00BB0BEB">
        <w:rPr>
          <w:rFonts w:ascii="Arial" w:hAnsi="Arial" w:cs="Arial"/>
          <w:sz w:val="20"/>
          <w:szCs w:val="20"/>
          <w:lang w:val="en-US"/>
        </w:rPr>
        <w:t>during periods of calm activity according to solar phases and seasons and on the other hand the evaluation of the impact of some geomagnetic storms on the hourly variation of the ROTI. Section 4 is devoted to the conclusion and study perspectives.</w:t>
      </w:r>
    </w:p>
    <w:p w14:paraId="67503B57" w14:textId="77777777" w:rsidR="003C6653" w:rsidRPr="005C2A2A" w:rsidRDefault="003C6653" w:rsidP="00C60BA0">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Arial" w:eastAsia="Times New Roman" w:hAnsi="Arial" w:cs="Arial"/>
          <w:b/>
          <w:color w:val="1F1F1F"/>
          <w:lang w:eastAsia="fr-FR"/>
        </w:rPr>
      </w:pPr>
      <w:r w:rsidRPr="005C2A2A">
        <w:rPr>
          <w:rFonts w:ascii="Arial" w:eastAsia="Times New Roman" w:hAnsi="Arial" w:cs="Arial"/>
          <w:b/>
          <w:color w:val="1F1F1F"/>
          <w:lang w:val="en" w:eastAsia="fr-FR"/>
        </w:rPr>
        <w:t xml:space="preserve"> Data and methodology</w:t>
      </w:r>
    </w:p>
    <w:p w14:paraId="0C016AE0" w14:textId="77777777" w:rsidR="003C6653" w:rsidRPr="00BB0BEB" w:rsidRDefault="003C6653" w:rsidP="00C60BA0">
      <w:pPr>
        <w:jc w:val="both"/>
        <w:rPr>
          <w:rFonts w:ascii="Arial" w:hAnsi="Arial" w:cs="Arial"/>
          <w:sz w:val="20"/>
          <w:szCs w:val="20"/>
          <w:lang w:val="en-US"/>
        </w:rPr>
      </w:pPr>
      <w:r w:rsidRPr="00BB0BEB">
        <w:rPr>
          <w:rFonts w:ascii="Arial" w:hAnsi="Arial" w:cs="Arial"/>
          <w:sz w:val="20"/>
          <w:szCs w:val="20"/>
          <w:lang w:val="en-US"/>
        </w:rPr>
        <w:t>In this section, we indicate on the one hand the data used and on the other hand the methodology adopted for the study.</w:t>
      </w:r>
    </w:p>
    <w:p w14:paraId="2D6DC6ED" w14:textId="77777777" w:rsidR="003C6653" w:rsidRPr="005C2A2A" w:rsidRDefault="003C6653" w:rsidP="005C2A2A">
      <w:pPr>
        <w:pStyle w:val="ListParagraph"/>
        <w:numPr>
          <w:ilvl w:val="1"/>
          <w:numId w:val="1"/>
        </w:numPr>
        <w:ind w:left="851" w:hanging="491"/>
        <w:jc w:val="both"/>
        <w:rPr>
          <w:rFonts w:ascii="Arial" w:hAnsi="Arial" w:cs="Arial"/>
          <w:b/>
          <w:lang w:val="en-US"/>
        </w:rPr>
      </w:pPr>
      <w:r w:rsidRPr="00BB0BEB">
        <w:rPr>
          <w:rFonts w:ascii="Arial" w:hAnsi="Arial" w:cs="Arial"/>
          <w:b/>
          <w:sz w:val="20"/>
          <w:szCs w:val="20"/>
          <w:lang w:val="en-US"/>
        </w:rPr>
        <w:t xml:space="preserve"> </w:t>
      </w:r>
      <w:r w:rsidRPr="005C2A2A">
        <w:rPr>
          <w:rFonts w:ascii="Arial" w:hAnsi="Arial" w:cs="Arial"/>
          <w:b/>
          <w:lang w:val="en-US"/>
        </w:rPr>
        <w:t xml:space="preserve">Data used </w:t>
      </w:r>
    </w:p>
    <w:p w14:paraId="67754ABC" w14:textId="77777777" w:rsidR="003C6653" w:rsidRPr="00BB0BEB" w:rsidRDefault="003C6653" w:rsidP="00C60BA0">
      <w:pPr>
        <w:jc w:val="both"/>
        <w:rPr>
          <w:rFonts w:ascii="Arial" w:hAnsi="Arial" w:cs="Arial"/>
          <w:sz w:val="20"/>
          <w:szCs w:val="20"/>
          <w:lang w:val="en-US"/>
        </w:rPr>
      </w:pPr>
      <w:r w:rsidRPr="00BB0BEB">
        <w:rPr>
          <w:rFonts w:ascii="Arial" w:hAnsi="Arial" w:cs="Arial"/>
          <w:sz w:val="20"/>
          <w:szCs w:val="20"/>
          <w:lang w:val="en-US"/>
        </w:rPr>
        <w:t xml:space="preserve">In this work we used RINEX (Receiver Independent Exchange Format) data from the GPS stations of </w:t>
      </w:r>
      <w:proofErr w:type="spellStart"/>
      <w:r w:rsidRPr="00BB0BEB">
        <w:rPr>
          <w:rFonts w:ascii="Arial" w:hAnsi="Arial" w:cs="Arial"/>
          <w:sz w:val="20"/>
          <w:szCs w:val="20"/>
          <w:lang w:val="en-US"/>
        </w:rPr>
        <w:t>Koudougou</w:t>
      </w:r>
      <w:proofErr w:type="spellEnd"/>
      <w:r w:rsidRPr="00BB0BEB">
        <w:rPr>
          <w:rFonts w:ascii="Arial" w:hAnsi="Arial" w:cs="Arial"/>
          <w:sz w:val="20"/>
          <w:szCs w:val="20"/>
          <w:lang w:val="en-US"/>
        </w:rPr>
        <w:t xml:space="preserve"> (Geo Lat: 12°15’N; Geo Long: -2°20’E) and BF01 of Ouagadougou (Geo Lat: </w:t>
      </w:r>
      <w:r w:rsidR="00F84FFD">
        <w:rPr>
          <w:rFonts w:ascii="Arial" w:hAnsi="Arial" w:cs="Arial"/>
          <w:sz w:val="20"/>
          <w:szCs w:val="20"/>
          <w:lang w:val="en-US"/>
        </w:rPr>
        <w:t xml:space="preserve">12°37’N; Geo Long: -1°51W). </w:t>
      </w:r>
      <w:proofErr w:type="spellStart"/>
      <w:r w:rsidRPr="00BB0BEB">
        <w:rPr>
          <w:rFonts w:ascii="Arial" w:hAnsi="Arial" w:cs="Arial"/>
          <w:sz w:val="20"/>
          <w:szCs w:val="20"/>
          <w:lang w:val="en-US"/>
        </w:rPr>
        <w:t>Koudougou</w:t>
      </w:r>
      <w:proofErr w:type="spellEnd"/>
      <w:r w:rsidRPr="00BB0BEB">
        <w:rPr>
          <w:rFonts w:ascii="Arial" w:hAnsi="Arial" w:cs="Arial"/>
          <w:sz w:val="20"/>
          <w:szCs w:val="20"/>
          <w:lang w:val="en-US"/>
        </w:rPr>
        <w:t xml:space="preserve"> GPS receiver was provided by the </w:t>
      </w:r>
      <w:proofErr w:type="spellStart"/>
      <w:r w:rsidRPr="00BB0BEB">
        <w:rPr>
          <w:rFonts w:ascii="Arial" w:hAnsi="Arial" w:cs="Arial"/>
          <w:sz w:val="20"/>
          <w:szCs w:val="20"/>
          <w:lang w:val="en-US"/>
        </w:rPr>
        <w:t>Institut</w:t>
      </w:r>
      <w:proofErr w:type="spellEnd"/>
      <w:r w:rsidRPr="00BB0BEB">
        <w:rPr>
          <w:rFonts w:ascii="Arial" w:hAnsi="Arial" w:cs="Arial"/>
          <w:sz w:val="20"/>
          <w:szCs w:val="20"/>
          <w:lang w:val="en-US"/>
        </w:rPr>
        <w:t xml:space="preserve"> Mines-</w:t>
      </w:r>
      <w:proofErr w:type="spellStart"/>
      <w:r w:rsidRPr="00BB0BEB">
        <w:rPr>
          <w:rFonts w:ascii="Arial" w:hAnsi="Arial" w:cs="Arial"/>
          <w:sz w:val="20"/>
          <w:szCs w:val="20"/>
          <w:lang w:val="en-US"/>
        </w:rPr>
        <w:t>Télécom</w:t>
      </w:r>
      <w:proofErr w:type="spellEnd"/>
      <w:r w:rsidRPr="00BB0BEB">
        <w:rPr>
          <w:rFonts w:ascii="Arial" w:hAnsi="Arial" w:cs="Arial"/>
          <w:sz w:val="20"/>
          <w:szCs w:val="20"/>
          <w:lang w:val="en-US"/>
        </w:rPr>
        <w:t xml:space="preserve"> (formerly Ecole </w:t>
      </w:r>
      <w:proofErr w:type="spellStart"/>
      <w:r w:rsidRPr="00BB0BEB">
        <w:rPr>
          <w:rFonts w:ascii="Arial" w:hAnsi="Arial" w:cs="Arial"/>
          <w:sz w:val="20"/>
          <w:szCs w:val="20"/>
          <w:lang w:val="en-US"/>
        </w:rPr>
        <w:t>Nationale</w:t>
      </w:r>
      <w:proofErr w:type="spellEnd"/>
      <w:r w:rsidRPr="00BB0BEB">
        <w:rPr>
          <w:rFonts w:ascii="Arial" w:hAnsi="Arial" w:cs="Arial"/>
          <w:sz w:val="20"/>
          <w:szCs w:val="20"/>
          <w:lang w:val="en-US"/>
        </w:rPr>
        <w:t xml:space="preserve"> de </w:t>
      </w:r>
      <w:proofErr w:type="spellStart"/>
      <w:r w:rsidRPr="00BB0BEB">
        <w:rPr>
          <w:rFonts w:ascii="Arial" w:hAnsi="Arial" w:cs="Arial"/>
          <w:sz w:val="20"/>
          <w:szCs w:val="20"/>
          <w:lang w:val="en-US"/>
        </w:rPr>
        <w:t>Télécommunication</w:t>
      </w:r>
      <w:proofErr w:type="spellEnd"/>
      <w:r w:rsidRPr="00BB0BEB">
        <w:rPr>
          <w:rFonts w:ascii="Arial" w:hAnsi="Arial" w:cs="Arial"/>
          <w:sz w:val="20"/>
          <w:szCs w:val="20"/>
          <w:lang w:val="en-US"/>
        </w:rPr>
        <w:t xml:space="preserve"> de Bretagne) as part of the IHY (International </w:t>
      </w:r>
      <w:proofErr w:type="spellStart"/>
      <w:r w:rsidRPr="00BB0BEB">
        <w:rPr>
          <w:rFonts w:ascii="Arial" w:hAnsi="Arial" w:cs="Arial"/>
          <w:sz w:val="20"/>
          <w:szCs w:val="20"/>
          <w:lang w:val="en-US"/>
        </w:rPr>
        <w:t>Heliophysical</w:t>
      </w:r>
      <w:proofErr w:type="spellEnd"/>
      <w:r w:rsidRPr="00BB0BEB">
        <w:rPr>
          <w:rFonts w:ascii="Arial" w:hAnsi="Arial" w:cs="Arial"/>
          <w:sz w:val="20"/>
          <w:szCs w:val="20"/>
          <w:lang w:val="en-US"/>
        </w:rPr>
        <w:t xml:space="preserve"> Year) project initiated by GIRGEA (Europe-Africa </w:t>
      </w:r>
      <w:r w:rsidR="00443FBE">
        <w:rPr>
          <w:rFonts w:ascii="Arial" w:hAnsi="Arial" w:cs="Arial"/>
          <w:sz w:val="20"/>
          <w:szCs w:val="20"/>
          <w:lang w:val="en-US"/>
        </w:rPr>
        <w:t>Study and Research Group)</w:t>
      </w:r>
      <w:r w:rsidRPr="00BB0BEB">
        <w:rPr>
          <w:rFonts w:ascii="Arial" w:hAnsi="Arial" w:cs="Arial"/>
          <w:sz w:val="20"/>
          <w:szCs w:val="20"/>
          <w:lang w:val="en-US"/>
        </w:rPr>
        <w:t>. As for the B</w:t>
      </w:r>
      <w:r w:rsidR="00443FBE">
        <w:rPr>
          <w:rFonts w:ascii="Arial" w:hAnsi="Arial" w:cs="Arial"/>
          <w:sz w:val="20"/>
          <w:szCs w:val="20"/>
          <w:lang w:val="en-US"/>
        </w:rPr>
        <w:t>F01 station, it is one of the thirteen</w:t>
      </w:r>
      <w:r w:rsidRPr="00BB0BEB">
        <w:rPr>
          <w:rFonts w:ascii="Arial" w:hAnsi="Arial" w:cs="Arial"/>
          <w:sz w:val="20"/>
          <w:szCs w:val="20"/>
          <w:lang w:val="en-US"/>
        </w:rPr>
        <w:t xml:space="preserve"> permanent stations of the GNSS-CORS (Global Navigation Satellite</w:t>
      </w:r>
      <w:r w:rsidR="00443FBE">
        <w:rPr>
          <w:rFonts w:ascii="Arial" w:hAnsi="Arial" w:cs="Arial"/>
          <w:sz w:val="20"/>
          <w:szCs w:val="20"/>
          <w:lang w:val="en-US"/>
        </w:rPr>
        <w:t xml:space="preserve"> System-Continuously Operating R</w:t>
      </w:r>
      <w:r w:rsidRPr="00BB0BEB">
        <w:rPr>
          <w:rFonts w:ascii="Arial" w:hAnsi="Arial" w:cs="Arial"/>
          <w:sz w:val="20"/>
          <w:szCs w:val="20"/>
          <w:lang w:val="en-US"/>
        </w:rPr>
        <w:t>eference Stati</w:t>
      </w:r>
      <w:r w:rsidR="00443FBE">
        <w:rPr>
          <w:rFonts w:ascii="Arial" w:hAnsi="Arial" w:cs="Arial"/>
          <w:sz w:val="20"/>
          <w:szCs w:val="20"/>
          <w:lang w:val="en-US"/>
        </w:rPr>
        <w:t xml:space="preserve">on) network of the Geographic </w:t>
      </w:r>
      <w:r w:rsidRPr="00BB0BEB">
        <w:rPr>
          <w:rFonts w:ascii="Arial" w:hAnsi="Arial" w:cs="Arial"/>
          <w:sz w:val="20"/>
          <w:szCs w:val="20"/>
          <w:lang w:val="en-US"/>
        </w:rPr>
        <w:t xml:space="preserve">Institute of Burkina (IGB). </w:t>
      </w:r>
      <w:r w:rsidRPr="00FC0D3D">
        <w:rPr>
          <w:rFonts w:ascii="Arial" w:hAnsi="Arial" w:cs="Arial"/>
          <w:sz w:val="20"/>
          <w:szCs w:val="20"/>
          <w:highlight w:val="yellow"/>
          <w:lang w:val="en-US"/>
        </w:rPr>
        <w:t>The raw data from this station have already b</w:t>
      </w:r>
      <w:r w:rsidR="004C5A53" w:rsidRPr="00FC0D3D">
        <w:rPr>
          <w:rFonts w:ascii="Arial" w:hAnsi="Arial" w:cs="Arial"/>
          <w:sz w:val="20"/>
          <w:szCs w:val="20"/>
          <w:highlight w:val="yellow"/>
          <w:lang w:val="en-US"/>
        </w:rPr>
        <w:t>een processed and converted to</w:t>
      </w:r>
      <w:r w:rsidRPr="00FC0D3D">
        <w:rPr>
          <w:rFonts w:ascii="Arial" w:hAnsi="Arial" w:cs="Arial"/>
          <w:sz w:val="20"/>
          <w:szCs w:val="20"/>
          <w:highlight w:val="yellow"/>
          <w:lang w:val="en-US"/>
        </w:rPr>
        <w:t xml:space="preserve"> RINEX</w:t>
      </w:r>
      <w:r w:rsidR="004C5A53" w:rsidRPr="00FC0D3D">
        <w:rPr>
          <w:rFonts w:ascii="Arial" w:hAnsi="Arial" w:cs="Arial"/>
          <w:sz w:val="20"/>
          <w:szCs w:val="20"/>
          <w:highlight w:val="yellow"/>
          <w:lang w:val="en-US"/>
        </w:rPr>
        <w:t xml:space="preserve"> format</w:t>
      </w:r>
      <w:r w:rsidRPr="00FC0D3D">
        <w:rPr>
          <w:rFonts w:ascii="Arial" w:hAnsi="Arial" w:cs="Arial"/>
          <w:sz w:val="20"/>
          <w:szCs w:val="20"/>
          <w:highlight w:val="yellow"/>
          <w:lang w:val="en-US"/>
        </w:rPr>
        <w:t xml:space="preserve"> by </w:t>
      </w:r>
      <w:proofErr w:type="spellStart"/>
      <w:r w:rsidRPr="00FC0D3D">
        <w:rPr>
          <w:rFonts w:ascii="Arial" w:hAnsi="Arial" w:cs="Arial"/>
          <w:sz w:val="20"/>
          <w:szCs w:val="20"/>
          <w:highlight w:val="yellow"/>
          <w:lang w:val="en-US"/>
        </w:rPr>
        <w:t>Ouédraogo</w:t>
      </w:r>
      <w:proofErr w:type="spellEnd"/>
      <w:r w:rsidRPr="00FC0D3D">
        <w:rPr>
          <w:rFonts w:ascii="Arial" w:hAnsi="Arial" w:cs="Arial"/>
          <w:sz w:val="20"/>
          <w:szCs w:val="20"/>
          <w:highlight w:val="yellow"/>
          <w:lang w:val="en-US"/>
        </w:rPr>
        <w:t xml:space="preserve"> et al. (2024) and made available to us</w:t>
      </w:r>
      <w:r w:rsidRPr="00BB0BEB">
        <w:rPr>
          <w:rFonts w:ascii="Arial" w:hAnsi="Arial" w:cs="Arial"/>
          <w:sz w:val="20"/>
          <w:szCs w:val="20"/>
          <w:lang w:val="en-US"/>
        </w:rPr>
        <w:t>. We also used data such as:</w:t>
      </w:r>
    </w:p>
    <w:p w14:paraId="19C109EE" w14:textId="77777777" w:rsidR="002F5232" w:rsidRPr="00BB0BEB" w:rsidRDefault="002F5232" w:rsidP="00C60BA0">
      <w:pPr>
        <w:pStyle w:val="ListParagraph"/>
        <w:numPr>
          <w:ilvl w:val="0"/>
          <w:numId w:val="2"/>
        </w:numPr>
        <w:jc w:val="both"/>
        <w:rPr>
          <w:rFonts w:ascii="Arial" w:hAnsi="Arial" w:cs="Arial"/>
          <w:sz w:val="20"/>
          <w:szCs w:val="20"/>
          <w:lang w:val="en-US"/>
        </w:rPr>
      </w:pPr>
      <w:r w:rsidRPr="00BB0BEB">
        <w:rPr>
          <w:rFonts w:ascii="Arial" w:hAnsi="Arial" w:cs="Arial"/>
          <w:sz w:val="20"/>
          <w:szCs w:val="20"/>
          <w:lang w:val="en-US"/>
        </w:rPr>
        <w:t xml:space="preserve">Sunspot numbers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z</m:t>
            </m:r>
          </m:sub>
        </m:sSub>
      </m:oMath>
      <w:r w:rsidRPr="00BB0BEB">
        <w:rPr>
          <w:rFonts w:ascii="Arial" w:hAnsi="Arial" w:cs="Arial"/>
          <w:sz w:val="20"/>
          <w:szCs w:val="20"/>
          <w:lang w:val="en-US"/>
        </w:rPr>
        <w:t xml:space="preserve"> </w:t>
      </w:r>
      <w:r w:rsidR="00D8387C">
        <w:rPr>
          <w:rFonts w:ascii="Arial" w:hAnsi="Arial" w:cs="Arial"/>
          <w:sz w:val="20"/>
          <w:szCs w:val="20"/>
          <w:lang w:val="en-US"/>
        </w:rPr>
        <w:t xml:space="preserve">and </w:t>
      </w:r>
      <w:r w:rsidR="00D8387C" w:rsidRPr="00BB0BEB">
        <w:rPr>
          <w:rFonts w:ascii="Arial" w:hAnsi="Arial" w:cs="Arial"/>
          <w:sz w:val="20"/>
          <w:szCs w:val="20"/>
          <w:lang w:val="en-US"/>
        </w:rPr>
        <w:t>Disturbance Storm Time (</w:t>
      </w:r>
      <w:proofErr w:type="spellStart"/>
      <w:r w:rsidR="00D8387C" w:rsidRPr="00BB0BEB">
        <w:rPr>
          <w:rFonts w:ascii="Arial" w:hAnsi="Arial" w:cs="Arial"/>
          <w:sz w:val="20"/>
          <w:szCs w:val="20"/>
          <w:lang w:val="en-US"/>
        </w:rPr>
        <w:t>Dst</w:t>
      </w:r>
      <w:proofErr w:type="spellEnd"/>
      <w:r w:rsidR="00D8387C" w:rsidRPr="00BB0BEB">
        <w:rPr>
          <w:rFonts w:ascii="Arial" w:hAnsi="Arial" w:cs="Arial"/>
          <w:sz w:val="20"/>
          <w:szCs w:val="20"/>
          <w:lang w:val="en-US"/>
        </w:rPr>
        <w:t>) indices</w:t>
      </w:r>
      <w:r w:rsidR="00D8387C">
        <w:rPr>
          <w:rFonts w:ascii="Arial" w:hAnsi="Arial" w:cs="Arial"/>
          <w:sz w:val="20"/>
          <w:szCs w:val="20"/>
          <w:lang w:val="en-US"/>
        </w:rPr>
        <w:t xml:space="preserve"> available on</w:t>
      </w:r>
      <w:r w:rsidRPr="00BB0BEB">
        <w:rPr>
          <w:rFonts w:ascii="Arial" w:hAnsi="Arial" w:cs="Arial"/>
          <w:sz w:val="20"/>
          <w:szCs w:val="20"/>
          <w:lang w:val="en-US"/>
        </w:rPr>
        <w:t xml:space="preserve"> </w:t>
      </w:r>
      <w:hyperlink r:id="rId7" w:history="1">
        <w:r w:rsidRPr="00BB0BEB">
          <w:rPr>
            <w:rStyle w:val="Hyperlink"/>
            <w:rFonts w:ascii="Arial" w:hAnsi="Arial" w:cs="Arial"/>
            <w:sz w:val="20"/>
            <w:szCs w:val="20"/>
            <w:lang w:val="en-US"/>
          </w:rPr>
          <w:t>http://omniweb.gsfc.nasa.gov/form/dx1.html</w:t>
        </w:r>
      </w:hyperlink>
      <w:r w:rsidRPr="00BB0BEB">
        <w:rPr>
          <w:rFonts w:ascii="Arial" w:hAnsi="Arial" w:cs="Arial"/>
          <w:sz w:val="20"/>
          <w:szCs w:val="20"/>
          <w:lang w:val="en-US"/>
        </w:rPr>
        <w:t>;</w:t>
      </w:r>
    </w:p>
    <w:p w14:paraId="1DA6BE10" w14:textId="77777777" w:rsidR="002F5232" w:rsidRPr="00D8387C" w:rsidRDefault="002F5232" w:rsidP="00D8387C">
      <w:pPr>
        <w:pStyle w:val="ListParagraph"/>
        <w:numPr>
          <w:ilvl w:val="0"/>
          <w:numId w:val="2"/>
        </w:numPr>
        <w:jc w:val="both"/>
        <w:rPr>
          <w:rFonts w:ascii="Arial" w:hAnsi="Arial" w:cs="Arial"/>
          <w:sz w:val="20"/>
          <w:szCs w:val="20"/>
          <w:lang w:val="en-US"/>
        </w:rPr>
      </w:pPr>
      <w:r w:rsidRPr="00BB0BEB">
        <w:rPr>
          <w:rFonts w:ascii="Arial" w:hAnsi="Arial" w:cs="Arial"/>
          <w:sz w:val="20"/>
          <w:szCs w:val="20"/>
          <w:lang w:val="en-US"/>
        </w:rPr>
        <w:t>Geomagn</w:t>
      </w:r>
      <w:r w:rsidR="004C5A53">
        <w:rPr>
          <w:rFonts w:ascii="Arial" w:hAnsi="Arial" w:cs="Arial"/>
          <w:sz w:val="20"/>
          <w:szCs w:val="20"/>
          <w:lang w:val="en-US"/>
        </w:rPr>
        <w:t>etic indices Aa extracted from the site</w:t>
      </w:r>
      <w:r w:rsidRPr="00BB0BEB">
        <w:rPr>
          <w:rFonts w:ascii="Arial" w:hAnsi="Arial" w:cs="Arial"/>
          <w:sz w:val="20"/>
          <w:szCs w:val="20"/>
          <w:lang w:val="en-US"/>
        </w:rPr>
        <w:t xml:space="preserve"> </w:t>
      </w:r>
      <w:hyperlink r:id="rId8" w:history="1">
        <w:r w:rsidRPr="00BB0BEB">
          <w:rPr>
            <w:rStyle w:val="Hyperlink"/>
            <w:rFonts w:ascii="Arial" w:hAnsi="Arial" w:cs="Arial"/>
            <w:sz w:val="20"/>
            <w:szCs w:val="20"/>
            <w:lang w:val="en-US"/>
          </w:rPr>
          <w:t>http://www.isgi.unistra.fr/indices_aa.php</w:t>
        </w:r>
      </w:hyperlink>
      <w:r w:rsidRPr="00BB0BEB">
        <w:rPr>
          <w:rFonts w:ascii="Arial" w:hAnsi="Arial" w:cs="Arial"/>
          <w:sz w:val="20"/>
          <w:szCs w:val="20"/>
          <w:lang w:val="en-US"/>
        </w:rPr>
        <w:t>;</w:t>
      </w:r>
      <w:r w:rsidRPr="00D8387C">
        <w:rPr>
          <w:rFonts w:ascii="Arial" w:hAnsi="Arial" w:cs="Arial"/>
          <w:sz w:val="20"/>
          <w:szCs w:val="20"/>
          <w:lang w:val="en-US"/>
        </w:rPr>
        <w:t xml:space="preserve"> </w:t>
      </w:r>
    </w:p>
    <w:p w14:paraId="20D6340C" w14:textId="77777777" w:rsidR="002F5232" w:rsidRPr="00BB0BEB" w:rsidRDefault="002F5232" w:rsidP="00C60BA0">
      <w:pPr>
        <w:pStyle w:val="ListParagraph"/>
        <w:numPr>
          <w:ilvl w:val="0"/>
          <w:numId w:val="2"/>
        </w:numPr>
        <w:jc w:val="both"/>
        <w:rPr>
          <w:rFonts w:ascii="Arial" w:hAnsi="Arial" w:cs="Arial"/>
          <w:sz w:val="20"/>
          <w:szCs w:val="20"/>
          <w:lang w:val="en-US"/>
        </w:rPr>
      </w:pPr>
      <w:r w:rsidRPr="00BB0BEB">
        <w:rPr>
          <w:rFonts w:ascii="Arial" w:hAnsi="Arial" w:cs="Arial"/>
          <w:sz w:val="20"/>
          <w:szCs w:val="20"/>
          <w:lang w:val="en-US"/>
        </w:rPr>
        <w:t xml:space="preserve">Sudden Storm Commencement (SSC) dates are available at </w:t>
      </w:r>
      <w:hyperlink r:id="rId9" w:history="1">
        <w:r w:rsidRPr="00BB0BEB">
          <w:rPr>
            <w:rStyle w:val="Hyperlink"/>
            <w:rFonts w:ascii="Arial" w:hAnsi="Arial" w:cs="Arial"/>
            <w:sz w:val="20"/>
            <w:szCs w:val="20"/>
            <w:lang w:val="en-US"/>
          </w:rPr>
          <w:t>https://www.isgi.unistra.fr</w:t>
        </w:r>
      </w:hyperlink>
      <w:r w:rsidRPr="00BB0BEB">
        <w:rPr>
          <w:rFonts w:ascii="Arial" w:hAnsi="Arial" w:cs="Arial"/>
          <w:sz w:val="20"/>
          <w:szCs w:val="20"/>
          <w:lang w:val="en-US"/>
        </w:rPr>
        <w:t xml:space="preserve"> </w:t>
      </w:r>
      <w:r w:rsidR="00D8387C">
        <w:rPr>
          <w:rFonts w:ascii="Arial" w:hAnsi="Arial" w:cs="Arial"/>
          <w:sz w:val="20"/>
          <w:szCs w:val="20"/>
          <w:lang w:val="en-US"/>
        </w:rPr>
        <w:t>.</w:t>
      </w:r>
    </w:p>
    <w:p w14:paraId="549767BB" w14:textId="77777777" w:rsidR="002F5232" w:rsidRDefault="002F5232" w:rsidP="00C60BA0">
      <w:pPr>
        <w:pStyle w:val="ListParagraph"/>
        <w:ind w:left="1211"/>
        <w:jc w:val="both"/>
        <w:rPr>
          <w:rFonts w:ascii="Arial" w:hAnsi="Arial" w:cs="Arial"/>
          <w:sz w:val="20"/>
          <w:szCs w:val="20"/>
          <w:lang w:val="en-US"/>
        </w:rPr>
      </w:pPr>
    </w:p>
    <w:p w14:paraId="4F7353B0" w14:textId="77777777" w:rsidR="00F8506B" w:rsidRPr="00BB0BEB" w:rsidRDefault="00F8506B" w:rsidP="00C60BA0">
      <w:pPr>
        <w:pStyle w:val="ListParagraph"/>
        <w:ind w:left="1211"/>
        <w:jc w:val="both"/>
        <w:rPr>
          <w:rFonts w:ascii="Arial" w:hAnsi="Arial" w:cs="Arial"/>
          <w:sz w:val="20"/>
          <w:szCs w:val="20"/>
          <w:lang w:val="en-US"/>
        </w:rPr>
      </w:pPr>
    </w:p>
    <w:p w14:paraId="165E7037" w14:textId="77777777" w:rsidR="00F8506B" w:rsidRPr="00F8506B" w:rsidRDefault="003C6653" w:rsidP="00F8506B">
      <w:pPr>
        <w:pStyle w:val="ListParagraph"/>
        <w:numPr>
          <w:ilvl w:val="1"/>
          <w:numId w:val="1"/>
        </w:numPr>
        <w:ind w:left="851" w:hanging="502"/>
        <w:jc w:val="both"/>
        <w:rPr>
          <w:rFonts w:ascii="Arial" w:hAnsi="Arial" w:cs="Arial"/>
          <w:b/>
          <w:lang w:val="en-US"/>
        </w:rPr>
      </w:pPr>
      <w:r w:rsidRPr="00BB0BEB">
        <w:rPr>
          <w:rFonts w:ascii="Arial" w:hAnsi="Arial" w:cs="Arial"/>
          <w:b/>
          <w:sz w:val="20"/>
          <w:szCs w:val="20"/>
          <w:lang w:val="en-US"/>
        </w:rPr>
        <w:t xml:space="preserve"> </w:t>
      </w:r>
      <w:r w:rsidRPr="005C2A2A">
        <w:rPr>
          <w:rFonts w:ascii="Arial" w:hAnsi="Arial" w:cs="Arial"/>
          <w:b/>
          <w:lang w:val="en-US"/>
        </w:rPr>
        <w:t xml:space="preserve">Methodology </w:t>
      </w:r>
    </w:p>
    <w:p w14:paraId="4003A953" w14:textId="77777777" w:rsidR="005C2A2A" w:rsidRPr="005C2A2A" w:rsidRDefault="005C2A2A" w:rsidP="005C2A2A">
      <w:pPr>
        <w:pStyle w:val="ListParagraph"/>
        <w:ind w:left="851"/>
        <w:jc w:val="both"/>
        <w:rPr>
          <w:rFonts w:ascii="Arial" w:hAnsi="Arial" w:cs="Arial"/>
          <w:b/>
          <w:lang w:val="en-US"/>
        </w:rPr>
      </w:pPr>
    </w:p>
    <w:p w14:paraId="6783A998" w14:textId="77777777" w:rsidR="002F5232" w:rsidRPr="00E53C1E" w:rsidRDefault="00FC2B03" w:rsidP="00FC2B03">
      <w:pPr>
        <w:pStyle w:val="ListParagraph"/>
        <w:numPr>
          <w:ilvl w:val="0"/>
          <w:numId w:val="3"/>
        </w:numPr>
        <w:jc w:val="both"/>
        <w:rPr>
          <w:rFonts w:ascii="Arial" w:hAnsi="Arial" w:cs="Arial"/>
          <w:i/>
          <w:sz w:val="20"/>
          <w:szCs w:val="20"/>
          <w:lang w:val="en-US"/>
        </w:rPr>
      </w:pPr>
      <w:r w:rsidRPr="00E53C1E">
        <w:rPr>
          <w:rFonts w:ascii="Arial" w:hAnsi="Arial" w:cs="Arial"/>
          <w:i/>
          <w:sz w:val="20"/>
          <w:szCs w:val="20"/>
          <w:lang w:val="en-US"/>
        </w:rPr>
        <w:t>Determination of solar phases</w:t>
      </w:r>
      <w:r w:rsidR="002F5232" w:rsidRPr="00E53C1E">
        <w:rPr>
          <w:rFonts w:ascii="Arial" w:hAnsi="Arial" w:cs="Arial"/>
          <w:i/>
          <w:sz w:val="20"/>
          <w:szCs w:val="20"/>
          <w:lang w:val="en-US"/>
        </w:rPr>
        <w:t>:</w:t>
      </w:r>
    </w:p>
    <w:p w14:paraId="410E2142" w14:textId="482D64C9" w:rsidR="00CA523B" w:rsidRDefault="00FC2B03" w:rsidP="00C60BA0">
      <w:pPr>
        <w:jc w:val="both"/>
        <w:rPr>
          <w:rFonts w:ascii="Arial" w:hAnsi="Arial" w:cs="Arial"/>
          <w:sz w:val="20"/>
          <w:szCs w:val="20"/>
          <w:lang w:val="en-US"/>
        </w:rPr>
      </w:pPr>
      <w:r w:rsidRPr="00BB0BEB">
        <w:rPr>
          <w:rFonts w:ascii="Arial" w:hAnsi="Arial" w:cs="Arial"/>
          <w:sz w:val="20"/>
          <w:szCs w:val="20"/>
          <w:lang w:val="en-US"/>
        </w:rPr>
        <w:t xml:space="preserve">We used the cutting proposed by </w:t>
      </w:r>
      <w:proofErr w:type="spellStart"/>
      <w:r w:rsidRPr="00BB0BEB">
        <w:rPr>
          <w:rFonts w:ascii="Arial" w:hAnsi="Arial" w:cs="Arial"/>
          <w:sz w:val="20"/>
          <w:szCs w:val="20"/>
          <w:lang w:val="en-US"/>
        </w:rPr>
        <w:t>Pahima</w:t>
      </w:r>
      <w:proofErr w:type="spellEnd"/>
      <w:r w:rsidRPr="00BB0BEB">
        <w:rPr>
          <w:rFonts w:ascii="Arial" w:hAnsi="Arial" w:cs="Arial"/>
          <w:sz w:val="20"/>
          <w:szCs w:val="20"/>
          <w:lang w:val="en-US"/>
        </w:rPr>
        <w:t xml:space="preserve"> et al. (2023). Table 1 presents the results of the cutting of the phases of the cycle 24</w:t>
      </w:r>
      <w:r w:rsidR="000012CB">
        <w:rPr>
          <w:rFonts w:ascii="Arial" w:hAnsi="Arial" w:cs="Arial"/>
          <w:sz w:val="20"/>
          <w:szCs w:val="20"/>
          <w:lang w:val="en-US"/>
        </w:rPr>
        <w:t xml:space="preserve"> </w:t>
      </w:r>
      <w:proofErr w:type="gramStart"/>
      <w:r w:rsidR="000012CB" w:rsidRPr="000012CB">
        <w:rPr>
          <w:rFonts w:ascii="Arial" w:hAnsi="Arial" w:cs="Arial"/>
          <w:sz w:val="20"/>
          <w:szCs w:val="20"/>
          <w:highlight w:val="yellow"/>
          <w:lang w:val="en-US"/>
        </w:rPr>
        <w:t>( 2008</w:t>
      </w:r>
      <w:proofErr w:type="gramEnd"/>
      <w:r w:rsidR="000012CB" w:rsidRPr="000012CB">
        <w:rPr>
          <w:rFonts w:ascii="Arial" w:hAnsi="Arial" w:cs="Arial"/>
          <w:sz w:val="20"/>
          <w:szCs w:val="20"/>
          <w:highlight w:val="yellow"/>
          <w:lang w:val="en-US"/>
        </w:rPr>
        <w:t>-2018)</w:t>
      </w:r>
      <w:r w:rsidR="000012CB">
        <w:rPr>
          <w:rFonts w:ascii="Arial" w:hAnsi="Arial" w:cs="Arial"/>
          <w:sz w:val="20"/>
          <w:szCs w:val="20"/>
          <w:lang w:val="en-US"/>
        </w:rPr>
        <w:t xml:space="preserve">. </w:t>
      </w:r>
    </w:p>
    <w:p w14:paraId="561EB02D" w14:textId="77777777" w:rsidR="00F86CF9" w:rsidRDefault="00F86CF9" w:rsidP="00C60BA0">
      <w:pPr>
        <w:jc w:val="both"/>
        <w:rPr>
          <w:rFonts w:ascii="Arial" w:hAnsi="Arial" w:cs="Arial"/>
          <w:sz w:val="20"/>
          <w:szCs w:val="20"/>
          <w:lang w:val="en-US"/>
        </w:rPr>
      </w:pPr>
    </w:p>
    <w:p w14:paraId="725987F6" w14:textId="77777777" w:rsidR="00F86CF9" w:rsidRDefault="00F86CF9" w:rsidP="00C60BA0">
      <w:pPr>
        <w:jc w:val="both"/>
        <w:rPr>
          <w:rFonts w:ascii="Arial" w:hAnsi="Arial" w:cs="Arial"/>
          <w:sz w:val="20"/>
          <w:szCs w:val="20"/>
          <w:lang w:val="en-US"/>
        </w:rPr>
      </w:pPr>
    </w:p>
    <w:p w14:paraId="6FC1CB7F" w14:textId="77777777" w:rsidR="00F8506B" w:rsidRPr="00BB0BEB" w:rsidRDefault="00F8506B" w:rsidP="00C60BA0">
      <w:pPr>
        <w:jc w:val="both"/>
        <w:rPr>
          <w:rFonts w:ascii="Arial" w:eastAsiaTheme="minorEastAsia" w:hAnsi="Arial" w:cs="Arial"/>
          <w:b/>
          <w:sz w:val="20"/>
          <w:szCs w:val="20"/>
          <w:lang w:val="en-US"/>
        </w:rPr>
      </w:pPr>
    </w:p>
    <w:p w14:paraId="78A8ACF6" w14:textId="77777777" w:rsidR="00586D77" w:rsidRPr="006A44D2" w:rsidRDefault="00586D77" w:rsidP="00C60BA0">
      <w:pPr>
        <w:jc w:val="both"/>
        <w:rPr>
          <w:rFonts w:ascii="Arial" w:hAnsi="Arial" w:cs="Arial"/>
          <w:b/>
          <w:sz w:val="20"/>
          <w:szCs w:val="20"/>
          <w:lang w:val="en-US"/>
        </w:rPr>
      </w:pPr>
      <w:r w:rsidRPr="006A44D2">
        <w:rPr>
          <w:rFonts w:ascii="Arial" w:hAnsi="Arial" w:cs="Arial"/>
          <w:b/>
          <w:sz w:val="20"/>
          <w:szCs w:val="20"/>
          <w:lang w:val="en-US"/>
        </w:rPr>
        <w:t xml:space="preserve">Table 1: Distribution of years in cycle 24 by </w:t>
      </w:r>
      <w:r w:rsidR="006F5D63" w:rsidRPr="006A44D2">
        <w:rPr>
          <w:rFonts w:ascii="Arial" w:hAnsi="Arial" w:cs="Arial"/>
          <w:b/>
          <w:sz w:val="20"/>
          <w:szCs w:val="20"/>
          <w:lang w:val="en-US"/>
        </w:rPr>
        <w:t>solar phase (</w:t>
      </w:r>
      <w:proofErr w:type="spellStart"/>
      <w:r w:rsidR="006F5D63" w:rsidRPr="006A44D2">
        <w:rPr>
          <w:rFonts w:ascii="Arial" w:hAnsi="Arial" w:cs="Arial"/>
          <w:b/>
          <w:sz w:val="20"/>
          <w:szCs w:val="20"/>
          <w:lang w:val="en-US"/>
        </w:rPr>
        <w:t>Pahima</w:t>
      </w:r>
      <w:proofErr w:type="spellEnd"/>
      <w:r w:rsidR="006F5D63" w:rsidRPr="006A44D2">
        <w:rPr>
          <w:rFonts w:ascii="Arial" w:hAnsi="Arial" w:cs="Arial"/>
          <w:b/>
          <w:sz w:val="20"/>
          <w:szCs w:val="20"/>
          <w:lang w:val="en-US"/>
        </w:rPr>
        <w:t xml:space="preserve"> et al., 2023</w:t>
      </w:r>
      <w:r w:rsidRPr="006A44D2">
        <w:rPr>
          <w:rFonts w:ascii="Arial" w:hAnsi="Arial" w:cs="Arial"/>
          <w:b/>
          <w:sz w:val="20"/>
          <w:szCs w:val="20"/>
          <w:lang w:val="en-US"/>
        </w:rPr>
        <w:t>)</w:t>
      </w:r>
    </w:p>
    <w:tbl>
      <w:tblPr>
        <w:tblStyle w:val="PlainTable2"/>
        <w:tblW w:w="0" w:type="auto"/>
        <w:tblLook w:val="04A0" w:firstRow="1" w:lastRow="0" w:firstColumn="1" w:lastColumn="0" w:noHBand="0" w:noVBand="1"/>
      </w:tblPr>
      <w:tblGrid>
        <w:gridCol w:w="4248"/>
        <w:gridCol w:w="3260"/>
      </w:tblGrid>
      <w:tr w:rsidR="00586D77" w:rsidRPr="00BB0BEB" w14:paraId="53451AC3" w14:textId="77777777" w:rsidTr="006A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A0053DF" w14:textId="77777777" w:rsidR="00586D77" w:rsidRPr="00BB0BEB" w:rsidRDefault="00586D77" w:rsidP="00C60BA0">
            <w:pPr>
              <w:spacing w:line="360" w:lineRule="auto"/>
              <w:jc w:val="both"/>
              <w:rPr>
                <w:rFonts w:ascii="Arial" w:hAnsi="Arial" w:cs="Arial"/>
                <w:b w:val="0"/>
                <w:bCs w:val="0"/>
                <w:sz w:val="20"/>
                <w:szCs w:val="20"/>
              </w:rPr>
            </w:pPr>
            <w:r w:rsidRPr="00BB0BEB">
              <w:rPr>
                <w:rFonts w:ascii="Arial" w:hAnsi="Arial" w:cs="Arial"/>
                <w:sz w:val="20"/>
                <w:szCs w:val="20"/>
              </w:rPr>
              <w:t>Solar phase</w:t>
            </w:r>
          </w:p>
        </w:tc>
        <w:tc>
          <w:tcPr>
            <w:tcW w:w="3260" w:type="dxa"/>
          </w:tcPr>
          <w:p w14:paraId="799E919D" w14:textId="77777777" w:rsidR="00586D77" w:rsidRPr="00BB0BEB" w:rsidRDefault="00586D77" w:rsidP="00C60BA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roofErr w:type="spellStart"/>
            <w:r w:rsidRPr="00BB0BEB">
              <w:rPr>
                <w:rFonts w:ascii="Arial" w:hAnsi="Arial" w:cs="Arial"/>
                <w:sz w:val="20"/>
                <w:szCs w:val="20"/>
              </w:rPr>
              <w:t>Years</w:t>
            </w:r>
            <w:proofErr w:type="spellEnd"/>
            <w:r w:rsidRPr="00BB0BEB">
              <w:rPr>
                <w:rFonts w:ascii="Arial" w:hAnsi="Arial" w:cs="Arial"/>
                <w:sz w:val="20"/>
                <w:szCs w:val="20"/>
              </w:rPr>
              <w:t xml:space="preserve">  </w:t>
            </w:r>
          </w:p>
        </w:tc>
      </w:tr>
      <w:tr w:rsidR="00586D77" w:rsidRPr="00BB0BEB" w14:paraId="7E89CDBD" w14:textId="77777777" w:rsidTr="006A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D2085E1" w14:textId="77777777" w:rsidR="00586D77" w:rsidRPr="00BB0BEB" w:rsidRDefault="00586D77" w:rsidP="00C60BA0">
            <w:pPr>
              <w:spacing w:line="360" w:lineRule="auto"/>
              <w:jc w:val="both"/>
              <w:rPr>
                <w:rFonts w:ascii="Arial" w:hAnsi="Arial" w:cs="Arial"/>
                <w:sz w:val="20"/>
                <w:szCs w:val="20"/>
              </w:rPr>
            </w:pPr>
            <w:r w:rsidRPr="00BB0BEB">
              <w:rPr>
                <w:rFonts w:ascii="Arial" w:hAnsi="Arial" w:cs="Arial"/>
                <w:sz w:val="20"/>
                <w:szCs w:val="20"/>
              </w:rPr>
              <w:t>Minimum</w:t>
            </w:r>
          </w:p>
        </w:tc>
        <w:tc>
          <w:tcPr>
            <w:tcW w:w="3260" w:type="dxa"/>
          </w:tcPr>
          <w:p w14:paraId="03BCD6D1" w14:textId="77777777" w:rsidR="00586D77" w:rsidRPr="00BB0BEB" w:rsidRDefault="00586D77" w:rsidP="00C60BA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BEB">
              <w:rPr>
                <w:rFonts w:ascii="Arial" w:hAnsi="Arial" w:cs="Arial"/>
                <w:sz w:val="20"/>
                <w:szCs w:val="20"/>
              </w:rPr>
              <w:t>2008 ; 2009 et 2010</w:t>
            </w:r>
          </w:p>
        </w:tc>
      </w:tr>
      <w:tr w:rsidR="00586D77" w:rsidRPr="00BB0BEB" w14:paraId="188EC099" w14:textId="77777777" w:rsidTr="006A44D2">
        <w:tc>
          <w:tcPr>
            <w:cnfStyle w:val="001000000000" w:firstRow="0" w:lastRow="0" w:firstColumn="1" w:lastColumn="0" w:oddVBand="0" w:evenVBand="0" w:oddHBand="0" w:evenHBand="0" w:firstRowFirstColumn="0" w:firstRowLastColumn="0" w:lastRowFirstColumn="0" w:lastRowLastColumn="0"/>
            <w:tcW w:w="4248" w:type="dxa"/>
          </w:tcPr>
          <w:p w14:paraId="07A6C63F" w14:textId="77777777" w:rsidR="00586D77" w:rsidRPr="00BB0BEB" w:rsidRDefault="00586D77" w:rsidP="00C60BA0">
            <w:pPr>
              <w:spacing w:line="360" w:lineRule="auto"/>
              <w:jc w:val="both"/>
              <w:rPr>
                <w:rFonts w:ascii="Arial" w:hAnsi="Arial" w:cs="Arial"/>
                <w:sz w:val="20"/>
                <w:szCs w:val="20"/>
              </w:rPr>
            </w:pPr>
            <w:proofErr w:type="spellStart"/>
            <w:r w:rsidRPr="00BB0BEB">
              <w:rPr>
                <w:rFonts w:ascii="Arial" w:hAnsi="Arial" w:cs="Arial"/>
                <w:sz w:val="20"/>
                <w:szCs w:val="20"/>
              </w:rPr>
              <w:t>Ascending</w:t>
            </w:r>
            <w:proofErr w:type="spellEnd"/>
          </w:p>
        </w:tc>
        <w:tc>
          <w:tcPr>
            <w:tcW w:w="3260" w:type="dxa"/>
          </w:tcPr>
          <w:p w14:paraId="241018A9" w14:textId="77777777" w:rsidR="00586D77" w:rsidRPr="00BB0BEB" w:rsidRDefault="00586D77" w:rsidP="00C60BA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BEB">
              <w:rPr>
                <w:rFonts w:ascii="Arial" w:hAnsi="Arial" w:cs="Arial"/>
                <w:sz w:val="20"/>
                <w:szCs w:val="20"/>
              </w:rPr>
              <w:t>2011 et 2012</w:t>
            </w:r>
          </w:p>
        </w:tc>
      </w:tr>
      <w:tr w:rsidR="00586D77" w:rsidRPr="00BB0BEB" w14:paraId="67BD629E" w14:textId="77777777" w:rsidTr="006A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77F5FB6" w14:textId="77777777" w:rsidR="00586D77" w:rsidRPr="00BB0BEB" w:rsidRDefault="00586D77" w:rsidP="00C60BA0">
            <w:pPr>
              <w:spacing w:line="360" w:lineRule="auto"/>
              <w:jc w:val="both"/>
              <w:rPr>
                <w:rFonts w:ascii="Arial" w:hAnsi="Arial" w:cs="Arial"/>
                <w:sz w:val="20"/>
                <w:szCs w:val="20"/>
              </w:rPr>
            </w:pPr>
            <w:r w:rsidRPr="00BB0BEB">
              <w:rPr>
                <w:rFonts w:ascii="Arial" w:hAnsi="Arial" w:cs="Arial"/>
                <w:sz w:val="20"/>
                <w:szCs w:val="20"/>
              </w:rPr>
              <w:t>Maximum</w:t>
            </w:r>
          </w:p>
        </w:tc>
        <w:tc>
          <w:tcPr>
            <w:tcW w:w="3260" w:type="dxa"/>
          </w:tcPr>
          <w:p w14:paraId="2C879073" w14:textId="77777777" w:rsidR="00586D77" w:rsidRPr="00BB0BEB" w:rsidRDefault="00586D77" w:rsidP="00C60BA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BEB">
              <w:rPr>
                <w:rFonts w:ascii="Arial" w:hAnsi="Arial" w:cs="Arial"/>
                <w:sz w:val="20"/>
                <w:szCs w:val="20"/>
              </w:rPr>
              <w:t>2013 et 2014</w:t>
            </w:r>
          </w:p>
        </w:tc>
      </w:tr>
      <w:tr w:rsidR="00586D77" w:rsidRPr="00BB0BEB" w14:paraId="79911F92" w14:textId="77777777" w:rsidTr="006A44D2">
        <w:tc>
          <w:tcPr>
            <w:cnfStyle w:val="001000000000" w:firstRow="0" w:lastRow="0" w:firstColumn="1" w:lastColumn="0" w:oddVBand="0" w:evenVBand="0" w:oddHBand="0" w:evenHBand="0" w:firstRowFirstColumn="0" w:firstRowLastColumn="0" w:lastRowFirstColumn="0" w:lastRowLastColumn="0"/>
            <w:tcW w:w="4248" w:type="dxa"/>
          </w:tcPr>
          <w:p w14:paraId="677D353E" w14:textId="77777777" w:rsidR="00586D77" w:rsidRPr="00BB0BEB" w:rsidRDefault="00586D77" w:rsidP="00C60BA0">
            <w:pPr>
              <w:spacing w:line="360" w:lineRule="auto"/>
              <w:jc w:val="both"/>
              <w:rPr>
                <w:rFonts w:ascii="Arial" w:hAnsi="Arial" w:cs="Arial"/>
                <w:sz w:val="20"/>
                <w:szCs w:val="20"/>
              </w:rPr>
            </w:pPr>
            <w:proofErr w:type="spellStart"/>
            <w:r w:rsidRPr="00BB0BEB">
              <w:rPr>
                <w:rFonts w:ascii="Arial" w:hAnsi="Arial" w:cs="Arial"/>
                <w:sz w:val="20"/>
                <w:szCs w:val="20"/>
              </w:rPr>
              <w:t>Descending</w:t>
            </w:r>
            <w:proofErr w:type="spellEnd"/>
          </w:p>
        </w:tc>
        <w:tc>
          <w:tcPr>
            <w:tcW w:w="3260" w:type="dxa"/>
          </w:tcPr>
          <w:p w14:paraId="4970704D" w14:textId="77777777" w:rsidR="00586D77" w:rsidRPr="00BB0BEB" w:rsidRDefault="00586D77" w:rsidP="00C60BA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BEB">
              <w:rPr>
                <w:rFonts w:ascii="Arial" w:hAnsi="Arial" w:cs="Arial"/>
                <w:sz w:val="20"/>
                <w:szCs w:val="20"/>
              </w:rPr>
              <w:t>2015 ; 2016 ; 2017 et 2018</w:t>
            </w:r>
          </w:p>
        </w:tc>
      </w:tr>
    </w:tbl>
    <w:p w14:paraId="4F752FEE" w14:textId="77777777" w:rsidR="00586D77" w:rsidRPr="00BB0BEB" w:rsidRDefault="00586D77" w:rsidP="00C60BA0">
      <w:pPr>
        <w:jc w:val="both"/>
        <w:rPr>
          <w:rFonts w:ascii="Arial" w:hAnsi="Arial" w:cs="Arial"/>
          <w:sz w:val="20"/>
          <w:szCs w:val="20"/>
          <w:lang w:val="en-US"/>
        </w:rPr>
      </w:pPr>
    </w:p>
    <w:p w14:paraId="5DBC9C18" w14:textId="77777777" w:rsidR="00586D77" w:rsidRPr="00E53C1E" w:rsidRDefault="00586D77" w:rsidP="00E53C1E">
      <w:pPr>
        <w:pStyle w:val="ListParagraph"/>
        <w:numPr>
          <w:ilvl w:val="0"/>
          <w:numId w:val="3"/>
        </w:numPr>
        <w:jc w:val="both"/>
        <w:rPr>
          <w:rFonts w:ascii="Arial" w:hAnsi="Arial" w:cs="Arial"/>
          <w:i/>
          <w:sz w:val="20"/>
          <w:szCs w:val="20"/>
        </w:rPr>
      </w:pPr>
      <w:r w:rsidRPr="00E53C1E">
        <w:rPr>
          <w:rFonts w:ascii="Arial" w:hAnsi="Arial" w:cs="Arial"/>
          <w:i/>
          <w:sz w:val="20"/>
          <w:szCs w:val="20"/>
        </w:rPr>
        <w:t xml:space="preserve">Division of </w:t>
      </w:r>
      <w:proofErr w:type="spellStart"/>
      <w:r w:rsidRPr="00E53C1E">
        <w:rPr>
          <w:rFonts w:ascii="Arial" w:hAnsi="Arial" w:cs="Arial"/>
          <w:i/>
          <w:sz w:val="20"/>
          <w:szCs w:val="20"/>
        </w:rPr>
        <w:t>seasons</w:t>
      </w:r>
      <w:proofErr w:type="spellEnd"/>
      <w:r w:rsidR="00E53C1E">
        <w:rPr>
          <w:rFonts w:ascii="Arial" w:hAnsi="Arial" w:cs="Arial"/>
          <w:i/>
          <w:sz w:val="20"/>
          <w:szCs w:val="20"/>
        </w:rPr>
        <w:t> :</w:t>
      </w:r>
      <w:r w:rsidRPr="00E53C1E">
        <w:rPr>
          <w:rFonts w:ascii="Arial" w:hAnsi="Arial" w:cs="Arial"/>
          <w:i/>
          <w:sz w:val="20"/>
          <w:szCs w:val="20"/>
        </w:rPr>
        <w:t xml:space="preserve"> </w:t>
      </w:r>
    </w:p>
    <w:p w14:paraId="27BD2E5F" w14:textId="77777777" w:rsidR="00586D77" w:rsidRPr="00BB0BEB" w:rsidRDefault="00586D77" w:rsidP="00C60BA0">
      <w:pPr>
        <w:jc w:val="both"/>
        <w:rPr>
          <w:rFonts w:ascii="Arial" w:hAnsi="Arial" w:cs="Arial"/>
          <w:sz w:val="20"/>
          <w:szCs w:val="20"/>
          <w:lang w:val="en-US"/>
        </w:rPr>
      </w:pPr>
      <w:r w:rsidRPr="00BB0BEB">
        <w:rPr>
          <w:rFonts w:ascii="Arial" w:hAnsi="Arial" w:cs="Arial"/>
          <w:sz w:val="20"/>
          <w:szCs w:val="20"/>
          <w:lang w:val="en-US"/>
        </w:rPr>
        <w:t xml:space="preserve">According to several studies (Zhang et al., 2021; </w:t>
      </w:r>
      <w:proofErr w:type="spellStart"/>
      <w:r w:rsidRPr="00BB0BEB">
        <w:rPr>
          <w:rFonts w:ascii="Arial" w:hAnsi="Arial" w:cs="Arial"/>
          <w:sz w:val="20"/>
          <w:szCs w:val="20"/>
          <w:lang w:val="en-US"/>
        </w:rPr>
        <w:t>Kahindo</w:t>
      </w:r>
      <w:proofErr w:type="spellEnd"/>
      <w:r w:rsidRPr="00BB0BEB">
        <w:rPr>
          <w:rFonts w:ascii="Arial" w:hAnsi="Arial" w:cs="Arial"/>
          <w:sz w:val="20"/>
          <w:szCs w:val="20"/>
          <w:lang w:val="en-US"/>
        </w:rPr>
        <w:t xml:space="preserve"> </w:t>
      </w:r>
      <w:proofErr w:type="spellStart"/>
      <w:r w:rsidRPr="00BB0BEB">
        <w:rPr>
          <w:rFonts w:ascii="Arial" w:hAnsi="Arial" w:cs="Arial"/>
          <w:sz w:val="20"/>
          <w:szCs w:val="20"/>
          <w:lang w:val="en-US"/>
        </w:rPr>
        <w:t>Murumba</w:t>
      </w:r>
      <w:proofErr w:type="spellEnd"/>
      <w:r w:rsidRPr="00BB0BEB">
        <w:rPr>
          <w:rFonts w:ascii="Arial" w:hAnsi="Arial" w:cs="Arial"/>
          <w:sz w:val="20"/>
          <w:szCs w:val="20"/>
          <w:lang w:val="en-US"/>
        </w:rPr>
        <w:t xml:space="preserve"> et al., 2017; </w:t>
      </w:r>
      <w:proofErr w:type="spellStart"/>
      <w:r w:rsidRPr="00BB0BEB">
        <w:rPr>
          <w:rFonts w:ascii="Arial" w:hAnsi="Arial" w:cs="Arial"/>
          <w:sz w:val="20"/>
          <w:szCs w:val="20"/>
          <w:lang w:val="en-US"/>
        </w:rPr>
        <w:t>Ackah</w:t>
      </w:r>
      <w:proofErr w:type="spellEnd"/>
      <w:r w:rsidRPr="00BB0BEB">
        <w:rPr>
          <w:rFonts w:ascii="Arial" w:hAnsi="Arial" w:cs="Arial"/>
          <w:sz w:val="20"/>
          <w:szCs w:val="20"/>
          <w:lang w:val="en-US"/>
        </w:rPr>
        <w:t xml:space="preserve"> et al, 2011, Abdu et al., 2006; …) the scintillation phenomenon strongly depends on the seasons. </w:t>
      </w:r>
      <w:r w:rsidR="00AE5B8D" w:rsidRPr="00AE5B8D">
        <w:rPr>
          <w:rFonts w:ascii="Arial" w:hAnsi="Arial" w:cs="Arial"/>
          <w:sz w:val="20"/>
          <w:szCs w:val="20"/>
          <w:lang w:val="en-US"/>
        </w:rPr>
        <w:t>C</w:t>
      </w:r>
      <w:r w:rsidR="0087688E" w:rsidRPr="00AE5B8D">
        <w:rPr>
          <w:rFonts w:ascii="Arial" w:hAnsi="Arial" w:cs="Arial"/>
          <w:sz w:val="20"/>
          <w:szCs w:val="20"/>
          <w:lang w:val="en-US"/>
        </w:rPr>
        <w:t>oncerning</w:t>
      </w:r>
      <w:r w:rsidRPr="00AE5B8D">
        <w:rPr>
          <w:rFonts w:ascii="Arial" w:hAnsi="Arial" w:cs="Arial"/>
          <w:sz w:val="20"/>
          <w:szCs w:val="20"/>
          <w:lang w:val="en-US"/>
        </w:rPr>
        <w:t xml:space="preserve"> our work, the seasons were divided as follows: (</w:t>
      </w:r>
      <w:proofErr w:type="spellStart"/>
      <w:r w:rsidRPr="00AE5B8D">
        <w:rPr>
          <w:rFonts w:ascii="Arial" w:hAnsi="Arial" w:cs="Arial"/>
          <w:sz w:val="20"/>
          <w:szCs w:val="20"/>
          <w:lang w:val="en-US"/>
        </w:rPr>
        <w:t>i</w:t>
      </w:r>
      <w:proofErr w:type="spellEnd"/>
      <w:r w:rsidRPr="00AE5B8D">
        <w:rPr>
          <w:rFonts w:ascii="Arial" w:hAnsi="Arial" w:cs="Arial"/>
          <w:sz w:val="20"/>
          <w:szCs w:val="20"/>
          <w:lang w:val="en-US"/>
        </w:rPr>
        <w:t>) winter (December, January, February); (ii) spring (March</w:t>
      </w:r>
      <w:r w:rsidRPr="00BB0BEB">
        <w:rPr>
          <w:rFonts w:ascii="Arial" w:hAnsi="Arial" w:cs="Arial"/>
          <w:sz w:val="20"/>
          <w:szCs w:val="20"/>
          <w:lang w:val="en-US"/>
        </w:rPr>
        <w:t>, April, May); (iii) summer (June, July, August); (iv) autumn (September, October, November)</w:t>
      </w:r>
    </w:p>
    <w:p w14:paraId="1FA8AA56" w14:textId="77777777" w:rsidR="00586D77" w:rsidRPr="00E53C1E" w:rsidRDefault="00586D77" w:rsidP="00E53C1E">
      <w:pPr>
        <w:pStyle w:val="ListParagraph"/>
        <w:numPr>
          <w:ilvl w:val="0"/>
          <w:numId w:val="3"/>
        </w:numPr>
        <w:jc w:val="both"/>
        <w:rPr>
          <w:rFonts w:ascii="Arial" w:hAnsi="Arial" w:cs="Arial"/>
          <w:i/>
          <w:sz w:val="20"/>
          <w:szCs w:val="20"/>
          <w:lang w:val="en-US"/>
        </w:rPr>
      </w:pPr>
      <w:r w:rsidRPr="00E53C1E">
        <w:rPr>
          <w:rFonts w:ascii="Arial" w:hAnsi="Arial" w:cs="Arial"/>
          <w:i/>
          <w:sz w:val="20"/>
          <w:szCs w:val="20"/>
          <w:lang w:val="en-US"/>
        </w:rPr>
        <w:t>Selection of quiet days:</w:t>
      </w:r>
    </w:p>
    <w:p w14:paraId="249B6515" w14:textId="77777777" w:rsidR="00586D77" w:rsidRDefault="00586D77" w:rsidP="00C60BA0">
      <w:pPr>
        <w:jc w:val="both"/>
        <w:rPr>
          <w:rFonts w:ascii="Arial" w:hAnsi="Arial" w:cs="Arial"/>
          <w:sz w:val="20"/>
          <w:szCs w:val="20"/>
          <w:lang w:val="en-US"/>
        </w:rPr>
      </w:pPr>
      <w:r w:rsidRPr="00BB0BEB">
        <w:rPr>
          <w:rFonts w:ascii="Arial" w:hAnsi="Arial" w:cs="Arial"/>
          <w:sz w:val="20"/>
          <w:szCs w:val="20"/>
          <w:lang w:val="en-US"/>
        </w:rPr>
        <w:t>According to the criteria of Ouattara and Amory-</w:t>
      </w:r>
      <w:proofErr w:type="spellStart"/>
      <w:r w:rsidRPr="00BB0BEB">
        <w:rPr>
          <w:rFonts w:ascii="Arial" w:hAnsi="Arial" w:cs="Arial"/>
          <w:sz w:val="20"/>
          <w:szCs w:val="20"/>
          <w:lang w:val="en-US"/>
        </w:rPr>
        <w:t>Mazaudier</w:t>
      </w:r>
      <w:proofErr w:type="spellEnd"/>
      <w:r w:rsidRPr="00BB0BEB">
        <w:rPr>
          <w:rFonts w:ascii="Arial" w:hAnsi="Arial" w:cs="Arial"/>
          <w:sz w:val="20"/>
          <w:szCs w:val="20"/>
          <w:lang w:val="en-US"/>
        </w:rPr>
        <w:t xml:space="preserve"> (2009) that we used, days of quiet geomagnetic activity correspond to days when the daily average values ​​of Aa are less than </w:t>
      </w:r>
      <m:oMath>
        <m:r>
          <w:rPr>
            <w:rFonts w:ascii="Cambria Math" w:hAnsi="Cambria Math" w:cs="Arial"/>
            <w:sz w:val="20"/>
            <w:szCs w:val="20"/>
            <w:lang w:val="en-US"/>
          </w:rPr>
          <m:t>20</m:t>
        </m:r>
        <m:r>
          <w:rPr>
            <w:rFonts w:ascii="Cambria Math" w:hAnsi="Cambria Math" w:cs="Arial"/>
            <w:sz w:val="20"/>
            <w:szCs w:val="20"/>
          </w:rPr>
          <m:t>nT</m:t>
        </m:r>
      </m:oMath>
      <w:r w:rsidRPr="00BB0BEB">
        <w:rPr>
          <w:rFonts w:ascii="Arial" w:hAnsi="Arial" w:cs="Arial"/>
          <w:sz w:val="20"/>
          <w:szCs w:val="20"/>
          <w:lang w:val="en-US"/>
        </w:rPr>
        <w:t xml:space="preserve"> </w:t>
      </w:r>
      <w:r w:rsidR="00C253E4" w:rsidRPr="00BB0BEB">
        <w:rPr>
          <w:rFonts w:ascii="Arial" w:hAnsi="Arial" w:cs="Arial"/>
          <w:sz w:val="20"/>
          <w:szCs w:val="20"/>
          <w:lang w:val="en-US"/>
        </w:rPr>
        <w:t xml:space="preserve">. </w:t>
      </w:r>
      <w:r w:rsidRPr="00BB0BEB">
        <w:rPr>
          <w:rFonts w:ascii="Arial" w:hAnsi="Arial" w:cs="Arial"/>
          <w:sz w:val="20"/>
          <w:szCs w:val="20"/>
          <w:lang w:val="en-US"/>
        </w:rPr>
        <w:t xml:space="preserve">The other days correspond to </w:t>
      </w:r>
      <m:oMath>
        <m:r>
          <w:rPr>
            <w:rFonts w:ascii="Cambria Math" w:hAnsi="Cambria Math" w:cs="Arial"/>
            <w:sz w:val="20"/>
            <w:szCs w:val="20"/>
          </w:rPr>
          <m:t>Aa</m:t>
        </m:r>
        <m:r>
          <w:rPr>
            <w:rFonts w:ascii="Cambria Math" w:hAnsi="Cambria Math" w:cs="Arial"/>
            <w:sz w:val="20"/>
            <w:szCs w:val="20"/>
            <w:lang w:val="en-US"/>
          </w:rPr>
          <m:t>≥20</m:t>
        </m:r>
        <m:r>
          <w:rPr>
            <w:rFonts w:ascii="Cambria Math" w:hAnsi="Cambria Math" w:cs="Arial"/>
            <w:sz w:val="20"/>
            <w:szCs w:val="20"/>
          </w:rPr>
          <m:t>nT</m:t>
        </m:r>
      </m:oMath>
      <w:r w:rsidRPr="00BB0BEB">
        <w:rPr>
          <w:rFonts w:ascii="Arial" w:hAnsi="Arial" w:cs="Arial"/>
          <w:sz w:val="20"/>
          <w:szCs w:val="20"/>
          <w:lang w:val="en-US"/>
        </w:rPr>
        <w:t>. Table 2 summarizes the number of quiet days for each year of cycle 24.</w:t>
      </w:r>
    </w:p>
    <w:p w14:paraId="0B0922DF" w14:textId="77777777" w:rsidR="00BA6413" w:rsidRDefault="00BA6413" w:rsidP="00C60BA0">
      <w:pPr>
        <w:jc w:val="both"/>
        <w:rPr>
          <w:rFonts w:ascii="Arial" w:hAnsi="Arial" w:cs="Arial"/>
          <w:sz w:val="20"/>
          <w:szCs w:val="20"/>
          <w:lang w:val="en-US"/>
        </w:rPr>
      </w:pPr>
    </w:p>
    <w:p w14:paraId="1849D437" w14:textId="31973037" w:rsidR="00BA6413" w:rsidRPr="00BB0BEB" w:rsidRDefault="00BA6413" w:rsidP="00C60BA0">
      <w:pPr>
        <w:jc w:val="both"/>
        <w:rPr>
          <w:rFonts w:ascii="Arial" w:hAnsi="Arial" w:cs="Arial"/>
          <w:sz w:val="20"/>
          <w:szCs w:val="20"/>
          <w:lang w:val="en-US"/>
        </w:rPr>
      </w:pPr>
      <w:r>
        <w:rPr>
          <w:rFonts w:ascii="Arial" w:hAnsi="Arial" w:cs="Arial"/>
          <w:sz w:val="20"/>
          <w:szCs w:val="20"/>
          <w:lang w:val="en-US"/>
        </w:rPr>
        <w:t xml:space="preserve">TABLE 2. </w:t>
      </w:r>
      <w:r w:rsidR="00711E42" w:rsidRPr="00711E42">
        <w:rPr>
          <w:rFonts w:ascii="Arial" w:hAnsi="Arial" w:cs="Arial"/>
          <w:sz w:val="20"/>
          <w:szCs w:val="20"/>
          <w:lang w:val="en-US"/>
        </w:rPr>
        <w:t>Summar</w:t>
      </w:r>
      <w:r w:rsidR="00711E42">
        <w:rPr>
          <w:rFonts w:ascii="Arial" w:hAnsi="Arial" w:cs="Arial"/>
          <w:sz w:val="20"/>
          <w:szCs w:val="20"/>
          <w:lang w:val="en-US"/>
        </w:rPr>
        <w:t>y</w:t>
      </w:r>
      <w:r w:rsidR="00371E58">
        <w:rPr>
          <w:rFonts w:ascii="Arial" w:hAnsi="Arial" w:cs="Arial"/>
          <w:sz w:val="20"/>
          <w:szCs w:val="20"/>
          <w:lang w:val="en-US"/>
        </w:rPr>
        <w:t xml:space="preserve"> of</w:t>
      </w:r>
      <w:r w:rsidR="00371E58" w:rsidRPr="00711E42">
        <w:rPr>
          <w:rFonts w:ascii="Arial" w:hAnsi="Arial" w:cs="Arial"/>
          <w:sz w:val="20"/>
          <w:szCs w:val="20"/>
          <w:lang w:val="en-US"/>
        </w:rPr>
        <w:t xml:space="preserve"> the number of quiet days for each year of cycle 24</w:t>
      </w:r>
      <w:r w:rsidR="00711E42" w:rsidRPr="00711E42">
        <w:rPr>
          <w:rFonts w:ascii="Arial" w:hAnsi="Arial" w:cs="Arial"/>
          <w:sz w:val="20"/>
          <w:szCs w:val="20"/>
          <w:lang w:val="en-US"/>
        </w:rPr>
        <w:t>.</w:t>
      </w:r>
    </w:p>
    <w:tbl>
      <w:tblPr>
        <w:tblStyle w:val="PlainTable2"/>
        <w:tblW w:w="9640" w:type="dxa"/>
        <w:tblInd w:w="-142" w:type="dxa"/>
        <w:tblLook w:val="04A0" w:firstRow="1" w:lastRow="0" w:firstColumn="1" w:lastColumn="0" w:noHBand="0" w:noVBand="1"/>
      </w:tblPr>
      <w:tblGrid>
        <w:gridCol w:w="1843"/>
        <w:gridCol w:w="709"/>
        <w:gridCol w:w="709"/>
        <w:gridCol w:w="709"/>
        <w:gridCol w:w="708"/>
        <w:gridCol w:w="732"/>
        <w:gridCol w:w="696"/>
        <w:gridCol w:w="707"/>
        <w:gridCol w:w="706"/>
        <w:gridCol w:w="707"/>
        <w:gridCol w:w="707"/>
        <w:gridCol w:w="707"/>
      </w:tblGrid>
      <w:tr w:rsidR="00BB0BEB" w:rsidRPr="00BB0BEB" w14:paraId="12AF1A22" w14:textId="77777777" w:rsidTr="00BB0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881A72C" w14:textId="77777777" w:rsidR="00C253E4" w:rsidRPr="00BB0BEB" w:rsidRDefault="00C253E4" w:rsidP="00C60BA0">
            <w:pPr>
              <w:jc w:val="both"/>
              <w:rPr>
                <w:rFonts w:ascii="Arial" w:eastAsiaTheme="minorEastAsia" w:hAnsi="Arial" w:cs="Arial"/>
                <w:sz w:val="20"/>
                <w:szCs w:val="20"/>
              </w:rPr>
            </w:pPr>
            <w:proofErr w:type="spellStart"/>
            <w:r w:rsidRPr="00BB0BEB">
              <w:rPr>
                <w:rFonts w:ascii="Arial" w:eastAsiaTheme="minorEastAsia" w:hAnsi="Arial" w:cs="Arial"/>
                <w:sz w:val="20"/>
                <w:szCs w:val="20"/>
              </w:rPr>
              <w:t>Years</w:t>
            </w:r>
            <w:proofErr w:type="spellEnd"/>
            <w:r w:rsidRPr="00BB0BEB">
              <w:rPr>
                <w:rFonts w:ascii="Arial" w:eastAsiaTheme="minorEastAsia" w:hAnsi="Arial" w:cs="Arial"/>
                <w:sz w:val="20"/>
                <w:szCs w:val="20"/>
              </w:rPr>
              <w:t xml:space="preserve"> </w:t>
            </w:r>
          </w:p>
        </w:tc>
        <w:tc>
          <w:tcPr>
            <w:tcW w:w="709" w:type="dxa"/>
          </w:tcPr>
          <w:p w14:paraId="20F74D4E" w14:textId="77777777" w:rsidR="00C253E4" w:rsidRPr="00F84FFD" w:rsidRDefault="00C253E4" w:rsidP="00C60BA0">
            <w:pPr>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rPr>
            </w:pPr>
            <w:r w:rsidRPr="00F84FFD">
              <w:rPr>
                <w:rFonts w:ascii="Arial" w:eastAsiaTheme="minorEastAsia" w:hAnsi="Arial" w:cs="Arial"/>
                <w:b w:val="0"/>
                <w:sz w:val="20"/>
                <w:szCs w:val="20"/>
              </w:rPr>
              <w:t>2008</w:t>
            </w:r>
          </w:p>
        </w:tc>
        <w:tc>
          <w:tcPr>
            <w:tcW w:w="709" w:type="dxa"/>
          </w:tcPr>
          <w:p w14:paraId="4A5D68CD" w14:textId="77777777" w:rsidR="00C253E4" w:rsidRPr="00F84FFD" w:rsidRDefault="00C253E4" w:rsidP="00C60BA0">
            <w:pPr>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rPr>
            </w:pPr>
            <w:r w:rsidRPr="00F84FFD">
              <w:rPr>
                <w:rFonts w:ascii="Arial" w:eastAsiaTheme="minorEastAsia" w:hAnsi="Arial" w:cs="Arial"/>
                <w:b w:val="0"/>
                <w:sz w:val="20"/>
                <w:szCs w:val="20"/>
              </w:rPr>
              <w:t>2009</w:t>
            </w:r>
          </w:p>
        </w:tc>
        <w:tc>
          <w:tcPr>
            <w:tcW w:w="709" w:type="dxa"/>
          </w:tcPr>
          <w:p w14:paraId="7C8A548A" w14:textId="77777777" w:rsidR="00C253E4" w:rsidRPr="00F84FFD" w:rsidRDefault="00C253E4" w:rsidP="00C60BA0">
            <w:pPr>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rPr>
            </w:pPr>
            <w:r w:rsidRPr="00F84FFD">
              <w:rPr>
                <w:rFonts w:ascii="Arial" w:eastAsiaTheme="minorEastAsia" w:hAnsi="Arial" w:cs="Arial"/>
                <w:b w:val="0"/>
                <w:sz w:val="20"/>
                <w:szCs w:val="20"/>
              </w:rPr>
              <w:t>2010</w:t>
            </w:r>
          </w:p>
        </w:tc>
        <w:tc>
          <w:tcPr>
            <w:tcW w:w="708" w:type="dxa"/>
          </w:tcPr>
          <w:p w14:paraId="61DA2AB1" w14:textId="77777777" w:rsidR="00C253E4" w:rsidRPr="00F84FFD" w:rsidRDefault="00C253E4" w:rsidP="00C60BA0">
            <w:pPr>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rPr>
            </w:pPr>
            <w:r w:rsidRPr="00F84FFD">
              <w:rPr>
                <w:rFonts w:ascii="Arial" w:eastAsiaTheme="minorEastAsia" w:hAnsi="Arial" w:cs="Arial"/>
                <w:b w:val="0"/>
                <w:sz w:val="20"/>
                <w:szCs w:val="20"/>
              </w:rPr>
              <w:t>2011</w:t>
            </w:r>
          </w:p>
        </w:tc>
        <w:tc>
          <w:tcPr>
            <w:tcW w:w="732" w:type="dxa"/>
          </w:tcPr>
          <w:p w14:paraId="09A4AC2F" w14:textId="77777777" w:rsidR="00C253E4" w:rsidRPr="00F84FFD" w:rsidRDefault="00C253E4" w:rsidP="00C60BA0">
            <w:pPr>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rPr>
            </w:pPr>
            <w:r w:rsidRPr="00F84FFD">
              <w:rPr>
                <w:rFonts w:ascii="Arial" w:eastAsiaTheme="minorEastAsia" w:hAnsi="Arial" w:cs="Arial"/>
                <w:b w:val="0"/>
                <w:sz w:val="20"/>
                <w:szCs w:val="20"/>
              </w:rPr>
              <w:t>2012</w:t>
            </w:r>
          </w:p>
        </w:tc>
        <w:tc>
          <w:tcPr>
            <w:tcW w:w="696" w:type="dxa"/>
          </w:tcPr>
          <w:p w14:paraId="0D6E3F6C" w14:textId="77777777" w:rsidR="00C253E4" w:rsidRPr="00F84FFD" w:rsidRDefault="00C253E4" w:rsidP="00C60BA0">
            <w:pPr>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rPr>
            </w:pPr>
            <w:r w:rsidRPr="00F84FFD">
              <w:rPr>
                <w:rFonts w:ascii="Arial" w:eastAsiaTheme="minorEastAsia" w:hAnsi="Arial" w:cs="Arial"/>
                <w:b w:val="0"/>
                <w:sz w:val="20"/>
                <w:szCs w:val="20"/>
              </w:rPr>
              <w:t>2013</w:t>
            </w:r>
          </w:p>
        </w:tc>
        <w:tc>
          <w:tcPr>
            <w:tcW w:w="707" w:type="dxa"/>
          </w:tcPr>
          <w:p w14:paraId="5983DC7D" w14:textId="77777777" w:rsidR="00C253E4" w:rsidRPr="00F84FFD" w:rsidRDefault="00C253E4" w:rsidP="00C60BA0">
            <w:pPr>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rPr>
            </w:pPr>
            <w:r w:rsidRPr="00F84FFD">
              <w:rPr>
                <w:rFonts w:ascii="Arial" w:eastAsiaTheme="minorEastAsia" w:hAnsi="Arial" w:cs="Arial"/>
                <w:b w:val="0"/>
                <w:sz w:val="20"/>
                <w:szCs w:val="20"/>
              </w:rPr>
              <w:t>2014</w:t>
            </w:r>
          </w:p>
        </w:tc>
        <w:tc>
          <w:tcPr>
            <w:tcW w:w="706" w:type="dxa"/>
          </w:tcPr>
          <w:p w14:paraId="32AE817A" w14:textId="77777777" w:rsidR="00C253E4" w:rsidRPr="00F84FFD" w:rsidRDefault="00C253E4" w:rsidP="00C60BA0">
            <w:pPr>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rPr>
            </w:pPr>
            <w:r w:rsidRPr="00F84FFD">
              <w:rPr>
                <w:rFonts w:ascii="Arial" w:eastAsiaTheme="minorEastAsia" w:hAnsi="Arial" w:cs="Arial"/>
                <w:b w:val="0"/>
                <w:sz w:val="20"/>
                <w:szCs w:val="20"/>
              </w:rPr>
              <w:t>2015</w:t>
            </w:r>
          </w:p>
        </w:tc>
        <w:tc>
          <w:tcPr>
            <w:tcW w:w="707" w:type="dxa"/>
          </w:tcPr>
          <w:p w14:paraId="6BA9E588" w14:textId="77777777" w:rsidR="00C253E4" w:rsidRPr="00F84FFD" w:rsidRDefault="00C253E4" w:rsidP="00C60BA0">
            <w:pPr>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rPr>
            </w:pPr>
            <w:r w:rsidRPr="00F84FFD">
              <w:rPr>
                <w:rFonts w:ascii="Arial" w:eastAsiaTheme="minorEastAsia" w:hAnsi="Arial" w:cs="Arial"/>
                <w:b w:val="0"/>
                <w:sz w:val="20"/>
                <w:szCs w:val="20"/>
              </w:rPr>
              <w:t>2016</w:t>
            </w:r>
          </w:p>
        </w:tc>
        <w:tc>
          <w:tcPr>
            <w:tcW w:w="707" w:type="dxa"/>
          </w:tcPr>
          <w:p w14:paraId="6FD785CB" w14:textId="77777777" w:rsidR="00C253E4" w:rsidRPr="00F84FFD" w:rsidRDefault="00C253E4" w:rsidP="00C60BA0">
            <w:pPr>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rPr>
            </w:pPr>
            <w:r w:rsidRPr="00F84FFD">
              <w:rPr>
                <w:rFonts w:ascii="Arial" w:eastAsiaTheme="minorEastAsia" w:hAnsi="Arial" w:cs="Arial"/>
                <w:b w:val="0"/>
                <w:sz w:val="20"/>
                <w:szCs w:val="20"/>
              </w:rPr>
              <w:t>2017</w:t>
            </w:r>
          </w:p>
        </w:tc>
        <w:tc>
          <w:tcPr>
            <w:tcW w:w="707" w:type="dxa"/>
          </w:tcPr>
          <w:p w14:paraId="3A34B276" w14:textId="77777777" w:rsidR="00C253E4" w:rsidRPr="00F84FFD" w:rsidRDefault="00C253E4" w:rsidP="00C60BA0">
            <w:pPr>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rPr>
            </w:pPr>
            <w:r w:rsidRPr="00F84FFD">
              <w:rPr>
                <w:rFonts w:ascii="Arial" w:eastAsiaTheme="minorEastAsia" w:hAnsi="Arial" w:cs="Arial"/>
                <w:b w:val="0"/>
                <w:sz w:val="20"/>
                <w:szCs w:val="20"/>
              </w:rPr>
              <w:t>2018</w:t>
            </w:r>
          </w:p>
        </w:tc>
      </w:tr>
      <w:tr w:rsidR="00BB0BEB" w:rsidRPr="00BB0BEB" w14:paraId="140CCF18" w14:textId="77777777" w:rsidTr="00BB0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28A45D8" w14:textId="77777777" w:rsidR="00C253E4" w:rsidRPr="00BB0BEB" w:rsidRDefault="00C253E4" w:rsidP="00C60BA0">
            <w:pPr>
              <w:jc w:val="both"/>
              <w:rPr>
                <w:rFonts w:ascii="Arial" w:eastAsiaTheme="minorEastAsia" w:hAnsi="Arial" w:cs="Arial"/>
                <w:sz w:val="20"/>
                <w:szCs w:val="20"/>
              </w:rPr>
            </w:pPr>
            <w:r w:rsidRPr="00BB0BEB">
              <w:rPr>
                <w:rFonts w:ascii="Arial" w:hAnsi="Arial" w:cs="Arial"/>
                <w:sz w:val="20"/>
                <w:szCs w:val="20"/>
                <w:lang w:val="en-US"/>
              </w:rPr>
              <w:t>number of quiet days</w:t>
            </w:r>
          </w:p>
        </w:tc>
        <w:tc>
          <w:tcPr>
            <w:tcW w:w="709" w:type="dxa"/>
          </w:tcPr>
          <w:p w14:paraId="6DA651D9" w14:textId="77777777" w:rsidR="00C253E4" w:rsidRPr="00BB0BEB" w:rsidRDefault="00C253E4" w:rsidP="00C60BA0">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BB0BEB">
              <w:rPr>
                <w:rFonts w:ascii="Arial" w:eastAsiaTheme="minorEastAsia" w:hAnsi="Arial" w:cs="Arial"/>
                <w:sz w:val="20"/>
                <w:szCs w:val="20"/>
              </w:rPr>
              <w:t>271</w:t>
            </w:r>
          </w:p>
        </w:tc>
        <w:tc>
          <w:tcPr>
            <w:tcW w:w="709" w:type="dxa"/>
          </w:tcPr>
          <w:p w14:paraId="209EDEA1" w14:textId="77777777" w:rsidR="00C253E4" w:rsidRPr="00BB0BEB" w:rsidRDefault="00C253E4" w:rsidP="00C60BA0">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BB0BEB">
              <w:rPr>
                <w:rFonts w:ascii="Arial" w:eastAsiaTheme="minorEastAsia" w:hAnsi="Arial" w:cs="Arial"/>
                <w:sz w:val="20"/>
                <w:szCs w:val="20"/>
              </w:rPr>
              <w:t>345</w:t>
            </w:r>
          </w:p>
        </w:tc>
        <w:tc>
          <w:tcPr>
            <w:tcW w:w="709" w:type="dxa"/>
          </w:tcPr>
          <w:p w14:paraId="09CF9671" w14:textId="77777777" w:rsidR="00C253E4" w:rsidRPr="00BB0BEB" w:rsidRDefault="00C253E4" w:rsidP="00C60BA0">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BB0BEB">
              <w:rPr>
                <w:rFonts w:ascii="Arial" w:eastAsiaTheme="minorEastAsia" w:hAnsi="Arial" w:cs="Arial"/>
                <w:sz w:val="20"/>
                <w:szCs w:val="20"/>
              </w:rPr>
              <w:t>305</w:t>
            </w:r>
          </w:p>
        </w:tc>
        <w:tc>
          <w:tcPr>
            <w:tcW w:w="708" w:type="dxa"/>
          </w:tcPr>
          <w:p w14:paraId="7BCB1941" w14:textId="77777777" w:rsidR="00C253E4" w:rsidRPr="00BB0BEB" w:rsidRDefault="00C253E4" w:rsidP="00C60BA0">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BB0BEB">
              <w:rPr>
                <w:rFonts w:ascii="Arial" w:eastAsiaTheme="minorEastAsia" w:hAnsi="Arial" w:cs="Arial"/>
                <w:sz w:val="20"/>
                <w:szCs w:val="20"/>
              </w:rPr>
              <w:t>278</w:t>
            </w:r>
          </w:p>
        </w:tc>
        <w:tc>
          <w:tcPr>
            <w:tcW w:w="732" w:type="dxa"/>
          </w:tcPr>
          <w:p w14:paraId="3994D943" w14:textId="77777777" w:rsidR="00C253E4" w:rsidRPr="00BB0BEB" w:rsidRDefault="00C253E4" w:rsidP="00C60BA0">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BB0BEB">
              <w:rPr>
                <w:rFonts w:ascii="Arial" w:eastAsiaTheme="minorEastAsia" w:hAnsi="Arial" w:cs="Arial"/>
                <w:sz w:val="20"/>
                <w:szCs w:val="20"/>
              </w:rPr>
              <w:t>259</w:t>
            </w:r>
          </w:p>
        </w:tc>
        <w:tc>
          <w:tcPr>
            <w:tcW w:w="696" w:type="dxa"/>
          </w:tcPr>
          <w:p w14:paraId="1E5FA28E" w14:textId="77777777" w:rsidR="00C253E4" w:rsidRPr="00BB0BEB" w:rsidRDefault="00C253E4" w:rsidP="00C60BA0">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BB0BEB">
              <w:rPr>
                <w:rFonts w:ascii="Arial" w:eastAsiaTheme="minorEastAsia" w:hAnsi="Arial" w:cs="Arial"/>
                <w:sz w:val="20"/>
                <w:szCs w:val="20"/>
              </w:rPr>
              <w:t>273</w:t>
            </w:r>
          </w:p>
        </w:tc>
        <w:tc>
          <w:tcPr>
            <w:tcW w:w="707" w:type="dxa"/>
          </w:tcPr>
          <w:p w14:paraId="55EBD270" w14:textId="77777777" w:rsidR="00C253E4" w:rsidRPr="00BB0BEB" w:rsidRDefault="00C253E4" w:rsidP="00C60BA0">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BB0BEB">
              <w:rPr>
                <w:rFonts w:ascii="Arial" w:eastAsiaTheme="minorEastAsia" w:hAnsi="Arial" w:cs="Arial"/>
                <w:sz w:val="20"/>
                <w:szCs w:val="20"/>
              </w:rPr>
              <w:t>270</w:t>
            </w:r>
          </w:p>
        </w:tc>
        <w:tc>
          <w:tcPr>
            <w:tcW w:w="706" w:type="dxa"/>
          </w:tcPr>
          <w:p w14:paraId="52F4FD03" w14:textId="77777777" w:rsidR="00C253E4" w:rsidRPr="00BB0BEB" w:rsidRDefault="00C253E4" w:rsidP="00C60BA0">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BB0BEB">
              <w:rPr>
                <w:rFonts w:ascii="Arial" w:eastAsiaTheme="minorEastAsia" w:hAnsi="Arial" w:cs="Arial"/>
                <w:sz w:val="20"/>
                <w:szCs w:val="20"/>
              </w:rPr>
              <w:t>199</w:t>
            </w:r>
          </w:p>
        </w:tc>
        <w:tc>
          <w:tcPr>
            <w:tcW w:w="707" w:type="dxa"/>
          </w:tcPr>
          <w:p w14:paraId="1B9B2C44" w14:textId="77777777" w:rsidR="00C253E4" w:rsidRPr="00BB0BEB" w:rsidRDefault="00C253E4" w:rsidP="00C60BA0">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BB0BEB">
              <w:rPr>
                <w:rFonts w:ascii="Arial" w:eastAsiaTheme="minorEastAsia" w:hAnsi="Arial" w:cs="Arial"/>
                <w:sz w:val="20"/>
                <w:szCs w:val="20"/>
              </w:rPr>
              <w:t>212</w:t>
            </w:r>
          </w:p>
        </w:tc>
        <w:tc>
          <w:tcPr>
            <w:tcW w:w="707" w:type="dxa"/>
          </w:tcPr>
          <w:p w14:paraId="2AFDEDD1" w14:textId="77777777" w:rsidR="00C253E4" w:rsidRPr="00BB0BEB" w:rsidRDefault="00C253E4" w:rsidP="00C60BA0">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BB0BEB">
              <w:rPr>
                <w:rFonts w:ascii="Arial" w:eastAsiaTheme="minorEastAsia" w:hAnsi="Arial" w:cs="Arial"/>
                <w:sz w:val="20"/>
                <w:szCs w:val="20"/>
              </w:rPr>
              <w:t>230</w:t>
            </w:r>
          </w:p>
        </w:tc>
        <w:tc>
          <w:tcPr>
            <w:tcW w:w="707" w:type="dxa"/>
          </w:tcPr>
          <w:p w14:paraId="6A993ED8" w14:textId="77777777" w:rsidR="00C253E4" w:rsidRPr="00BB0BEB" w:rsidRDefault="00C253E4" w:rsidP="00C60BA0">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BB0BEB">
              <w:rPr>
                <w:rFonts w:ascii="Arial" w:eastAsiaTheme="minorEastAsia" w:hAnsi="Arial" w:cs="Arial"/>
                <w:sz w:val="20"/>
                <w:szCs w:val="20"/>
              </w:rPr>
              <w:t>276</w:t>
            </w:r>
          </w:p>
        </w:tc>
      </w:tr>
    </w:tbl>
    <w:p w14:paraId="4A719167" w14:textId="77777777" w:rsidR="00C253E4" w:rsidRPr="00E53C1E" w:rsidRDefault="00C253E4" w:rsidP="00C60BA0">
      <w:pPr>
        <w:jc w:val="both"/>
        <w:rPr>
          <w:rFonts w:ascii="Arial" w:hAnsi="Arial" w:cs="Arial"/>
          <w:i/>
          <w:sz w:val="20"/>
          <w:szCs w:val="20"/>
          <w:lang w:val="en-US"/>
        </w:rPr>
      </w:pPr>
    </w:p>
    <w:p w14:paraId="01E3F36A" w14:textId="77777777" w:rsidR="00C253E4" w:rsidRPr="00E53C1E" w:rsidRDefault="00C253E4" w:rsidP="00E53C1E">
      <w:pPr>
        <w:pStyle w:val="ListParagraph"/>
        <w:numPr>
          <w:ilvl w:val="0"/>
          <w:numId w:val="3"/>
        </w:numPr>
        <w:jc w:val="both"/>
        <w:rPr>
          <w:rFonts w:ascii="Arial" w:hAnsi="Arial" w:cs="Arial"/>
          <w:i/>
          <w:sz w:val="20"/>
          <w:szCs w:val="20"/>
          <w:lang w:val="en-US"/>
        </w:rPr>
      </w:pPr>
      <w:r w:rsidRPr="00E53C1E">
        <w:rPr>
          <w:rFonts w:ascii="Arial" w:hAnsi="Arial" w:cs="Arial"/>
          <w:i/>
          <w:sz w:val="20"/>
          <w:szCs w:val="20"/>
          <w:lang w:val="en-US"/>
        </w:rPr>
        <w:t>Selection of geomagnetic storms:</w:t>
      </w:r>
    </w:p>
    <w:p w14:paraId="20FDD891" w14:textId="77777777" w:rsidR="00C253E4" w:rsidRPr="00AE5B8D" w:rsidRDefault="00C253E4" w:rsidP="00C60BA0">
      <w:pPr>
        <w:jc w:val="both"/>
        <w:rPr>
          <w:rFonts w:ascii="Arial" w:hAnsi="Arial" w:cs="Arial"/>
          <w:sz w:val="20"/>
          <w:szCs w:val="20"/>
          <w:lang w:val="en-US"/>
        </w:rPr>
      </w:pPr>
      <w:r w:rsidRPr="00BB0BEB">
        <w:rPr>
          <w:rFonts w:ascii="Arial" w:hAnsi="Arial" w:cs="Arial"/>
          <w:sz w:val="20"/>
          <w:szCs w:val="20"/>
          <w:lang w:val="en-US"/>
        </w:rPr>
        <w:t xml:space="preserve">Geomagnetic storms are periods of intense unrest due to a global disturbance of the Earth's magnetic </w:t>
      </w:r>
      <w:r w:rsidRPr="00AE5B8D">
        <w:rPr>
          <w:rFonts w:ascii="Arial" w:hAnsi="Arial" w:cs="Arial"/>
          <w:sz w:val="20"/>
          <w:szCs w:val="20"/>
          <w:lang w:val="en-US"/>
        </w:rPr>
        <w:t xml:space="preserve">field resulting from the interaction between the Earth's magnetosphere, fast solar winds, solar flares and coronal mass ejections (CMEs) from the Sun. In this work, we used only the </w:t>
      </w:r>
      <w:proofErr w:type="spellStart"/>
      <w:r w:rsidRPr="00AE5B8D">
        <w:rPr>
          <w:rFonts w:ascii="Arial" w:hAnsi="Arial" w:cs="Arial"/>
          <w:sz w:val="20"/>
          <w:szCs w:val="20"/>
          <w:lang w:val="en-US"/>
        </w:rPr>
        <w:t>Dst</w:t>
      </w:r>
      <w:proofErr w:type="spellEnd"/>
      <w:r w:rsidRPr="00AE5B8D">
        <w:rPr>
          <w:rFonts w:ascii="Arial" w:hAnsi="Arial" w:cs="Arial"/>
          <w:sz w:val="20"/>
          <w:szCs w:val="20"/>
          <w:lang w:val="en-US"/>
        </w:rPr>
        <w:t xml:space="preserve"> index to characterize the storms.</w:t>
      </w:r>
      <w:r w:rsidR="008156B0" w:rsidRPr="00AE5B8D">
        <w:rPr>
          <w:rFonts w:ascii="Arial" w:hAnsi="Arial" w:cs="Arial"/>
          <w:sz w:val="20"/>
          <w:szCs w:val="20"/>
          <w:lang w:val="en-US"/>
        </w:rPr>
        <w:t xml:space="preserve"> Gonzalez et al</w:t>
      </w:r>
      <w:r w:rsidR="00FF42BE" w:rsidRPr="00AE5B8D">
        <w:rPr>
          <w:rFonts w:ascii="Arial" w:hAnsi="Arial" w:cs="Arial"/>
          <w:sz w:val="20"/>
          <w:szCs w:val="20"/>
          <w:lang w:val="en-US"/>
        </w:rPr>
        <w:t xml:space="preserve">. (1994) defined three classes of geomagnetic storms according to their intensity based on the </w:t>
      </w:r>
      <w:proofErr w:type="spellStart"/>
      <w:r w:rsidR="00FF42BE" w:rsidRPr="00AE5B8D">
        <w:rPr>
          <w:rFonts w:ascii="Arial" w:hAnsi="Arial" w:cs="Arial"/>
          <w:sz w:val="20"/>
          <w:szCs w:val="20"/>
          <w:lang w:val="en-US"/>
        </w:rPr>
        <w:t>Dst</w:t>
      </w:r>
      <w:proofErr w:type="spellEnd"/>
      <w:r w:rsidR="00FF42BE" w:rsidRPr="00AE5B8D">
        <w:rPr>
          <w:rFonts w:ascii="Arial" w:hAnsi="Arial" w:cs="Arial"/>
          <w:sz w:val="20"/>
          <w:szCs w:val="20"/>
          <w:lang w:val="en-US"/>
        </w:rPr>
        <w:t xml:space="preserve"> index: </w:t>
      </w:r>
      <w:r w:rsidRPr="00AE5B8D">
        <w:rPr>
          <w:rFonts w:ascii="Arial" w:hAnsi="Arial" w:cs="Arial"/>
          <w:sz w:val="20"/>
          <w:szCs w:val="20"/>
          <w:lang w:val="en-US"/>
        </w:rPr>
        <w:t xml:space="preserve"> (</w:t>
      </w:r>
      <w:proofErr w:type="spellStart"/>
      <w:r w:rsidRPr="00AE5B8D">
        <w:rPr>
          <w:rFonts w:ascii="Arial" w:hAnsi="Arial" w:cs="Arial"/>
          <w:sz w:val="20"/>
          <w:szCs w:val="20"/>
          <w:lang w:val="en-US"/>
        </w:rPr>
        <w:t>i</w:t>
      </w:r>
      <w:proofErr w:type="spellEnd"/>
      <w:r w:rsidRPr="00AE5B8D">
        <w:rPr>
          <w:rFonts w:ascii="Arial" w:hAnsi="Arial" w:cs="Arial"/>
          <w:sz w:val="20"/>
          <w:szCs w:val="20"/>
          <w:lang w:val="en-US"/>
        </w:rPr>
        <w:t>) intense storm (D</w:t>
      </w:r>
      <m:oMath>
        <m:r>
          <m:rPr>
            <m:sty m:val="p"/>
          </m:rPr>
          <w:rPr>
            <w:rFonts w:ascii="Cambria Math" w:hAnsi="Cambria Math" w:cs="Arial"/>
            <w:sz w:val="20"/>
            <w:szCs w:val="20"/>
            <w:lang w:val="en-US"/>
          </w:rPr>
          <m:t>st≤-100nT</m:t>
        </m:r>
        <m:r>
          <w:rPr>
            <w:rFonts w:ascii="Cambria Math" w:hAnsi="Cambria Math" w:cs="Arial"/>
            <w:sz w:val="20"/>
            <w:szCs w:val="20"/>
            <w:lang w:val="en-US"/>
          </w:rPr>
          <m:t> </m:t>
        </m:r>
      </m:oMath>
      <w:r w:rsidRPr="00AE5B8D">
        <w:rPr>
          <w:rFonts w:ascii="Arial" w:hAnsi="Arial" w:cs="Arial"/>
          <w:sz w:val="20"/>
          <w:szCs w:val="20"/>
          <w:lang w:val="en-US"/>
        </w:rPr>
        <w:t>); (ii) moderate storm (</w:t>
      </w:r>
      <m:oMath>
        <m:r>
          <w:rPr>
            <w:rFonts w:ascii="Cambria Math" w:eastAsiaTheme="minorEastAsia" w:hAnsi="Cambria Math" w:cs="Arial"/>
            <w:sz w:val="20"/>
            <w:szCs w:val="20"/>
            <w:lang w:val="en-US"/>
          </w:rPr>
          <m:t>-</m:t>
        </m:r>
        <m:r>
          <m:rPr>
            <m:sty m:val="p"/>
          </m:rPr>
          <w:rPr>
            <w:rFonts w:ascii="Cambria Math" w:eastAsiaTheme="minorEastAsia" w:hAnsi="Cambria Math" w:cs="Arial"/>
            <w:sz w:val="20"/>
            <w:szCs w:val="20"/>
            <w:lang w:val="en-US"/>
          </w:rPr>
          <m:t>50 nT ≥Dst&gt;-100 nT</m:t>
        </m:r>
      </m:oMath>
      <w:r w:rsidRPr="00AE5B8D">
        <w:rPr>
          <w:rFonts w:ascii="Arial" w:hAnsi="Arial" w:cs="Arial"/>
          <w:sz w:val="20"/>
          <w:szCs w:val="20"/>
          <w:lang w:val="en-US"/>
        </w:rPr>
        <w:t xml:space="preserve">); (iii) weak storm </w:t>
      </w:r>
      <m:oMath>
        <m:r>
          <w:rPr>
            <w:rFonts w:ascii="Cambria Math" w:hAnsi="Cambria Math" w:cs="Arial"/>
            <w:sz w:val="20"/>
            <w:szCs w:val="20"/>
            <w:lang w:val="en-US"/>
          </w:rPr>
          <m:t>(</m:t>
        </m:r>
        <m:r>
          <m:rPr>
            <m:sty m:val="p"/>
          </m:rPr>
          <w:rPr>
            <w:rFonts w:ascii="Cambria Math" w:eastAsiaTheme="minorEastAsia" w:hAnsi="Cambria Math" w:cs="Arial"/>
            <w:sz w:val="20"/>
            <w:szCs w:val="20"/>
            <w:lang w:val="en-US"/>
          </w:rPr>
          <m:t>-30 nT≥Dst&gt;-50 nT</m:t>
        </m:r>
      </m:oMath>
      <w:r w:rsidRPr="00AE5B8D">
        <w:rPr>
          <w:rFonts w:ascii="Arial" w:hAnsi="Arial" w:cs="Arial"/>
          <w:sz w:val="20"/>
          <w:szCs w:val="20"/>
          <w:lang w:val="en-US"/>
        </w:rPr>
        <w:t>). We sel</w:t>
      </w:r>
      <w:r w:rsidR="00FF42BE" w:rsidRPr="00AE5B8D">
        <w:rPr>
          <w:rFonts w:ascii="Arial" w:hAnsi="Arial" w:cs="Arial"/>
          <w:sz w:val="20"/>
          <w:szCs w:val="20"/>
          <w:lang w:val="en-US"/>
        </w:rPr>
        <w:t>ected some intense storms for</w:t>
      </w:r>
      <w:r w:rsidRPr="00AE5B8D">
        <w:rPr>
          <w:rFonts w:ascii="Arial" w:hAnsi="Arial" w:cs="Arial"/>
          <w:sz w:val="20"/>
          <w:szCs w:val="20"/>
          <w:lang w:val="en-US"/>
        </w:rPr>
        <w:t xml:space="preserve"> which we have GPS data to study the variation of ROTI as a function of </w:t>
      </w:r>
      <w:proofErr w:type="spellStart"/>
      <w:r w:rsidRPr="00AE5B8D">
        <w:rPr>
          <w:rFonts w:ascii="Arial" w:hAnsi="Arial" w:cs="Arial"/>
          <w:sz w:val="20"/>
          <w:szCs w:val="20"/>
          <w:lang w:val="en-US"/>
        </w:rPr>
        <w:t>Dst</w:t>
      </w:r>
      <w:proofErr w:type="spellEnd"/>
      <w:r w:rsidRPr="00AE5B8D">
        <w:rPr>
          <w:rFonts w:ascii="Arial" w:hAnsi="Arial" w:cs="Arial"/>
          <w:sz w:val="20"/>
          <w:szCs w:val="20"/>
          <w:lang w:val="en-US"/>
        </w:rPr>
        <w:t>.</w:t>
      </w:r>
    </w:p>
    <w:p w14:paraId="4569E8DA" w14:textId="77777777" w:rsidR="00C253E4" w:rsidRPr="00E53C1E" w:rsidRDefault="00C253E4" w:rsidP="00E53C1E">
      <w:pPr>
        <w:pStyle w:val="ListParagraph"/>
        <w:numPr>
          <w:ilvl w:val="0"/>
          <w:numId w:val="3"/>
        </w:numPr>
        <w:jc w:val="both"/>
        <w:rPr>
          <w:rFonts w:ascii="Arial" w:hAnsi="Arial" w:cs="Arial"/>
          <w:i/>
          <w:sz w:val="20"/>
          <w:szCs w:val="20"/>
          <w:lang w:val="en-US"/>
        </w:rPr>
      </w:pPr>
      <w:r w:rsidRPr="00E53C1E">
        <w:rPr>
          <w:rFonts w:ascii="Arial" w:hAnsi="Arial" w:cs="Arial"/>
          <w:i/>
          <w:sz w:val="20"/>
          <w:szCs w:val="20"/>
          <w:lang w:val="en-US"/>
        </w:rPr>
        <w:t xml:space="preserve">Determination of the ROTI index: </w:t>
      </w:r>
    </w:p>
    <w:p w14:paraId="0B16CA31" w14:textId="77777777" w:rsidR="00C253E4" w:rsidRPr="00BB0BEB" w:rsidRDefault="00C253E4" w:rsidP="00C60BA0">
      <w:pPr>
        <w:jc w:val="both"/>
        <w:rPr>
          <w:rFonts w:ascii="Arial" w:hAnsi="Arial" w:cs="Arial"/>
          <w:sz w:val="20"/>
          <w:szCs w:val="20"/>
          <w:lang w:val="en-US"/>
        </w:rPr>
      </w:pPr>
      <w:r w:rsidRPr="004D1F80">
        <w:rPr>
          <w:rFonts w:ascii="Arial" w:hAnsi="Arial" w:cs="Arial"/>
          <w:sz w:val="20"/>
          <w:szCs w:val="20"/>
          <w:lang w:val="en-US"/>
        </w:rPr>
        <w:t>The</w:t>
      </w:r>
      <w:r w:rsidR="00DB0174" w:rsidRPr="004D1F80">
        <w:rPr>
          <w:rFonts w:ascii="Arial" w:hAnsi="Arial" w:cs="Arial"/>
          <w:sz w:val="20"/>
          <w:szCs w:val="20"/>
          <w:lang w:val="en-US"/>
        </w:rPr>
        <w:t xml:space="preserve"> rate of total electron content change index</w:t>
      </w:r>
      <w:r w:rsidRPr="004D1F80">
        <w:rPr>
          <w:rFonts w:ascii="Arial" w:hAnsi="Arial" w:cs="Arial"/>
          <w:sz w:val="20"/>
          <w:szCs w:val="20"/>
          <w:lang w:val="en-US"/>
        </w:rPr>
        <w:t xml:space="preserve"> (ROTI) is a measure of the variations in the total electron content (TEC) in the ionosphere. It is defined </w:t>
      </w:r>
      <w:r w:rsidRPr="00BB0BEB">
        <w:rPr>
          <w:rFonts w:ascii="Arial" w:hAnsi="Arial" w:cs="Arial"/>
          <w:sz w:val="20"/>
          <w:szCs w:val="20"/>
          <w:lang w:val="en-US"/>
        </w:rPr>
        <w:t xml:space="preserve">by Pi et al. (1997) to assess ionospheric irregularities from the phase fluctuations of GPS signals. According to </w:t>
      </w:r>
      <w:proofErr w:type="spellStart"/>
      <w:r w:rsidRPr="00BB0BEB">
        <w:rPr>
          <w:rFonts w:ascii="Arial" w:hAnsi="Arial" w:cs="Arial"/>
          <w:sz w:val="20"/>
          <w:szCs w:val="20"/>
          <w:lang w:val="en-US"/>
        </w:rPr>
        <w:t>Basu</w:t>
      </w:r>
      <w:proofErr w:type="spellEnd"/>
      <w:r w:rsidRPr="00BB0BEB">
        <w:rPr>
          <w:rFonts w:ascii="Arial" w:hAnsi="Arial" w:cs="Arial"/>
          <w:sz w:val="20"/>
          <w:szCs w:val="20"/>
          <w:lang w:val="en-US"/>
        </w:rPr>
        <w:t xml:space="preserve"> et al. (1999), ROTI is a good indicator of the presence of scintillations caused by small-scale ionospheric irregularities in the equatorial region of the ionosphere. The ROTI index is calculated every 30 seconds from the sta</w:t>
      </w:r>
      <w:r w:rsidR="00DB0174">
        <w:rPr>
          <w:rFonts w:ascii="Arial" w:hAnsi="Arial" w:cs="Arial"/>
          <w:sz w:val="20"/>
          <w:szCs w:val="20"/>
          <w:lang w:val="en-US"/>
        </w:rPr>
        <w:t>ndard deviation of the ROT (</w:t>
      </w:r>
      <w:r w:rsidRPr="00BB0BEB">
        <w:rPr>
          <w:rFonts w:ascii="Arial" w:hAnsi="Arial" w:cs="Arial"/>
          <w:sz w:val="20"/>
          <w:szCs w:val="20"/>
          <w:lang w:val="en-US"/>
        </w:rPr>
        <w:t xml:space="preserve">Rate of </w:t>
      </w:r>
      <w:r w:rsidR="00DB0174">
        <w:rPr>
          <w:rFonts w:ascii="Arial" w:hAnsi="Arial" w:cs="Arial"/>
          <w:sz w:val="20"/>
          <w:szCs w:val="20"/>
          <w:lang w:val="en-US"/>
        </w:rPr>
        <w:t xml:space="preserve">TEC </w:t>
      </w:r>
      <w:r w:rsidRPr="00BB0BEB">
        <w:rPr>
          <w:rFonts w:ascii="Arial" w:hAnsi="Arial" w:cs="Arial"/>
          <w:sz w:val="20"/>
          <w:szCs w:val="20"/>
          <w:lang w:val="en-US"/>
        </w:rPr>
        <w:t>Change) over a period of 10 minutes with a minimum of 10 points (Pi et al., 1997). This index is used to assess the rapidity of TEC variations, which can affect GNSS signals by causing scintillations.</w:t>
      </w:r>
    </w:p>
    <w:p w14:paraId="045768DC" w14:textId="77777777" w:rsidR="00F8506B" w:rsidRDefault="00C253E4" w:rsidP="00F8506B">
      <w:pPr>
        <w:spacing w:line="240" w:lineRule="auto"/>
        <w:jc w:val="both"/>
        <w:rPr>
          <w:rFonts w:ascii="Arial" w:eastAsiaTheme="minorEastAsia" w:hAnsi="Arial" w:cs="Arial"/>
          <w:b/>
          <w:bCs/>
          <w:sz w:val="20"/>
          <w:szCs w:val="20"/>
          <w:lang w:val="en-US"/>
        </w:rPr>
      </w:pPr>
      <m:oMath>
        <m:r>
          <m:rPr>
            <m:sty m:val="b"/>
          </m:rPr>
          <w:rPr>
            <w:rFonts w:ascii="Cambria Math" w:hAnsi="Cambria Math" w:cs="Arial"/>
            <w:sz w:val="20"/>
            <w:szCs w:val="20"/>
          </w:rPr>
          <m:t>ROTI</m:t>
        </m:r>
        <m:r>
          <m:rPr>
            <m:sty m:val="bi"/>
          </m:rPr>
          <w:rPr>
            <w:rFonts w:ascii="Cambria Math" w:hAnsi="Cambria Math" w:cs="Arial"/>
            <w:sz w:val="20"/>
            <w:szCs w:val="20"/>
            <w:lang w:val="en-US"/>
          </w:rPr>
          <m:t>=</m:t>
        </m:r>
        <m:rad>
          <m:radPr>
            <m:degHide m:val="1"/>
            <m:ctrlPr>
              <w:rPr>
                <w:rFonts w:ascii="Cambria Math" w:hAnsi="Cambria Math" w:cs="Arial"/>
                <w:b/>
                <w:bCs/>
                <w:i/>
                <w:sz w:val="20"/>
                <w:szCs w:val="20"/>
              </w:rPr>
            </m:ctrlPr>
          </m:radPr>
          <m:deg/>
          <m:e>
            <m:d>
              <m:dPr>
                <m:begChr m:val="⟨"/>
                <m:endChr m:val="⟩"/>
                <m:ctrlPr>
                  <w:rPr>
                    <w:rFonts w:ascii="Cambria Math" w:hAnsi="Cambria Math" w:cs="Arial"/>
                    <w:b/>
                    <w:bCs/>
                    <w:sz w:val="20"/>
                    <w:szCs w:val="20"/>
                  </w:rPr>
                </m:ctrlPr>
              </m:dPr>
              <m:e>
                <m:sSup>
                  <m:sSupPr>
                    <m:ctrlPr>
                      <w:rPr>
                        <w:rFonts w:ascii="Cambria Math" w:hAnsi="Cambria Math" w:cs="Arial"/>
                        <w:b/>
                        <w:bCs/>
                        <w:sz w:val="20"/>
                        <w:szCs w:val="20"/>
                      </w:rPr>
                    </m:ctrlPr>
                  </m:sSupPr>
                  <m:e>
                    <m:r>
                      <m:rPr>
                        <m:sty m:val="b"/>
                      </m:rPr>
                      <w:rPr>
                        <w:rFonts w:ascii="Cambria Math" w:hAnsi="Cambria Math" w:cs="Arial"/>
                        <w:sz w:val="20"/>
                        <w:szCs w:val="20"/>
                      </w:rPr>
                      <m:t>ROT</m:t>
                    </m:r>
                  </m:e>
                  <m:sup>
                    <m:r>
                      <m:rPr>
                        <m:sty m:val="b"/>
                      </m:rPr>
                      <w:rPr>
                        <w:rFonts w:ascii="Cambria Math" w:hAnsi="Cambria Math" w:cs="Arial"/>
                        <w:sz w:val="20"/>
                        <w:szCs w:val="20"/>
                      </w:rPr>
                      <m:t>2</m:t>
                    </m:r>
                  </m:sup>
                </m:sSup>
              </m:e>
            </m:d>
            <m:r>
              <m:rPr>
                <m:sty m:val="b"/>
              </m:rPr>
              <w:rPr>
                <w:rFonts w:ascii="Cambria Math" w:hAnsi="Cambria Math" w:cs="Arial"/>
                <w:sz w:val="20"/>
                <w:szCs w:val="20"/>
                <w:lang w:val="en-US"/>
              </w:rPr>
              <m:t>-</m:t>
            </m:r>
            <m:sSup>
              <m:sSupPr>
                <m:ctrlPr>
                  <w:rPr>
                    <w:rFonts w:ascii="Cambria Math" w:hAnsi="Cambria Math" w:cs="Arial"/>
                    <w:b/>
                    <w:bCs/>
                    <w:sz w:val="20"/>
                    <w:szCs w:val="20"/>
                  </w:rPr>
                </m:ctrlPr>
              </m:sSupPr>
              <m:e>
                <m:r>
                  <m:rPr>
                    <m:sty m:val="b"/>
                  </m:rPr>
                  <w:rPr>
                    <w:rFonts w:ascii="Cambria Math" w:hAnsi="Cambria Math" w:cs="Arial"/>
                    <w:sz w:val="20"/>
                    <w:szCs w:val="20"/>
                  </w:rPr>
                  <m:t>⟨ROT⟩</m:t>
                </m:r>
              </m:e>
              <m:sup>
                <m:r>
                  <m:rPr>
                    <m:sty m:val="bi"/>
                  </m:rPr>
                  <w:rPr>
                    <w:rFonts w:ascii="Cambria Math" w:hAnsi="Cambria Math" w:cs="Arial"/>
                    <w:sz w:val="20"/>
                    <w:szCs w:val="20"/>
                  </w:rPr>
                  <m:t>2</m:t>
                </m:r>
              </m:sup>
            </m:sSup>
          </m:e>
        </m:rad>
        <m:r>
          <m:rPr>
            <m:sty m:val="bi"/>
          </m:rPr>
          <w:rPr>
            <w:rFonts w:ascii="Cambria Math" w:hAnsi="Cambria Math" w:cs="Arial"/>
            <w:sz w:val="20"/>
            <w:szCs w:val="20"/>
            <w:lang w:val="en-US"/>
          </w:rPr>
          <m:t xml:space="preserve"> </m:t>
        </m:r>
      </m:oMath>
      <w:r w:rsidR="00F8506B">
        <w:rPr>
          <w:rFonts w:ascii="Arial" w:eastAsiaTheme="minorEastAsia" w:hAnsi="Arial" w:cs="Arial"/>
          <w:b/>
          <w:bCs/>
          <w:sz w:val="20"/>
          <w:szCs w:val="20"/>
          <w:lang w:val="en-US"/>
        </w:rPr>
        <w:t xml:space="preserve">  </w:t>
      </w:r>
    </w:p>
    <w:p w14:paraId="285E7619" w14:textId="77777777" w:rsidR="007922A1" w:rsidRPr="00F8506B" w:rsidRDefault="007922A1" w:rsidP="00F8506B">
      <w:pPr>
        <w:spacing w:line="240" w:lineRule="auto"/>
        <w:jc w:val="both"/>
        <w:rPr>
          <w:rFonts w:ascii="Arial" w:eastAsiaTheme="minorEastAsia" w:hAnsi="Arial" w:cs="Arial"/>
          <w:b/>
          <w:bCs/>
          <w:sz w:val="20"/>
          <w:szCs w:val="20"/>
          <w:lang w:val="en-US"/>
        </w:rPr>
      </w:pPr>
      <w:r w:rsidRPr="00BB0BEB">
        <w:rPr>
          <w:rFonts w:ascii="Arial" w:hAnsi="Arial" w:cs="Arial"/>
          <w:sz w:val="20"/>
          <w:szCs w:val="20"/>
          <w:lang w:val="en-US"/>
        </w:rPr>
        <w:t xml:space="preserve">With the symbol </w:t>
      </w:r>
      <m:oMath>
        <m:r>
          <m:rPr>
            <m:sty m:val="p"/>
          </m:rPr>
          <w:rPr>
            <w:rFonts w:ascii="Cambria Math" w:hAnsi="Cambria Math" w:cs="Arial"/>
            <w:sz w:val="20"/>
            <w:szCs w:val="20"/>
          </w:rPr>
          <m:t>⟨</m:t>
        </m:r>
        <m:r>
          <m:rPr>
            <m:sty m:val="p"/>
          </m:rPr>
          <w:rPr>
            <w:rFonts w:ascii="Cambria Math" w:hAnsi="Cambria Math" w:cs="Arial"/>
            <w:sz w:val="20"/>
            <w:szCs w:val="20"/>
            <w:lang w:val="en-US"/>
          </w:rPr>
          <m:t xml:space="preserve"> </m:t>
        </m:r>
        <m:r>
          <m:rPr>
            <m:sty m:val="p"/>
          </m:rPr>
          <w:rPr>
            <w:rFonts w:ascii="Cambria Math" w:hAnsi="Cambria Math" w:cs="Arial"/>
            <w:sz w:val="20"/>
            <w:szCs w:val="20"/>
          </w:rPr>
          <m:t>⟩</m:t>
        </m:r>
      </m:oMath>
      <w:r w:rsidRPr="00BB0BEB">
        <w:rPr>
          <w:rFonts w:ascii="Arial" w:eastAsiaTheme="minorEastAsia" w:hAnsi="Arial" w:cs="Arial"/>
          <w:sz w:val="20"/>
          <w:szCs w:val="20"/>
          <w:lang w:val="en-US"/>
        </w:rPr>
        <w:t> </w:t>
      </w:r>
      <w:r w:rsidRPr="00BB0BEB">
        <w:rPr>
          <w:rFonts w:ascii="Arial" w:hAnsi="Arial" w:cs="Arial"/>
          <w:sz w:val="20"/>
          <w:szCs w:val="20"/>
          <w:lang w:val="en-US"/>
        </w:rPr>
        <w:t>representing the average value.</w:t>
      </w:r>
    </w:p>
    <w:p w14:paraId="4AE55D12" w14:textId="77777777" w:rsidR="00C253E4" w:rsidRPr="00BB0BEB" w:rsidRDefault="00F8506B" w:rsidP="00C60BA0">
      <w:pPr>
        <w:jc w:val="both"/>
        <w:rPr>
          <w:rFonts w:ascii="Arial" w:hAnsi="Arial" w:cs="Arial"/>
          <w:sz w:val="20"/>
          <w:szCs w:val="20"/>
          <w:lang w:val="en-US"/>
        </w:rPr>
      </w:pPr>
      <w:r>
        <w:rPr>
          <w:rFonts w:ascii="Arial" w:hAnsi="Arial" w:cs="Arial"/>
          <w:sz w:val="20"/>
          <w:szCs w:val="20"/>
          <w:lang w:val="en-US"/>
        </w:rPr>
        <w:lastRenderedPageBreak/>
        <w:t>ROT (</w:t>
      </w:r>
      <w:r w:rsidR="00DB0174" w:rsidRPr="00BB0BEB">
        <w:rPr>
          <w:rFonts w:ascii="Arial" w:hAnsi="Arial" w:cs="Arial"/>
          <w:sz w:val="20"/>
          <w:szCs w:val="20"/>
          <w:lang w:val="en-US"/>
        </w:rPr>
        <w:t xml:space="preserve">Rate of </w:t>
      </w:r>
      <w:r w:rsidR="00DB0174">
        <w:rPr>
          <w:rFonts w:ascii="Arial" w:hAnsi="Arial" w:cs="Arial"/>
          <w:sz w:val="20"/>
          <w:szCs w:val="20"/>
          <w:lang w:val="en-US"/>
        </w:rPr>
        <w:t xml:space="preserve">TEC </w:t>
      </w:r>
      <w:r w:rsidR="00DB0174" w:rsidRPr="00BB0BEB">
        <w:rPr>
          <w:rFonts w:ascii="Arial" w:hAnsi="Arial" w:cs="Arial"/>
          <w:sz w:val="20"/>
          <w:szCs w:val="20"/>
          <w:lang w:val="en-US"/>
        </w:rPr>
        <w:t>Change</w:t>
      </w:r>
      <w:r>
        <w:rPr>
          <w:rFonts w:ascii="Arial" w:hAnsi="Arial" w:cs="Arial"/>
          <w:sz w:val="20"/>
          <w:szCs w:val="20"/>
          <w:lang w:val="en-US"/>
        </w:rPr>
        <w:t xml:space="preserve">) </w:t>
      </w:r>
      <w:r w:rsidR="007922A1" w:rsidRPr="00BB0BEB">
        <w:rPr>
          <w:rFonts w:ascii="Arial" w:hAnsi="Arial" w:cs="Arial"/>
          <w:sz w:val="20"/>
          <w:szCs w:val="20"/>
          <w:lang w:val="en-US"/>
        </w:rPr>
        <w:t>represents the rate of change of the STEC, derived from phase measurements recorded in RINEX files at 30-second intervals:</w:t>
      </w:r>
    </w:p>
    <w:p w14:paraId="5C305A06" w14:textId="77777777" w:rsidR="007922A1" w:rsidRPr="00BB0BEB" w:rsidRDefault="007922A1" w:rsidP="00C60BA0">
      <w:pPr>
        <w:spacing w:line="240" w:lineRule="auto"/>
        <w:jc w:val="both"/>
        <w:rPr>
          <w:rFonts w:ascii="Arial" w:eastAsiaTheme="minorEastAsia" w:hAnsi="Arial" w:cs="Arial"/>
          <w:b/>
          <w:bCs/>
          <w:sz w:val="20"/>
          <w:szCs w:val="20"/>
          <w:lang w:val="en-US"/>
        </w:rPr>
      </w:pPr>
      <m:oMath>
        <m:r>
          <m:rPr>
            <m:sty m:val="bi"/>
          </m:rPr>
          <w:rPr>
            <w:rFonts w:ascii="Cambria Math" w:eastAsiaTheme="minorEastAsia" w:hAnsi="Cambria Math" w:cs="Arial"/>
            <w:sz w:val="20"/>
            <w:szCs w:val="20"/>
          </w:rPr>
          <m:t>ROT</m:t>
        </m:r>
        <m:r>
          <m:rPr>
            <m:sty m:val="bi"/>
          </m:rPr>
          <w:rPr>
            <w:rFonts w:ascii="Cambria Math" w:eastAsiaTheme="minorEastAsia" w:hAnsi="Cambria Math" w:cs="Arial"/>
            <w:sz w:val="20"/>
            <w:szCs w:val="20"/>
            <w:lang w:val="en-US"/>
          </w:rPr>
          <m:t>=</m:t>
        </m:r>
        <m:f>
          <m:fPr>
            <m:ctrlPr>
              <w:rPr>
                <w:rFonts w:ascii="Cambria Math" w:eastAsiaTheme="minorEastAsia" w:hAnsi="Cambria Math" w:cs="Arial"/>
                <w:b/>
                <w:bCs/>
                <w:i/>
                <w:sz w:val="20"/>
                <w:szCs w:val="20"/>
              </w:rPr>
            </m:ctrlPr>
          </m:fPr>
          <m:num>
            <m:sSub>
              <m:sSubPr>
                <m:ctrlPr>
                  <w:rPr>
                    <w:rFonts w:ascii="Cambria Math" w:eastAsiaTheme="minorEastAsia" w:hAnsi="Cambria Math" w:cs="Arial"/>
                    <w:b/>
                    <w:bCs/>
                    <w:i/>
                    <w:sz w:val="20"/>
                    <w:szCs w:val="20"/>
                  </w:rPr>
                </m:ctrlPr>
              </m:sSubPr>
              <m:e>
                <m:r>
                  <m:rPr>
                    <m:sty m:val="bi"/>
                  </m:rPr>
                  <w:rPr>
                    <w:rFonts w:ascii="Cambria Math" w:eastAsiaTheme="minorEastAsia" w:hAnsi="Cambria Math" w:cs="Arial"/>
                    <w:sz w:val="20"/>
                    <w:szCs w:val="20"/>
                  </w:rPr>
                  <m:t>STEC</m:t>
                </m:r>
              </m:e>
              <m:sub>
                <m:r>
                  <m:rPr>
                    <m:sty m:val="bi"/>
                  </m:rPr>
                  <w:rPr>
                    <w:rFonts w:ascii="Cambria Math" w:eastAsiaTheme="minorEastAsia" w:hAnsi="Cambria Math" w:cs="Arial"/>
                    <w:sz w:val="20"/>
                    <w:szCs w:val="20"/>
                  </w:rPr>
                  <m:t>k</m:t>
                </m:r>
                <m:r>
                  <m:rPr>
                    <m:sty m:val="bi"/>
                  </m:rPr>
                  <w:rPr>
                    <w:rFonts w:ascii="Cambria Math" w:eastAsiaTheme="minorEastAsia" w:hAnsi="Cambria Math" w:cs="Arial"/>
                    <w:sz w:val="20"/>
                    <w:szCs w:val="20"/>
                    <w:lang w:val="en-US"/>
                  </w:rPr>
                  <m:t>+</m:t>
                </m:r>
                <m:r>
                  <m:rPr>
                    <m:sty m:val="bi"/>
                  </m:rPr>
                  <w:rPr>
                    <w:rFonts w:ascii="Cambria Math" w:eastAsiaTheme="minorEastAsia" w:hAnsi="Cambria Math" w:cs="Arial"/>
                    <w:sz w:val="20"/>
                    <w:szCs w:val="20"/>
                  </w:rPr>
                  <m:t>1</m:t>
                </m:r>
              </m:sub>
            </m:sSub>
            <m:r>
              <m:rPr>
                <m:sty m:val="bi"/>
              </m:rPr>
              <w:rPr>
                <w:rFonts w:ascii="Cambria Math" w:eastAsiaTheme="minorEastAsia" w:hAnsi="Cambria Math" w:cs="Arial"/>
                <w:sz w:val="20"/>
                <w:szCs w:val="20"/>
                <w:lang w:val="en-US"/>
              </w:rPr>
              <m:t>-</m:t>
            </m:r>
            <m:sSub>
              <m:sSubPr>
                <m:ctrlPr>
                  <w:rPr>
                    <w:rFonts w:ascii="Cambria Math" w:eastAsiaTheme="minorEastAsia" w:hAnsi="Cambria Math" w:cs="Arial"/>
                    <w:b/>
                    <w:bCs/>
                    <w:i/>
                    <w:sz w:val="20"/>
                    <w:szCs w:val="20"/>
                  </w:rPr>
                </m:ctrlPr>
              </m:sSubPr>
              <m:e>
                <m:r>
                  <m:rPr>
                    <m:sty m:val="bi"/>
                  </m:rPr>
                  <w:rPr>
                    <w:rFonts w:ascii="Cambria Math" w:eastAsiaTheme="minorEastAsia" w:hAnsi="Cambria Math" w:cs="Arial"/>
                    <w:sz w:val="20"/>
                    <w:szCs w:val="20"/>
                  </w:rPr>
                  <m:t>STEC</m:t>
                </m:r>
              </m:e>
              <m:sub>
                <m:r>
                  <m:rPr>
                    <m:sty m:val="bi"/>
                  </m:rPr>
                  <w:rPr>
                    <w:rFonts w:ascii="Cambria Math" w:eastAsiaTheme="minorEastAsia" w:hAnsi="Cambria Math" w:cs="Arial"/>
                    <w:sz w:val="20"/>
                    <w:szCs w:val="20"/>
                  </w:rPr>
                  <m:t>k</m:t>
                </m:r>
              </m:sub>
            </m:sSub>
          </m:num>
          <m:den>
            <m:sSub>
              <m:sSubPr>
                <m:ctrlPr>
                  <w:rPr>
                    <w:rFonts w:ascii="Cambria Math" w:eastAsiaTheme="minorEastAsia" w:hAnsi="Cambria Math" w:cs="Arial"/>
                    <w:b/>
                    <w:bCs/>
                    <w:i/>
                    <w:sz w:val="20"/>
                    <w:szCs w:val="20"/>
                  </w:rPr>
                </m:ctrlPr>
              </m:sSubPr>
              <m:e>
                <m:r>
                  <m:rPr>
                    <m:sty m:val="bi"/>
                  </m:rPr>
                  <w:rPr>
                    <w:rFonts w:ascii="Cambria Math" w:eastAsiaTheme="minorEastAsia" w:hAnsi="Cambria Math" w:cs="Arial"/>
                    <w:sz w:val="20"/>
                    <w:szCs w:val="20"/>
                  </w:rPr>
                  <m:t>time</m:t>
                </m:r>
              </m:e>
              <m:sub>
                <m:r>
                  <m:rPr>
                    <m:sty m:val="bi"/>
                  </m:rPr>
                  <w:rPr>
                    <w:rFonts w:ascii="Cambria Math" w:eastAsiaTheme="minorEastAsia" w:hAnsi="Cambria Math" w:cs="Arial"/>
                    <w:sz w:val="20"/>
                    <w:szCs w:val="20"/>
                  </w:rPr>
                  <m:t>k</m:t>
                </m:r>
                <m:r>
                  <m:rPr>
                    <m:sty m:val="bi"/>
                  </m:rPr>
                  <w:rPr>
                    <w:rFonts w:ascii="Cambria Math" w:eastAsiaTheme="minorEastAsia" w:hAnsi="Cambria Math" w:cs="Arial"/>
                    <w:sz w:val="20"/>
                    <w:szCs w:val="20"/>
                    <w:lang w:val="en-US"/>
                  </w:rPr>
                  <m:t>+</m:t>
                </m:r>
                <m:r>
                  <m:rPr>
                    <m:sty m:val="bi"/>
                  </m:rPr>
                  <w:rPr>
                    <w:rFonts w:ascii="Cambria Math" w:eastAsiaTheme="minorEastAsia" w:hAnsi="Cambria Math" w:cs="Arial"/>
                    <w:sz w:val="20"/>
                    <w:szCs w:val="20"/>
                  </w:rPr>
                  <m:t>1</m:t>
                </m:r>
              </m:sub>
            </m:sSub>
            <m:r>
              <m:rPr>
                <m:sty m:val="bi"/>
              </m:rPr>
              <w:rPr>
                <w:rFonts w:ascii="Cambria Math" w:eastAsiaTheme="minorEastAsia" w:hAnsi="Cambria Math" w:cs="Arial"/>
                <w:sz w:val="20"/>
                <w:szCs w:val="20"/>
                <w:lang w:val="en-US"/>
              </w:rPr>
              <m:t>-</m:t>
            </m:r>
            <m:sSub>
              <m:sSubPr>
                <m:ctrlPr>
                  <w:rPr>
                    <w:rFonts w:ascii="Cambria Math" w:eastAsiaTheme="minorEastAsia" w:hAnsi="Cambria Math" w:cs="Arial"/>
                    <w:b/>
                    <w:bCs/>
                    <w:i/>
                    <w:sz w:val="20"/>
                    <w:szCs w:val="20"/>
                  </w:rPr>
                </m:ctrlPr>
              </m:sSubPr>
              <m:e>
                <m:r>
                  <m:rPr>
                    <m:sty m:val="bi"/>
                  </m:rPr>
                  <w:rPr>
                    <w:rFonts w:ascii="Cambria Math" w:eastAsiaTheme="minorEastAsia" w:hAnsi="Cambria Math" w:cs="Arial"/>
                    <w:sz w:val="20"/>
                    <w:szCs w:val="20"/>
                  </w:rPr>
                  <m:t>time</m:t>
                </m:r>
              </m:e>
              <m:sub>
                <m:r>
                  <m:rPr>
                    <m:sty m:val="bi"/>
                  </m:rPr>
                  <w:rPr>
                    <w:rFonts w:ascii="Cambria Math" w:eastAsiaTheme="minorEastAsia" w:hAnsi="Cambria Math" w:cs="Arial"/>
                    <w:sz w:val="20"/>
                    <w:szCs w:val="20"/>
                  </w:rPr>
                  <m:t>k</m:t>
                </m:r>
              </m:sub>
            </m:sSub>
          </m:den>
        </m:f>
        <m:r>
          <m:rPr>
            <m:sty m:val="bi"/>
          </m:rPr>
          <w:rPr>
            <w:rFonts w:ascii="Cambria Math" w:eastAsiaTheme="minorEastAsia" w:hAnsi="Cambria Math" w:cs="Arial"/>
            <w:sz w:val="20"/>
            <w:szCs w:val="20"/>
            <w:lang w:val="en-US"/>
          </w:rPr>
          <m:t>×</m:t>
        </m:r>
        <m:r>
          <m:rPr>
            <m:sty m:val="bi"/>
          </m:rPr>
          <w:rPr>
            <w:rFonts w:ascii="Cambria Math" w:eastAsiaTheme="minorEastAsia" w:hAnsi="Cambria Math" w:cs="Arial"/>
            <w:sz w:val="20"/>
            <w:szCs w:val="20"/>
          </w:rPr>
          <m:t>60</m:t>
        </m:r>
      </m:oMath>
      <w:r w:rsidR="00F8506B">
        <w:rPr>
          <w:rFonts w:ascii="Arial" w:eastAsiaTheme="minorEastAsia" w:hAnsi="Arial" w:cs="Arial"/>
          <w:b/>
          <w:bCs/>
          <w:sz w:val="20"/>
          <w:szCs w:val="20"/>
          <w:lang w:val="en-US"/>
        </w:rPr>
        <w:t xml:space="preserve"> </w:t>
      </w:r>
      <w:r w:rsidR="00F8506B">
        <w:rPr>
          <w:rFonts w:ascii="Arial" w:eastAsiaTheme="minorEastAsia" w:hAnsi="Arial" w:cs="Arial"/>
          <w:b/>
          <w:bCs/>
          <w:sz w:val="20"/>
          <w:szCs w:val="20"/>
          <w:lang w:val="en-US"/>
        </w:rPr>
        <w:tab/>
      </w:r>
      <w:r w:rsidR="00F8506B">
        <w:rPr>
          <w:rFonts w:ascii="Arial" w:eastAsiaTheme="minorEastAsia" w:hAnsi="Arial" w:cs="Arial"/>
          <w:b/>
          <w:bCs/>
          <w:sz w:val="20"/>
          <w:szCs w:val="20"/>
          <w:lang w:val="en-US"/>
        </w:rPr>
        <w:tab/>
      </w:r>
      <w:r w:rsidR="00F8506B">
        <w:rPr>
          <w:rFonts w:ascii="Arial" w:eastAsiaTheme="minorEastAsia" w:hAnsi="Arial" w:cs="Arial"/>
          <w:b/>
          <w:bCs/>
          <w:sz w:val="20"/>
          <w:szCs w:val="20"/>
          <w:lang w:val="en-US"/>
        </w:rPr>
        <w:tab/>
      </w:r>
      <w:r w:rsidR="00F8506B">
        <w:rPr>
          <w:rFonts w:ascii="Arial" w:eastAsiaTheme="minorEastAsia" w:hAnsi="Arial" w:cs="Arial"/>
          <w:b/>
          <w:bCs/>
          <w:sz w:val="20"/>
          <w:szCs w:val="20"/>
          <w:lang w:val="en-US"/>
        </w:rPr>
        <w:tab/>
      </w:r>
      <w:r w:rsidR="00F8506B">
        <w:rPr>
          <w:rFonts w:ascii="Arial" w:eastAsiaTheme="minorEastAsia" w:hAnsi="Arial" w:cs="Arial"/>
          <w:b/>
          <w:bCs/>
          <w:sz w:val="20"/>
          <w:szCs w:val="20"/>
          <w:lang w:val="en-US"/>
        </w:rPr>
        <w:tab/>
      </w:r>
      <w:r w:rsidR="00F8506B">
        <w:rPr>
          <w:rFonts w:ascii="Arial" w:eastAsiaTheme="minorEastAsia" w:hAnsi="Arial" w:cs="Arial"/>
          <w:b/>
          <w:bCs/>
          <w:sz w:val="20"/>
          <w:szCs w:val="20"/>
          <w:lang w:val="en-US"/>
        </w:rPr>
        <w:tab/>
      </w:r>
      <w:r w:rsidR="00F8506B">
        <w:rPr>
          <w:rFonts w:ascii="Arial" w:eastAsiaTheme="minorEastAsia" w:hAnsi="Arial" w:cs="Arial"/>
          <w:b/>
          <w:bCs/>
          <w:sz w:val="20"/>
          <w:szCs w:val="20"/>
          <w:lang w:val="en-US"/>
        </w:rPr>
        <w:tab/>
      </w:r>
    </w:p>
    <w:p w14:paraId="45FA73E4" w14:textId="77777777" w:rsidR="007922A1" w:rsidRPr="00BB0BEB" w:rsidRDefault="007922A1" w:rsidP="00C60BA0">
      <w:pPr>
        <w:jc w:val="both"/>
        <w:rPr>
          <w:rFonts w:ascii="Arial" w:hAnsi="Arial" w:cs="Arial"/>
          <w:sz w:val="20"/>
          <w:szCs w:val="20"/>
          <w:lang w:val="en-US"/>
        </w:rPr>
      </w:pPr>
      <w:r w:rsidRPr="00BB0BEB">
        <w:rPr>
          <w:rFonts w:ascii="Arial" w:hAnsi="Arial" w:cs="Arial"/>
          <w:sz w:val="20"/>
          <w:szCs w:val="20"/>
          <w:lang w:val="en-US"/>
        </w:rPr>
        <w:t xml:space="preserve">  </w:t>
      </w:r>
      <m:oMath>
        <m:r>
          <w:rPr>
            <w:rFonts w:ascii="Cambria Math" w:hAnsi="Cambria Math" w:cs="Arial"/>
            <w:sz w:val="20"/>
            <w:szCs w:val="20"/>
            <w:lang w:val="en-US"/>
          </w:rPr>
          <m:t>STEC</m:t>
        </m:r>
      </m:oMath>
      <w:r w:rsidRPr="00BB0BEB">
        <w:rPr>
          <w:rFonts w:ascii="Arial" w:hAnsi="Arial" w:cs="Arial"/>
          <w:sz w:val="20"/>
          <w:szCs w:val="20"/>
          <w:lang w:val="en-US"/>
        </w:rPr>
        <w:t xml:space="preserve"> : the oblique TEC; </w:t>
      </w:r>
      <m:oMath>
        <m:r>
          <w:rPr>
            <w:rFonts w:ascii="Cambria Math" w:hAnsi="Cambria Math" w:cs="Arial"/>
            <w:sz w:val="20"/>
            <w:szCs w:val="20"/>
            <w:lang w:val="en-US"/>
          </w:rPr>
          <m:t>k</m:t>
        </m:r>
      </m:oMath>
      <w:r w:rsidRPr="00BB0BEB">
        <w:rPr>
          <w:rFonts w:ascii="Arial" w:hAnsi="Arial" w:cs="Arial"/>
          <w:sz w:val="20"/>
          <w:szCs w:val="20"/>
          <w:lang w:val="en-US"/>
        </w:rPr>
        <w:t xml:space="preserve"> is a time in the day, defined as being between 0 and 86400 seconds, and  represents the time exactly 30 seconds later.</w:t>
      </w:r>
    </w:p>
    <w:p w14:paraId="343CD842" w14:textId="77777777" w:rsidR="007922A1" w:rsidRPr="00BB0BEB" w:rsidRDefault="007922A1" w:rsidP="00C60BA0">
      <w:pPr>
        <w:jc w:val="both"/>
        <w:rPr>
          <w:rFonts w:ascii="Arial" w:hAnsi="Arial" w:cs="Arial"/>
          <w:sz w:val="20"/>
          <w:szCs w:val="20"/>
          <w:lang w:val="en-US"/>
        </w:rPr>
      </w:pPr>
      <w:r w:rsidRPr="00BB0BEB">
        <w:rPr>
          <w:rFonts w:ascii="Arial" w:hAnsi="Arial" w:cs="Arial"/>
          <w:sz w:val="20"/>
          <w:szCs w:val="20"/>
          <w:lang w:val="en-US"/>
        </w:rPr>
        <w:t xml:space="preserve">ROTI is expressed in </w:t>
      </w:r>
      <w:proofErr w:type="spellStart"/>
      <w:r w:rsidRPr="00BB0BEB">
        <w:rPr>
          <w:rFonts w:ascii="Arial" w:eastAsiaTheme="minorEastAsia" w:hAnsi="Arial" w:cs="Arial"/>
          <w:i/>
          <w:sz w:val="20"/>
          <w:szCs w:val="20"/>
          <w:lang w:val="en-US"/>
        </w:rPr>
        <w:t>tecu</w:t>
      </w:r>
      <w:proofErr w:type="spellEnd"/>
      <w:r w:rsidRPr="00BB0BEB">
        <w:rPr>
          <w:rFonts w:ascii="Arial" w:eastAsiaTheme="minorEastAsia" w:hAnsi="Arial" w:cs="Arial"/>
          <w:i/>
          <w:sz w:val="20"/>
          <w:szCs w:val="20"/>
          <w:lang w:val="en-US"/>
        </w:rPr>
        <w:t>/min</w:t>
      </w:r>
      <w:r w:rsidRPr="00BB0BEB">
        <w:rPr>
          <w:rFonts w:ascii="Arial" w:eastAsiaTheme="minorEastAsia" w:hAnsi="Arial" w:cs="Arial"/>
          <w:sz w:val="20"/>
          <w:szCs w:val="20"/>
          <w:lang w:val="en-US"/>
        </w:rPr>
        <w:t xml:space="preserve"> ( </w:t>
      </w:r>
      <w:r w:rsidRPr="00BB0BEB">
        <w:rPr>
          <w:rFonts w:ascii="Arial" w:eastAsiaTheme="minorEastAsia" w:hAnsi="Arial" w:cs="Arial"/>
          <w:i/>
          <w:sz w:val="20"/>
          <w:szCs w:val="20"/>
          <w:lang w:val="en-US"/>
        </w:rPr>
        <w:t>1tecu =</w:t>
      </w:r>
      <w:r w:rsidRPr="00BB0BEB">
        <w:rPr>
          <w:rFonts w:ascii="Arial" w:eastAsiaTheme="minorEastAsia" w:hAnsi="Arial" w:cs="Arial"/>
          <w:sz w:val="20"/>
          <w:szCs w:val="20"/>
          <w:lang w:val="en-US"/>
        </w:rPr>
        <w:t xml:space="preserve"> </w:t>
      </w:r>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lang w:val="en-US"/>
              </w:rPr>
              <m:t>10</m:t>
            </m:r>
          </m:e>
          <m:sup>
            <m:r>
              <w:rPr>
                <w:rFonts w:ascii="Cambria Math" w:eastAsiaTheme="minorEastAsia" w:hAnsi="Cambria Math" w:cs="Arial"/>
                <w:sz w:val="20"/>
                <w:szCs w:val="20"/>
                <w:lang w:val="en-US"/>
              </w:rPr>
              <m:t>6</m:t>
            </m:r>
          </m:sup>
        </m:sSup>
        <m:r>
          <w:rPr>
            <w:rFonts w:ascii="Cambria Math" w:eastAsiaTheme="minorEastAsia" w:hAnsi="Cambria Math" w:cs="Arial"/>
            <w:sz w:val="20"/>
            <w:szCs w:val="20"/>
            <w:lang w:val="en-US"/>
          </w:rPr>
          <m:t xml:space="preserve"> e</m:t>
        </m:r>
        <m:r>
          <w:rPr>
            <w:rFonts w:ascii="Cambria Math" w:eastAsiaTheme="minorEastAsia" w:hAnsi="Cambria Math" w:cs="Arial"/>
            <w:sz w:val="20"/>
            <w:szCs w:val="20"/>
          </w:rPr>
          <m:t>lectrons</m:t>
        </m:r>
        <m:r>
          <w:rPr>
            <w:rFonts w:ascii="Cambria Math" w:eastAsiaTheme="minorEastAsia" w:hAnsi="Cambria Math" w:cs="Arial"/>
            <w:sz w:val="20"/>
            <w:szCs w:val="20"/>
            <w:lang w:val="en-US"/>
          </w:rPr>
          <m:t>/</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lang w:val="en-US"/>
              </w:rPr>
              <m:t>2</m:t>
            </m:r>
          </m:sup>
        </m:sSup>
      </m:oMath>
      <w:r w:rsidRPr="00BB0BEB">
        <w:rPr>
          <w:rFonts w:ascii="Arial" w:eastAsiaTheme="minorEastAsia" w:hAnsi="Arial" w:cs="Arial"/>
          <w:sz w:val="20"/>
          <w:szCs w:val="20"/>
          <w:lang w:val="en-US"/>
        </w:rPr>
        <w:t>).</w:t>
      </w:r>
    </w:p>
    <w:p w14:paraId="1D411B12" w14:textId="77777777" w:rsidR="007922A1" w:rsidRPr="00BB0BEB" w:rsidRDefault="007922A1" w:rsidP="00C60BA0">
      <w:pPr>
        <w:jc w:val="both"/>
        <w:rPr>
          <w:rFonts w:ascii="Arial" w:hAnsi="Arial" w:cs="Arial"/>
          <w:sz w:val="20"/>
          <w:szCs w:val="20"/>
          <w:lang w:val="en-US"/>
        </w:rPr>
      </w:pPr>
      <w:r w:rsidRPr="00BB0BEB">
        <w:rPr>
          <w:rFonts w:ascii="Arial" w:hAnsi="Arial" w:cs="Arial"/>
          <w:sz w:val="20"/>
          <w:szCs w:val="20"/>
          <w:lang w:val="en-US"/>
        </w:rPr>
        <w:t xml:space="preserve">Using RINEX data from both stations, we use MATLAB programs to generate daily hourly variation curves of ROTI and 2D maps of monthly hourly variations. For cycle 24, the RINEX data available at the </w:t>
      </w:r>
      <w:proofErr w:type="spellStart"/>
      <w:r w:rsidRPr="00BB0BEB">
        <w:rPr>
          <w:rFonts w:ascii="Arial" w:hAnsi="Arial" w:cs="Arial"/>
          <w:sz w:val="20"/>
          <w:szCs w:val="20"/>
          <w:lang w:val="en-US"/>
        </w:rPr>
        <w:t>Koudougou</w:t>
      </w:r>
      <w:proofErr w:type="spellEnd"/>
      <w:r w:rsidRPr="00BB0BEB">
        <w:rPr>
          <w:rFonts w:ascii="Arial" w:hAnsi="Arial" w:cs="Arial"/>
          <w:sz w:val="20"/>
          <w:szCs w:val="20"/>
          <w:lang w:val="en-US"/>
        </w:rPr>
        <w:t xml:space="preserve"> station cover the period from 2012 to 2015 and at the BF01 station from 2013 to 2018.</w:t>
      </w:r>
    </w:p>
    <w:p w14:paraId="65B832C4" w14:textId="77777777" w:rsidR="00CD696A" w:rsidRPr="00E53C1E" w:rsidRDefault="00E53C1E" w:rsidP="00C60BA0">
      <w:pPr>
        <w:pStyle w:val="ListParagraph"/>
        <w:numPr>
          <w:ilvl w:val="0"/>
          <w:numId w:val="1"/>
        </w:numPr>
        <w:jc w:val="both"/>
        <w:rPr>
          <w:rFonts w:ascii="Arial" w:hAnsi="Arial" w:cs="Arial"/>
          <w:b/>
          <w:lang w:val="en-US"/>
        </w:rPr>
      </w:pPr>
      <w:r w:rsidRPr="00E53C1E">
        <w:rPr>
          <w:rFonts w:ascii="Arial" w:hAnsi="Arial" w:cs="Arial"/>
          <w:b/>
          <w:lang w:val="en-US"/>
        </w:rPr>
        <w:t>RESULTS AND DISCUSSION</w:t>
      </w:r>
    </w:p>
    <w:p w14:paraId="66807001" w14:textId="77777777" w:rsidR="00CD696A" w:rsidRPr="00BB0BEB" w:rsidRDefault="00CD696A" w:rsidP="00C60BA0">
      <w:pPr>
        <w:jc w:val="both"/>
        <w:rPr>
          <w:rFonts w:ascii="Arial" w:hAnsi="Arial" w:cs="Arial"/>
          <w:sz w:val="20"/>
          <w:szCs w:val="20"/>
          <w:lang w:val="en-US"/>
        </w:rPr>
      </w:pPr>
      <w:r w:rsidRPr="00BB0BEB">
        <w:rPr>
          <w:rFonts w:ascii="Arial" w:hAnsi="Arial" w:cs="Arial"/>
          <w:sz w:val="20"/>
          <w:szCs w:val="20"/>
          <w:lang w:val="en-US"/>
        </w:rPr>
        <w:t>In this part of the work, we first analyze the diurnal and seasonal variations of the ROTI index during periods of quiet geomagnetic activity. Second, we study the impact of geomagnetic storms on phase scintillation.</w:t>
      </w:r>
    </w:p>
    <w:p w14:paraId="6855B84B" w14:textId="77777777" w:rsidR="00CD696A" w:rsidRDefault="00CD696A" w:rsidP="00E53C1E">
      <w:pPr>
        <w:pStyle w:val="ListParagraph"/>
        <w:numPr>
          <w:ilvl w:val="1"/>
          <w:numId w:val="1"/>
        </w:numPr>
        <w:ind w:left="851" w:hanging="491"/>
        <w:jc w:val="both"/>
        <w:rPr>
          <w:rFonts w:ascii="Arial" w:hAnsi="Arial" w:cs="Arial"/>
          <w:b/>
          <w:lang w:val="en-US"/>
        </w:rPr>
      </w:pPr>
      <w:r w:rsidRPr="00E53C1E">
        <w:rPr>
          <w:rFonts w:ascii="Arial" w:hAnsi="Arial" w:cs="Arial"/>
          <w:b/>
          <w:lang w:val="en-US"/>
        </w:rPr>
        <w:t>Variation of ROTI during periods of quiet activity</w:t>
      </w:r>
    </w:p>
    <w:p w14:paraId="3B8BFE99" w14:textId="77777777" w:rsidR="00F8506B" w:rsidRPr="00E53C1E" w:rsidRDefault="00F8506B" w:rsidP="00F8506B">
      <w:pPr>
        <w:pStyle w:val="ListParagraph"/>
        <w:ind w:left="851"/>
        <w:jc w:val="both"/>
        <w:rPr>
          <w:rFonts w:ascii="Arial" w:hAnsi="Arial" w:cs="Arial"/>
          <w:b/>
          <w:lang w:val="en-US"/>
        </w:rPr>
      </w:pPr>
    </w:p>
    <w:p w14:paraId="04B2F5E6" w14:textId="77777777" w:rsidR="00CD696A" w:rsidRPr="00E53C1E" w:rsidRDefault="00CD696A" w:rsidP="00C60BA0">
      <w:pPr>
        <w:pStyle w:val="ListParagraph"/>
        <w:numPr>
          <w:ilvl w:val="2"/>
          <w:numId w:val="1"/>
        </w:numPr>
        <w:jc w:val="both"/>
        <w:rPr>
          <w:rFonts w:ascii="Arial" w:hAnsi="Arial" w:cs="Arial"/>
          <w:b/>
          <w:sz w:val="20"/>
          <w:szCs w:val="20"/>
          <w:u w:val="single"/>
          <w:lang w:val="en-US"/>
        </w:rPr>
      </w:pPr>
      <w:r w:rsidRPr="00E53C1E">
        <w:rPr>
          <w:rFonts w:ascii="Arial" w:hAnsi="Arial" w:cs="Arial"/>
          <w:b/>
          <w:sz w:val="20"/>
          <w:szCs w:val="20"/>
          <w:u w:val="single"/>
          <w:lang w:val="en-US"/>
        </w:rPr>
        <w:t xml:space="preserve"> Diurnal variation of ROTI by solar phase</w:t>
      </w:r>
    </w:p>
    <w:p w14:paraId="60902283" w14:textId="77777777" w:rsidR="00CD696A" w:rsidRPr="00BB0BEB" w:rsidRDefault="00CD696A" w:rsidP="00C60BA0">
      <w:pPr>
        <w:jc w:val="both"/>
        <w:rPr>
          <w:rFonts w:ascii="Arial" w:hAnsi="Arial" w:cs="Arial"/>
          <w:sz w:val="20"/>
          <w:szCs w:val="20"/>
          <w:lang w:val="en-US"/>
        </w:rPr>
      </w:pPr>
      <w:r w:rsidRPr="00BB0BEB">
        <w:rPr>
          <w:rFonts w:ascii="Arial" w:hAnsi="Arial" w:cs="Arial"/>
          <w:sz w:val="20"/>
          <w:szCs w:val="20"/>
          <w:lang w:val="en-US"/>
        </w:rPr>
        <w:t>During cycle 24, the data available at station BF01 cover the entire maximum phase (2013 and 2014) and the descending phase (2015-2018). Figure 1 shows 2D maps of the ROTI index as a function of solar phases. Except for the last two years of the descending phase, the phase scintillation phenomenon i</w:t>
      </w:r>
      <w:r w:rsidR="00591C8E">
        <w:rPr>
          <w:rFonts w:ascii="Arial" w:hAnsi="Arial" w:cs="Arial"/>
          <w:sz w:val="20"/>
          <w:szCs w:val="20"/>
          <w:lang w:val="en-US"/>
        </w:rPr>
        <w:t xml:space="preserve">s recorded at night from 0000 LT(LT=UT) to 0200 </w:t>
      </w:r>
      <w:r w:rsidRPr="00BB0BEB">
        <w:rPr>
          <w:rFonts w:ascii="Arial" w:hAnsi="Arial" w:cs="Arial"/>
          <w:sz w:val="20"/>
          <w:szCs w:val="20"/>
          <w:lang w:val="en-US"/>
        </w:rPr>
        <w:t>L</w:t>
      </w:r>
      <w:r w:rsidR="00591C8E">
        <w:rPr>
          <w:rFonts w:ascii="Arial" w:hAnsi="Arial" w:cs="Arial"/>
          <w:sz w:val="20"/>
          <w:szCs w:val="20"/>
          <w:lang w:val="en-US"/>
        </w:rPr>
        <w:t>T</w:t>
      </w:r>
      <w:r w:rsidRPr="00BB0BEB">
        <w:rPr>
          <w:rFonts w:ascii="Arial" w:hAnsi="Arial" w:cs="Arial"/>
          <w:sz w:val="20"/>
          <w:szCs w:val="20"/>
          <w:lang w:val="en-US"/>
        </w:rPr>
        <w:t xml:space="preserve"> and from 1900 </w:t>
      </w:r>
      <w:r w:rsidR="00591C8E" w:rsidRPr="00BB0BEB">
        <w:rPr>
          <w:rFonts w:ascii="Arial" w:hAnsi="Arial" w:cs="Arial"/>
          <w:sz w:val="20"/>
          <w:szCs w:val="20"/>
          <w:lang w:val="en-US"/>
        </w:rPr>
        <w:t>L</w:t>
      </w:r>
      <w:r w:rsidR="00591C8E">
        <w:rPr>
          <w:rFonts w:ascii="Arial" w:hAnsi="Arial" w:cs="Arial"/>
          <w:sz w:val="20"/>
          <w:szCs w:val="20"/>
          <w:lang w:val="en-US"/>
        </w:rPr>
        <w:t>T</w:t>
      </w:r>
      <w:r w:rsidRPr="00BB0BEB">
        <w:rPr>
          <w:rFonts w:ascii="Arial" w:hAnsi="Arial" w:cs="Arial"/>
          <w:sz w:val="20"/>
          <w:szCs w:val="20"/>
          <w:lang w:val="en-US"/>
        </w:rPr>
        <w:t xml:space="preserve"> to 2300 </w:t>
      </w:r>
      <w:r w:rsidR="00591C8E" w:rsidRPr="00BB0BEB">
        <w:rPr>
          <w:rFonts w:ascii="Arial" w:hAnsi="Arial" w:cs="Arial"/>
          <w:sz w:val="20"/>
          <w:szCs w:val="20"/>
          <w:lang w:val="en-US"/>
        </w:rPr>
        <w:t>L</w:t>
      </w:r>
      <w:r w:rsidR="00591C8E">
        <w:rPr>
          <w:rFonts w:ascii="Arial" w:hAnsi="Arial" w:cs="Arial"/>
          <w:sz w:val="20"/>
          <w:szCs w:val="20"/>
          <w:lang w:val="en-US"/>
        </w:rPr>
        <w:t>T</w:t>
      </w:r>
      <w:r w:rsidRPr="00BB0BEB">
        <w:rPr>
          <w:rFonts w:ascii="Arial" w:hAnsi="Arial" w:cs="Arial"/>
          <w:sz w:val="20"/>
          <w:szCs w:val="20"/>
          <w:lang w:val="en-US"/>
        </w:rPr>
        <w:t>. Relatively higher ROTI values ​</w:t>
      </w:r>
      <w:proofErr w:type="gramStart"/>
      <w:r w:rsidRPr="00BB0BEB">
        <w:rPr>
          <w:rFonts w:ascii="Arial" w:hAnsi="Arial" w:cs="Arial"/>
          <w:sz w:val="20"/>
          <w:szCs w:val="20"/>
          <w:lang w:val="en-US"/>
        </w:rPr>
        <w:t>​(</w:t>
      </w:r>
      <w:proofErr w:type="gramEnd"/>
      <w:r w:rsidRPr="00BB0BEB">
        <w:rPr>
          <w:rFonts w:ascii="Arial" w:hAnsi="Arial" w:cs="Arial"/>
          <w:sz w:val="20"/>
          <w:szCs w:val="20"/>
          <w:lang w:val="en-US"/>
        </w:rPr>
        <w:t xml:space="preserve">approximately 1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 xml:space="preserve">/min) are observed after sunset between 1900 </w:t>
      </w:r>
      <w:r w:rsidR="00591C8E" w:rsidRPr="00BB0BEB">
        <w:rPr>
          <w:rFonts w:ascii="Arial" w:hAnsi="Arial" w:cs="Arial"/>
          <w:sz w:val="20"/>
          <w:szCs w:val="20"/>
          <w:lang w:val="en-US"/>
        </w:rPr>
        <w:t>L</w:t>
      </w:r>
      <w:r w:rsidR="00591C8E">
        <w:rPr>
          <w:rFonts w:ascii="Arial" w:hAnsi="Arial" w:cs="Arial"/>
          <w:sz w:val="20"/>
          <w:szCs w:val="20"/>
          <w:lang w:val="en-US"/>
        </w:rPr>
        <w:t>T</w:t>
      </w:r>
      <w:r w:rsidRPr="00BB0BEB">
        <w:rPr>
          <w:rFonts w:ascii="Arial" w:hAnsi="Arial" w:cs="Arial"/>
          <w:sz w:val="20"/>
          <w:szCs w:val="20"/>
          <w:lang w:val="en-US"/>
        </w:rPr>
        <w:t xml:space="preserve"> and 2300 </w:t>
      </w:r>
      <w:r w:rsidR="00591C8E" w:rsidRPr="00BB0BEB">
        <w:rPr>
          <w:rFonts w:ascii="Arial" w:hAnsi="Arial" w:cs="Arial"/>
          <w:sz w:val="20"/>
          <w:szCs w:val="20"/>
          <w:lang w:val="en-US"/>
        </w:rPr>
        <w:t>L</w:t>
      </w:r>
      <w:r w:rsidR="00591C8E">
        <w:rPr>
          <w:rFonts w:ascii="Arial" w:hAnsi="Arial" w:cs="Arial"/>
          <w:sz w:val="20"/>
          <w:szCs w:val="20"/>
          <w:lang w:val="en-US"/>
        </w:rPr>
        <w:t>T</w:t>
      </w:r>
      <w:r w:rsidRPr="00BB0BEB">
        <w:rPr>
          <w:rFonts w:ascii="Arial" w:hAnsi="Arial" w:cs="Arial"/>
          <w:sz w:val="20"/>
          <w:szCs w:val="20"/>
          <w:lang w:val="en-US"/>
        </w:rPr>
        <w:t>.</w:t>
      </w:r>
    </w:p>
    <w:p w14:paraId="1488F101" w14:textId="2F87BDAE" w:rsidR="00CD696A" w:rsidRPr="00BB0BEB" w:rsidRDefault="00CD696A" w:rsidP="00C60BA0">
      <w:pPr>
        <w:jc w:val="both"/>
        <w:rPr>
          <w:rFonts w:ascii="Arial" w:hAnsi="Arial" w:cs="Arial"/>
          <w:sz w:val="20"/>
          <w:szCs w:val="20"/>
          <w:lang w:val="en-US"/>
        </w:rPr>
      </w:pPr>
      <w:r w:rsidRPr="00BB0BEB">
        <w:rPr>
          <w:rFonts w:ascii="Arial" w:hAnsi="Arial" w:cs="Arial"/>
          <w:sz w:val="20"/>
          <w:szCs w:val="20"/>
          <w:lang w:val="en-US"/>
        </w:rPr>
        <w:t xml:space="preserve">At the </w:t>
      </w:r>
      <w:proofErr w:type="spellStart"/>
      <w:r w:rsidRPr="00BB0BEB">
        <w:rPr>
          <w:rFonts w:ascii="Arial" w:hAnsi="Arial" w:cs="Arial"/>
          <w:sz w:val="20"/>
          <w:szCs w:val="20"/>
          <w:lang w:val="en-US"/>
        </w:rPr>
        <w:t>Koudougou</w:t>
      </w:r>
      <w:proofErr w:type="spellEnd"/>
      <w:r w:rsidRPr="00BB0BEB">
        <w:rPr>
          <w:rFonts w:ascii="Arial" w:hAnsi="Arial" w:cs="Arial"/>
          <w:sz w:val="20"/>
          <w:szCs w:val="20"/>
          <w:lang w:val="en-US"/>
        </w:rPr>
        <w:t xml:space="preserve"> station, the available data cover one year of the ascending phase (2012), the entire maximum phase, and one year of the descending phase (2015). Figure 2 shows 2D maps of the ROTI index by solar phase. There are some traces of scintillation between 0000TL and 0200TL with ROTI values ​​slightly above 0.5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 xml:space="preserve">/min. </w:t>
      </w:r>
      <w:r w:rsidRPr="007555FB">
        <w:rPr>
          <w:rFonts w:ascii="Arial" w:hAnsi="Arial" w:cs="Arial"/>
          <w:sz w:val="20"/>
          <w:szCs w:val="20"/>
          <w:highlight w:val="yellow"/>
          <w:lang w:val="en-US"/>
        </w:rPr>
        <w:t>However, after sunset between 1900</w:t>
      </w:r>
      <w:r w:rsidR="00591C8E" w:rsidRPr="007555FB">
        <w:rPr>
          <w:rFonts w:ascii="Arial" w:hAnsi="Arial" w:cs="Arial"/>
          <w:sz w:val="20"/>
          <w:szCs w:val="20"/>
          <w:highlight w:val="yellow"/>
          <w:lang w:val="en-US"/>
        </w:rPr>
        <w:t xml:space="preserve"> LT</w:t>
      </w:r>
      <w:r w:rsidRPr="007555FB">
        <w:rPr>
          <w:rFonts w:ascii="Arial" w:hAnsi="Arial" w:cs="Arial"/>
          <w:sz w:val="20"/>
          <w:szCs w:val="20"/>
          <w:highlight w:val="yellow"/>
          <w:lang w:val="en-US"/>
        </w:rPr>
        <w:t xml:space="preserve"> and 2300</w:t>
      </w:r>
      <w:r w:rsidR="00591C8E" w:rsidRPr="007555FB">
        <w:rPr>
          <w:rFonts w:ascii="Arial" w:hAnsi="Arial" w:cs="Arial"/>
          <w:sz w:val="20"/>
          <w:szCs w:val="20"/>
          <w:highlight w:val="yellow"/>
          <w:lang w:val="en-US"/>
        </w:rPr>
        <w:t xml:space="preserve"> LT</w:t>
      </w:r>
      <w:r w:rsidRPr="007555FB">
        <w:rPr>
          <w:rFonts w:ascii="Arial" w:hAnsi="Arial" w:cs="Arial"/>
          <w:sz w:val="20"/>
          <w:szCs w:val="20"/>
          <w:highlight w:val="yellow"/>
          <w:lang w:val="en-US"/>
        </w:rPr>
        <w:t xml:space="preserve">, ROTI values ​​above 1 </w:t>
      </w:r>
      <w:proofErr w:type="spellStart"/>
      <w:r w:rsidRPr="007555FB">
        <w:rPr>
          <w:rFonts w:ascii="Arial" w:hAnsi="Arial" w:cs="Arial"/>
          <w:sz w:val="20"/>
          <w:szCs w:val="20"/>
          <w:highlight w:val="yellow"/>
          <w:lang w:val="en-US"/>
        </w:rPr>
        <w:t>tecu</w:t>
      </w:r>
      <w:proofErr w:type="spellEnd"/>
      <w:r w:rsidRPr="007555FB">
        <w:rPr>
          <w:rFonts w:ascii="Arial" w:hAnsi="Arial" w:cs="Arial"/>
          <w:sz w:val="20"/>
          <w:szCs w:val="20"/>
          <w:highlight w:val="yellow"/>
          <w:lang w:val="en-US"/>
        </w:rPr>
        <w:t xml:space="preserve">/min are recorded in all </w:t>
      </w:r>
      <w:r w:rsidR="007555FB">
        <w:rPr>
          <w:rFonts w:ascii="Arial" w:hAnsi="Arial" w:cs="Arial"/>
          <w:sz w:val="20"/>
          <w:szCs w:val="20"/>
          <w:highlight w:val="yellow"/>
          <w:lang w:val="en-US"/>
        </w:rPr>
        <w:t xml:space="preserve">solar cycle phases. These values show </w:t>
      </w:r>
      <w:r w:rsidRPr="007555FB">
        <w:rPr>
          <w:rFonts w:ascii="Arial" w:hAnsi="Arial" w:cs="Arial"/>
          <w:sz w:val="20"/>
          <w:szCs w:val="20"/>
          <w:highlight w:val="yellow"/>
          <w:lang w:val="en-US"/>
        </w:rPr>
        <w:t>a relatively more intense phase scintillation.</w:t>
      </w:r>
    </w:p>
    <w:p w14:paraId="64927F0A" w14:textId="41A5633A" w:rsidR="001945D5" w:rsidRPr="008C3911" w:rsidRDefault="00CD696A" w:rsidP="00DB0174">
      <w:pPr>
        <w:jc w:val="both"/>
        <w:rPr>
          <w:rFonts w:ascii="Arial" w:hAnsi="Arial" w:cs="Arial"/>
          <w:sz w:val="20"/>
          <w:szCs w:val="20"/>
          <w:lang w:val="en-US"/>
        </w:rPr>
      </w:pPr>
      <w:r w:rsidRPr="00BB0BEB">
        <w:rPr>
          <w:rFonts w:ascii="Arial" w:hAnsi="Arial" w:cs="Arial"/>
          <w:sz w:val="20"/>
          <w:szCs w:val="20"/>
          <w:lang w:val="en-US"/>
        </w:rPr>
        <w:t xml:space="preserve">At both stations, phase scintillation appears significantly after sunset between 1900 </w:t>
      </w:r>
      <w:r w:rsidR="00591C8E" w:rsidRPr="00BB0BEB">
        <w:rPr>
          <w:rFonts w:ascii="Arial" w:hAnsi="Arial" w:cs="Arial"/>
          <w:sz w:val="20"/>
          <w:szCs w:val="20"/>
          <w:lang w:val="en-US"/>
        </w:rPr>
        <w:t>L</w:t>
      </w:r>
      <w:r w:rsidR="00591C8E">
        <w:rPr>
          <w:rFonts w:ascii="Arial" w:hAnsi="Arial" w:cs="Arial"/>
          <w:sz w:val="20"/>
          <w:szCs w:val="20"/>
          <w:lang w:val="en-US"/>
        </w:rPr>
        <w:t>T</w:t>
      </w:r>
      <w:r w:rsidRPr="00BB0BEB">
        <w:rPr>
          <w:rFonts w:ascii="Arial" w:hAnsi="Arial" w:cs="Arial"/>
          <w:sz w:val="20"/>
          <w:szCs w:val="20"/>
          <w:lang w:val="en-US"/>
        </w:rPr>
        <w:t xml:space="preserve"> and 2300 </w:t>
      </w:r>
      <w:r w:rsidR="00591C8E" w:rsidRPr="00BB0BEB">
        <w:rPr>
          <w:rFonts w:ascii="Arial" w:hAnsi="Arial" w:cs="Arial"/>
          <w:sz w:val="20"/>
          <w:szCs w:val="20"/>
          <w:lang w:val="en-US"/>
        </w:rPr>
        <w:t>L</w:t>
      </w:r>
      <w:r w:rsidR="00591C8E">
        <w:rPr>
          <w:rFonts w:ascii="Arial" w:hAnsi="Arial" w:cs="Arial"/>
          <w:sz w:val="20"/>
          <w:szCs w:val="20"/>
          <w:lang w:val="en-US"/>
        </w:rPr>
        <w:t>T</w:t>
      </w:r>
      <w:r w:rsidRPr="00BB0BEB">
        <w:rPr>
          <w:rFonts w:ascii="Arial" w:hAnsi="Arial" w:cs="Arial"/>
          <w:sz w:val="20"/>
          <w:szCs w:val="20"/>
          <w:lang w:val="en-US"/>
        </w:rPr>
        <w:t xml:space="preserve">. It continues later into the night between 0000 </w:t>
      </w:r>
      <w:r w:rsidR="00591C8E" w:rsidRPr="00BB0BEB">
        <w:rPr>
          <w:rFonts w:ascii="Arial" w:hAnsi="Arial" w:cs="Arial"/>
          <w:sz w:val="20"/>
          <w:szCs w:val="20"/>
          <w:lang w:val="en-US"/>
        </w:rPr>
        <w:t>L</w:t>
      </w:r>
      <w:r w:rsidR="00591C8E">
        <w:rPr>
          <w:rFonts w:ascii="Arial" w:hAnsi="Arial" w:cs="Arial"/>
          <w:sz w:val="20"/>
          <w:szCs w:val="20"/>
          <w:lang w:val="en-US"/>
        </w:rPr>
        <w:t>T</w:t>
      </w:r>
      <w:r w:rsidRPr="00BB0BEB">
        <w:rPr>
          <w:rFonts w:ascii="Arial" w:hAnsi="Arial" w:cs="Arial"/>
          <w:sz w:val="20"/>
          <w:szCs w:val="20"/>
          <w:lang w:val="en-US"/>
        </w:rPr>
        <w:t xml:space="preserve"> and 0200 </w:t>
      </w:r>
      <w:r w:rsidR="00591C8E" w:rsidRPr="00BB0BEB">
        <w:rPr>
          <w:rFonts w:ascii="Arial" w:hAnsi="Arial" w:cs="Arial"/>
          <w:sz w:val="20"/>
          <w:szCs w:val="20"/>
          <w:lang w:val="en-US"/>
        </w:rPr>
        <w:t>L</w:t>
      </w:r>
      <w:r w:rsidR="00591C8E">
        <w:rPr>
          <w:rFonts w:ascii="Arial" w:hAnsi="Arial" w:cs="Arial"/>
          <w:sz w:val="20"/>
          <w:szCs w:val="20"/>
          <w:lang w:val="en-US"/>
        </w:rPr>
        <w:t>T</w:t>
      </w:r>
      <w:r w:rsidRPr="00BB0BEB">
        <w:rPr>
          <w:rFonts w:ascii="Arial" w:hAnsi="Arial" w:cs="Arial"/>
          <w:sz w:val="20"/>
          <w:szCs w:val="20"/>
          <w:lang w:val="en-US"/>
        </w:rPr>
        <w:t xml:space="preserve"> with low ROTI values. In accordance with the work of </w:t>
      </w:r>
      <w:proofErr w:type="spellStart"/>
      <w:r w:rsidRPr="00BB0BEB">
        <w:rPr>
          <w:rFonts w:ascii="Arial" w:hAnsi="Arial" w:cs="Arial"/>
          <w:sz w:val="20"/>
          <w:szCs w:val="20"/>
          <w:lang w:val="en-US"/>
        </w:rPr>
        <w:t>Kahindo</w:t>
      </w:r>
      <w:proofErr w:type="spellEnd"/>
      <w:r w:rsidRPr="00BB0BEB">
        <w:rPr>
          <w:rFonts w:ascii="Arial" w:hAnsi="Arial" w:cs="Arial"/>
          <w:sz w:val="20"/>
          <w:szCs w:val="20"/>
          <w:lang w:val="en-US"/>
        </w:rPr>
        <w:t xml:space="preserve"> </w:t>
      </w:r>
      <w:proofErr w:type="spellStart"/>
      <w:r w:rsidRPr="00BB0BEB">
        <w:rPr>
          <w:rFonts w:ascii="Arial" w:hAnsi="Arial" w:cs="Arial"/>
          <w:sz w:val="20"/>
          <w:szCs w:val="20"/>
          <w:lang w:val="en-US"/>
        </w:rPr>
        <w:t>Murumba</w:t>
      </w:r>
      <w:proofErr w:type="spellEnd"/>
      <w:r w:rsidRPr="00BB0BEB">
        <w:rPr>
          <w:rFonts w:ascii="Arial" w:hAnsi="Arial" w:cs="Arial"/>
          <w:sz w:val="20"/>
          <w:szCs w:val="20"/>
          <w:lang w:val="en-US"/>
        </w:rPr>
        <w:t xml:space="preserve"> et al. (2017), Akala et al. (2017), Akala et al. (2015), Akala et al. (2011), ionospheric scintillation in the equatorial region during periods of quiet activity is a post-sunset phenomenon. According to </w:t>
      </w:r>
      <w:proofErr w:type="spellStart"/>
      <w:r w:rsidRPr="00BB0BEB">
        <w:rPr>
          <w:rFonts w:ascii="Arial" w:hAnsi="Arial" w:cs="Arial"/>
          <w:sz w:val="20"/>
          <w:szCs w:val="20"/>
          <w:lang w:val="en-US"/>
        </w:rPr>
        <w:t>Kahindo</w:t>
      </w:r>
      <w:proofErr w:type="spellEnd"/>
      <w:r w:rsidRPr="00BB0BEB">
        <w:rPr>
          <w:rFonts w:ascii="Arial" w:hAnsi="Arial" w:cs="Arial"/>
          <w:sz w:val="20"/>
          <w:szCs w:val="20"/>
          <w:lang w:val="en-US"/>
        </w:rPr>
        <w:t xml:space="preserve"> et al. (2017), scintillation is present from sunset and can continue for a few hours after midnight. The phase scintillation phenomenon is caused by irregularities in the electron density within equatorial plasma bubbles (</w:t>
      </w:r>
      <w:proofErr w:type="spellStart"/>
      <w:r w:rsidRPr="00BB0BEB">
        <w:rPr>
          <w:rFonts w:ascii="Arial" w:hAnsi="Arial" w:cs="Arial"/>
          <w:sz w:val="20"/>
          <w:szCs w:val="20"/>
          <w:lang w:val="en-US"/>
        </w:rPr>
        <w:t>Ackah</w:t>
      </w:r>
      <w:proofErr w:type="spellEnd"/>
      <w:r w:rsidRPr="00BB0BEB">
        <w:rPr>
          <w:rFonts w:ascii="Arial" w:hAnsi="Arial" w:cs="Arial"/>
          <w:sz w:val="20"/>
          <w:szCs w:val="20"/>
          <w:lang w:val="en-US"/>
        </w:rPr>
        <w:t xml:space="preserve"> et al., 2011). Indeed, the formation of plasma bubbles caused by the Rayleigh-Taylor instability after sunset leads to a disturbance in the amplitude and/or phase of satellite signals. </w:t>
      </w:r>
      <w:r w:rsidRPr="00CA40F4">
        <w:rPr>
          <w:rFonts w:ascii="Arial" w:hAnsi="Arial" w:cs="Arial"/>
          <w:sz w:val="20"/>
          <w:szCs w:val="20"/>
          <w:highlight w:val="yellow"/>
          <w:lang w:val="en-US"/>
        </w:rPr>
        <w:t>The low scintillation intensity observed between 0000</w:t>
      </w:r>
      <w:r w:rsidR="00591C8E" w:rsidRPr="00CA40F4">
        <w:rPr>
          <w:rFonts w:ascii="Arial" w:hAnsi="Arial" w:cs="Arial"/>
          <w:sz w:val="20"/>
          <w:szCs w:val="20"/>
          <w:highlight w:val="yellow"/>
          <w:lang w:val="en-US"/>
        </w:rPr>
        <w:t xml:space="preserve"> LT</w:t>
      </w:r>
      <w:r w:rsidRPr="00CA40F4">
        <w:rPr>
          <w:rFonts w:ascii="Arial" w:hAnsi="Arial" w:cs="Arial"/>
          <w:sz w:val="20"/>
          <w:szCs w:val="20"/>
          <w:highlight w:val="yellow"/>
          <w:lang w:val="en-US"/>
        </w:rPr>
        <w:t xml:space="preserve"> and 0200</w:t>
      </w:r>
      <w:r w:rsidR="00591C8E" w:rsidRPr="00CA40F4">
        <w:rPr>
          <w:rFonts w:ascii="Arial" w:hAnsi="Arial" w:cs="Arial"/>
          <w:sz w:val="20"/>
          <w:szCs w:val="20"/>
          <w:highlight w:val="yellow"/>
          <w:lang w:val="en-US"/>
        </w:rPr>
        <w:t xml:space="preserve"> LT</w:t>
      </w:r>
      <w:r w:rsidRPr="00CA40F4">
        <w:rPr>
          <w:rFonts w:ascii="Arial" w:hAnsi="Arial" w:cs="Arial"/>
          <w:sz w:val="20"/>
          <w:szCs w:val="20"/>
          <w:highlight w:val="yellow"/>
          <w:lang w:val="en-US"/>
        </w:rPr>
        <w:t xml:space="preserve"> could be explained by </w:t>
      </w:r>
      <w:r w:rsidR="00CA40F4">
        <w:rPr>
          <w:rFonts w:ascii="Arial" w:hAnsi="Arial" w:cs="Arial"/>
          <w:sz w:val="20"/>
          <w:szCs w:val="20"/>
          <w:highlight w:val="yellow"/>
          <w:lang w:val="en-US"/>
        </w:rPr>
        <w:t>a reorganization of the ionospheric plasma. Indeed,</w:t>
      </w:r>
      <w:r w:rsidRPr="00CA40F4">
        <w:rPr>
          <w:rFonts w:ascii="Arial" w:hAnsi="Arial" w:cs="Arial"/>
          <w:sz w:val="20"/>
          <w:szCs w:val="20"/>
          <w:highlight w:val="yellow"/>
          <w:lang w:val="en-US"/>
        </w:rPr>
        <w:t xml:space="preserve"> after the Rayleigh-Taylor instabilities at sunset, the ionosphere seeks to stabilize later in the night.</w:t>
      </w:r>
      <w:r w:rsidRPr="00BB0BEB">
        <w:rPr>
          <w:rFonts w:ascii="Arial" w:hAnsi="Arial" w:cs="Arial"/>
          <w:sz w:val="20"/>
          <w:szCs w:val="20"/>
          <w:lang w:val="en-US"/>
        </w:rPr>
        <w:t xml:space="preserve"> The plasma bubbles gradually fade, thus leading to a reduction in the scintillation intensity.</w:t>
      </w:r>
    </w:p>
    <w:p w14:paraId="63208E01" w14:textId="77777777" w:rsidR="001945D5" w:rsidRPr="008C3911" w:rsidRDefault="001945D5" w:rsidP="001945D5">
      <w:pPr>
        <w:spacing w:line="240" w:lineRule="auto"/>
        <w:jc w:val="both"/>
        <w:rPr>
          <w:rFonts w:ascii="Arial" w:hAnsi="Arial" w:cs="Arial"/>
          <w:sz w:val="20"/>
          <w:szCs w:val="20"/>
          <w:lang w:val="en-US"/>
        </w:rPr>
      </w:pPr>
      <w:r w:rsidRPr="008C3911">
        <w:rPr>
          <w:rFonts w:ascii="Arial" w:hAnsi="Arial" w:cs="Arial"/>
          <w:sz w:val="20"/>
          <w:szCs w:val="20"/>
          <w:lang w:val="en-US"/>
        </w:rPr>
        <w:t>It is also noted that the phenomenon is more intense at the peak</w:t>
      </w:r>
      <w:r w:rsidR="00273D4B" w:rsidRPr="008C3911">
        <w:rPr>
          <w:rFonts w:ascii="Arial" w:hAnsi="Arial" w:cs="Arial"/>
          <w:sz w:val="20"/>
          <w:szCs w:val="20"/>
          <w:lang w:val="en-US"/>
        </w:rPr>
        <w:t xml:space="preserve"> of the solar cycle. Indeed, in </w:t>
      </w:r>
      <w:r w:rsidRPr="008C3911">
        <w:rPr>
          <w:rFonts w:ascii="Arial" w:hAnsi="Arial" w:cs="Arial"/>
          <w:sz w:val="20"/>
          <w:szCs w:val="20"/>
          <w:lang w:val="en-US"/>
        </w:rPr>
        <w:t xml:space="preserve">both stations, the ROTI index reaches maximum values of up to 1.5 </w:t>
      </w:r>
      <w:proofErr w:type="spellStart"/>
      <w:r w:rsidRPr="008C3911">
        <w:rPr>
          <w:rFonts w:ascii="Arial" w:hAnsi="Arial" w:cs="Arial"/>
          <w:sz w:val="20"/>
          <w:szCs w:val="20"/>
          <w:lang w:val="en-US"/>
        </w:rPr>
        <w:t>tecu</w:t>
      </w:r>
      <w:proofErr w:type="spellEnd"/>
      <w:r w:rsidRPr="008C3911">
        <w:rPr>
          <w:rFonts w:ascii="Arial" w:hAnsi="Arial" w:cs="Arial"/>
          <w:sz w:val="20"/>
          <w:szCs w:val="20"/>
          <w:lang w:val="en-US"/>
        </w:rPr>
        <w:t xml:space="preserve">/min during March </w:t>
      </w:r>
      <w:proofErr w:type="gramStart"/>
      <w:r w:rsidRPr="008C3911">
        <w:rPr>
          <w:rFonts w:ascii="Arial" w:hAnsi="Arial" w:cs="Arial"/>
          <w:sz w:val="20"/>
          <w:szCs w:val="20"/>
          <w:lang w:val="en-US"/>
        </w:rPr>
        <w:t>2014  (</w:t>
      </w:r>
      <w:proofErr w:type="gramEnd"/>
      <w:r w:rsidRPr="008C3911">
        <w:rPr>
          <w:rFonts w:ascii="Arial" w:hAnsi="Arial" w:cs="Arial"/>
          <w:sz w:val="20"/>
          <w:szCs w:val="20"/>
          <w:lang w:val="en-US"/>
        </w:rPr>
        <w:t>maximum pha</w:t>
      </w:r>
      <w:r w:rsidR="00273D4B" w:rsidRPr="008C3911">
        <w:rPr>
          <w:rFonts w:ascii="Arial" w:hAnsi="Arial" w:cs="Arial"/>
          <w:sz w:val="20"/>
          <w:szCs w:val="20"/>
          <w:lang w:val="en-US"/>
        </w:rPr>
        <w:t>se). Furthermore, Figure 3 is</w:t>
      </w:r>
      <w:r w:rsidRPr="008C3911">
        <w:rPr>
          <w:rFonts w:ascii="Arial" w:hAnsi="Arial" w:cs="Arial"/>
          <w:sz w:val="20"/>
          <w:szCs w:val="20"/>
          <w:lang w:val="en-US"/>
        </w:rPr>
        <w:t xml:space="preserve"> an example of daily ROTI variations on </w:t>
      </w:r>
      <w:r w:rsidR="00591C8E" w:rsidRPr="00591C8E">
        <w:rPr>
          <w:rFonts w:ascii="Arial" w:hAnsi="Arial" w:cs="Arial"/>
          <w:sz w:val="20"/>
          <w:szCs w:val="20"/>
          <w:lang w:val="en-US"/>
        </w:rPr>
        <w:t xml:space="preserve">October 7, 2013 </w:t>
      </w:r>
      <w:r w:rsidRPr="008C3911">
        <w:rPr>
          <w:rFonts w:ascii="Arial" w:hAnsi="Arial" w:cs="Arial"/>
          <w:sz w:val="20"/>
          <w:szCs w:val="20"/>
          <w:lang w:val="en-US"/>
        </w:rPr>
        <w:t xml:space="preserve">(maximum phase) and </w:t>
      </w:r>
      <w:r w:rsidR="00591C8E" w:rsidRPr="00591C8E">
        <w:rPr>
          <w:rFonts w:ascii="Arial" w:hAnsi="Arial" w:cs="Arial"/>
          <w:sz w:val="20"/>
          <w:szCs w:val="20"/>
          <w:lang w:val="en-US"/>
        </w:rPr>
        <w:t>March 27, 2015</w:t>
      </w:r>
      <w:r w:rsidRPr="008C3911">
        <w:rPr>
          <w:rFonts w:ascii="Arial" w:hAnsi="Arial" w:cs="Arial"/>
          <w:sz w:val="20"/>
          <w:szCs w:val="20"/>
          <w:lang w:val="en-US"/>
        </w:rPr>
        <w:t xml:space="preserve"> (desc</w:t>
      </w:r>
      <w:r w:rsidR="00DC012B" w:rsidRPr="008C3911">
        <w:rPr>
          <w:rFonts w:ascii="Arial" w:hAnsi="Arial" w:cs="Arial"/>
          <w:sz w:val="20"/>
          <w:szCs w:val="20"/>
          <w:lang w:val="en-US"/>
        </w:rPr>
        <w:t xml:space="preserve">ending phase). During the </w:t>
      </w:r>
      <w:r w:rsidRPr="008C3911">
        <w:rPr>
          <w:rFonts w:ascii="Arial" w:hAnsi="Arial" w:cs="Arial"/>
          <w:sz w:val="20"/>
          <w:szCs w:val="20"/>
          <w:lang w:val="en-US"/>
        </w:rPr>
        <w:t>maximum</w:t>
      </w:r>
      <w:r w:rsidR="00DC012B" w:rsidRPr="008C3911">
        <w:rPr>
          <w:rFonts w:ascii="Arial" w:hAnsi="Arial" w:cs="Arial"/>
          <w:sz w:val="20"/>
          <w:szCs w:val="20"/>
          <w:lang w:val="en-US"/>
        </w:rPr>
        <w:t xml:space="preserve"> solar phase</w:t>
      </w:r>
      <w:r w:rsidRPr="008C3911">
        <w:rPr>
          <w:rFonts w:ascii="Arial" w:hAnsi="Arial" w:cs="Arial"/>
          <w:sz w:val="20"/>
          <w:szCs w:val="20"/>
          <w:lang w:val="en-US"/>
        </w:rPr>
        <w:t>,</w:t>
      </w:r>
      <w:r w:rsidR="00DC012B" w:rsidRPr="008C3911">
        <w:rPr>
          <w:rFonts w:ascii="Arial" w:hAnsi="Arial" w:cs="Arial"/>
          <w:sz w:val="20"/>
          <w:szCs w:val="20"/>
          <w:lang w:val="en-US"/>
        </w:rPr>
        <w:t xml:space="preserve"> maximum ROTI values of approximately 3 </w:t>
      </w:r>
      <w:proofErr w:type="spellStart"/>
      <w:r w:rsidR="00DC012B" w:rsidRPr="008C3911">
        <w:rPr>
          <w:rFonts w:ascii="Arial" w:hAnsi="Arial" w:cs="Arial"/>
          <w:sz w:val="20"/>
          <w:szCs w:val="20"/>
          <w:lang w:val="en-US"/>
        </w:rPr>
        <w:t>tecu</w:t>
      </w:r>
      <w:proofErr w:type="spellEnd"/>
      <w:r w:rsidR="00DC012B" w:rsidRPr="008C3911">
        <w:rPr>
          <w:rFonts w:ascii="Arial" w:hAnsi="Arial" w:cs="Arial"/>
          <w:sz w:val="20"/>
          <w:szCs w:val="20"/>
          <w:lang w:val="en-US"/>
        </w:rPr>
        <w:t xml:space="preserve">/min around 2000LT are recorded </w:t>
      </w:r>
      <w:proofErr w:type="gramStart"/>
      <w:r w:rsidR="00DC012B" w:rsidRPr="008C3911">
        <w:rPr>
          <w:rFonts w:ascii="Arial" w:hAnsi="Arial" w:cs="Arial"/>
          <w:sz w:val="20"/>
          <w:szCs w:val="20"/>
          <w:lang w:val="en-US"/>
        </w:rPr>
        <w:t>in  both</w:t>
      </w:r>
      <w:proofErr w:type="gramEnd"/>
      <w:r w:rsidR="00DC012B" w:rsidRPr="008C3911">
        <w:rPr>
          <w:rFonts w:ascii="Arial" w:hAnsi="Arial" w:cs="Arial"/>
          <w:sz w:val="20"/>
          <w:szCs w:val="20"/>
          <w:lang w:val="en-US"/>
        </w:rPr>
        <w:t xml:space="preserve"> stations</w:t>
      </w:r>
      <w:r w:rsidRPr="008C3911">
        <w:rPr>
          <w:rFonts w:ascii="Arial" w:hAnsi="Arial" w:cs="Arial"/>
          <w:sz w:val="20"/>
          <w:szCs w:val="20"/>
          <w:lang w:val="en-US"/>
        </w:rPr>
        <w:t>. However, at the same time during the descending phase, ROTI val</w:t>
      </w:r>
      <w:r w:rsidR="00DC012B" w:rsidRPr="008C3911">
        <w:rPr>
          <w:rFonts w:ascii="Arial" w:hAnsi="Arial" w:cs="Arial"/>
          <w:sz w:val="20"/>
          <w:szCs w:val="20"/>
          <w:lang w:val="en-US"/>
        </w:rPr>
        <w:t>ues are approximately</w:t>
      </w:r>
      <w:r w:rsidRPr="008C3911">
        <w:rPr>
          <w:rFonts w:ascii="Arial" w:hAnsi="Arial" w:cs="Arial"/>
          <w:sz w:val="20"/>
          <w:szCs w:val="20"/>
          <w:lang w:val="en-US"/>
        </w:rPr>
        <w:t xml:space="preserve"> 2 </w:t>
      </w:r>
      <w:proofErr w:type="spellStart"/>
      <w:r w:rsidRPr="008C3911">
        <w:rPr>
          <w:rFonts w:ascii="Arial" w:hAnsi="Arial" w:cs="Arial"/>
          <w:sz w:val="20"/>
          <w:szCs w:val="20"/>
          <w:lang w:val="en-US"/>
        </w:rPr>
        <w:t>tecu</w:t>
      </w:r>
      <w:proofErr w:type="spellEnd"/>
      <w:r w:rsidRPr="008C3911">
        <w:rPr>
          <w:rFonts w:ascii="Arial" w:hAnsi="Arial" w:cs="Arial"/>
          <w:sz w:val="20"/>
          <w:szCs w:val="20"/>
          <w:lang w:val="en-US"/>
        </w:rPr>
        <w:t>/min. T</w:t>
      </w:r>
      <w:r w:rsidR="00DC012B" w:rsidRPr="008C3911">
        <w:rPr>
          <w:rFonts w:ascii="Arial" w:hAnsi="Arial" w:cs="Arial"/>
          <w:sz w:val="20"/>
          <w:szCs w:val="20"/>
          <w:lang w:val="en-US"/>
        </w:rPr>
        <w:t>he intense solar activity at</w:t>
      </w:r>
      <w:r w:rsidRPr="008C3911">
        <w:rPr>
          <w:rFonts w:ascii="Arial" w:hAnsi="Arial" w:cs="Arial"/>
          <w:sz w:val="20"/>
          <w:szCs w:val="20"/>
          <w:lang w:val="en-US"/>
        </w:rPr>
        <w:t xml:space="preserve"> t</w:t>
      </w:r>
      <w:r w:rsidR="00DC012B" w:rsidRPr="008C3911">
        <w:rPr>
          <w:rFonts w:ascii="Arial" w:hAnsi="Arial" w:cs="Arial"/>
          <w:sz w:val="20"/>
          <w:szCs w:val="20"/>
          <w:lang w:val="en-US"/>
        </w:rPr>
        <w:t>he maximum phase causes a more significant</w:t>
      </w:r>
      <w:r w:rsidRPr="008C3911">
        <w:rPr>
          <w:rFonts w:ascii="Arial" w:hAnsi="Arial" w:cs="Arial"/>
          <w:sz w:val="20"/>
          <w:szCs w:val="20"/>
          <w:lang w:val="en-US"/>
        </w:rPr>
        <w:t xml:space="preserve"> phase scintillation. In this reg</w:t>
      </w:r>
      <w:r w:rsidR="00DC012B" w:rsidRPr="008C3911">
        <w:rPr>
          <w:rFonts w:ascii="Arial" w:hAnsi="Arial" w:cs="Arial"/>
          <w:sz w:val="20"/>
          <w:szCs w:val="20"/>
          <w:lang w:val="en-US"/>
        </w:rPr>
        <w:t>ard, Akala et al. (2015) estimate</w:t>
      </w:r>
      <w:r w:rsidRPr="008C3911">
        <w:rPr>
          <w:rFonts w:ascii="Arial" w:hAnsi="Arial" w:cs="Arial"/>
          <w:sz w:val="20"/>
          <w:szCs w:val="20"/>
          <w:lang w:val="en-US"/>
        </w:rPr>
        <w:t xml:space="preserve"> that the annual variations in scintillation occurrences could be attributed to changes in solar activity.)</w:t>
      </w:r>
    </w:p>
    <w:tbl>
      <w:tblPr>
        <w:tblStyle w:val="TableGrid"/>
        <w:tblW w:w="8647" w:type="dxa"/>
        <w:jc w:val="center"/>
        <w:tblLook w:val="04A0" w:firstRow="1" w:lastRow="0" w:firstColumn="1" w:lastColumn="0" w:noHBand="0" w:noVBand="1"/>
      </w:tblPr>
      <w:tblGrid>
        <w:gridCol w:w="4395"/>
        <w:gridCol w:w="4252"/>
      </w:tblGrid>
      <w:tr w:rsidR="00CD696A" w:rsidRPr="00BB0BEB" w14:paraId="6E8A817C" w14:textId="77777777" w:rsidTr="005828BA">
        <w:trPr>
          <w:jc w:val="center"/>
        </w:trPr>
        <w:tc>
          <w:tcPr>
            <w:tcW w:w="4395" w:type="dxa"/>
          </w:tcPr>
          <w:p w14:paraId="72F4A15D" w14:textId="77777777" w:rsidR="00CD696A" w:rsidRPr="00BB0BEB" w:rsidRDefault="00CD696A" w:rsidP="00C60BA0">
            <w:pPr>
              <w:spacing w:line="360" w:lineRule="auto"/>
              <w:jc w:val="both"/>
              <w:rPr>
                <w:rFonts w:ascii="Arial" w:hAnsi="Arial" w:cs="Arial"/>
                <w:b/>
                <w:bCs/>
                <w:sz w:val="20"/>
                <w:szCs w:val="20"/>
              </w:rPr>
            </w:pPr>
            <w:r w:rsidRPr="00BB0BEB">
              <w:rPr>
                <w:rFonts w:ascii="Arial" w:hAnsi="Arial" w:cs="Arial"/>
                <w:noProof/>
                <w:sz w:val="20"/>
                <w:szCs w:val="20"/>
                <w:lang w:eastAsia="fr-FR"/>
              </w:rPr>
              <w:lastRenderedPageBreak/>
              <w:drawing>
                <wp:inline distT="0" distB="0" distL="0" distR="0" wp14:anchorId="02E635B6" wp14:editId="54A733C6">
                  <wp:extent cx="2556344" cy="1701165"/>
                  <wp:effectExtent l="0" t="0" r="0" b="0"/>
                  <wp:docPr id="10018544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5438" cy="1727181"/>
                          </a:xfrm>
                          <a:prstGeom prst="rect">
                            <a:avLst/>
                          </a:prstGeom>
                          <a:noFill/>
                          <a:ln>
                            <a:noFill/>
                          </a:ln>
                        </pic:spPr>
                      </pic:pic>
                    </a:graphicData>
                  </a:graphic>
                </wp:inline>
              </w:drawing>
            </w:r>
          </w:p>
        </w:tc>
        <w:tc>
          <w:tcPr>
            <w:tcW w:w="4252" w:type="dxa"/>
          </w:tcPr>
          <w:p w14:paraId="2DDF674B" w14:textId="77777777" w:rsidR="00CD696A" w:rsidRPr="00BB0BEB" w:rsidRDefault="00CD696A" w:rsidP="00C60BA0">
            <w:pPr>
              <w:spacing w:line="360" w:lineRule="auto"/>
              <w:jc w:val="both"/>
              <w:rPr>
                <w:rFonts w:ascii="Arial" w:hAnsi="Arial" w:cs="Arial"/>
                <w:b/>
                <w:bCs/>
                <w:sz w:val="20"/>
                <w:szCs w:val="20"/>
              </w:rPr>
            </w:pPr>
            <w:r w:rsidRPr="00BB0BEB">
              <w:rPr>
                <w:rFonts w:ascii="Arial" w:hAnsi="Arial" w:cs="Arial"/>
                <w:noProof/>
                <w:sz w:val="20"/>
                <w:szCs w:val="20"/>
                <w:lang w:eastAsia="fr-FR"/>
              </w:rPr>
              <w:drawing>
                <wp:inline distT="0" distB="0" distL="0" distR="0" wp14:anchorId="2D7A16AA" wp14:editId="3FC4392C">
                  <wp:extent cx="2552369" cy="1681448"/>
                  <wp:effectExtent l="0" t="0" r="635" b="0"/>
                  <wp:docPr id="6544971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5340" cy="1716345"/>
                          </a:xfrm>
                          <a:prstGeom prst="rect">
                            <a:avLst/>
                          </a:prstGeom>
                          <a:noFill/>
                          <a:ln>
                            <a:noFill/>
                          </a:ln>
                        </pic:spPr>
                      </pic:pic>
                    </a:graphicData>
                  </a:graphic>
                </wp:inline>
              </w:drawing>
            </w:r>
          </w:p>
        </w:tc>
      </w:tr>
      <w:tr w:rsidR="00CD696A" w:rsidRPr="00BB0BEB" w14:paraId="6CD59F2B" w14:textId="77777777" w:rsidTr="005828BA">
        <w:trPr>
          <w:jc w:val="center"/>
        </w:trPr>
        <w:tc>
          <w:tcPr>
            <w:tcW w:w="8647" w:type="dxa"/>
            <w:gridSpan w:val="2"/>
          </w:tcPr>
          <w:p w14:paraId="529658B3" w14:textId="77777777" w:rsidR="00CD696A" w:rsidRPr="00461EF7" w:rsidRDefault="00461EF7" w:rsidP="00461EF7">
            <w:pPr>
              <w:spacing w:line="360" w:lineRule="auto"/>
              <w:jc w:val="center"/>
              <w:rPr>
                <w:rFonts w:ascii="Arial" w:hAnsi="Arial" w:cs="Arial"/>
                <w:b/>
                <w:bCs/>
                <w:sz w:val="20"/>
                <w:szCs w:val="20"/>
              </w:rPr>
            </w:pPr>
            <w:r w:rsidRPr="00461EF7">
              <w:rPr>
                <w:rFonts w:ascii="Arial" w:hAnsi="Arial" w:cs="Arial"/>
                <w:b/>
                <w:bCs/>
                <w:sz w:val="20"/>
                <w:szCs w:val="20"/>
              </w:rPr>
              <w:t>Maximum Phase</w:t>
            </w:r>
          </w:p>
        </w:tc>
      </w:tr>
      <w:tr w:rsidR="00CD696A" w:rsidRPr="00BB0BEB" w14:paraId="2F7ED445" w14:textId="77777777" w:rsidTr="005828BA">
        <w:trPr>
          <w:jc w:val="center"/>
        </w:trPr>
        <w:tc>
          <w:tcPr>
            <w:tcW w:w="4395" w:type="dxa"/>
          </w:tcPr>
          <w:p w14:paraId="5A483426" w14:textId="77777777" w:rsidR="00CD696A" w:rsidRPr="00BB0BEB" w:rsidRDefault="00CD696A" w:rsidP="00C60BA0">
            <w:pPr>
              <w:spacing w:line="360" w:lineRule="auto"/>
              <w:jc w:val="both"/>
              <w:rPr>
                <w:rFonts w:ascii="Arial" w:hAnsi="Arial" w:cs="Arial"/>
                <w:b/>
                <w:bCs/>
                <w:sz w:val="20"/>
                <w:szCs w:val="20"/>
              </w:rPr>
            </w:pPr>
            <w:r w:rsidRPr="00BB0BEB">
              <w:rPr>
                <w:rFonts w:ascii="Arial" w:hAnsi="Arial" w:cs="Arial"/>
                <w:noProof/>
                <w:sz w:val="20"/>
                <w:szCs w:val="20"/>
                <w:lang w:eastAsia="fr-FR"/>
              </w:rPr>
              <w:drawing>
                <wp:inline distT="0" distB="0" distL="0" distR="0" wp14:anchorId="65D2166A" wp14:editId="47B2BAA5">
                  <wp:extent cx="2488759" cy="1682086"/>
                  <wp:effectExtent l="0" t="0" r="6985" b="0"/>
                  <wp:docPr id="17160015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3802" cy="1699012"/>
                          </a:xfrm>
                          <a:prstGeom prst="rect">
                            <a:avLst/>
                          </a:prstGeom>
                          <a:noFill/>
                          <a:ln>
                            <a:noFill/>
                          </a:ln>
                        </pic:spPr>
                      </pic:pic>
                    </a:graphicData>
                  </a:graphic>
                </wp:inline>
              </w:drawing>
            </w:r>
          </w:p>
        </w:tc>
        <w:tc>
          <w:tcPr>
            <w:tcW w:w="4252" w:type="dxa"/>
          </w:tcPr>
          <w:p w14:paraId="1F0575A4" w14:textId="77777777" w:rsidR="00CD696A" w:rsidRPr="00BB0BEB" w:rsidRDefault="00CD696A" w:rsidP="00C60BA0">
            <w:pPr>
              <w:spacing w:line="360" w:lineRule="auto"/>
              <w:jc w:val="both"/>
              <w:rPr>
                <w:rFonts w:ascii="Arial" w:hAnsi="Arial" w:cs="Arial"/>
                <w:b/>
                <w:bCs/>
                <w:sz w:val="20"/>
                <w:szCs w:val="20"/>
              </w:rPr>
            </w:pPr>
            <w:r w:rsidRPr="00BB0BEB">
              <w:rPr>
                <w:rFonts w:ascii="Arial" w:hAnsi="Arial" w:cs="Arial"/>
                <w:noProof/>
                <w:sz w:val="20"/>
                <w:szCs w:val="20"/>
                <w:lang w:eastAsia="fr-FR"/>
              </w:rPr>
              <w:drawing>
                <wp:inline distT="0" distB="0" distL="0" distR="0" wp14:anchorId="2EAF397D" wp14:editId="133D3952">
                  <wp:extent cx="2317805" cy="1633855"/>
                  <wp:effectExtent l="0" t="0" r="6350" b="4445"/>
                  <wp:docPr id="2058004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6433" cy="1696330"/>
                          </a:xfrm>
                          <a:prstGeom prst="rect">
                            <a:avLst/>
                          </a:prstGeom>
                          <a:noFill/>
                          <a:ln>
                            <a:noFill/>
                          </a:ln>
                        </pic:spPr>
                      </pic:pic>
                    </a:graphicData>
                  </a:graphic>
                </wp:inline>
              </w:drawing>
            </w:r>
          </w:p>
        </w:tc>
      </w:tr>
      <w:tr w:rsidR="00CD696A" w:rsidRPr="00BB0BEB" w14:paraId="751324EC" w14:textId="77777777" w:rsidTr="005828BA">
        <w:trPr>
          <w:jc w:val="center"/>
        </w:trPr>
        <w:tc>
          <w:tcPr>
            <w:tcW w:w="4395" w:type="dxa"/>
          </w:tcPr>
          <w:p w14:paraId="2FA21DAE" w14:textId="77777777" w:rsidR="00CD696A" w:rsidRPr="00BB0BEB" w:rsidRDefault="00CD696A" w:rsidP="00C60BA0">
            <w:pPr>
              <w:spacing w:line="360" w:lineRule="auto"/>
              <w:jc w:val="both"/>
              <w:rPr>
                <w:rFonts w:ascii="Arial" w:hAnsi="Arial" w:cs="Arial"/>
                <w:b/>
                <w:bCs/>
                <w:sz w:val="20"/>
                <w:szCs w:val="20"/>
              </w:rPr>
            </w:pPr>
            <w:r w:rsidRPr="00BB0BEB">
              <w:rPr>
                <w:rFonts w:ascii="Arial" w:hAnsi="Arial" w:cs="Arial"/>
                <w:noProof/>
                <w:sz w:val="20"/>
                <w:szCs w:val="20"/>
                <w:lang w:eastAsia="fr-FR"/>
              </w:rPr>
              <w:drawing>
                <wp:inline distT="0" distB="0" distL="0" distR="0" wp14:anchorId="2ECCA827" wp14:editId="7C5B9DD5">
                  <wp:extent cx="2313830" cy="1811345"/>
                  <wp:effectExtent l="0" t="0" r="0" b="0"/>
                  <wp:docPr id="189353897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037" cy="1878048"/>
                          </a:xfrm>
                          <a:prstGeom prst="rect">
                            <a:avLst/>
                          </a:prstGeom>
                          <a:noFill/>
                          <a:ln>
                            <a:noFill/>
                          </a:ln>
                        </pic:spPr>
                      </pic:pic>
                    </a:graphicData>
                  </a:graphic>
                </wp:inline>
              </w:drawing>
            </w:r>
          </w:p>
        </w:tc>
        <w:tc>
          <w:tcPr>
            <w:tcW w:w="4252" w:type="dxa"/>
          </w:tcPr>
          <w:p w14:paraId="7959620A" w14:textId="77777777" w:rsidR="00CD696A" w:rsidRPr="00BB0BEB" w:rsidRDefault="00CD696A" w:rsidP="00C60BA0">
            <w:pPr>
              <w:spacing w:line="360" w:lineRule="auto"/>
              <w:jc w:val="both"/>
              <w:rPr>
                <w:rFonts w:ascii="Arial" w:hAnsi="Arial" w:cs="Arial"/>
                <w:b/>
                <w:bCs/>
                <w:sz w:val="20"/>
                <w:szCs w:val="20"/>
              </w:rPr>
            </w:pPr>
            <w:r w:rsidRPr="00BB0BEB">
              <w:rPr>
                <w:rFonts w:ascii="Arial" w:hAnsi="Arial" w:cs="Arial"/>
                <w:noProof/>
                <w:sz w:val="20"/>
                <w:szCs w:val="20"/>
                <w:lang w:eastAsia="fr-FR"/>
              </w:rPr>
              <w:drawing>
                <wp:inline distT="0" distB="0" distL="0" distR="0" wp14:anchorId="61C2E106" wp14:editId="0C3F8BB5">
                  <wp:extent cx="2321781" cy="1757858"/>
                  <wp:effectExtent l="0" t="0" r="2540" b="0"/>
                  <wp:docPr id="160961977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9456" cy="1846952"/>
                          </a:xfrm>
                          <a:prstGeom prst="rect">
                            <a:avLst/>
                          </a:prstGeom>
                          <a:noFill/>
                          <a:ln>
                            <a:noFill/>
                          </a:ln>
                        </pic:spPr>
                      </pic:pic>
                    </a:graphicData>
                  </a:graphic>
                </wp:inline>
              </w:drawing>
            </w:r>
          </w:p>
        </w:tc>
      </w:tr>
      <w:tr w:rsidR="00CD696A" w:rsidRPr="00BB0BEB" w14:paraId="1148EBAA" w14:textId="77777777" w:rsidTr="005828BA">
        <w:trPr>
          <w:jc w:val="center"/>
        </w:trPr>
        <w:tc>
          <w:tcPr>
            <w:tcW w:w="8647" w:type="dxa"/>
            <w:gridSpan w:val="2"/>
          </w:tcPr>
          <w:p w14:paraId="7A7C6558" w14:textId="77777777" w:rsidR="00CD696A" w:rsidRPr="00BB0BEB" w:rsidRDefault="00461EF7" w:rsidP="00461EF7">
            <w:pPr>
              <w:spacing w:line="360" w:lineRule="auto"/>
              <w:jc w:val="center"/>
              <w:rPr>
                <w:rFonts w:ascii="Arial" w:hAnsi="Arial" w:cs="Arial"/>
                <w:b/>
                <w:bCs/>
                <w:sz w:val="20"/>
                <w:szCs w:val="20"/>
              </w:rPr>
            </w:pPr>
            <w:proofErr w:type="spellStart"/>
            <w:r w:rsidRPr="00461EF7">
              <w:rPr>
                <w:rFonts w:ascii="Arial" w:hAnsi="Arial" w:cs="Arial"/>
                <w:b/>
                <w:bCs/>
                <w:sz w:val="20"/>
                <w:szCs w:val="20"/>
              </w:rPr>
              <w:t>Decreasing</w:t>
            </w:r>
            <w:proofErr w:type="spellEnd"/>
            <w:r w:rsidRPr="00461EF7">
              <w:rPr>
                <w:rFonts w:ascii="Arial" w:hAnsi="Arial" w:cs="Arial"/>
                <w:b/>
                <w:bCs/>
                <w:sz w:val="20"/>
                <w:szCs w:val="20"/>
              </w:rPr>
              <w:t xml:space="preserve"> Phase </w:t>
            </w:r>
          </w:p>
        </w:tc>
      </w:tr>
    </w:tbl>
    <w:p w14:paraId="358594A0" w14:textId="77777777" w:rsidR="00CD696A" w:rsidRPr="00BB0BEB" w:rsidRDefault="00CD696A" w:rsidP="00C60BA0">
      <w:pPr>
        <w:spacing w:line="240" w:lineRule="auto"/>
        <w:jc w:val="both"/>
        <w:rPr>
          <w:rFonts w:ascii="Arial" w:hAnsi="Arial" w:cs="Arial"/>
          <w:sz w:val="20"/>
          <w:szCs w:val="20"/>
        </w:rPr>
      </w:pPr>
    </w:p>
    <w:p w14:paraId="60A39CFC" w14:textId="77777777" w:rsidR="00CD696A" w:rsidRDefault="00E53C1E" w:rsidP="00E53C1E">
      <w:pPr>
        <w:jc w:val="center"/>
        <w:rPr>
          <w:rFonts w:ascii="Arial" w:hAnsi="Arial" w:cs="Arial"/>
          <w:b/>
          <w:sz w:val="20"/>
          <w:szCs w:val="20"/>
          <w:lang w:val="en-US"/>
        </w:rPr>
      </w:pPr>
      <w:r>
        <w:rPr>
          <w:rFonts w:ascii="Arial" w:hAnsi="Arial" w:cs="Arial"/>
          <w:b/>
          <w:sz w:val="20"/>
          <w:szCs w:val="20"/>
          <w:lang w:val="en-US"/>
        </w:rPr>
        <w:t xml:space="preserve">Fig.1. </w:t>
      </w:r>
      <w:r w:rsidR="001A3483" w:rsidRPr="00BB0BEB">
        <w:rPr>
          <w:rFonts w:ascii="Arial" w:hAnsi="Arial" w:cs="Arial"/>
          <w:b/>
          <w:sz w:val="20"/>
          <w:szCs w:val="20"/>
          <w:lang w:val="en-US"/>
        </w:rPr>
        <w:t>Diurnal variation of ROTI as a function of solar phases at station BF01</w:t>
      </w:r>
    </w:p>
    <w:p w14:paraId="7FCA47BC" w14:textId="77777777" w:rsidR="00F8506B" w:rsidRPr="00BB0BEB" w:rsidRDefault="00F8506B" w:rsidP="00E53C1E">
      <w:pPr>
        <w:jc w:val="center"/>
        <w:rPr>
          <w:rFonts w:ascii="Arial" w:hAnsi="Arial" w:cs="Arial"/>
          <w:b/>
          <w:sz w:val="20"/>
          <w:szCs w:val="20"/>
          <w:lang w:val="en-US"/>
        </w:rPr>
      </w:pPr>
    </w:p>
    <w:tbl>
      <w:tblPr>
        <w:tblStyle w:val="TableGrid"/>
        <w:tblW w:w="7654" w:type="dxa"/>
        <w:jc w:val="center"/>
        <w:tblLayout w:type="fixed"/>
        <w:tblLook w:val="04A0" w:firstRow="1" w:lastRow="0" w:firstColumn="1" w:lastColumn="0" w:noHBand="0" w:noVBand="1"/>
      </w:tblPr>
      <w:tblGrid>
        <w:gridCol w:w="3969"/>
        <w:gridCol w:w="3685"/>
      </w:tblGrid>
      <w:tr w:rsidR="001A3483" w:rsidRPr="00E53C1E" w14:paraId="39A62903" w14:textId="77777777" w:rsidTr="005828BA">
        <w:trPr>
          <w:jc w:val="center"/>
        </w:trPr>
        <w:tc>
          <w:tcPr>
            <w:tcW w:w="7654" w:type="dxa"/>
            <w:gridSpan w:val="2"/>
          </w:tcPr>
          <w:p w14:paraId="0E2EEF7C" w14:textId="77777777" w:rsidR="001A3483" w:rsidRPr="00E53C1E" w:rsidRDefault="001A3483" w:rsidP="00C60BA0">
            <w:pPr>
              <w:spacing w:line="360" w:lineRule="auto"/>
              <w:jc w:val="both"/>
              <w:rPr>
                <w:rFonts w:ascii="Arial" w:hAnsi="Arial" w:cs="Arial"/>
                <w:sz w:val="20"/>
                <w:szCs w:val="20"/>
                <w:lang w:val="en-US"/>
              </w:rPr>
            </w:pPr>
            <w:r w:rsidRPr="00BB0BEB">
              <w:rPr>
                <w:rFonts w:ascii="Arial" w:hAnsi="Arial" w:cs="Arial"/>
                <w:noProof/>
                <w:sz w:val="20"/>
                <w:szCs w:val="20"/>
                <w:lang w:eastAsia="fr-FR"/>
              </w:rPr>
              <w:drawing>
                <wp:inline distT="0" distB="0" distL="0" distR="0" wp14:anchorId="7CDF6123" wp14:editId="11ECEEE5">
                  <wp:extent cx="2357562" cy="1702673"/>
                  <wp:effectExtent l="0" t="0" r="5080" b="0"/>
                  <wp:docPr id="474218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40124" name="Imag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7305" cy="1738599"/>
                          </a:xfrm>
                          <a:prstGeom prst="rect">
                            <a:avLst/>
                          </a:prstGeom>
                        </pic:spPr>
                      </pic:pic>
                    </a:graphicData>
                  </a:graphic>
                </wp:inline>
              </w:drawing>
            </w:r>
          </w:p>
        </w:tc>
      </w:tr>
      <w:tr w:rsidR="001A3483" w:rsidRPr="00E53C1E" w14:paraId="6C0E8B67" w14:textId="77777777" w:rsidTr="005828BA">
        <w:trPr>
          <w:jc w:val="center"/>
        </w:trPr>
        <w:tc>
          <w:tcPr>
            <w:tcW w:w="7654" w:type="dxa"/>
            <w:gridSpan w:val="2"/>
          </w:tcPr>
          <w:p w14:paraId="36801E13" w14:textId="77777777" w:rsidR="001A3483" w:rsidRPr="00E53C1E" w:rsidRDefault="00461EF7" w:rsidP="00461EF7">
            <w:pPr>
              <w:spacing w:line="360" w:lineRule="auto"/>
              <w:jc w:val="center"/>
              <w:rPr>
                <w:rFonts w:ascii="Arial" w:hAnsi="Arial" w:cs="Arial"/>
                <w:b/>
                <w:noProof/>
                <w:sz w:val="20"/>
                <w:szCs w:val="20"/>
                <w:lang w:val="en-US" w:eastAsia="fr-FR"/>
              </w:rPr>
            </w:pPr>
            <w:r w:rsidRPr="00F8506B">
              <w:rPr>
                <w:rFonts w:ascii="Arial" w:hAnsi="Arial" w:cs="Arial"/>
                <w:b/>
                <w:noProof/>
                <w:sz w:val="20"/>
                <w:szCs w:val="20"/>
                <w:lang w:val="en-US" w:eastAsia="fr-FR"/>
              </w:rPr>
              <w:t xml:space="preserve">Ascending </w:t>
            </w:r>
            <w:r w:rsidR="001A3483" w:rsidRPr="00F8506B">
              <w:rPr>
                <w:rFonts w:ascii="Arial" w:hAnsi="Arial" w:cs="Arial"/>
                <w:b/>
                <w:noProof/>
                <w:sz w:val="20"/>
                <w:szCs w:val="20"/>
                <w:lang w:val="en-US" w:eastAsia="fr-FR"/>
              </w:rPr>
              <w:t xml:space="preserve">Phase </w:t>
            </w:r>
          </w:p>
        </w:tc>
      </w:tr>
      <w:tr w:rsidR="001A3483" w:rsidRPr="00E53C1E" w14:paraId="5B54E338" w14:textId="77777777" w:rsidTr="005828BA">
        <w:trPr>
          <w:jc w:val="center"/>
        </w:trPr>
        <w:tc>
          <w:tcPr>
            <w:tcW w:w="3969" w:type="dxa"/>
          </w:tcPr>
          <w:p w14:paraId="0506D9B8" w14:textId="77777777" w:rsidR="001A3483" w:rsidRPr="00E53C1E" w:rsidRDefault="001A3483" w:rsidP="00C60BA0">
            <w:pPr>
              <w:spacing w:line="360" w:lineRule="auto"/>
              <w:jc w:val="both"/>
              <w:rPr>
                <w:rFonts w:ascii="Arial" w:hAnsi="Arial" w:cs="Arial"/>
                <w:sz w:val="20"/>
                <w:szCs w:val="20"/>
                <w:lang w:val="en-US"/>
              </w:rPr>
            </w:pPr>
            <w:r w:rsidRPr="00BB0BEB">
              <w:rPr>
                <w:rFonts w:ascii="Arial" w:hAnsi="Arial" w:cs="Arial"/>
                <w:noProof/>
                <w:sz w:val="20"/>
                <w:szCs w:val="20"/>
                <w:lang w:eastAsia="fr-FR"/>
              </w:rPr>
              <w:lastRenderedPageBreak/>
              <w:drawing>
                <wp:inline distT="0" distB="0" distL="0" distR="0" wp14:anchorId="7AA2FC83" wp14:editId="25E9B5B7">
                  <wp:extent cx="2373464" cy="1808650"/>
                  <wp:effectExtent l="0" t="0" r="8255" b="1270"/>
                  <wp:docPr id="2807892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38146" name="Imag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8579" cy="1835409"/>
                          </a:xfrm>
                          <a:prstGeom prst="rect">
                            <a:avLst/>
                          </a:prstGeom>
                        </pic:spPr>
                      </pic:pic>
                    </a:graphicData>
                  </a:graphic>
                </wp:inline>
              </w:drawing>
            </w:r>
          </w:p>
        </w:tc>
        <w:tc>
          <w:tcPr>
            <w:tcW w:w="3685" w:type="dxa"/>
          </w:tcPr>
          <w:p w14:paraId="72DB1F83" w14:textId="77777777" w:rsidR="001A3483" w:rsidRPr="00E53C1E" w:rsidRDefault="001A3483" w:rsidP="00C60BA0">
            <w:pPr>
              <w:spacing w:line="360" w:lineRule="auto"/>
              <w:jc w:val="both"/>
              <w:rPr>
                <w:rFonts w:ascii="Arial" w:hAnsi="Arial" w:cs="Arial"/>
                <w:sz w:val="20"/>
                <w:szCs w:val="20"/>
                <w:lang w:val="en-US"/>
              </w:rPr>
            </w:pPr>
            <w:r w:rsidRPr="00BB0BEB">
              <w:rPr>
                <w:rFonts w:ascii="Arial" w:hAnsi="Arial" w:cs="Arial"/>
                <w:noProof/>
                <w:sz w:val="20"/>
                <w:szCs w:val="20"/>
                <w:lang w:eastAsia="fr-FR"/>
              </w:rPr>
              <w:drawing>
                <wp:inline distT="0" distB="0" distL="0" distR="0" wp14:anchorId="6EEA022F" wp14:editId="2262BC36">
                  <wp:extent cx="2150828" cy="1941050"/>
                  <wp:effectExtent l="0" t="0" r="1905" b="2540"/>
                  <wp:docPr id="15060217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95505" name="Imag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3979" cy="2034140"/>
                          </a:xfrm>
                          <a:prstGeom prst="rect">
                            <a:avLst/>
                          </a:prstGeom>
                        </pic:spPr>
                      </pic:pic>
                    </a:graphicData>
                  </a:graphic>
                </wp:inline>
              </w:drawing>
            </w:r>
          </w:p>
        </w:tc>
      </w:tr>
      <w:tr w:rsidR="001A3483" w:rsidRPr="00E53C1E" w14:paraId="571A1F4C" w14:textId="77777777" w:rsidTr="005828BA">
        <w:trPr>
          <w:jc w:val="center"/>
        </w:trPr>
        <w:tc>
          <w:tcPr>
            <w:tcW w:w="7654" w:type="dxa"/>
            <w:gridSpan w:val="2"/>
          </w:tcPr>
          <w:p w14:paraId="629DB448" w14:textId="77777777" w:rsidR="001A3483" w:rsidRPr="00E53C1E" w:rsidRDefault="00461EF7" w:rsidP="00461EF7">
            <w:pPr>
              <w:spacing w:line="360" w:lineRule="auto"/>
              <w:jc w:val="center"/>
              <w:rPr>
                <w:rFonts w:ascii="Arial" w:hAnsi="Arial" w:cs="Arial"/>
                <w:b/>
                <w:sz w:val="20"/>
                <w:szCs w:val="20"/>
                <w:lang w:val="en-US"/>
              </w:rPr>
            </w:pPr>
            <w:r>
              <w:rPr>
                <w:rFonts w:ascii="Arial" w:hAnsi="Arial" w:cs="Arial"/>
                <w:b/>
                <w:sz w:val="20"/>
                <w:szCs w:val="20"/>
                <w:lang w:val="en-US"/>
              </w:rPr>
              <w:t>Maximum</w:t>
            </w:r>
            <w:r w:rsidRPr="00E53C1E">
              <w:rPr>
                <w:rFonts w:ascii="Arial" w:hAnsi="Arial" w:cs="Arial"/>
                <w:b/>
                <w:sz w:val="20"/>
                <w:szCs w:val="20"/>
                <w:lang w:val="en-US"/>
              </w:rPr>
              <w:t xml:space="preserve"> </w:t>
            </w:r>
            <w:r w:rsidR="001A3483" w:rsidRPr="00E53C1E">
              <w:rPr>
                <w:rFonts w:ascii="Arial" w:hAnsi="Arial" w:cs="Arial"/>
                <w:b/>
                <w:sz w:val="20"/>
                <w:szCs w:val="20"/>
                <w:lang w:val="en-US"/>
              </w:rPr>
              <w:t>Phase</w:t>
            </w:r>
          </w:p>
        </w:tc>
      </w:tr>
      <w:tr w:rsidR="001A3483" w:rsidRPr="00E53C1E" w14:paraId="5AF7BB15" w14:textId="77777777" w:rsidTr="005828BA">
        <w:trPr>
          <w:jc w:val="center"/>
        </w:trPr>
        <w:tc>
          <w:tcPr>
            <w:tcW w:w="7654" w:type="dxa"/>
            <w:gridSpan w:val="2"/>
          </w:tcPr>
          <w:p w14:paraId="202F8B17" w14:textId="77777777" w:rsidR="001A3483" w:rsidRPr="00E53C1E" w:rsidRDefault="001A3483" w:rsidP="00C60BA0">
            <w:pPr>
              <w:spacing w:line="360" w:lineRule="auto"/>
              <w:jc w:val="both"/>
              <w:rPr>
                <w:rFonts w:ascii="Arial" w:hAnsi="Arial" w:cs="Arial"/>
                <w:sz w:val="20"/>
                <w:szCs w:val="20"/>
                <w:lang w:val="en-US"/>
              </w:rPr>
            </w:pPr>
            <w:r w:rsidRPr="00BB0BEB">
              <w:rPr>
                <w:rFonts w:ascii="Arial" w:hAnsi="Arial" w:cs="Arial"/>
                <w:noProof/>
                <w:sz w:val="20"/>
                <w:szCs w:val="20"/>
                <w:lang w:eastAsia="fr-FR"/>
              </w:rPr>
              <w:drawing>
                <wp:inline distT="0" distB="0" distL="0" distR="0" wp14:anchorId="40DB3643" wp14:editId="34BD8F98">
                  <wp:extent cx="2286000" cy="1854200"/>
                  <wp:effectExtent l="0" t="0" r="0" b="0"/>
                  <wp:docPr id="10779906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51488" name=""/>
                          <pic:cNvPicPr/>
                        </pic:nvPicPr>
                        <pic:blipFill>
                          <a:blip r:embed="rId19"/>
                          <a:stretch>
                            <a:fillRect/>
                          </a:stretch>
                        </pic:blipFill>
                        <pic:spPr>
                          <a:xfrm>
                            <a:off x="0" y="0"/>
                            <a:ext cx="2443869" cy="1982249"/>
                          </a:xfrm>
                          <a:prstGeom prst="rect">
                            <a:avLst/>
                          </a:prstGeom>
                        </pic:spPr>
                      </pic:pic>
                    </a:graphicData>
                  </a:graphic>
                </wp:inline>
              </w:drawing>
            </w:r>
          </w:p>
        </w:tc>
      </w:tr>
      <w:tr w:rsidR="001A3483" w:rsidRPr="00E53C1E" w14:paraId="2A9212A4" w14:textId="77777777" w:rsidTr="005828BA">
        <w:trPr>
          <w:jc w:val="center"/>
        </w:trPr>
        <w:tc>
          <w:tcPr>
            <w:tcW w:w="7654" w:type="dxa"/>
            <w:gridSpan w:val="2"/>
          </w:tcPr>
          <w:p w14:paraId="6CD10AA3" w14:textId="77777777" w:rsidR="001A3483" w:rsidRPr="00E53C1E" w:rsidRDefault="00461EF7" w:rsidP="00461EF7">
            <w:pPr>
              <w:spacing w:line="360" w:lineRule="auto"/>
              <w:jc w:val="center"/>
              <w:rPr>
                <w:rFonts w:ascii="Arial" w:hAnsi="Arial" w:cs="Arial"/>
                <w:b/>
                <w:noProof/>
                <w:sz w:val="20"/>
                <w:szCs w:val="20"/>
                <w:lang w:val="en-US" w:eastAsia="fr-FR"/>
              </w:rPr>
            </w:pPr>
            <w:r w:rsidRPr="00F8506B">
              <w:rPr>
                <w:rFonts w:ascii="Arial" w:hAnsi="Arial" w:cs="Arial"/>
                <w:b/>
                <w:noProof/>
                <w:sz w:val="20"/>
                <w:szCs w:val="20"/>
                <w:lang w:val="en-US" w:eastAsia="fr-FR"/>
              </w:rPr>
              <w:t xml:space="preserve">Decreasing </w:t>
            </w:r>
            <w:r w:rsidR="001A3483" w:rsidRPr="00F8506B">
              <w:rPr>
                <w:rFonts w:ascii="Arial" w:hAnsi="Arial" w:cs="Arial"/>
                <w:b/>
                <w:noProof/>
                <w:sz w:val="20"/>
                <w:szCs w:val="20"/>
                <w:lang w:val="en-US" w:eastAsia="fr-FR"/>
              </w:rPr>
              <w:t xml:space="preserve">Phase </w:t>
            </w:r>
          </w:p>
        </w:tc>
      </w:tr>
    </w:tbl>
    <w:p w14:paraId="40E1E822" w14:textId="77777777" w:rsidR="001A3483" w:rsidRPr="00BB0BEB" w:rsidRDefault="001A3483" w:rsidP="00C60BA0">
      <w:pPr>
        <w:jc w:val="both"/>
        <w:rPr>
          <w:rFonts w:ascii="Arial" w:hAnsi="Arial" w:cs="Arial"/>
          <w:sz w:val="20"/>
          <w:szCs w:val="20"/>
          <w:lang w:val="en-US"/>
        </w:rPr>
      </w:pPr>
    </w:p>
    <w:p w14:paraId="35932FED" w14:textId="77777777" w:rsidR="001A3483" w:rsidRPr="00BB0BEB" w:rsidRDefault="008A3498" w:rsidP="008A3498">
      <w:pPr>
        <w:jc w:val="center"/>
        <w:rPr>
          <w:rFonts w:ascii="Arial" w:hAnsi="Arial" w:cs="Arial"/>
          <w:b/>
          <w:sz w:val="20"/>
          <w:szCs w:val="20"/>
          <w:lang w:val="en-US"/>
        </w:rPr>
      </w:pPr>
      <w:r>
        <w:rPr>
          <w:rFonts w:ascii="Arial" w:hAnsi="Arial" w:cs="Arial"/>
          <w:b/>
          <w:sz w:val="20"/>
          <w:szCs w:val="20"/>
          <w:lang w:val="en-US"/>
        </w:rPr>
        <w:t>Fig.</w:t>
      </w:r>
      <w:r w:rsidR="001A3483" w:rsidRPr="00BB0BEB">
        <w:rPr>
          <w:rFonts w:ascii="Arial" w:hAnsi="Arial" w:cs="Arial"/>
          <w:b/>
          <w:sz w:val="20"/>
          <w:szCs w:val="20"/>
          <w:lang w:val="en-US"/>
        </w:rPr>
        <w:t>2</w:t>
      </w:r>
      <w:r>
        <w:rPr>
          <w:rFonts w:ascii="Arial" w:hAnsi="Arial" w:cs="Arial"/>
          <w:b/>
          <w:sz w:val="20"/>
          <w:szCs w:val="20"/>
          <w:lang w:val="en-US"/>
        </w:rPr>
        <w:t xml:space="preserve">. </w:t>
      </w:r>
      <w:r w:rsidR="001A3483" w:rsidRPr="00BB0BEB">
        <w:rPr>
          <w:rFonts w:ascii="Arial" w:hAnsi="Arial" w:cs="Arial"/>
          <w:b/>
          <w:sz w:val="20"/>
          <w:szCs w:val="20"/>
          <w:lang w:val="en-US"/>
        </w:rPr>
        <w:t xml:space="preserve">Diurnal variation of ROTI as a function of solar phases at station of </w:t>
      </w:r>
      <w:proofErr w:type="spellStart"/>
      <w:r w:rsidR="001A3483" w:rsidRPr="00BB0BEB">
        <w:rPr>
          <w:rFonts w:ascii="Arial" w:hAnsi="Arial" w:cs="Arial"/>
          <w:b/>
          <w:sz w:val="20"/>
          <w:szCs w:val="20"/>
          <w:lang w:val="en-US"/>
        </w:rPr>
        <w:t>Koudougou</w:t>
      </w:r>
      <w:proofErr w:type="spellEnd"/>
    </w:p>
    <w:p w14:paraId="6AA26D30" w14:textId="77777777" w:rsidR="001A3483" w:rsidRPr="00BB0BEB" w:rsidRDefault="001A3483" w:rsidP="00C60BA0">
      <w:pPr>
        <w:jc w:val="both"/>
        <w:rPr>
          <w:rFonts w:ascii="Arial" w:hAnsi="Arial" w:cs="Arial"/>
          <w:b/>
          <w:sz w:val="20"/>
          <w:szCs w:val="20"/>
          <w:lang w:val="en-US"/>
        </w:rPr>
      </w:pPr>
    </w:p>
    <w:tbl>
      <w:tblPr>
        <w:tblStyle w:val="TableGrid"/>
        <w:tblW w:w="0" w:type="auto"/>
        <w:jc w:val="center"/>
        <w:tblLook w:val="04A0" w:firstRow="1" w:lastRow="0" w:firstColumn="1" w:lastColumn="0" w:noHBand="0" w:noVBand="1"/>
      </w:tblPr>
      <w:tblGrid>
        <w:gridCol w:w="783"/>
        <w:gridCol w:w="3792"/>
        <w:gridCol w:w="3969"/>
      </w:tblGrid>
      <w:tr w:rsidR="001A3483" w:rsidRPr="00BB0BEB" w14:paraId="54FBE20E" w14:textId="77777777" w:rsidTr="005828BA">
        <w:trPr>
          <w:cantSplit/>
          <w:trHeight w:val="1134"/>
          <w:jc w:val="center"/>
        </w:trPr>
        <w:tc>
          <w:tcPr>
            <w:tcW w:w="783" w:type="dxa"/>
            <w:textDirection w:val="btLr"/>
            <w:vAlign w:val="center"/>
          </w:tcPr>
          <w:p w14:paraId="7443BF53" w14:textId="77777777" w:rsidR="001A3483" w:rsidRPr="00BB0BEB" w:rsidRDefault="00591C8E" w:rsidP="00072C87">
            <w:pPr>
              <w:spacing w:line="360" w:lineRule="auto"/>
              <w:ind w:left="113" w:right="113"/>
              <w:jc w:val="center"/>
              <w:rPr>
                <w:rFonts w:ascii="Arial" w:hAnsi="Arial" w:cs="Arial"/>
                <w:sz w:val="20"/>
                <w:szCs w:val="20"/>
              </w:rPr>
            </w:pPr>
            <w:r w:rsidRPr="00591C8E">
              <w:rPr>
                <w:rFonts w:ascii="Arial" w:hAnsi="Arial" w:cs="Arial"/>
                <w:sz w:val="20"/>
                <w:szCs w:val="20"/>
                <w:lang w:val="en-US"/>
              </w:rPr>
              <w:t xml:space="preserve">October 7, 2013 </w:t>
            </w:r>
            <w:r>
              <w:rPr>
                <w:rFonts w:ascii="Arial" w:hAnsi="Arial" w:cs="Arial"/>
                <w:b/>
                <w:bCs/>
                <w:sz w:val="20"/>
                <w:szCs w:val="20"/>
              </w:rPr>
              <w:t xml:space="preserve"> </w:t>
            </w:r>
            <w:r w:rsidRPr="00072C87">
              <w:rPr>
                <w:rFonts w:ascii="Arial" w:hAnsi="Arial" w:cs="Arial"/>
                <w:bCs/>
                <w:sz w:val="20"/>
                <w:szCs w:val="20"/>
              </w:rPr>
              <w:t>(</w:t>
            </w:r>
            <w:r w:rsidR="001A3483" w:rsidRPr="00072C87">
              <w:rPr>
                <w:rFonts w:ascii="Arial" w:hAnsi="Arial" w:cs="Arial"/>
                <w:bCs/>
                <w:sz w:val="20"/>
                <w:szCs w:val="20"/>
              </w:rPr>
              <w:t>Max</w:t>
            </w:r>
            <w:r w:rsidR="00461EF7" w:rsidRPr="00072C87">
              <w:rPr>
                <w:rFonts w:ascii="Arial" w:hAnsi="Arial" w:cs="Arial"/>
                <w:bCs/>
                <w:sz w:val="20"/>
                <w:szCs w:val="20"/>
              </w:rPr>
              <w:t>imum</w:t>
            </w:r>
            <w:r w:rsidR="001A3483" w:rsidRPr="00072C87">
              <w:rPr>
                <w:rFonts w:ascii="Arial" w:hAnsi="Arial" w:cs="Arial"/>
                <w:bCs/>
                <w:sz w:val="20"/>
                <w:szCs w:val="20"/>
              </w:rPr>
              <w:t>)</w:t>
            </w:r>
          </w:p>
        </w:tc>
        <w:tc>
          <w:tcPr>
            <w:tcW w:w="3792" w:type="dxa"/>
          </w:tcPr>
          <w:p w14:paraId="660FBAC7" w14:textId="77777777" w:rsidR="001A3483" w:rsidRPr="00BB0BEB" w:rsidRDefault="001A3483" w:rsidP="00C60BA0">
            <w:pPr>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673A793B" wp14:editId="4949C36B">
                  <wp:extent cx="2266168" cy="1570383"/>
                  <wp:effectExtent l="0" t="0" r="1270" b="0"/>
                  <wp:docPr id="9" name="Image 8"/>
                  <wp:cNvGraphicFramePr/>
                  <a:graphic xmlns:a="http://schemas.openxmlformats.org/drawingml/2006/main">
                    <a:graphicData uri="http://schemas.openxmlformats.org/drawingml/2006/picture">
                      <pic:pic xmlns:pic="http://schemas.openxmlformats.org/drawingml/2006/picture">
                        <pic:nvPicPr>
                          <pic:cNvPr id="9" name="Image 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7638" cy="1626839"/>
                          </a:xfrm>
                          <a:prstGeom prst="rect">
                            <a:avLst/>
                          </a:prstGeom>
                          <a:noFill/>
                          <a:ln>
                            <a:noFill/>
                          </a:ln>
                        </pic:spPr>
                      </pic:pic>
                    </a:graphicData>
                  </a:graphic>
                </wp:inline>
              </w:drawing>
            </w:r>
          </w:p>
        </w:tc>
        <w:tc>
          <w:tcPr>
            <w:tcW w:w="3969" w:type="dxa"/>
          </w:tcPr>
          <w:p w14:paraId="047D463A" w14:textId="77777777" w:rsidR="001A3483" w:rsidRPr="00BB0BEB" w:rsidRDefault="001A3483" w:rsidP="00C60BA0">
            <w:pPr>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2DDACACC" wp14:editId="3DA2AF4E">
                  <wp:extent cx="2124858" cy="1538578"/>
                  <wp:effectExtent l="0" t="0" r="0" b="5080"/>
                  <wp:docPr id="12" name="Image 11"/>
                  <wp:cNvGraphicFramePr/>
                  <a:graphic xmlns:a="http://schemas.openxmlformats.org/drawingml/2006/main">
                    <a:graphicData uri="http://schemas.openxmlformats.org/drawingml/2006/picture">
                      <pic:pic xmlns:pic="http://schemas.openxmlformats.org/drawingml/2006/picture">
                        <pic:nvPicPr>
                          <pic:cNvPr id="12" name="Image 1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9690" cy="1578281"/>
                          </a:xfrm>
                          <a:prstGeom prst="rect">
                            <a:avLst/>
                          </a:prstGeom>
                          <a:noFill/>
                          <a:ln>
                            <a:noFill/>
                          </a:ln>
                        </pic:spPr>
                      </pic:pic>
                    </a:graphicData>
                  </a:graphic>
                </wp:inline>
              </w:drawing>
            </w:r>
          </w:p>
        </w:tc>
      </w:tr>
      <w:tr w:rsidR="001A3483" w:rsidRPr="00BB0BEB" w14:paraId="672FAC73" w14:textId="77777777" w:rsidTr="005828BA">
        <w:trPr>
          <w:cantSplit/>
          <w:trHeight w:val="1134"/>
          <w:jc w:val="center"/>
        </w:trPr>
        <w:tc>
          <w:tcPr>
            <w:tcW w:w="783" w:type="dxa"/>
            <w:textDirection w:val="btLr"/>
            <w:vAlign w:val="center"/>
          </w:tcPr>
          <w:p w14:paraId="5E1C1BC2" w14:textId="77777777" w:rsidR="001A3483" w:rsidRPr="00072C87" w:rsidRDefault="00072C87" w:rsidP="00072C87">
            <w:pPr>
              <w:spacing w:line="360" w:lineRule="auto"/>
              <w:ind w:left="113" w:right="113"/>
              <w:jc w:val="center"/>
              <w:rPr>
                <w:rFonts w:ascii="Arial" w:hAnsi="Arial" w:cs="Arial"/>
                <w:sz w:val="20"/>
                <w:szCs w:val="20"/>
              </w:rPr>
            </w:pPr>
            <w:r w:rsidRPr="00072C87">
              <w:rPr>
                <w:rFonts w:ascii="Arial" w:hAnsi="Arial" w:cs="Arial"/>
                <w:bCs/>
                <w:sz w:val="20"/>
                <w:szCs w:val="20"/>
              </w:rPr>
              <w:t xml:space="preserve">March 26, </w:t>
            </w:r>
            <w:r w:rsidR="00461EF7" w:rsidRPr="00072C87">
              <w:rPr>
                <w:rFonts w:ascii="Arial" w:hAnsi="Arial" w:cs="Arial"/>
                <w:bCs/>
                <w:sz w:val="20"/>
                <w:szCs w:val="20"/>
              </w:rPr>
              <w:t>2015 (</w:t>
            </w:r>
            <w:proofErr w:type="spellStart"/>
            <w:r w:rsidR="00461EF7" w:rsidRPr="00072C87">
              <w:rPr>
                <w:rFonts w:ascii="Arial" w:hAnsi="Arial" w:cs="Arial"/>
                <w:bCs/>
                <w:sz w:val="20"/>
                <w:szCs w:val="20"/>
              </w:rPr>
              <w:t>De</w:t>
            </w:r>
            <w:r w:rsidR="001A3483" w:rsidRPr="00072C87">
              <w:rPr>
                <w:rFonts w:ascii="Arial" w:hAnsi="Arial" w:cs="Arial"/>
                <w:bCs/>
                <w:sz w:val="20"/>
                <w:szCs w:val="20"/>
              </w:rPr>
              <w:t>c</w:t>
            </w:r>
            <w:r w:rsidR="00461EF7" w:rsidRPr="00072C87">
              <w:rPr>
                <w:rFonts w:ascii="Arial" w:hAnsi="Arial" w:cs="Arial"/>
                <w:bCs/>
                <w:sz w:val="20"/>
                <w:szCs w:val="20"/>
              </w:rPr>
              <w:t>reasing</w:t>
            </w:r>
            <w:proofErr w:type="spellEnd"/>
            <w:r w:rsidR="001A3483" w:rsidRPr="00072C87">
              <w:rPr>
                <w:rFonts w:ascii="Arial" w:hAnsi="Arial" w:cs="Arial"/>
                <w:bCs/>
                <w:sz w:val="20"/>
                <w:szCs w:val="20"/>
              </w:rPr>
              <w:t>)</w:t>
            </w:r>
          </w:p>
        </w:tc>
        <w:tc>
          <w:tcPr>
            <w:tcW w:w="3792" w:type="dxa"/>
          </w:tcPr>
          <w:p w14:paraId="7761D829" w14:textId="77777777" w:rsidR="001A3483" w:rsidRPr="00BB0BEB" w:rsidRDefault="001A3483" w:rsidP="00C60BA0">
            <w:pPr>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252C09D8" wp14:editId="25827A63">
                  <wp:extent cx="2157095" cy="1407381"/>
                  <wp:effectExtent l="0" t="0" r="0" b="2540"/>
                  <wp:docPr id="11" name="Image 10"/>
                  <wp:cNvGraphicFramePr/>
                  <a:graphic xmlns:a="http://schemas.openxmlformats.org/drawingml/2006/main">
                    <a:graphicData uri="http://schemas.openxmlformats.org/drawingml/2006/picture">
                      <pic:pic xmlns:pic="http://schemas.openxmlformats.org/drawingml/2006/picture">
                        <pic:nvPicPr>
                          <pic:cNvPr id="11" name="Image 1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9987" cy="1428841"/>
                          </a:xfrm>
                          <a:prstGeom prst="rect">
                            <a:avLst/>
                          </a:prstGeom>
                          <a:noFill/>
                          <a:ln>
                            <a:noFill/>
                          </a:ln>
                        </pic:spPr>
                      </pic:pic>
                    </a:graphicData>
                  </a:graphic>
                </wp:inline>
              </w:drawing>
            </w:r>
          </w:p>
        </w:tc>
        <w:tc>
          <w:tcPr>
            <w:tcW w:w="3969" w:type="dxa"/>
          </w:tcPr>
          <w:p w14:paraId="7FAE924E" w14:textId="77777777" w:rsidR="001A3483" w:rsidRPr="00BB0BEB" w:rsidRDefault="001A3483" w:rsidP="00C60BA0">
            <w:pPr>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199DF66B" wp14:editId="5C03212A">
                  <wp:extent cx="2192606" cy="1363649"/>
                  <wp:effectExtent l="0" t="0" r="0" b="8255"/>
                  <wp:docPr id="13" name="Image 12"/>
                  <wp:cNvGraphicFramePr/>
                  <a:graphic xmlns:a="http://schemas.openxmlformats.org/drawingml/2006/main">
                    <a:graphicData uri="http://schemas.openxmlformats.org/drawingml/2006/picture">
                      <pic:pic xmlns:pic="http://schemas.openxmlformats.org/drawingml/2006/picture">
                        <pic:nvPicPr>
                          <pic:cNvPr id="13" name="Image 12"/>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6932" cy="1384998"/>
                          </a:xfrm>
                          <a:prstGeom prst="rect">
                            <a:avLst/>
                          </a:prstGeom>
                          <a:noFill/>
                          <a:ln>
                            <a:noFill/>
                          </a:ln>
                        </pic:spPr>
                      </pic:pic>
                    </a:graphicData>
                  </a:graphic>
                </wp:inline>
              </w:drawing>
            </w:r>
          </w:p>
        </w:tc>
      </w:tr>
    </w:tbl>
    <w:p w14:paraId="2AF7AA32" w14:textId="77777777" w:rsidR="00072C87" w:rsidRDefault="00072C87" w:rsidP="00072C87">
      <w:pPr>
        <w:jc w:val="center"/>
        <w:rPr>
          <w:rFonts w:ascii="Arial" w:hAnsi="Arial" w:cs="Arial"/>
          <w:b/>
          <w:sz w:val="20"/>
          <w:szCs w:val="20"/>
          <w:lang w:val="en-US"/>
        </w:rPr>
      </w:pPr>
    </w:p>
    <w:p w14:paraId="7A4901A6" w14:textId="77777777" w:rsidR="00F8506B" w:rsidRDefault="008A3498" w:rsidP="00072C87">
      <w:pPr>
        <w:jc w:val="center"/>
        <w:rPr>
          <w:rFonts w:ascii="Arial" w:hAnsi="Arial" w:cs="Arial"/>
          <w:b/>
          <w:sz w:val="20"/>
          <w:szCs w:val="20"/>
          <w:lang w:val="en-US"/>
        </w:rPr>
      </w:pPr>
      <w:r>
        <w:rPr>
          <w:rFonts w:ascii="Arial" w:hAnsi="Arial" w:cs="Arial"/>
          <w:b/>
          <w:sz w:val="20"/>
          <w:szCs w:val="20"/>
          <w:lang w:val="en-US"/>
        </w:rPr>
        <w:t xml:space="preserve">Fig.3. </w:t>
      </w:r>
      <w:r w:rsidR="001A3483" w:rsidRPr="00BB0BEB">
        <w:rPr>
          <w:rFonts w:ascii="Arial" w:hAnsi="Arial" w:cs="Arial"/>
          <w:b/>
          <w:sz w:val="20"/>
          <w:szCs w:val="20"/>
          <w:lang w:val="en-US"/>
        </w:rPr>
        <w:t>Example of daily variation of ROTI at maximum and descending phases</w:t>
      </w:r>
    </w:p>
    <w:p w14:paraId="5DD13411" w14:textId="77777777" w:rsidR="00DB0174" w:rsidRPr="00F8506B" w:rsidRDefault="00DB0174" w:rsidP="00DB0174">
      <w:pPr>
        <w:jc w:val="center"/>
        <w:rPr>
          <w:rFonts w:ascii="Arial" w:hAnsi="Arial" w:cs="Arial"/>
          <w:b/>
          <w:sz w:val="20"/>
          <w:szCs w:val="20"/>
          <w:lang w:val="en-US"/>
        </w:rPr>
      </w:pPr>
    </w:p>
    <w:p w14:paraId="3DC74645" w14:textId="77777777" w:rsidR="001A3483" w:rsidRPr="00E53C1E" w:rsidRDefault="001A3483" w:rsidP="00C60BA0">
      <w:pPr>
        <w:pStyle w:val="ListParagraph"/>
        <w:numPr>
          <w:ilvl w:val="2"/>
          <w:numId w:val="1"/>
        </w:numPr>
        <w:jc w:val="both"/>
        <w:rPr>
          <w:rFonts w:ascii="Arial" w:hAnsi="Arial" w:cs="Arial"/>
          <w:b/>
          <w:sz w:val="20"/>
          <w:szCs w:val="20"/>
          <w:u w:val="single"/>
          <w:lang w:val="en-US"/>
        </w:rPr>
      </w:pPr>
      <w:r w:rsidRPr="00E53C1E">
        <w:rPr>
          <w:rFonts w:ascii="Arial" w:hAnsi="Arial" w:cs="Arial"/>
          <w:b/>
          <w:sz w:val="20"/>
          <w:szCs w:val="20"/>
          <w:u w:val="single"/>
          <w:lang w:val="en-US"/>
        </w:rPr>
        <w:t>Seasonal variation of ROTI</w:t>
      </w:r>
    </w:p>
    <w:p w14:paraId="20DF9398" w14:textId="6AF61DED" w:rsidR="001A3483" w:rsidRPr="0014302F" w:rsidRDefault="001A3483" w:rsidP="00C60BA0">
      <w:pPr>
        <w:jc w:val="both"/>
        <w:rPr>
          <w:rFonts w:ascii="Arial" w:hAnsi="Arial" w:cs="Arial"/>
          <w:sz w:val="20"/>
          <w:szCs w:val="20"/>
          <w:lang w:val="en-US"/>
        </w:rPr>
      </w:pPr>
      <w:r w:rsidRPr="00BB0BEB">
        <w:rPr>
          <w:rFonts w:ascii="Arial" w:hAnsi="Arial" w:cs="Arial"/>
          <w:sz w:val="20"/>
          <w:szCs w:val="20"/>
          <w:lang w:val="en-US"/>
        </w:rPr>
        <w:t>The monthly variation of ROTI during periods of quiet activity shows a very remarkable seasonal effect. Indeed, Figure 4 shows a p</w:t>
      </w:r>
      <w:r w:rsidR="00F41DDD">
        <w:rPr>
          <w:rFonts w:ascii="Arial" w:hAnsi="Arial" w:cs="Arial"/>
          <w:sz w:val="20"/>
          <w:szCs w:val="20"/>
          <w:lang w:val="en-US"/>
        </w:rPr>
        <w:t xml:space="preserve">hase scintillation between 1900 </w:t>
      </w:r>
      <w:r w:rsidRPr="00BB0BEB">
        <w:rPr>
          <w:rFonts w:ascii="Arial" w:hAnsi="Arial" w:cs="Arial"/>
          <w:sz w:val="20"/>
          <w:szCs w:val="20"/>
          <w:lang w:val="en-US"/>
        </w:rPr>
        <w:t>L</w:t>
      </w:r>
      <w:r w:rsidR="00F41DDD">
        <w:rPr>
          <w:rFonts w:ascii="Arial" w:hAnsi="Arial" w:cs="Arial"/>
          <w:sz w:val="20"/>
          <w:szCs w:val="20"/>
          <w:lang w:val="en-US"/>
        </w:rPr>
        <w:t>T</w:t>
      </w:r>
      <w:r w:rsidRPr="00BB0BEB">
        <w:rPr>
          <w:rFonts w:ascii="Arial" w:hAnsi="Arial" w:cs="Arial"/>
          <w:sz w:val="20"/>
          <w:szCs w:val="20"/>
          <w:lang w:val="en-US"/>
        </w:rPr>
        <w:t xml:space="preserve"> and 2300</w:t>
      </w:r>
      <w:r w:rsidR="00F41DDD">
        <w:rPr>
          <w:rFonts w:ascii="Arial" w:hAnsi="Arial" w:cs="Arial"/>
          <w:sz w:val="20"/>
          <w:szCs w:val="20"/>
          <w:lang w:val="en-US"/>
        </w:rPr>
        <w:t>L</w:t>
      </w:r>
      <w:r w:rsidRPr="00BB0BEB">
        <w:rPr>
          <w:rFonts w:ascii="Arial" w:hAnsi="Arial" w:cs="Arial"/>
          <w:sz w:val="20"/>
          <w:szCs w:val="20"/>
          <w:lang w:val="en-US"/>
        </w:rPr>
        <w:t xml:space="preserve">T around the months of March and September at station BF01 in Ouagadougou from 2013 to 2016. </w:t>
      </w:r>
      <w:r w:rsidRPr="00F41DDD">
        <w:rPr>
          <w:rFonts w:ascii="Arial" w:hAnsi="Arial" w:cs="Arial"/>
          <w:sz w:val="20"/>
          <w:szCs w:val="20"/>
          <w:highlight w:val="yellow"/>
          <w:lang w:val="en-US"/>
        </w:rPr>
        <w:t xml:space="preserve">The </w:t>
      </w:r>
      <w:r w:rsidR="00F41DDD" w:rsidRPr="00F41DDD">
        <w:rPr>
          <w:rFonts w:ascii="Arial" w:hAnsi="Arial" w:cs="Arial"/>
          <w:sz w:val="20"/>
          <w:szCs w:val="20"/>
          <w:highlight w:val="yellow"/>
          <w:lang w:val="en-US"/>
        </w:rPr>
        <w:t xml:space="preserve">ROTI </w:t>
      </w:r>
      <w:r w:rsidRPr="00F41DDD">
        <w:rPr>
          <w:rFonts w:ascii="Arial" w:hAnsi="Arial" w:cs="Arial"/>
          <w:sz w:val="20"/>
          <w:szCs w:val="20"/>
          <w:highlight w:val="yellow"/>
          <w:lang w:val="en-US"/>
        </w:rPr>
        <w:t xml:space="preserve">values ​​ are higher </w:t>
      </w:r>
      <w:r w:rsidR="00F41DDD" w:rsidRPr="00F41DDD">
        <w:rPr>
          <w:rFonts w:ascii="Arial" w:hAnsi="Arial" w:cs="Arial"/>
          <w:sz w:val="20"/>
          <w:szCs w:val="20"/>
          <w:highlight w:val="yellow"/>
          <w:lang w:val="en-US"/>
        </w:rPr>
        <w:t>in</w:t>
      </w:r>
      <w:r w:rsidRPr="00F41DDD">
        <w:rPr>
          <w:rFonts w:ascii="Arial" w:hAnsi="Arial" w:cs="Arial"/>
          <w:sz w:val="20"/>
          <w:szCs w:val="20"/>
          <w:highlight w:val="yellow"/>
          <w:lang w:val="en-US"/>
        </w:rPr>
        <w:t xml:space="preserve"> March equinox</w:t>
      </w:r>
      <w:r w:rsidRPr="00BB0BEB">
        <w:rPr>
          <w:rFonts w:ascii="Arial" w:hAnsi="Arial" w:cs="Arial"/>
          <w:sz w:val="20"/>
          <w:szCs w:val="20"/>
          <w:lang w:val="en-US"/>
        </w:rPr>
        <w:t xml:space="preserve"> (between 0.6 and 1.5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 xml:space="preserve">/min) than in September (between 0.5 and 0.9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 xml:space="preserve">/min). Figure 5 also shows a phase scintillation at the </w:t>
      </w:r>
      <w:proofErr w:type="spellStart"/>
      <w:r w:rsidRPr="00BB0BEB">
        <w:rPr>
          <w:rFonts w:ascii="Arial" w:hAnsi="Arial" w:cs="Arial"/>
          <w:sz w:val="20"/>
          <w:szCs w:val="20"/>
          <w:lang w:val="en-US"/>
        </w:rPr>
        <w:t>Koudougou</w:t>
      </w:r>
      <w:proofErr w:type="spellEnd"/>
      <w:r w:rsidRPr="00BB0BEB">
        <w:rPr>
          <w:rFonts w:ascii="Arial" w:hAnsi="Arial" w:cs="Arial"/>
          <w:sz w:val="20"/>
          <w:szCs w:val="20"/>
          <w:lang w:val="en-US"/>
        </w:rPr>
        <w:t xml:space="preserve"> station between 1900TL and 2300TL around the equinox months from 2012 to 2015. Except for the year 2014, we note that the ROTI values ​​are higher at the March equinoxes (about 1.0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 xml:space="preserve">/min) than in September (about 0.8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 xml:space="preserve">/min). </w:t>
      </w:r>
      <w:r w:rsidRPr="0014302F">
        <w:rPr>
          <w:rFonts w:ascii="Arial" w:hAnsi="Arial" w:cs="Arial"/>
          <w:sz w:val="20"/>
          <w:szCs w:val="20"/>
          <w:lang w:val="en-US"/>
        </w:rPr>
        <w:t xml:space="preserve">Figure 6 also provides an illustration of daily variations in ROTI during the spring and autumn equinoxes. An equinoctial asymmetry is clearly observed. In fact, at both stations, the maximum ROTI values ​​reach approximately 1.5 </w:t>
      </w:r>
      <w:proofErr w:type="spellStart"/>
      <w:r w:rsidRPr="0014302F">
        <w:rPr>
          <w:rFonts w:ascii="Arial" w:hAnsi="Arial" w:cs="Arial"/>
          <w:sz w:val="20"/>
          <w:szCs w:val="20"/>
          <w:lang w:val="en-US"/>
        </w:rPr>
        <w:t>tecu</w:t>
      </w:r>
      <w:proofErr w:type="spellEnd"/>
      <w:r w:rsidRPr="0014302F">
        <w:rPr>
          <w:rFonts w:ascii="Arial" w:hAnsi="Arial" w:cs="Arial"/>
          <w:sz w:val="20"/>
          <w:szCs w:val="20"/>
          <w:lang w:val="en-US"/>
        </w:rPr>
        <w:t xml:space="preserve">/min in spring compared to a maximum value of approximately 1.0 </w:t>
      </w:r>
      <w:proofErr w:type="spellStart"/>
      <w:r w:rsidRPr="0014302F">
        <w:rPr>
          <w:rFonts w:ascii="Arial" w:hAnsi="Arial" w:cs="Arial"/>
          <w:sz w:val="20"/>
          <w:szCs w:val="20"/>
          <w:lang w:val="en-US"/>
        </w:rPr>
        <w:t>tecu</w:t>
      </w:r>
      <w:proofErr w:type="spellEnd"/>
      <w:r w:rsidRPr="0014302F">
        <w:rPr>
          <w:rFonts w:ascii="Arial" w:hAnsi="Arial" w:cs="Arial"/>
          <w:sz w:val="20"/>
          <w:szCs w:val="20"/>
          <w:lang w:val="en-US"/>
        </w:rPr>
        <w:t>/min in autumn.</w:t>
      </w:r>
    </w:p>
    <w:p w14:paraId="3C2DEF7B" w14:textId="77777777" w:rsidR="001A3483" w:rsidRPr="00BB0BEB" w:rsidRDefault="001A3483" w:rsidP="00C60BA0">
      <w:pPr>
        <w:jc w:val="both"/>
        <w:rPr>
          <w:rFonts w:ascii="Arial" w:hAnsi="Arial" w:cs="Arial"/>
          <w:sz w:val="20"/>
          <w:szCs w:val="20"/>
          <w:lang w:val="en-US"/>
        </w:rPr>
      </w:pPr>
      <w:r w:rsidRPr="00BB0BEB">
        <w:rPr>
          <w:rFonts w:ascii="Arial" w:hAnsi="Arial" w:cs="Arial"/>
          <w:sz w:val="20"/>
          <w:szCs w:val="20"/>
          <w:lang w:val="en-US"/>
        </w:rPr>
        <w:t xml:space="preserve">Zhang et al. (2021) showed that the intensity and frequency of scintillations in spring and autumn are higher and more frequent than those in summer and winter. According to </w:t>
      </w:r>
      <w:proofErr w:type="spellStart"/>
      <w:r w:rsidRPr="00BB0BEB">
        <w:rPr>
          <w:rFonts w:ascii="Arial" w:hAnsi="Arial" w:cs="Arial"/>
          <w:sz w:val="20"/>
          <w:szCs w:val="20"/>
          <w:lang w:val="en-US"/>
        </w:rPr>
        <w:t>Kahindo</w:t>
      </w:r>
      <w:proofErr w:type="spellEnd"/>
      <w:r w:rsidRPr="00BB0BEB">
        <w:rPr>
          <w:rFonts w:ascii="Arial" w:hAnsi="Arial" w:cs="Arial"/>
          <w:sz w:val="20"/>
          <w:szCs w:val="20"/>
          <w:lang w:val="en-US"/>
        </w:rPr>
        <w:t xml:space="preserve"> </w:t>
      </w:r>
      <w:proofErr w:type="spellStart"/>
      <w:r w:rsidRPr="00BB0BEB">
        <w:rPr>
          <w:rFonts w:ascii="Arial" w:hAnsi="Arial" w:cs="Arial"/>
          <w:sz w:val="20"/>
          <w:szCs w:val="20"/>
          <w:lang w:val="en-US"/>
        </w:rPr>
        <w:t>Murumba</w:t>
      </w:r>
      <w:proofErr w:type="spellEnd"/>
      <w:r w:rsidRPr="00BB0BEB">
        <w:rPr>
          <w:rFonts w:ascii="Arial" w:hAnsi="Arial" w:cs="Arial"/>
          <w:sz w:val="20"/>
          <w:szCs w:val="20"/>
          <w:lang w:val="en-US"/>
        </w:rPr>
        <w:t xml:space="preserve"> et al. (2017), scintillation exhibits a strong seasonal effect, manifested by intense scintillation values ​​in the equinox months compared to the solstice periods. This is attributable to seasonal variations in ionospheric and solar conditions that influence the formation of irregularities responsible for scintillation. At the equinoxes, the angle of inclination of solar radiation to the equator is maximum, leading to significant ionization of the equatorial ionosphere. This increase in ionization promotes the formation of irregularities in the electron density, responsible for scintillations (</w:t>
      </w:r>
      <w:proofErr w:type="spellStart"/>
      <w:r w:rsidRPr="00BB0BEB">
        <w:rPr>
          <w:rFonts w:ascii="Arial" w:hAnsi="Arial" w:cs="Arial"/>
          <w:sz w:val="20"/>
          <w:szCs w:val="20"/>
          <w:lang w:val="en-US"/>
        </w:rPr>
        <w:t>Galmiche</w:t>
      </w:r>
      <w:proofErr w:type="spellEnd"/>
      <w:r w:rsidRPr="00BB0BEB">
        <w:rPr>
          <w:rFonts w:ascii="Arial" w:hAnsi="Arial" w:cs="Arial"/>
          <w:sz w:val="20"/>
          <w:szCs w:val="20"/>
          <w:lang w:val="en-US"/>
        </w:rPr>
        <w:t>, 2019).</w:t>
      </w:r>
    </w:p>
    <w:p w14:paraId="4949238A" w14:textId="77777777" w:rsidR="001A3483" w:rsidRPr="00BB0BEB" w:rsidRDefault="001A3483" w:rsidP="00C60BA0">
      <w:pPr>
        <w:jc w:val="both"/>
        <w:rPr>
          <w:rFonts w:ascii="Arial" w:hAnsi="Arial" w:cs="Arial"/>
          <w:sz w:val="20"/>
          <w:szCs w:val="20"/>
          <w:lang w:val="en-US"/>
        </w:rPr>
      </w:pPr>
      <w:r w:rsidRPr="00BB0BEB">
        <w:rPr>
          <w:rFonts w:ascii="Arial" w:hAnsi="Arial" w:cs="Arial"/>
          <w:sz w:val="20"/>
          <w:szCs w:val="20"/>
          <w:lang w:val="en-US"/>
        </w:rPr>
        <w:t xml:space="preserve">Phase scintillation at the </w:t>
      </w:r>
      <w:proofErr w:type="spellStart"/>
      <w:r w:rsidRPr="00BB0BEB">
        <w:rPr>
          <w:rFonts w:ascii="Arial" w:hAnsi="Arial" w:cs="Arial"/>
          <w:sz w:val="20"/>
          <w:szCs w:val="20"/>
          <w:lang w:val="en-US"/>
        </w:rPr>
        <w:t>Koudougou</w:t>
      </w:r>
      <w:proofErr w:type="spellEnd"/>
      <w:r w:rsidRPr="00BB0BEB">
        <w:rPr>
          <w:rFonts w:ascii="Arial" w:hAnsi="Arial" w:cs="Arial"/>
          <w:sz w:val="20"/>
          <w:szCs w:val="20"/>
          <w:lang w:val="en-US"/>
        </w:rPr>
        <w:t xml:space="preserve"> and BF01 stations in Ouagadougou exhibits equinox asymmetry. Maximum ROTI values ​​are recorded in spring compared to autumn. </w:t>
      </w:r>
      <w:proofErr w:type="spellStart"/>
      <w:r w:rsidRPr="00BB0BEB">
        <w:rPr>
          <w:rFonts w:ascii="Arial" w:hAnsi="Arial" w:cs="Arial"/>
          <w:sz w:val="20"/>
          <w:szCs w:val="20"/>
          <w:lang w:val="en-US"/>
        </w:rPr>
        <w:t>Ackah</w:t>
      </w:r>
      <w:proofErr w:type="spellEnd"/>
      <w:r w:rsidRPr="00BB0BEB">
        <w:rPr>
          <w:rFonts w:ascii="Arial" w:hAnsi="Arial" w:cs="Arial"/>
          <w:sz w:val="20"/>
          <w:szCs w:val="20"/>
          <w:lang w:val="en-US"/>
        </w:rPr>
        <w:t xml:space="preserve"> et al. (2011) show that scintillation occurrence is greater at equinoxes than solstices, with a higher occurrence at the March equinox. </w:t>
      </w:r>
      <w:r w:rsidRPr="0014302F">
        <w:rPr>
          <w:rFonts w:ascii="Arial" w:hAnsi="Arial" w:cs="Arial"/>
          <w:sz w:val="20"/>
          <w:szCs w:val="20"/>
          <w:highlight w:val="yellow"/>
          <w:lang w:val="en-US"/>
        </w:rPr>
        <w:t xml:space="preserve">The difference in scintillation intensity between the spring and autumn equinoxes could be related to asymmetries in ionospheric dynamics. For </w:t>
      </w:r>
      <w:proofErr w:type="spellStart"/>
      <w:r w:rsidRPr="0014302F">
        <w:rPr>
          <w:rFonts w:ascii="Arial" w:hAnsi="Arial" w:cs="Arial"/>
          <w:sz w:val="20"/>
          <w:szCs w:val="20"/>
          <w:highlight w:val="yellow"/>
          <w:lang w:val="en-US"/>
        </w:rPr>
        <w:t>Azzouzi</w:t>
      </w:r>
      <w:proofErr w:type="spellEnd"/>
      <w:r w:rsidRPr="0014302F">
        <w:rPr>
          <w:rFonts w:ascii="Arial" w:hAnsi="Arial" w:cs="Arial"/>
          <w:sz w:val="20"/>
          <w:szCs w:val="20"/>
          <w:highlight w:val="yellow"/>
          <w:lang w:val="en-US"/>
        </w:rPr>
        <w:t xml:space="preserve"> et al. (2016), factors such as variations in the Earth's magnetic field and high-altitude neutral winds can influence the distribution and intensity of plasma irregularities, leading to more pronounced scintillations in spring</w:t>
      </w:r>
      <w:r w:rsidRPr="00BB0BEB">
        <w:rPr>
          <w:rFonts w:ascii="Arial" w:hAnsi="Arial" w:cs="Arial"/>
          <w:sz w:val="20"/>
          <w:szCs w:val="20"/>
          <w:lang w:val="en-US"/>
        </w:rPr>
        <w:t>. Abdu et al. (2006) suggested that a cross-equatorial wind could suppress the Rayleigh-Taylor instability and cause equinoctial asymmetry in scintillation occurrence.</w:t>
      </w:r>
    </w:p>
    <w:tbl>
      <w:tblPr>
        <w:tblStyle w:val="TableGrid"/>
        <w:tblW w:w="7721" w:type="dxa"/>
        <w:jc w:val="center"/>
        <w:tblLook w:val="04A0" w:firstRow="1" w:lastRow="0" w:firstColumn="1" w:lastColumn="0" w:noHBand="0" w:noVBand="1"/>
      </w:tblPr>
      <w:tblGrid>
        <w:gridCol w:w="3847"/>
        <w:gridCol w:w="3876"/>
      </w:tblGrid>
      <w:tr w:rsidR="001A3483" w:rsidRPr="00BB0BEB" w14:paraId="3A72FAEA" w14:textId="77777777" w:rsidTr="005828BA">
        <w:trPr>
          <w:jc w:val="center"/>
        </w:trPr>
        <w:tc>
          <w:tcPr>
            <w:tcW w:w="3847" w:type="dxa"/>
          </w:tcPr>
          <w:p w14:paraId="15E54784" w14:textId="77777777" w:rsidR="001A3483" w:rsidRPr="00BB0BEB" w:rsidRDefault="001A3483" w:rsidP="00C60BA0">
            <w:pPr>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7F1C2E3B" wp14:editId="772695CD">
                  <wp:extent cx="2305878" cy="1769110"/>
                  <wp:effectExtent l="0" t="0" r="0" b="2540"/>
                  <wp:docPr id="140687911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7625" cy="1847172"/>
                          </a:xfrm>
                          <a:prstGeom prst="rect">
                            <a:avLst/>
                          </a:prstGeom>
                          <a:noFill/>
                          <a:ln>
                            <a:noFill/>
                          </a:ln>
                        </pic:spPr>
                      </pic:pic>
                    </a:graphicData>
                  </a:graphic>
                </wp:inline>
              </w:drawing>
            </w:r>
          </w:p>
        </w:tc>
        <w:tc>
          <w:tcPr>
            <w:tcW w:w="3874" w:type="dxa"/>
          </w:tcPr>
          <w:p w14:paraId="17F55963" w14:textId="77777777" w:rsidR="001A3483" w:rsidRPr="00BB0BEB" w:rsidRDefault="001A3483" w:rsidP="00C60BA0">
            <w:pPr>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1E4DC9CB" wp14:editId="29432F03">
                  <wp:extent cx="2274073" cy="1768855"/>
                  <wp:effectExtent l="0" t="0" r="0" b="3175"/>
                  <wp:docPr id="198600354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7787" cy="1826192"/>
                          </a:xfrm>
                          <a:prstGeom prst="rect">
                            <a:avLst/>
                          </a:prstGeom>
                          <a:noFill/>
                          <a:ln>
                            <a:noFill/>
                          </a:ln>
                        </pic:spPr>
                      </pic:pic>
                    </a:graphicData>
                  </a:graphic>
                </wp:inline>
              </w:drawing>
            </w:r>
          </w:p>
        </w:tc>
      </w:tr>
      <w:tr w:rsidR="001A3483" w:rsidRPr="00BB0BEB" w14:paraId="409DE8DC" w14:textId="77777777" w:rsidTr="005828BA">
        <w:trPr>
          <w:jc w:val="center"/>
        </w:trPr>
        <w:tc>
          <w:tcPr>
            <w:tcW w:w="3847" w:type="dxa"/>
          </w:tcPr>
          <w:p w14:paraId="6810B594" w14:textId="77777777" w:rsidR="001A3483" w:rsidRPr="00BB0BEB" w:rsidRDefault="001A3483" w:rsidP="00C60BA0">
            <w:pPr>
              <w:spacing w:line="360" w:lineRule="auto"/>
              <w:jc w:val="both"/>
              <w:rPr>
                <w:rFonts w:ascii="Arial" w:hAnsi="Arial" w:cs="Arial"/>
                <w:sz w:val="20"/>
                <w:szCs w:val="20"/>
              </w:rPr>
            </w:pPr>
            <w:r w:rsidRPr="00BB0BEB">
              <w:rPr>
                <w:rFonts w:ascii="Arial" w:hAnsi="Arial" w:cs="Arial"/>
                <w:noProof/>
                <w:sz w:val="20"/>
                <w:szCs w:val="20"/>
                <w:lang w:eastAsia="fr-FR"/>
              </w:rPr>
              <w:lastRenderedPageBreak/>
              <w:drawing>
                <wp:inline distT="0" distB="0" distL="0" distR="0" wp14:anchorId="116F5DC2" wp14:editId="786CA2E1">
                  <wp:extent cx="2297430" cy="1928191"/>
                  <wp:effectExtent l="0" t="0" r="7620" b="0"/>
                  <wp:docPr id="15462071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5299" name="Image 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0156" cy="1947264"/>
                          </a:xfrm>
                          <a:prstGeom prst="rect">
                            <a:avLst/>
                          </a:prstGeom>
                          <a:noFill/>
                          <a:ln>
                            <a:noFill/>
                          </a:ln>
                        </pic:spPr>
                      </pic:pic>
                    </a:graphicData>
                  </a:graphic>
                </wp:inline>
              </w:drawing>
            </w:r>
          </w:p>
        </w:tc>
        <w:tc>
          <w:tcPr>
            <w:tcW w:w="3874" w:type="dxa"/>
          </w:tcPr>
          <w:p w14:paraId="6412CF0C" w14:textId="77777777" w:rsidR="001A3483" w:rsidRPr="00BB0BEB" w:rsidRDefault="001A3483" w:rsidP="00C60BA0">
            <w:pPr>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7AB195E9" wp14:editId="09D0F55F">
                  <wp:extent cx="2285482" cy="1912288"/>
                  <wp:effectExtent l="0" t="0" r="635" b="0"/>
                  <wp:docPr id="33255569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9220" cy="1982352"/>
                          </a:xfrm>
                          <a:prstGeom prst="rect">
                            <a:avLst/>
                          </a:prstGeom>
                          <a:noFill/>
                          <a:ln>
                            <a:noFill/>
                          </a:ln>
                        </pic:spPr>
                      </pic:pic>
                    </a:graphicData>
                  </a:graphic>
                </wp:inline>
              </w:drawing>
            </w:r>
          </w:p>
        </w:tc>
      </w:tr>
      <w:tr w:rsidR="001A3483" w:rsidRPr="00BB0BEB" w14:paraId="0548CBFA" w14:textId="77777777" w:rsidTr="005828BA">
        <w:trPr>
          <w:jc w:val="center"/>
        </w:trPr>
        <w:tc>
          <w:tcPr>
            <w:tcW w:w="3847" w:type="dxa"/>
          </w:tcPr>
          <w:p w14:paraId="04FB102D" w14:textId="77777777" w:rsidR="001A3483" w:rsidRPr="00BB0BEB" w:rsidRDefault="001A3483" w:rsidP="00C60BA0">
            <w:pPr>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3061FC61" wp14:editId="3A1BD7ED">
                  <wp:extent cx="2253615" cy="1932167"/>
                  <wp:effectExtent l="0" t="0" r="0" b="0"/>
                  <wp:docPr id="10265336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8048" cy="1995983"/>
                          </a:xfrm>
                          <a:prstGeom prst="rect">
                            <a:avLst/>
                          </a:prstGeom>
                          <a:noFill/>
                          <a:ln>
                            <a:noFill/>
                          </a:ln>
                        </pic:spPr>
                      </pic:pic>
                    </a:graphicData>
                  </a:graphic>
                </wp:inline>
              </w:drawing>
            </w:r>
          </w:p>
        </w:tc>
        <w:tc>
          <w:tcPr>
            <w:tcW w:w="3874" w:type="dxa"/>
          </w:tcPr>
          <w:p w14:paraId="2EA83011" w14:textId="77777777" w:rsidR="001A3483" w:rsidRPr="00BB0BEB" w:rsidRDefault="001A3483" w:rsidP="00C60BA0">
            <w:pPr>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59376BE6" wp14:editId="3E33375D">
                  <wp:extent cx="2321123" cy="1931670"/>
                  <wp:effectExtent l="0" t="0" r="3175" b="0"/>
                  <wp:docPr id="106838260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8382" cy="2020933"/>
                          </a:xfrm>
                          <a:prstGeom prst="rect">
                            <a:avLst/>
                          </a:prstGeom>
                          <a:noFill/>
                          <a:ln>
                            <a:noFill/>
                          </a:ln>
                        </pic:spPr>
                      </pic:pic>
                    </a:graphicData>
                  </a:graphic>
                </wp:inline>
              </w:drawing>
            </w:r>
          </w:p>
        </w:tc>
      </w:tr>
    </w:tbl>
    <w:p w14:paraId="54C5FA74" w14:textId="77777777" w:rsidR="001A3483" w:rsidRPr="00BB0BEB" w:rsidRDefault="001A3483" w:rsidP="00C60BA0">
      <w:pPr>
        <w:jc w:val="both"/>
        <w:rPr>
          <w:rFonts w:ascii="Arial" w:hAnsi="Arial" w:cs="Arial"/>
          <w:sz w:val="20"/>
          <w:szCs w:val="20"/>
          <w:lang w:val="en-US"/>
        </w:rPr>
      </w:pPr>
    </w:p>
    <w:p w14:paraId="4A261CAA" w14:textId="77777777" w:rsidR="001A3483" w:rsidRPr="00BB0BEB" w:rsidRDefault="008A3498" w:rsidP="008A3498">
      <w:pPr>
        <w:jc w:val="center"/>
        <w:rPr>
          <w:rFonts w:ascii="Arial" w:hAnsi="Arial" w:cs="Arial"/>
          <w:b/>
          <w:sz w:val="20"/>
          <w:szCs w:val="20"/>
          <w:lang w:val="en-US"/>
        </w:rPr>
      </w:pPr>
      <w:r>
        <w:rPr>
          <w:rFonts w:ascii="Arial" w:hAnsi="Arial" w:cs="Arial"/>
          <w:b/>
          <w:sz w:val="20"/>
          <w:szCs w:val="20"/>
          <w:lang w:val="en-US"/>
        </w:rPr>
        <w:t xml:space="preserve">Fig. 4. </w:t>
      </w:r>
      <w:r w:rsidR="001A3483" w:rsidRPr="00BB0BEB">
        <w:rPr>
          <w:rFonts w:ascii="Arial" w:hAnsi="Arial" w:cs="Arial"/>
          <w:b/>
          <w:sz w:val="20"/>
          <w:szCs w:val="20"/>
          <w:lang w:val="en-US"/>
        </w:rPr>
        <w:t xml:space="preserve"> Monthly variations of the ROTI index at GPS station BF01 from 2013 to 2018</w:t>
      </w:r>
    </w:p>
    <w:p w14:paraId="33268E82" w14:textId="77777777" w:rsidR="001A3483" w:rsidRPr="00BB0BEB" w:rsidRDefault="001A3483" w:rsidP="00C60BA0">
      <w:pPr>
        <w:jc w:val="both"/>
        <w:rPr>
          <w:rFonts w:ascii="Arial" w:hAnsi="Arial" w:cs="Arial"/>
          <w:b/>
          <w:sz w:val="20"/>
          <w:szCs w:val="20"/>
          <w:lang w:val="en-US"/>
        </w:rPr>
      </w:pPr>
    </w:p>
    <w:tbl>
      <w:tblPr>
        <w:tblStyle w:val="TableGrid"/>
        <w:tblW w:w="0" w:type="auto"/>
        <w:jc w:val="center"/>
        <w:tblLook w:val="04A0" w:firstRow="1" w:lastRow="0" w:firstColumn="1" w:lastColumn="0" w:noHBand="0" w:noVBand="1"/>
      </w:tblPr>
      <w:tblGrid>
        <w:gridCol w:w="3996"/>
        <w:gridCol w:w="4084"/>
      </w:tblGrid>
      <w:tr w:rsidR="001A3483" w:rsidRPr="008A3498" w14:paraId="510A99F0" w14:textId="77777777" w:rsidTr="005828BA">
        <w:trPr>
          <w:jc w:val="center"/>
        </w:trPr>
        <w:tc>
          <w:tcPr>
            <w:tcW w:w="3996" w:type="dxa"/>
          </w:tcPr>
          <w:p w14:paraId="6935E884" w14:textId="77777777" w:rsidR="001A3483" w:rsidRPr="008A3498" w:rsidRDefault="001A3483" w:rsidP="00C60BA0">
            <w:pPr>
              <w:spacing w:line="360" w:lineRule="auto"/>
              <w:ind w:right="-10"/>
              <w:jc w:val="both"/>
              <w:rPr>
                <w:rFonts w:ascii="Arial" w:hAnsi="Arial" w:cs="Arial"/>
                <w:sz w:val="20"/>
                <w:szCs w:val="20"/>
                <w:lang w:val="en-US"/>
              </w:rPr>
            </w:pPr>
            <w:r w:rsidRPr="00BB0BEB">
              <w:rPr>
                <w:rFonts w:ascii="Arial" w:hAnsi="Arial" w:cs="Arial"/>
                <w:noProof/>
                <w:sz w:val="20"/>
                <w:szCs w:val="20"/>
                <w:lang w:eastAsia="fr-FR"/>
              </w:rPr>
              <w:drawing>
                <wp:inline distT="0" distB="0" distL="0" distR="0" wp14:anchorId="4DDFB856" wp14:editId="1AAF9502">
                  <wp:extent cx="2313830" cy="1498476"/>
                  <wp:effectExtent l="0" t="0" r="0" b="6985"/>
                  <wp:docPr id="17798411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6545" cy="1564996"/>
                          </a:xfrm>
                          <a:prstGeom prst="rect">
                            <a:avLst/>
                          </a:prstGeom>
                          <a:noFill/>
                          <a:ln>
                            <a:noFill/>
                          </a:ln>
                        </pic:spPr>
                      </pic:pic>
                    </a:graphicData>
                  </a:graphic>
                </wp:inline>
              </w:drawing>
            </w:r>
          </w:p>
        </w:tc>
        <w:tc>
          <w:tcPr>
            <w:tcW w:w="4084" w:type="dxa"/>
          </w:tcPr>
          <w:p w14:paraId="5426013E" w14:textId="77777777" w:rsidR="001A3483" w:rsidRPr="008A3498" w:rsidRDefault="001A3483" w:rsidP="00C60BA0">
            <w:pPr>
              <w:spacing w:line="360" w:lineRule="auto"/>
              <w:ind w:right="-10"/>
              <w:jc w:val="both"/>
              <w:rPr>
                <w:rFonts w:ascii="Arial" w:hAnsi="Arial" w:cs="Arial"/>
                <w:sz w:val="20"/>
                <w:szCs w:val="20"/>
                <w:lang w:val="en-US"/>
              </w:rPr>
            </w:pPr>
            <w:r w:rsidRPr="00BB0BEB">
              <w:rPr>
                <w:rFonts w:ascii="Arial" w:hAnsi="Arial" w:cs="Arial"/>
                <w:noProof/>
                <w:sz w:val="20"/>
                <w:szCs w:val="20"/>
                <w:lang w:eastAsia="fr-FR"/>
              </w:rPr>
              <w:drawing>
                <wp:inline distT="0" distB="0" distL="0" distR="0" wp14:anchorId="5CF4386E" wp14:editId="2025B179">
                  <wp:extent cx="2321781" cy="1530350"/>
                  <wp:effectExtent l="0" t="0" r="2540" b="0"/>
                  <wp:docPr id="14913707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0886" name="Image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7896" cy="1573928"/>
                          </a:xfrm>
                          <a:prstGeom prst="rect">
                            <a:avLst/>
                          </a:prstGeom>
                          <a:noFill/>
                          <a:ln>
                            <a:noFill/>
                          </a:ln>
                        </pic:spPr>
                      </pic:pic>
                    </a:graphicData>
                  </a:graphic>
                </wp:inline>
              </w:drawing>
            </w:r>
          </w:p>
        </w:tc>
      </w:tr>
      <w:tr w:rsidR="001A3483" w:rsidRPr="008A3498" w14:paraId="55E02CEC" w14:textId="77777777" w:rsidTr="005828BA">
        <w:trPr>
          <w:jc w:val="center"/>
        </w:trPr>
        <w:tc>
          <w:tcPr>
            <w:tcW w:w="3996" w:type="dxa"/>
          </w:tcPr>
          <w:p w14:paraId="1EC0740A" w14:textId="77777777" w:rsidR="001A3483" w:rsidRPr="008A3498" w:rsidRDefault="001A3483" w:rsidP="00C60BA0">
            <w:pPr>
              <w:spacing w:line="360" w:lineRule="auto"/>
              <w:ind w:right="-10"/>
              <w:jc w:val="both"/>
              <w:rPr>
                <w:rFonts w:ascii="Arial" w:hAnsi="Arial" w:cs="Arial"/>
                <w:sz w:val="20"/>
                <w:szCs w:val="20"/>
                <w:lang w:val="en-US"/>
              </w:rPr>
            </w:pPr>
            <w:r w:rsidRPr="00BB0BEB">
              <w:rPr>
                <w:rFonts w:ascii="Arial" w:hAnsi="Arial" w:cs="Arial"/>
                <w:noProof/>
                <w:sz w:val="20"/>
                <w:szCs w:val="20"/>
                <w:lang w:eastAsia="fr-FR"/>
              </w:rPr>
              <w:drawing>
                <wp:inline distT="0" distB="0" distL="0" distR="0" wp14:anchorId="61163CCE" wp14:editId="2D27A07A">
                  <wp:extent cx="2397125" cy="1383527"/>
                  <wp:effectExtent l="0" t="0" r="3175" b="7620"/>
                  <wp:docPr id="8613339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3954" cy="1439413"/>
                          </a:xfrm>
                          <a:prstGeom prst="rect">
                            <a:avLst/>
                          </a:prstGeom>
                          <a:noFill/>
                          <a:ln>
                            <a:noFill/>
                          </a:ln>
                        </pic:spPr>
                      </pic:pic>
                    </a:graphicData>
                  </a:graphic>
                </wp:inline>
              </w:drawing>
            </w:r>
          </w:p>
        </w:tc>
        <w:tc>
          <w:tcPr>
            <w:tcW w:w="4084" w:type="dxa"/>
          </w:tcPr>
          <w:p w14:paraId="58307408" w14:textId="77777777" w:rsidR="001A3483" w:rsidRPr="008A3498" w:rsidRDefault="001A3483" w:rsidP="00C60BA0">
            <w:pPr>
              <w:spacing w:line="360" w:lineRule="auto"/>
              <w:ind w:right="-10"/>
              <w:jc w:val="both"/>
              <w:rPr>
                <w:rFonts w:ascii="Arial" w:hAnsi="Arial" w:cs="Arial"/>
                <w:sz w:val="20"/>
                <w:szCs w:val="20"/>
                <w:lang w:val="en-US"/>
              </w:rPr>
            </w:pPr>
            <w:r w:rsidRPr="00BB0BEB">
              <w:rPr>
                <w:rFonts w:ascii="Arial" w:hAnsi="Arial" w:cs="Arial"/>
                <w:noProof/>
                <w:sz w:val="20"/>
                <w:szCs w:val="20"/>
                <w:lang w:eastAsia="fr-FR"/>
              </w:rPr>
              <w:drawing>
                <wp:inline distT="0" distB="0" distL="0" distR="0" wp14:anchorId="6444228A" wp14:editId="24EDE725">
                  <wp:extent cx="2441050" cy="1414780"/>
                  <wp:effectExtent l="0" t="0" r="0" b="0"/>
                  <wp:docPr id="3253536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9650" cy="1454539"/>
                          </a:xfrm>
                          <a:prstGeom prst="rect">
                            <a:avLst/>
                          </a:prstGeom>
                          <a:noFill/>
                          <a:ln>
                            <a:noFill/>
                          </a:ln>
                        </pic:spPr>
                      </pic:pic>
                    </a:graphicData>
                  </a:graphic>
                </wp:inline>
              </w:drawing>
            </w:r>
          </w:p>
        </w:tc>
      </w:tr>
    </w:tbl>
    <w:p w14:paraId="142847A8" w14:textId="77777777" w:rsidR="004C7F50" w:rsidRDefault="004C7F50" w:rsidP="00C60BA0">
      <w:pPr>
        <w:jc w:val="both"/>
        <w:rPr>
          <w:rFonts w:ascii="Arial" w:hAnsi="Arial" w:cs="Arial"/>
          <w:b/>
          <w:sz w:val="20"/>
          <w:szCs w:val="20"/>
          <w:lang w:val="en-US"/>
        </w:rPr>
      </w:pPr>
    </w:p>
    <w:p w14:paraId="6851BD6A" w14:textId="77777777" w:rsidR="001A3483" w:rsidRDefault="008A3498" w:rsidP="004C7F50">
      <w:pPr>
        <w:jc w:val="center"/>
        <w:rPr>
          <w:rFonts w:ascii="Arial" w:hAnsi="Arial" w:cs="Arial"/>
          <w:b/>
          <w:sz w:val="20"/>
          <w:szCs w:val="20"/>
          <w:lang w:val="en-US"/>
        </w:rPr>
      </w:pPr>
      <w:r>
        <w:rPr>
          <w:rFonts w:ascii="Arial" w:hAnsi="Arial" w:cs="Arial"/>
          <w:b/>
          <w:sz w:val="20"/>
          <w:szCs w:val="20"/>
          <w:lang w:val="en-US"/>
        </w:rPr>
        <w:t xml:space="preserve">Fig. 5. </w:t>
      </w:r>
      <w:r w:rsidR="00D33925" w:rsidRPr="00BB0BEB">
        <w:rPr>
          <w:rFonts w:ascii="Arial" w:hAnsi="Arial" w:cs="Arial"/>
          <w:b/>
          <w:sz w:val="20"/>
          <w:szCs w:val="20"/>
          <w:lang w:val="en-US"/>
        </w:rPr>
        <w:t xml:space="preserve">Monthly variation of the ROTI index at the </w:t>
      </w:r>
      <w:proofErr w:type="spellStart"/>
      <w:r w:rsidR="00D33925" w:rsidRPr="00BB0BEB">
        <w:rPr>
          <w:rFonts w:ascii="Arial" w:hAnsi="Arial" w:cs="Arial"/>
          <w:b/>
          <w:sz w:val="20"/>
          <w:szCs w:val="20"/>
          <w:lang w:val="en-US"/>
        </w:rPr>
        <w:t>Koudougou</w:t>
      </w:r>
      <w:proofErr w:type="spellEnd"/>
      <w:r w:rsidR="00D33925" w:rsidRPr="00BB0BEB">
        <w:rPr>
          <w:rFonts w:ascii="Arial" w:hAnsi="Arial" w:cs="Arial"/>
          <w:b/>
          <w:sz w:val="20"/>
          <w:szCs w:val="20"/>
          <w:lang w:val="en-US"/>
        </w:rPr>
        <w:t xml:space="preserve"> GPS station from 2012 to 2015</w:t>
      </w:r>
    </w:p>
    <w:p w14:paraId="22DC6CFE" w14:textId="77777777" w:rsidR="004C7F50" w:rsidRPr="00BB0BEB" w:rsidRDefault="004C7F50" w:rsidP="00C60BA0">
      <w:pPr>
        <w:jc w:val="both"/>
        <w:rPr>
          <w:rFonts w:ascii="Arial" w:hAnsi="Arial" w:cs="Arial"/>
          <w:b/>
          <w:sz w:val="20"/>
          <w:szCs w:val="20"/>
          <w:lang w:val="en-US"/>
        </w:rPr>
      </w:pPr>
    </w:p>
    <w:tbl>
      <w:tblPr>
        <w:tblStyle w:val="TableGrid"/>
        <w:tblW w:w="8006" w:type="dxa"/>
        <w:jc w:val="center"/>
        <w:tblLook w:val="04A0" w:firstRow="1" w:lastRow="0" w:firstColumn="1" w:lastColumn="0" w:noHBand="0" w:noVBand="1"/>
      </w:tblPr>
      <w:tblGrid>
        <w:gridCol w:w="977"/>
        <w:gridCol w:w="3558"/>
        <w:gridCol w:w="3471"/>
      </w:tblGrid>
      <w:tr w:rsidR="00D33925" w:rsidRPr="00BB0BEB" w14:paraId="16C28ADE" w14:textId="77777777" w:rsidTr="005828BA">
        <w:trPr>
          <w:cantSplit/>
          <w:trHeight w:val="2531"/>
          <w:jc w:val="center"/>
        </w:trPr>
        <w:tc>
          <w:tcPr>
            <w:tcW w:w="967" w:type="dxa"/>
            <w:textDirection w:val="btLr"/>
          </w:tcPr>
          <w:p w14:paraId="7D4E0BCF" w14:textId="77777777" w:rsidR="00D33925" w:rsidRPr="004D1F80" w:rsidRDefault="004C7F50" w:rsidP="00461EF7">
            <w:pPr>
              <w:pStyle w:val="Stylefigure"/>
              <w:spacing w:line="360" w:lineRule="auto"/>
              <w:ind w:left="113" w:right="113"/>
              <w:jc w:val="center"/>
              <w:rPr>
                <w:rFonts w:ascii="Arial" w:hAnsi="Arial" w:cs="Arial"/>
                <w:sz w:val="20"/>
                <w:szCs w:val="20"/>
              </w:rPr>
            </w:pPr>
            <w:r w:rsidRPr="004D1F80">
              <w:rPr>
                <w:rFonts w:ascii="Arial" w:hAnsi="Arial" w:cs="Arial"/>
                <w:sz w:val="20"/>
                <w:szCs w:val="20"/>
                <w:lang w:val="en-US"/>
              </w:rPr>
              <w:lastRenderedPageBreak/>
              <w:t xml:space="preserve">Spring equinox </w:t>
            </w:r>
            <w:r w:rsidR="00D33925" w:rsidRPr="004D1F80">
              <w:rPr>
                <w:rFonts w:ascii="Arial" w:hAnsi="Arial" w:cs="Arial"/>
                <w:sz w:val="20"/>
                <w:szCs w:val="20"/>
              </w:rPr>
              <w:t>(</w:t>
            </w:r>
            <w:r w:rsidR="004D1F80" w:rsidRPr="004D1F80">
              <w:rPr>
                <w:rFonts w:ascii="Arial" w:hAnsi="Arial" w:cs="Arial"/>
                <w:sz w:val="20"/>
                <w:szCs w:val="20"/>
              </w:rPr>
              <w:t xml:space="preserve">May 13, </w:t>
            </w:r>
            <w:r w:rsidR="00D33925" w:rsidRPr="004D1F80">
              <w:rPr>
                <w:rFonts w:ascii="Arial" w:hAnsi="Arial" w:cs="Arial"/>
                <w:sz w:val="20"/>
                <w:szCs w:val="20"/>
              </w:rPr>
              <w:t>2013)</w:t>
            </w:r>
          </w:p>
        </w:tc>
        <w:tc>
          <w:tcPr>
            <w:tcW w:w="3564" w:type="dxa"/>
          </w:tcPr>
          <w:p w14:paraId="3628059A" w14:textId="77777777" w:rsidR="00D33925" w:rsidRPr="00BB0BEB" w:rsidRDefault="00D33925" w:rsidP="00C60BA0">
            <w:pPr>
              <w:pStyle w:val="Stylefigure"/>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55C93634" wp14:editId="233158D6">
                  <wp:extent cx="2038944" cy="1557337"/>
                  <wp:effectExtent l="0" t="0" r="0" b="5080"/>
                  <wp:docPr id="161328018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8334" cy="1633251"/>
                          </a:xfrm>
                          <a:prstGeom prst="rect">
                            <a:avLst/>
                          </a:prstGeom>
                          <a:noFill/>
                          <a:ln>
                            <a:noFill/>
                          </a:ln>
                        </pic:spPr>
                      </pic:pic>
                    </a:graphicData>
                  </a:graphic>
                </wp:inline>
              </w:drawing>
            </w:r>
          </w:p>
        </w:tc>
        <w:tc>
          <w:tcPr>
            <w:tcW w:w="3475" w:type="dxa"/>
          </w:tcPr>
          <w:p w14:paraId="386BB319" w14:textId="77777777" w:rsidR="00D33925" w:rsidRPr="00BB0BEB" w:rsidRDefault="00D33925" w:rsidP="00C60BA0">
            <w:pPr>
              <w:pStyle w:val="Stylefigure"/>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3729CB75" wp14:editId="596F0671">
                  <wp:extent cx="1998980" cy="1538287"/>
                  <wp:effectExtent l="0" t="0" r="1270" b="5080"/>
                  <wp:docPr id="1246324868"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7229" cy="1606198"/>
                          </a:xfrm>
                          <a:prstGeom prst="rect">
                            <a:avLst/>
                          </a:prstGeom>
                          <a:noFill/>
                          <a:ln>
                            <a:noFill/>
                          </a:ln>
                        </pic:spPr>
                      </pic:pic>
                    </a:graphicData>
                  </a:graphic>
                </wp:inline>
              </w:drawing>
            </w:r>
          </w:p>
        </w:tc>
      </w:tr>
      <w:tr w:rsidR="00D33925" w:rsidRPr="00BB0BEB" w14:paraId="50846BAE" w14:textId="77777777" w:rsidTr="005828BA">
        <w:trPr>
          <w:cantSplit/>
          <w:trHeight w:val="283"/>
          <w:jc w:val="center"/>
        </w:trPr>
        <w:tc>
          <w:tcPr>
            <w:tcW w:w="967" w:type="dxa"/>
            <w:textDirection w:val="btLr"/>
          </w:tcPr>
          <w:p w14:paraId="405636BF" w14:textId="77777777" w:rsidR="00D33925" w:rsidRPr="004D1F80" w:rsidRDefault="004C7F50" w:rsidP="004C7F50">
            <w:pPr>
              <w:pStyle w:val="Stylefigure"/>
              <w:spacing w:line="360" w:lineRule="auto"/>
              <w:ind w:left="113" w:right="113"/>
              <w:jc w:val="center"/>
              <w:rPr>
                <w:rFonts w:ascii="Arial" w:hAnsi="Arial" w:cs="Arial"/>
                <w:sz w:val="20"/>
                <w:szCs w:val="20"/>
              </w:rPr>
            </w:pPr>
            <w:proofErr w:type="spellStart"/>
            <w:r w:rsidRPr="004D1F80">
              <w:rPr>
                <w:rFonts w:ascii="Arial" w:hAnsi="Arial" w:cs="Arial"/>
                <w:sz w:val="20"/>
                <w:szCs w:val="20"/>
              </w:rPr>
              <w:t>Autumn</w:t>
            </w:r>
            <w:proofErr w:type="spellEnd"/>
            <w:r w:rsidRPr="004D1F80">
              <w:rPr>
                <w:rFonts w:ascii="Arial" w:hAnsi="Arial" w:cs="Arial"/>
                <w:sz w:val="20"/>
                <w:szCs w:val="20"/>
              </w:rPr>
              <w:t xml:space="preserve"> </w:t>
            </w:r>
            <w:proofErr w:type="spellStart"/>
            <w:r w:rsidRPr="004D1F80">
              <w:rPr>
                <w:rFonts w:ascii="Arial" w:hAnsi="Arial" w:cs="Arial"/>
                <w:sz w:val="20"/>
                <w:szCs w:val="20"/>
              </w:rPr>
              <w:t>equinox</w:t>
            </w:r>
            <w:proofErr w:type="spellEnd"/>
            <w:r w:rsidRPr="004D1F80">
              <w:rPr>
                <w:rFonts w:ascii="Arial" w:hAnsi="Arial" w:cs="Arial"/>
                <w:sz w:val="20"/>
                <w:szCs w:val="20"/>
              </w:rPr>
              <w:t xml:space="preserve"> </w:t>
            </w:r>
            <w:r w:rsidR="00D33925" w:rsidRPr="004D1F80">
              <w:rPr>
                <w:rFonts w:ascii="Arial" w:hAnsi="Arial" w:cs="Arial"/>
                <w:sz w:val="20"/>
                <w:szCs w:val="20"/>
              </w:rPr>
              <w:t>(</w:t>
            </w:r>
            <w:r w:rsidR="004D1F80" w:rsidRPr="004D1F80">
              <w:rPr>
                <w:rFonts w:ascii="Arial" w:hAnsi="Arial" w:cs="Arial"/>
                <w:sz w:val="20"/>
                <w:szCs w:val="20"/>
              </w:rPr>
              <w:t>October,10,</w:t>
            </w:r>
            <w:r w:rsidR="00D33925" w:rsidRPr="004D1F80">
              <w:rPr>
                <w:rFonts w:ascii="Arial" w:hAnsi="Arial" w:cs="Arial"/>
                <w:sz w:val="20"/>
                <w:szCs w:val="20"/>
              </w:rPr>
              <w:t>2013)</w:t>
            </w:r>
          </w:p>
        </w:tc>
        <w:tc>
          <w:tcPr>
            <w:tcW w:w="3564" w:type="dxa"/>
          </w:tcPr>
          <w:p w14:paraId="467F1DE5" w14:textId="77777777" w:rsidR="00D33925" w:rsidRPr="00BB0BEB" w:rsidRDefault="00D33925" w:rsidP="00C60BA0">
            <w:pPr>
              <w:pStyle w:val="Stylefigure"/>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13570D12" wp14:editId="0D9D3439">
                  <wp:extent cx="1998345" cy="1524000"/>
                  <wp:effectExtent l="0" t="0" r="1905" b="0"/>
                  <wp:docPr id="153182535"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2756" cy="1573122"/>
                          </a:xfrm>
                          <a:prstGeom prst="rect">
                            <a:avLst/>
                          </a:prstGeom>
                          <a:noFill/>
                          <a:ln>
                            <a:noFill/>
                          </a:ln>
                        </pic:spPr>
                      </pic:pic>
                    </a:graphicData>
                  </a:graphic>
                </wp:inline>
              </w:drawing>
            </w:r>
          </w:p>
        </w:tc>
        <w:tc>
          <w:tcPr>
            <w:tcW w:w="3475" w:type="dxa"/>
          </w:tcPr>
          <w:p w14:paraId="15AAB23C" w14:textId="77777777" w:rsidR="00D33925" w:rsidRPr="00BB0BEB" w:rsidRDefault="00D33925" w:rsidP="00C60BA0">
            <w:pPr>
              <w:pStyle w:val="Stylefigure"/>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62E92986" wp14:editId="25EAEA13">
                  <wp:extent cx="2007066" cy="1538288"/>
                  <wp:effectExtent l="0" t="0" r="0" b="5080"/>
                  <wp:docPr id="1174217553"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6949" cy="1622506"/>
                          </a:xfrm>
                          <a:prstGeom prst="rect">
                            <a:avLst/>
                          </a:prstGeom>
                          <a:noFill/>
                          <a:ln>
                            <a:noFill/>
                          </a:ln>
                        </pic:spPr>
                      </pic:pic>
                    </a:graphicData>
                  </a:graphic>
                </wp:inline>
              </w:drawing>
            </w:r>
          </w:p>
        </w:tc>
      </w:tr>
    </w:tbl>
    <w:p w14:paraId="0323E1C8" w14:textId="77777777" w:rsidR="00D33925" w:rsidRPr="00BB0BEB" w:rsidRDefault="00D33925" w:rsidP="00C60BA0">
      <w:pPr>
        <w:jc w:val="both"/>
        <w:rPr>
          <w:rFonts w:ascii="Arial" w:hAnsi="Arial" w:cs="Arial"/>
          <w:b/>
          <w:sz w:val="20"/>
          <w:szCs w:val="20"/>
          <w:lang w:val="en-US"/>
        </w:rPr>
      </w:pPr>
    </w:p>
    <w:p w14:paraId="12997AE5" w14:textId="77777777" w:rsidR="00D33925" w:rsidRDefault="003679DD" w:rsidP="003679DD">
      <w:pPr>
        <w:jc w:val="center"/>
        <w:rPr>
          <w:rFonts w:ascii="Arial" w:hAnsi="Arial" w:cs="Arial"/>
          <w:b/>
          <w:sz w:val="20"/>
          <w:szCs w:val="20"/>
          <w:lang w:val="en-US"/>
        </w:rPr>
      </w:pPr>
      <w:r>
        <w:rPr>
          <w:rFonts w:ascii="Arial" w:hAnsi="Arial" w:cs="Arial"/>
          <w:b/>
          <w:sz w:val="20"/>
          <w:szCs w:val="20"/>
          <w:lang w:val="en-US"/>
        </w:rPr>
        <w:t xml:space="preserve">Fig. 6. </w:t>
      </w:r>
      <w:r w:rsidR="00D33925" w:rsidRPr="00BB0BEB">
        <w:rPr>
          <w:rFonts w:ascii="Arial" w:hAnsi="Arial" w:cs="Arial"/>
          <w:b/>
          <w:sz w:val="20"/>
          <w:szCs w:val="20"/>
          <w:lang w:val="en-US"/>
        </w:rPr>
        <w:t>Example of daily variations in ROTI during periods of quiet activity during the equinoxes</w:t>
      </w:r>
    </w:p>
    <w:p w14:paraId="250C5061" w14:textId="77777777" w:rsidR="004C7F50" w:rsidRPr="00BB0BEB" w:rsidRDefault="004C7F50" w:rsidP="003679DD">
      <w:pPr>
        <w:jc w:val="center"/>
        <w:rPr>
          <w:rFonts w:ascii="Arial" w:hAnsi="Arial" w:cs="Arial"/>
          <w:b/>
          <w:sz w:val="20"/>
          <w:szCs w:val="20"/>
          <w:lang w:val="en-US"/>
        </w:rPr>
      </w:pPr>
    </w:p>
    <w:p w14:paraId="647451A8" w14:textId="77777777" w:rsidR="00D33925" w:rsidRPr="00E53C1E" w:rsidRDefault="00D33925" w:rsidP="00E53C1E">
      <w:pPr>
        <w:pStyle w:val="ListParagraph"/>
        <w:numPr>
          <w:ilvl w:val="1"/>
          <w:numId w:val="1"/>
        </w:numPr>
        <w:ind w:left="567"/>
        <w:jc w:val="both"/>
        <w:rPr>
          <w:rFonts w:ascii="Arial" w:hAnsi="Arial" w:cs="Arial"/>
          <w:b/>
          <w:lang w:val="en-US"/>
        </w:rPr>
      </w:pPr>
      <w:r w:rsidRPr="00E53C1E">
        <w:rPr>
          <w:rFonts w:ascii="Arial" w:hAnsi="Arial" w:cs="Arial"/>
          <w:b/>
          <w:lang w:val="en-US"/>
        </w:rPr>
        <w:t xml:space="preserve"> Impact of magnetic storms on phase scintillation</w:t>
      </w:r>
    </w:p>
    <w:p w14:paraId="5D6D919E" w14:textId="77777777" w:rsidR="00D33925" w:rsidRPr="00BB0BEB" w:rsidRDefault="00D33925" w:rsidP="00C60BA0">
      <w:pPr>
        <w:jc w:val="both"/>
        <w:rPr>
          <w:rFonts w:ascii="Arial" w:hAnsi="Arial" w:cs="Arial"/>
          <w:sz w:val="20"/>
          <w:szCs w:val="20"/>
          <w:lang w:val="en-US"/>
        </w:rPr>
      </w:pPr>
      <w:r w:rsidRPr="00BB0BEB">
        <w:rPr>
          <w:rFonts w:ascii="Arial" w:hAnsi="Arial" w:cs="Arial"/>
          <w:sz w:val="20"/>
          <w:szCs w:val="20"/>
          <w:lang w:val="en-US"/>
        </w:rPr>
        <w:t xml:space="preserve">Figure 7 shows the variation of ROTI as a function of </w:t>
      </w:r>
      <w:proofErr w:type="spellStart"/>
      <w:r w:rsidRPr="00BB0BEB">
        <w:rPr>
          <w:rFonts w:ascii="Arial" w:hAnsi="Arial" w:cs="Arial"/>
          <w:sz w:val="20"/>
          <w:szCs w:val="20"/>
          <w:lang w:val="en-US"/>
        </w:rPr>
        <w:t>Dst</w:t>
      </w:r>
      <w:proofErr w:type="spellEnd"/>
      <w:r w:rsidRPr="00BB0BEB">
        <w:rPr>
          <w:rFonts w:ascii="Arial" w:hAnsi="Arial" w:cs="Arial"/>
          <w:sz w:val="20"/>
          <w:szCs w:val="20"/>
          <w:lang w:val="en-US"/>
        </w:rPr>
        <w:t xml:space="preserve"> during some magnetic storms. Except for the storm of March 17, 2013, the lack of data did not allow us to have the variation of ROTI in the two stations during each storm.</w:t>
      </w:r>
    </w:p>
    <w:p w14:paraId="4F783057" w14:textId="77777777" w:rsidR="00D33925" w:rsidRPr="00E53C1E" w:rsidRDefault="00D33925" w:rsidP="00C60BA0">
      <w:pPr>
        <w:pStyle w:val="ListParagraph"/>
        <w:numPr>
          <w:ilvl w:val="0"/>
          <w:numId w:val="3"/>
        </w:numPr>
        <w:jc w:val="both"/>
        <w:rPr>
          <w:rFonts w:ascii="Arial" w:hAnsi="Arial" w:cs="Arial"/>
          <w:i/>
          <w:sz w:val="20"/>
          <w:szCs w:val="20"/>
          <w:lang w:val="en-US"/>
        </w:rPr>
      </w:pPr>
      <w:r w:rsidRPr="00E53C1E">
        <w:rPr>
          <w:rFonts w:ascii="Arial" w:hAnsi="Arial" w:cs="Arial"/>
          <w:i/>
          <w:sz w:val="20"/>
          <w:szCs w:val="20"/>
          <w:lang w:val="en-US"/>
        </w:rPr>
        <w:t xml:space="preserve">Graph (a) and (b): Storm of 03/17/2013 at BF01 and </w:t>
      </w:r>
      <w:proofErr w:type="spellStart"/>
      <w:r w:rsidRPr="00E53C1E">
        <w:rPr>
          <w:rFonts w:ascii="Arial" w:hAnsi="Arial" w:cs="Arial"/>
          <w:i/>
          <w:sz w:val="20"/>
          <w:szCs w:val="20"/>
          <w:lang w:val="en-US"/>
        </w:rPr>
        <w:t>Koudougou</w:t>
      </w:r>
      <w:proofErr w:type="spellEnd"/>
    </w:p>
    <w:p w14:paraId="50E3608E" w14:textId="77777777" w:rsidR="00D33925" w:rsidRPr="00BB0BEB" w:rsidRDefault="00D33925" w:rsidP="00C60BA0">
      <w:pPr>
        <w:jc w:val="both"/>
        <w:rPr>
          <w:rFonts w:ascii="Arial" w:hAnsi="Arial" w:cs="Arial"/>
          <w:sz w:val="20"/>
          <w:szCs w:val="20"/>
          <w:lang w:val="en-US"/>
        </w:rPr>
      </w:pPr>
      <w:r w:rsidRPr="00BB0BEB">
        <w:rPr>
          <w:rFonts w:ascii="Arial" w:hAnsi="Arial" w:cs="Arial"/>
          <w:sz w:val="20"/>
          <w:szCs w:val="20"/>
          <w:lang w:val="en-US"/>
        </w:rPr>
        <w:t xml:space="preserve">From 0500 TL to 0600 TL, an increase in </w:t>
      </w:r>
      <w:proofErr w:type="spellStart"/>
      <w:r w:rsidRPr="00BB0BEB">
        <w:rPr>
          <w:rFonts w:ascii="Arial" w:hAnsi="Arial" w:cs="Arial"/>
          <w:sz w:val="20"/>
          <w:szCs w:val="20"/>
          <w:lang w:val="en-US"/>
        </w:rPr>
        <w:t>Dst</w:t>
      </w:r>
      <w:proofErr w:type="spellEnd"/>
      <w:r w:rsidRPr="00BB0BEB">
        <w:rPr>
          <w:rFonts w:ascii="Arial" w:hAnsi="Arial" w:cs="Arial"/>
          <w:sz w:val="20"/>
          <w:szCs w:val="20"/>
          <w:lang w:val="en-US"/>
        </w:rPr>
        <w:t xml:space="preserve"> was observed, ranging from -7 </w:t>
      </w:r>
      <w:proofErr w:type="spellStart"/>
      <w:r w:rsidRPr="00BB0BEB">
        <w:rPr>
          <w:rFonts w:ascii="Arial" w:hAnsi="Arial" w:cs="Arial"/>
          <w:sz w:val="20"/>
          <w:szCs w:val="20"/>
          <w:lang w:val="en-US"/>
        </w:rPr>
        <w:t>nT</w:t>
      </w:r>
      <w:proofErr w:type="spellEnd"/>
      <w:r w:rsidRPr="00BB0BEB">
        <w:rPr>
          <w:rFonts w:ascii="Arial" w:hAnsi="Arial" w:cs="Arial"/>
          <w:sz w:val="20"/>
          <w:szCs w:val="20"/>
          <w:lang w:val="en-US"/>
        </w:rPr>
        <w:t xml:space="preserve"> to 15 </w:t>
      </w:r>
      <w:proofErr w:type="spellStart"/>
      <w:r w:rsidRPr="00BB0BEB">
        <w:rPr>
          <w:rFonts w:ascii="Arial" w:hAnsi="Arial" w:cs="Arial"/>
          <w:sz w:val="20"/>
          <w:szCs w:val="20"/>
          <w:lang w:val="en-US"/>
        </w:rPr>
        <w:t>nT</w:t>
      </w:r>
      <w:proofErr w:type="spellEnd"/>
      <w:r w:rsidRPr="00BB0BEB">
        <w:rPr>
          <w:rFonts w:ascii="Arial" w:hAnsi="Arial" w:cs="Arial"/>
          <w:sz w:val="20"/>
          <w:szCs w:val="20"/>
          <w:lang w:val="en-US"/>
        </w:rPr>
        <w:t xml:space="preserve"> in the morning of 03/17/2013, marking the initial phase of the storm. The main phase then established itself during the day until the night at 2000 TL with a </w:t>
      </w:r>
      <w:proofErr w:type="spellStart"/>
      <w:r w:rsidRPr="00BB0BEB">
        <w:rPr>
          <w:rFonts w:ascii="Arial" w:hAnsi="Arial" w:cs="Arial"/>
          <w:sz w:val="20"/>
          <w:szCs w:val="20"/>
          <w:lang w:val="en-US"/>
        </w:rPr>
        <w:t>Dst</w:t>
      </w:r>
      <w:proofErr w:type="spellEnd"/>
      <w:r w:rsidRPr="00BB0BEB">
        <w:rPr>
          <w:rFonts w:ascii="Arial" w:hAnsi="Arial" w:cs="Arial"/>
          <w:sz w:val="20"/>
          <w:szCs w:val="20"/>
          <w:lang w:val="en-US"/>
        </w:rPr>
        <w:t xml:space="preserve"> of -132 </w:t>
      </w:r>
      <w:proofErr w:type="spellStart"/>
      <w:r w:rsidRPr="00BB0BEB">
        <w:rPr>
          <w:rFonts w:ascii="Arial" w:hAnsi="Arial" w:cs="Arial"/>
          <w:sz w:val="20"/>
          <w:szCs w:val="20"/>
          <w:lang w:val="en-US"/>
        </w:rPr>
        <w:t>nT.</w:t>
      </w:r>
      <w:proofErr w:type="spellEnd"/>
      <w:r w:rsidRPr="00BB0BEB">
        <w:rPr>
          <w:rFonts w:ascii="Arial" w:hAnsi="Arial" w:cs="Arial"/>
          <w:sz w:val="20"/>
          <w:szCs w:val="20"/>
          <w:lang w:val="en-US"/>
        </w:rPr>
        <w:t xml:space="preserve"> The recovery phase occurred after this time and continued into 03/18/2013.</w:t>
      </w:r>
    </w:p>
    <w:p w14:paraId="3DFC1774" w14:textId="77777777" w:rsidR="00D33925" w:rsidRPr="00BB0BEB" w:rsidRDefault="00D33925" w:rsidP="00C60BA0">
      <w:pPr>
        <w:jc w:val="both"/>
        <w:rPr>
          <w:rFonts w:ascii="Arial" w:hAnsi="Arial" w:cs="Arial"/>
          <w:sz w:val="20"/>
          <w:szCs w:val="20"/>
          <w:lang w:val="en-US"/>
        </w:rPr>
      </w:pPr>
      <w:r w:rsidRPr="00BB0BEB">
        <w:rPr>
          <w:rFonts w:ascii="Arial" w:hAnsi="Arial" w:cs="Arial"/>
          <w:sz w:val="20"/>
          <w:szCs w:val="20"/>
          <w:lang w:val="en-US"/>
        </w:rPr>
        <w:t xml:space="preserve">The night before the onset of this storm, phase scintillation was recorded between 2100 TL and 2300 TL at the BF01 stations of Ouagadougou and </w:t>
      </w:r>
      <w:proofErr w:type="spellStart"/>
      <w:r w:rsidRPr="00BB0BEB">
        <w:rPr>
          <w:rFonts w:ascii="Arial" w:hAnsi="Arial" w:cs="Arial"/>
          <w:sz w:val="20"/>
          <w:szCs w:val="20"/>
          <w:lang w:val="en-US"/>
        </w:rPr>
        <w:t>Koudougou</w:t>
      </w:r>
      <w:proofErr w:type="spellEnd"/>
      <w:r w:rsidRPr="00BB0BEB">
        <w:rPr>
          <w:rFonts w:ascii="Arial" w:hAnsi="Arial" w:cs="Arial"/>
          <w:sz w:val="20"/>
          <w:szCs w:val="20"/>
          <w:lang w:val="en-US"/>
        </w:rPr>
        <w:t xml:space="preserve">, with maximum ROTI values ​​of 0.84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 xml:space="preserve">/min and 0.76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 xml:space="preserve">/min reached at 2200 TL, respectively. The following night, during the end of the main phase and the beginning of the recovery phase, the absence of scintillation is observed in both stations. Towards the end of the recovery phase, the phenomenon reappears at the </w:t>
      </w:r>
      <w:proofErr w:type="spellStart"/>
      <w:r w:rsidRPr="00BB0BEB">
        <w:rPr>
          <w:rFonts w:ascii="Arial" w:hAnsi="Arial" w:cs="Arial"/>
          <w:sz w:val="20"/>
          <w:szCs w:val="20"/>
          <w:lang w:val="en-US"/>
        </w:rPr>
        <w:t>Koudougou</w:t>
      </w:r>
      <w:proofErr w:type="spellEnd"/>
      <w:r w:rsidRPr="00BB0BEB">
        <w:rPr>
          <w:rFonts w:ascii="Arial" w:hAnsi="Arial" w:cs="Arial"/>
          <w:sz w:val="20"/>
          <w:szCs w:val="20"/>
          <w:lang w:val="en-US"/>
        </w:rPr>
        <w:t xml:space="preserve"> station with a maximum ROTI of 0.79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/min at 2100TL.</w:t>
      </w:r>
    </w:p>
    <w:p w14:paraId="0B1C9E40" w14:textId="77777777" w:rsidR="00D33925" w:rsidRPr="00E53C1E" w:rsidRDefault="00D33925" w:rsidP="00C60BA0">
      <w:pPr>
        <w:pStyle w:val="ListParagraph"/>
        <w:numPr>
          <w:ilvl w:val="0"/>
          <w:numId w:val="3"/>
        </w:numPr>
        <w:jc w:val="both"/>
        <w:rPr>
          <w:rFonts w:ascii="Arial" w:hAnsi="Arial" w:cs="Arial"/>
          <w:i/>
          <w:sz w:val="20"/>
          <w:szCs w:val="20"/>
          <w:lang w:val="en-US"/>
        </w:rPr>
      </w:pPr>
      <w:r w:rsidRPr="00E53C1E">
        <w:rPr>
          <w:rFonts w:ascii="Arial" w:hAnsi="Arial" w:cs="Arial"/>
          <w:i/>
          <w:sz w:val="20"/>
          <w:szCs w:val="20"/>
          <w:lang w:val="en-US"/>
        </w:rPr>
        <w:t xml:space="preserve">Graph (a) and (b): Storm of 03/17/2013 at BF01 and </w:t>
      </w:r>
      <w:proofErr w:type="spellStart"/>
      <w:r w:rsidRPr="00E53C1E">
        <w:rPr>
          <w:rFonts w:ascii="Arial" w:hAnsi="Arial" w:cs="Arial"/>
          <w:i/>
          <w:sz w:val="20"/>
          <w:szCs w:val="20"/>
          <w:lang w:val="en-US"/>
        </w:rPr>
        <w:t>Koudougou</w:t>
      </w:r>
      <w:proofErr w:type="spellEnd"/>
    </w:p>
    <w:p w14:paraId="63EFC04F" w14:textId="77777777" w:rsidR="00D33925" w:rsidRPr="00BB0BEB" w:rsidRDefault="00D33925" w:rsidP="00C60BA0">
      <w:pPr>
        <w:jc w:val="both"/>
        <w:rPr>
          <w:rFonts w:ascii="Arial" w:hAnsi="Arial" w:cs="Arial"/>
          <w:sz w:val="20"/>
          <w:szCs w:val="20"/>
          <w:lang w:val="en-US"/>
        </w:rPr>
      </w:pPr>
      <w:r w:rsidRPr="00BB0BEB">
        <w:rPr>
          <w:rFonts w:ascii="Arial" w:hAnsi="Arial" w:cs="Arial"/>
          <w:sz w:val="20"/>
          <w:szCs w:val="20"/>
          <w:lang w:val="en-US"/>
        </w:rPr>
        <w:t xml:space="preserve">From 0500 TL to 0600 TL, an increase in </w:t>
      </w:r>
      <w:proofErr w:type="spellStart"/>
      <w:r w:rsidRPr="00BB0BEB">
        <w:rPr>
          <w:rFonts w:ascii="Arial" w:hAnsi="Arial" w:cs="Arial"/>
          <w:sz w:val="20"/>
          <w:szCs w:val="20"/>
          <w:lang w:val="en-US"/>
        </w:rPr>
        <w:t>Dst</w:t>
      </w:r>
      <w:proofErr w:type="spellEnd"/>
      <w:r w:rsidRPr="00BB0BEB">
        <w:rPr>
          <w:rFonts w:ascii="Arial" w:hAnsi="Arial" w:cs="Arial"/>
          <w:sz w:val="20"/>
          <w:szCs w:val="20"/>
          <w:lang w:val="en-US"/>
        </w:rPr>
        <w:t xml:space="preserve"> was observed, ranging from -7 </w:t>
      </w:r>
      <w:proofErr w:type="spellStart"/>
      <w:r w:rsidRPr="00BB0BEB">
        <w:rPr>
          <w:rFonts w:ascii="Arial" w:hAnsi="Arial" w:cs="Arial"/>
          <w:sz w:val="20"/>
          <w:szCs w:val="20"/>
          <w:lang w:val="en-US"/>
        </w:rPr>
        <w:t>nT</w:t>
      </w:r>
      <w:proofErr w:type="spellEnd"/>
      <w:r w:rsidRPr="00BB0BEB">
        <w:rPr>
          <w:rFonts w:ascii="Arial" w:hAnsi="Arial" w:cs="Arial"/>
          <w:sz w:val="20"/>
          <w:szCs w:val="20"/>
          <w:lang w:val="en-US"/>
        </w:rPr>
        <w:t xml:space="preserve"> to 15 </w:t>
      </w:r>
      <w:proofErr w:type="spellStart"/>
      <w:r w:rsidRPr="00BB0BEB">
        <w:rPr>
          <w:rFonts w:ascii="Arial" w:hAnsi="Arial" w:cs="Arial"/>
          <w:sz w:val="20"/>
          <w:szCs w:val="20"/>
          <w:lang w:val="en-US"/>
        </w:rPr>
        <w:t>nT</w:t>
      </w:r>
      <w:proofErr w:type="spellEnd"/>
      <w:r w:rsidRPr="00BB0BEB">
        <w:rPr>
          <w:rFonts w:ascii="Arial" w:hAnsi="Arial" w:cs="Arial"/>
          <w:sz w:val="20"/>
          <w:szCs w:val="20"/>
          <w:lang w:val="en-US"/>
        </w:rPr>
        <w:t xml:space="preserve"> in the morning of 03/17/2013, marking the initial phase of the storm. The main phase then established itself during the day until the night at 2000 TL with a </w:t>
      </w:r>
      <w:proofErr w:type="spellStart"/>
      <w:r w:rsidRPr="00BB0BEB">
        <w:rPr>
          <w:rFonts w:ascii="Arial" w:hAnsi="Arial" w:cs="Arial"/>
          <w:sz w:val="20"/>
          <w:szCs w:val="20"/>
          <w:lang w:val="en-US"/>
        </w:rPr>
        <w:t>Dst</w:t>
      </w:r>
      <w:proofErr w:type="spellEnd"/>
      <w:r w:rsidRPr="00BB0BEB">
        <w:rPr>
          <w:rFonts w:ascii="Arial" w:hAnsi="Arial" w:cs="Arial"/>
          <w:sz w:val="20"/>
          <w:szCs w:val="20"/>
          <w:lang w:val="en-US"/>
        </w:rPr>
        <w:t xml:space="preserve"> of -132 </w:t>
      </w:r>
      <w:proofErr w:type="spellStart"/>
      <w:r w:rsidRPr="00BB0BEB">
        <w:rPr>
          <w:rFonts w:ascii="Arial" w:hAnsi="Arial" w:cs="Arial"/>
          <w:sz w:val="20"/>
          <w:szCs w:val="20"/>
          <w:lang w:val="en-US"/>
        </w:rPr>
        <w:t>nT.</w:t>
      </w:r>
      <w:proofErr w:type="spellEnd"/>
      <w:r w:rsidRPr="00BB0BEB">
        <w:rPr>
          <w:rFonts w:ascii="Arial" w:hAnsi="Arial" w:cs="Arial"/>
          <w:sz w:val="20"/>
          <w:szCs w:val="20"/>
          <w:lang w:val="en-US"/>
        </w:rPr>
        <w:t xml:space="preserve"> The recovery phase occurred after this time and continued into 03/18/2013.</w:t>
      </w:r>
    </w:p>
    <w:p w14:paraId="7FB18657" w14:textId="77777777" w:rsidR="00D33925" w:rsidRPr="00BB0BEB" w:rsidRDefault="00D33925" w:rsidP="00C60BA0">
      <w:pPr>
        <w:jc w:val="both"/>
        <w:rPr>
          <w:rFonts w:ascii="Arial" w:hAnsi="Arial" w:cs="Arial"/>
          <w:sz w:val="20"/>
          <w:szCs w:val="20"/>
          <w:lang w:val="en-US"/>
        </w:rPr>
      </w:pPr>
      <w:r w:rsidRPr="00BB0BEB">
        <w:rPr>
          <w:rFonts w:ascii="Arial" w:hAnsi="Arial" w:cs="Arial"/>
          <w:sz w:val="20"/>
          <w:szCs w:val="20"/>
          <w:lang w:val="en-US"/>
        </w:rPr>
        <w:t xml:space="preserve">The night before the onset of this storm, phase scintillation was recorded between 2100 TL and 2300 TL at the BF01 stations of Ouagadougou and </w:t>
      </w:r>
      <w:proofErr w:type="spellStart"/>
      <w:r w:rsidRPr="00BB0BEB">
        <w:rPr>
          <w:rFonts w:ascii="Arial" w:hAnsi="Arial" w:cs="Arial"/>
          <w:sz w:val="20"/>
          <w:szCs w:val="20"/>
          <w:lang w:val="en-US"/>
        </w:rPr>
        <w:t>Koudougou</w:t>
      </w:r>
      <w:proofErr w:type="spellEnd"/>
      <w:r w:rsidRPr="00BB0BEB">
        <w:rPr>
          <w:rFonts w:ascii="Arial" w:hAnsi="Arial" w:cs="Arial"/>
          <w:sz w:val="20"/>
          <w:szCs w:val="20"/>
          <w:lang w:val="en-US"/>
        </w:rPr>
        <w:t xml:space="preserve">, with maximum ROTI values ​​of 0.84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 xml:space="preserve">/min </w:t>
      </w:r>
      <w:r w:rsidRPr="00BB0BEB">
        <w:rPr>
          <w:rFonts w:ascii="Arial" w:hAnsi="Arial" w:cs="Arial"/>
          <w:sz w:val="20"/>
          <w:szCs w:val="20"/>
          <w:lang w:val="en-US"/>
        </w:rPr>
        <w:lastRenderedPageBreak/>
        <w:t xml:space="preserve">and 0.76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 xml:space="preserve">/min reached at 2200 TL, respectively. The following night, during the end of the main phase and the beginning of the recovery phase, the absence of scintillation is observed in both stations. Towards the end of the recovery phase, the phenomenon reappears at the </w:t>
      </w:r>
      <w:proofErr w:type="spellStart"/>
      <w:r w:rsidRPr="00BB0BEB">
        <w:rPr>
          <w:rFonts w:ascii="Arial" w:hAnsi="Arial" w:cs="Arial"/>
          <w:sz w:val="20"/>
          <w:szCs w:val="20"/>
          <w:lang w:val="en-US"/>
        </w:rPr>
        <w:t>Koudougou</w:t>
      </w:r>
      <w:proofErr w:type="spellEnd"/>
      <w:r w:rsidRPr="00BB0BEB">
        <w:rPr>
          <w:rFonts w:ascii="Arial" w:hAnsi="Arial" w:cs="Arial"/>
          <w:sz w:val="20"/>
          <w:szCs w:val="20"/>
          <w:lang w:val="en-US"/>
        </w:rPr>
        <w:t xml:space="preserve"> station with a maximum ROTI of 0.79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/min at 2100TL</w:t>
      </w:r>
    </w:p>
    <w:p w14:paraId="587BAA2B" w14:textId="77777777" w:rsidR="00D33925" w:rsidRPr="00E53C1E" w:rsidRDefault="00D33925" w:rsidP="00C60BA0">
      <w:pPr>
        <w:pStyle w:val="ListParagraph"/>
        <w:numPr>
          <w:ilvl w:val="0"/>
          <w:numId w:val="3"/>
        </w:numPr>
        <w:jc w:val="both"/>
        <w:rPr>
          <w:rFonts w:ascii="Arial" w:hAnsi="Arial" w:cs="Arial"/>
          <w:i/>
          <w:sz w:val="20"/>
          <w:szCs w:val="20"/>
          <w:lang w:val="en-US"/>
        </w:rPr>
      </w:pPr>
      <w:r w:rsidRPr="00E53C1E">
        <w:rPr>
          <w:rFonts w:ascii="Arial" w:hAnsi="Arial" w:cs="Arial"/>
          <w:i/>
          <w:sz w:val="20"/>
          <w:szCs w:val="20"/>
          <w:lang w:val="en-US"/>
        </w:rPr>
        <w:t xml:space="preserve">Graph (c): Storm of March 17, 2015 at </w:t>
      </w:r>
      <w:proofErr w:type="spellStart"/>
      <w:r w:rsidRPr="00E53C1E">
        <w:rPr>
          <w:rFonts w:ascii="Arial" w:hAnsi="Arial" w:cs="Arial"/>
          <w:i/>
          <w:sz w:val="20"/>
          <w:szCs w:val="20"/>
          <w:lang w:val="en-US"/>
        </w:rPr>
        <w:t>Koudougou</w:t>
      </w:r>
      <w:proofErr w:type="spellEnd"/>
    </w:p>
    <w:p w14:paraId="1B3C297C" w14:textId="77777777" w:rsidR="00D33925" w:rsidRPr="00BB0BEB" w:rsidRDefault="00D33925" w:rsidP="00C60BA0">
      <w:pPr>
        <w:jc w:val="both"/>
        <w:rPr>
          <w:rFonts w:ascii="Arial" w:hAnsi="Arial" w:cs="Arial"/>
          <w:sz w:val="20"/>
          <w:szCs w:val="20"/>
          <w:lang w:val="en-US"/>
        </w:rPr>
      </w:pPr>
      <w:r w:rsidRPr="00BB0BEB">
        <w:rPr>
          <w:rFonts w:ascii="Arial" w:hAnsi="Arial" w:cs="Arial"/>
          <w:sz w:val="20"/>
          <w:szCs w:val="20"/>
          <w:lang w:val="en-US"/>
        </w:rPr>
        <w:t xml:space="preserve">Between 0400TL and 0500TL the storm started with its initial phase. It continued with the main phase in the morning until the night at 2200TL where the </w:t>
      </w:r>
      <w:proofErr w:type="spellStart"/>
      <w:r w:rsidRPr="00BB0BEB">
        <w:rPr>
          <w:rFonts w:ascii="Arial" w:hAnsi="Arial" w:cs="Arial"/>
          <w:sz w:val="20"/>
          <w:szCs w:val="20"/>
          <w:lang w:val="en-US"/>
        </w:rPr>
        <w:t>Dst</w:t>
      </w:r>
      <w:proofErr w:type="spellEnd"/>
      <w:r w:rsidRPr="00BB0BEB">
        <w:rPr>
          <w:rFonts w:ascii="Arial" w:hAnsi="Arial" w:cs="Arial"/>
          <w:sz w:val="20"/>
          <w:szCs w:val="20"/>
          <w:lang w:val="en-US"/>
        </w:rPr>
        <w:t xml:space="preserve"> reached -234 </w:t>
      </w:r>
      <w:proofErr w:type="spellStart"/>
      <w:r w:rsidRPr="00BB0BEB">
        <w:rPr>
          <w:rFonts w:ascii="Arial" w:hAnsi="Arial" w:cs="Arial"/>
          <w:sz w:val="20"/>
          <w:szCs w:val="20"/>
          <w:lang w:val="en-US"/>
        </w:rPr>
        <w:t>nT.</w:t>
      </w:r>
      <w:proofErr w:type="spellEnd"/>
      <w:r w:rsidRPr="00BB0BEB">
        <w:rPr>
          <w:rFonts w:ascii="Arial" w:hAnsi="Arial" w:cs="Arial"/>
          <w:sz w:val="20"/>
          <w:szCs w:val="20"/>
          <w:lang w:val="en-US"/>
        </w:rPr>
        <w:t xml:space="preserve"> After 2200TL the recovery continued into the following day. The day before the storm, scintillation was recorded between 2000TL and 2200TL with a maximum ROTI of 0.73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/min at 2100TL. The following nights (end of the main phase and that of the recovery phase), the scintillation phenomenon completely disappeared.</w:t>
      </w:r>
    </w:p>
    <w:p w14:paraId="6E10492B" w14:textId="77777777" w:rsidR="00D33925" w:rsidRPr="00E53C1E" w:rsidRDefault="00D33925" w:rsidP="00C60BA0">
      <w:pPr>
        <w:pStyle w:val="ListParagraph"/>
        <w:numPr>
          <w:ilvl w:val="0"/>
          <w:numId w:val="3"/>
        </w:numPr>
        <w:jc w:val="both"/>
        <w:rPr>
          <w:rFonts w:ascii="Arial" w:hAnsi="Arial" w:cs="Arial"/>
          <w:i/>
          <w:sz w:val="20"/>
          <w:szCs w:val="20"/>
          <w:lang w:val="en-US"/>
        </w:rPr>
      </w:pPr>
      <w:r w:rsidRPr="00E53C1E">
        <w:rPr>
          <w:rFonts w:ascii="Arial" w:hAnsi="Arial" w:cs="Arial"/>
          <w:i/>
          <w:sz w:val="20"/>
          <w:szCs w:val="20"/>
          <w:lang w:val="en-US"/>
        </w:rPr>
        <w:t>Graph (d): Storm of October 2, 2013 at BF01</w:t>
      </w:r>
    </w:p>
    <w:p w14:paraId="01D3EFA2" w14:textId="77777777" w:rsidR="00D33925" w:rsidRPr="00BB0BEB" w:rsidRDefault="00D33925" w:rsidP="00C60BA0">
      <w:pPr>
        <w:jc w:val="both"/>
        <w:rPr>
          <w:rFonts w:ascii="Arial" w:hAnsi="Arial" w:cs="Arial"/>
          <w:sz w:val="20"/>
          <w:szCs w:val="20"/>
          <w:lang w:val="en-US"/>
        </w:rPr>
      </w:pPr>
      <w:r w:rsidRPr="00BB0BEB">
        <w:rPr>
          <w:rFonts w:ascii="Arial" w:hAnsi="Arial" w:cs="Arial"/>
          <w:sz w:val="20"/>
          <w:szCs w:val="20"/>
          <w:lang w:val="en-US"/>
        </w:rPr>
        <w:t xml:space="preserve">The initial phase occurred at night from 0100TL to 0200TL with a </w:t>
      </w:r>
      <w:proofErr w:type="spellStart"/>
      <w:r w:rsidRPr="00BB0BEB">
        <w:rPr>
          <w:rFonts w:ascii="Arial" w:hAnsi="Arial" w:cs="Arial"/>
          <w:sz w:val="20"/>
          <w:szCs w:val="20"/>
          <w:lang w:val="en-US"/>
        </w:rPr>
        <w:t>Dst</w:t>
      </w:r>
      <w:proofErr w:type="spellEnd"/>
      <w:r w:rsidRPr="00BB0BEB">
        <w:rPr>
          <w:rFonts w:ascii="Arial" w:hAnsi="Arial" w:cs="Arial"/>
          <w:sz w:val="20"/>
          <w:szCs w:val="20"/>
          <w:lang w:val="en-US"/>
        </w:rPr>
        <w:t xml:space="preserve"> varying between -3nT and 26nT. The main phase then settled until the morning at 0700TL with a </w:t>
      </w:r>
      <w:proofErr w:type="spellStart"/>
      <w:r w:rsidRPr="00BB0BEB">
        <w:rPr>
          <w:rFonts w:ascii="Arial" w:hAnsi="Arial" w:cs="Arial"/>
          <w:sz w:val="20"/>
          <w:szCs w:val="20"/>
          <w:lang w:val="en-US"/>
        </w:rPr>
        <w:t>Dst</w:t>
      </w:r>
      <w:proofErr w:type="spellEnd"/>
      <w:r w:rsidRPr="00BB0BEB">
        <w:rPr>
          <w:rFonts w:ascii="Arial" w:hAnsi="Arial" w:cs="Arial"/>
          <w:sz w:val="20"/>
          <w:szCs w:val="20"/>
          <w:lang w:val="en-US"/>
        </w:rPr>
        <w:t xml:space="preserve"> of -72 </w:t>
      </w:r>
      <w:proofErr w:type="spellStart"/>
      <w:r w:rsidRPr="00BB0BEB">
        <w:rPr>
          <w:rFonts w:ascii="Arial" w:hAnsi="Arial" w:cs="Arial"/>
          <w:sz w:val="20"/>
          <w:szCs w:val="20"/>
          <w:lang w:val="en-US"/>
        </w:rPr>
        <w:t>nT.</w:t>
      </w:r>
      <w:proofErr w:type="spellEnd"/>
      <w:r w:rsidRPr="00BB0BEB">
        <w:rPr>
          <w:rFonts w:ascii="Arial" w:hAnsi="Arial" w:cs="Arial"/>
          <w:sz w:val="20"/>
          <w:szCs w:val="20"/>
          <w:lang w:val="en-US"/>
        </w:rPr>
        <w:t xml:space="preserve"> The scintillation was recorded the day before from 2000TL (0.65tec/min) to 2100TL (0.58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 xml:space="preserve">/min). The phenomenon persisted during the storm recovery phase. Indeed, on 02/10/2013, the phenomenon appeared between 2000TL and 2200TL with a maximum ROTI of 0.7tecu/min at 2000TL. The night of 03/10/2013, it appeared between 1900TL and 2200TL with a maximum ROTI of 0.62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/min at 2200TL.</w:t>
      </w:r>
    </w:p>
    <w:p w14:paraId="3A9CDAD1" w14:textId="77777777" w:rsidR="00D33925" w:rsidRPr="00E53C1E" w:rsidRDefault="00D33925" w:rsidP="00C60BA0">
      <w:pPr>
        <w:pStyle w:val="ListParagraph"/>
        <w:numPr>
          <w:ilvl w:val="0"/>
          <w:numId w:val="3"/>
        </w:numPr>
        <w:jc w:val="both"/>
        <w:rPr>
          <w:rFonts w:ascii="Arial" w:hAnsi="Arial" w:cs="Arial"/>
          <w:i/>
          <w:sz w:val="20"/>
          <w:szCs w:val="20"/>
          <w:lang w:val="en-US"/>
        </w:rPr>
      </w:pPr>
      <w:r w:rsidRPr="00E53C1E">
        <w:rPr>
          <w:rFonts w:ascii="Arial" w:hAnsi="Arial" w:cs="Arial"/>
          <w:i/>
          <w:sz w:val="20"/>
          <w:szCs w:val="20"/>
          <w:lang w:val="en-US"/>
        </w:rPr>
        <w:t>Graph (e): Storm of February 27, 2014 at BF01.</w:t>
      </w:r>
    </w:p>
    <w:p w14:paraId="2E8349EA" w14:textId="77777777" w:rsidR="009159AB" w:rsidRPr="00BB0BEB" w:rsidRDefault="009159AB" w:rsidP="00C60BA0">
      <w:pPr>
        <w:jc w:val="both"/>
        <w:rPr>
          <w:rFonts w:ascii="Arial" w:hAnsi="Arial" w:cs="Arial"/>
          <w:sz w:val="20"/>
          <w:szCs w:val="20"/>
          <w:lang w:val="en-US"/>
        </w:rPr>
      </w:pPr>
      <w:r w:rsidRPr="00BB0BEB">
        <w:rPr>
          <w:rFonts w:ascii="Arial" w:hAnsi="Arial" w:cs="Arial"/>
          <w:sz w:val="20"/>
          <w:szCs w:val="20"/>
          <w:lang w:val="en-US"/>
        </w:rPr>
        <w:t xml:space="preserve">The initial phase occurred between 1600TL and 1700TL and the main phase continued until 2300TL with a </w:t>
      </w:r>
      <w:proofErr w:type="spellStart"/>
      <w:r w:rsidRPr="00BB0BEB">
        <w:rPr>
          <w:rFonts w:ascii="Arial" w:hAnsi="Arial" w:cs="Arial"/>
          <w:sz w:val="20"/>
          <w:szCs w:val="20"/>
          <w:lang w:val="en-US"/>
        </w:rPr>
        <w:t>Dst</w:t>
      </w:r>
      <w:proofErr w:type="spellEnd"/>
      <w:r w:rsidRPr="00BB0BEB">
        <w:rPr>
          <w:rFonts w:ascii="Arial" w:hAnsi="Arial" w:cs="Arial"/>
          <w:sz w:val="20"/>
          <w:szCs w:val="20"/>
          <w:lang w:val="en-US"/>
        </w:rPr>
        <w:t xml:space="preserve"> of -97nT. The recovery phase started from 0000TL. The scintillation is recorded the day before the storm between 2100TL and 2200TL. During the main phase of the storm, the scintillation phenomenon occurred between 1900TL and 2200TL with a maximum ROTI of 0.79tecu/min at 2000TL.</w:t>
      </w:r>
    </w:p>
    <w:p w14:paraId="7DB75325" w14:textId="77777777" w:rsidR="009159AB" w:rsidRPr="00E53C1E" w:rsidRDefault="009159AB" w:rsidP="00C60BA0">
      <w:pPr>
        <w:pStyle w:val="ListParagraph"/>
        <w:numPr>
          <w:ilvl w:val="0"/>
          <w:numId w:val="3"/>
        </w:numPr>
        <w:jc w:val="both"/>
        <w:rPr>
          <w:rFonts w:ascii="Arial" w:hAnsi="Arial" w:cs="Arial"/>
          <w:i/>
          <w:sz w:val="20"/>
          <w:szCs w:val="20"/>
          <w:lang w:val="en-US"/>
        </w:rPr>
      </w:pPr>
      <w:r w:rsidRPr="00E53C1E">
        <w:rPr>
          <w:rFonts w:ascii="Arial" w:hAnsi="Arial" w:cs="Arial"/>
          <w:i/>
          <w:sz w:val="20"/>
          <w:szCs w:val="20"/>
          <w:lang w:val="en-US"/>
        </w:rPr>
        <w:t>Graph (f): Storm of June 22, 2015 at BF01</w:t>
      </w:r>
    </w:p>
    <w:p w14:paraId="7CFDBB08" w14:textId="77777777" w:rsidR="009159AB" w:rsidRDefault="009159AB" w:rsidP="00C60BA0">
      <w:pPr>
        <w:jc w:val="both"/>
        <w:rPr>
          <w:rFonts w:ascii="Arial" w:hAnsi="Arial" w:cs="Arial"/>
          <w:sz w:val="20"/>
          <w:szCs w:val="20"/>
          <w:lang w:val="en-US"/>
        </w:rPr>
      </w:pPr>
      <w:r w:rsidRPr="00BB0BEB">
        <w:rPr>
          <w:rFonts w:ascii="Arial" w:hAnsi="Arial" w:cs="Arial"/>
          <w:sz w:val="20"/>
          <w:szCs w:val="20"/>
          <w:lang w:val="en-US"/>
        </w:rPr>
        <w:t xml:space="preserve">This storm started at 1700 TL with the initial phase. Its main phase occurred from 1900 TL and continued all night until 0400 TL with a </w:t>
      </w:r>
      <w:proofErr w:type="spellStart"/>
      <w:r w:rsidRPr="00BB0BEB">
        <w:rPr>
          <w:rFonts w:ascii="Arial" w:hAnsi="Arial" w:cs="Arial"/>
          <w:sz w:val="20"/>
          <w:szCs w:val="20"/>
          <w:lang w:val="en-US"/>
        </w:rPr>
        <w:t>Dst</w:t>
      </w:r>
      <w:proofErr w:type="spellEnd"/>
      <w:r w:rsidRPr="00BB0BEB">
        <w:rPr>
          <w:rFonts w:ascii="Arial" w:hAnsi="Arial" w:cs="Arial"/>
          <w:sz w:val="20"/>
          <w:szCs w:val="20"/>
          <w:lang w:val="en-US"/>
        </w:rPr>
        <w:t xml:space="preserve"> of -198 </w:t>
      </w:r>
      <w:proofErr w:type="spellStart"/>
      <w:r w:rsidRPr="00BB0BEB">
        <w:rPr>
          <w:rFonts w:ascii="Arial" w:hAnsi="Arial" w:cs="Arial"/>
          <w:sz w:val="20"/>
          <w:szCs w:val="20"/>
          <w:lang w:val="en-US"/>
        </w:rPr>
        <w:t>nT.</w:t>
      </w:r>
      <w:proofErr w:type="spellEnd"/>
      <w:r w:rsidRPr="00BB0BEB">
        <w:rPr>
          <w:rFonts w:ascii="Arial" w:hAnsi="Arial" w:cs="Arial"/>
          <w:sz w:val="20"/>
          <w:szCs w:val="20"/>
          <w:lang w:val="en-US"/>
        </w:rPr>
        <w:t xml:space="preserve"> The recovery phase continued into the following day. Phase scintillation did not appear the day before the storm but it is present at the beginning of the main phase at 1900 TL with a ROTI of 0.54 </w:t>
      </w:r>
      <w:proofErr w:type="spellStart"/>
      <w:r w:rsidRPr="00BB0BEB">
        <w:rPr>
          <w:rFonts w:ascii="Arial" w:hAnsi="Arial" w:cs="Arial"/>
          <w:sz w:val="20"/>
          <w:szCs w:val="20"/>
          <w:lang w:val="en-US"/>
        </w:rPr>
        <w:t>tecu</w:t>
      </w:r>
      <w:proofErr w:type="spellEnd"/>
      <w:r w:rsidRPr="00BB0BEB">
        <w:rPr>
          <w:rFonts w:ascii="Arial" w:hAnsi="Arial" w:cs="Arial"/>
          <w:sz w:val="20"/>
          <w:szCs w:val="20"/>
          <w:lang w:val="en-US"/>
        </w:rPr>
        <w:t>/min.</w:t>
      </w:r>
    </w:p>
    <w:p w14:paraId="2CFD2735" w14:textId="77777777" w:rsidR="00F8506B" w:rsidRPr="00BB0BEB" w:rsidRDefault="00F8506B" w:rsidP="00C60BA0">
      <w:pPr>
        <w:jc w:val="both"/>
        <w:rPr>
          <w:rFonts w:ascii="Arial" w:hAnsi="Arial" w:cs="Arial"/>
          <w:sz w:val="20"/>
          <w:szCs w:val="20"/>
          <w:lang w:val="en-US"/>
        </w:rPr>
      </w:pPr>
    </w:p>
    <w:tbl>
      <w:tblPr>
        <w:tblStyle w:val="TableGrid"/>
        <w:tblW w:w="9843" w:type="dxa"/>
        <w:tblInd w:w="-289" w:type="dxa"/>
        <w:tblLayout w:type="fixed"/>
        <w:tblLook w:val="04A0" w:firstRow="1" w:lastRow="0" w:firstColumn="1" w:lastColumn="0" w:noHBand="0" w:noVBand="1"/>
      </w:tblPr>
      <w:tblGrid>
        <w:gridCol w:w="4962"/>
        <w:gridCol w:w="4881"/>
      </w:tblGrid>
      <w:tr w:rsidR="009159AB" w:rsidRPr="00BB0BEB" w14:paraId="35647DD4" w14:textId="77777777" w:rsidTr="005828BA">
        <w:tc>
          <w:tcPr>
            <w:tcW w:w="4962" w:type="dxa"/>
          </w:tcPr>
          <w:p w14:paraId="06D5D521" w14:textId="77777777" w:rsidR="009159AB" w:rsidRPr="00BB0BEB" w:rsidRDefault="009159AB" w:rsidP="00C60BA0">
            <w:pPr>
              <w:spacing w:line="360" w:lineRule="auto"/>
              <w:jc w:val="both"/>
              <w:rPr>
                <w:rFonts w:ascii="Arial" w:hAnsi="Arial" w:cs="Arial"/>
                <w:sz w:val="20"/>
                <w:szCs w:val="20"/>
              </w:rPr>
            </w:pPr>
            <w:r w:rsidRPr="00BB0BEB">
              <w:rPr>
                <w:rFonts w:ascii="Arial" w:hAnsi="Arial" w:cs="Arial"/>
                <w:noProof/>
                <w:sz w:val="20"/>
                <w:szCs w:val="20"/>
                <w:lang w:eastAsia="fr-FR"/>
              </w:rPr>
              <mc:AlternateContent>
                <mc:Choice Requires="wps">
                  <w:drawing>
                    <wp:anchor distT="0" distB="0" distL="114300" distR="114300" simplePos="0" relativeHeight="251659264" behindDoc="0" locked="0" layoutInCell="1" allowOverlap="1" wp14:anchorId="4022A010" wp14:editId="0B635265">
                      <wp:simplePos x="0" y="0"/>
                      <wp:positionH relativeFrom="column">
                        <wp:posOffset>93028</wp:posOffset>
                      </wp:positionH>
                      <wp:positionV relativeFrom="paragraph">
                        <wp:posOffset>1894205</wp:posOffset>
                      </wp:positionV>
                      <wp:extent cx="528637" cy="400050"/>
                      <wp:effectExtent l="0" t="0" r="5080" b="0"/>
                      <wp:wrapNone/>
                      <wp:docPr id="5" name="Zone de texte 5"/>
                      <wp:cNvGraphicFramePr/>
                      <a:graphic xmlns:a="http://schemas.openxmlformats.org/drawingml/2006/main">
                        <a:graphicData uri="http://schemas.microsoft.com/office/word/2010/wordprocessingShape">
                          <wps:wsp>
                            <wps:cNvSpPr txBox="1"/>
                            <wps:spPr>
                              <a:xfrm>
                                <a:off x="0" y="0"/>
                                <a:ext cx="528637" cy="400050"/>
                              </a:xfrm>
                              <a:prstGeom prst="rect">
                                <a:avLst/>
                              </a:prstGeom>
                              <a:solidFill>
                                <a:schemeClr val="lt1"/>
                              </a:solidFill>
                              <a:ln w="6350">
                                <a:noFill/>
                              </a:ln>
                            </wps:spPr>
                            <wps:txbx>
                              <w:txbxContent>
                                <w:p w14:paraId="2D7514E7" w14:textId="77777777" w:rsidR="009159AB" w:rsidRPr="00C20920" w:rsidRDefault="009159AB" w:rsidP="009159AB">
                                  <w:pPr>
                                    <w:rPr>
                                      <w:b/>
                                      <w:sz w:val="36"/>
                                      <w:szCs w:val="36"/>
                                    </w:rPr>
                                  </w:pPr>
                                  <w:r w:rsidRPr="00C20920">
                                    <w:rPr>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2A010" id="_x0000_t202" coordsize="21600,21600" o:spt="202" path="m,l,21600r21600,l21600,xe">
                      <v:stroke joinstyle="miter"/>
                      <v:path gradientshapeok="t" o:connecttype="rect"/>
                    </v:shapetype>
                    <v:shape id="Zone de texte 5" o:spid="_x0000_s1026" type="#_x0000_t202" style="position:absolute;left:0;text-align:left;margin-left:7.35pt;margin-top:149.15pt;width:41.6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" fillcolor="white [3201]" stroked="f" strokeweight=".5pt">
                      <v:textbox>
                        <w:txbxContent>
                          <w:p w14:paraId="2D7514E7" w14:textId="77777777" w:rsidR="009159AB" w:rsidRPr="00C20920" w:rsidRDefault="009159AB" w:rsidP="009159AB">
                            <w:pPr>
                              <w:rPr>
                                <w:b/>
                                <w:sz w:val="36"/>
                                <w:szCs w:val="36"/>
                              </w:rPr>
                            </w:pPr>
                            <w:r w:rsidRPr="00C20920">
                              <w:rPr>
                                <w:b/>
                                <w:sz w:val="36"/>
                                <w:szCs w:val="36"/>
                              </w:rPr>
                              <w:t>(a)</w:t>
                            </w:r>
                          </w:p>
                        </w:txbxContent>
                      </v:textbox>
                    </v:shape>
                  </w:pict>
                </mc:Fallback>
              </mc:AlternateContent>
            </w:r>
            <w:r w:rsidRPr="00BB0BEB">
              <w:rPr>
                <w:rFonts w:ascii="Arial" w:hAnsi="Arial" w:cs="Arial"/>
                <w:noProof/>
                <w:sz w:val="20"/>
                <w:szCs w:val="20"/>
                <w:lang w:eastAsia="fr-FR"/>
              </w:rPr>
              <w:drawing>
                <wp:inline distT="0" distB="0" distL="0" distR="0" wp14:anchorId="7C5C923A" wp14:editId="0662BB5A">
                  <wp:extent cx="2981325" cy="2198535"/>
                  <wp:effectExtent l="0" t="0" r="0" b="0"/>
                  <wp:docPr id="1" name="Graphique 1">
                    <a:extLst xmlns:a="http://schemas.openxmlformats.org/drawingml/2006/main">
                      <a:ext uri="{FF2B5EF4-FFF2-40B4-BE49-F238E27FC236}">
                        <a16:creationId xmlns:a16="http://schemas.microsoft.com/office/drawing/2014/main" id="{915DC79D-A7E1-1D7A-C9C0-0F7183626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881" w:type="dxa"/>
          </w:tcPr>
          <w:p w14:paraId="545E014B" w14:textId="77777777" w:rsidR="009159AB" w:rsidRPr="00BB0BEB" w:rsidRDefault="009159AB" w:rsidP="000A715D">
            <w:pPr>
              <w:tabs>
                <w:tab w:val="left" w:pos="3224"/>
              </w:tabs>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14BA1DFA" wp14:editId="431CAEBA">
                  <wp:extent cx="2953385" cy="2226365"/>
                  <wp:effectExtent l="0" t="0" r="0" b="2540"/>
                  <wp:docPr id="2" name="Graphique 2">
                    <a:extLst xmlns:a="http://schemas.openxmlformats.org/drawingml/2006/main">
                      <a:ext uri="{FF2B5EF4-FFF2-40B4-BE49-F238E27FC236}">
                        <a16:creationId xmlns:a16="http://schemas.microsoft.com/office/drawing/2014/main" id="{06122E60-FAE4-326C-B15E-C4DB1E59B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9159AB" w:rsidRPr="00BB0BEB" w14:paraId="3EB76A77" w14:textId="77777777" w:rsidTr="005828BA">
        <w:tc>
          <w:tcPr>
            <w:tcW w:w="4962" w:type="dxa"/>
          </w:tcPr>
          <w:p w14:paraId="6B3BF0D9" w14:textId="77777777" w:rsidR="009159AB" w:rsidRPr="00BB0BEB" w:rsidRDefault="009159AB" w:rsidP="00C60BA0">
            <w:pPr>
              <w:spacing w:line="360" w:lineRule="auto"/>
              <w:jc w:val="both"/>
              <w:rPr>
                <w:rFonts w:ascii="Arial" w:hAnsi="Arial" w:cs="Arial"/>
                <w:sz w:val="20"/>
                <w:szCs w:val="20"/>
              </w:rPr>
            </w:pPr>
            <w:r w:rsidRPr="00BB0BEB">
              <w:rPr>
                <w:rFonts w:ascii="Arial" w:hAnsi="Arial" w:cs="Arial"/>
                <w:noProof/>
                <w:sz w:val="20"/>
                <w:szCs w:val="20"/>
                <w:lang w:eastAsia="fr-FR"/>
              </w:rPr>
              <w:lastRenderedPageBreak/>
              <w:drawing>
                <wp:inline distT="0" distB="0" distL="0" distR="0" wp14:anchorId="3E67E42C" wp14:editId="32A93437">
                  <wp:extent cx="2895600" cy="2162175"/>
                  <wp:effectExtent l="0" t="0" r="0" b="9525"/>
                  <wp:docPr id="1575193123" name="Graphique 1">
                    <a:extLst xmlns:a="http://schemas.openxmlformats.org/drawingml/2006/main">
                      <a:ext uri="{FF2B5EF4-FFF2-40B4-BE49-F238E27FC236}">
                        <a16:creationId xmlns:a16="http://schemas.microsoft.com/office/drawing/2014/main" id="{C6926A28-6921-87E5-B0B0-16B3574BD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881" w:type="dxa"/>
          </w:tcPr>
          <w:p w14:paraId="7593B5EE" w14:textId="77777777" w:rsidR="009159AB" w:rsidRPr="00BB0BEB" w:rsidRDefault="009159AB" w:rsidP="00C60BA0">
            <w:pPr>
              <w:spacing w:line="360" w:lineRule="auto"/>
              <w:jc w:val="both"/>
              <w:rPr>
                <w:rFonts w:ascii="Arial" w:hAnsi="Arial" w:cs="Arial"/>
                <w:sz w:val="20"/>
                <w:szCs w:val="20"/>
              </w:rPr>
            </w:pPr>
            <w:r w:rsidRPr="00BB0BEB">
              <w:rPr>
                <w:rFonts w:ascii="Arial" w:hAnsi="Arial" w:cs="Arial"/>
                <w:noProof/>
                <w:sz w:val="20"/>
                <w:szCs w:val="20"/>
                <w:lang w:eastAsia="fr-FR"/>
              </w:rPr>
              <w:drawing>
                <wp:inline distT="0" distB="0" distL="0" distR="0" wp14:anchorId="2044FFB8" wp14:editId="1212F23D">
                  <wp:extent cx="2910178" cy="2083242"/>
                  <wp:effectExtent l="0" t="0" r="5080" b="12700"/>
                  <wp:docPr id="1481839422" name="Graphique 1">
                    <a:extLst xmlns:a="http://schemas.openxmlformats.org/drawingml/2006/main">
                      <a:ext uri="{FF2B5EF4-FFF2-40B4-BE49-F238E27FC236}">
                        <a16:creationId xmlns:a16="http://schemas.microsoft.com/office/drawing/2014/main" id="{246A59E5-AEB2-55D5-30F2-CA6EA9CFB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9159AB" w:rsidRPr="00BB0BEB" w14:paraId="4A7E8C91" w14:textId="77777777" w:rsidTr="005828BA">
        <w:tc>
          <w:tcPr>
            <w:tcW w:w="4962" w:type="dxa"/>
          </w:tcPr>
          <w:p w14:paraId="1D7C2C94" w14:textId="77777777" w:rsidR="009159AB" w:rsidRPr="00BB0BEB" w:rsidRDefault="009159AB" w:rsidP="00C60BA0">
            <w:pPr>
              <w:spacing w:line="360" w:lineRule="auto"/>
              <w:jc w:val="both"/>
              <w:rPr>
                <w:rFonts w:ascii="Arial" w:hAnsi="Arial" w:cs="Arial"/>
                <w:noProof/>
                <w:sz w:val="20"/>
                <w:szCs w:val="20"/>
                <w:lang w:eastAsia="fr-FR"/>
              </w:rPr>
            </w:pPr>
            <w:r w:rsidRPr="00BB0BEB">
              <w:rPr>
                <w:rFonts w:ascii="Arial" w:hAnsi="Arial" w:cs="Arial"/>
                <w:noProof/>
                <w:sz w:val="20"/>
                <w:szCs w:val="20"/>
                <w:lang w:eastAsia="fr-FR"/>
              </w:rPr>
              <w:drawing>
                <wp:inline distT="0" distB="0" distL="0" distR="0" wp14:anchorId="7BE3D111" wp14:editId="6DD8813E">
                  <wp:extent cx="3025140" cy="2162175"/>
                  <wp:effectExtent l="0" t="0" r="3810" b="9525"/>
                  <wp:docPr id="3" name="Graphique 3">
                    <a:extLst xmlns:a="http://schemas.openxmlformats.org/drawingml/2006/main">
                      <a:ext uri="{FF2B5EF4-FFF2-40B4-BE49-F238E27FC236}">
                        <a16:creationId xmlns:a16="http://schemas.microsoft.com/office/drawing/2014/main" id="{4E9284F1-368C-198A-D9C2-DFC229CE8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881" w:type="dxa"/>
          </w:tcPr>
          <w:p w14:paraId="3FC6D8F9" w14:textId="77777777" w:rsidR="009159AB" w:rsidRPr="00BB0BEB" w:rsidRDefault="009159AB" w:rsidP="00C60BA0">
            <w:pPr>
              <w:spacing w:line="360" w:lineRule="auto"/>
              <w:jc w:val="both"/>
              <w:rPr>
                <w:rFonts w:ascii="Arial" w:hAnsi="Arial" w:cs="Arial"/>
                <w:noProof/>
                <w:sz w:val="20"/>
                <w:szCs w:val="20"/>
                <w:lang w:eastAsia="fr-FR"/>
              </w:rPr>
            </w:pPr>
            <w:r w:rsidRPr="00BB0BEB">
              <w:rPr>
                <w:rFonts w:ascii="Arial" w:hAnsi="Arial" w:cs="Arial"/>
                <w:noProof/>
                <w:sz w:val="20"/>
                <w:szCs w:val="20"/>
                <w:lang w:eastAsia="fr-FR"/>
              </w:rPr>
              <w:drawing>
                <wp:inline distT="0" distB="0" distL="0" distR="0" wp14:anchorId="25E32255" wp14:editId="15A8E5A2">
                  <wp:extent cx="3021330" cy="2252662"/>
                  <wp:effectExtent l="0" t="0" r="7620" b="14605"/>
                  <wp:docPr id="1259601996" name="Graphique 1">
                    <a:extLst xmlns:a="http://schemas.openxmlformats.org/drawingml/2006/main">
                      <a:ext uri="{FF2B5EF4-FFF2-40B4-BE49-F238E27FC236}">
                        <a16:creationId xmlns:a16="http://schemas.microsoft.com/office/drawing/2014/main" id="{265672F6-E2C4-690A-A5DD-0E228FEF8C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73E374C8" w14:textId="77777777" w:rsidR="009159AB" w:rsidRPr="00BB0BEB" w:rsidRDefault="009159AB" w:rsidP="00C60BA0">
      <w:pPr>
        <w:jc w:val="both"/>
        <w:rPr>
          <w:rFonts w:ascii="Arial" w:hAnsi="Arial" w:cs="Arial"/>
          <w:sz w:val="20"/>
          <w:szCs w:val="20"/>
          <w:lang w:val="en-US"/>
        </w:rPr>
      </w:pPr>
    </w:p>
    <w:p w14:paraId="78042240" w14:textId="72277949" w:rsidR="009159AB" w:rsidRPr="00BB0BEB" w:rsidRDefault="00334303" w:rsidP="00F8506B">
      <w:pPr>
        <w:jc w:val="center"/>
        <w:rPr>
          <w:rFonts w:ascii="Arial" w:hAnsi="Arial" w:cs="Arial"/>
          <w:b/>
          <w:sz w:val="20"/>
          <w:szCs w:val="20"/>
          <w:lang w:val="en-US"/>
        </w:rPr>
      </w:pPr>
      <w:r w:rsidRPr="00334303">
        <w:rPr>
          <w:rFonts w:ascii="Arial" w:hAnsi="Arial" w:cs="Arial"/>
          <w:b/>
          <w:sz w:val="20"/>
          <w:szCs w:val="20"/>
          <w:lang w:val="en-US"/>
        </w:rPr>
        <w:t>Figure 7</w:t>
      </w:r>
      <w:r w:rsidR="003679DD">
        <w:rPr>
          <w:rFonts w:ascii="Arial" w:hAnsi="Arial" w:cs="Arial"/>
          <w:b/>
          <w:sz w:val="20"/>
          <w:szCs w:val="20"/>
          <w:lang w:val="en-US"/>
        </w:rPr>
        <w:t>.</w:t>
      </w:r>
      <w:r w:rsidR="009159AB" w:rsidRPr="00BB0BEB">
        <w:rPr>
          <w:rFonts w:ascii="Arial" w:hAnsi="Arial" w:cs="Arial"/>
          <w:b/>
          <w:sz w:val="20"/>
          <w:szCs w:val="20"/>
          <w:lang w:val="en-US"/>
        </w:rPr>
        <w:t xml:space="preserve"> Variation of ROTI as a function of </w:t>
      </w:r>
      <w:proofErr w:type="spellStart"/>
      <w:r w:rsidR="009159AB" w:rsidRPr="00BB0BEB">
        <w:rPr>
          <w:rFonts w:ascii="Arial" w:hAnsi="Arial" w:cs="Arial"/>
          <w:b/>
          <w:sz w:val="20"/>
          <w:szCs w:val="20"/>
          <w:lang w:val="en-US"/>
        </w:rPr>
        <w:t>Dst</w:t>
      </w:r>
      <w:proofErr w:type="spellEnd"/>
      <w:r w:rsidR="009159AB" w:rsidRPr="00BB0BEB">
        <w:rPr>
          <w:rFonts w:ascii="Arial" w:hAnsi="Arial" w:cs="Arial"/>
          <w:b/>
          <w:sz w:val="20"/>
          <w:szCs w:val="20"/>
          <w:lang w:val="en-US"/>
        </w:rPr>
        <w:t xml:space="preserve"> during magnetic storms</w:t>
      </w:r>
    </w:p>
    <w:p w14:paraId="51A2EC5B" w14:textId="77777777" w:rsidR="009159AB" w:rsidRPr="00BB0BEB" w:rsidRDefault="009159AB" w:rsidP="00C60BA0">
      <w:pPr>
        <w:jc w:val="both"/>
        <w:rPr>
          <w:rFonts w:ascii="Arial" w:hAnsi="Arial" w:cs="Arial"/>
          <w:b/>
          <w:sz w:val="20"/>
          <w:szCs w:val="20"/>
          <w:lang w:val="en-US"/>
        </w:rPr>
      </w:pPr>
    </w:p>
    <w:p w14:paraId="725249AE" w14:textId="77777777" w:rsidR="009159AB" w:rsidRPr="00BB0BEB" w:rsidRDefault="009159AB" w:rsidP="00C60BA0">
      <w:pPr>
        <w:jc w:val="both"/>
        <w:rPr>
          <w:rFonts w:ascii="Arial" w:hAnsi="Arial" w:cs="Arial"/>
          <w:sz w:val="20"/>
          <w:szCs w:val="20"/>
          <w:lang w:val="en-US"/>
        </w:rPr>
      </w:pPr>
      <w:r w:rsidRPr="00BB0BEB">
        <w:rPr>
          <w:rFonts w:ascii="Arial" w:hAnsi="Arial" w:cs="Arial"/>
          <w:sz w:val="20"/>
          <w:szCs w:val="20"/>
          <w:lang w:val="en-US"/>
        </w:rPr>
        <w:t>During the storms of March 17, 2013 and 2015 (graphs a, b and c), the main phases began during the morning and this s</w:t>
      </w:r>
      <w:r w:rsidR="004D1F80">
        <w:rPr>
          <w:rFonts w:ascii="Arial" w:hAnsi="Arial" w:cs="Arial"/>
          <w:sz w:val="20"/>
          <w:szCs w:val="20"/>
          <w:lang w:val="en-US"/>
        </w:rPr>
        <w:t>eems to inhibit the manifestation</w:t>
      </w:r>
      <w:r w:rsidRPr="00BB0BEB">
        <w:rPr>
          <w:rFonts w:ascii="Arial" w:hAnsi="Arial" w:cs="Arial"/>
          <w:sz w:val="20"/>
          <w:szCs w:val="20"/>
          <w:lang w:val="en-US"/>
        </w:rPr>
        <w:t xml:space="preserve"> of the scintillation phenomenon during the night of the storm. On the other hand, in graphs (d), (e) and (f), the main phases of the storms occurred at night and the scintillation </w:t>
      </w:r>
      <w:r w:rsidRPr="004D1F80">
        <w:rPr>
          <w:rFonts w:ascii="Arial" w:hAnsi="Arial" w:cs="Arial"/>
          <w:sz w:val="20"/>
          <w:szCs w:val="20"/>
          <w:lang w:val="en-US"/>
        </w:rPr>
        <w:t xml:space="preserve">was </w:t>
      </w:r>
      <w:r w:rsidR="004D1F80" w:rsidRPr="004D1F80">
        <w:rPr>
          <w:rFonts w:ascii="Arial" w:hAnsi="Arial" w:cs="Arial"/>
          <w:sz w:val="20"/>
          <w:szCs w:val="20"/>
          <w:lang w:val="en-US"/>
        </w:rPr>
        <w:t>appeared</w:t>
      </w:r>
      <w:r w:rsidRPr="004D1F80">
        <w:rPr>
          <w:rFonts w:ascii="Arial" w:hAnsi="Arial" w:cs="Arial"/>
          <w:sz w:val="20"/>
          <w:szCs w:val="20"/>
          <w:lang w:val="en-US"/>
        </w:rPr>
        <w:t xml:space="preserve"> during </w:t>
      </w:r>
      <w:r w:rsidRPr="00BB0BEB">
        <w:rPr>
          <w:rFonts w:ascii="Arial" w:hAnsi="Arial" w:cs="Arial"/>
          <w:sz w:val="20"/>
          <w:szCs w:val="20"/>
          <w:lang w:val="en-US"/>
        </w:rPr>
        <w:t xml:space="preserve">these phases or during </w:t>
      </w:r>
      <w:r w:rsidRPr="004D1F80">
        <w:rPr>
          <w:rFonts w:ascii="Arial" w:hAnsi="Arial" w:cs="Arial"/>
          <w:sz w:val="20"/>
          <w:szCs w:val="20"/>
          <w:lang w:val="en-US"/>
        </w:rPr>
        <w:t>the overlapping phases.</w:t>
      </w:r>
    </w:p>
    <w:p w14:paraId="59E18442" w14:textId="77777777" w:rsidR="009159AB" w:rsidRPr="00BB0BEB" w:rsidRDefault="009159AB" w:rsidP="00C60BA0">
      <w:pPr>
        <w:jc w:val="both"/>
        <w:rPr>
          <w:rFonts w:ascii="Arial" w:hAnsi="Arial" w:cs="Arial"/>
          <w:sz w:val="20"/>
          <w:szCs w:val="20"/>
          <w:lang w:val="en-US"/>
        </w:rPr>
      </w:pPr>
      <w:proofErr w:type="spellStart"/>
      <w:r w:rsidRPr="00BB0BEB">
        <w:rPr>
          <w:rFonts w:ascii="Arial" w:hAnsi="Arial" w:cs="Arial"/>
          <w:sz w:val="20"/>
          <w:szCs w:val="20"/>
          <w:lang w:val="en-US"/>
        </w:rPr>
        <w:t>Azzouzi</w:t>
      </w:r>
      <w:proofErr w:type="spellEnd"/>
      <w:r w:rsidRPr="00BB0BEB">
        <w:rPr>
          <w:rFonts w:ascii="Arial" w:hAnsi="Arial" w:cs="Arial"/>
          <w:sz w:val="20"/>
          <w:szCs w:val="20"/>
          <w:lang w:val="en-US"/>
        </w:rPr>
        <w:t xml:space="preserve"> et al. (2016) showed that, generally speaking, during periods of geomagnetic disturbances, there is an inhibition of ionospheric scintillation phenomena. During the main phase, there is an increase in the ring current. According to Aarons (1991), the suppression and enhancement of irregularities during geomagnetic disturbances can be attributed to changes in the ring current. This author put forward three hypotheses regarding the generation or inhibition of irregularities:</w:t>
      </w:r>
    </w:p>
    <w:p w14:paraId="3B9BAF1E" w14:textId="77777777" w:rsidR="009159AB" w:rsidRPr="00BB0BEB" w:rsidRDefault="009159AB" w:rsidP="00C60BA0">
      <w:pPr>
        <w:pStyle w:val="ListParagraph"/>
        <w:numPr>
          <w:ilvl w:val="0"/>
          <w:numId w:val="3"/>
        </w:numPr>
        <w:jc w:val="both"/>
        <w:rPr>
          <w:rFonts w:ascii="Arial" w:hAnsi="Arial" w:cs="Arial"/>
          <w:sz w:val="20"/>
          <w:szCs w:val="20"/>
          <w:lang w:val="en-US"/>
        </w:rPr>
      </w:pPr>
      <w:r w:rsidRPr="00BB0BEB">
        <w:rPr>
          <w:rFonts w:ascii="Arial" w:hAnsi="Arial" w:cs="Arial"/>
          <w:sz w:val="20"/>
          <w:szCs w:val="20"/>
          <w:lang w:val="en-US"/>
        </w:rPr>
        <w:t xml:space="preserve">If the maximum </w:t>
      </w:r>
      <w:proofErr w:type="spellStart"/>
      <w:r w:rsidRPr="00BB0BEB">
        <w:rPr>
          <w:rFonts w:ascii="Arial" w:hAnsi="Arial" w:cs="Arial"/>
          <w:sz w:val="20"/>
          <w:szCs w:val="20"/>
          <w:lang w:val="en-US"/>
        </w:rPr>
        <w:t>Dst</w:t>
      </w:r>
      <w:proofErr w:type="spellEnd"/>
      <w:r w:rsidRPr="00BB0BEB">
        <w:rPr>
          <w:rFonts w:ascii="Arial" w:hAnsi="Arial" w:cs="Arial"/>
          <w:sz w:val="20"/>
          <w:szCs w:val="20"/>
          <w:lang w:val="en-US"/>
        </w:rPr>
        <w:t xml:space="preserve"> excursion occurs during daylight hours and well before sunset, the normal elevation of the F layer is disrupted, and irregularities are inhibited that night;</w:t>
      </w:r>
    </w:p>
    <w:p w14:paraId="5E99F540" w14:textId="5A7BEE38" w:rsidR="009159AB" w:rsidRPr="00BB0BEB" w:rsidRDefault="00F41DDD" w:rsidP="00C60BA0">
      <w:pPr>
        <w:pStyle w:val="ListParagraph"/>
        <w:numPr>
          <w:ilvl w:val="0"/>
          <w:numId w:val="3"/>
        </w:numPr>
        <w:jc w:val="both"/>
        <w:rPr>
          <w:rFonts w:ascii="Arial" w:hAnsi="Arial" w:cs="Arial"/>
          <w:sz w:val="20"/>
          <w:szCs w:val="20"/>
          <w:lang w:val="en-US"/>
        </w:rPr>
      </w:pPr>
      <w:r>
        <w:rPr>
          <w:rFonts w:ascii="Arial" w:hAnsi="Arial" w:cs="Arial"/>
          <w:sz w:val="20"/>
          <w:szCs w:val="20"/>
          <w:lang w:val="en-US"/>
        </w:rPr>
        <w:t>Whether</w:t>
      </w:r>
      <w:r w:rsidR="009159AB" w:rsidRPr="00BB0BEB">
        <w:rPr>
          <w:rFonts w:ascii="Arial" w:hAnsi="Arial" w:cs="Arial"/>
          <w:sz w:val="20"/>
          <w:szCs w:val="20"/>
          <w:lang w:val="en-US"/>
        </w:rPr>
        <w:t xml:space="preserve"> the significant excursion occurs between midnight and after midnight, the layer height increases and then decreases, creating irregularities;</w:t>
      </w:r>
    </w:p>
    <w:p w14:paraId="536292E8" w14:textId="77777777" w:rsidR="009159AB" w:rsidRPr="00BB0BEB" w:rsidRDefault="009159AB" w:rsidP="00C60BA0">
      <w:pPr>
        <w:pStyle w:val="ListParagraph"/>
        <w:numPr>
          <w:ilvl w:val="0"/>
          <w:numId w:val="3"/>
        </w:numPr>
        <w:jc w:val="both"/>
        <w:rPr>
          <w:rFonts w:ascii="Arial" w:hAnsi="Arial" w:cs="Arial"/>
          <w:sz w:val="20"/>
          <w:szCs w:val="20"/>
          <w:lang w:val="en-US"/>
        </w:rPr>
      </w:pPr>
      <w:r w:rsidRPr="00BB0BEB">
        <w:rPr>
          <w:rFonts w:ascii="Arial" w:hAnsi="Arial" w:cs="Arial"/>
          <w:sz w:val="20"/>
          <w:szCs w:val="20"/>
          <w:lang w:val="en-US"/>
        </w:rPr>
        <w:t xml:space="preserve">If the large </w:t>
      </w:r>
      <w:proofErr w:type="spellStart"/>
      <w:r w:rsidRPr="00BB0BEB">
        <w:rPr>
          <w:rFonts w:ascii="Arial" w:hAnsi="Arial" w:cs="Arial"/>
          <w:sz w:val="20"/>
          <w:szCs w:val="20"/>
          <w:lang w:val="en-US"/>
        </w:rPr>
        <w:t>Dst</w:t>
      </w:r>
      <w:proofErr w:type="spellEnd"/>
      <w:r w:rsidRPr="00BB0BEB">
        <w:rPr>
          <w:rFonts w:ascii="Arial" w:hAnsi="Arial" w:cs="Arial"/>
          <w:sz w:val="20"/>
          <w:szCs w:val="20"/>
          <w:lang w:val="en-US"/>
        </w:rPr>
        <w:t xml:space="preserve"> excursion occurs after sunset and before midnight, the elevation of the layer is not disturbed and irregularities form as during an undisturbed night</w:t>
      </w:r>
    </w:p>
    <w:p w14:paraId="07AAB563" w14:textId="77777777" w:rsidR="009159AB" w:rsidRPr="00BB0BEB" w:rsidRDefault="009159AB" w:rsidP="00C60BA0">
      <w:pPr>
        <w:jc w:val="both"/>
        <w:rPr>
          <w:rFonts w:ascii="Arial" w:hAnsi="Arial" w:cs="Arial"/>
          <w:sz w:val="20"/>
          <w:szCs w:val="20"/>
          <w:lang w:val="en-US"/>
        </w:rPr>
      </w:pPr>
      <w:r w:rsidRPr="00BB0BEB">
        <w:rPr>
          <w:rFonts w:ascii="Arial" w:hAnsi="Arial" w:cs="Arial"/>
          <w:sz w:val="20"/>
          <w:szCs w:val="20"/>
          <w:lang w:val="en-US"/>
        </w:rPr>
        <w:t xml:space="preserve">The study of scintillation during intense thunderstorms at low-latitude stations by </w:t>
      </w:r>
      <w:proofErr w:type="spellStart"/>
      <w:r w:rsidRPr="00BB0BEB">
        <w:rPr>
          <w:rFonts w:ascii="Arial" w:hAnsi="Arial" w:cs="Arial"/>
          <w:sz w:val="20"/>
          <w:szCs w:val="20"/>
          <w:lang w:val="en-US"/>
        </w:rPr>
        <w:t>Zaourar</w:t>
      </w:r>
      <w:proofErr w:type="spellEnd"/>
      <w:r w:rsidRPr="00BB0BEB">
        <w:rPr>
          <w:rFonts w:ascii="Arial" w:hAnsi="Arial" w:cs="Arial"/>
          <w:sz w:val="20"/>
          <w:szCs w:val="20"/>
          <w:lang w:val="en-US"/>
        </w:rPr>
        <w:t xml:space="preserve"> et al. (2017) showed that the phenomenon can be inhibited or triggered depending on the phase and timing of the storm. Correia et al. (2018) also showed that ionospheric irregularities can be inhibited during geomagnetic storms whose main phases occur during the day.</w:t>
      </w:r>
    </w:p>
    <w:p w14:paraId="3AFD480B" w14:textId="77777777" w:rsidR="009159AB" w:rsidRPr="00BB0BEB" w:rsidRDefault="009159AB" w:rsidP="00C60BA0">
      <w:pPr>
        <w:jc w:val="both"/>
        <w:rPr>
          <w:rFonts w:ascii="Arial" w:hAnsi="Arial" w:cs="Arial"/>
          <w:sz w:val="20"/>
          <w:szCs w:val="20"/>
          <w:lang w:val="en-US"/>
        </w:rPr>
      </w:pPr>
      <w:r w:rsidRPr="00BB0BEB">
        <w:rPr>
          <w:rFonts w:ascii="Arial" w:hAnsi="Arial" w:cs="Arial"/>
          <w:sz w:val="20"/>
          <w:szCs w:val="20"/>
          <w:lang w:val="en-US"/>
        </w:rPr>
        <w:lastRenderedPageBreak/>
        <w:t xml:space="preserve">The disappearance of the scintillation phenomenon during the nights of the storms of March 17, 2013 and March 17, 2015 at the </w:t>
      </w:r>
      <w:proofErr w:type="spellStart"/>
      <w:r w:rsidRPr="00BB0BEB">
        <w:rPr>
          <w:rFonts w:ascii="Arial" w:hAnsi="Arial" w:cs="Arial"/>
          <w:sz w:val="20"/>
          <w:szCs w:val="20"/>
          <w:lang w:val="en-US"/>
        </w:rPr>
        <w:t>Koudougou</w:t>
      </w:r>
      <w:proofErr w:type="spellEnd"/>
      <w:r w:rsidRPr="00BB0BEB">
        <w:rPr>
          <w:rFonts w:ascii="Arial" w:hAnsi="Arial" w:cs="Arial"/>
          <w:sz w:val="20"/>
          <w:szCs w:val="20"/>
          <w:lang w:val="en-US"/>
        </w:rPr>
        <w:t xml:space="preserve"> and BF01 stations in Ouagadougou could be explained by the fact that the main phases of these storms began in the morning.</w:t>
      </w:r>
    </w:p>
    <w:p w14:paraId="21C1A6DD" w14:textId="77777777" w:rsidR="009159AB" w:rsidRDefault="009159AB" w:rsidP="00C60BA0">
      <w:pPr>
        <w:jc w:val="both"/>
        <w:rPr>
          <w:rFonts w:ascii="Arial" w:hAnsi="Arial" w:cs="Arial"/>
          <w:sz w:val="20"/>
          <w:szCs w:val="20"/>
          <w:lang w:val="en-US"/>
        </w:rPr>
      </w:pPr>
      <w:r w:rsidRPr="00BB0BEB">
        <w:rPr>
          <w:rFonts w:ascii="Arial" w:hAnsi="Arial" w:cs="Arial"/>
          <w:sz w:val="20"/>
          <w:szCs w:val="20"/>
          <w:lang w:val="en-US"/>
        </w:rPr>
        <w:t xml:space="preserve">The scintillation continued during the nights of the storms of October 2, 2013, February 27, 2014 and June 22, 2014. In fact, the main phases of these storms occurred after nightfall and the significant excursion of the </w:t>
      </w:r>
      <w:proofErr w:type="spellStart"/>
      <w:r w:rsidRPr="00BB0BEB">
        <w:rPr>
          <w:rFonts w:ascii="Arial" w:hAnsi="Arial" w:cs="Arial"/>
          <w:sz w:val="20"/>
          <w:szCs w:val="20"/>
          <w:lang w:val="en-US"/>
        </w:rPr>
        <w:t>Dst</w:t>
      </w:r>
      <w:proofErr w:type="spellEnd"/>
      <w:r w:rsidRPr="00BB0BEB">
        <w:rPr>
          <w:rFonts w:ascii="Arial" w:hAnsi="Arial" w:cs="Arial"/>
          <w:sz w:val="20"/>
          <w:szCs w:val="20"/>
          <w:lang w:val="en-US"/>
        </w:rPr>
        <w:t xml:space="preserve"> at this phase caused a strengthening of the plasma irregularities favorable to scintillation.</w:t>
      </w:r>
    </w:p>
    <w:p w14:paraId="1D2B3019" w14:textId="77777777" w:rsidR="004C7F50" w:rsidRPr="00BB0BEB" w:rsidRDefault="004C7F50" w:rsidP="00C60BA0">
      <w:pPr>
        <w:jc w:val="both"/>
        <w:rPr>
          <w:rFonts w:ascii="Arial" w:hAnsi="Arial" w:cs="Arial"/>
          <w:sz w:val="20"/>
          <w:szCs w:val="20"/>
          <w:lang w:val="en-US"/>
        </w:rPr>
      </w:pPr>
    </w:p>
    <w:p w14:paraId="1CE0F152" w14:textId="77777777" w:rsidR="009159AB" w:rsidRPr="003679DD" w:rsidRDefault="003679DD" w:rsidP="00C60BA0">
      <w:pPr>
        <w:pStyle w:val="ListParagraph"/>
        <w:numPr>
          <w:ilvl w:val="0"/>
          <w:numId w:val="1"/>
        </w:numPr>
        <w:jc w:val="both"/>
        <w:rPr>
          <w:rFonts w:ascii="Arial" w:hAnsi="Arial" w:cs="Arial"/>
          <w:b/>
          <w:lang w:val="en-US"/>
        </w:rPr>
      </w:pPr>
      <w:r w:rsidRPr="003679DD">
        <w:rPr>
          <w:rFonts w:ascii="Arial" w:hAnsi="Arial" w:cs="Arial"/>
          <w:b/>
          <w:lang w:val="en-US"/>
        </w:rPr>
        <w:t xml:space="preserve">CONCLUSION </w:t>
      </w:r>
    </w:p>
    <w:p w14:paraId="1DDFC2D1" w14:textId="74F6472E" w:rsidR="000C7365" w:rsidRDefault="009159AB" w:rsidP="00C60BA0">
      <w:pPr>
        <w:jc w:val="both"/>
        <w:rPr>
          <w:rFonts w:ascii="Arial" w:hAnsi="Arial" w:cs="Arial"/>
          <w:sz w:val="20"/>
          <w:szCs w:val="20"/>
          <w:lang w:val="en-US"/>
        </w:rPr>
      </w:pPr>
      <w:r w:rsidRPr="00BB0BEB">
        <w:rPr>
          <w:rFonts w:ascii="Arial" w:hAnsi="Arial" w:cs="Arial"/>
          <w:sz w:val="20"/>
          <w:szCs w:val="20"/>
          <w:lang w:val="en-US"/>
        </w:rPr>
        <w:t xml:space="preserve">This work is a study of phase scintillation in the West African equatorial region during solar cycle 24 using GNSS data from the GPS stations of </w:t>
      </w:r>
      <w:proofErr w:type="spellStart"/>
      <w:r w:rsidRPr="00BB0BEB">
        <w:rPr>
          <w:rFonts w:ascii="Arial" w:hAnsi="Arial" w:cs="Arial"/>
          <w:sz w:val="20"/>
          <w:szCs w:val="20"/>
          <w:lang w:val="en-US"/>
        </w:rPr>
        <w:t>Koudougou</w:t>
      </w:r>
      <w:proofErr w:type="spellEnd"/>
      <w:r w:rsidRPr="00BB0BEB">
        <w:rPr>
          <w:rFonts w:ascii="Arial" w:hAnsi="Arial" w:cs="Arial"/>
          <w:sz w:val="20"/>
          <w:szCs w:val="20"/>
          <w:lang w:val="en-US"/>
        </w:rPr>
        <w:t xml:space="preserve"> and BF01 of Ouagadougou in Burkina Faso. During periods of quiet geomagnetic activity, the hourly variation of the ROTI index shows that the ionospheric scintillation phenomenon occurs after nightfall between 1900TL and 2300TL and continues late into the night between 0000TL and 0200TL. The Rayleigh-Taylor instability is the main cause. In addition, intense solar activity at the maximum phase causes greater phase scintillation. The seasonal variation of ROTI in quiet periods shows phase scintillation during the equinox months. There is also an equinoctial asymmetry where spring ROTI values ​​are higher than those of autumn. The seasonal effect of phase scintillation could be explained by significant ionization at the equinoxes caused by the increase in the angle of inclination of solar radiation on the equator (</w:t>
      </w:r>
      <w:proofErr w:type="spellStart"/>
      <w:r w:rsidRPr="00BB0BEB">
        <w:rPr>
          <w:rFonts w:ascii="Arial" w:hAnsi="Arial" w:cs="Arial"/>
          <w:sz w:val="20"/>
          <w:szCs w:val="20"/>
          <w:lang w:val="en-US"/>
        </w:rPr>
        <w:t>Galmiche</w:t>
      </w:r>
      <w:proofErr w:type="spellEnd"/>
      <w:r w:rsidRPr="00BB0BEB">
        <w:rPr>
          <w:rFonts w:ascii="Arial" w:hAnsi="Arial" w:cs="Arial"/>
          <w:sz w:val="20"/>
          <w:szCs w:val="20"/>
          <w:lang w:val="en-US"/>
        </w:rPr>
        <w:t>, 2019). Equinoctial asymmetry could be explained by variations in the Earth's magnetic field and high-altitude neutral winds that influence the distribution and intensity of plasma at the spring equinoxes (</w:t>
      </w:r>
      <w:proofErr w:type="spellStart"/>
      <w:r w:rsidRPr="00BB0BEB">
        <w:rPr>
          <w:rFonts w:ascii="Arial" w:hAnsi="Arial" w:cs="Arial"/>
          <w:sz w:val="20"/>
          <w:szCs w:val="20"/>
          <w:lang w:val="en-US"/>
        </w:rPr>
        <w:t>Azzouzi</w:t>
      </w:r>
      <w:proofErr w:type="spellEnd"/>
      <w:r w:rsidRPr="00BB0BEB">
        <w:rPr>
          <w:rFonts w:ascii="Arial" w:hAnsi="Arial" w:cs="Arial"/>
          <w:sz w:val="20"/>
          <w:szCs w:val="20"/>
          <w:lang w:val="en-US"/>
        </w:rPr>
        <w:t xml:space="preserve"> et al., 2016). The study of the impact of some intense thunderstorms shows that phase scintillation is inhibited by the thunderstorm when its main phase occurs during the day. On the other hand, phase scintillation occurs during the thunderstorm when its main phase occurs after nightfall. Depending on the period of the onset of the thunderstorm, the increase in the annular current during the main phase strengthens or inhibits the irregularities of the ionospheric plasma. The study of scintillation in the West African equatorial zone could continue with GNSS data from other receivers by involving other indices such as S4 and </w:t>
      </w:r>
      <m:oMath>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lang w:val="en-US"/>
              </w:rPr>
              <m:t>∅</m:t>
            </m:r>
          </m:sub>
        </m:sSub>
      </m:oMath>
      <w:r w:rsidRPr="00BB0BEB">
        <w:rPr>
          <w:rFonts w:ascii="Arial" w:eastAsiaTheme="minorEastAsia" w:hAnsi="Arial" w:cs="Arial"/>
          <w:sz w:val="20"/>
          <w:szCs w:val="20"/>
          <w:lang w:val="en-US"/>
        </w:rPr>
        <w:t xml:space="preserve"> </w:t>
      </w:r>
      <w:r w:rsidRPr="00BB0BEB">
        <w:rPr>
          <w:rFonts w:ascii="Arial" w:hAnsi="Arial" w:cs="Arial"/>
          <w:sz w:val="20"/>
          <w:szCs w:val="20"/>
          <w:lang w:val="en-US"/>
        </w:rPr>
        <w:t>to explore the amplitude perturbations.</w:t>
      </w:r>
      <w:r w:rsidR="0006176E">
        <w:rPr>
          <w:lang w:val="en-US"/>
        </w:rPr>
        <w:t xml:space="preserve"> </w:t>
      </w:r>
      <w:r w:rsidR="0006176E" w:rsidRPr="0006176E">
        <w:rPr>
          <w:rFonts w:ascii="Arial" w:hAnsi="Arial" w:cs="Arial"/>
          <w:sz w:val="20"/>
          <w:szCs w:val="20"/>
          <w:highlight w:val="yellow"/>
          <w:lang w:val="en-US"/>
        </w:rPr>
        <w:t>Improved GNSS system performance depends on studies conducted on ionospheric irregularities.</w:t>
      </w:r>
    </w:p>
    <w:p w14:paraId="6B4F0801" w14:textId="77777777" w:rsidR="000C7365" w:rsidRPr="000C7365" w:rsidRDefault="000C7365" w:rsidP="000C7365">
      <w:pPr>
        <w:jc w:val="both"/>
        <w:rPr>
          <w:rFonts w:ascii="Arial" w:hAnsi="Arial" w:cs="Arial"/>
          <w:sz w:val="20"/>
          <w:szCs w:val="20"/>
          <w:lang w:val="en-US"/>
        </w:rPr>
      </w:pPr>
      <w:r w:rsidRPr="000C7365">
        <w:rPr>
          <w:rFonts w:ascii="Arial" w:hAnsi="Arial" w:cs="Arial"/>
          <w:sz w:val="20"/>
          <w:szCs w:val="20"/>
          <w:lang w:val="en-US"/>
        </w:rPr>
        <w:t>COMPETING INTERESTS DISCLAIMER:</w:t>
      </w:r>
    </w:p>
    <w:p w14:paraId="6A876425" w14:textId="51F2EBCC" w:rsidR="000C7365" w:rsidRPr="003E1F7D" w:rsidRDefault="000C7365" w:rsidP="000C7365">
      <w:pPr>
        <w:jc w:val="both"/>
        <w:rPr>
          <w:rFonts w:ascii="Arial" w:hAnsi="Arial" w:cs="Arial"/>
          <w:sz w:val="20"/>
          <w:szCs w:val="20"/>
          <w:lang w:val="en-US"/>
        </w:rPr>
      </w:pPr>
      <w:r w:rsidRPr="000C7365">
        <w:rPr>
          <w:rFonts w:ascii="Arial" w:hAnsi="Arial" w:cs="Arial"/>
          <w:sz w:val="20"/>
          <w:szCs w:val="20"/>
          <w:lang w:val="en-US"/>
        </w:rPr>
        <w:t>Authors have declared that they have no known competing financial interests OR non-financial interests OR personal relationships that could have appeared to influence the work reported in this paper.</w:t>
      </w:r>
    </w:p>
    <w:p w14:paraId="467DC4AE" w14:textId="77777777" w:rsidR="00062316" w:rsidRPr="00B47C5E" w:rsidRDefault="00062316" w:rsidP="00062316">
      <w:pPr>
        <w:rPr>
          <w:highlight w:val="yellow"/>
          <w:lang w:val="en-US"/>
        </w:rPr>
      </w:pPr>
      <w:r w:rsidRPr="00B47C5E">
        <w:rPr>
          <w:highlight w:val="yellow"/>
          <w:lang w:val="en-US"/>
        </w:rPr>
        <w:t>Disclaimer (Artificial intelligence)</w:t>
      </w:r>
    </w:p>
    <w:p w14:paraId="2E97389A" w14:textId="77777777" w:rsidR="00062316" w:rsidRPr="00B47C5E" w:rsidRDefault="00062316" w:rsidP="00062316">
      <w:pPr>
        <w:rPr>
          <w:highlight w:val="yellow"/>
          <w:lang w:val="en-US"/>
        </w:rPr>
      </w:pPr>
      <w:bookmarkStart w:id="0" w:name="_GoBack"/>
      <w:bookmarkEnd w:id="0"/>
      <w:r w:rsidRPr="00B47C5E">
        <w:rPr>
          <w:highlight w:val="yellow"/>
          <w:lang w:val="en-US"/>
        </w:rPr>
        <w:t>Author(s) hereby declare that NO generative AI technologies such as Large Language Models (</w:t>
      </w:r>
      <w:proofErr w:type="spellStart"/>
      <w:r w:rsidRPr="00B47C5E">
        <w:rPr>
          <w:highlight w:val="yellow"/>
          <w:lang w:val="en-US"/>
        </w:rPr>
        <w:t>ChatGPT</w:t>
      </w:r>
      <w:proofErr w:type="spellEnd"/>
      <w:r w:rsidRPr="00B47C5E">
        <w:rPr>
          <w:highlight w:val="yellow"/>
          <w:lang w:val="en-US"/>
        </w:rPr>
        <w:t xml:space="preserve">, COPILOT, etc.) and text-to-image generators have been used during the writing or editing of this manuscript. </w:t>
      </w:r>
    </w:p>
    <w:p w14:paraId="050B3EE3" w14:textId="6DA65F92" w:rsidR="000C7365" w:rsidRDefault="000C7365" w:rsidP="00C60BA0">
      <w:pPr>
        <w:spacing w:line="360" w:lineRule="auto"/>
        <w:jc w:val="both"/>
        <w:rPr>
          <w:rFonts w:ascii="Arial" w:hAnsi="Arial" w:cs="Arial"/>
          <w:b/>
          <w:lang w:val="en-US"/>
        </w:rPr>
      </w:pPr>
    </w:p>
    <w:p w14:paraId="2A78CC8C" w14:textId="14C5D864" w:rsidR="006F5D63" w:rsidRPr="003679DD" w:rsidRDefault="003679DD" w:rsidP="00C60BA0">
      <w:pPr>
        <w:spacing w:line="360" w:lineRule="auto"/>
        <w:jc w:val="both"/>
        <w:rPr>
          <w:rFonts w:ascii="Arial" w:hAnsi="Arial" w:cs="Arial"/>
          <w:b/>
          <w:lang w:val="en-US"/>
        </w:rPr>
      </w:pPr>
      <w:r w:rsidRPr="003679DD">
        <w:rPr>
          <w:rFonts w:ascii="Arial" w:hAnsi="Arial" w:cs="Arial"/>
          <w:b/>
          <w:lang w:val="en-US"/>
        </w:rPr>
        <w:t>REFERENCES</w:t>
      </w:r>
    </w:p>
    <w:p w14:paraId="774BDE1D" w14:textId="77777777" w:rsidR="006F5D63" w:rsidRPr="00BB0BEB" w:rsidRDefault="006F5D63" w:rsidP="00C60BA0">
      <w:pPr>
        <w:pStyle w:val="Styletableau"/>
        <w:numPr>
          <w:ilvl w:val="0"/>
          <w:numId w:val="0"/>
        </w:numPr>
        <w:spacing w:line="240" w:lineRule="auto"/>
        <w:ind w:firstLine="360"/>
        <w:jc w:val="both"/>
        <w:rPr>
          <w:rFonts w:ascii="Arial" w:hAnsi="Arial" w:cs="Arial"/>
          <w:sz w:val="20"/>
          <w:szCs w:val="20"/>
          <w:lang w:val="en-US"/>
        </w:rPr>
      </w:pPr>
    </w:p>
    <w:p w14:paraId="3494F4C6" w14:textId="77777777" w:rsidR="006F5D63" w:rsidRPr="003A310C" w:rsidRDefault="0030087D" w:rsidP="0030087D">
      <w:pPr>
        <w:pStyle w:val="Styletableau"/>
        <w:numPr>
          <w:ilvl w:val="0"/>
          <w:numId w:val="0"/>
        </w:numPr>
        <w:spacing w:line="240" w:lineRule="auto"/>
        <w:ind w:left="567" w:hanging="567"/>
        <w:jc w:val="both"/>
        <w:rPr>
          <w:rFonts w:ascii="Arial" w:hAnsi="Arial" w:cs="Arial"/>
          <w:sz w:val="20"/>
          <w:szCs w:val="20"/>
          <w:lang w:val="en-US"/>
        </w:rPr>
      </w:pPr>
      <w:r w:rsidRPr="003A310C">
        <w:rPr>
          <w:rFonts w:ascii="Arial" w:hAnsi="Arial" w:cs="Arial"/>
          <w:sz w:val="20"/>
          <w:szCs w:val="20"/>
          <w:lang w:val="en-US"/>
        </w:rPr>
        <w:t>Aarons, J. (</w:t>
      </w:r>
      <w:r w:rsidR="006F5D63" w:rsidRPr="003A310C">
        <w:rPr>
          <w:rFonts w:ascii="Arial" w:hAnsi="Arial" w:cs="Arial"/>
          <w:sz w:val="20"/>
          <w:szCs w:val="20"/>
          <w:lang w:val="en-US"/>
        </w:rPr>
        <w:t>1982</w:t>
      </w:r>
      <w:r w:rsidRPr="003A310C">
        <w:rPr>
          <w:rFonts w:ascii="Arial" w:hAnsi="Arial" w:cs="Arial"/>
          <w:sz w:val="20"/>
          <w:szCs w:val="20"/>
          <w:lang w:val="en-US"/>
        </w:rPr>
        <w:t>)</w:t>
      </w:r>
      <w:r w:rsidR="006F5D63" w:rsidRPr="003A310C">
        <w:rPr>
          <w:rFonts w:ascii="Arial" w:hAnsi="Arial" w:cs="Arial"/>
          <w:sz w:val="20"/>
          <w:szCs w:val="20"/>
          <w:lang w:val="en-US"/>
        </w:rPr>
        <w:t>. Global morphology of ionospheric scintillations. Proc IEEE 70 (4</w:t>
      </w:r>
      <w:proofErr w:type="gramStart"/>
      <w:r w:rsidR="006F5D63" w:rsidRPr="003A310C">
        <w:rPr>
          <w:rFonts w:ascii="Arial" w:hAnsi="Arial" w:cs="Arial"/>
          <w:sz w:val="20"/>
          <w:szCs w:val="20"/>
          <w:lang w:val="en-US"/>
        </w:rPr>
        <w:t>) :</w:t>
      </w:r>
      <w:proofErr w:type="gramEnd"/>
      <w:r w:rsidR="006F5D63" w:rsidRPr="003A310C">
        <w:rPr>
          <w:rFonts w:ascii="Arial" w:hAnsi="Arial" w:cs="Arial"/>
          <w:sz w:val="20"/>
          <w:szCs w:val="20"/>
          <w:lang w:val="en-US"/>
        </w:rPr>
        <w:t xml:space="preserve"> 360-378. </w:t>
      </w:r>
      <w:hyperlink r:id="rId44" w:history="1">
        <w:r w:rsidRPr="003A310C">
          <w:rPr>
            <w:rStyle w:val="Hyperlink"/>
            <w:rFonts w:ascii="Arial" w:hAnsi="Arial" w:cs="Arial"/>
            <w:color w:val="auto"/>
            <w:sz w:val="20"/>
            <w:szCs w:val="20"/>
            <w:lang w:val="en-US"/>
          </w:rPr>
          <w:t>https://doi.org/10.1109/PROC.1982.12314</w:t>
        </w:r>
      </w:hyperlink>
      <w:r w:rsidRPr="003A310C">
        <w:rPr>
          <w:rFonts w:ascii="Arial" w:hAnsi="Arial" w:cs="Arial"/>
          <w:sz w:val="20"/>
          <w:szCs w:val="20"/>
          <w:lang w:val="en-US"/>
        </w:rPr>
        <w:t xml:space="preserve"> </w:t>
      </w:r>
      <w:r w:rsidR="006F5D63" w:rsidRPr="003A310C">
        <w:rPr>
          <w:rFonts w:ascii="Arial" w:hAnsi="Arial" w:cs="Arial"/>
          <w:sz w:val="20"/>
          <w:szCs w:val="20"/>
          <w:lang w:val="en-US"/>
        </w:rPr>
        <w:t xml:space="preserve"> </w:t>
      </w:r>
    </w:p>
    <w:p w14:paraId="517F1BAE" w14:textId="77777777" w:rsidR="0030087D" w:rsidRPr="003A310C" w:rsidRDefault="0030087D" w:rsidP="0030087D">
      <w:pPr>
        <w:pStyle w:val="Styletableau"/>
        <w:numPr>
          <w:ilvl w:val="0"/>
          <w:numId w:val="0"/>
        </w:numPr>
        <w:spacing w:line="240" w:lineRule="auto"/>
        <w:ind w:left="567" w:hanging="567"/>
        <w:jc w:val="both"/>
        <w:rPr>
          <w:rFonts w:ascii="Arial" w:hAnsi="Arial" w:cs="Arial"/>
          <w:sz w:val="20"/>
          <w:szCs w:val="20"/>
          <w:lang w:val="en-US"/>
        </w:rPr>
      </w:pPr>
    </w:p>
    <w:p w14:paraId="1455D48E" w14:textId="77777777" w:rsidR="0030087D" w:rsidRPr="003A310C" w:rsidRDefault="0030087D" w:rsidP="0030087D">
      <w:pPr>
        <w:pStyle w:val="Styletableau"/>
        <w:numPr>
          <w:ilvl w:val="0"/>
          <w:numId w:val="0"/>
        </w:numPr>
        <w:spacing w:line="240" w:lineRule="auto"/>
        <w:ind w:left="567" w:hanging="567"/>
        <w:jc w:val="both"/>
        <w:rPr>
          <w:rFonts w:ascii="Arial" w:hAnsi="Arial" w:cs="Arial"/>
          <w:sz w:val="20"/>
          <w:szCs w:val="20"/>
          <w:lang w:val="en-US"/>
        </w:rPr>
      </w:pPr>
      <w:r w:rsidRPr="003A310C">
        <w:rPr>
          <w:rFonts w:ascii="Arial" w:hAnsi="Arial" w:cs="Arial"/>
          <w:sz w:val="20"/>
          <w:szCs w:val="20"/>
          <w:lang w:val="en-US"/>
        </w:rPr>
        <w:t xml:space="preserve">Aarons, J. (1991) The role of ring current in the generation or </w:t>
      </w:r>
      <w:proofErr w:type="spellStart"/>
      <w:r w:rsidRPr="003A310C">
        <w:rPr>
          <w:rFonts w:ascii="Arial" w:hAnsi="Arial" w:cs="Arial"/>
          <w:sz w:val="20"/>
          <w:szCs w:val="20"/>
          <w:lang w:val="en-US"/>
        </w:rPr>
        <w:t>inhibtion</w:t>
      </w:r>
      <w:proofErr w:type="spellEnd"/>
      <w:r w:rsidRPr="003A310C">
        <w:rPr>
          <w:rFonts w:ascii="Arial" w:hAnsi="Arial" w:cs="Arial"/>
          <w:sz w:val="20"/>
          <w:szCs w:val="20"/>
          <w:lang w:val="en-US"/>
        </w:rPr>
        <w:t xml:space="preserve"> of equatorial F layer irregularities during magnetic storms. Radio Science, Volume 26, Number 4, Pages 1131-1149, July-</w:t>
      </w:r>
      <w:proofErr w:type="gramStart"/>
      <w:r w:rsidRPr="003A310C">
        <w:rPr>
          <w:rFonts w:ascii="Arial" w:hAnsi="Arial" w:cs="Arial"/>
          <w:sz w:val="20"/>
          <w:szCs w:val="20"/>
          <w:lang w:val="en-US"/>
        </w:rPr>
        <w:t>August .</w:t>
      </w:r>
      <w:proofErr w:type="gramEnd"/>
    </w:p>
    <w:p w14:paraId="3BC8061B" w14:textId="77777777" w:rsidR="0030087D" w:rsidRPr="003A310C" w:rsidRDefault="0030087D" w:rsidP="0030087D">
      <w:pPr>
        <w:pStyle w:val="Styletableau"/>
        <w:numPr>
          <w:ilvl w:val="0"/>
          <w:numId w:val="0"/>
        </w:numPr>
        <w:spacing w:line="240" w:lineRule="auto"/>
        <w:ind w:left="567" w:hanging="567"/>
        <w:jc w:val="both"/>
        <w:rPr>
          <w:rFonts w:ascii="Arial" w:hAnsi="Arial" w:cs="Arial"/>
          <w:sz w:val="20"/>
          <w:szCs w:val="20"/>
          <w:lang w:val="en-US"/>
        </w:rPr>
      </w:pPr>
    </w:p>
    <w:p w14:paraId="039F0E55" w14:textId="77777777" w:rsidR="006F5D63" w:rsidRPr="003A310C" w:rsidRDefault="006F5D63" w:rsidP="00C60BA0">
      <w:pPr>
        <w:pStyle w:val="Styletableau"/>
        <w:numPr>
          <w:ilvl w:val="0"/>
          <w:numId w:val="0"/>
        </w:numPr>
        <w:spacing w:line="240" w:lineRule="auto"/>
        <w:ind w:firstLine="360"/>
        <w:jc w:val="both"/>
        <w:rPr>
          <w:rFonts w:ascii="Arial" w:hAnsi="Arial" w:cs="Arial"/>
          <w:sz w:val="20"/>
          <w:szCs w:val="20"/>
          <w:lang w:val="en-US"/>
        </w:rPr>
      </w:pPr>
    </w:p>
    <w:p w14:paraId="07F5822A" w14:textId="77777777" w:rsidR="006F5D63" w:rsidRPr="003A310C" w:rsidRDefault="0030087D" w:rsidP="0030087D">
      <w:pPr>
        <w:pStyle w:val="Styletableau"/>
        <w:numPr>
          <w:ilvl w:val="0"/>
          <w:numId w:val="0"/>
        </w:numPr>
        <w:spacing w:line="240" w:lineRule="auto"/>
        <w:ind w:left="567" w:hanging="567"/>
        <w:jc w:val="both"/>
        <w:rPr>
          <w:rFonts w:ascii="Arial" w:hAnsi="Arial" w:cs="Arial"/>
          <w:sz w:val="20"/>
          <w:szCs w:val="20"/>
          <w:lang w:val="en-US"/>
        </w:rPr>
      </w:pPr>
      <w:r w:rsidRPr="003A310C">
        <w:rPr>
          <w:rFonts w:ascii="Arial" w:hAnsi="Arial" w:cs="Arial"/>
          <w:sz w:val="20"/>
          <w:szCs w:val="20"/>
          <w:lang w:val="en-US"/>
        </w:rPr>
        <w:t xml:space="preserve">Aarons, </w:t>
      </w:r>
      <w:r w:rsidR="006F5D63" w:rsidRPr="003A310C">
        <w:rPr>
          <w:rFonts w:ascii="Arial" w:hAnsi="Arial" w:cs="Arial"/>
          <w:sz w:val="20"/>
          <w:szCs w:val="20"/>
          <w:lang w:val="en-US"/>
        </w:rPr>
        <w:t xml:space="preserve">J., </w:t>
      </w:r>
      <w:proofErr w:type="spellStart"/>
      <w:r w:rsidR="006F5D63" w:rsidRPr="003A310C">
        <w:rPr>
          <w:rFonts w:ascii="Arial" w:hAnsi="Arial" w:cs="Arial"/>
          <w:sz w:val="20"/>
          <w:szCs w:val="20"/>
          <w:lang w:val="en-US"/>
        </w:rPr>
        <w:t>Basu</w:t>
      </w:r>
      <w:proofErr w:type="spellEnd"/>
      <w:r w:rsidRPr="003A310C">
        <w:rPr>
          <w:rFonts w:ascii="Arial" w:hAnsi="Arial" w:cs="Arial"/>
          <w:sz w:val="20"/>
          <w:szCs w:val="20"/>
          <w:lang w:val="en-US"/>
        </w:rPr>
        <w:t>, S. (1994). I</w:t>
      </w:r>
      <w:r w:rsidR="006F5D63" w:rsidRPr="003A310C">
        <w:rPr>
          <w:rFonts w:ascii="Arial" w:hAnsi="Arial" w:cs="Arial"/>
          <w:sz w:val="20"/>
          <w:szCs w:val="20"/>
          <w:lang w:val="en-US"/>
        </w:rPr>
        <w:t>onospheric amplitude and phase fluctuations at the GPS frequencies. 7</w:t>
      </w:r>
      <w:r w:rsidR="006F5D63" w:rsidRPr="003A310C">
        <w:rPr>
          <w:rFonts w:ascii="Arial" w:hAnsi="Arial" w:cs="Arial"/>
          <w:sz w:val="20"/>
          <w:szCs w:val="20"/>
          <w:vertAlign w:val="superscript"/>
          <w:lang w:val="en-US"/>
        </w:rPr>
        <w:t>th</w:t>
      </w:r>
      <w:r w:rsidR="006F5D63" w:rsidRPr="003A310C">
        <w:rPr>
          <w:rFonts w:ascii="Arial" w:hAnsi="Arial" w:cs="Arial"/>
          <w:sz w:val="20"/>
          <w:szCs w:val="20"/>
          <w:lang w:val="en-US"/>
        </w:rPr>
        <w:t xml:space="preserve"> International Technical Meeting, </w:t>
      </w:r>
      <w:proofErr w:type="spellStart"/>
      <w:r w:rsidR="006F5D63" w:rsidRPr="003A310C">
        <w:rPr>
          <w:rFonts w:ascii="Arial" w:hAnsi="Arial" w:cs="Arial"/>
          <w:sz w:val="20"/>
          <w:szCs w:val="20"/>
          <w:lang w:val="en-US"/>
        </w:rPr>
        <w:t>Satell</w:t>
      </w:r>
      <w:proofErr w:type="spellEnd"/>
      <w:r w:rsidR="006F5D63" w:rsidRPr="003A310C">
        <w:rPr>
          <w:rFonts w:ascii="Arial" w:hAnsi="Arial" w:cs="Arial"/>
          <w:sz w:val="20"/>
          <w:szCs w:val="20"/>
          <w:lang w:val="en-US"/>
        </w:rPr>
        <w:t xml:space="preserve">. Div. of the Inst. For Nav/, </w:t>
      </w:r>
      <w:proofErr w:type="gramStart"/>
      <w:r w:rsidR="006F5D63" w:rsidRPr="003A310C">
        <w:rPr>
          <w:rFonts w:ascii="Arial" w:hAnsi="Arial" w:cs="Arial"/>
          <w:sz w:val="20"/>
          <w:szCs w:val="20"/>
          <w:lang w:val="en-US"/>
        </w:rPr>
        <w:t>Salt Lake city</w:t>
      </w:r>
      <w:proofErr w:type="gramEnd"/>
      <w:r w:rsidR="006F5D63" w:rsidRPr="003A310C">
        <w:rPr>
          <w:rFonts w:ascii="Arial" w:hAnsi="Arial" w:cs="Arial"/>
          <w:sz w:val="20"/>
          <w:szCs w:val="20"/>
          <w:lang w:val="en-US"/>
        </w:rPr>
        <w:t xml:space="preserve">, Utah. </w:t>
      </w:r>
    </w:p>
    <w:p w14:paraId="708F29F8" w14:textId="77777777" w:rsidR="006F5D63" w:rsidRPr="003A310C" w:rsidRDefault="006F5D63" w:rsidP="00C60BA0">
      <w:pPr>
        <w:pStyle w:val="Styletableau"/>
        <w:numPr>
          <w:ilvl w:val="0"/>
          <w:numId w:val="0"/>
        </w:numPr>
        <w:spacing w:line="240" w:lineRule="auto"/>
        <w:jc w:val="both"/>
        <w:rPr>
          <w:rFonts w:ascii="Arial" w:hAnsi="Arial" w:cs="Arial"/>
          <w:sz w:val="20"/>
          <w:szCs w:val="20"/>
          <w:lang w:val="en-US"/>
        </w:rPr>
      </w:pPr>
    </w:p>
    <w:p w14:paraId="3F4A0F72" w14:textId="77777777" w:rsidR="006F5D63" w:rsidRPr="003A310C" w:rsidRDefault="008E082A" w:rsidP="008E082A">
      <w:pPr>
        <w:pStyle w:val="Styletableau"/>
        <w:numPr>
          <w:ilvl w:val="0"/>
          <w:numId w:val="0"/>
        </w:numPr>
        <w:spacing w:line="240" w:lineRule="auto"/>
        <w:ind w:left="567" w:hanging="567"/>
        <w:jc w:val="both"/>
        <w:rPr>
          <w:rFonts w:ascii="Arial" w:hAnsi="Arial" w:cs="Arial"/>
          <w:sz w:val="20"/>
          <w:szCs w:val="20"/>
          <w:lang w:val="en-US"/>
        </w:rPr>
      </w:pPr>
      <w:proofErr w:type="spellStart"/>
      <w:r w:rsidRPr="009D58F4">
        <w:rPr>
          <w:rFonts w:ascii="Arial" w:eastAsia="Times New Roman" w:hAnsi="Arial" w:cs="Arial"/>
          <w:bCs/>
          <w:kern w:val="36"/>
          <w:sz w:val="20"/>
          <w:szCs w:val="20"/>
          <w:lang w:eastAsia="fr-FR"/>
        </w:rPr>
        <w:t>Abdu</w:t>
      </w:r>
      <w:proofErr w:type="spellEnd"/>
      <w:r w:rsidRPr="009D58F4">
        <w:rPr>
          <w:rFonts w:ascii="Arial" w:eastAsia="Times New Roman" w:hAnsi="Arial" w:cs="Arial"/>
          <w:bCs/>
          <w:kern w:val="36"/>
          <w:sz w:val="20"/>
          <w:szCs w:val="20"/>
          <w:lang w:eastAsia="fr-FR"/>
        </w:rPr>
        <w:t xml:space="preserve">, </w:t>
      </w:r>
      <w:r w:rsidR="006F5D63" w:rsidRPr="009D58F4">
        <w:rPr>
          <w:rFonts w:ascii="Arial" w:eastAsia="Times New Roman" w:hAnsi="Arial" w:cs="Arial"/>
          <w:bCs/>
          <w:kern w:val="36"/>
          <w:sz w:val="20"/>
          <w:szCs w:val="20"/>
          <w:lang w:eastAsia="fr-FR"/>
        </w:rPr>
        <w:t xml:space="preserve">M. A., </w:t>
      </w:r>
      <w:proofErr w:type="spellStart"/>
      <w:r w:rsidR="006F5D63" w:rsidRPr="009D58F4">
        <w:rPr>
          <w:rFonts w:ascii="Arial" w:eastAsia="Times New Roman" w:hAnsi="Arial" w:cs="Arial"/>
          <w:bCs/>
          <w:kern w:val="36"/>
          <w:sz w:val="20"/>
          <w:szCs w:val="20"/>
          <w:lang w:eastAsia="fr-FR"/>
        </w:rPr>
        <w:t>Iyer</w:t>
      </w:r>
      <w:proofErr w:type="spellEnd"/>
      <w:r w:rsidRPr="009D58F4">
        <w:rPr>
          <w:rFonts w:ascii="Arial" w:eastAsia="Times New Roman" w:hAnsi="Arial" w:cs="Arial"/>
          <w:bCs/>
          <w:kern w:val="36"/>
          <w:sz w:val="20"/>
          <w:szCs w:val="20"/>
          <w:lang w:eastAsia="fr-FR"/>
        </w:rPr>
        <w:t>,</w:t>
      </w:r>
      <w:r w:rsidR="006F5D63" w:rsidRPr="009D58F4">
        <w:rPr>
          <w:rFonts w:ascii="Arial" w:eastAsia="Times New Roman" w:hAnsi="Arial" w:cs="Arial"/>
          <w:bCs/>
          <w:kern w:val="36"/>
          <w:sz w:val="20"/>
          <w:szCs w:val="20"/>
          <w:lang w:eastAsia="fr-FR"/>
        </w:rPr>
        <w:t xml:space="preserve"> </w:t>
      </w:r>
      <w:r w:rsidR="006F5D63" w:rsidRPr="003A310C">
        <w:rPr>
          <w:rFonts w:ascii="Arial" w:eastAsia="Times New Roman" w:hAnsi="Arial" w:cs="Arial"/>
          <w:bCs/>
          <w:kern w:val="36"/>
          <w:sz w:val="20"/>
          <w:szCs w:val="20"/>
          <w:lang w:eastAsia="fr-FR"/>
        </w:rPr>
        <w:t>K.N., De Medeiros</w:t>
      </w:r>
      <w:r w:rsidRPr="003A310C">
        <w:rPr>
          <w:rFonts w:ascii="Arial" w:eastAsia="Times New Roman" w:hAnsi="Arial" w:cs="Arial"/>
          <w:bCs/>
          <w:kern w:val="36"/>
          <w:sz w:val="20"/>
          <w:szCs w:val="20"/>
          <w:lang w:eastAsia="fr-FR"/>
        </w:rPr>
        <w:t>,</w:t>
      </w:r>
      <w:r w:rsidR="006F5D63" w:rsidRPr="003A310C">
        <w:rPr>
          <w:rFonts w:ascii="Arial" w:eastAsia="Times New Roman" w:hAnsi="Arial" w:cs="Arial"/>
          <w:bCs/>
          <w:kern w:val="36"/>
          <w:sz w:val="20"/>
          <w:szCs w:val="20"/>
          <w:lang w:eastAsia="fr-FR"/>
        </w:rPr>
        <w:t xml:space="preserve"> R.T., Batista</w:t>
      </w:r>
      <w:r w:rsidRPr="003A310C">
        <w:rPr>
          <w:rFonts w:ascii="Arial" w:eastAsia="Times New Roman" w:hAnsi="Arial" w:cs="Arial"/>
          <w:bCs/>
          <w:kern w:val="36"/>
          <w:sz w:val="20"/>
          <w:szCs w:val="20"/>
          <w:lang w:eastAsia="fr-FR"/>
        </w:rPr>
        <w:t>,</w:t>
      </w:r>
      <w:r w:rsidR="006F5D63" w:rsidRPr="003A310C">
        <w:rPr>
          <w:rFonts w:ascii="Arial" w:eastAsia="Times New Roman" w:hAnsi="Arial" w:cs="Arial"/>
          <w:bCs/>
          <w:kern w:val="36"/>
          <w:sz w:val="20"/>
          <w:szCs w:val="20"/>
          <w:lang w:eastAsia="fr-FR"/>
        </w:rPr>
        <w:t xml:space="preserve"> I. S., </w:t>
      </w:r>
      <w:proofErr w:type="spellStart"/>
      <w:r w:rsidR="006F5D63" w:rsidRPr="003A310C">
        <w:rPr>
          <w:rFonts w:ascii="Arial" w:eastAsia="Times New Roman" w:hAnsi="Arial" w:cs="Arial"/>
          <w:bCs/>
          <w:kern w:val="36"/>
          <w:sz w:val="20"/>
          <w:szCs w:val="20"/>
          <w:lang w:eastAsia="fr-FR"/>
        </w:rPr>
        <w:t>Sobral</w:t>
      </w:r>
      <w:proofErr w:type="spellEnd"/>
      <w:r w:rsidRPr="003A310C">
        <w:rPr>
          <w:rFonts w:ascii="Arial" w:eastAsia="Times New Roman" w:hAnsi="Arial" w:cs="Arial"/>
          <w:bCs/>
          <w:kern w:val="36"/>
          <w:sz w:val="20"/>
          <w:szCs w:val="20"/>
          <w:lang w:eastAsia="fr-FR"/>
        </w:rPr>
        <w:t>,</w:t>
      </w:r>
      <w:r w:rsidR="006F5D63" w:rsidRPr="003A310C">
        <w:rPr>
          <w:rFonts w:ascii="Arial" w:eastAsia="Times New Roman" w:hAnsi="Arial" w:cs="Arial"/>
          <w:bCs/>
          <w:kern w:val="36"/>
          <w:sz w:val="20"/>
          <w:szCs w:val="20"/>
          <w:lang w:eastAsia="fr-FR"/>
        </w:rPr>
        <w:t xml:space="preserve"> J.H.A. </w:t>
      </w:r>
      <w:r w:rsidRPr="003A310C">
        <w:rPr>
          <w:rFonts w:ascii="Arial" w:eastAsia="Times New Roman" w:hAnsi="Arial" w:cs="Arial"/>
          <w:bCs/>
          <w:kern w:val="36"/>
          <w:sz w:val="20"/>
          <w:szCs w:val="20"/>
          <w:lang w:eastAsia="fr-FR"/>
        </w:rPr>
        <w:t xml:space="preserve">(2006). </w:t>
      </w:r>
      <w:proofErr w:type="spellStart"/>
      <w:r w:rsidR="006F5D63" w:rsidRPr="003A310C">
        <w:rPr>
          <w:rFonts w:ascii="Arial" w:eastAsia="Times New Roman" w:hAnsi="Arial" w:cs="Arial"/>
          <w:bCs/>
          <w:kern w:val="36"/>
          <w:sz w:val="20"/>
          <w:szCs w:val="20"/>
          <w:lang w:val="en-US" w:eastAsia="fr-FR"/>
        </w:rPr>
        <w:t>Thermospheric</w:t>
      </w:r>
      <w:proofErr w:type="spellEnd"/>
      <w:r w:rsidR="006F5D63" w:rsidRPr="003A310C">
        <w:rPr>
          <w:rFonts w:ascii="Arial" w:eastAsia="Times New Roman" w:hAnsi="Arial" w:cs="Arial"/>
          <w:bCs/>
          <w:kern w:val="36"/>
          <w:sz w:val="20"/>
          <w:szCs w:val="20"/>
          <w:lang w:val="en-US" w:eastAsia="fr-FR"/>
        </w:rPr>
        <w:t xml:space="preserve"> meridional wind control of equatorial spread F and evening </w:t>
      </w:r>
      <w:proofErr w:type="spellStart"/>
      <w:r w:rsidR="006F5D63" w:rsidRPr="003A310C">
        <w:rPr>
          <w:rFonts w:ascii="Arial" w:eastAsia="Times New Roman" w:hAnsi="Arial" w:cs="Arial"/>
          <w:bCs/>
          <w:kern w:val="36"/>
          <w:sz w:val="20"/>
          <w:szCs w:val="20"/>
          <w:lang w:val="en-US" w:eastAsia="fr-FR"/>
        </w:rPr>
        <w:t>prereversal</w:t>
      </w:r>
      <w:proofErr w:type="spellEnd"/>
      <w:r w:rsidR="006F5D63" w:rsidRPr="003A310C">
        <w:rPr>
          <w:rFonts w:ascii="Arial" w:eastAsia="Times New Roman" w:hAnsi="Arial" w:cs="Arial"/>
          <w:bCs/>
          <w:kern w:val="36"/>
          <w:sz w:val="20"/>
          <w:szCs w:val="20"/>
          <w:lang w:val="en-US" w:eastAsia="fr-FR"/>
        </w:rPr>
        <w:t xml:space="preserve"> electric field, Geophysical Research Letters, Vol.33, L07106, doi:10.1029/2005GL024835, </w:t>
      </w:r>
    </w:p>
    <w:p w14:paraId="173F681A" w14:textId="77777777" w:rsidR="006F5D63" w:rsidRPr="003A310C" w:rsidRDefault="008E082A" w:rsidP="008E082A">
      <w:pPr>
        <w:spacing w:line="240" w:lineRule="auto"/>
        <w:ind w:left="567" w:hanging="567"/>
        <w:jc w:val="both"/>
        <w:rPr>
          <w:rFonts w:ascii="Arial" w:hAnsi="Arial" w:cs="Arial"/>
          <w:sz w:val="20"/>
          <w:szCs w:val="20"/>
          <w:lang w:val="en-US"/>
        </w:rPr>
      </w:pPr>
      <w:proofErr w:type="spellStart"/>
      <w:r w:rsidRPr="003A310C">
        <w:rPr>
          <w:rFonts w:ascii="Arial" w:hAnsi="Arial" w:cs="Arial"/>
          <w:sz w:val="20"/>
          <w:szCs w:val="20"/>
          <w:lang w:val="en-US"/>
        </w:rPr>
        <w:t>Ackah</w:t>
      </w:r>
      <w:proofErr w:type="spellEnd"/>
      <w:r w:rsidRPr="003A310C">
        <w:rPr>
          <w:rFonts w:ascii="Arial" w:hAnsi="Arial" w:cs="Arial"/>
          <w:sz w:val="20"/>
          <w:szCs w:val="20"/>
          <w:lang w:val="en-US"/>
        </w:rPr>
        <w:t xml:space="preserve">, J. B., </w:t>
      </w:r>
      <w:proofErr w:type="spellStart"/>
      <w:r w:rsidRPr="003A310C">
        <w:rPr>
          <w:rFonts w:ascii="Arial" w:hAnsi="Arial" w:cs="Arial"/>
          <w:sz w:val="20"/>
          <w:szCs w:val="20"/>
          <w:lang w:val="en-US"/>
        </w:rPr>
        <w:t>Obrou</w:t>
      </w:r>
      <w:proofErr w:type="spellEnd"/>
      <w:r w:rsidRPr="003A310C">
        <w:rPr>
          <w:rFonts w:ascii="Arial" w:hAnsi="Arial" w:cs="Arial"/>
          <w:sz w:val="20"/>
          <w:szCs w:val="20"/>
          <w:lang w:val="en-US"/>
        </w:rPr>
        <w:t xml:space="preserve">, O. K., </w:t>
      </w:r>
      <w:proofErr w:type="spellStart"/>
      <w:r w:rsidRPr="003A310C">
        <w:rPr>
          <w:rFonts w:ascii="Arial" w:hAnsi="Arial" w:cs="Arial"/>
          <w:sz w:val="20"/>
          <w:szCs w:val="20"/>
          <w:lang w:val="en-US"/>
        </w:rPr>
        <w:t>Zaka</w:t>
      </w:r>
      <w:proofErr w:type="spellEnd"/>
      <w:r w:rsidRPr="003A310C">
        <w:rPr>
          <w:rFonts w:ascii="Arial" w:hAnsi="Arial" w:cs="Arial"/>
          <w:sz w:val="20"/>
          <w:szCs w:val="20"/>
          <w:lang w:val="en-US"/>
        </w:rPr>
        <w:t xml:space="preserve">., Z., </w:t>
      </w:r>
      <w:proofErr w:type="spellStart"/>
      <w:r w:rsidRPr="003A310C">
        <w:rPr>
          <w:rFonts w:ascii="Arial" w:hAnsi="Arial" w:cs="Arial"/>
          <w:sz w:val="20"/>
          <w:szCs w:val="20"/>
          <w:lang w:val="en-US"/>
        </w:rPr>
        <w:t>Mene</w:t>
      </w:r>
      <w:proofErr w:type="spellEnd"/>
      <w:r w:rsidRPr="003A310C">
        <w:rPr>
          <w:rFonts w:ascii="Arial" w:hAnsi="Arial" w:cs="Arial"/>
          <w:sz w:val="20"/>
          <w:szCs w:val="20"/>
          <w:lang w:val="en-US"/>
        </w:rPr>
        <w:t xml:space="preserve">, M. N. and Groves, </w:t>
      </w:r>
      <w:r w:rsidR="006F5D63" w:rsidRPr="003A310C">
        <w:rPr>
          <w:rFonts w:ascii="Arial" w:hAnsi="Arial" w:cs="Arial"/>
          <w:sz w:val="20"/>
          <w:szCs w:val="20"/>
          <w:lang w:val="en-US"/>
        </w:rPr>
        <w:t xml:space="preserve">K. </w:t>
      </w:r>
      <w:r w:rsidRPr="003A310C">
        <w:rPr>
          <w:rFonts w:ascii="Arial" w:hAnsi="Arial" w:cs="Arial"/>
          <w:sz w:val="20"/>
          <w:szCs w:val="20"/>
          <w:lang w:val="en-US"/>
        </w:rPr>
        <w:t xml:space="preserve">(2011). </w:t>
      </w:r>
      <w:proofErr w:type="spellStart"/>
      <w:r w:rsidR="006F5D63" w:rsidRPr="003A310C">
        <w:rPr>
          <w:rFonts w:ascii="Arial" w:hAnsi="Arial" w:cs="Arial"/>
          <w:sz w:val="20"/>
          <w:szCs w:val="20"/>
          <w:lang w:val="en-US"/>
        </w:rPr>
        <w:t>Stady</w:t>
      </w:r>
      <w:proofErr w:type="spellEnd"/>
      <w:r w:rsidR="006F5D63" w:rsidRPr="003A310C">
        <w:rPr>
          <w:rFonts w:ascii="Arial" w:hAnsi="Arial" w:cs="Arial"/>
          <w:sz w:val="20"/>
          <w:szCs w:val="20"/>
          <w:lang w:val="en-US"/>
        </w:rPr>
        <w:t xml:space="preserve"> of Ionospheric Equatorial Scintillation and TEC </w:t>
      </w:r>
      <w:proofErr w:type="spellStart"/>
      <w:r w:rsidR="006F5D63" w:rsidRPr="003A310C">
        <w:rPr>
          <w:rFonts w:ascii="Arial" w:hAnsi="Arial" w:cs="Arial"/>
          <w:sz w:val="20"/>
          <w:szCs w:val="20"/>
          <w:lang w:val="en-US"/>
        </w:rPr>
        <w:t>characteistics</w:t>
      </w:r>
      <w:proofErr w:type="spellEnd"/>
      <w:r w:rsidR="006F5D63" w:rsidRPr="003A310C">
        <w:rPr>
          <w:rFonts w:ascii="Arial" w:hAnsi="Arial" w:cs="Arial"/>
          <w:sz w:val="20"/>
          <w:szCs w:val="20"/>
          <w:lang w:val="en-US"/>
        </w:rPr>
        <w:t xml:space="preserve"> at Solar minimum using GPS-SCINDA data. Son and Geo</w:t>
      </w:r>
      <w:r w:rsidRPr="003A310C">
        <w:rPr>
          <w:rFonts w:ascii="Arial" w:hAnsi="Arial" w:cs="Arial"/>
          <w:sz w:val="20"/>
          <w:szCs w:val="20"/>
          <w:lang w:val="en-US"/>
        </w:rPr>
        <w:t xml:space="preserve">sphere, 6(1) :27-30. </w:t>
      </w:r>
    </w:p>
    <w:p w14:paraId="76895F32" w14:textId="0713EE21" w:rsidR="006F5D63" w:rsidRPr="003A310C" w:rsidRDefault="008E082A" w:rsidP="008E082A">
      <w:pPr>
        <w:pStyle w:val="Styletableau"/>
        <w:numPr>
          <w:ilvl w:val="0"/>
          <w:numId w:val="0"/>
        </w:numPr>
        <w:spacing w:line="240" w:lineRule="auto"/>
        <w:ind w:left="567" w:hanging="567"/>
        <w:jc w:val="both"/>
        <w:rPr>
          <w:rFonts w:ascii="Arial" w:hAnsi="Arial" w:cs="Arial"/>
          <w:sz w:val="20"/>
          <w:szCs w:val="20"/>
          <w:lang w:val="en-US"/>
        </w:rPr>
      </w:pPr>
      <w:bookmarkStart w:id="1" w:name="_Toc192844014"/>
      <w:bookmarkStart w:id="2" w:name="_Toc192844630"/>
      <w:bookmarkStart w:id="3" w:name="_Toc200703128"/>
      <w:bookmarkStart w:id="4" w:name="_Toc200703506"/>
      <w:r w:rsidRPr="00F72244">
        <w:rPr>
          <w:rFonts w:ascii="Arial" w:hAnsi="Arial" w:cs="Arial"/>
          <w:sz w:val="20"/>
          <w:szCs w:val="20"/>
          <w:highlight w:val="yellow"/>
          <w:lang w:val="en-US"/>
        </w:rPr>
        <w:t xml:space="preserve">Akala, A. O., </w:t>
      </w:r>
      <w:proofErr w:type="spellStart"/>
      <w:r w:rsidRPr="00F72244">
        <w:rPr>
          <w:rFonts w:ascii="Arial" w:hAnsi="Arial" w:cs="Arial"/>
          <w:sz w:val="20"/>
          <w:szCs w:val="20"/>
          <w:highlight w:val="yellow"/>
          <w:lang w:val="en-US"/>
        </w:rPr>
        <w:t>Ejalonibu</w:t>
      </w:r>
      <w:proofErr w:type="spellEnd"/>
      <w:r w:rsidRPr="00F72244">
        <w:rPr>
          <w:rFonts w:ascii="Arial" w:hAnsi="Arial" w:cs="Arial"/>
          <w:sz w:val="20"/>
          <w:szCs w:val="20"/>
          <w:highlight w:val="yellow"/>
          <w:lang w:val="en-US"/>
        </w:rPr>
        <w:t xml:space="preserve">, A. H., Doherty, P. H., </w:t>
      </w:r>
      <w:proofErr w:type="spellStart"/>
      <w:r w:rsidRPr="00F72244">
        <w:rPr>
          <w:rFonts w:ascii="Arial" w:hAnsi="Arial" w:cs="Arial"/>
          <w:sz w:val="20"/>
          <w:szCs w:val="20"/>
          <w:highlight w:val="yellow"/>
          <w:lang w:val="en-US"/>
        </w:rPr>
        <w:t>Radicella</w:t>
      </w:r>
      <w:proofErr w:type="spellEnd"/>
      <w:r w:rsidRPr="00F72244">
        <w:rPr>
          <w:rFonts w:ascii="Arial" w:hAnsi="Arial" w:cs="Arial"/>
          <w:sz w:val="20"/>
          <w:szCs w:val="20"/>
          <w:highlight w:val="yellow"/>
          <w:lang w:val="en-US"/>
        </w:rPr>
        <w:t xml:space="preserve">, S. M., Groves, K., Carrano, </w:t>
      </w:r>
      <w:r w:rsidR="006F5D63" w:rsidRPr="00F72244">
        <w:rPr>
          <w:rFonts w:ascii="Arial" w:hAnsi="Arial" w:cs="Arial"/>
          <w:sz w:val="20"/>
          <w:szCs w:val="20"/>
          <w:highlight w:val="yellow"/>
          <w:lang w:val="en-US"/>
        </w:rPr>
        <w:t>C. S</w:t>
      </w:r>
      <w:r w:rsidRPr="00F72244">
        <w:rPr>
          <w:rFonts w:ascii="Arial" w:hAnsi="Arial" w:cs="Arial"/>
          <w:sz w:val="20"/>
          <w:szCs w:val="20"/>
          <w:highlight w:val="yellow"/>
          <w:lang w:val="en-US"/>
        </w:rPr>
        <w:t xml:space="preserve">. et al. </w:t>
      </w:r>
      <w:r w:rsidRPr="00FC0D3D">
        <w:rPr>
          <w:rFonts w:ascii="Arial" w:hAnsi="Arial" w:cs="Arial"/>
          <w:sz w:val="20"/>
          <w:szCs w:val="20"/>
          <w:highlight w:val="yellow"/>
          <w:lang w:val="en-US"/>
        </w:rPr>
        <w:t xml:space="preserve">(2017). </w:t>
      </w:r>
      <w:r w:rsidR="006F5D63" w:rsidRPr="00FC0D3D">
        <w:rPr>
          <w:rFonts w:ascii="Arial" w:hAnsi="Arial" w:cs="Arial"/>
          <w:sz w:val="20"/>
          <w:szCs w:val="20"/>
          <w:highlight w:val="yellow"/>
          <w:lang w:val="en-US"/>
        </w:rPr>
        <w:t xml:space="preserve"> </w:t>
      </w:r>
      <w:proofErr w:type="spellStart"/>
      <w:r w:rsidR="006F5D63" w:rsidRPr="00FC0D3D">
        <w:rPr>
          <w:rFonts w:ascii="Arial" w:hAnsi="Arial" w:cs="Arial"/>
          <w:sz w:val="20"/>
          <w:szCs w:val="20"/>
          <w:highlight w:val="yellow"/>
          <w:lang w:val="en-US"/>
        </w:rPr>
        <w:t>Characteization</w:t>
      </w:r>
      <w:proofErr w:type="spellEnd"/>
      <w:r w:rsidR="006F5D63" w:rsidRPr="00FC0D3D">
        <w:rPr>
          <w:rFonts w:ascii="Arial" w:hAnsi="Arial" w:cs="Arial"/>
          <w:sz w:val="20"/>
          <w:szCs w:val="20"/>
          <w:highlight w:val="yellow"/>
          <w:lang w:val="en-US"/>
        </w:rPr>
        <w:t xml:space="preserve"> of GNSS Amplitude Scintillations over </w:t>
      </w:r>
      <w:proofErr w:type="spellStart"/>
      <w:r w:rsidR="006F5D63" w:rsidRPr="00FC0D3D">
        <w:rPr>
          <w:rFonts w:ascii="Arial" w:hAnsi="Arial" w:cs="Arial"/>
          <w:sz w:val="20"/>
          <w:szCs w:val="20"/>
          <w:highlight w:val="yellow"/>
          <w:lang w:val="en-US"/>
        </w:rPr>
        <w:t>Adis</w:t>
      </w:r>
      <w:proofErr w:type="spellEnd"/>
      <w:r w:rsidR="006F5D63" w:rsidRPr="00FC0D3D">
        <w:rPr>
          <w:rFonts w:ascii="Arial" w:hAnsi="Arial" w:cs="Arial"/>
          <w:sz w:val="20"/>
          <w:szCs w:val="20"/>
          <w:highlight w:val="yellow"/>
          <w:lang w:val="en-US"/>
        </w:rPr>
        <w:t xml:space="preserve"> Ababa during 2009-2013. </w:t>
      </w:r>
      <w:r w:rsidR="00FC0D3D" w:rsidRPr="00FC0D3D">
        <w:rPr>
          <w:rFonts w:ascii="Arial" w:hAnsi="Arial" w:cs="Arial"/>
          <w:sz w:val="20"/>
          <w:szCs w:val="20"/>
          <w:highlight w:val="yellow"/>
          <w:lang w:val="en-US"/>
        </w:rPr>
        <w:t xml:space="preserve">Advance in Space </w:t>
      </w:r>
      <w:r w:rsidR="00FC0D3D" w:rsidRPr="009166F5">
        <w:rPr>
          <w:rFonts w:ascii="Arial" w:hAnsi="Arial" w:cs="Arial"/>
          <w:sz w:val="20"/>
          <w:szCs w:val="20"/>
          <w:highlight w:val="yellow"/>
          <w:lang w:val="en-US"/>
        </w:rPr>
        <w:t>Research</w:t>
      </w:r>
      <w:bookmarkEnd w:id="1"/>
      <w:bookmarkEnd w:id="2"/>
      <w:bookmarkEnd w:id="3"/>
      <w:bookmarkEnd w:id="4"/>
      <w:r w:rsidR="009166F5" w:rsidRPr="009166F5">
        <w:rPr>
          <w:rFonts w:ascii="Arial" w:hAnsi="Arial" w:cs="Arial"/>
          <w:sz w:val="20"/>
          <w:szCs w:val="20"/>
          <w:highlight w:val="yellow"/>
          <w:lang w:val="en-US"/>
        </w:rPr>
        <w:t xml:space="preserve"> 59(8). DOI: 10.1016/j.asr.2017.01.044</w:t>
      </w:r>
      <w:r w:rsidR="009166F5">
        <w:rPr>
          <w:rFonts w:ascii="Arial" w:hAnsi="Arial" w:cs="Arial"/>
          <w:sz w:val="20"/>
          <w:szCs w:val="20"/>
          <w:lang w:val="en-US"/>
        </w:rPr>
        <w:t xml:space="preserve"> </w:t>
      </w:r>
    </w:p>
    <w:p w14:paraId="0F15F262" w14:textId="77777777" w:rsidR="006F5D63" w:rsidRPr="003A310C" w:rsidRDefault="008E082A" w:rsidP="008E082A">
      <w:pPr>
        <w:spacing w:line="240" w:lineRule="auto"/>
        <w:ind w:left="567" w:hanging="567"/>
        <w:jc w:val="both"/>
        <w:rPr>
          <w:rFonts w:ascii="Arial" w:hAnsi="Arial" w:cs="Arial"/>
          <w:sz w:val="20"/>
          <w:szCs w:val="20"/>
          <w:lang w:val="en-US"/>
        </w:rPr>
      </w:pPr>
      <w:r w:rsidRPr="003A310C">
        <w:rPr>
          <w:rFonts w:ascii="Arial" w:hAnsi="Arial" w:cs="Arial"/>
          <w:sz w:val="20"/>
          <w:szCs w:val="20"/>
          <w:lang w:val="en-US"/>
        </w:rPr>
        <w:t xml:space="preserve">Akala, A. O., </w:t>
      </w:r>
      <w:proofErr w:type="spellStart"/>
      <w:r w:rsidRPr="003A310C">
        <w:rPr>
          <w:rFonts w:ascii="Arial" w:hAnsi="Arial" w:cs="Arial"/>
          <w:sz w:val="20"/>
          <w:szCs w:val="20"/>
          <w:lang w:val="en-US"/>
        </w:rPr>
        <w:t>Amaeshi</w:t>
      </w:r>
      <w:proofErr w:type="spellEnd"/>
      <w:r w:rsidRPr="003A310C">
        <w:rPr>
          <w:rFonts w:ascii="Arial" w:hAnsi="Arial" w:cs="Arial"/>
          <w:sz w:val="20"/>
          <w:szCs w:val="20"/>
          <w:lang w:val="en-US"/>
        </w:rPr>
        <w:t xml:space="preserve">, L. L. N., </w:t>
      </w:r>
      <w:proofErr w:type="spellStart"/>
      <w:r w:rsidRPr="003A310C">
        <w:rPr>
          <w:rFonts w:ascii="Arial" w:hAnsi="Arial" w:cs="Arial"/>
          <w:sz w:val="20"/>
          <w:szCs w:val="20"/>
          <w:lang w:val="en-US"/>
        </w:rPr>
        <w:t>Somoye</w:t>
      </w:r>
      <w:proofErr w:type="spellEnd"/>
      <w:r w:rsidRPr="003A310C">
        <w:rPr>
          <w:rFonts w:ascii="Arial" w:hAnsi="Arial" w:cs="Arial"/>
          <w:sz w:val="20"/>
          <w:szCs w:val="20"/>
          <w:lang w:val="en-US"/>
        </w:rPr>
        <w:t xml:space="preserve">, E. O., </w:t>
      </w:r>
      <w:proofErr w:type="spellStart"/>
      <w:r w:rsidRPr="003A310C">
        <w:rPr>
          <w:rFonts w:ascii="Arial" w:hAnsi="Arial" w:cs="Arial"/>
          <w:sz w:val="20"/>
          <w:szCs w:val="20"/>
          <w:lang w:val="en-US"/>
        </w:rPr>
        <w:t>Idolor</w:t>
      </w:r>
      <w:proofErr w:type="spellEnd"/>
      <w:r w:rsidRPr="003A310C">
        <w:rPr>
          <w:rFonts w:ascii="Arial" w:hAnsi="Arial" w:cs="Arial"/>
          <w:sz w:val="20"/>
          <w:szCs w:val="20"/>
          <w:lang w:val="en-US"/>
        </w:rPr>
        <w:t xml:space="preserve">, R. O., Okoro, </w:t>
      </w:r>
      <w:r w:rsidR="006F5D63" w:rsidRPr="003A310C">
        <w:rPr>
          <w:rFonts w:ascii="Arial" w:hAnsi="Arial" w:cs="Arial"/>
          <w:sz w:val="20"/>
          <w:szCs w:val="20"/>
          <w:lang w:val="en-US"/>
        </w:rPr>
        <w:t xml:space="preserve">E., Doherty. P. H., </w:t>
      </w:r>
      <w:r w:rsidRPr="003A310C">
        <w:rPr>
          <w:rFonts w:ascii="Arial" w:hAnsi="Arial" w:cs="Arial"/>
          <w:sz w:val="20"/>
          <w:szCs w:val="20"/>
          <w:lang w:val="en-US"/>
        </w:rPr>
        <w:t>et al. (2015)</w:t>
      </w:r>
      <w:r w:rsidR="006F5D63" w:rsidRPr="003A310C">
        <w:rPr>
          <w:rFonts w:ascii="Arial" w:hAnsi="Arial" w:cs="Arial"/>
          <w:sz w:val="20"/>
          <w:szCs w:val="20"/>
          <w:lang w:val="en-US"/>
        </w:rPr>
        <w:t xml:space="preserve">. Climatology of GPS amplitude scintillations over equatorial Africa during the minimum and ascending phases of solar cycle 24. </w:t>
      </w:r>
      <w:proofErr w:type="spellStart"/>
      <w:r w:rsidR="006F5D63" w:rsidRPr="003A310C">
        <w:rPr>
          <w:rFonts w:ascii="Arial" w:hAnsi="Arial" w:cs="Arial"/>
          <w:sz w:val="20"/>
          <w:szCs w:val="20"/>
          <w:lang w:val="en-US"/>
        </w:rPr>
        <w:t>Astrophysic</w:t>
      </w:r>
      <w:proofErr w:type="spellEnd"/>
      <w:r w:rsidR="006F5D63" w:rsidRPr="003A310C">
        <w:rPr>
          <w:rFonts w:ascii="Arial" w:hAnsi="Arial" w:cs="Arial"/>
          <w:sz w:val="20"/>
          <w:szCs w:val="20"/>
          <w:lang w:val="en-US"/>
        </w:rPr>
        <w:t xml:space="preserve"> Spa</w:t>
      </w:r>
      <w:r w:rsidRPr="003A310C">
        <w:rPr>
          <w:rFonts w:ascii="Arial" w:hAnsi="Arial" w:cs="Arial"/>
          <w:sz w:val="20"/>
          <w:szCs w:val="20"/>
          <w:lang w:val="en-US"/>
        </w:rPr>
        <w:t>ce Science, vol.357, no.17</w:t>
      </w:r>
      <w:r w:rsidR="006F5D63" w:rsidRPr="003A310C">
        <w:rPr>
          <w:rFonts w:ascii="Arial" w:hAnsi="Arial" w:cs="Arial"/>
          <w:sz w:val="20"/>
          <w:szCs w:val="20"/>
          <w:lang w:val="en-US"/>
        </w:rPr>
        <w:t xml:space="preserve">. </w:t>
      </w:r>
    </w:p>
    <w:p w14:paraId="58005EC2" w14:textId="77777777" w:rsidR="006F5D63" w:rsidRPr="003A310C" w:rsidRDefault="008E082A" w:rsidP="008E082A">
      <w:pPr>
        <w:spacing w:line="240" w:lineRule="auto"/>
        <w:ind w:left="567" w:hanging="567"/>
        <w:jc w:val="both"/>
        <w:rPr>
          <w:rFonts w:ascii="Arial" w:hAnsi="Arial" w:cs="Arial"/>
          <w:sz w:val="20"/>
          <w:szCs w:val="20"/>
          <w:lang w:val="en-US"/>
        </w:rPr>
      </w:pPr>
      <w:proofErr w:type="spellStart"/>
      <w:r w:rsidRPr="003A310C">
        <w:rPr>
          <w:rFonts w:ascii="Arial" w:hAnsi="Arial" w:cs="Arial"/>
          <w:sz w:val="20"/>
          <w:szCs w:val="20"/>
          <w:lang w:val="en-US"/>
        </w:rPr>
        <w:t>Azzouzi</w:t>
      </w:r>
      <w:proofErr w:type="spellEnd"/>
      <w:r w:rsidRPr="003A310C">
        <w:rPr>
          <w:rFonts w:ascii="Arial" w:hAnsi="Arial" w:cs="Arial"/>
          <w:sz w:val="20"/>
          <w:szCs w:val="20"/>
          <w:lang w:val="en-US"/>
        </w:rPr>
        <w:t xml:space="preserve">, I., </w:t>
      </w:r>
      <w:proofErr w:type="spellStart"/>
      <w:r w:rsidRPr="003A310C">
        <w:rPr>
          <w:rFonts w:ascii="Arial" w:hAnsi="Arial" w:cs="Arial"/>
          <w:sz w:val="20"/>
          <w:szCs w:val="20"/>
          <w:lang w:val="en-US"/>
        </w:rPr>
        <w:t>Mogoya-Orué</w:t>
      </w:r>
      <w:proofErr w:type="spellEnd"/>
      <w:r w:rsidRPr="003A310C">
        <w:rPr>
          <w:rFonts w:ascii="Arial" w:hAnsi="Arial" w:cs="Arial"/>
          <w:sz w:val="20"/>
          <w:szCs w:val="20"/>
          <w:lang w:val="en-US"/>
        </w:rPr>
        <w:t xml:space="preserve">, Y., </w:t>
      </w:r>
      <w:proofErr w:type="spellStart"/>
      <w:r w:rsidRPr="003A310C">
        <w:rPr>
          <w:rFonts w:ascii="Arial" w:hAnsi="Arial" w:cs="Arial"/>
          <w:sz w:val="20"/>
          <w:szCs w:val="20"/>
          <w:lang w:val="en-US"/>
        </w:rPr>
        <w:t>Coisson</w:t>
      </w:r>
      <w:proofErr w:type="spellEnd"/>
      <w:r w:rsidRPr="003A310C">
        <w:rPr>
          <w:rFonts w:ascii="Arial" w:hAnsi="Arial" w:cs="Arial"/>
          <w:sz w:val="20"/>
          <w:szCs w:val="20"/>
          <w:lang w:val="en-US"/>
        </w:rPr>
        <w:t>, P., Amory-</w:t>
      </w:r>
      <w:proofErr w:type="spellStart"/>
      <w:r w:rsidRPr="003A310C">
        <w:rPr>
          <w:rFonts w:ascii="Arial" w:hAnsi="Arial" w:cs="Arial"/>
          <w:sz w:val="20"/>
          <w:szCs w:val="20"/>
          <w:lang w:val="en-US"/>
        </w:rPr>
        <w:t>Mazaudier</w:t>
      </w:r>
      <w:proofErr w:type="spellEnd"/>
      <w:r w:rsidRPr="003A310C">
        <w:rPr>
          <w:rFonts w:ascii="Arial" w:hAnsi="Arial" w:cs="Arial"/>
          <w:sz w:val="20"/>
          <w:szCs w:val="20"/>
          <w:lang w:val="en-US"/>
        </w:rPr>
        <w:t xml:space="preserve">, C., Fleury, R. and </w:t>
      </w:r>
      <w:proofErr w:type="spellStart"/>
      <w:r w:rsidRPr="003A310C">
        <w:rPr>
          <w:rFonts w:ascii="Arial" w:hAnsi="Arial" w:cs="Arial"/>
          <w:sz w:val="20"/>
          <w:szCs w:val="20"/>
          <w:lang w:val="en-US"/>
        </w:rPr>
        <w:t>Radicella</w:t>
      </w:r>
      <w:proofErr w:type="spellEnd"/>
      <w:r w:rsidRPr="003A310C">
        <w:rPr>
          <w:rFonts w:ascii="Arial" w:hAnsi="Arial" w:cs="Arial"/>
          <w:sz w:val="20"/>
          <w:szCs w:val="20"/>
          <w:lang w:val="en-US"/>
        </w:rPr>
        <w:t xml:space="preserve">, S. </w:t>
      </w:r>
      <w:r w:rsidR="006F5D63" w:rsidRPr="003A310C">
        <w:rPr>
          <w:rFonts w:ascii="Arial" w:hAnsi="Arial" w:cs="Arial"/>
          <w:sz w:val="20"/>
          <w:szCs w:val="20"/>
          <w:lang w:val="en-US"/>
        </w:rPr>
        <w:t xml:space="preserve">M. </w:t>
      </w:r>
      <w:r w:rsidRPr="003A310C">
        <w:rPr>
          <w:rFonts w:ascii="Arial" w:hAnsi="Arial" w:cs="Arial"/>
          <w:sz w:val="20"/>
          <w:szCs w:val="20"/>
          <w:lang w:val="en-US"/>
        </w:rPr>
        <w:t xml:space="preserve">(2016). </w:t>
      </w:r>
      <w:r w:rsidR="006F5D63" w:rsidRPr="003A310C">
        <w:rPr>
          <w:rFonts w:ascii="Arial" w:hAnsi="Arial" w:cs="Arial"/>
          <w:sz w:val="20"/>
          <w:szCs w:val="20"/>
          <w:lang w:val="en-US"/>
        </w:rPr>
        <w:t xml:space="preserve">Day-to-day variability of VTEC and ROTI in October 2012 with impact of high-speed solar wind stream on 13 </w:t>
      </w:r>
      <w:proofErr w:type="spellStart"/>
      <w:r w:rsidR="006F5D63" w:rsidRPr="003A310C">
        <w:rPr>
          <w:rFonts w:ascii="Arial" w:hAnsi="Arial" w:cs="Arial"/>
          <w:sz w:val="20"/>
          <w:szCs w:val="20"/>
          <w:lang w:val="en-US"/>
        </w:rPr>
        <w:t>october</w:t>
      </w:r>
      <w:proofErr w:type="spellEnd"/>
      <w:r w:rsidR="006F5D63" w:rsidRPr="003A310C">
        <w:rPr>
          <w:rFonts w:ascii="Arial" w:hAnsi="Arial" w:cs="Arial"/>
          <w:sz w:val="20"/>
          <w:szCs w:val="20"/>
          <w:lang w:val="en-US"/>
        </w:rPr>
        <w:t xml:space="preserve"> 2012. Sun and Geosphere, BBC SWS Regional</w:t>
      </w:r>
      <w:r w:rsidRPr="003A310C">
        <w:rPr>
          <w:rFonts w:ascii="Arial" w:hAnsi="Arial" w:cs="Arial"/>
          <w:sz w:val="20"/>
          <w:szCs w:val="20"/>
          <w:lang w:val="en-US"/>
        </w:rPr>
        <w:t xml:space="preserve"> Network, vol.11, no.1, pp.7-22. </w:t>
      </w:r>
    </w:p>
    <w:p w14:paraId="21402B6B" w14:textId="77777777" w:rsidR="006F5D63" w:rsidRPr="003A310C" w:rsidRDefault="008E082A" w:rsidP="008E082A">
      <w:pPr>
        <w:spacing w:line="240" w:lineRule="auto"/>
        <w:ind w:left="567" w:hanging="567"/>
        <w:jc w:val="both"/>
        <w:rPr>
          <w:rFonts w:ascii="Arial" w:hAnsi="Arial" w:cs="Arial"/>
          <w:sz w:val="20"/>
          <w:szCs w:val="20"/>
          <w:lang w:val="en-US"/>
        </w:rPr>
      </w:pPr>
      <w:proofErr w:type="spellStart"/>
      <w:r w:rsidRPr="003A310C">
        <w:rPr>
          <w:rFonts w:ascii="Arial" w:hAnsi="Arial" w:cs="Arial"/>
          <w:sz w:val="20"/>
          <w:szCs w:val="20"/>
          <w:lang w:val="en-US"/>
        </w:rPr>
        <w:t>Basu</w:t>
      </w:r>
      <w:proofErr w:type="spellEnd"/>
      <w:r w:rsidRPr="003A310C">
        <w:rPr>
          <w:rFonts w:ascii="Arial" w:hAnsi="Arial" w:cs="Arial"/>
          <w:sz w:val="20"/>
          <w:szCs w:val="20"/>
          <w:lang w:val="en-US"/>
        </w:rPr>
        <w:t>, S.; Groves, K. M., Quinn, J. M. and Doherty, P. A. (1999). C</w:t>
      </w:r>
      <w:r w:rsidR="006F5D63" w:rsidRPr="003A310C">
        <w:rPr>
          <w:rFonts w:ascii="Arial" w:hAnsi="Arial" w:cs="Arial"/>
          <w:sz w:val="20"/>
          <w:szCs w:val="20"/>
          <w:lang w:val="en-US"/>
        </w:rPr>
        <w:t>omparison of TEC fluctuations and scintillations at Ascension Island. Journal of Atmospheric and Solar –Terrestrial Physics, vo</w:t>
      </w:r>
      <w:r w:rsidRPr="003A310C">
        <w:rPr>
          <w:rFonts w:ascii="Arial" w:hAnsi="Arial" w:cs="Arial"/>
          <w:sz w:val="20"/>
          <w:szCs w:val="20"/>
          <w:lang w:val="en-US"/>
        </w:rPr>
        <w:t>l.61, no.16, pp. 1219-1226</w:t>
      </w:r>
      <w:r w:rsidR="006F5D63" w:rsidRPr="003A310C">
        <w:rPr>
          <w:rFonts w:ascii="Arial" w:hAnsi="Arial" w:cs="Arial"/>
          <w:sz w:val="20"/>
          <w:szCs w:val="20"/>
          <w:lang w:val="en-US"/>
        </w:rPr>
        <w:t xml:space="preserve">. </w:t>
      </w:r>
    </w:p>
    <w:p w14:paraId="35CE73C6" w14:textId="77777777" w:rsidR="006F5D63" w:rsidRPr="003A310C" w:rsidRDefault="006F5D63" w:rsidP="00C60BA0">
      <w:pPr>
        <w:autoSpaceDE w:val="0"/>
        <w:autoSpaceDN w:val="0"/>
        <w:adjustRightInd w:val="0"/>
        <w:spacing w:after="0" w:line="240" w:lineRule="auto"/>
        <w:jc w:val="both"/>
        <w:rPr>
          <w:rFonts w:ascii="Arial" w:hAnsi="Arial" w:cs="Arial"/>
          <w:sz w:val="20"/>
          <w:szCs w:val="20"/>
          <w:lang w:val="en-US"/>
        </w:rPr>
      </w:pPr>
      <w:r w:rsidRPr="003A310C">
        <w:rPr>
          <w:rFonts w:ascii="Arial" w:hAnsi="Arial" w:cs="Arial"/>
          <w:sz w:val="20"/>
          <w:szCs w:val="20"/>
          <w:lang w:val="en-US"/>
        </w:rPr>
        <w:t xml:space="preserve"> </w:t>
      </w:r>
    </w:p>
    <w:p w14:paraId="7ACAEB54" w14:textId="55B2FABD" w:rsidR="00FC0D3D" w:rsidRPr="00F72244" w:rsidRDefault="00FC0D3D" w:rsidP="00FC0D3D">
      <w:pPr>
        <w:spacing w:line="240" w:lineRule="auto"/>
        <w:ind w:left="567" w:hanging="567"/>
        <w:jc w:val="both"/>
        <w:rPr>
          <w:rFonts w:ascii="Arial" w:hAnsi="Arial" w:cs="Arial"/>
          <w:sz w:val="20"/>
          <w:szCs w:val="20"/>
        </w:rPr>
      </w:pPr>
      <w:r w:rsidRPr="00FC0D3D">
        <w:rPr>
          <w:highlight w:val="yellow"/>
        </w:rPr>
        <w:t xml:space="preserve">Correia, E., </w:t>
      </w:r>
      <w:proofErr w:type="spellStart"/>
      <w:r w:rsidRPr="00FC0D3D">
        <w:rPr>
          <w:highlight w:val="yellow"/>
        </w:rPr>
        <w:t>Muella</w:t>
      </w:r>
      <w:proofErr w:type="spellEnd"/>
      <w:r w:rsidRPr="00FC0D3D">
        <w:rPr>
          <w:highlight w:val="yellow"/>
        </w:rPr>
        <w:t xml:space="preserve">, M., </w:t>
      </w:r>
      <w:proofErr w:type="spellStart"/>
      <w:r w:rsidRPr="00FC0D3D">
        <w:rPr>
          <w:highlight w:val="yellow"/>
        </w:rPr>
        <w:t>Lucilla</w:t>
      </w:r>
      <w:proofErr w:type="spellEnd"/>
      <w:r w:rsidRPr="00FC0D3D">
        <w:rPr>
          <w:highlight w:val="yellow"/>
        </w:rPr>
        <w:t xml:space="preserve">, A., Prol, F.S., Camargo P. (2018). </w:t>
      </w:r>
      <w:r w:rsidRPr="00FC0D3D">
        <w:rPr>
          <w:highlight w:val="yellow"/>
          <w:lang w:val="en-US"/>
        </w:rPr>
        <w:t xml:space="preserve">GPS Scintillations and Total Electron Content Climatology in the Southern American Sector. In: Dr. Dogan </w:t>
      </w:r>
      <w:proofErr w:type="spellStart"/>
      <w:r w:rsidRPr="00FC0D3D">
        <w:rPr>
          <w:highlight w:val="yellow"/>
          <w:lang w:val="en-US"/>
        </w:rPr>
        <w:t>Ugur</w:t>
      </w:r>
      <w:proofErr w:type="spellEnd"/>
      <w:r w:rsidRPr="00FC0D3D">
        <w:rPr>
          <w:highlight w:val="yellow"/>
          <w:lang w:val="en-US"/>
        </w:rPr>
        <w:t xml:space="preserve"> </w:t>
      </w:r>
      <w:proofErr w:type="spellStart"/>
      <w:r w:rsidRPr="00FC0D3D">
        <w:rPr>
          <w:highlight w:val="yellow"/>
          <w:lang w:val="en-US"/>
        </w:rPr>
        <w:t>Sanli</w:t>
      </w:r>
      <w:proofErr w:type="spellEnd"/>
      <w:r w:rsidRPr="00FC0D3D">
        <w:rPr>
          <w:highlight w:val="yellow"/>
          <w:lang w:val="en-US"/>
        </w:rPr>
        <w:t xml:space="preserve">. (Org.). Accuracy of GNSS Methods. </w:t>
      </w:r>
      <w:r w:rsidRPr="00FC0D3D">
        <w:rPr>
          <w:highlight w:val="yellow"/>
        </w:rPr>
        <w:t xml:space="preserve">1ed. </w:t>
      </w:r>
      <w:proofErr w:type="gramStart"/>
      <w:r w:rsidRPr="00FC0D3D">
        <w:rPr>
          <w:highlight w:val="yellow"/>
        </w:rPr>
        <w:t>London:</w:t>
      </w:r>
      <w:proofErr w:type="gramEnd"/>
      <w:r w:rsidRPr="00FC0D3D">
        <w:rPr>
          <w:highlight w:val="yellow"/>
        </w:rPr>
        <w:t xml:space="preserve"> </w:t>
      </w:r>
      <w:proofErr w:type="spellStart"/>
      <w:r w:rsidRPr="00FC0D3D">
        <w:rPr>
          <w:highlight w:val="yellow"/>
        </w:rPr>
        <w:t>IntechOpen</w:t>
      </w:r>
      <w:proofErr w:type="spellEnd"/>
      <w:r w:rsidRPr="00FC0D3D">
        <w:rPr>
          <w:highlight w:val="yellow"/>
        </w:rPr>
        <w:t>, 1:47-70.</w:t>
      </w:r>
    </w:p>
    <w:p w14:paraId="405CD31C" w14:textId="4E49FD00" w:rsidR="006F5D63" w:rsidRPr="003A310C" w:rsidRDefault="0035624B" w:rsidP="009832E5">
      <w:pPr>
        <w:spacing w:line="240" w:lineRule="auto"/>
        <w:ind w:left="567" w:hanging="567"/>
        <w:jc w:val="both"/>
        <w:rPr>
          <w:rFonts w:ascii="Arial" w:hAnsi="Arial" w:cs="Arial"/>
          <w:sz w:val="20"/>
          <w:szCs w:val="20"/>
        </w:rPr>
      </w:pPr>
      <w:proofErr w:type="spellStart"/>
      <w:r w:rsidRPr="00F72244">
        <w:rPr>
          <w:rFonts w:ascii="Arial" w:hAnsi="Arial" w:cs="Arial"/>
          <w:sz w:val="20"/>
          <w:szCs w:val="20"/>
        </w:rPr>
        <w:t>Galmiche</w:t>
      </w:r>
      <w:proofErr w:type="spellEnd"/>
      <w:r w:rsidRPr="00F72244">
        <w:rPr>
          <w:rFonts w:ascii="Arial" w:hAnsi="Arial" w:cs="Arial"/>
          <w:sz w:val="20"/>
          <w:szCs w:val="20"/>
        </w:rPr>
        <w:t xml:space="preserve">, </w:t>
      </w:r>
      <w:r w:rsidR="006F5D63" w:rsidRPr="00F72244">
        <w:rPr>
          <w:rFonts w:ascii="Arial" w:hAnsi="Arial" w:cs="Arial"/>
          <w:sz w:val="20"/>
          <w:szCs w:val="20"/>
        </w:rPr>
        <w:t>A.</w:t>
      </w:r>
      <w:r w:rsidR="00FC0D3D" w:rsidRPr="00F72244">
        <w:rPr>
          <w:rFonts w:ascii="Arial" w:hAnsi="Arial" w:cs="Arial"/>
          <w:sz w:val="20"/>
          <w:szCs w:val="20"/>
        </w:rPr>
        <w:t xml:space="preserve"> </w:t>
      </w:r>
      <w:r w:rsidRPr="00F72244">
        <w:rPr>
          <w:rFonts w:ascii="Arial" w:hAnsi="Arial" w:cs="Arial"/>
          <w:sz w:val="20"/>
          <w:szCs w:val="20"/>
        </w:rPr>
        <w:t>(</w:t>
      </w:r>
      <w:r w:rsidR="008156B0" w:rsidRPr="00F72244">
        <w:rPr>
          <w:rFonts w:ascii="Arial" w:hAnsi="Arial" w:cs="Arial"/>
          <w:sz w:val="20"/>
          <w:szCs w:val="20"/>
        </w:rPr>
        <w:t xml:space="preserve">2019). </w:t>
      </w:r>
      <w:r w:rsidR="006F5D63" w:rsidRPr="003A310C">
        <w:rPr>
          <w:rFonts w:ascii="Arial" w:hAnsi="Arial" w:cs="Arial"/>
          <w:sz w:val="20"/>
          <w:szCs w:val="20"/>
        </w:rPr>
        <w:t xml:space="preserve">Modélisation de la scintillation ionosphérique en zone équatoriale : application à l’inversion de signaux GNSS pour la caractérisation de la turbulence. Thèse de doctorat à l’université de </w:t>
      </w:r>
      <w:proofErr w:type="gramStart"/>
      <w:r w:rsidR="006F5D63" w:rsidRPr="003A310C">
        <w:rPr>
          <w:rFonts w:ascii="Arial" w:hAnsi="Arial" w:cs="Arial"/>
          <w:sz w:val="20"/>
          <w:szCs w:val="20"/>
        </w:rPr>
        <w:t>Toulouse,.</w:t>
      </w:r>
      <w:proofErr w:type="gramEnd"/>
      <w:r w:rsidR="006F5D63" w:rsidRPr="003A310C">
        <w:rPr>
          <w:rFonts w:ascii="Arial" w:hAnsi="Arial" w:cs="Arial"/>
          <w:sz w:val="20"/>
          <w:szCs w:val="20"/>
        </w:rPr>
        <w:t xml:space="preserve"> </w:t>
      </w:r>
    </w:p>
    <w:p w14:paraId="441BAE71" w14:textId="77777777" w:rsidR="0035624B" w:rsidRPr="003A310C" w:rsidRDefault="0035624B" w:rsidP="009832E5">
      <w:pPr>
        <w:spacing w:line="240" w:lineRule="auto"/>
        <w:ind w:left="567" w:hanging="567"/>
        <w:jc w:val="both"/>
        <w:rPr>
          <w:rFonts w:ascii="Arial" w:hAnsi="Arial" w:cs="Arial"/>
          <w:sz w:val="20"/>
          <w:szCs w:val="20"/>
          <w:lang w:val="en-US"/>
        </w:rPr>
      </w:pPr>
      <w:r w:rsidRPr="003A310C">
        <w:rPr>
          <w:rFonts w:ascii="Arial" w:hAnsi="Arial" w:cs="Arial"/>
          <w:sz w:val="20"/>
          <w:szCs w:val="20"/>
        </w:rPr>
        <w:t xml:space="preserve">Gonzalez, W., </w:t>
      </w:r>
      <w:proofErr w:type="spellStart"/>
      <w:r w:rsidRPr="003A310C">
        <w:rPr>
          <w:rFonts w:ascii="Arial" w:hAnsi="Arial" w:cs="Arial"/>
          <w:sz w:val="20"/>
          <w:szCs w:val="20"/>
        </w:rPr>
        <w:t>Joselyn</w:t>
      </w:r>
      <w:proofErr w:type="spellEnd"/>
      <w:r w:rsidRPr="003A310C">
        <w:rPr>
          <w:rFonts w:ascii="Arial" w:hAnsi="Arial" w:cs="Arial"/>
          <w:sz w:val="20"/>
          <w:szCs w:val="20"/>
        </w:rPr>
        <w:t xml:space="preserve">, J.A., </w:t>
      </w:r>
      <w:proofErr w:type="spellStart"/>
      <w:r w:rsidRPr="003A310C">
        <w:rPr>
          <w:rFonts w:ascii="Arial" w:hAnsi="Arial" w:cs="Arial"/>
          <w:sz w:val="20"/>
          <w:szCs w:val="20"/>
        </w:rPr>
        <w:t>Kamide</w:t>
      </w:r>
      <w:proofErr w:type="spellEnd"/>
      <w:r w:rsidRPr="003A310C">
        <w:rPr>
          <w:rFonts w:ascii="Arial" w:hAnsi="Arial" w:cs="Arial"/>
          <w:sz w:val="20"/>
          <w:szCs w:val="20"/>
        </w:rPr>
        <w:t xml:space="preserve">, Y. et al. </w:t>
      </w:r>
      <w:r w:rsidRPr="009D58F4">
        <w:rPr>
          <w:rFonts w:ascii="Arial" w:hAnsi="Arial" w:cs="Arial"/>
          <w:sz w:val="20"/>
          <w:szCs w:val="20"/>
          <w:lang w:val="en-US"/>
        </w:rPr>
        <w:t>(1994). What is a geomagneti</w:t>
      </w:r>
      <w:r w:rsidRPr="003A310C">
        <w:rPr>
          <w:rFonts w:ascii="Arial" w:hAnsi="Arial" w:cs="Arial"/>
          <w:sz w:val="20"/>
          <w:szCs w:val="20"/>
          <w:lang w:val="en-US"/>
        </w:rPr>
        <w:t xml:space="preserve">c </w:t>
      </w:r>
      <w:proofErr w:type="gramStart"/>
      <w:r w:rsidRPr="003A310C">
        <w:rPr>
          <w:rFonts w:ascii="Arial" w:hAnsi="Arial" w:cs="Arial"/>
          <w:sz w:val="20"/>
          <w:szCs w:val="20"/>
          <w:lang w:val="en-US"/>
        </w:rPr>
        <w:t>storm ?</w:t>
      </w:r>
      <w:proofErr w:type="gramEnd"/>
      <w:r w:rsidRPr="003A310C">
        <w:rPr>
          <w:rFonts w:ascii="Arial" w:hAnsi="Arial" w:cs="Arial"/>
          <w:sz w:val="20"/>
          <w:szCs w:val="20"/>
          <w:lang w:val="en-US"/>
        </w:rPr>
        <w:t xml:space="preserve"> Journal of geophysical Research: Space Physics, vol. 99, no. A4, pp. 5771-5792. </w:t>
      </w:r>
    </w:p>
    <w:p w14:paraId="74FFF3A6" w14:textId="77777777" w:rsidR="006F5D63" w:rsidRPr="003A310C" w:rsidRDefault="004C7F50" w:rsidP="009832E5">
      <w:pPr>
        <w:spacing w:line="240" w:lineRule="auto"/>
        <w:ind w:left="567" w:hanging="567"/>
        <w:jc w:val="both"/>
        <w:rPr>
          <w:rFonts w:ascii="Arial" w:hAnsi="Arial" w:cs="Arial"/>
          <w:sz w:val="20"/>
          <w:szCs w:val="20"/>
          <w:lang w:val="en-US"/>
        </w:rPr>
      </w:pPr>
      <w:proofErr w:type="spellStart"/>
      <w:r w:rsidRPr="003A310C">
        <w:rPr>
          <w:rFonts w:ascii="Arial" w:hAnsi="Arial" w:cs="Arial"/>
          <w:sz w:val="20"/>
          <w:szCs w:val="20"/>
          <w:lang w:val="en-US"/>
        </w:rPr>
        <w:t>Kahindo-Murumba</w:t>
      </w:r>
      <w:proofErr w:type="spellEnd"/>
      <w:r w:rsidRPr="003A310C">
        <w:rPr>
          <w:rFonts w:ascii="Arial" w:hAnsi="Arial" w:cs="Arial"/>
          <w:sz w:val="20"/>
          <w:szCs w:val="20"/>
          <w:lang w:val="en-US"/>
        </w:rPr>
        <w:t xml:space="preserve">, </w:t>
      </w:r>
      <w:r w:rsidR="006F5D63" w:rsidRPr="003A310C">
        <w:rPr>
          <w:rFonts w:ascii="Arial" w:hAnsi="Arial" w:cs="Arial"/>
          <w:sz w:val="20"/>
          <w:szCs w:val="20"/>
          <w:lang w:val="en-US"/>
        </w:rPr>
        <w:t xml:space="preserve">B., </w:t>
      </w:r>
      <w:proofErr w:type="spellStart"/>
      <w:r w:rsidR="006F5D63" w:rsidRPr="003A310C">
        <w:rPr>
          <w:rFonts w:ascii="Arial" w:hAnsi="Arial" w:cs="Arial"/>
          <w:sz w:val="20"/>
          <w:szCs w:val="20"/>
          <w:lang w:val="en-US"/>
        </w:rPr>
        <w:t>Kazadi</w:t>
      </w:r>
      <w:proofErr w:type="spellEnd"/>
      <w:r w:rsidR="006F5D63" w:rsidRPr="003A310C">
        <w:rPr>
          <w:rFonts w:ascii="Arial" w:hAnsi="Arial" w:cs="Arial"/>
          <w:sz w:val="20"/>
          <w:szCs w:val="20"/>
          <w:lang w:val="en-US"/>
        </w:rPr>
        <w:t xml:space="preserve"> </w:t>
      </w:r>
      <w:proofErr w:type="spellStart"/>
      <w:r w:rsidR="006F5D63" w:rsidRPr="003A310C">
        <w:rPr>
          <w:rFonts w:ascii="Arial" w:hAnsi="Arial" w:cs="Arial"/>
          <w:sz w:val="20"/>
          <w:szCs w:val="20"/>
          <w:lang w:val="en-US"/>
        </w:rPr>
        <w:t>Mukenga</w:t>
      </w:r>
      <w:proofErr w:type="spellEnd"/>
      <w:r w:rsidR="006F5D63" w:rsidRPr="003A310C">
        <w:rPr>
          <w:rFonts w:ascii="Arial" w:hAnsi="Arial" w:cs="Arial"/>
          <w:sz w:val="20"/>
          <w:szCs w:val="20"/>
          <w:lang w:val="en-US"/>
        </w:rPr>
        <w:t xml:space="preserve"> Ban</w:t>
      </w:r>
      <w:r w:rsidRPr="003A310C">
        <w:rPr>
          <w:rFonts w:ascii="Arial" w:hAnsi="Arial" w:cs="Arial"/>
          <w:sz w:val="20"/>
          <w:szCs w:val="20"/>
          <w:lang w:val="en-US"/>
        </w:rPr>
        <w:t xml:space="preserve">tu, A., Fleury, </w:t>
      </w:r>
      <w:r w:rsidR="006F5D63" w:rsidRPr="003A310C">
        <w:rPr>
          <w:rFonts w:ascii="Arial" w:hAnsi="Arial" w:cs="Arial"/>
          <w:sz w:val="20"/>
          <w:szCs w:val="20"/>
          <w:lang w:val="en-US"/>
        </w:rPr>
        <w:t xml:space="preserve">R., </w:t>
      </w:r>
      <w:proofErr w:type="spellStart"/>
      <w:r w:rsidR="006F5D63" w:rsidRPr="003A310C">
        <w:rPr>
          <w:rFonts w:ascii="Arial" w:hAnsi="Arial" w:cs="Arial"/>
          <w:sz w:val="20"/>
          <w:szCs w:val="20"/>
          <w:lang w:val="en-US"/>
        </w:rPr>
        <w:t>Kak</w:t>
      </w:r>
      <w:r w:rsidRPr="003A310C">
        <w:rPr>
          <w:rFonts w:ascii="Arial" w:hAnsi="Arial" w:cs="Arial"/>
          <w:sz w:val="20"/>
          <w:szCs w:val="20"/>
          <w:lang w:val="en-US"/>
        </w:rPr>
        <w:t>ule</w:t>
      </w:r>
      <w:proofErr w:type="spellEnd"/>
      <w:r w:rsidRPr="003A310C">
        <w:rPr>
          <w:rFonts w:ascii="Arial" w:hAnsi="Arial" w:cs="Arial"/>
          <w:sz w:val="20"/>
          <w:szCs w:val="20"/>
          <w:lang w:val="en-US"/>
        </w:rPr>
        <w:t xml:space="preserve"> </w:t>
      </w:r>
      <w:proofErr w:type="spellStart"/>
      <w:r w:rsidRPr="003A310C">
        <w:rPr>
          <w:rFonts w:ascii="Arial" w:hAnsi="Arial" w:cs="Arial"/>
          <w:sz w:val="20"/>
          <w:szCs w:val="20"/>
          <w:lang w:val="en-US"/>
        </w:rPr>
        <w:t>Kaniki</w:t>
      </w:r>
      <w:proofErr w:type="spellEnd"/>
      <w:r w:rsidRPr="003A310C">
        <w:rPr>
          <w:rFonts w:ascii="Arial" w:hAnsi="Arial" w:cs="Arial"/>
          <w:sz w:val="20"/>
          <w:szCs w:val="20"/>
          <w:lang w:val="en-US"/>
        </w:rPr>
        <w:t xml:space="preserve"> </w:t>
      </w:r>
      <w:r w:rsidR="006F5D63" w:rsidRPr="003A310C">
        <w:rPr>
          <w:rFonts w:ascii="Arial" w:hAnsi="Arial" w:cs="Arial"/>
          <w:sz w:val="20"/>
          <w:szCs w:val="20"/>
          <w:lang w:val="en-US"/>
        </w:rPr>
        <w:t>M., Amory-</w:t>
      </w:r>
      <w:proofErr w:type="spellStart"/>
      <w:r w:rsidR="006F5D63" w:rsidRPr="003A310C">
        <w:rPr>
          <w:rFonts w:ascii="Arial" w:hAnsi="Arial" w:cs="Arial"/>
          <w:sz w:val="20"/>
          <w:szCs w:val="20"/>
          <w:lang w:val="en-US"/>
        </w:rPr>
        <w:t>Mazaudier</w:t>
      </w:r>
      <w:proofErr w:type="spellEnd"/>
      <w:r w:rsidRPr="003A310C">
        <w:rPr>
          <w:rFonts w:ascii="Arial" w:hAnsi="Arial" w:cs="Arial"/>
          <w:sz w:val="20"/>
          <w:szCs w:val="20"/>
          <w:lang w:val="en-US"/>
        </w:rPr>
        <w:t xml:space="preserve">, C. </w:t>
      </w:r>
      <w:r w:rsidRPr="003A310C">
        <w:rPr>
          <w:rFonts w:ascii="Arial" w:hAnsi="Arial" w:cs="Arial"/>
          <w:lang w:val="en-US"/>
        </w:rPr>
        <w:t>&amp;</w:t>
      </w:r>
      <w:r w:rsidRPr="003A310C">
        <w:rPr>
          <w:rFonts w:ascii="Arial" w:hAnsi="Arial" w:cs="Arial"/>
          <w:sz w:val="20"/>
          <w:szCs w:val="20"/>
          <w:lang w:val="en-US"/>
        </w:rPr>
        <w:t xml:space="preserve"> Groves, </w:t>
      </w:r>
      <w:r w:rsidR="006F5D63" w:rsidRPr="003A310C">
        <w:rPr>
          <w:rFonts w:ascii="Arial" w:hAnsi="Arial" w:cs="Arial"/>
          <w:sz w:val="20"/>
          <w:szCs w:val="20"/>
          <w:lang w:val="en-US"/>
        </w:rPr>
        <w:t xml:space="preserve">K. </w:t>
      </w:r>
      <w:r w:rsidRPr="003A310C">
        <w:rPr>
          <w:rFonts w:ascii="Arial" w:hAnsi="Arial" w:cs="Arial"/>
          <w:sz w:val="20"/>
          <w:szCs w:val="20"/>
          <w:lang w:val="en-US"/>
        </w:rPr>
        <w:t xml:space="preserve">(2017). </w:t>
      </w:r>
      <w:r w:rsidR="006F5D63" w:rsidRPr="003A310C">
        <w:rPr>
          <w:rFonts w:ascii="Arial" w:hAnsi="Arial" w:cs="Arial"/>
          <w:sz w:val="20"/>
          <w:szCs w:val="20"/>
        </w:rPr>
        <w:t xml:space="preserve">Contribution à l’étude de la scintillation ionosphérique équatoriale sur la crête sud de l’Afrique. </w:t>
      </w:r>
      <w:r w:rsidR="006F5D63" w:rsidRPr="003A310C">
        <w:rPr>
          <w:rFonts w:ascii="Arial" w:hAnsi="Arial" w:cs="Arial"/>
          <w:sz w:val="20"/>
          <w:szCs w:val="20"/>
          <w:lang w:val="en-US"/>
        </w:rPr>
        <w:t>Journal des scienc</w:t>
      </w:r>
      <w:r w:rsidRPr="003A310C">
        <w:rPr>
          <w:rFonts w:ascii="Arial" w:hAnsi="Arial" w:cs="Arial"/>
          <w:sz w:val="20"/>
          <w:szCs w:val="20"/>
          <w:lang w:val="en-US"/>
        </w:rPr>
        <w:t>es, vol.17, no.2, pp.27-47.</w:t>
      </w:r>
      <w:r w:rsidR="006F5D63" w:rsidRPr="003A310C">
        <w:rPr>
          <w:rFonts w:ascii="Arial" w:hAnsi="Arial" w:cs="Arial"/>
          <w:sz w:val="20"/>
          <w:szCs w:val="20"/>
          <w:lang w:val="en-US"/>
        </w:rPr>
        <w:t xml:space="preserve">  </w:t>
      </w:r>
    </w:p>
    <w:p w14:paraId="1A3315E7" w14:textId="77777777" w:rsidR="006F5D63" w:rsidRPr="003A310C" w:rsidRDefault="006F5D63" w:rsidP="009832E5">
      <w:pPr>
        <w:spacing w:line="240" w:lineRule="auto"/>
        <w:ind w:left="567" w:hanging="567"/>
        <w:jc w:val="both"/>
        <w:rPr>
          <w:rFonts w:ascii="Arial" w:hAnsi="Arial" w:cs="Arial"/>
          <w:sz w:val="20"/>
          <w:szCs w:val="20"/>
          <w:lang w:val="en-US"/>
        </w:rPr>
      </w:pPr>
      <w:r w:rsidRPr="003A310C">
        <w:rPr>
          <w:rFonts w:ascii="Arial" w:hAnsi="Arial" w:cs="Arial"/>
          <w:sz w:val="20"/>
          <w:szCs w:val="20"/>
          <w:lang w:val="en-US"/>
        </w:rPr>
        <w:t>Ouattara</w:t>
      </w:r>
      <w:r w:rsidR="004C7F50" w:rsidRPr="003A310C">
        <w:rPr>
          <w:rFonts w:ascii="Arial" w:hAnsi="Arial" w:cs="Arial"/>
          <w:sz w:val="20"/>
          <w:szCs w:val="20"/>
          <w:lang w:val="en-US"/>
        </w:rPr>
        <w:t>, F., Amory-</w:t>
      </w:r>
      <w:proofErr w:type="spellStart"/>
      <w:r w:rsidR="004C7F50" w:rsidRPr="003A310C">
        <w:rPr>
          <w:rFonts w:ascii="Arial" w:hAnsi="Arial" w:cs="Arial"/>
          <w:sz w:val="20"/>
          <w:szCs w:val="20"/>
          <w:lang w:val="en-US"/>
        </w:rPr>
        <w:t>Mazaudier</w:t>
      </w:r>
      <w:proofErr w:type="spellEnd"/>
      <w:r w:rsidR="004C7F50" w:rsidRPr="003A310C">
        <w:rPr>
          <w:rFonts w:ascii="Arial" w:hAnsi="Arial" w:cs="Arial"/>
          <w:sz w:val="20"/>
          <w:szCs w:val="20"/>
          <w:lang w:val="en-US"/>
        </w:rPr>
        <w:t xml:space="preserve">, </w:t>
      </w:r>
      <w:r w:rsidRPr="003A310C">
        <w:rPr>
          <w:rFonts w:ascii="Arial" w:hAnsi="Arial" w:cs="Arial"/>
          <w:sz w:val="20"/>
          <w:szCs w:val="20"/>
          <w:lang w:val="en-US"/>
        </w:rPr>
        <w:t xml:space="preserve">C. </w:t>
      </w:r>
      <w:r w:rsidR="004C7F50" w:rsidRPr="003A310C">
        <w:rPr>
          <w:rFonts w:ascii="Arial" w:hAnsi="Arial" w:cs="Arial"/>
          <w:sz w:val="20"/>
          <w:szCs w:val="20"/>
          <w:lang w:val="en-US"/>
        </w:rPr>
        <w:t xml:space="preserve">(2009). </w:t>
      </w:r>
      <w:r w:rsidRPr="003A310C">
        <w:rPr>
          <w:rFonts w:ascii="Arial" w:hAnsi="Arial" w:cs="Arial"/>
          <w:sz w:val="20"/>
          <w:szCs w:val="20"/>
          <w:lang w:val="en-US"/>
        </w:rPr>
        <w:t>Solar-geomagnetic activity and Aa indices toward a standard classification. J. Atmospheric Sol.-Ter</w:t>
      </w:r>
      <w:r w:rsidR="004C7F50" w:rsidRPr="003A310C">
        <w:rPr>
          <w:rFonts w:ascii="Arial" w:hAnsi="Arial" w:cs="Arial"/>
          <w:sz w:val="20"/>
          <w:szCs w:val="20"/>
          <w:lang w:val="en-US"/>
        </w:rPr>
        <w:t>r. Phys., 71 (17-18): 1736-1748.</w:t>
      </w:r>
    </w:p>
    <w:p w14:paraId="34DBF64A" w14:textId="77777777" w:rsidR="006F5D63" w:rsidRPr="003A310C" w:rsidRDefault="009832E5" w:rsidP="009832E5">
      <w:pPr>
        <w:spacing w:line="240" w:lineRule="auto"/>
        <w:ind w:left="567" w:hanging="567"/>
        <w:jc w:val="both"/>
        <w:rPr>
          <w:rFonts w:ascii="Arial" w:hAnsi="Arial" w:cs="Arial"/>
          <w:sz w:val="20"/>
          <w:szCs w:val="20"/>
          <w:lang w:val="en-US"/>
        </w:rPr>
      </w:pPr>
      <w:r w:rsidRPr="003A310C">
        <w:rPr>
          <w:rFonts w:ascii="Arial" w:hAnsi="Arial" w:cs="Arial"/>
          <w:sz w:val="20"/>
          <w:szCs w:val="20"/>
          <w:lang w:val="en-US"/>
        </w:rPr>
        <w:t>Ouattara, F., Amory-</w:t>
      </w:r>
      <w:proofErr w:type="spellStart"/>
      <w:r w:rsidRPr="003A310C">
        <w:rPr>
          <w:rFonts w:ascii="Arial" w:hAnsi="Arial" w:cs="Arial"/>
          <w:sz w:val="20"/>
          <w:szCs w:val="20"/>
          <w:lang w:val="en-US"/>
        </w:rPr>
        <w:t>Mazaudier</w:t>
      </w:r>
      <w:proofErr w:type="spellEnd"/>
      <w:r w:rsidRPr="003A310C">
        <w:rPr>
          <w:rFonts w:ascii="Arial" w:hAnsi="Arial" w:cs="Arial"/>
          <w:sz w:val="20"/>
          <w:szCs w:val="20"/>
          <w:lang w:val="en-US"/>
        </w:rPr>
        <w:t xml:space="preserve">, </w:t>
      </w:r>
      <w:r w:rsidR="006F5D63" w:rsidRPr="003A310C">
        <w:rPr>
          <w:rFonts w:ascii="Arial" w:hAnsi="Arial" w:cs="Arial"/>
          <w:sz w:val="20"/>
          <w:szCs w:val="20"/>
          <w:lang w:val="en-US"/>
        </w:rPr>
        <w:t xml:space="preserve">C. </w:t>
      </w:r>
      <w:r w:rsidRPr="003A310C">
        <w:rPr>
          <w:rFonts w:ascii="Arial" w:hAnsi="Arial" w:cs="Arial"/>
          <w:sz w:val="20"/>
          <w:szCs w:val="20"/>
          <w:lang w:val="en-US"/>
        </w:rPr>
        <w:t xml:space="preserve">(2012). </w:t>
      </w:r>
      <w:r w:rsidR="006F5D63" w:rsidRPr="003A310C">
        <w:rPr>
          <w:rFonts w:ascii="Arial" w:hAnsi="Arial" w:cs="Arial"/>
          <w:sz w:val="20"/>
          <w:szCs w:val="20"/>
          <w:lang w:val="en-US"/>
        </w:rPr>
        <w:t>Statistical study of the equatorial F2 layer critical frequency at Ouagadougou during solar cycles 20, 21 and 22, using Legrand and Simon’s classification of geomagnetic activity. Journal of Space W</w:t>
      </w:r>
      <w:r w:rsidRPr="003A310C">
        <w:rPr>
          <w:rFonts w:ascii="Arial" w:hAnsi="Arial" w:cs="Arial"/>
          <w:sz w:val="20"/>
          <w:szCs w:val="20"/>
          <w:lang w:val="en-US"/>
        </w:rPr>
        <w:t xml:space="preserve">eather and Space climate 2, A19. </w:t>
      </w:r>
    </w:p>
    <w:p w14:paraId="758457A3" w14:textId="77777777" w:rsidR="006F5D63" w:rsidRPr="009D58F4" w:rsidRDefault="009832E5" w:rsidP="009832E5">
      <w:pPr>
        <w:spacing w:line="240" w:lineRule="auto"/>
        <w:ind w:left="567" w:hanging="567"/>
        <w:jc w:val="both"/>
        <w:rPr>
          <w:rFonts w:ascii="Arial" w:hAnsi="Arial" w:cs="Arial"/>
          <w:sz w:val="20"/>
          <w:szCs w:val="20"/>
        </w:rPr>
      </w:pPr>
      <w:proofErr w:type="spellStart"/>
      <w:r w:rsidRPr="003A310C">
        <w:rPr>
          <w:rFonts w:ascii="Arial" w:hAnsi="Arial" w:cs="Arial"/>
          <w:sz w:val="20"/>
          <w:szCs w:val="20"/>
          <w:lang w:val="en-US"/>
        </w:rPr>
        <w:t>Ouédraogo</w:t>
      </w:r>
      <w:proofErr w:type="spellEnd"/>
      <w:r w:rsidRPr="003A310C">
        <w:rPr>
          <w:rFonts w:ascii="Arial" w:hAnsi="Arial" w:cs="Arial"/>
          <w:sz w:val="20"/>
          <w:szCs w:val="20"/>
          <w:lang w:val="en-US"/>
        </w:rPr>
        <w:t xml:space="preserve">, P., Karim, G., </w:t>
      </w:r>
      <w:proofErr w:type="spellStart"/>
      <w:r w:rsidRPr="003A310C">
        <w:rPr>
          <w:rFonts w:ascii="Arial" w:hAnsi="Arial" w:cs="Arial"/>
          <w:sz w:val="20"/>
          <w:szCs w:val="20"/>
          <w:lang w:val="en-US"/>
        </w:rPr>
        <w:t>Abidina</w:t>
      </w:r>
      <w:proofErr w:type="spellEnd"/>
      <w:r w:rsidRPr="003A310C">
        <w:rPr>
          <w:rFonts w:ascii="Arial" w:hAnsi="Arial" w:cs="Arial"/>
          <w:sz w:val="20"/>
          <w:szCs w:val="20"/>
          <w:lang w:val="en-US"/>
        </w:rPr>
        <w:t xml:space="preserve">, D., Rolland, F., Frédéric, </w:t>
      </w:r>
      <w:r w:rsidR="006F5D63" w:rsidRPr="003A310C">
        <w:rPr>
          <w:rFonts w:ascii="Arial" w:hAnsi="Arial" w:cs="Arial"/>
          <w:sz w:val="20"/>
          <w:szCs w:val="20"/>
          <w:lang w:val="en-US"/>
        </w:rPr>
        <w:t xml:space="preserve">O. </w:t>
      </w:r>
      <w:r w:rsidRPr="003A310C">
        <w:rPr>
          <w:rFonts w:ascii="Arial" w:hAnsi="Arial" w:cs="Arial"/>
          <w:sz w:val="20"/>
          <w:szCs w:val="20"/>
          <w:lang w:val="en-US"/>
        </w:rPr>
        <w:t xml:space="preserve">(2024). </w:t>
      </w:r>
      <w:proofErr w:type="spellStart"/>
      <w:r w:rsidR="006F5D63" w:rsidRPr="003A310C">
        <w:rPr>
          <w:rFonts w:ascii="Arial" w:hAnsi="Arial" w:cs="Arial"/>
          <w:sz w:val="20"/>
          <w:szCs w:val="20"/>
          <w:lang w:val="en-US"/>
        </w:rPr>
        <w:t>Extractio</w:t>
      </w:r>
      <w:proofErr w:type="spellEnd"/>
      <w:r w:rsidR="006F5D63" w:rsidRPr="003A310C">
        <w:rPr>
          <w:rFonts w:ascii="Arial" w:hAnsi="Arial" w:cs="Arial"/>
          <w:sz w:val="20"/>
          <w:szCs w:val="20"/>
          <w:lang w:val="en-US"/>
        </w:rPr>
        <w:t xml:space="preserve"> of ionospheric vertical total electron content (VTEC) using global navigation satellite system-continuously operating reference station (GNSS-CORS) data from station BF01 in Ouagadougou. </w:t>
      </w:r>
      <w:r w:rsidR="006F5D63" w:rsidRPr="009D58F4">
        <w:rPr>
          <w:rFonts w:ascii="Arial" w:hAnsi="Arial" w:cs="Arial"/>
          <w:sz w:val="20"/>
          <w:szCs w:val="20"/>
        </w:rPr>
        <w:t xml:space="preserve">Int. J. Phys. </w:t>
      </w:r>
      <w:proofErr w:type="spellStart"/>
      <w:r w:rsidR="006F5D63" w:rsidRPr="009D58F4">
        <w:rPr>
          <w:rFonts w:ascii="Arial" w:hAnsi="Arial" w:cs="Arial"/>
          <w:sz w:val="20"/>
          <w:szCs w:val="20"/>
        </w:rPr>
        <w:t>Sci</w:t>
      </w:r>
      <w:proofErr w:type="spellEnd"/>
      <w:proofErr w:type="gramStart"/>
      <w:r w:rsidR="006F5D63" w:rsidRPr="009D58F4">
        <w:rPr>
          <w:rFonts w:ascii="Arial" w:hAnsi="Arial" w:cs="Arial"/>
          <w:sz w:val="20"/>
          <w:szCs w:val="20"/>
        </w:rPr>
        <w:t>.</w:t>
      </w:r>
      <w:r w:rsidRPr="009D58F4">
        <w:rPr>
          <w:rFonts w:ascii="Arial" w:hAnsi="Arial" w:cs="Arial"/>
          <w:sz w:val="20"/>
          <w:szCs w:val="20"/>
        </w:rPr>
        <w:t>;</w:t>
      </w:r>
      <w:proofErr w:type="gramEnd"/>
      <w:r w:rsidRPr="009D58F4">
        <w:rPr>
          <w:rFonts w:ascii="Arial" w:hAnsi="Arial" w:cs="Arial"/>
          <w:sz w:val="20"/>
          <w:szCs w:val="20"/>
        </w:rPr>
        <w:t xml:space="preserve"> 19(1):26-34.</w:t>
      </w:r>
      <w:r w:rsidR="006F5D63" w:rsidRPr="009D58F4">
        <w:rPr>
          <w:rFonts w:ascii="Arial" w:hAnsi="Arial" w:cs="Arial"/>
          <w:sz w:val="20"/>
          <w:szCs w:val="20"/>
        </w:rPr>
        <w:t xml:space="preserve"> </w:t>
      </w:r>
      <w:r w:rsidRPr="009D58F4">
        <w:rPr>
          <w:rFonts w:ascii="Arial" w:hAnsi="Arial" w:cs="Arial"/>
          <w:sz w:val="20"/>
          <w:szCs w:val="20"/>
        </w:rPr>
        <w:t xml:space="preserve"> </w:t>
      </w:r>
      <w:r w:rsidR="006F5D63" w:rsidRPr="009D58F4">
        <w:rPr>
          <w:rFonts w:ascii="Arial" w:hAnsi="Arial" w:cs="Arial"/>
          <w:sz w:val="20"/>
          <w:szCs w:val="20"/>
        </w:rPr>
        <w:t xml:space="preserve"> </w:t>
      </w:r>
      <w:hyperlink r:id="rId45" w:history="1">
        <w:r w:rsidRPr="009D58F4">
          <w:rPr>
            <w:rStyle w:val="Hyperlink"/>
            <w:rFonts w:ascii="Arial" w:hAnsi="Arial" w:cs="Arial"/>
            <w:color w:val="auto"/>
            <w:sz w:val="20"/>
            <w:szCs w:val="20"/>
          </w:rPr>
          <w:t>https://doi.org/10.5897/IJPS2023.5065</w:t>
        </w:r>
      </w:hyperlink>
      <w:r w:rsidRPr="009D58F4">
        <w:rPr>
          <w:rFonts w:ascii="Arial" w:hAnsi="Arial" w:cs="Arial"/>
          <w:sz w:val="20"/>
          <w:szCs w:val="20"/>
        </w:rPr>
        <w:t xml:space="preserve"> . </w:t>
      </w:r>
    </w:p>
    <w:p w14:paraId="7122F17D" w14:textId="77777777" w:rsidR="006F5D63" w:rsidRPr="003A310C" w:rsidRDefault="006F5D63" w:rsidP="009832E5">
      <w:pPr>
        <w:spacing w:line="240" w:lineRule="auto"/>
        <w:ind w:left="567" w:hanging="567"/>
        <w:jc w:val="both"/>
        <w:rPr>
          <w:rFonts w:ascii="Arial" w:hAnsi="Arial" w:cs="Arial"/>
          <w:sz w:val="20"/>
          <w:szCs w:val="20"/>
          <w:lang w:val="en-US"/>
        </w:rPr>
      </w:pPr>
      <w:proofErr w:type="spellStart"/>
      <w:r w:rsidRPr="003A310C">
        <w:rPr>
          <w:rFonts w:ascii="Arial" w:hAnsi="Arial" w:cs="Arial"/>
          <w:sz w:val="20"/>
          <w:szCs w:val="20"/>
        </w:rPr>
        <w:t>Pah</w:t>
      </w:r>
      <w:r w:rsidR="009832E5" w:rsidRPr="003A310C">
        <w:rPr>
          <w:rFonts w:ascii="Arial" w:hAnsi="Arial" w:cs="Arial"/>
          <w:sz w:val="20"/>
          <w:szCs w:val="20"/>
        </w:rPr>
        <w:t>ima</w:t>
      </w:r>
      <w:proofErr w:type="spellEnd"/>
      <w:r w:rsidR="009832E5" w:rsidRPr="003A310C">
        <w:rPr>
          <w:rFonts w:ascii="Arial" w:hAnsi="Arial" w:cs="Arial"/>
          <w:sz w:val="20"/>
          <w:szCs w:val="20"/>
        </w:rPr>
        <w:t xml:space="preserve">, T., </w:t>
      </w:r>
      <w:proofErr w:type="spellStart"/>
      <w:r w:rsidR="009832E5" w:rsidRPr="003A310C">
        <w:rPr>
          <w:rFonts w:ascii="Arial" w:hAnsi="Arial" w:cs="Arial"/>
          <w:sz w:val="20"/>
          <w:szCs w:val="20"/>
        </w:rPr>
        <w:t>Gnabahou</w:t>
      </w:r>
      <w:proofErr w:type="spellEnd"/>
      <w:r w:rsidR="009832E5" w:rsidRPr="003A310C">
        <w:rPr>
          <w:rFonts w:ascii="Arial" w:hAnsi="Arial" w:cs="Arial"/>
          <w:sz w:val="20"/>
          <w:szCs w:val="20"/>
        </w:rPr>
        <w:t xml:space="preserve">, D A., </w:t>
      </w:r>
      <w:proofErr w:type="spellStart"/>
      <w:r w:rsidR="009832E5" w:rsidRPr="003A310C">
        <w:rPr>
          <w:rFonts w:ascii="Arial" w:hAnsi="Arial" w:cs="Arial"/>
          <w:sz w:val="20"/>
          <w:szCs w:val="20"/>
        </w:rPr>
        <w:t>Sandwidi</w:t>
      </w:r>
      <w:proofErr w:type="spellEnd"/>
      <w:r w:rsidR="009832E5" w:rsidRPr="003A310C">
        <w:rPr>
          <w:rFonts w:ascii="Arial" w:hAnsi="Arial" w:cs="Arial"/>
          <w:sz w:val="20"/>
          <w:szCs w:val="20"/>
        </w:rPr>
        <w:t xml:space="preserve">, </w:t>
      </w:r>
      <w:r w:rsidRPr="003A310C">
        <w:rPr>
          <w:rFonts w:ascii="Arial" w:hAnsi="Arial" w:cs="Arial"/>
          <w:sz w:val="20"/>
          <w:szCs w:val="20"/>
        </w:rPr>
        <w:t>S</w:t>
      </w:r>
      <w:r w:rsidR="009832E5" w:rsidRPr="003A310C">
        <w:rPr>
          <w:rFonts w:ascii="Arial" w:hAnsi="Arial" w:cs="Arial"/>
          <w:sz w:val="20"/>
          <w:szCs w:val="20"/>
        </w:rPr>
        <w:t>.</w:t>
      </w:r>
      <w:r w:rsidRPr="003A310C">
        <w:rPr>
          <w:rFonts w:ascii="Arial" w:hAnsi="Arial" w:cs="Arial"/>
          <w:sz w:val="20"/>
          <w:szCs w:val="20"/>
        </w:rPr>
        <w:t xml:space="preserve"> </w:t>
      </w:r>
      <w:r w:rsidR="009832E5" w:rsidRPr="003A310C">
        <w:rPr>
          <w:rFonts w:ascii="Arial" w:hAnsi="Arial" w:cs="Arial"/>
          <w:sz w:val="20"/>
          <w:szCs w:val="20"/>
        </w:rPr>
        <w:t xml:space="preserve">A., Ouattara, </w:t>
      </w:r>
      <w:r w:rsidRPr="003A310C">
        <w:rPr>
          <w:rFonts w:ascii="Arial" w:hAnsi="Arial" w:cs="Arial"/>
          <w:sz w:val="20"/>
          <w:szCs w:val="20"/>
        </w:rPr>
        <w:t xml:space="preserve">O. </w:t>
      </w:r>
      <w:r w:rsidR="009832E5" w:rsidRPr="003A310C">
        <w:rPr>
          <w:rFonts w:ascii="Arial" w:hAnsi="Arial" w:cs="Arial"/>
          <w:sz w:val="20"/>
          <w:szCs w:val="20"/>
        </w:rPr>
        <w:t xml:space="preserve">(2023). </w:t>
      </w:r>
      <w:proofErr w:type="spellStart"/>
      <w:r w:rsidRPr="003A310C">
        <w:rPr>
          <w:rFonts w:ascii="Arial" w:hAnsi="Arial" w:cs="Arial"/>
          <w:sz w:val="20"/>
          <w:szCs w:val="20"/>
          <w:lang w:val="en-US"/>
        </w:rPr>
        <w:t>Koudougou</w:t>
      </w:r>
      <w:proofErr w:type="spellEnd"/>
      <w:r w:rsidRPr="003A310C">
        <w:rPr>
          <w:rFonts w:ascii="Arial" w:hAnsi="Arial" w:cs="Arial"/>
          <w:sz w:val="20"/>
          <w:szCs w:val="20"/>
          <w:lang w:val="en-US"/>
        </w:rPr>
        <w:t xml:space="preserve"> Station TEC’</w:t>
      </w:r>
      <w:r w:rsidR="00216D87" w:rsidRPr="003A310C">
        <w:rPr>
          <w:rFonts w:ascii="Arial" w:hAnsi="Arial" w:cs="Arial"/>
          <w:sz w:val="20"/>
          <w:szCs w:val="20"/>
          <w:lang w:val="en-US"/>
        </w:rPr>
        <w:t>s variability seasonal a</w:t>
      </w:r>
      <w:r w:rsidRPr="003A310C">
        <w:rPr>
          <w:rFonts w:ascii="Arial" w:hAnsi="Arial" w:cs="Arial"/>
          <w:sz w:val="20"/>
          <w:szCs w:val="20"/>
          <w:lang w:val="en-US"/>
        </w:rPr>
        <w:t xml:space="preserve">nomalies Analysis during fluctuating events over solar cycle 24. </w:t>
      </w:r>
      <w:r w:rsidR="00216D87" w:rsidRPr="003A310C">
        <w:rPr>
          <w:rFonts w:ascii="Arial" w:hAnsi="Arial" w:cs="Arial"/>
          <w:sz w:val="20"/>
          <w:szCs w:val="20"/>
          <w:lang w:val="en-US"/>
        </w:rPr>
        <w:t>Applied</w:t>
      </w:r>
      <w:r w:rsidR="009832E5" w:rsidRPr="003A310C">
        <w:rPr>
          <w:rFonts w:ascii="Arial" w:hAnsi="Arial" w:cs="Arial"/>
          <w:sz w:val="20"/>
          <w:szCs w:val="20"/>
          <w:lang w:val="en-US"/>
        </w:rPr>
        <w:t xml:space="preserve"> Physics Research, vol.15, No.1</w:t>
      </w:r>
      <w:r w:rsidR="00216D87" w:rsidRPr="003A310C">
        <w:rPr>
          <w:rFonts w:ascii="Arial" w:hAnsi="Arial" w:cs="Arial"/>
          <w:sz w:val="20"/>
          <w:szCs w:val="20"/>
          <w:lang w:val="en-US"/>
        </w:rPr>
        <w:t xml:space="preserve">. </w:t>
      </w:r>
      <w:hyperlink r:id="rId46" w:history="1">
        <w:r w:rsidR="00216D87" w:rsidRPr="003A310C">
          <w:rPr>
            <w:rStyle w:val="Hyperlink"/>
            <w:rFonts w:ascii="Arial" w:hAnsi="Arial" w:cs="Arial"/>
            <w:color w:val="auto"/>
            <w:sz w:val="20"/>
            <w:szCs w:val="20"/>
            <w:lang w:val="en-US"/>
          </w:rPr>
          <w:t>https://doi.org/10.5539/apr.v15n1p50</w:t>
        </w:r>
      </w:hyperlink>
      <w:r w:rsidR="00216D87" w:rsidRPr="003A310C">
        <w:rPr>
          <w:rFonts w:ascii="Arial" w:hAnsi="Arial" w:cs="Arial"/>
          <w:sz w:val="20"/>
          <w:szCs w:val="20"/>
          <w:lang w:val="en-US"/>
        </w:rPr>
        <w:t xml:space="preserve"> </w:t>
      </w:r>
    </w:p>
    <w:p w14:paraId="64972A31" w14:textId="77777777" w:rsidR="006F5D63" w:rsidRPr="003A310C" w:rsidRDefault="009832E5" w:rsidP="009832E5">
      <w:pPr>
        <w:spacing w:line="240" w:lineRule="auto"/>
        <w:ind w:left="567" w:hanging="567"/>
        <w:jc w:val="both"/>
        <w:rPr>
          <w:rFonts w:ascii="Arial" w:hAnsi="Arial" w:cs="Arial"/>
          <w:sz w:val="20"/>
          <w:szCs w:val="20"/>
          <w:lang w:val="en-US"/>
        </w:rPr>
      </w:pPr>
      <w:r w:rsidRPr="003A310C">
        <w:rPr>
          <w:rFonts w:ascii="Arial" w:hAnsi="Arial" w:cs="Arial"/>
          <w:sz w:val="20"/>
          <w:szCs w:val="20"/>
          <w:lang w:val="en-US"/>
        </w:rPr>
        <w:t xml:space="preserve">Pi, X., </w:t>
      </w:r>
      <w:proofErr w:type="spellStart"/>
      <w:r w:rsidRPr="003A310C">
        <w:rPr>
          <w:rFonts w:ascii="Arial" w:hAnsi="Arial" w:cs="Arial"/>
          <w:sz w:val="20"/>
          <w:szCs w:val="20"/>
          <w:lang w:val="en-US"/>
        </w:rPr>
        <w:t>Mannucci</w:t>
      </w:r>
      <w:proofErr w:type="spellEnd"/>
      <w:r w:rsidRPr="003A310C">
        <w:rPr>
          <w:rFonts w:ascii="Arial" w:hAnsi="Arial" w:cs="Arial"/>
          <w:sz w:val="20"/>
          <w:szCs w:val="20"/>
          <w:lang w:val="en-US"/>
        </w:rPr>
        <w:t xml:space="preserve">, A. J., </w:t>
      </w:r>
      <w:proofErr w:type="spellStart"/>
      <w:r w:rsidRPr="003A310C">
        <w:rPr>
          <w:rFonts w:ascii="Arial" w:hAnsi="Arial" w:cs="Arial"/>
          <w:sz w:val="20"/>
          <w:szCs w:val="20"/>
          <w:lang w:val="en-US"/>
        </w:rPr>
        <w:t>Lindqwister</w:t>
      </w:r>
      <w:proofErr w:type="spellEnd"/>
      <w:r w:rsidRPr="003A310C">
        <w:rPr>
          <w:rFonts w:ascii="Arial" w:hAnsi="Arial" w:cs="Arial"/>
          <w:sz w:val="20"/>
          <w:szCs w:val="20"/>
          <w:lang w:val="en-US"/>
        </w:rPr>
        <w:t xml:space="preserve">, U.J and Ho, </w:t>
      </w:r>
      <w:r w:rsidR="006F5D63" w:rsidRPr="003A310C">
        <w:rPr>
          <w:rFonts w:ascii="Arial" w:hAnsi="Arial" w:cs="Arial"/>
          <w:sz w:val="20"/>
          <w:szCs w:val="20"/>
          <w:lang w:val="en-US"/>
        </w:rPr>
        <w:t>C. M.</w:t>
      </w:r>
      <w:r w:rsidRPr="003A310C">
        <w:rPr>
          <w:rFonts w:ascii="Arial" w:hAnsi="Arial" w:cs="Arial"/>
          <w:sz w:val="20"/>
          <w:szCs w:val="20"/>
          <w:lang w:val="en-US"/>
        </w:rPr>
        <w:t xml:space="preserve"> (1997). </w:t>
      </w:r>
      <w:r w:rsidR="006F5D63" w:rsidRPr="003A310C">
        <w:rPr>
          <w:rFonts w:ascii="Arial" w:hAnsi="Arial" w:cs="Arial"/>
          <w:sz w:val="20"/>
          <w:szCs w:val="20"/>
          <w:lang w:val="en-US"/>
        </w:rPr>
        <w:t xml:space="preserve">Monitoring of global ionospheric irregularities using the </w:t>
      </w:r>
      <w:proofErr w:type="spellStart"/>
      <w:r w:rsidR="006F5D63" w:rsidRPr="003A310C">
        <w:rPr>
          <w:rFonts w:ascii="Arial" w:hAnsi="Arial" w:cs="Arial"/>
          <w:sz w:val="20"/>
          <w:szCs w:val="20"/>
          <w:lang w:val="en-US"/>
        </w:rPr>
        <w:t>Wordewide</w:t>
      </w:r>
      <w:proofErr w:type="spellEnd"/>
      <w:r w:rsidR="006F5D63" w:rsidRPr="003A310C">
        <w:rPr>
          <w:rFonts w:ascii="Arial" w:hAnsi="Arial" w:cs="Arial"/>
          <w:sz w:val="20"/>
          <w:szCs w:val="20"/>
          <w:lang w:val="en-US"/>
        </w:rPr>
        <w:t xml:space="preserve"> GPS network. Geophysical Research Letter, v</w:t>
      </w:r>
      <w:r w:rsidRPr="003A310C">
        <w:rPr>
          <w:rFonts w:ascii="Arial" w:hAnsi="Arial" w:cs="Arial"/>
          <w:sz w:val="20"/>
          <w:szCs w:val="20"/>
          <w:lang w:val="en-US"/>
        </w:rPr>
        <w:t>ol.24, no.18, pp.2283-2286</w:t>
      </w:r>
      <w:r w:rsidR="006F5D63" w:rsidRPr="003A310C">
        <w:rPr>
          <w:rFonts w:ascii="Arial" w:hAnsi="Arial" w:cs="Arial"/>
          <w:sz w:val="20"/>
          <w:szCs w:val="20"/>
          <w:lang w:val="en-US"/>
        </w:rPr>
        <w:t xml:space="preserve">. </w:t>
      </w:r>
    </w:p>
    <w:p w14:paraId="163A754B" w14:textId="77777777" w:rsidR="006F5D63" w:rsidRPr="003A310C" w:rsidRDefault="009832E5" w:rsidP="009832E5">
      <w:pPr>
        <w:spacing w:line="240" w:lineRule="auto"/>
        <w:ind w:left="567" w:hanging="567"/>
        <w:jc w:val="both"/>
        <w:rPr>
          <w:rFonts w:ascii="Arial" w:hAnsi="Arial" w:cs="Arial"/>
          <w:sz w:val="20"/>
          <w:szCs w:val="20"/>
          <w:lang w:val="en-US"/>
        </w:rPr>
      </w:pPr>
      <w:proofErr w:type="spellStart"/>
      <w:r w:rsidRPr="003A310C">
        <w:rPr>
          <w:rFonts w:ascii="Arial" w:hAnsi="Arial" w:cs="Arial"/>
          <w:sz w:val="20"/>
          <w:szCs w:val="20"/>
          <w:lang w:val="en-US"/>
        </w:rPr>
        <w:lastRenderedPageBreak/>
        <w:t>Zaourar</w:t>
      </w:r>
      <w:proofErr w:type="spellEnd"/>
      <w:r w:rsidRPr="003A310C">
        <w:rPr>
          <w:rFonts w:ascii="Arial" w:hAnsi="Arial" w:cs="Arial"/>
          <w:sz w:val="20"/>
          <w:szCs w:val="20"/>
          <w:lang w:val="en-US"/>
        </w:rPr>
        <w:t>, N., Amory-</w:t>
      </w:r>
      <w:proofErr w:type="spellStart"/>
      <w:r w:rsidRPr="003A310C">
        <w:rPr>
          <w:rFonts w:ascii="Arial" w:hAnsi="Arial" w:cs="Arial"/>
          <w:sz w:val="20"/>
          <w:szCs w:val="20"/>
          <w:lang w:val="en-US"/>
        </w:rPr>
        <w:t>Mazaudier</w:t>
      </w:r>
      <w:proofErr w:type="spellEnd"/>
      <w:r w:rsidRPr="003A310C">
        <w:rPr>
          <w:rFonts w:ascii="Arial" w:hAnsi="Arial" w:cs="Arial"/>
          <w:sz w:val="20"/>
          <w:szCs w:val="20"/>
          <w:lang w:val="en-US"/>
        </w:rPr>
        <w:t xml:space="preserve">, C., Fleury, </w:t>
      </w:r>
      <w:r w:rsidR="006F5D63" w:rsidRPr="003A310C">
        <w:rPr>
          <w:rFonts w:ascii="Arial" w:hAnsi="Arial" w:cs="Arial"/>
          <w:sz w:val="20"/>
          <w:szCs w:val="20"/>
          <w:lang w:val="en-US"/>
        </w:rPr>
        <w:t>R</w:t>
      </w:r>
      <w:r w:rsidRPr="003A310C">
        <w:rPr>
          <w:rFonts w:ascii="Arial" w:hAnsi="Arial" w:cs="Arial"/>
          <w:sz w:val="20"/>
          <w:szCs w:val="20"/>
          <w:lang w:val="en-US"/>
        </w:rPr>
        <w:t>. (2017)</w:t>
      </w:r>
      <w:r w:rsidR="006F5D63" w:rsidRPr="003A310C">
        <w:rPr>
          <w:rFonts w:ascii="Arial" w:hAnsi="Arial" w:cs="Arial"/>
          <w:sz w:val="20"/>
          <w:szCs w:val="20"/>
          <w:lang w:val="en-US"/>
        </w:rPr>
        <w:t xml:space="preserve">. Hemispheric asymmetries in the ionosphere response observed during the high-speed solar wind streams of the 24-28 August 2010. Advances </w:t>
      </w:r>
      <w:proofErr w:type="gramStart"/>
      <w:r w:rsidR="006F5D63" w:rsidRPr="003A310C">
        <w:rPr>
          <w:rFonts w:ascii="Arial" w:hAnsi="Arial" w:cs="Arial"/>
          <w:sz w:val="20"/>
          <w:szCs w:val="20"/>
          <w:lang w:val="en-US"/>
        </w:rPr>
        <w:t xml:space="preserve">in </w:t>
      </w:r>
      <w:r w:rsidRPr="003A310C">
        <w:rPr>
          <w:rFonts w:ascii="Arial" w:hAnsi="Arial" w:cs="Arial"/>
          <w:sz w:val="20"/>
          <w:szCs w:val="20"/>
          <w:lang w:val="en-US"/>
        </w:rPr>
        <w:t xml:space="preserve"> Spaces</w:t>
      </w:r>
      <w:proofErr w:type="gramEnd"/>
      <w:r w:rsidRPr="003A310C">
        <w:rPr>
          <w:rFonts w:ascii="Arial" w:hAnsi="Arial" w:cs="Arial"/>
          <w:sz w:val="20"/>
          <w:szCs w:val="20"/>
          <w:lang w:val="en-US"/>
        </w:rPr>
        <w:t xml:space="preserve"> Research 59, 2229-2247.</w:t>
      </w:r>
    </w:p>
    <w:p w14:paraId="5BB26967" w14:textId="77777777" w:rsidR="006F5D63" w:rsidRPr="003A310C" w:rsidRDefault="009832E5" w:rsidP="009832E5">
      <w:pPr>
        <w:spacing w:line="240" w:lineRule="auto"/>
        <w:ind w:left="567" w:hanging="567"/>
        <w:jc w:val="both"/>
        <w:rPr>
          <w:rFonts w:ascii="Arial" w:hAnsi="Arial" w:cs="Arial"/>
          <w:sz w:val="20"/>
          <w:szCs w:val="20"/>
        </w:rPr>
      </w:pPr>
      <w:r w:rsidRPr="003A310C">
        <w:rPr>
          <w:rFonts w:ascii="Arial" w:hAnsi="Arial" w:cs="Arial"/>
          <w:sz w:val="20"/>
          <w:szCs w:val="20"/>
          <w:lang w:val="en-US"/>
        </w:rPr>
        <w:t xml:space="preserve">Zhang, S., Li H., Li, J. and Meng, </w:t>
      </w:r>
      <w:r w:rsidR="006F5D63" w:rsidRPr="003A310C">
        <w:rPr>
          <w:rFonts w:ascii="Arial" w:hAnsi="Arial" w:cs="Arial"/>
          <w:sz w:val="20"/>
          <w:szCs w:val="20"/>
          <w:lang w:val="en-US"/>
        </w:rPr>
        <w:t xml:space="preserve">L. </w:t>
      </w:r>
      <w:r w:rsidRPr="003A310C">
        <w:rPr>
          <w:rFonts w:ascii="Arial" w:hAnsi="Arial" w:cs="Arial"/>
          <w:sz w:val="20"/>
          <w:szCs w:val="20"/>
          <w:lang w:val="en-US"/>
        </w:rPr>
        <w:t xml:space="preserve">(2021). </w:t>
      </w:r>
      <w:r w:rsidR="006F5D63" w:rsidRPr="003A310C">
        <w:rPr>
          <w:rFonts w:ascii="Arial" w:hAnsi="Arial" w:cs="Arial"/>
          <w:sz w:val="20"/>
          <w:szCs w:val="20"/>
          <w:lang w:val="en-US"/>
        </w:rPr>
        <w:t xml:space="preserve">Characteristics of Ionospheric Scintillation in Chengdu, China. Scholl of electronic Science Engineering, University of Electronic Science and technology of China. </w:t>
      </w:r>
      <w:r w:rsidR="006F5D63" w:rsidRPr="003A310C">
        <w:rPr>
          <w:rFonts w:ascii="Arial" w:hAnsi="Arial" w:cs="Arial"/>
          <w:sz w:val="20"/>
          <w:szCs w:val="20"/>
        </w:rPr>
        <w:t xml:space="preserve">National </w:t>
      </w:r>
      <w:proofErr w:type="spellStart"/>
      <w:r w:rsidR="006F5D63" w:rsidRPr="003A310C">
        <w:rPr>
          <w:rFonts w:ascii="Arial" w:hAnsi="Arial" w:cs="Arial"/>
          <w:sz w:val="20"/>
          <w:szCs w:val="20"/>
        </w:rPr>
        <w:t>Astronomical</w:t>
      </w:r>
      <w:proofErr w:type="spellEnd"/>
      <w:r w:rsidR="006F5D63" w:rsidRPr="003A310C">
        <w:rPr>
          <w:rFonts w:ascii="Arial" w:hAnsi="Arial" w:cs="Arial"/>
          <w:sz w:val="20"/>
          <w:szCs w:val="20"/>
        </w:rPr>
        <w:t xml:space="preserve"> </w:t>
      </w:r>
      <w:proofErr w:type="spellStart"/>
      <w:r w:rsidR="006F5D63" w:rsidRPr="003A310C">
        <w:rPr>
          <w:rFonts w:ascii="Arial" w:hAnsi="Arial" w:cs="Arial"/>
          <w:sz w:val="20"/>
          <w:szCs w:val="20"/>
        </w:rPr>
        <w:t>Observatories</w:t>
      </w:r>
      <w:proofErr w:type="spellEnd"/>
      <w:r w:rsidR="006F5D63" w:rsidRPr="003A310C">
        <w:rPr>
          <w:rFonts w:ascii="Arial" w:hAnsi="Arial" w:cs="Arial"/>
          <w:sz w:val="20"/>
          <w:szCs w:val="20"/>
        </w:rPr>
        <w:t xml:space="preserve">, </w:t>
      </w:r>
      <w:proofErr w:type="spellStart"/>
      <w:r w:rsidR="006F5D63" w:rsidRPr="003A310C">
        <w:rPr>
          <w:rFonts w:ascii="Arial" w:hAnsi="Arial" w:cs="Arial"/>
          <w:sz w:val="20"/>
          <w:szCs w:val="20"/>
        </w:rPr>
        <w:t>Chinese</w:t>
      </w:r>
      <w:proofErr w:type="spellEnd"/>
      <w:r w:rsidR="006F5D63" w:rsidRPr="003A310C">
        <w:rPr>
          <w:rFonts w:ascii="Arial" w:hAnsi="Arial" w:cs="Arial"/>
          <w:sz w:val="20"/>
          <w:szCs w:val="20"/>
        </w:rPr>
        <w:t xml:space="preserve"> </w:t>
      </w:r>
      <w:proofErr w:type="spellStart"/>
      <w:r w:rsidR="006F5D63" w:rsidRPr="003A310C">
        <w:rPr>
          <w:rFonts w:ascii="Arial" w:hAnsi="Arial" w:cs="Arial"/>
          <w:sz w:val="20"/>
          <w:szCs w:val="20"/>
        </w:rPr>
        <w:t>Academy</w:t>
      </w:r>
      <w:proofErr w:type="spellEnd"/>
      <w:r w:rsidR="006F5D63" w:rsidRPr="003A310C">
        <w:rPr>
          <w:rFonts w:ascii="Arial" w:hAnsi="Arial" w:cs="Arial"/>
          <w:sz w:val="20"/>
          <w:szCs w:val="20"/>
        </w:rPr>
        <w:t xml:space="preserve"> o</w:t>
      </w:r>
      <w:r w:rsidRPr="003A310C">
        <w:rPr>
          <w:rFonts w:ascii="Arial" w:hAnsi="Arial" w:cs="Arial"/>
          <w:sz w:val="20"/>
          <w:szCs w:val="20"/>
        </w:rPr>
        <w:t xml:space="preserve">f science. Annales </w:t>
      </w:r>
      <w:proofErr w:type="spellStart"/>
      <w:r w:rsidRPr="003A310C">
        <w:rPr>
          <w:rFonts w:ascii="Arial" w:hAnsi="Arial" w:cs="Arial"/>
          <w:sz w:val="20"/>
          <w:szCs w:val="20"/>
        </w:rPr>
        <w:t>Geophysical</w:t>
      </w:r>
      <w:proofErr w:type="spellEnd"/>
      <w:r w:rsidRPr="003A310C">
        <w:rPr>
          <w:rFonts w:ascii="Arial" w:hAnsi="Arial" w:cs="Arial"/>
          <w:sz w:val="20"/>
          <w:szCs w:val="20"/>
        </w:rPr>
        <w:t xml:space="preserve">. </w:t>
      </w:r>
      <w:r w:rsidR="006F5D63" w:rsidRPr="003A310C">
        <w:rPr>
          <w:rFonts w:ascii="Arial" w:hAnsi="Arial" w:cs="Arial"/>
          <w:sz w:val="20"/>
          <w:szCs w:val="20"/>
        </w:rPr>
        <w:t xml:space="preserve"> </w:t>
      </w:r>
    </w:p>
    <w:p w14:paraId="6682863B" w14:textId="77777777" w:rsidR="006F5D63" w:rsidRPr="003A310C" w:rsidRDefault="006F5D63" w:rsidP="00C60BA0">
      <w:pPr>
        <w:spacing w:line="240" w:lineRule="auto"/>
        <w:jc w:val="both"/>
        <w:rPr>
          <w:rFonts w:ascii="Arial" w:hAnsi="Arial" w:cs="Arial"/>
          <w:sz w:val="20"/>
          <w:szCs w:val="20"/>
          <w:lang w:val="en-US"/>
        </w:rPr>
      </w:pPr>
    </w:p>
    <w:p w14:paraId="38648244" w14:textId="77777777" w:rsidR="006F5D63" w:rsidRPr="003A310C" w:rsidRDefault="006F5D63" w:rsidP="00C60BA0">
      <w:pPr>
        <w:jc w:val="both"/>
        <w:rPr>
          <w:rFonts w:ascii="Arial" w:hAnsi="Arial" w:cs="Arial"/>
          <w:sz w:val="20"/>
          <w:szCs w:val="20"/>
          <w:lang w:val="en-US"/>
        </w:rPr>
      </w:pPr>
    </w:p>
    <w:sectPr w:rsidR="006F5D63" w:rsidRPr="003A310C" w:rsidSect="006A44D2">
      <w:headerReference w:type="even" r:id="rId47"/>
      <w:headerReference w:type="default" r:id="rId48"/>
      <w:footerReference w:type="even" r:id="rId49"/>
      <w:footerReference w:type="default" r:id="rId50"/>
      <w:headerReference w:type="first" r:id="rId51"/>
      <w:footerReference w:type="first" r:id="rId5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7F93F" w14:textId="77777777" w:rsidR="001A35F6" w:rsidRDefault="001A35F6" w:rsidP="006A44D2">
      <w:pPr>
        <w:spacing w:after="0" w:line="240" w:lineRule="auto"/>
      </w:pPr>
      <w:r>
        <w:separator/>
      </w:r>
    </w:p>
  </w:endnote>
  <w:endnote w:type="continuationSeparator" w:id="0">
    <w:p w14:paraId="15010174" w14:textId="77777777" w:rsidR="001A35F6" w:rsidRDefault="001A35F6" w:rsidP="006A4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DE854" w14:textId="77777777" w:rsidR="00822254" w:rsidRDefault="008222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5357E" w14:textId="77777777" w:rsidR="006A44D2" w:rsidRDefault="006A44D2">
    <w:pPr>
      <w:pStyle w:val="Footer"/>
    </w:pPr>
  </w:p>
  <w:p w14:paraId="1201E610" w14:textId="77777777" w:rsidR="006A44D2" w:rsidRDefault="006A44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E85A2" w14:textId="294EE4DD" w:rsidR="006A44D2" w:rsidRPr="004D38D6" w:rsidRDefault="006A44D2" w:rsidP="004D38D6">
    <w:pPr>
      <w:pStyle w:val="Footer"/>
    </w:pPr>
    <w:r w:rsidRPr="004D38D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B971E" w14:textId="77777777" w:rsidR="001A35F6" w:rsidRDefault="001A35F6" w:rsidP="006A44D2">
      <w:pPr>
        <w:spacing w:after="0" w:line="240" w:lineRule="auto"/>
      </w:pPr>
      <w:r>
        <w:separator/>
      </w:r>
    </w:p>
  </w:footnote>
  <w:footnote w:type="continuationSeparator" w:id="0">
    <w:p w14:paraId="722F9DD3" w14:textId="77777777" w:rsidR="001A35F6" w:rsidRDefault="001A35F6" w:rsidP="006A44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2E331" w14:textId="51A7F9E5" w:rsidR="00822254" w:rsidRDefault="001A35F6">
    <w:pPr>
      <w:pStyle w:val="Header"/>
    </w:pPr>
    <w:r>
      <w:rPr>
        <w:noProof/>
      </w:rPr>
      <w:pict w14:anchorId="67AF7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51626"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C6106" w14:textId="1E5E8EAD" w:rsidR="00822254" w:rsidRDefault="001A35F6">
    <w:pPr>
      <w:pStyle w:val="Header"/>
    </w:pPr>
    <w:r>
      <w:rPr>
        <w:noProof/>
      </w:rPr>
      <w:pict w14:anchorId="10FB9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51627"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19A82" w14:textId="0792ECC8" w:rsidR="00822254" w:rsidRDefault="001A35F6">
    <w:pPr>
      <w:pStyle w:val="Header"/>
    </w:pPr>
    <w:r>
      <w:rPr>
        <w:noProof/>
      </w:rPr>
      <w:pict w14:anchorId="0E26F5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51625"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B15E8D"/>
    <w:multiLevelType w:val="hybridMultilevel"/>
    <w:tmpl w:val="8EC0F400"/>
    <w:lvl w:ilvl="0" w:tplc="6D8AA2FA">
      <w:start w:val="4"/>
      <w:numFmt w:val="bullet"/>
      <w:pStyle w:val="Styletableau"/>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835700B"/>
    <w:multiLevelType w:val="hybridMultilevel"/>
    <w:tmpl w:val="4FB8DDE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 w15:restartNumberingAfterBreak="0">
    <w:nsid w:val="5A3D2D55"/>
    <w:multiLevelType w:val="multilevel"/>
    <w:tmpl w:val="3E6E75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F016F40"/>
    <w:multiLevelType w:val="hybridMultilevel"/>
    <w:tmpl w:val="85B60336"/>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MwtzA2MzQ1NDMxtjRT0lEKTi0uzszPAykwrAUAJ4gGsywAAAA="/>
  </w:docVars>
  <w:rsids>
    <w:rsidRoot w:val="003D2552"/>
    <w:rsid w:val="000012CB"/>
    <w:rsid w:val="000479E5"/>
    <w:rsid w:val="0005146E"/>
    <w:rsid w:val="0006176E"/>
    <w:rsid w:val="00062316"/>
    <w:rsid w:val="00072C87"/>
    <w:rsid w:val="000A715D"/>
    <w:rsid w:val="000C7365"/>
    <w:rsid w:val="0014302F"/>
    <w:rsid w:val="001945D5"/>
    <w:rsid w:val="001A284C"/>
    <w:rsid w:val="001A3483"/>
    <w:rsid w:val="001A35F6"/>
    <w:rsid w:val="00216D87"/>
    <w:rsid w:val="00251C2D"/>
    <w:rsid w:val="00273D4B"/>
    <w:rsid w:val="002F1209"/>
    <w:rsid w:val="002F5232"/>
    <w:rsid w:val="0030087D"/>
    <w:rsid w:val="00334303"/>
    <w:rsid w:val="00354B17"/>
    <w:rsid w:val="0035624B"/>
    <w:rsid w:val="003679DD"/>
    <w:rsid w:val="00371E58"/>
    <w:rsid w:val="00386FA5"/>
    <w:rsid w:val="003A310C"/>
    <w:rsid w:val="003A76F5"/>
    <w:rsid w:val="003C6653"/>
    <w:rsid w:val="003D2552"/>
    <w:rsid w:val="003E1F7D"/>
    <w:rsid w:val="00443FBE"/>
    <w:rsid w:val="00461EF7"/>
    <w:rsid w:val="00473FE7"/>
    <w:rsid w:val="00492629"/>
    <w:rsid w:val="004A1486"/>
    <w:rsid w:val="004A4A22"/>
    <w:rsid w:val="004C5A53"/>
    <w:rsid w:val="004C7F50"/>
    <w:rsid w:val="004D1F80"/>
    <w:rsid w:val="004D38D6"/>
    <w:rsid w:val="00512EE8"/>
    <w:rsid w:val="00563C30"/>
    <w:rsid w:val="00570E0F"/>
    <w:rsid w:val="00586D77"/>
    <w:rsid w:val="00591C8E"/>
    <w:rsid w:val="005C2A2A"/>
    <w:rsid w:val="005C56DA"/>
    <w:rsid w:val="006347A2"/>
    <w:rsid w:val="0064432F"/>
    <w:rsid w:val="006A44D2"/>
    <w:rsid w:val="006A5C80"/>
    <w:rsid w:val="006C776F"/>
    <w:rsid w:val="006D4965"/>
    <w:rsid w:val="006E00BA"/>
    <w:rsid w:val="006F40DA"/>
    <w:rsid w:val="006F5D63"/>
    <w:rsid w:val="00711E42"/>
    <w:rsid w:val="007555FB"/>
    <w:rsid w:val="00760292"/>
    <w:rsid w:val="007603B9"/>
    <w:rsid w:val="007922A1"/>
    <w:rsid w:val="007E18B1"/>
    <w:rsid w:val="008156B0"/>
    <w:rsid w:val="00822254"/>
    <w:rsid w:val="00861997"/>
    <w:rsid w:val="0087688E"/>
    <w:rsid w:val="008A3498"/>
    <w:rsid w:val="008C3911"/>
    <w:rsid w:val="008E082A"/>
    <w:rsid w:val="009159AB"/>
    <w:rsid w:val="009166F5"/>
    <w:rsid w:val="009832E5"/>
    <w:rsid w:val="009A39C5"/>
    <w:rsid w:val="009B4750"/>
    <w:rsid w:val="009D58F4"/>
    <w:rsid w:val="009F799C"/>
    <w:rsid w:val="00A423D5"/>
    <w:rsid w:val="00A44F56"/>
    <w:rsid w:val="00A83AA9"/>
    <w:rsid w:val="00AB6168"/>
    <w:rsid w:val="00AD12B3"/>
    <w:rsid w:val="00AD4184"/>
    <w:rsid w:val="00AE5B8D"/>
    <w:rsid w:val="00B00E72"/>
    <w:rsid w:val="00B32615"/>
    <w:rsid w:val="00B47C5E"/>
    <w:rsid w:val="00BA6413"/>
    <w:rsid w:val="00BB0BEB"/>
    <w:rsid w:val="00BF0CE1"/>
    <w:rsid w:val="00C253E4"/>
    <w:rsid w:val="00C409AB"/>
    <w:rsid w:val="00C60BA0"/>
    <w:rsid w:val="00CA40F4"/>
    <w:rsid w:val="00CA523B"/>
    <w:rsid w:val="00CD696A"/>
    <w:rsid w:val="00D012D5"/>
    <w:rsid w:val="00D12A85"/>
    <w:rsid w:val="00D16135"/>
    <w:rsid w:val="00D33925"/>
    <w:rsid w:val="00D52EE3"/>
    <w:rsid w:val="00D8387C"/>
    <w:rsid w:val="00DA2CFA"/>
    <w:rsid w:val="00DB0174"/>
    <w:rsid w:val="00DC012B"/>
    <w:rsid w:val="00DD03AF"/>
    <w:rsid w:val="00E12004"/>
    <w:rsid w:val="00E12FBE"/>
    <w:rsid w:val="00E34ACA"/>
    <w:rsid w:val="00E46552"/>
    <w:rsid w:val="00E53C1E"/>
    <w:rsid w:val="00EE279A"/>
    <w:rsid w:val="00F01F44"/>
    <w:rsid w:val="00F41DDD"/>
    <w:rsid w:val="00F72244"/>
    <w:rsid w:val="00F84FFD"/>
    <w:rsid w:val="00F8506B"/>
    <w:rsid w:val="00F86CF9"/>
    <w:rsid w:val="00FC08A7"/>
    <w:rsid w:val="00FC0D3D"/>
    <w:rsid w:val="00FC2B03"/>
    <w:rsid w:val="00FF42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F82071"/>
  <w15:chartTrackingRefBased/>
  <w15:docId w15:val="{BB5D2252-C244-4773-B2F3-122337A75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6653"/>
    <w:pPr>
      <w:ind w:left="720"/>
      <w:contextualSpacing/>
    </w:pPr>
  </w:style>
  <w:style w:type="paragraph" w:styleId="HTMLPreformatted">
    <w:name w:val="HTML Preformatted"/>
    <w:basedOn w:val="Normal"/>
    <w:link w:val="HTMLPreformattedChar"/>
    <w:uiPriority w:val="99"/>
    <w:unhideWhenUsed/>
    <w:rsid w:val="003C6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3C6653"/>
    <w:rPr>
      <w:rFonts w:ascii="Courier New" w:eastAsia="Times New Roman" w:hAnsi="Courier New" w:cs="Courier New"/>
      <w:sz w:val="20"/>
      <w:szCs w:val="20"/>
      <w:lang w:eastAsia="fr-FR"/>
    </w:rPr>
  </w:style>
  <w:style w:type="character" w:customStyle="1" w:styleId="y2iqfc">
    <w:name w:val="y2iqfc"/>
    <w:basedOn w:val="DefaultParagraphFont"/>
    <w:rsid w:val="003C6653"/>
  </w:style>
  <w:style w:type="character" w:styleId="Hyperlink">
    <w:name w:val="Hyperlink"/>
    <w:basedOn w:val="DefaultParagraphFont"/>
    <w:uiPriority w:val="99"/>
    <w:unhideWhenUsed/>
    <w:rsid w:val="002F5232"/>
    <w:rPr>
      <w:color w:val="0563C1" w:themeColor="hyperlink"/>
      <w:u w:val="single"/>
    </w:rPr>
  </w:style>
  <w:style w:type="table" w:styleId="TableGrid">
    <w:name w:val="Table Grid"/>
    <w:basedOn w:val="TableNormal"/>
    <w:uiPriority w:val="39"/>
    <w:rsid w:val="00586D7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22A1"/>
    <w:rPr>
      <w:color w:val="808080"/>
    </w:rPr>
  </w:style>
  <w:style w:type="paragraph" w:customStyle="1" w:styleId="Stylefigure">
    <w:name w:val="Style figure"/>
    <w:basedOn w:val="Normal"/>
    <w:link w:val="StylefigureCar"/>
    <w:qFormat/>
    <w:rsid w:val="00D33925"/>
    <w:pPr>
      <w:spacing w:before="120" w:after="280" w:line="240" w:lineRule="auto"/>
    </w:pPr>
    <w:rPr>
      <w:rFonts w:ascii="Times New Roman" w:hAnsi="Times New Roman"/>
      <w:kern w:val="2"/>
      <w:sz w:val="24"/>
      <w14:ligatures w14:val="standardContextual"/>
    </w:rPr>
  </w:style>
  <w:style w:type="character" w:customStyle="1" w:styleId="StylefigureCar">
    <w:name w:val="Style figure Car"/>
    <w:basedOn w:val="DefaultParagraphFont"/>
    <w:link w:val="Stylefigure"/>
    <w:rsid w:val="00D33925"/>
    <w:rPr>
      <w:rFonts w:ascii="Times New Roman" w:hAnsi="Times New Roman"/>
      <w:kern w:val="2"/>
      <w:sz w:val="24"/>
      <w14:ligatures w14:val="standardContextual"/>
    </w:rPr>
  </w:style>
  <w:style w:type="paragraph" w:customStyle="1" w:styleId="Styletableau">
    <w:name w:val="Style tableau"/>
    <w:basedOn w:val="ListParagraph"/>
    <w:link w:val="StyletableauCar"/>
    <w:qFormat/>
    <w:rsid w:val="006F5D63"/>
    <w:pPr>
      <w:numPr>
        <w:numId w:val="4"/>
      </w:numPr>
    </w:pPr>
    <w:rPr>
      <w:rFonts w:ascii="Times New Roman" w:hAnsi="Times New Roman"/>
      <w:kern w:val="2"/>
      <w:sz w:val="24"/>
      <w14:ligatures w14:val="standardContextual"/>
    </w:rPr>
  </w:style>
  <w:style w:type="character" w:customStyle="1" w:styleId="StyletableauCar">
    <w:name w:val="Style tableau Car"/>
    <w:basedOn w:val="DefaultParagraphFont"/>
    <w:link w:val="Styletableau"/>
    <w:rsid w:val="006F5D63"/>
    <w:rPr>
      <w:rFonts w:ascii="Times New Roman" w:hAnsi="Times New Roman"/>
      <w:kern w:val="2"/>
      <w:sz w:val="24"/>
      <w14:ligatures w14:val="standardContextual"/>
    </w:rPr>
  </w:style>
  <w:style w:type="paragraph" w:styleId="BalloonText">
    <w:name w:val="Balloon Text"/>
    <w:basedOn w:val="Normal"/>
    <w:link w:val="BalloonTextChar"/>
    <w:uiPriority w:val="99"/>
    <w:semiHidden/>
    <w:unhideWhenUsed/>
    <w:rsid w:val="00BB0B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BEB"/>
    <w:rPr>
      <w:rFonts w:ascii="Segoe UI" w:hAnsi="Segoe UI" w:cs="Segoe UI"/>
      <w:sz w:val="18"/>
      <w:szCs w:val="18"/>
    </w:rPr>
  </w:style>
  <w:style w:type="table" w:styleId="PlainTable2">
    <w:name w:val="Plain Table 2"/>
    <w:basedOn w:val="TableNormal"/>
    <w:uiPriority w:val="42"/>
    <w:rsid w:val="00BB0B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A44D2"/>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44D2"/>
  </w:style>
  <w:style w:type="paragraph" w:styleId="Footer">
    <w:name w:val="footer"/>
    <w:basedOn w:val="Normal"/>
    <w:link w:val="FooterChar"/>
    <w:uiPriority w:val="99"/>
    <w:unhideWhenUsed/>
    <w:rsid w:val="006A44D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44D2"/>
  </w:style>
  <w:style w:type="paragraph" w:customStyle="1" w:styleId="ReferHead">
    <w:name w:val="Refer Head"/>
    <w:basedOn w:val="Normal"/>
    <w:rsid w:val="007E18B1"/>
    <w:pPr>
      <w:keepNext/>
      <w:spacing w:after="240" w:line="240" w:lineRule="auto"/>
    </w:pPr>
    <w:rPr>
      <w:rFonts w:ascii="Helvetica" w:eastAsia="Times New Roman" w:hAnsi="Helvetica" w:cs="Times New Roman"/>
      <w:b/>
      <w:caps/>
      <w:szCs w:val="20"/>
      <w:lang w:val="en-US"/>
    </w:rPr>
  </w:style>
  <w:style w:type="character" w:customStyle="1" w:styleId="UnresolvedMention1">
    <w:name w:val="Unresolved Mention1"/>
    <w:basedOn w:val="DefaultParagraphFont"/>
    <w:uiPriority w:val="99"/>
    <w:semiHidden/>
    <w:unhideWhenUsed/>
    <w:rsid w:val="00512E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587094">
      <w:bodyDiv w:val="1"/>
      <w:marLeft w:val="0"/>
      <w:marRight w:val="0"/>
      <w:marTop w:val="0"/>
      <w:marBottom w:val="0"/>
      <w:divBdr>
        <w:top w:val="none" w:sz="0" w:space="0" w:color="auto"/>
        <w:left w:val="none" w:sz="0" w:space="0" w:color="auto"/>
        <w:bottom w:val="none" w:sz="0" w:space="0" w:color="auto"/>
        <w:right w:val="none" w:sz="0" w:space="0" w:color="auto"/>
      </w:divBdr>
    </w:div>
    <w:div w:id="777868243">
      <w:bodyDiv w:val="1"/>
      <w:marLeft w:val="0"/>
      <w:marRight w:val="0"/>
      <w:marTop w:val="0"/>
      <w:marBottom w:val="0"/>
      <w:divBdr>
        <w:top w:val="none" w:sz="0" w:space="0" w:color="auto"/>
        <w:left w:val="none" w:sz="0" w:space="0" w:color="auto"/>
        <w:bottom w:val="none" w:sz="0" w:space="0" w:color="auto"/>
        <w:right w:val="none" w:sz="0" w:space="0" w:color="auto"/>
      </w:divBdr>
    </w:div>
    <w:div w:id="157793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chart" Target="charts/chart2.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chart" Target="charts/chart5.xm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http://omniweb.gsfc.nasa.gov/form/dx1.html"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chart" Target="charts/chart3.xml"/><Relationship Id="rId45" Type="http://schemas.openxmlformats.org/officeDocument/2006/relationships/hyperlink" Target="https://doi.org/10.5897/IJPS2023.5065"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s://doi.org/10.1109/PROC.1982.12314"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isgi.unistra.f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chart" Target="charts/chart6.xml"/><Relationship Id="rId48" Type="http://schemas.openxmlformats.org/officeDocument/2006/relationships/header" Target="header2.xml"/><Relationship Id="rId8" Type="http://schemas.openxmlformats.org/officeDocument/2006/relationships/hyperlink" Target="http://www.isgi.unistra.fr/indices_aa.php" TargetMode="External"/><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1.xml"/><Relationship Id="rId46" Type="http://schemas.openxmlformats.org/officeDocument/2006/relationships/hyperlink" Target="https://doi.org/10.5539/apr.v15n1p50" TargetMode="External"/><Relationship Id="rId20" Type="http://schemas.openxmlformats.org/officeDocument/2006/relationships/image" Target="media/image11.jpeg"/><Relationship Id="rId41" Type="http://schemas.openxmlformats.org/officeDocument/2006/relationships/chart" Target="charts/chart4.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impact%20des%20orag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impact%20des%20orage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impact%20des%20orage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impact%20des%20orage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esktop\impact%20des%20orage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Classeur%20final.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dirty="0">
                <a:latin typeface="Arial" panose="020B0604020202020204" pitchFamily="34" charset="0"/>
                <a:cs typeface="Arial" panose="020B0604020202020204" pitchFamily="34" charset="0"/>
              </a:rPr>
              <a:t>March</a:t>
            </a:r>
            <a:r>
              <a:rPr lang="en-US" sz="1000" b="0" baseline="0" dirty="0">
                <a:latin typeface="Arial" panose="020B0604020202020204" pitchFamily="34" charset="0"/>
                <a:cs typeface="Arial" panose="020B0604020202020204" pitchFamily="34" charset="0"/>
              </a:rPr>
              <a:t> </a:t>
            </a:r>
            <a:r>
              <a:rPr lang="en-US" sz="1000" b="0" dirty="0">
                <a:latin typeface="Arial" panose="020B0604020202020204" pitchFamily="34" charset="0"/>
                <a:cs typeface="Arial" panose="020B0604020202020204" pitchFamily="34" charset="0"/>
              </a:rPr>
              <a:t>16-17-18,</a:t>
            </a:r>
            <a:r>
              <a:rPr lang="en-US" sz="1000" b="0" baseline="0" dirty="0">
                <a:latin typeface="Arial" panose="020B0604020202020204" pitchFamily="34" charset="0"/>
                <a:cs typeface="Arial" panose="020B0604020202020204" pitchFamily="34" charset="0"/>
              </a:rPr>
              <a:t> </a:t>
            </a:r>
            <a:r>
              <a:rPr lang="en-US" sz="1000" b="0" dirty="0">
                <a:latin typeface="Arial" panose="020B0604020202020204" pitchFamily="34" charset="0"/>
                <a:cs typeface="Arial" panose="020B0604020202020204" pitchFamily="34" charset="0"/>
              </a:rPr>
              <a:t>2013 BF01 </a:t>
            </a:r>
            <a:r>
              <a:rPr lang="en-US" sz="1000" b="0" baseline="0" dirty="0">
                <a:latin typeface="Arial" panose="020B0604020202020204" pitchFamily="34" charset="0"/>
                <a:cs typeface="Arial" panose="020B0604020202020204" pitchFamily="34" charset="0"/>
              </a:rPr>
              <a:t> </a:t>
            </a:r>
            <a:endParaRPr lang="en-US" sz="1000" b="0"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Feuil2!$C$1</c:f>
              <c:strCache>
                <c:ptCount val="1"/>
                <c:pt idx="0">
                  <c:v>ROTI bf01</c:v>
                </c:pt>
              </c:strCache>
            </c:strRef>
          </c:tx>
          <c:spPr>
            <a:ln w="12700" cap="rnd">
              <a:solidFill>
                <a:srgbClr val="FF0000"/>
              </a:solidFill>
              <a:round/>
            </a:ln>
            <a:effectLst/>
          </c:spPr>
          <c:marker>
            <c:symbol val="none"/>
          </c:marker>
          <c:cat>
            <c:numRef>
              <c:f>Feuil2!$A$2:$A$73</c:f>
              <c:numCache>
                <c:formatCode>General</c:formatCode>
                <c:ptCount val="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numCache>
            </c:numRef>
          </c:cat>
          <c:val>
            <c:numRef>
              <c:f>Feuil2!$C$2:$C$73</c:f>
              <c:numCache>
                <c:formatCode>General</c:formatCode>
                <c:ptCount val="72"/>
                <c:pt idx="0">
                  <c:v>0.41361799999999999</c:v>
                </c:pt>
                <c:pt idx="1">
                  <c:v>0.13875799999999999</c:v>
                </c:pt>
                <c:pt idx="2">
                  <c:v>5.8874999999999997E-2</c:v>
                </c:pt>
                <c:pt idx="3">
                  <c:v>5.0908000000000002E-2</c:v>
                </c:pt>
                <c:pt idx="4">
                  <c:v>4.6008E-2</c:v>
                </c:pt>
                <c:pt idx="5">
                  <c:v>4.0307999999999997E-2</c:v>
                </c:pt>
                <c:pt idx="6">
                  <c:v>5.7692E-2</c:v>
                </c:pt>
                <c:pt idx="7">
                  <c:v>5.5149999999999998E-2</c:v>
                </c:pt>
                <c:pt idx="8">
                  <c:v>6.3917000000000002E-2</c:v>
                </c:pt>
                <c:pt idx="9">
                  <c:v>7.4325000000000002E-2</c:v>
                </c:pt>
                <c:pt idx="10">
                  <c:v>6.8425E-2</c:v>
                </c:pt>
                <c:pt idx="11">
                  <c:v>4.8099999999999997E-2</c:v>
                </c:pt>
                <c:pt idx="12">
                  <c:v>6.3132999999999995E-2</c:v>
                </c:pt>
                <c:pt idx="13">
                  <c:v>7.2283E-2</c:v>
                </c:pt>
                <c:pt idx="14">
                  <c:v>6.1074999999999997E-2</c:v>
                </c:pt>
                <c:pt idx="15">
                  <c:v>6.9217000000000001E-2</c:v>
                </c:pt>
                <c:pt idx="16">
                  <c:v>8.1233E-2</c:v>
                </c:pt>
                <c:pt idx="17">
                  <c:v>4.0925000000000003E-2</c:v>
                </c:pt>
                <c:pt idx="18">
                  <c:v>5.9983000000000002E-2</c:v>
                </c:pt>
                <c:pt idx="19">
                  <c:v>8.3507999999999999E-2</c:v>
                </c:pt>
                <c:pt idx="20">
                  <c:v>0.229875</c:v>
                </c:pt>
                <c:pt idx="21">
                  <c:v>0.61818300000000004</c:v>
                </c:pt>
                <c:pt idx="22">
                  <c:v>0.84834200000000004</c:v>
                </c:pt>
                <c:pt idx="23">
                  <c:v>0.57833599999999996</c:v>
                </c:pt>
                <c:pt idx="24">
                  <c:v>0.31308200000000003</c:v>
                </c:pt>
                <c:pt idx="25">
                  <c:v>0.198375</c:v>
                </c:pt>
                <c:pt idx="26">
                  <c:v>9.06E-2</c:v>
                </c:pt>
                <c:pt idx="27">
                  <c:v>5.1808E-2</c:v>
                </c:pt>
                <c:pt idx="28">
                  <c:v>4.3442000000000001E-2</c:v>
                </c:pt>
                <c:pt idx="29">
                  <c:v>3.5900000000000001E-2</c:v>
                </c:pt>
                <c:pt idx="30">
                  <c:v>5.0932999999999999E-2</c:v>
                </c:pt>
                <c:pt idx="31">
                  <c:v>5.4532999999999998E-2</c:v>
                </c:pt>
                <c:pt idx="32">
                  <c:v>7.3691999999999994E-2</c:v>
                </c:pt>
                <c:pt idx="33">
                  <c:v>8.2574999999999996E-2</c:v>
                </c:pt>
                <c:pt idx="34">
                  <c:v>7.0532999999999998E-2</c:v>
                </c:pt>
                <c:pt idx="35">
                  <c:v>5.4592000000000002E-2</c:v>
                </c:pt>
                <c:pt idx="36">
                  <c:v>6.59E-2</c:v>
                </c:pt>
                <c:pt idx="37">
                  <c:v>7.1124999999999994E-2</c:v>
                </c:pt>
                <c:pt idx="38">
                  <c:v>6.0942000000000003E-2</c:v>
                </c:pt>
                <c:pt idx="39">
                  <c:v>7.0116999999999999E-2</c:v>
                </c:pt>
                <c:pt idx="40">
                  <c:v>8.5657999999999998E-2</c:v>
                </c:pt>
                <c:pt idx="41">
                  <c:v>3.8142000000000002E-2</c:v>
                </c:pt>
                <c:pt idx="42">
                  <c:v>6.0416999999999998E-2</c:v>
                </c:pt>
                <c:pt idx="43">
                  <c:v>8.8783000000000001E-2</c:v>
                </c:pt>
                <c:pt idx="44">
                  <c:v>0.23134199999999999</c:v>
                </c:pt>
                <c:pt idx="45">
                  <c:v>0.25200800000000001</c:v>
                </c:pt>
                <c:pt idx="46">
                  <c:v>0.13709199999999999</c:v>
                </c:pt>
                <c:pt idx="47">
                  <c:v>0.2112</c:v>
                </c:pt>
                <c:pt idx="48">
                  <c:v>9.4045000000000004E-2</c:v>
                </c:pt>
                <c:pt idx="49">
                  <c:v>6.6708000000000003E-2</c:v>
                </c:pt>
                <c:pt idx="50">
                  <c:v>6.5091999999999997E-2</c:v>
                </c:pt>
                <c:pt idx="51">
                  <c:v>4.6982999999999997E-2</c:v>
                </c:pt>
                <c:pt idx="52">
                  <c:v>3.2325E-2</c:v>
                </c:pt>
                <c:pt idx="53">
                  <c:v>2.9658E-2</c:v>
                </c:pt>
                <c:pt idx="54">
                  <c:v>5.3907999999999998E-2</c:v>
                </c:pt>
                <c:pt idx="55">
                  <c:v>5.3100000000000001E-2</c:v>
                </c:pt>
                <c:pt idx="56">
                  <c:v>6.0082999999999998E-2</c:v>
                </c:pt>
                <c:pt idx="57">
                  <c:v>6.7324999999999996E-2</c:v>
                </c:pt>
                <c:pt idx="58">
                  <c:v>5.5683000000000003E-2</c:v>
                </c:pt>
                <c:pt idx="59">
                  <c:v>4.3632999999999998E-2</c:v>
                </c:pt>
                <c:pt idx="60">
                  <c:v>5.9674999999999999E-2</c:v>
                </c:pt>
                <c:pt idx="61">
                  <c:v>6.6616999999999996E-2</c:v>
                </c:pt>
                <c:pt idx="62">
                  <c:v>6.5933000000000005E-2</c:v>
                </c:pt>
                <c:pt idx="63">
                  <c:v>7.4232999999999993E-2</c:v>
                </c:pt>
                <c:pt idx="64">
                  <c:v>7.7492000000000005E-2</c:v>
                </c:pt>
                <c:pt idx="65">
                  <c:v>4.2125000000000003E-2</c:v>
                </c:pt>
                <c:pt idx="66">
                  <c:v>6.2799999999999995E-2</c:v>
                </c:pt>
                <c:pt idx="67">
                  <c:v>0.12482500000000001</c:v>
                </c:pt>
                <c:pt idx="68">
                  <c:v>0.30322500000000002</c:v>
                </c:pt>
                <c:pt idx="69">
                  <c:v>0.466833</c:v>
                </c:pt>
                <c:pt idx="70">
                  <c:v>0.42362499999999997</c:v>
                </c:pt>
                <c:pt idx="71">
                  <c:v>0.29933599999999999</c:v>
                </c:pt>
              </c:numCache>
            </c:numRef>
          </c:val>
          <c:smooth val="0"/>
          <c:extLst>
            <c:ext xmlns:c16="http://schemas.microsoft.com/office/drawing/2014/chart" uri="{C3380CC4-5D6E-409C-BE32-E72D297353CC}">
              <c16:uniqueId val="{00000000-DCE4-470F-9817-C2D8844F46DE}"/>
            </c:ext>
          </c:extLst>
        </c:ser>
        <c:dLbls>
          <c:showLegendKey val="0"/>
          <c:showVal val="0"/>
          <c:showCatName val="0"/>
          <c:showSerName val="0"/>
          <c:showPercent val="0"/>
          <c:showBubbleSize val="0"/>
        </c:dLbls>
        <c:marker val="1"/>
        <c:smooth val="0"/>
        <c:axId val="355915616"/>
        <c:axId val="354038248"/>
      </c:lineChart>
      <c:lineChart>
        <c:grouping val="standard"/>
        <c:varyColors val="0"/>
        <c:ser>
          <c:idx val="0"/>
          <c:order val="0"/>
          <c:tx>
            <c:strRef>
              <c:f>Feuil2!$B$1</c:f>
              <c:strCache>
                <c:ptCount val="1"/>
                <c:pt idx="0">
                  <c:v>Dst</c:v>
                </c:pt>
              </c:strCache>
            </c:strRef>
          </c:tx>
          <c:spPr>
            <a:ln w="12700" cap="rnd">
              <a:solidFill>
                <a:srgbClr val="002060"/>
              </a:solidFill>
              <a:round/>
            </a:ln>
            <a:effectLst/>
          </c:spPr>
          <c:marker>
            <c:symbol val="none"/>
          </c:marker>
          <c:cat>
            <c:numRef>
              <c:f>Feuil2!$A$2:$A$73</c:f>
              <c:numCache>
                <c:formatCode>General</c:formatCode>
                <c:ptCount val="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numCache>
            </c:numRef>
          </c:cat>
          <c:val>
            <c:numRef>
              <c:f>Feuil2!$B$2:$B$73</c:f>
              <c:numCache>
                <c:formatCode>General</c:formatCode>
                <c:ptCount val="72"/>
                <c:pt idx="0">
                  <c:v>-4</c:v>
                </c:pt>
                <c:pt idx="1">
                  <c:v>-9</c:v>
                </c:pt>
                <c:pt idx="2">
                  <c:v>-11</c:v>
                </c:pt>
                <c:pt idx="3">
                  <c:v>-19</c:v>
                </c:pt>
                <c:pt idx="4">
                  <c:v>-19</c:v>
                </c:pt>
                <c:pt idx="5">
                  <c:v>-22</c:v>
                </c:pt>
                <c:pt idx="6">
                  <c:v>-24</c:v>
                </c:pt>
                <c:pt idx="7">
                  <c:v>-22</c:v>
                </c:pt>
                <c:pt idx="8">
                  <c:v>-23</c:v>
                </c:pt>
                <c:pt idx="9">
                  <c:v>-25</c:v>
                </c:pt>
                <c:pt idx="10">
                  <c:v>-23</c:v>
                </c:pt>
                <c:pt idx="11">
                  <c:v>-16</c:v>
                </c:pt>
                <c:pt idx="12">
                  <c:v>-9</c:v>
                </c:pt>
                <c:pt idx="13">
                  <c:v>-10</c:v>
                </c:pt>
                <c:pt idx="14">
                  <c:v>-10</c:v>
                </c:pt>
                <c:pt idx="15">
                  <c:v>-10</c:v>
                </c:pt>
                <c:pt idx="16">
                  <c:v>-11</c:v>
                </c:pt>
                <c:pt idx="17">
                  <c:v>-11</c:v>
                </c:pt>
                <c:pt idx="18">
                  <c:v>-9</c:v>
                </c:pt>
                <c:pt idx="19">
                  <c:v>-6</c:v>
                </c:pt>
                <c:pt idx="20">
                  <c:v>-6</c:v>
                </c:pt>
                <c:pt idx="21">
                  <c:v>-7</c:v>
                </c:pt>
                <c:pt idx="22">
                  <c:v>-10</c:v>
                </c:pt>
                <c:pt idx="23">
                  <c:v>-9</c:v>
                </c:pt>
                <c:pt idx="24">
                  <c:v>-11</c:v>
                </c:pt>
                <c:pt idx="25">
                  <c:v>-13</c:v>
                </c:pt>
                <c:pt idx="26">
                  <c:v>-11</c:v>
                </c:pt>
                <c:pt idx="27">
                  <c:v>-8</c:v>
                </c:pt>
                <c:pt idx="28">
                  <c:v>-8</c:v>
                </c:pt>
                <c:pt idx="29">
                  <c:v>-7</c:v>
                </c:pt>
                <c:pt idx="30">
                  <c:v>15</c:v>
                </c:pt>
                <c:pt idx="31">
                  <c:v>-5</c:v>
                </c:pt>
                <c:pt idx="32">
                  <c:v>-23</c:v>
                </c:pt>
                <c:pt idx="33">
                  <c:v>-66</c:v>
                </c:pt>
                <c:pt idx="34">
                  <c:v>-89</c:v>
                </c:pt>
                <c:pt idx="35">
                  <c:v>-82</c:v>
                </c:pt>
                <c:pt idx="36">
                  <c:v>-86</c:v>
                </c:pt>
                <c:pt idx="37">
                  <c:v>-85</c:v>
                </c:pt>
                <c:pt idx="38">
                  <c:v>-89</c:v>
                </c:pt>
                <c:pt idx="39">
                  <c:v>-89</c:v>
                </c:pt>
                <c:pt idx="40">
                  <c:v>-84</c:v>
                </c:pt>
                <c:pt idx="41">
                  <c:v>-99</c:v>
                </c:pt>
                <c:pt idx="42">
                  <c:v>-98</c:v>
                </c:pt>
                <c:pt idx="43">
                  <c:v>-115</c:v>
                </c:pt>
                <c:pt idx="44">
                  <c:v>-132</c:v>
                </c:pt>
                <c:pt idx="45">
                  <c:v>-131</c:v>
                </c:pt>
                <c:pt idx="46">
                  <c:v>-116</c:v>
                </c:pt>
                <c:pt idx="47">
                  <c:v>-105</c:v>
                </c:pt>
                <c:pt idx="48">
                  <c:v>-96</c:v>
                </c:pt>
                <c:pt idx="49">
                  <c:v>-84</c:v>
                </c:pt>
                <c:pt idx="50">
                  <c:v>-77</c:v>
                </c:pt>
                <c:pt idx="51">
                  <c:v>-68</c:v>
                </c:pt>
                <c:pt idx="52">
                  <c:v>-64</c:v>
                </c:pt>
                <c:pt idx="53">
                  <c:v>-64</c:v>
                </c:pt>
                <c:pt idx="54">
                  <c:v>-60</c:v>
                </c:pt>
                <c:pt idx="55">
                  <c:v>-56</c:v>
                </c:pt>
                <c:pt idx="56">
                  <c:v>-55</c:v>
                </c:pt>
                <c:pt idx="57">
                  <c:v>-50</c:v>
                </c:pt>
                <c:pt idx="58">
                  <c:v>-43</c:v>
                </c:pt>
                <c:pt idx="59">
                  <c:v>-42</c:v>
                </c:pt>
                <c:pt idx="60">
                  <c:v>-43</c:v>
                </c:pt>
                <c:pt idx="61">
                  <c:v>-41</c:v>
                </c:pt>
                <c:pt idx="62">
                  <c:v>-45</c:v>
                </c:pt>
                <c:pt idx="63">
                  <c:v>-47</c:v>
                </c:pt>
                <c:pt idx="64">
                  <c:v>-50</c:v>
                </c:pt>
                <c:pt idx="65">
                  <c:v>-50</c:v>
                </c:pt>
                <c:pt idx="66">
                  <c:v>-48</c:v>
                </c:pt>
                <c:pt idx="67">
                  <c:v>-47</c:v>
                </c:pt>
                <c:pt idx="68">
                  <c:v>-48</c:v>
                </c:pt>
                <c:pt idx="69">
                  <c:v>-46</c:v>
                </c:pt>
                <c:pt idx="70">
                  <c:v>-47</c:v>
                </c:pt>
                <c:pt idx="71">
                  <c:v>-46</c:v>
                </c:pt>
              </c:numCache>
            </c:numRef>
          </c:val>
          <c:smooth val="0"/>
          <c:extLst>
            <c:ext xmlns:c16="http://schemas.microsoft.com/office/drawing/2014/chart" uri="{C3380CC4-5D6E-409C-BE32-E72D297353CC}">
              <c16:uniqueId val="{00000001-DCE4-470F-9817-C2D8844F46DE}"/>
            </c:ext>
          </c:extLst>
        </c:ser>
        <c:dLbls>
          <c:showLegendKey val="0"/>
          <c:showVal val="0"/>
          <c:showCatName val="0"/>
          <c:showSerName val="0"/>
          <c:showPercent val="0"/>
          <c:showBubbleSize val="0"/>
        </c:dLbls>
        <c:marker val="1"/>
        <c:smooth val="0"/>
        <c:axId val="354038640"/>
        <c:axId val="354044520"/>
      </c:lineChart>
      <c:catAx>
        <c:axId val="355915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Local  Time(hour)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038248"/>
        <c:crosses val="autoZero"/>
        <c:auto val="1"/>
        <c:lblAlgn val="ctr"/>
        <c:lblOffset val="100"/>
        <c:noMultiLvlLbl val="0"/>
      </c:catAx>
      <c:valAx>
        <c:axId val="354038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ROTI(tecu/mn)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915616"/>
        <c:crossesAt val="1"/>
        <c:crossBetween val="between"/>
      </c:valAx>
      <c:valAx>
        <c:axId val="35404452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Dst(nT)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038640"/>
        <c:crosses val="max"/>
        <c:crossBetween val="between"/>
      </c:valAx>
      <c:catAx>
        <c:axId val="354038640"/>
        <c:scaling>
          <c:orientation val="minMax"/>
        </c:scaling>
        <c:delete val="1"/>
        <c:axPos val="b"/>
        <c:numFmt formatCode="General" sourceLinked="1"/>
        <c:majorTickMark val="out"/>
        <c:minorTickMark val="none"/>
        <c:tickLblPos val="nextTo"/>
        <c:crossAx val="354044520"/>
        <c:crosses val="autoZero"/>
        <c:auto val="1"/>
        <c:lblAlgn val="ctr"/>
        <c:lblOffset val="100"/>
        <c:noMultiLvlLbl val="0"/>
      </c:catAx>
      <c:spPr>
        <a:noFill/>
        <a:ln>
          <a:noFill/>
        </a:ln>
        <a:effectLst/>
      </c:spPr>
    </c:plotArea>
    <c:legend>
      <c:legendPos val="b"/>
      <c:layout>
        <c:manualLayout>
          <c:xMode val="edge"/>
          <c:yMode val="edge"/>
          <c:x val="0.25838075352402035"/>
          <c:y val="0.82741121831174924"/>
          <c:w val="0.49175819476239591"/>
          <c:h val="9.74876840568239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dirty="0">
                <a:latin typeface="Arial" panose="020B0604020202020204" pitchFamily="34" charset="0"/>
                <a:cs typeface="Arial" panose="020B0604020202020204" pitchFamily="34" charset="0"/>
              </a:rPr>
              <a:t>March 16-17-18, 2013 </a:t>
            </a:r>
            <a:r>
              <a:rPr lang="en-US" sz="1000" b="0" baseline="0" dirty="0">
                <a:latin typeface="Arial" panose="020B0604020202020204" pitchFamily="34" charset="0"/>
                <a:cs typeface="Arial" panose="020B0604020202020204" pitchFamily="34" charset="0"/>
              </a:rPr>
              <a:t> KOUD</a:t>
            </a:r>
            <a:endParaRPr lang="en-US" sz="1000" b="0"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Feuil2!$D$1</c:f>
              <c:strCache>
                <c:ptCount val="1"/>
                <c:pt idx="0">
                  <c:v>ROTI koud</c:v>
                </c:pt>
              </c:strCache>
            </c:strRef>
          </c:tx>
          <c:spPr>
            <a:ln w="12700" cap="rnd">
              <a:solidFill>
                <a:srgbClr val="FF0000"/>
              </a:solidFill>
              <a:round/>
            </a:ln>
            <a:effectLst/>
          </c:spPr>
          <c:marker>
            <c:symbol val="none"/>
          </c:marker>
          <c:cat>
            <c:numRef>
              <c:f>Feuil2!$A$2:$A$73</c:f>
              <c:numCache>
                <c:formatCode>General</c:formatCode>
                <c:ptCount val="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numCache>
            </c:numRef>
          </c:cat>
          <c:val>
            <c:numRef>
              <c:f>Feuil2!$D$2:$D$73</c:f>
              <c:numCache>
                <c:formatCode>General</c:formatCode>
                <c:ptCount val="72"/>
                <c:pt idx="0">
                  <c:v>0.42699999999999999</c:v>
                </c:pt>
                <c:pt idx="1">
                  <c:v>0.26495000000000002</c:v>
                </c:pt>
                <c:pt idx="2">
                  <c:v>0.22489200000000001</c:v>
                </c:pt>
                <c:pt idx="3">
                  <c:v>0.24381700000000001</c:v>
                </c:pt>
                <c:pt idx="4">
                  <c:v>0.23119200000000001</c:v>
                </c:pt>
                <c:pt idx="5">
                  <c:v>0.22762499999999999</c:v>
                </c:pt>
                <c:pt idx="6">
                  <c:v>0.23200799999999999</c:v>
                </c:pt>
                <c:pt idx="7">
                  <c:v>0.23599200000000001</c:v>
                </c:pt>
                <c:pt idx="8">
                  <c:v>0.246533</c:v>
                </c:pt>
                <c:pt idx="9">
                  <c:v>0.246475</c:v>
                </c:pt>
                <c:pt idx="10">
                  <c:v>0.236092</c:v>
                </c:pt>
                <c:pt idx="11">
                  <c:v>0.23982500000000001</c:v>
                </c:pt>
                <c:pt idx="12">
                  <c:v>0.22831699999999999</c:v>
                </c:pt>
                <c:pt idx="13">
                  <c:v>0.250608</c:v>
                </c:pt>
                <c:pt idx="14">
                  <c:v>0.24055000000000001</c:v>
                </c:pt>
                <c:pt idx="15">
                  <c:v>0.240258</c:v>
                </c:pt>
                <c:pt idx="16">
                  <c:v>0.24635799999999999</c:v>
                </c:pt>
                <c:pt idx="17">
                  <c:v>0.241567</c:v>
                </c:pt>
                <c:pt idx="18">
                  <c:v>0.23591699999999999</c:v>
                </c:pt>
                <c:pt idx="19">
                  <c:v>0.24039199999999999</c:v>
                </c:pt>
                <c:pt idx="20">
                  <c:v>0.42704199999999998</c:v>
                </c:pt>
                <c:pt idx="21">
                  <c:v>0.59072499999999994</c:v>
                </c:pt>
                <c:pt idx="22">
                  <c:v>0.76442500000000002</c:v>
                </c:pt>
                <c:pt idx="23">
                  <c:v>0.51021799999999995</c:v>
                </c:pt>
                <c:pt idx="24">
                  <c:v>0.49743999999999999</c:v>
                </c:pt>
                <c:pt idx="25">
                  <c:v>0.30607499999999999</c:v>
                </c:pt>
                <c:pt idx="26">
                  <c:v>0.26029200000000002</c:v>
                </c:pt>
                <c:pt idx="27">
                  <c:v>0.23533299999999999</c:v>
                </c:pt>
                <c:pt idx="28">
                  <c:v>0.222467</c:v>
                </c:pt>
                <c:pt idx="29">
                  <c:v>0.22819999999999999</c:v>
                </c:pt>
                <c:pt idx="30">
                  <c:v>0.222742</c:v>
                </c:pt>
                <c:pt idx="31">
                  <c:v>0.23366700000000001</c:v>
                </c:pt>
                <c:pt idx="32">
                  <c:v>0.23594999999999999</c:v>
                </c:pt>
                <c:pt idx="33">
                  <c:v>0.25755</c:v>
                </c:pt>
                <c:pt idx="34">
                  <c:v>0.25261699999999998</c:v>
                </c:pt>
                <c:pt idx="35">
                  <c:v>0.23858299999999999</c:v>
                </c:pt>
                <c:pt idx="36">
                  <c:v>0.24735799999999999</c:v>
                </c:pt>
                <c:pt idx="37">
                  <c:v>0.24729999999999999</c:v>
                </c:pt>
                <c:pt idx="38">
                  <c:v>0.25774200000000003</c:v>
                </c:pt>
                <c:pt idx="39">
                  <c:v>0.26684200000000002</c:v>
                </c:pt>
                <c:pt idx="40">
                  <c:v>0.25575799999999999</c:v>
                </c:pt>
                <c:pt idx="41">
                  <c:v>0.240817</c:v>
                </c:pt>
                <c:pt idx="42">
                  <c:v>0.24710799999999999</c:v>
                </c:pt>
                <c:pt idx="43">
                  <c:v>0.23885799999999999</c:v>
                </c:pt>
                <c:pt idx="44">
                  <c:v>0.34680800000000001</c:v>
                </c:pt>
                <c:pt idx="45">
                  <c:v>0.28493299999999999</c:v>
                </c:pt>
                <c:pt idx="46">
                  <c:v>0.28075800000000001</c:v>
                </c:pt>
                <c:pt idx="47">
                  <c:v>0.25995499999999999</c:v>
                </c:pt>
                <c:pt idx="48">
                  <c:v>0.26895400000000003</c:v>
                </c:pt>
                <c:pt idx="49">
                  <c:v>0.25690000000000002</c:v>
                </c:pt>
                <c:pt idx="50">
                  <c:v>0.23613300000000001</c:v>
                </c:pt>
                <c:pt idx="51">
                  <c:v>0.25392500000000001</c:v>
                </c:pt>
                <c:pt idx="52">
                  <c:v>0.23503299999999999</c:v>
                </c:pt>
                <c:pt idx="53">
                  <c:v>0.240425</c:v>
                </c:pt>
                <c:pt idx="54">
                  <c:v>0.22961699999999999</c:v>
                </c:pt>
                <c:pt idx="55">
                  <c:v>0.22462499999999999</c:v>
                </c:pt>
                <c:pt idx="56">
                  <c:v>0.24066699999999999</c:v>
                </c:pt>
                <c:pt idx="57">
                  <c:v>0.23965</c:v>
                </c:pt>
                <c:pt idx="58">
                  <c:v>0.245475</c:v>
                </c:pt>
                <c:pt idx="59">
                  <c:v>0.237654</c:v>
                </c:pt>
                <c:pt idx="60">
                  <c:v>0.215056</c:v>
                </c:pt>
                <c:pt idx="61">
                  <c:v>0.242892</c:v>
                </c:pt>
                <c:pt idx="62">
                  <c:v>0.24143300000000001</c:v>
                </c:pt>
                <c:pt idx="63">
                  <c:v>0.239067</c:v>
                </c:pt>
                <c:pt idx="64">
                  <c:v>0.23614199999999999</c:v>
                </c:pt>
                <c:pt idx="65">
                  <c:v>0.23424200000000001</c:v>
                </c:pt>
                <c:pt idx="66">
                  <c:v>0.219942</c:v>
                </c:pt>
                <c:pt idx="67">
                  <c:v>0.28541699999999998</c:v>
                </c:pt>
                <c:pt idx="68">
                  <c:v>0.419817</c:v>
                </c:pt>
                <c:pt idx="69">
                  <c:v>0.79656499999999997</c:v>
                </c:pt>
                <c:pt idx="70">
                  <c:v>0</c:v>
                </c:pt>
                <c:pt idx="71">
                  <c:v>0</c:v>
                </c:pt>
              </c:numCache>
            </c:numRef>
          </c:val>
          <c:smooth val="0"/>
          <c:extLst>
            <c:ext xmlns:c16="http://schemas.microsoft.com/office/drawing/2014/chart" uri="{C3380CC4-5D6E-409C-BE32-E72D297353CC}">
              <c16:uniqueId val="{00000000-242B-48F5-936D-388541F051AB}"/>
            </c:ext>
          </c:extLst>
        </c:ser>
        <c:dLbls>
          <c:showLegendKey val="0"/>
          <c:showVal val="0"/>
          <c:showCatName val="0"/>
          <c:showSerName val="0"/>
          <c:showPercent val="0"/>
          <c:showBubbleSize val="0"/>
        </c:dLbls>
        <c:marker val="1"/>
        <c:smooth val="0"/>
        <c:axId val="354044128"/>
        <c:axId val="354039032"/>
      </c:lineChart>
      <c:lineChart>
        <c:grouping val="standard"/>
        <c:varyColors val="0"/>
        <c:ser>
          <c:idx val="0"/>
          <c:order val="0"/>
          <c:tx>
            <c:strRef>
              <c:f>Feuil2!$B$1</c:f>
              <c:strCache>
                <c:ptCount val="1"/>
                <c:pt idx="0">
                  <c:v>Dst</c:v>
                </c:pt>
              </c:strCache>
            </c:strRef>
          </c:tx>
          <c:spPr>
            <a:ln w="12700" cap="rnd">
              <a:solidFill>
                <a:srgbClr val="002060"/>
              </a:solidFill>
              <a:round/>
            </a:ln>
            <a:effectLst/>
          </c:spPr>
          <c:marker>
            <c:symbol val="none"/>
          </c:marker>
          <c:cat>
            <c:numRef>
              <c:f>Feuil2!$A$2:$A$73</c:f>
              <c:numCache>
                <c:formatCode>General</c:formatCode>
                <c:ptCount val="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numCache>
            </c:numRef>
          </c:cat>
          <c:val>
            <c:numRef>
              <c:f>Feuil2!$B$2:$B$73</c:f>
              <c:numCache>
                <c:formatCode>General</c:formatCode>
                <c:ptCount val="72"/>
                <c:pt idx="0">
                  <c:v>-4</c:v>
                </c:pt>
                <c:pt idx="1">
                  <c:v>-9</c:v>
                </c:pt>
                <c:pt idx="2">
                  <c:v>-11</c:v>
                </c:pt>
                <c:pt idx="3">
                  <c:v>-19</c:v>
                </c:pt>
                <c:pt idx="4">
                  <c:v>-19</c:v>
                </c:pt>
                <c:pt idx="5">
                  <c:v>-22</c:v>
                </c:pt>
                <c:pt idx="6">
                  <c:v>-24</c:v>
                </c:pt>
                <c:pt idx="7">
                  <c:v>-22</c:v>
                </c:pt>
                <c:pt idx="8">
                  <c:v>-23</c:v>
                </c:pt>
                <c:pt idx="9">
                  <c:v>-25</c:v>
                </c:pt>
                <c:pt idx="10">
                  <c:v>-23</c:v>
                </c:pt>
                <c:pt idx="11">
                  <c:v>-16</c:v>
                </c:pt>
                <c:pt idx="12">
                  <c:v>-9</c:v>
                </c:pt>
                <c:pt idx="13">
                  <c:v>-10</c:v>
                </c:pt>
                <c:pt idx="14">
                  <c:v>-10</c:v>
                </c:pt>
                <c:pt idx="15">
                  <c:v>-10</c:v>
                </c:pt>
                <c:pt idx="16">
                  <c:v>-11</c:v>
                </c:pt>
                <c:pt idx="17">
                  <c:v>-11</c:v>
                </c:pt>
                <c:pt idx="18">
                  <c:v>-9</c:v>
                </c:pt>
                <c:pt idx="19">
                  <c:v>-6</c:v>
                </c:pt>
                <c:pt idx="20">
                  <c:v>-6</c:v>
                </c:pt>
                <c:pt idx="21">
                  <c:v>-7</c:v>
                </c:pt>
                <c:pt idx="22">
                  <c:v>-10</c:v>
                </c:pt>
                <c:pt idx="23">
                  <c:v>-9</c:v>
                </c:pt>
                <c:pt idx="24">
                  <c:v>-11</c:v>
                </c:pt>
                <c:pt idx="25">
                  <c:v>-13</c:v>
                </c:pt>
                <c:pt idx="26">
                  <c:v>-11</c:v>
                </c:pt>
                <c:pt idx="27">
                  <c:v>-8</c:v>
                </c:pt>
                <c:pt idx="28">
                  <c:v>-8</c:v>
                </c:pt>
                <c:pt idx="29">
                  <c:v>-7</c:v>
                </c:pt>
                <c:pt idx="30">
                  <c:v>15</c:v>
                </c:pt>
                <c:pt idx="31">
                  <c:v>-5</c:v>
                </c:pt>
                <c:pt idx="32">
                  <c:v>-23</c:v>
                </c:pt>
                <c:pt idx="33">
                  <c:v>-66</c:v>
                </c:pt>
                <c:pt idx="34">
                  <c:v>-89</c:v>
                </c:pt>
                <c:pt idx="35">
                  <c:v>-82</c:v>
                </c:pt>
                <c:pt idx="36">
                  <c:v>-86</c:v>
                </c:pt>
                <c:pt idx="37">
                  <c:v>-85</c:v>
                </c:pt>
                <c:pt idx="38">
                  <c:v>-89</c:v>
                </c:pt>
                <c:pt idx="39">
                  <c:v>-89</c:v>
                </c:pt>
                <c:pt idx="40">
                  <c:v>-84</c:v>
                </c:pt>
                <c:pt idx="41">
                  <c:v>-99</c:v>
                </c:pt>
                <c:pt idx="42">
                  <c:v>-98</c:v>
                </c:pt>
                <c:pt idx="43">
                  <c:v>-115</c:v>
                </c:pt>
                <c:pt idx="44">
                  <c:v>-132</c:v>
                </c:pt>
                <c:pt idx="45">
                  <c:v>-131</c:v>
                </c:pt>
                <c:pt idx="46">
                  <c:v>-116</c:v>
                </c:pt>
                <c:pt idx="47">
                  <c:v>-105</c:v>
                </c:pt>
                <c:pt idx="48">
                  <c:v>-96</c:v>
                </c:pt>
                <c:pt idx="49">
                  <c:v>-84</c:v>
                </c:pt>
                <c:pt idx="50">
                  <c:v>-77</c:v>
                </c:pt>
                <c:pt idx="51">
                  <c:v>-68</c:v>
                </c:pt>
                <c:pt idx="52">
                  <c:v>-64</c:v>
                </c:pt>
                <c:pt idx="53">
                  <c:v>-64</c:v>
                </c:pt>
                <c:pt idx="54">
                  <c:v>-60</c:v>
                </c:pt>
                <c:pt idx="55">
                  <c:v>-56</c:v>
                </c:pt>
                <c:pt idx="56">
                  <c:v>-55</c:v>
                </c:pt>
                <c:pt idx="57">
                  <c:v>-50</c:v>
                </c:pt>
                <c:pt idx="58">
                  <c:v>-43</c:v>
                </c:pt>
                <c:pt idx="59">
                  <c:v>-42</c:v>
                </c:pt>
                <c:pt idx="60">
                  <c:v>-43</c:v>
                </c:pt>
                <c:pt idx="61">
                  <c:v>-41</c:v>
                </c:pt>
                <c:pt idx="62">
                  <c:v>-45</c:v>
                </c:pt>
                <c:pt idx="63">
                  <c:v>-47</c:v>
                </c:pt>
                <c:pt idx="64">
                  <c:v>-50</c:v>
                </c:pt>
                <c:pt idx="65">
                  <c:v>-50</c:v>
                </c:pt>
                <c:pt idx="66">
                  <c:v>-48</c:v>
                </c:pt>
                <c:pt idx="67">
                  <c:v>-47</c:v>
                </c:pt>
                <c:pt idx="68">
                  <c:v>-48</c:v>
                </c:pt>
                <c:pt idx="69">
                  <c:v>-46</c:v>
                </c:pt>
                <c:pt idx="70">
                  <c:v>-47</c:v>
                </c:pt>
                <c:pt idx="71">
                  <c:v>-46</c:v>
                </c:pt>
              </c:numCache>
            </c:numRef>
          </c:val>
          <c:smooth val="0"/>
          <c:extLst>
            <c:ext xmlns:c16="http://schemas.microsoft.com/office/drawing/2014/chart" uri="{C3380CC4-5D6E-409C-BE32-E72D297353CC}">
              <c16:uniqueId val="{00000001-242B-48F5-936D-388541F051AB}"/>
            </c:ext>
          </c:extLst>
        </c:ser>
        <c:dLbls>
          <c:showLegendKey val="0"/>
          <c:showVal val="0"/>
          <c:showCatName val="0"/>
          <c:showSerName val="0"/>
          <c:showPercent val="0"/>
          <c:showBubbleSize val="0"/>
        </c:dLbls>
        <c:marker val="1"/>
        <c:smooth val="0"/>
        <c:axId val="354040600"/>
        <c:axId val="354044912"/>
      </c:lineChart>
      <c:catAx>
        <c:axId val="354044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Local  Time(hour)</a:t>
                </a:r>
                <a:endParaRPr lang="fr-FR" sz="10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039032"/>
        <c:crosses val="autoZero"/>
        <c:auto val="1"/>
        <c:lblAlgn val="ctr"/>
        <c:lblOffset val="100"/>
        <c:noMultiLvlLbl val="0"/>
      </c:catAx>
      <c:valAx>
        <c:axId val="354039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ROTI(tecu/mn)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044128"/>
        <c:crosses val="autoZero"/>
        <c:crossBetween val="between"/>
      </c:valAx>
      <c:valAx>
        <c:axId val="3540449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Dst(nT)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040600"/>
        <c:crosses val="max"/>
        <c:crossBetween val="between"/>
      </c:valAx>
      <c:catAx>
        <c:axId val="354040600"/>
        <c:scaling>
          <c:orientation val="minMax"/>
        </c:scaling>
        <c:delete val="1"/>
        <c:axPos val="b"/>
        <c:numFmt formatCode="General" sourceLinked="1"/>
        <c:majorTickMark val="out"/>
        <c:minorTickMark val="none"/>
        <c:tickLblPos val="nextTo"/>
        <c:crossAx val="354044912"/>
        <c:crosses val="autoZero"/>
        <c:auto val="1"/>
        <c:lblAlgn val="ctr"/>
        <c:lblOffset val="100"/>
        <c:noMultiLvlLbl val="0"/>
      </c:catAx>
      <c:spPr>
        <a:noFill/>
        <a:ln>
          <a:noFill/>
        </a:ln>
        <a:effectLst/>
      </c:spPr>
    </c:plotArea>
    <c:legend>
      <c:legendPos val="b"/>
      <c:layout>
        <c:manualLayout>
          <c:xMode val="edge"/>
          <c:yMode val="edge"/>
          <c:x val="0.23880835041824894"/>
          <c:y val="0.83430328280512356"/>
          <c:w val="0.50518269714243147"/>
          <c:h val="9.35946650595464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a:latin typeface="Arial" panose="020B0604020202020204" pitchFamily="34" charset="0"/>
                <a:cs typeface="Arial" panose="020B0604020202020204" pitchFamily="34" charset="0"/>
              </a:rPr>
              <a:t>March 16-17-18,</a:t>
            </a:r>
            <a:r>
              <a:rPr lang="en-US" sz="1000" b="0" baseline="0">
                <a:latin typeface="Arial" panose="020B0604020202020204" pitchFamily="34" charset="0"/>
                <a:cs typeface="Arial" panose="020B0604020202020204" pitchFamily="34" charset="0"/>
              </a:rPr>
              <a:t> </a:t>
            </a:r>
            <a:r>
              <a:rPr lang="en-US" sz="1000" b="0">
                <a:latin typeface="Arial" panose="020B0604020202020204" pitchFamily="34" charset="0"/>
                <a:cs typeface="Arial" panose="020B0604020202020204" pitchFamily="34" charset="0"/>
              </a:rPr>
              <a:t>2015</a:t>
            </a:r>
            <a:r>
              <a:rPr lang="en-US" sz="1000" b="0" baseline="0">
                <a:latin typeface="Arial" panose="020B0604020202020204" pitchFamily="34" charset="0"/>
                <a:cs typeface="Arial" panose="020B0604020202020204" pitchFamily="34" charset="0"/>
              </a:rPr>
              <a:t> KOUD</a:t>
            </a:r>
            <a:endParaRPr lang="en-US" sz="1000" b="0">
              <a:latin typeface="Arial" panose="020B0604020202020204" pitchFamily="34" charset="0"/>
              <a:cs typeface="Arial" panose="020B0604020202020204" pitchFamily="34" charset="0"/>
            </a:endParaRPr>
          </a:p>
        </c:rich>
      </c:tx>
      <c:layout>
        <c:manualLayout>
          <c:xMode val="edge"/>
          <c:yMode val="edge"/>
          <c:x val="0.19256734355573973"/>
          <c:y val="1.17474302496328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461364659514647"/>
          <c:y val="0.14491555222263883"/>
          <c:w val="0.60773063561229601"/>
          <c:h val="0.53912460942382201"/>
        </c:manualLayout>
      </c:layout>
      <c:lineChart>
        <c:grouping val="standard"/>
        <c:varyColors val="0"/>
        <c:ser>
          <c:idx val="1"/>
          <c:order val="1"/>
          <c:tx>
            <c:strRef>
              <c:f>Feuil7!$C$1</c:f>
              <c:strCache>
                <c:ptCount val="1"/>
                <c:pt idx="0">
                  <c:v>ROTI koud</c:v>
                </c:pt>
              </c:strCache>
            </c:strRef>
          </c:tx>
          <c:spPr>
            <a:ln w="12700" cap="rnd">
              <a:solidFill>
                <a:srgbClr val="FF0000"/>
              </a:solidFill>
              <a:round/>
            </a:ln>
            <a:effectLst/>
          </c:spPr>
          <c:marker>
            <c:symbol val="none"/>
          </c:marker>
          <c:cat>
            <c:numRef>
              <c:f>Feuil7!$A$2:$A$73</c:f>
              <c:numCache>
                <c:formatCode>General</c:formatCode>
                <c:ptCount val="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numCache>
            </c:numRef>
          </c:cat>
          <c:val>
            <c:numRef>
              <c:f>Feuil7!$C$2:$C$73</c:f>
              <c:numCache>
                <c:formatCode>General</c:formatCode>
                <c:ptCount val="72"/>
                <c:pt idx="0">
                  <c:v>0.30410999999999999</c:v>
                </c:pt>
                <c:pt idx="1">
                  <c:v>0.26236700000000002</c:v>
                </c:pt>
                <c:pt idx="2">
                  <c:v>0.238008</c:v>
                </c:pt>
                <c:pt idx="3">
                  <c:v>0.23155000000000001</c:v>
                </c:pt>
                <c:pt idx="4">
                  <c:v>0.237008</c:v>
                </c:pt>
                <c:pt idx="5">
                  <c:v>0.238875</c:v>
                </c:pt>
                <c:pt idx="6">
                  <c:v>0.23148299999999999</c:v>
                </c:pt>
                <c:pt idx="7">
                  <c:v>0.24074200000000001</c:v>
                </c:pt>
                <c:pt idx="8">
                  <c:v>0.24252499999999999</c:v>
                </c:pt>
                <c:pt idx="9">
                  <c:v>0.25523299999999999</c:v>
                </c:pt>
                <c:pt idx="10">
                  <c:v>0.24513299999999999</c:v>
                </c:pt>
                <c:pt idx="11">
                  <c:v>0.264125</c:v>
                </c:pt>
                <c:pt idx="12">
                  <c:v>0.27546700000000002</c:v>
                </c:pt>
                <c:pt idx="13">
                  <c:v>0.26448300000000002</c:v>
                </c:pt>
                <c:pt idx="14">
                  <c:v>0.27165800000000001</c:v>
                </c:pt>
                <c:pt idx="15">
                  <c:v>0.26884999999999998</c:v>
                </c:pt>
                <c:pt idx="16">
                  <c:v>0.25015799999999999</c:v>
                </c:pt>
                <c:pt idx="17">
                  <c:v>0.25436700000000001</c:v>
                </c:pt>
                <c:pt idx="18">
                  <c:v>0.26177499999999998</c:v>
                </c:pt>
                <c:pt idx="19">
                  <c:v>0.32379999999999998</c:v>
                </c:pt>
                <c:pt idx="20">
                  <c:v>0.65490800000000005</c:v>
                </c:pt>
                <c:pt idx="21">
                  <c:v>0.73101700000000003</c:v>
                </c:pt>
                <c:pt idx="22">
                  <c:v>0.65399200000000002</c:v>
                </c:pt>
                <c:pt idx="23">
                  <c:v>0.58965900000000004</c:v>
                </c:pt>
                <c:pt idx="24">
                  <c:v>0.35683500000000001</c:v>
                </c:pt>
                <c:pt idx="25">
                  <c:v>0.40896700000000002</c:v>
                </c:pt>
                <c:pt idx="26">
                  <c:v>0.26860800000000001</c:v>
                </c:pt>
                <c:pt idx="27">
                  <c:v>0.26008300000000001</c:v>
                </c:pt>
                <c:pt idx="28">
                  <c:v>0.25140800000000002</c:v>
                </c:pt>
                <c:pt idx="29">
                  <c:v>0.23949200000000001</c:v>
                </c:pt>
                <c:pt idx="30">
                  <c:v>0.246142</c:v>
                </c:pt>
                <c:pt idx="31">
                  <c:v>0.24072499999999999</c:v>
                </c:pt>
                <c:pt idx="32">
                  <c:v>0.247725</c:v>
                </c:pt>
                <c:pt idx="33">
                  <c:v>0.25917499999999999</c:v>
                </c:pt>
                <c:pt idx="34">
                  <c:v>0.25435799999999997</c:v>
                </c:pt>
                <c:pt idx="35">
                  <c:v>0.26084200000000002</c:v>
                </c:pt>
                <c:pt idx="36">
                  <c:v>0.26644200000000001</c:v>
                </c:pt>
                <c:pt idx="37">
                  <c:v>0.26541700000000001</c:v>
                </c:pt>
                <c:pt idx="38">
                  <c:v>0.28118300000000002</c:v>
                </c:pt>
                <c:pt idx="39">
                  <c:v>0.28875800000000001</c:v>
                </c:pt>
                <c:pt idx="40">
                  <c:v>0.27395000000000003</c:v>
                </c:pt>
                <c:pt idx="41">
                  <c:v>0.26369199999999998</c:v>
                </c:pt>
                <c:pt idx="42">
                  <c:v>0.27450000000000002</c:v>
                </c:pt>
                <c:pt idx="43">
                  <c:v>0.25237500000000002</c:v>
                </c:pt>
                <c:pt idx="44">
                  <c:v>0.25919999999999999</c:v>
                </c:pt>
                <c:pt idx="45">
                  <c:v>0.24535000000000001</c:v>
                </c:pt>
                <c:pt idx="46">
                  <c:v>0.27351700000000001</c:v>
                </c:pt>
                <c:pt idx="47">
                  <c:v>0.27662199999999998</c:v>
                </c:pt>
                <c:pt idx="48">
                  <c:v>0.25611899999999999</c:v>
                </c:pt>
                <c:pt idx="49">
                  <c:v>0.24981700000000001</c:v>
                </c:pt>
                <c:pt idx="50">
                  <c:v>0.242008</c:v>
                </c:pt>
                <c:pt idx="51">
                  <c:v>0.249975</c:v>
                </c:pt>
                <c:pt idx="52">
                  <c:v>0.235683</c:v>
                </c:pt>
                <c:pt idx="53">
                  <c:v>0.242117</c:v>
                </c:pt>
                <c:pt idx="54">
                  <c:v>0.24013300000000001</c:v>
                </c:pt>
                <c:pt idx="55">
                  <c:v>0.248108</c:v>
                </c:pt>
                <c:pt idx="56">
                  <c:v>0.25272800000000001</c:v>
                </c:pt>
                <c:pt idx="57">
                  <c:v>0.23385700000000001</c:v>
                </c:pt>
                <c:pt idx="58">
                  <c:v>0.225742</c:v>
                </c:pt>
                <c:pt idx="59">
                  <c:v>0.230133</c:v>
                </c:pt>
                <c:pt idx="60">
                  <c:v>0.26625799999999999</c:v>
                </c:pt>
                <c:pt idx="61">
                  <c:v>0.253417</c:v>
                </c:pt>
                <c:pt idx="62">
                  <c:v>0.25365799999999999</c:v>
                </c:pt>
                <c:pt idx="63">
                  <c:v>0.246225</c:v>
                </c:pt>
                <c:pt idx="64">
                  <c:v>0.246167</c:v>
                </c:pt>
                <c:pt idx="65">
                  <c:v>0.26005800000000001</c:v>
                </c:pt>
                <c:pt idx="66">
                  <c:v>0.26256699999999999</c:v>
                </c:pt>
                <c:pt idx="67">
                  <c:v>0.26505000000000001</c:v>
                </c:pt>
                <c:pt idx="68">
                  <c:v>0.246175</c:v>
                </c:pt>
                <c:pt idx="69">
                  <c:v>0.209783</c:v>
                </c:pt>
                <c:pt idx="70">
                  <c:v>0.253525</c:v>
                </c:pt>
                <c:pt idx="71">
                  <c:v>0.245646</c:v>
                </c:pt>
              </c:numCache>
            </c:numRef>
          </c:val>
          <c:smooth val="0"/>
          <c:extLst>
            <c:ext xmlns:c16="http://schemas.microsoft.com/office/drawing/2014/chart" uri="{C3380CC4-5D6E-409C-BE32-E72D297353CC}">
              <c16:uniqueId val="{00000000-0AB6-4BA3-8EE3-428756AC8354}"/>
            </c:ext>
          </c:extLst>
        </c:ser>
        <c:dLbls>
          <c:showLegendKey val="0"/>
          <c:showVal val="0"/>
          <c:showCatName val="0"/>
          <c:showSerName val="0"/>
          <c:showPercent val="0"/>
          <c:showBubbleSize val="0"/>
        </c:dLbls>
        <c:marker val="1"/>
        <c:smooth val="0"/>
        <c:axId val="354043736"/>
        <c:axId val="354042952"/>
      </c:lineChart>
      <c:lineChart>
        <c:grouping val="standard"/>
        <c:varyColors val="0"/>
        <c:ser>
          <c:idx val="0"/>
          <c:order val="0"/>
          <c:tx>
            <c:strRef>
              <c:f>Feuil7!$B$1</c:f>
              <c:strCache>
                <c:ptCount val="1"/>
                <c:pt idx="0">
                  <c:v>Dst</c:v>
                </c:pt>
              </c:strCache>
            </c:strRef>
          </c:tx>
          <c:spPr>
            <a:ln w="12700" cap="rnd">
              <a:solidFill>
                <a:schemeClr val="tx1"/>
              </a:solidFill>
              <a:round/>
            </a:ln>
            <a:effectLst/>
          </c:spPr>
          <c:marker>
            <c:symbol val="none"/>
          </c:marker>
          <c:cat>
            <c:numRef>
              <c:f>Feuil7!$A$2:$A$73</c:f>
              <c:numCache>
                <c:formatCode>General</c:formatCode>
                <c:ptCount val="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numCache>
            </c:numRef>
          </c:cat>
          <c:val>
            <c:numRef>
              <c:f>Feuil7!$B$2:$B$73</c:f>
              <c:numCache>
                <c:formatCode>General</c:formatCode>
                <c:ptCount val="72"/>
                <c:pt idx="0">
                  <c:v>4</c:v>
                </c:pt>
                <c:pt idx="1">
                  <c:v>10</c:v>
                </c:pt>
                <c:pt idx="2">
                  <c:v>15</c:v>
                </c:pt>
                <c:pt idx="3">
                  <c:v>10</c:v>
                </c:pt>
                <c:pt idx="4">
                  <c:v>7</c:v>
                </c:pt>
                <c:pt idx="5">
                  <c:v>15</c:v>
                </c:pt>
                <c:pt idx="6">
                  <c:v>1</c:v>
                </c:pt>
                <c:pt idx="7">
                  <c:v>-10</c:v>
                </c:pt>
                <c:pt idx="8">
                  <c:v>-2</c:v>
                </c:pt>
                <c:pt idx="9">
                  <c:v>5</c:v>
                </c:pt>
                <c:pt idx="10">
                  <c:v>11</c:v>
                </c:pt>
                <c:pt idx="11">
                  <c:v>19</c:v>
                </c:pt>
                <c:pt idx="12">
                  <c:v>17</c:v>
                </c:pt>
                <c:pt idx="13">
                  <c:v>11</c:v>
                </c:pt>
                <c:pt idx="14">
                  <c:v>7</c:v>
                </c:pt>
                <c:pt idx="15">
                  <c:v>12</c:v>
                </c:pt>
                <c:pt idx="16">
                  <c:v>17</c:v>
                </c:pt>
                <c:pt idx="17">
                  <c:v>17</c:v>
                </c:pt>
                <c:pt idx="18">
                  <c:v>15</c:v>
                </c:pt>
                <c:pt idx="19">
                  <c:v>16</c:v>
                </c:pt>
                <c:pt idx="20">
                  <c:v>11</c:v>
                </c:pt>
                <c:pt idx="21">
                  <c:v>9</c:v>
                </c:pt>
                <c:pt idx="22">
                  <c:v>6</c:v>
                </c:pt>
                <c:pt idx="23">
                  <c:v>3</c:v>
                </c:pt>
                <c:pt idx="24">
                  <c:v>4</c:v>
                </c:pt>
                <c:pt idx="25">
                  <c:v>3</c:v>
                </c:pt>
                <c:pt idx="26">
                  <c:v>3</c:v>
                </c:pt>
                <c:pt idx="27">
                  <c:v>2</c:v>
                </c:pt>
                <c:pt idx="28">
                  <c:v>13</c:v>
                </c:pt>
                <c:pt idx="29">
                  <c:v>45</c:v>
                </c:pt>
                <c:pt idx="30">
                  <c:v>25</c:v>
                </c:pt>
                <c:pt idx="31">
                  <c:v>-18</c:v>
                </c:pt>
                <c:pt idx="32">
                  <c:v>-54</c:v>
                </c:pt>
                <c:pt idx="33">
                  <c:v>-83</c:v>
                </c:pt>
                <c:pt idx="34">
                  <c:v>-75</c:v>
                </c:pt>
                <c:pt idx="35">
                  <c:v>-54</c:v>
                </c:pt>
                <c:pt idx="36">
                  <c:v>-55</c:v>
                </c:pt>
                <c:pt idx="37">
                  <c:v>-75</c:v>
                </c:pt>
                <c:pt idx="38">
                  <c:v>-93</c:v>
                </c:pt>
                <c:pt idx="39">
                  <c:v>-118</c:v>
                </c:pt>
                <c:pt idx="40">
                  <c:v>-143</c:v>
                </c:pt>
                <c:pt idx="41">
                  <c:v>-162</c:v>
                </c:pt>
                <c:pt idx="42">
                  <c:v>-154</c:v>
                </c:pt>
                <c:pt idx="43">
                  <c:v>-177</c:v>
                </c:pt>
                <c:pt idx="44">
                  <c:v>-182</c:v>
                </c:pt>
                <c:pt idx="45">
                  <c:v>-198</c:v>
                </c:pt>
                <c:pt idx="46">
                  <c:v>-234</c:v>
                </c:pt>
                <c:pt idx="47">
                  <c:v>-225</c:v>
                </c:pt>
                <c:pt idx="48">
                  <c:v>-200</c:v>
                </c:pt>
                <c:pt idx="49">
                  <c:v>-189</c:v>
                </c:pt>
                <c:pt idx="50">
                  <c:v>-172</c:v>
                </c:pt>
                <c:pt idx="51">
                  <c:v>-155</c:v>
                </c:pt>
                <c:pt idx="52">
                  <c:v>-148</c:v>
                </c:pt>
                <c:pt idx="53">
                  <c:v>-136</c:v>
                </c:pt>
                <c:pt idx="54">
                  <c:v>-133</c:v>
                </c:pt>
                <c:pt idx="55">
                  <c:v>-124</c:v>
                </c:pt>
                <c:pt idx="56">
                  <c:v>-123</c:v>
                </c:pt>
                <c:pt idx="57">
                  <c:v>-117</c:v>
                </c:pt>
                <c:pt idx="58">
                  <c:v>-111</c:v>
                </c:pt>
                <c:pt idx="59">
                  <c:v>-99</c:v>
                </c:pt>
                <c:pt idx="60">
                  <c:v>-97</c:v>
                </c:pt>
                <c:pt idx="61">
                  <c:v>-91</c:v>
                </c:pt>
                <c:pt idx="62">
                  <c:v>-88</c:v>
                </c:pt>
                <c:pt idx="63">
                  <c:v>-91</c:v>
                </c:pt>
                <c:pt idx="64">
                  <c:v>-86</c:v>
                </c:pt>
                <c:pt idx="65">
                  <c:v>-82</c:v>
                </c:pt>
                <c:pt idx="66">
                  <c:v>-88</c:v>
                </c:pt>
                <c:pt idx="67">
                  <c:v>-94</c:v>
                </c:pt>
                <c:pt idx="68">
                  <c:v>-95</c:v>
                </c:pt>
                <c:pt idx="69">
                  <c:v>-94</c:v>
                </c:pt>
                <c:pt idx="70">
                  <c:v>-94</c:v>
                </c:pt>
                <c:pt idx="71">
                  <c:v>-93</c:v>
                </c:pt>
              </c:numCache>
            </c:numRef>
          </c:val>
          <c:smooth val="0"/>
          <c:extLst>
            <c:ext xmlns:c16="http://schemas.microsoft.com/office/drawing/2014/chart" uri="{C3380CC4-5D6E-409C-BE32-E72D297353CC}">
              <c16:uniqueId val="{00000001-0AB6-4BA3-8EE3-428756AC8354}"/>
            </c:ext>
          </c:extLst>
        </c:ser>
        <c:dLbls>
          <c:showLegendKey val="0"/>
          <c:showVal val="0"/>
          <c:showCatName val="0"/>
          <c:showSerName val="0"/>
          <c:showPercent val="0"/>
          <c:showBubbleSize val="0"/>
        </c:dLbls>
        <c:marker val="1"/>
        <c:smooth val="0"/>
        <c:axId val="354041776"/>
        <c:axId val="354043344"/>
      </c:lineChart>
      <c:catAx>
        <c:axId val="354043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Local  Time(hours)</a:t>
                </a:r>
                <a:endParaRPr lang="fr-FR">
                  <a:effectLst/>
                </a:endParaRPr>
              </a:p>
            </c:rich>
          </c:tx>
          <c:layout>
            <c:manualLayout>
              <c:xMode val="edge"/>
              <c:yMode val="edge"/>
              <c:x val="0.33637346318552291"/>
              <c:y val="0.809911778648814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042952"/>
        <c:crosses val="autoZero"/>
        <c:auto val="1"/>
        <c:lblAlgn val="ctr"/>
        <c:lblOffset val="100"/>
        <c:noMultiLvlLbl val="0"/>
      </c:catAx>
      <c:valAx>
        <c:axId val="354042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ROTI (tecu/mn)</a:t>
                </a:r>
              </a:p>
            </c:rich>
          </c:tx>
          <c:layout>
            <c:manualLayout>
              <c:xMode val="edge"/>
              <c:yMode val="edge"/>
              <c:x val="1.7259978425026967E-2"/>
              <c:y val="0.300696656615402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043736"/>
        <c:crosses val="autoZero"/>
        <c:crossBetween val="between"/>
      </c:valAx>
      <c:valAx>
        <c:axId val="3540433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Dst(nT)</a:t>
                </a:r>
              </a:p>
            </c:rich>
          </c:tx>
          <c:layout>
            <c:manualLayout>
              <c:xMode val="edge"/>
              <c:yMode val="edge"/>
              <c:x val="0.92576034791767536"/>
              <c:y val="0.380120426123205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041776"/>
        <c:crosses val="max"/>
        <c:crossBetween val="between"/>
      </c:valAx>
      <c:catAx>
        <c:axId val="354041776"/>
        <c:scaling>
          <c:orientation val="minMax"/>
        </c:scaling>
        <c:delete val="1"/>
        <c:axPos val="b"/>
        <c:numFmt formatCode="General" sourceLinked="1"/>
        <c:majorTickMark val="out"/>
        <c:minorTickMark val="none"/>
        <c:tickLblPos val="nextTo"/>
        <c:crossAx val="354043344"/>
        <c:crosses val="autoZero"/>
        <c:auto val="1"/>
        <c:lblAlgn val="ctr"/>
        <c:lblOffset val="100"/>
        <c:noMultiLvlLbl val="0"/>
      </c:catAx>
      <c:spPr>
        <a:noFill/>
        <a:ln>
          <a:noFill/>
        </a:ln>
        <a:effectLst/>
      </c:spPr>
    </c:plotArea>
    <c:legend>
      <c:legendPos val="b"/>
      <c:layout>
        <c:manualLayout>
          <c:xMode val="edge"/>
          <c:yMode val="edge"/>
          <c:x val="0.25085170178970345"/>
          <c:y val="0.89920993453489595"/>
          <c:w val="0.50692658563310655"/>
          <c:h val="9.51514976613263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000" b="0">
                <a:latin typeface="Arial" panose="020B0604020202020204" pitchFamily="34" charset="0"/>
                <a:cs typeface="Arial" panose="020B0604020202020204" pitchFamily="34" charset="0"/>
              </a:rPr>
              <a:t>March 01-02-03,</a:t>
            </a:r>
            <a:r>
              <a:rPr lang="en-US" sz="1000" b="0" baseline="0">
                <a:latin typeface="Arial" panose="020B0604020202020204" pitchFamily="34" charset="0"/>
                <a:cs typeface="Arial" panose="020B0604020202020204" pitchFamily="34" charset="0"/>
              </a:rPr>
              <a:t> </a:t>
            </a:r>
            <a:r>
              <a:rPr lang="en-US" sz="1000" b="0">
                <a:latin typeface="Arial" panose="020B0604020202020204" pitchFamily="34" charset="0"/>
                <a:cs typeface="Arial" panose="020B0604020202020204" pitchFamily="34" charset="0"/>
              </a:rPr>
              <a:t>2013</a:t>
            </a:r>
            <a:r>
              <a:rPr lang="en-US" sz="1000" b="0" baseline="0">
                <a:latin typeface="Arial" panose="020B0604020202020204" pitchFamily="34" charset="0"/>
                <a:cs typeface="Arial" panose="020B0604020202020204" pitchFamily="34" charset="0"/>
              </a:rPr>
              <a:t> BF01</a:t>
            </a:r>
            <a:r>
              <a:rPr lang="en-US" sz="1000" b="0">
                <a:latin typeface="Arial" panose="020B0604020202020204" pitchFamily="34" charset="0"/>
                <a:cs typeface="Arial" panose="020B0604020202020204" pitchFamily="34" charset="0"/>
              </a:rPr>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952078829517763"/>
          <c:y val="0.20841463414634145"/>
          <c:w val="0.60755816151527542"/>
          <c:h val="0.41652583061263676"/>
        </c:manualLayout>
      </c:layout>
      <c:lineChart>
        <c:grouping val="standard"/>
        <c:varyColors val="0"/>
        <c:ser>
          <c:idx val="1"/>
          <c:order val="1"/>
          <c:tx>
            <c:strRef>
              <c:f>Feuil5!$C$1</c:f>
              <c:strCache>
                <c:ptCount val="1"/>
                <c:pt idx="0">
                  <c:v>ROTI BF01</c:v>
                </c:pt>
              </c:strCache>
            </c:strRef>
          </c:tx>
          <c:spPr>
            <a:ln w="12700" cap="rnd">
              <a:solidFill>
                <a:srgbClr val="FF0000"/>
              </a:solidFill>
              <a:round/>
            </a:ln>
            <a:effectLst/>
          </c:spPr>
          <c:marker>
            <c:symbol val="none"/>
          </c:marker>
          <c:cat>
            <c:numRef>
              <c:f>Feuil5!$A$2:$A$73</c:f>
              <c:numCache>
                <c:formatCode>General</c:formatCode>
                <c:ptCount val="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numCache>
            </c:numRef>
          </c:cat>
          <c:val>
            <c:numRef>
              <c:f>Feuil5!$C$2:$C$73</c:f>
              <c:numCache>
                <c:formatCode>General</c:formatCode>
                <c:ptCount val="72"/>
                <c:pt idx="0">
                  <c:v>0.217027</c:v>
                </c:pt>
                <c:pt idx="1">
                  <c:v>8.9041999999999996E-2</c:v>
                </c:pt>
                <c:pt idx="2">
                  <c:v>6.2375E-2</c:v>
                </c:pt>
                <c:pt idx="3">
                  <c:v>3.9383000000000001E-2</c:v>
                </c:pt>
                <c:pt idx="4">
                  <c:v>2.6641999999999999E-2</c:v>
                </c:pt>
                <c:pt idx="5">
                  <c:v>3.5624999999999997E-2</c:v>
                </c:pt>
                <c:pt idx="6">
                  <c:v>4.6657999999999998E-2</c:v>
                </c:pt>
                <c:pt idx="7">
                  <c:v>4.0107999999999998E-2</c:v>
                </c:pt>
                <c:pt idx="8">
                  <c:v>4.9591999999999997E-2</c:v>
                </c:pt>
                <c:pt idx="9">
                  <c:v>3.6674999999999999E-2</c:v>
                </c:pt>
                <c:pt idx="10">
                  <c:v>4.9583000000000002E-2</c:v>
                </c:pt>
                <c:pt idx="11">
                  <c:v>5.9799999999999999E-2</c:v>
                </c:pt>
                <c:pt idx="12">
                  <c:v>4.1442E-2</c:v>
                </c:pt>
                <c:pt idx="13">
                  <c:v>4.8641999999999998E-2</c:v>
                </c:pt>
                <c:pt idx="14">
                  <c:v>4.99E-2</c:v>
                </c:pt>
                <c:pt idx="15">
                  <c:v>4.6975000000000003E-2</c:v>
                </c:pt>
                <c:pt idx="16">
                  <c:v>5.5974999999999997E-2</c:v>
                </c:pt>
                <c:pt idx="17">
                  <c:v>5.8141999999999999E-2</c:v>
                </c:pt>
                <c:pt idx="18">
                  <c:v>7.0557999999999996E-2</c:v>
                </c:pt>
                <c:pt idx="19">
                  <c:v>0.16585</c:v>
                </c:pt>
                <c:pt idx="20">
                  <c:v>0.65811699999999995</c:v>
                </c:pt>
                <c:pt idx="21">
                  <c:v>0.58189999999999997</c:v>
                </c:pt>
                <c:pt idx="22">
                  <c:v>0.46752500000000002</c:v>
                </c:pt>
                <c:pt idx="23">
                  <c:v>0.407891</c:v>
                </c:pt>
                <c:pt idx="24">
                  <c:v>0.271482</c:v>
                </c:pt>
                <c:pt idx="25">
                  <c:v>0.168208</c:v>
                </c:pt>
                <c:pt idx="26">
                  <c:v>0.118725</c:v>
                </c:pt>
                <c:pt idx="27">
                  <c:v>3.4833000000000003E-2</c:v>
                </c:pt>
                <c:pt idx="28">
                  <c:v>3.3692E-2</c:v>
                </c:pt>
                <c:pt idx="29">
                  <c:v>4.1383000000000003E-2</c:v>
                </c:pt>
                <c:pt idx="30">
                  <c:v>5.4975000000000003E-2</c:v>
                </c:pt>
                <c:pt idx="31">
                  <c:v>5.3041999999999999E-2</c:v>
                </c:pt>
                <c:pt idx="32">
                  <c:v>7.1008000000000002E-2</c:v>
                </c:pt>
                <c:pt idx="33">
                  <c:v>5.2574999999999997E-2</c:v>
                </c:pt>
                <c:pt idx="34">
                  <c:v>6.5725000000000006E-2</c:v>
                </c:pt>
                <c:pt idx="35">
                  <c:v>7.9066999999999998E-2</c:v>
                </c:pt>
                <c:pt idx="36">
                  <c:v>5.2317000000000002E-2</c:v>
                </c:pt>
                <c:pt idx="37">
                  <c:v>6.5517000000000006E-2</c:v>
                </c:pt>
                <c:pt idx="38">
                  <c:v>6.3341999999999996E-2</c:v>
                </c:pt>
                <c:pt idx="39">
                  <c:v>6.4642000000000005E-2</c:v>
                </c:pt>
                <c:pt idx="40">
                  <c:v>7.0641999999999996E-2</c:v>
                </c:pt>
                <c:pt idx="41">
                  <c:v>7.3925000000000005E-2</c:v>
                </c:pt>
                <c:pt idx="42">
                  <c:v>0.10456699999999999</c:v>
                </c:pt>
                <c:pt idx="43">
                  <c:v>0.40703299999999998</c:v>
                </c:pt>
                <c:pt idx="44">
                  <c:v>0.70434200000000002</c:v>
                </c:pt>
                <c:pt idx="45">
                  <c:v>0.59723300000000001</c:v>
                </c:pt>
                <c:pt idx="46">
                  <c:v>0.58085799999999999</c:v>
                </c:pt>
                <c:pt idx="47">
                  <c:v>0.29288199999999998</c:v>
                </c:pt>
                <c:pt idx="48">
                  <c:v>9.6854999999999997E-2</c:v>
                </c:pt>
                <c:pt idx="49">
                  <c:v>8.7707999999999994E-2</c:v>
                </c:pt>
                <c:pt idx="50">
                  <c:v>7.1192000000000005E-2</c:v>
                </c:pt>
                <c:pt idx="51">
                  <c:v>2.6957999999999999E-2</c:v>
                </c:pt>
                <c:pt idx="52">
                  <c:v>2.7217000000000002E-2</c:v>
                </c:pt>
                <c:pt idx="53">
                  <c:v>3.9357999999999997E-2</c:v>
                </c:pt>
                <c:pt idx="54">
                  <c:v>5.6875000000000002E-2</c:v>
                </c:pt>
                <c:pt idx="55">
                  <c:v>5.4667E-2</c:v>
                </c:pt>
                <c:pt idx="56">
                  <c:v>7.0999999999999994E-2</c:v>
                </c:pt>
                <c:pt idx="57">
                  <c:v>3.4724999999999999E-2</c:v>
                </c:pt>
                <c:pt idx="58">
                  <c:v>5.6125000000000001E-2</c:v>
                </c:pt>
                <c:pt idx="59">
                  <c:v>7.6883000000000007E-2</c:v>
                </c:pt>
                <c:pt idx="60">
                  <c:v>5.0775000000000001E-2</c:v>
                </c:pt>
                <c:pt idx="61">
                  <c:v>6.9667000000000007E-2</c:v>
                </c:pt>
                <c:pt idx="62">
                  <c:v>8.8724999999999998E-2</c:v>
                </c:pt>
                <c:pt idx="63">
                  <c:v>8.6057999999999996E-2</c:v>
                </c:pt>
                <c:pt idx="64">
                  <c:v>9.2416999999999999E-2</c:v>
                </c:pt>
                <c:pt idx="65">
                  <c:v>7.3224999999999998E-2</c:v>
                </c:pt>
                <c:pt idx="66">
                  <c:v>0.19055800000000001</c:v>
                </c:pt>
                <c:pt idx="67">
                  <c:v>0.52515800000000001</c:v>
                </c:pt>
                <c:pt idx="68">
                  <c:v>0.62404199999999999</c:v>
                </c:pt>
                <c:pt idx="69">
                  <c:v>0.48812499999999998</c:v>
                </c:pt>
                <c:pt idx="70">
                  <c:v>0.55188300000000001</c:v>
                </c:pt>
                <c:pt idx="71">
                  <c:v>0.26941799999999999</c:v>
                </c:pt>
              </c:numCache>
            </c:numRef>
          </c:val>
          <c:smooth val="0"/>
          <c:extLst>
            <c:ext xmlns:c16="http://schemas.microsoft.com/office/drawing/2014/chart" uri="{C3380CC4-5D6E-409C-BE32-E72D297353CC}">
              <c16:uniqueId val="{00000000-7B7D-4797-B4DB-9F774055A662}"/>
            </c:ext>
          </c:extLst>
        </c:ser>
        <c:dLbls>
          <c:showLegendKey val="0"/>
          <c:showVal val="0"/>
          <c:showCatName val="0"/>
          <c:showSerName val="0"/>
          <c:showPercent val="0"/>
          <c:showBubbleSize val="0"/>
        </c:dLbls>
        <c:marker val="1"/>
        <c:smooth val="0"/>
        <c:axId val="234021984"/>
        <c:axId val="234016888"/>
      </c:lineChart>
      <c:lineChart>
        <c:grouping val="standard"/>
        <c:varyColors val="0"/>
        <c:ser>
          <c:idx val="0"/>
          <c:order val="0"/>
          <c:tx>
            <c:strRef>
              <c:f>Feuil5!$B$1</c:f>
              <c:strCache>
                <c:ptCount val="1"/>
                <c:pt idx="0">
                  <c:v>Dst(nT)</c:v>
                </c:pt>
              </c:strCache>
            </c:strRef>
          </c:tx>
          <c:spPr>
            <a:ln w="12700" cap="rnd">
              <a:solidFill>
                <a:schemeClr val="tx1"/>
              </a:solidFill>
              <a:round/>
            </a:ln>
            <a:effectLst/>
          </c:spPr>
          <c:marker>
            <c:symbol val="none"/>
          </c:marker>
          <c:cat>
            <c:numRef>
              <c:f>Feuil5!$A$2:$A$73</c:f>
              <c:numCache>
                <c:formatCode>General</c:formatCode>
                <c:ptCount val="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numCache>
            </c:numRef>
          </c:cat>
          <c:val>
            <c:numRef>
              <c:f>Feuil5!$B$2:$B$73</c:f>
              <c:numCache>
                <c:formatCode>General</c:formatCode>
                <c:ptCount val="72"/>
                <c:pt idx="0">
                  <c:v>10</c:v>
                </c:pt>
                <c:pt idx="1">
                  <c:v>12</c:v>
                </c:pt>
                <c:pt idx="2">
                  <c:v>13</c:v>
                </c:pt>
                <c:pt idx="3">
                  <c:v>13</c:v>
                </c:pt>
                <c:pt idx="4">
                  <c:v>16</c:v>
                </c:pt>
                <c:pt idx="5">
                  <c:v>16</c:v>
                </c:pt>
                <c:pt idx="6">
                  <c:v>18</c:v>
                </c:pt>
                <c:pt idx="7">
                  <c:v>16</c:v>
                </c:pt>
                <c:pt idx="8">
                  <c:v>16</c:v>
                </c:pt>
                <c:pt idx="9">
                  <c:v>16</c:v>
                </c:pt>
                <c:pt idx="10">
                  <c:v>17</c:v>
                </c:pt>
                <c:pt idx="11">
                  <c:v>14</c:v>
                </c:pt>
                <c:pt idx="12">
                  <c:v>13</c:v>
                </c:pt>
                <c:pt idx="13">
                  <c:v>10</c:v>
                </c:pt>
                <c:pt idx="14">
                  <c:v>9</c:v>
                </c:pt>
                <c:pt idx="15">
                  <c:v>3</c:v>
                </c:pt>
                <c:pt idx="16">
                  <c:v>8</c:v>
                </c:pt>
                <c:pt idx="17">
                  <c:v>15</c:v>
                </c:pt>
                <c:pt idx="18">
                  <c:v>15</c:v>
                </c:pt>
                <c:pt idx="19">
                  <c:v>9</c:v>
                </c:pt>
                <c:pt idx="20">
                  <c:v>5</c:v>
                </c:pt>
                <c:pt idx="21">
                  <c:v>-2</c:v>
                </c:pt>
                <c:pt idx="22">
                  <c:v>-7</c:v>
                </c:pt>
                <c:pt idx="23">
                  <c:v>-8</c:v>
                </c:pt>
                <c:pt idx="24">
                  <c:v>-5</c:v>
                </c:pt>
                <c:pt idx="25">
                  <c:v>-3</c:v>
                </c:pt>
                <c:pt idx="26">
                  <c:v>26</c:v>
                </c:pt>
                <c:pt idx="27">
                  <c:v>-10</c:v>
                </c:pt>
                <c:pt idx="28">
                  <c:v>-19</c:v>
                </c:pt>
                <c:pt idx="29">
                  <c:v>-39</c:v>
                </c:pt>
                <c:pt idx="30">
                  <c:v>-68</c:v>
                </c:pt>
                <c:pt idx="31">
                  <c:v>-72</c:v>
                </c:pt>
                <c:pt idx="32">
                  <c:v>-68</c:v>
                </c:pt>
                <c:pt idx="33">
                  <c:v>-62</c:v>
                </c:pt>
                <c:pt idx="34">
                  <c:v>-64</c:v>
                </c:pt>
                <c:pt idx="35">
                  <c:v>-60</c:v>
                </c:pt>
                <c:pt idx="36">
                  <c:v>-64</c:v>
                </c:pt>
                <c:pt idx="37">
                  <c:v>-61</c:v>
                </c:pt>
                <c:pt idx="38">
                  <c:v>-58</c:v>
                </c:pt>
                <c:pt idx="39">
                  <c:v>-55</c:v>
                </c:pt>
                <c:pt idx="40">
                  <c:v>-49</c:v>
                </c:pt>
                <c:pt idx="41">
                  <c:v>-43</c:v>
                </c:pt>
                <c:pt idx="42">
                  <c:v>-42</c:v>
                </c:pt>
                <c:pt idx="43">
                  <c:v>-47</c:v>
                </c:pt>
                <c:pt idx="44">
                  <c:v>-50</c:v>
                </c:pt>
                <c:pt idx="45">
                  <c:v>-54</c:v>
                </c:pt>
                <c:pt idx="46">
                  <c:v>-53</c:v>
                </c:pt>
                <c:pt idx="47">
                  <c:v>-46</c:v>
                </c:pt>
                <c:pt idx="48">
                  <c:v>-46</c:v>
                </c:pt>
                <c:pt idx="49">
                  <c:v>-53</c:v>
                </c:pt>
                <c:pt idx="50">
                  <c:v>-53</c:v>
                </c:pt>
                <c:pt idx="51">
                  <c:v>-50</c:v>
                </c:pt>
                <c:pt idx="52">
                  <c:v>-49</c:v>
                </c:pt>
                <c:pt idx="53">
                  <c:v>-48</c:v>
                </c:pt>
                <c:pt idx="54">
                  <c:v>-46</c:v>
                </c:pt>
                <c:pt idx="55">
                  <c:v>-45</c:v>
                </c:pt>
                <c:pt idx="56">
                  <c:v>-42</c:v>
                </c:pt>
                <c:pt idx="57">
                  <c:v>-39</c:v>
                </c:pt>
                <c:pt idx="58">
                  <c:v>-36</c:v>
                </c:pt>
                <c:pt idx="59">
                  <c:v>-34</c:v>
                </c:pt>
                <c:pt idx="60">
                  <c:v>-34</c:v>
                </c:pt>
                <c:pt idx="61">
                  <c:v>-32</c:v>
                </c:pt>
                <c:pt idx="62">
                  <c:v>-31</c:v>
                </c:pt>
                <c:pt idx="63">
                  <c:v>-26</c:v>
                </c:pt>
                <c:pt idx="64">
                  <c:v>-20</c:v>
                </c:pt>
                <c:pt idx="65">
                  <c:v>-17</c:v>
                </c:pt>
                <c:pt idx="66">
                  <c:v>-15</c:v>
                </c:pt>
                <c:pt idx="67">
                  <c:v>-15</c:v>
                </c:pt>
                <c:pt idx="68">
                  <c:v>-25</c:v>
                </c:pt>
                <c:pt idx="69">
                  <c:v>-25</c:v>
                </c:pt>
                <c:pt idx="70">
                  <c:v>-27</c:v>
                </c:pt>
                <c:pt idx="71">
                  <c:v>-27</c:v>
                </c:pt>
              </c:numCache>
            </c:numRef>
          </c:val>
          <c:smooth val="0"/>
          <c:extLst>
            <c:ext xmlns:c16="http://schemas.microsoft.com/office/drawing/2014/chart" uri="{C3380CC4-5D6E-409C-BE32-E72D297353CC}">
              <c16:uniqueId val="{00000001-7B7D-4797-B4DB-9F774055A662}"/>
            </c:ext>
          </c:extLst>
        </c:ser>
        <c:dLbls>
          <c:showLegendKey val="0"/>
          <c:showVal val="0"/>
          <c:showCatName val="0"/>
          <c:showSerName val="0"/>
          <c:showPercent val="0"/>
          <c:showBubbleSize val="0"/>
        </c:dLbls>
        <c:marker val="1"/>
        <c:smooth val="0"/>
        <c:axId val="234020024"/>
        <c:axId val="234019632"/>
      </c:lineChart>
      <c:catAx>
        <c:axId val="234021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Local Time (hours))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016888"/>
        <c:crosses val="autoZero"/>
        <c:auto val="1"/>
        <c:lblAlgn val="ctr"/>
        <c:lblOffset val="100"/>
        <c:noMultiLvlLbl val="0"/>
      </c:catAx>
      <c:valAx>
        <c:axId val="234016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ROTI (tecu/mn)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021984"/>
        <c:crosses val="autoZero"/>
        <c:crossBetween val="between"/>
      </c:valAx>
      <c:valAx>
        <c:axId val="23401963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Dst(nT)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020024"/>
        <c:crosses val="max"/>
        <c:crossBetween val="between"/>
      </c:valAx>
      <c:catAx>
        <c:axId val="234020024"/>
        <c:scaling>
          <c:orientation val="minMax"/>
        </c:scaling>
        <c:delete val="1"/>
        <c:axPos val="b"/>
        <c:numFmt formatCode="General" sourceLinked="1"/>
        <c:majorTickMark val="out"/>
        <c:minorTickMark val="none"/>
        <c:tickLblPos val="nextTo"/>
        <c:crossAx val="234019632"/>
        <c:crosses val="autoZero"/>
        <c:auto val="1"/>
        <c:lblAlgn val="ctr"/>
        <c:lblOffset val="100"/>
        <c:noMultiLvlLbl val="0"/>
      </c:catAx>
      <c:spPr>
        <a:noFill/>
        <a:ln>
          <a:noFill/>
        </a:ln>
        <a:effectLst/>
      </c:spPr>
    </c:plotArea>
    <c:legend>
      <c:legendPos val="b"/>
      <c:layout>
        <c:manualLayout>
          <c:xMode val="edge"/>
          <c:yMode val="edge"/>
          <c:x val="0.20581323013366237"/>
          <c:y val="0.86051757249855965"/>
          <c:w val="0.65384713205044032"/>
          <c:h val="0.102897061647781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dirty="0">
                <a:latin typeface="Arial" panose="020B0604020202020204" pitchFamily="34" charset="0"/>
                <a:cs typeface="Arial" panose="020B0604020202020204" pitchFamily="34" charset="0"/>
              </a:rPr>
              <a:t>February 26-27-28, 2014 </a:t>
            </a:r>
            <a:r>
              <a:rPr lang="en-US" sz="1000" b="0" baseline="0" dirty="0">
                <a:latin typeface="Arial" panose="020B0604020202020204" pitchFamily="34" charset="0"/>
                <a:cs typeface="Arial" panose="020B0604020202020204" pitchFamily="34" charset="0"/>
              </a:rPr>
              <a:t> BF01</a:t>
            </a:r>
            <a:r>
              <a:rPr lang="en-US" sz="1000" b="0" dirty="0">
                <a:latin typeface="Arial" panose="020B0604020202020204" pitchFamily="34" charset="0"/>
                <a:cs typeface="Arial" panose="020B0604020202020204" pitchFamily="34" charset="0"/>
              </a:rPr>
              <a:t> </a:t>
            </a:r>
          </a:p>
        </c:rich>
      </c:tx>
      <c:layout>
        <c:manualLayout>
          <c:xMode val="edge"/>
          <c:yMode val="edge"/>
          <c:x val="0.17353081179713997"/>
          <c:y val="5.873715124816446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907310074905624"/>
          <c:y val="0.13869541182974021"/>
          <c:w val="0.6057580806177566"/>
          <c:h val="0.53233961426463483"/>
        </c:manualLayout>
      </c:layout>
      <c:lineChart>
        <c:grouping val="standard"/>
        <c:varyColors val="0"/>
        <c:ser>
          <c:idx val="1"/>
          <c:order val="1"/>
          <c:tx>
            <c:strRef>
              <c:f>Feuil4!$C$1</c:f>
              <c:strCache>
                <c:ptCount val="1"/>
                <c:pt idx="0">
                  <c:v>ROTI BF01</c:v>
                </c:pt>
              </c:strCache>
            </c:strRef>
          </c:tx>
          <c:spPr>
            <a:ln w="12700" cap="rnd">
              <a:solidFill>
                <a:srgbClr val="FF0000"/>
              </a:solidFill>
              <a:round/>
            </a:ln>
            <a:effectLst/>
          </c:spPr>
          <c:marker>
            <c:symbol val="none"/>
          </c:marker>
          <c:cat>
            <c:numRef>
              <c:f>Feuil4!$A$2:$A$73</c:f>
              <c:numCache>
                <c:formatCode>General</c:formatCode>
                <c:ptCount val="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numCache>
            </c:numRef>
          </c:cat>
          <c:val>
            <c:numRef>
              <c:f>Feuil4!$C$2:$C$73</c:f>
              <c:numCache>
                <c:formatCode>General</c:formatCode>
                <c:ptCount val="72"/>
                <c:pt idx="0">
                  <c:v>0.56496400000000002</c:v>
                </c:pt>
                <c:pt idx="1">
                  <c:v>0.44440800000000003</c:v>
                </c:pt>
                <c:pt idx="2">
                  <c:v>0.2631</c:v>
                </c:pt>
                <c:pt idx="3">
                  <c:v>0.18549199999999999</c:v>
                </c:pt>
                <c:pt idx="4">
                  <c:v>0.16659199999999999</c:v>
                </c:pt>
                <c:pt idx="5">
                  <c:v>0.11754199999999999</c:v>
                </c:pt>
                <c:pt idx="6">
                  <c:v>8.2233000000000001E-2</c:v>
                </c:pt>
                <c:pt idx="7">
                  <c:v>8.0341999999999997E-2</c:v>
                </c:pt>
                <c:pt idx="8">
                  <c:v>8.1366999999999995E-2</c:v>
                </c:pt>
                <c:pt idx="9">
                  <c:v>0.10850799999999999</c:v>
                </c:pt>
                <c:pt idx="10">
                  <c:v>9.1541999999999998E-2</c:v>
                </c:pt>
                <c:pt idx="11">
                  <c:v>5.5050000000000002E-2</c:v>
                </c:pt>
                <c:pt idx="12">
                  <c:v>7.4933E-2</c:v>
                </c:pt>
                <c:pt idx="13">
                  <c:v>9.7782999999999995E-2</c:v>
                </c:pt>
                <c:pt idx="14">
                  <c:v>9.7600000000000006E-2</c:v>
                </c:pt>
                <c:pt idx="15">
                  <c:v>7.6249999999999998E-2</c:v>
                </c:pt>
                <c:pt idx="16">
                  <c:v>9.5075000000000007E-2</c:v>
                </c:pt>
                <c:pt idx="17">
                  <c:v>6.9282999999999997E-2</c:v>
                </c:pt>
                <c:pt idx="18">
                  <c:v>9.7333000000000003E-2</c:v>
                </c:pt>
                <c:pt idx="19">
                  <c:v>0.112692</c:v>
                </c:pt>
                <c:pt idx="20">
                  <c:v>0.42185800000000001</c:v>
                </c:pt>
                <c:pt idx="21">
                  <c:v>0.66717499999999996</c:v>
                </c:pt>
                <c:pt idx="22">
                  <c:v>0.58065</c:v>
                </c:pt>
                <c:pt idx="23">
                  <c:v>0.37723600000000002</c:v>
                </c:pt>
                <c:pt idx="24">
                  <c:v>0.328318</c:v>
                </c:pt>
                <c:pt idx="25">
                  <c:v>0.53631700000000004</c:v>
                </c:pt>
                <c:pt idx="26">
                  <c:v>0.33710000000000001</c:v>
                </c:pt>
                <c:pt idx="27">
                  <c:v>0.235542</c:v>
                </c:pt>
                <c:pt idx="28">
                  <c:v>0.18346699999999999</c:v>
                </c:pt>
                <c:pt idx="29">
                  <c:v>8.2282999999999995E-2</c:v>
                </c:pt>
                <c:pt idx="30">
                  <c:v>7.0807999999999996E-2</c:v>
                </c:pt>
                <c:pt idx="31">
                  <c:v>7.8899999999999998E-2</c:v>
                </c:pt>
                <c:pt idx="32">
                  <c:v>9.4732999999999998E-2</c:v>
                </c:pt>
                <c:pt idx="33">
                  <c:v>0.11290799999999999</c:v>
                </c:pt>
                <c:pt idx="34">
                  <c:v>9.4392000000000004E-2</c:v>
                </c:pt>
                <c:pt idx="35">
                  <c:v>6.6991999999999996E-2</c:v>
                </c:pt>
                <c:pt idx="36">
                  <c:v>8.4974999999999995E-2</c:v>
                </c:pt>
                <c:pt idx="37">
                  <c:v>0.10385800000000001</c:v>
                </c:pt>
                <c:pt idx="38">
                  <c:v>0.1067</c:v>
                </c:pt>
                <c:pt idx="39">
                  <c:v>8.3000000000000004E-2</c:v>
                </c:pt>
                <c:pt idx="40">
                  <c:v>9.7100000000000006E-2</c:v>
                </c:pt>
                <c:pt idx="41">
                  <c:v>7.6566999999999996E-2</c:v>
                </c:pt>
                <c:pt idx="42">
                  <c:v>0.111217</c:v>
                </c:pt>
                <c:pt idx="43">
                  <c:v>0.68399200000000004</c:v>
                </c:pt>
                <c:pt idx="44">
                  <c:v>0.790767</c:v>
                </c:pt>
                <c:pt idx="45">
                  <c:v>0.49125799999999997</c:v>
                </c:pt>
                <c:pt idx="46">
                  <c:v>0.60573299999999997</c:v>
                </c:pt>
                <c:pt idx="47">
                  <c:v>0.233736</c:v>
                </c:pt>
                <c:pt idx="48">
                  <c:v>0.143655</c:v>
                </c:pt>
                <c:pt idx="49">
                  <c:v>0.13212499999999999</c:v>
                </c:pt>
                <c:pt idx="50">
                  <c:v>0.106767</c:v>
                </c:pt>
                <c:pt idx="51">
                  <c:v>9.2450000000000004E-2</c:v>
                </c:pt>
                <c:pt idx="52">
                  <c:v>0.101158</c:v>
                </c:pt>
                <c:pt idx="53">
                  <c:v>0.119133</c:v>
                </c:pt>
                <c:pt idx="54">
                  <c:v>0.11439199999999999</c:v>
                </c:pt>
                <c:pt idx="55">
                  <c:v>0.10667500000000001</c:v>
                </c:pt>
                <c:pt idx="56">
                  <c:v>0.110583</c:v>
                </c:pt>
                <c:pt idx="57">
                  <c:v>0.127475</c:v>
                </c:pt>
                <c:pt idx="58">
                  <c:v>0.113692</c:v>
                </c:pt>
                <c:pt idx="59">
                  <c:v>7.2317000000000006E-2</c:v>
                </c:pt>
                <c:pt idx="60">
                  <c:v>9.375E-2</c:v>
                </c:pt>
                <c:pt idx="61">
                  <c:v>0.10865</c:v>
                </c:pt>
                <c:pt idx="62">
                  <c:v>0.102425</c:v>
                </c:pt>
                <c:pt idx="63">
                  <c:v>7.5808E-2</c:v>
                </c:pt>
                <c:pt idx="64">
                  <c:v>9.6100000000000005E-2</c:v>
                </c:pt>
                <c:pt idx="65">
                  <c:v>7.0032999999999998E-2</c:v>
                </c:pt>
                <c:pt idx="66">
                  <c:v>0.119308</c:v>
                </c:pt>
                <c:pt idx="67">
                  <c:v>0.62657499999999999</c:v>
                </c:pt>
                <c:pt idx="68">
                  <c:v>1.2452829999999999</c:v>
                </c:pt>
                <c:pt idx="69">
                  <c:v>0.88014999999999999</c:v>
                </c:pt>
                <c:pt idx="70">
                  <c:v>0.60960000000000003</c:v>
                </c:pt>
                <c:pt idx="71">
                  <c:v>0.443691</c:v>
                </c:pt>
              </c:numCache>
            </c:numRef>
          </c:val>
          <c:smooth val="0"/>
          <c:extLst>
            <c:ext xmlns:c16="http://schemas.microsoft.com/office/drawing/2014/chart" uri="{C3380CC4-5D6E-409C-BE32-E72D297353CC}">
              <c16:uniqueId val="{00000000-9723-42A4-9C05-227460D2D835}"/>
            </c:ext>
          </c:extLst>
        </c:ser>
        <c:dLbls>
          <c:showLegendKey val="0"/>
          <c:showVal val="0"/>
          <c:showCatName val="0"/>
          <c:showSerName val="0"/>
          <c:showPercent val="0"/>
          <c:showBubbleSize val="0"/>
        </c:dLbls>
        <c:marker val="1"/>
        <c:smooth val="0"/>
        <c:axId val="234023944"/>
        <c:axId val="234016496"/>
      </c:lineChart>
      <c:lineChart>
        <c:grouping val="standard"/>
        <c:varyColors val="0"/>
        <c:ser>
          <c:idx val="0"/>
          <c:order val="0"/>
          <c:tx>
            <c:strRef>
              <c:f>Feuil4!$B$1</c:f>
              <c:strCache>
                <c:ptCount val="1"/>
                <c:pt idx="0">
                  <c:v>Dst</c:v>
                </c:pt>
              </c:strCache>
            </c:strRef>
          </c:tx>
          <c:spPr>
            <a:ln w="12700" cap="rnd">
              <a:solidFill>
                <a:schemeClr val="tx1"/>
              </a:solidFill>
              <a:round/>
            </a:ln>
            <a:effectLst/>
          </c:spPr>
          <c:marker>
            <c:symbol val="none"/>
          </c:marker>
          <c:cat>
            <c:numRef>
              <c:f>Feuil4!$A$2:$A$73</c:f>
              <c:numCache>
                <c:formatCode>General</c:formatCode>
                <c:ptCount val="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numCache>
            </c:numRef>
          </c:cat>
          <c:val>
            <c:numRef>
              <c:f>Feuil4!$B$2:$B$73</c:f>
              <c:numCache>
                <c:formatCode>General</c:formatCode>
                <c:ptCount val="72"/>
                <c:pt idx="0">
                  <c:v>-12</c:v>
                </c:pt>
                <c:pt idx="1">
                  <c:v>-14</c:v>
                </c:pt>
                <c:pt idx="2">
                  <c:v>-14</c:v>
                </c:pt>
                <c:pt idx="3">
                  <c:v>-11</c:v>
                </c:pt>
                <c:pt idx="4">
                  <c:v>-8</c:v>
                </c:pt>
                <c:pt idx="5">
                  <c:v>-6</c:v>
                </c:pt>
                <c:pt idx="6">
                  <c:v>-6</c:v>
                </c:pt>
                <c:pt idx="7">
                  <c:v>-6</c:v>
                </c:pt>
                <c:pt idx="8">
                  <c:v>-6</c:v>
                </c:pt>
                <c:pt idx="9">
                  <c:v>-4</c:v>
                </c:pt>
                <c:pt idx="10">
                  <c:v>-5</c:v>
                </c:pt>
                <c:pt idx="11">
                  <c:v>-5</c:v>
                </c:pt>
                <c:pt idx="12">
                  <c:v>-6</c:v>
                </c:pt>
                <c:pt idx="13">
                  <c:v>-7</c:v>
                </c:pt>
                <c:pt idx="14">
                  <c:v>-8</c:v>
                </c:pt>
                <c:pt idx="15">
                  <c:v>-9</c:v>
                </c:pt>
                <c:pt idx="16">
                  <c:v>-8</c:v>
                </c:pt>
                <c:pt idx="17">
                  <c:v>-7</c:v>
                </c:pt>
                <c:pt idx="18">
                  <c:v>-8</c:v>
                </c:pt>
                <c:pt idx="19">
                  <c:v>-7</c:v>
                </c:pt>
                <c:pt idx="20">
                  <c:v>-4</c:v>
                </c:pt>
                <c:pt idx="21">
                  <c:v>1</c:v>
                </c:pt>
                <c:pt idx="22">
                  <c:v>5</c:v>
                </c:pt>
                <c:pt idx="23">
                  <c:v>1</c:v>
                </c:pt>
                <c:pt idx="24">
                  <c:v>-1</c:v>
                </c:pt>
                <c:pt idx="25">
                  <c:v>-1</c:v>
                </c:pt>
                <c:pt idx="26">
                  <c:v>-4</c:v>
                </c:pt>
                <c:pt idx="27">
                  <c:v>-8</c:v>
                </c:pt>
                <c:pt idx="28">
                  <c:v>-8</c:v>
                </c:pt>
                <c:pt idx="29">
                  <c:v>-5</c:v>
                </c:pt>
                <c:pt idx="30">
                  <c:v>-5</c:v>
                </c:pt>
                <c:pt idx="31">
                  <c:v>-5</c:v>
                </c:pt>
                <c:pt idx="32">
                  <c:v>-4</c:v>
                </c:pt>
                <c:pt idx="33">
                  <c:v>-3</c:v>
                </c:pt>
                <c:pt idx="34">
                  <c:v>-2</c:v>
                </c:pt>
                <c:pt idx="35">
                  <c:v>-4</c:v>
                </c:pt>
                <c:pt idx="36">
                  <c:v>-11</c:v>
                </c:pt>
                <c:pt idx="37">
                  <c:v>-13</c:v>
                </c:pt>
                <c:pt idx="38">
                  <c:v>-16</c:v>
                </c:pt>
                <c:pt idx="39">
                  <c:v>-20</c:v>
                </c:pt>
                <c:pt idx="40">
                  <c:v>-15</c:v>
                </c:pt>
                <c:pt idx="41">
                  <c:v>-8</c:v>
                </c:pt>
                <c:pt idx="42">
                  <c:v>-19</c:v>
                </c:pt>
                <c:pt idx="43">
                  <c:v>-36</c:v>
                </c:pt>
                <c:pt idx="44">
                  <c:v>-64</c:v>
                </c:pt>
                <c:pt idx="45">
                  <c:v>-94</c:v>
                </c:pt>
                <c:pt idx="46">
                  <c:v>-95</c:v>
                </c:pt>
                <c:pt idx="47">
                  <c:v>-97</c:v>
                </c:pt>
                <c:pt idx="48">
                  <c:v>-93</c:v>
                </c:pt>
                <c:pt idx="49">
                  <c:v>-94</c:v>
                </c:pt>
                <c:pt idx="50">
                  <c:v>-92</c:v>
                </c:pt>
                <c:pt idx="51">
                  <c:v>-81</c:v>
                </c:pt>
                <c:pt idx="52">
                  <c:v>-74</c:v>
                </c:pt>
                <c:pt idx="53">
                  <c:v>-70</c:v>
                </c:pt>
                <c:pt idx="54">
                  <c:v>-67</c:v>
                </c:pt>
                <c:pt idx="55">
                  <c:v>-65</c:v>
                </c:pt>
                <c:pt idx="56">
                  <c:v>-68</c:v>
                </c:pt>
                <c:pt idx="57">
                  <c:v>-62</c:v>
                </c:pt>
                <c:pt idx="58">
                  <c:v>-56</c:v>
                </c:pt>
                <c:pt idx="59">
                  <c:v>-53</c:v>
                </c:pt>
                <c:pt idx="60">
                  <c:v>-56</c:v>
                </c:pt>
                <c:pt idx="61">
                  <c:v>-58</c:v>
                </c:pt>
                <c:pt idx="62">
                  <c:v>-58</c:v>
                </c:pt>
                <c:pt idx="63">
                  <c:v>-56</c:v>
                </c:pt>
                <c:pt idx="64">
                  <c:v>-54</c:v>
                </c:pt>
                <c:pt idx="65">
                  <c:v>-57</c:v>
                </c:pt>
                <c:pt idx="66">
                  <c:v>-50</c:v>
                </c:pt>
                <c:pt idx="67">
                  <c:v>-44</c:v>
                </c:pt>
                <c:pt idx="68">
                  <c:v>-39</c:v>
                </c:pt>
                <c:pt idx="69">
                  <c:v>-36</c:v>
                </c:pt>
                <c:pt idx="70">
                  <c:v>-34</c:v>
                </c:pt>
                <c:pt idx="71">
                  <c:v>-32</c:v>
                </c:pt>
              </c:numCache>
            </c:numRef>
          </c:val>
          <c:smooth val="0"/>
          <c:extLst>
            <c:ext xmlns:c16="http://schemas.microsoft.com/office/drawing/2014/chart" uri="{C3380CC4-5D6E-409C-BE32-E72D297353CC}">
              <c16:uniqueId val="{00000001-9723-42A4-9C05-227460D2D835}"/>
            </c:ext>
          </c:extLst>
        </c:ser>
        <c:dLbls>
          <c:showLegendKey val="0"/>
          <c:showVal val="0"/>
          <c:showCatName val="0"/>
          <c:showSerName val="0"/>
          <c:showPercent val="0"/>
          <c:showBubbleSize val="0"/>
        </c:dLbls>
        <c:marker val="1"/>
        <c:smooth val="0"/>
        <c:axId val="234022768"/>
        <c:axId val="234017280"/>
      </c:lineChart>
      <c:catAx>
        <c:axId val="234023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Local</a:t>
                </a:r>
                <a:r>
                  <a:rPr lang="en-US" baseline="0"/>
                  <a:t> Time (hours)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016496"/>
        <c:crosses val="autoZero"/>
        <c:auto val="1"/>
        <c:lblAlgn val="ctr"/>
        <c:lblOffset val="100"/>
        <c:noMultiLvlLbl val="0"/>
      </c:catAx>
      <c:valAx>
        <c:axId val="23401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ROTI(tecu/mn)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023944"/>
        <c:crosses val="autoZero"/>
        <c:crossBetween val="between"/>
      </c:valAx>
      <c:valAx>
        <c:axId val="2340172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Dst(nT)</a:t>
                </a:r>
              </a:p>
            </c:rich>
          </c:tx>
          <c:layout>
            <c:manualLayout>
              <c:xMode val="edge"/>
              <c:yMode val="edge"/>
              <c:x val="0.91517615713652922"/>
              <c:y val="0.311996012936193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022768"/>
        <c:crosses val="max"/>
        <c:crossBetween val="between"/>
      </c:valAx>
      <c:catAx>
        <c:axId val="234022768"/>
        <c:scaling>
          <c:orientation val="minMax"/>
        </c:scaling>
        <c:delete val="1"/>
        <c:axPos val="b"/>
        <c:numFmt formatCode="General" sourceLinked="1"/>
        <c:majorTickMark val="out"/>
        <c:minorTickMark val="none"/>
        <c:tickLblPos val="nextTo"/>
        <c:crossAx val="234017280"/>
        <c:crosses val="autoZero"/>
        <c:auto val="1"/>
        <c:lblAlgn val="ctr"/>
        <c:lblOffset val="100"/>
        <c:noMultiLvlLbl val="0"/>
      </c:catAx>
      <c:spPr>
        <a:noFill/>
        <a:ln>
          <a:noFill/>
        </a:ln>
        <a:effectLst/>
      </c:spPr>
    </c:plotArea>
    <c:legend>
      <c:legendPos val="b"/>
      <c:layout>
        <c:manualLayout>
          <c:xMode val="edge"/>
          <c:yMode val="edge"/>
          <c:x val="0.27895403187951634"/>
          <c:y val="0.8901320170799546"/>
          <c:w val="0.49246976999411596"/>
          <c:h val="9.32842349930139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a:latin typeface="Arial" panose="020B0604020202020204" pitchFamily="34" charset="0"/>
                <a:cs typeface="Arial" panose="020B0604020202020204" pitchFamily="34" charset="0"/>
              </a:rPr>
              <a:t>June</a:t>
            </a:r>
            <a:r>
              <a:rPr lang="en-US" sz="1000" b="0" baseline="0">
                <a:latin typeface="Arial" panose="020B0604020202020204" pitchFamily="34" charset="0"/>
                <a:cs typeface="Arial" panose="020B0604020202020204" pitchFamily="34" charset="0"/>
              </a:rPr>
              <a:t> </a:t>
            </a:r>
            <a:r>
              <a:rPr lang="en-US" sz="1000" b="0">
                <a:latin typeface="Arial" panose="020B0604020202020204" pitchFamily="34" charset="0"/>
                <a:cs typeface="Arial" panose="020B0604020202020204" pitchFamily="34" charset="0"/>
              </a:rPr>
              <a:t>21-23,</a:t>
            </a:r>
            <a:r>
              <a:rPr lang="en-US" sz="1000" b="0" baseline="0">
                <a:latin typeface="Arial" panose="020B0604020202020204" pitchFamily="34" charset="0"/>
                <a:cs typeface="Arial" panose="020B0604020202020204" pitchFamily="34" charset="0"/>
              </a:rPr>
              <a:t> </a:t>
            </a:r>
            <a:r>
              <a:rPr lang="en-US" sz="1000" b="0">
                <a:latin typeface="Arial" panose="020B0604020202020204" pitchFamily="34" charset="0"/>
                <a:cs typeface="Arial" panose="020B0604020202020204" pitchFamily="34" charset="0"/>
              </a:rPr>
              <a:t>2015</a:t>
            </a:r>
            <a:r>
              <a:rPr lang="en-US" sz="1000" b="0" baseline="0">
                <a:latin typeface="Arial" panose="020B0604020202020204" pitchFamily="34" charset="0"/>
                <a:cs typeface="Arial" panose="020B0604020202020204" pitchFamily="34" charset="0"/>
              </a:rPr>
              <a:t> BF01</a:t>
            </a:r>
            <a:endParaRPr lang="en-US" sz="1000" b="0">
              <a:latin typeface="Arial" panose="020B0604020202020204" pitchFamily="34" charset="0"/>
              <a:cs typeface="Arial" panose="020B0604020202020204" pitchFamily="34" charset="0"/>
            </a:endParaRPr>
          </a:p>
        </c:rich>
      </c:tx>
      <c:layout>
        <c:manualLayout>
          <c:xMode val="edge"/>
          <c:yMode val="edge"/>
          <c:x val="0.1909688361246555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595769646441254"/>
          <c:y val="0.16765010298071376"/>
          <c:w val="0.60237412000675195"/>
          <c:h val="0.48354083098103295"/>
        </c:manualLayout>
      </c:layout>
      <c:lineChart>
        <c:grouping val="standard"/>
        <c:varyColors val="0"/>
        <c:ser>
          <c:idx val="1"/>
          <c:order val="1"/>
          <c:tx>
            <c:strRef>
              <c:f>Feuil3!$C$1</c:f>
              <c:strCache>
                <c:ptCount val="1"/>
                <c:pt idx="0">
                  <c:v>ROTI</c:v>
                </c:pt>
              </c:strCache>
            </c:strRef>
          </c:tx>
          <c:spPr>
            <a:ln w="12700" cap="rnd">
              <a:solidFill>
                <a:srgbClr val="FF0000"/>
              </a:solidFill>
              <a:round/>
            </a:ln>
            <a:effectLst/>
          </c:spPr>
          <c:marker>
            <c:symbol val="none"/>
          </c:marker>
          <c:cat>
            <c:numRef>
              <c:f>Feuil3!$A$2:$A$73</c:f>
              <c:numCache>
                <c:formatCode>General</c:formatCode>
                <c:ptCount val="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numCache>
            </c:numRef>
          </c:cat>
          <c:val>
            <c:numRef>
              <c:f>Feuil3!$C$2:$C$73</c:f>
              <c:numCache>
                <c:formatCode>General</c:formatCode>
                <c:ptCount val="72"/>
                <c:pt idx="0">
                  <c:v>4.9399999999999999E-2</c:v>
                </c:pt>
                <c:pt idx="1">
                  <c:v>3.7916999999999999E-2</c:v>
                </c:pt>
                <c:pt idx="2">
                  <c:v>3.1099999999999999E-2</c:v>
                </c:pt>
                <c:pt idx="3">
                  <c:v>2.6266999999999999E-2</c:v>
                </c:pt>
                <c:pt idx="4">
                  <c:v>2.6724999999999999E-2</c:v>
                </c:pt>
                <c:pt idx="5">
                  <c:v>4.0075E-2</c:v>
                </c:pt>
                <c:pt idx="6">
                  <c:v>4.8133000000000002E-2</c:v>
                </c:pt>
                <c:pt idx="7">
                  <c:v>4.1349999999999998E-2</c:v>
                </c:pt>
                <c:pt idx="8">
                  <c:v>4.4642000000000001E-2</c:v>
                </c:pt>
                <c:pt idx="9">
                  <c:v>5.6217000000000003E-2</c:v>
                </c:pt>
                <c:pt idx="10">
                  <c:v>4.6074999999999998E-2</c:v>
                </c:pt>
                <c:pt idx="11">
                  <c:v>4.5475000000000002E-2</c:v>
                </c:pt>
                <c:pt idx="12">
                  <c:v>4.9399999999999999E-2</c:v>
                </c:pt>
                <c:pt idx="13">
                  <c:v>5.5982999999999998E-2</c:v>
                </c:pt>
                <c:pt idx="14">
                  <c:v>4.4541999999999998E-2</c:v>
                </c:pt>
                <c:pt idx="15">
                  <c:v>5.2817000000000003E-2</c:v>
                </c:pt>
                <c:pt idx="16">
                  <c:v>5.9275000000000001E-2</c:v>
                </c:pt>
                <c:pt idx="17">
                  <c:v>4.4416999999999998E-2</c:v>
                </c:pt>
                <c:pt idx="18">
                  <c:v>4.8391999999999998E-2</c:v>
                </c:pt>
                <c:pt idx="19">
                  <c:v>6.2941999999999998E-2</c:v>
                </c:pt>
                <c:pt idx="20">
                  <c:v>4.9000000000000002E-2</c:v>
                </c:pt>
                <c:pt idx="21">
                  <c:v>3.8366999999999998E-2</c:v>
                </c:pt>
                <c:pt idx="22">
                  <c:v>3.5049999999999998E-2</c:v>
                </c:pt>
                <c:pt idx="23">
                  <c:v>3.2781999999999999E-2</c:v>
                </c:pt>
                <c:pt idx="24">
                  <c:v>3.4518E-2</c:v>
                </c:pt>
                <c:pt idx="25">
                  <c:v>3.9350000000000003E-2</c:v>
                </c:pt>
                <c:pt idx="26">
                  <c:v>2.9766999999999998E-2</c:v>
                </c:pt>
                <c:pt idx="27">
                  <c:v>2.6733E-2</c:v>
                </c:pt>
                <c:pt idx="28">
                  <c:v>2.5592E-2</c:v>
                </c:pt>
                <c:pt idx="29">
                  <c:v>4.2000000000000003E-2</c:v>
                </c:pt>
                <c:pt idx="30">
                  <c:v>5.4282999999999998E-2</c:v>
                </c:pt>
                <c:pt idx="31">
                  <c:v>4.4124999999999998E-2</c:v>
                </c:pt>
                <c:pt idx="32">
                  <c:v>4.8066999999999999E-2</c:v>
                </c:pt>
                <c:pt idx="33">
                  <c:v>4.6574999999999998E-2</c:v>
                </c:pt>
                <c:pt idx="34">
                  <c:v>5.0341999999999998E-2</c:v>
                </c:pt>
                <c:pt idx="35">
                  <c:v>4.9432999999999998E-2</c:v>
                </c:pt>
                <c:pt idx="36">
                  <c:v>5.0783000000000002E-2</c:v>
                </c:pt>
                <c:pt idx="37">
                  <c:v>5.4850000000000003E-2</c:v>
                </c:pt>
                <c:pt idx="38">
                  <c:v>4.3999999999999997E-2</c:v>
                </c:pt>
                <c:pt idx="39">
                  <c:v>5.3366999999999998E-2</c:v>
                </c:pt>
                <c:pt idx="40">
                  <c:v>5.7983E-2</c:v>
                </c:pt>
                <c:pt idx="41">
                  <c:v>4.6233000000000003E-2</c:v>
                </c:pt>
                <c:pt idx="42">
                  <c:v>6.5782999999999994E-2</c:v>
                </c:pt>
                <c:pt idx="43">
                  <c:v>0.54610800000000004</c:v>
                </c:pt>
                <c:pt idx="44">
                  <c:v>0.222717</c:v>
                </c:pt>
                <c:pt idx="45">
                  <c:v>0.19744200000000001</c:v>
                </c:pt>
                <c:pt idx="46">
                  <c:v>0.14799999999999999</c:v>
                </c:pt>
                <c:pt idx="47">
                  <c:v>7.0972999999999994E-2</c:v>
                </c:pt>
                <c:pt idx="48">
                  <c:v>3.7045000000000002E-2</c:v>
                </c:pt>
                <c:pt idx="49">
                  <c:v>4.0550000000000003E-2</c:v>
                </c:pt>
                <c:pt idx="50">
                  <c:v>3.9675000000000002E-2</c:v>
                </c:pt>
                <c:pt idx="51">
                  <c:v>3.6642000000000001E-2</c:v>
                </c:pt>
                <c:pt idx="52">
                  <c:v>7.0992E-2</c:v>
                </c:pt>
                <c:pt idx="53">
                  <c:v>7.2249999999999995E-2</c:v>
                </c:pt>
                <c:pt idx="54">
                  <c:v>5.5324999999999999E-2</c:v>
                </c:pt>
                <c:pt idx="55">
                  <c:v>4.0899999999999999E-2</c:v>
                </c:pt>
                <c:pt idx="56">
                  <c:v>4.8732999999999999E-2</c:v>
                </c:pt>
                <c:pt idx="57">
                  <c:v>5.1392E-2</c:v>
                </c:pt>
                <c:pt idx="58">
                  <c:v>5.8291999999999997E-2</c:v>
                </c:pt>
                <c:pt idx="59">
                  <c:v>6.1392000000000002E-2</c:v>
                </c:pt>
                <c:pt idx="60">
                  <c:v>5.7000000000000002E-2</c:v>
                </c:pt>
                <c:pt idx="61">
                  <c:v>6.9057999999999994E-2</c:v>
                </c:pt>
                <c:pt idx="62">
                  <c:v>4.2766999999999999E-2</c:v>
                </c:pt>
                <c:pt idx="63">
                  <c:v>5.57E-2</c:v>
                </c:pt>
                <c:pt idx="64">
                  <c:v>4.9708000000000002E-2</c:v>
                </c:pt>
                <c:pt idx="65">
                  <c:v>4.1732999999999999E-2</c:v>
                </c:pt>
                <c:pt idx="66">
                  <c:v>5.5958000000000001E-2</c:v>
                </c:pt>
                <c:pt idx="67">
                  <c:v>6.6017000000000006E-2</c:v>
                </c:pt>
                <c:pt idx="68">
                  <c:v>4.3158000000000002E-2</c:v>
                </c:pt>
                <c:pt idx="69">
                  <c:v>3.2867E-2</c:v>
                </c:pt>
                <c:pt idx="70">
                  <c:v>3.1399999999999997E-2</c:v>
                </c:pt>
                <c:pt idx="71">
                  <c:v>3.7655000000000001E-2</c:v>
                </c:pt>
              </c:numCache>
            </c:numRef>
          </c:val>
          <c:smooth val="1"/>
          <c:extLst>
            <c:ext xmlns:c16="http://schemas.microsoft.com/office/drawing/2014/chart" uri="{C3380CC4-5D6E-409C-BE32-E72D297353CC}">
              <c16:uniqueId val="{00000000-81D3-4BD9-B1E6-C55306DA23F9}"/>
            </c:ext>
          </c:extLst>
        </c:ser>
        <c:dLbls>
          <c:showLegendKey val="0"/>
          <c:showVal val="0"/>
          <c:showCatName val="0"/>
          <c:showSerName val="0"/>
          <c:showPercent val="0"/>
          <c:showBubbleSize val="0"/>
        </c:dLbls>
        <c:marker val="1"/>
        <c:smooth val="0"/>
        <c:axId val="360756504"/>
        <c:axId val="360750624"/>
      </c:lineChart>
      <c:lineChart>
        <c:grouping val="standard"/>
        <c:varyColors val="0"/>
        <c:ser>
          <c:idx val="0"/>
          <c:order val="0"/>
          <c:tx>
            <c:strRef>
              <c:f>Feuil3!$B$1</c:f>
              <c:strCache>
                <c:ptCount val="1"/>
                <c:pt idx="0">
                  <c:v>Dst(nT)</c:v>
                </c:pt>
              </c:strCache>
            </c:strRef>
          </c:tx>
          <c:spPr>
            <a:ln w="12700" cap="rnd">
              <a:solidFill>
                <a:schemeClr val="tx1"/>
              </a:solidFill>
              <a:round/>
            </a:ln>
            <a:effectLst/>
          </c:spPr>
          <c:marker>
            <c:symbol val="none"/>
          </c:marker>
          <c:cat>
            <c:numRef>
              <c:f>Feuil3!$A$2:$A$73</c:f>
              <c:numCache>
                <c:formatCode>General</c:formatCode>
                <c:ptCount val="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numCache>
            </c:numRef>
          </c:cat>
          <c:val>
            <c:numRef>
              <c:f>Feuil3!$B$2:$B$73</c:f>
              <c:numCache>
                <c:formatCode>General</c:formatCode>
                <c:ptCount val="72"/>
                <c:pt idx="0">
                  <c:v>7</c:v>
                </c:pt>
                <c:pt idx="1">
                  <c:v>4</c:v>
                </c:pt>
                <c:pt idx="2">
                  <c:v>4</c:v>
                </c:pt>
                <c:pt idx="3">
                  <c:v>7</c:v>
                </c:pt>
                <c:pt idx="4">
                  <c:v>7</c:v>
                </c:pt>
                <c:pt idx="5">
                  <c:v>6</c:v>
                </c:pt>
                <c:pt idx="6">
                  <c:v>5</c:v>
                </c:pt>
                <c:pt idx="7">
                  <c:v>4</c:v>
                </c:pt>
                <c:pt idx="8">
                  <c:v>6</c:v>
                </c:pt>
                <c:pt idx="9">
                  <c:v>7</c:v>
                </c:pt>
                <c:pt idx="10">
                  <c:v>7</c:v>
                </c:pt>
                <c:pt idx="11">
                  <c:v>7</c:v>
                </c:pt>
                <c:pt idx="12">
                  <c:v>9</c:v>
                </c:pt>
                <c:pt idx="13">
                  <c:v>9</c:v>
                </c:pt>
                <c:pt idx="14">
                  <c:v>8</c:v>
                </c:pt>
                <c:pt idx="15">
                  <c:v>7</c:v>
                </c:pt>
                <c:pt idx="16">
                  <c:v>14</c:v>
                </c:pt>
                <c:pt idx="17">
                  <c:v>40</c:v>
                </c:pt>
                <c:pt idx="18">
                  <c:v>42</c:v>
                </c:pt>
                <c:pt idx="19">
                  <c:v>39</c:v>
                </c:pt>
                <c:pt idx="20">
                  <c:v>30</c:v>
                </c:pt>
                <c:pt idx="21">
                  <c:v>29</c:v>
                </c:pt>
                <c:pt idx="22">
                  <c:v>21</c:v>
                </c:pt>
                <c:pt idx="23">
                  <c:v>18</c:v>
                </c:pt>
                <c:pt idx="24">
                  <c:v>13</c:v>
                </c:pt>
                <c:pt idx="25">
                  <c:v>13</c:v>
                </c:pt>
                <c:pt idx="26">
                  <c:v>14</c:v>
                </c:pt>
                <c:pt idx="27">
                  <c:v>14</c:v>
                </c:pt>
                <c:pt idx="28">
                  <c:v>14</c:v>
                </c:pt>
                <c:pt idx="29">
                  <c:v>18</c:v>
                </c:pt>
                <c:pt idx="30">
                  <c:v>20</c:v>
                </c:pt>
                <c:pt idx="31">
                  <c:v>12</c:v>
                </c:pt>
                <c:pt idx="32">
                  <c:v>13</c:v>
                </c:pt>
                <c:pt idx="33">
                  <c:v>5</c:v>
                </c:pt>
                <c:pt idx="34">
                  <c:v>3</c:v>
                </c:pt>
                <c:pt idx="35">
                  <c:v>9</c:v>
                </c:pt>
                <c:pt idx="36">
                  <c:v>6</c:v>
                </c:pt>
                <c:pt idx="37">
                  <c:v>1</c:v>
                </c:pt>
                <c:pt idx="38">
                  <c:v>-12</c:v>
                </c:pt>
                <c:pt idx="39">
                  <c:v>-28</c:v>
                </c:pt>
                <c:pt idx="40">
                  <c:v>-46</c:v>
                </c:pt>
                <c:pt idx="41">
                  <c:v>-35</c:v>
                </c:pt>
                <c:pt idx="42">
                  <c:v>-2</c:v>
                </c:pt>
                <c:pt idx="43">
                  <c:v>-47</c:v>
                </c:pt>
                <c:pt idx="44">
                  <c:v>-114</c:v>
                </c:pt>
                <c:pt idx="45">
                  <c:v>-100</c:v>
                </c:pt>
                <c:pt idx="46">
                  <c:v>-91</c:v>
                </c:pt>
                <c:pt idx="47">
                  <c:v>-96</c:v>
                </c:pt>
                <c:pt idx="48">
                  <c:v>-95</c:v>
                </c:pt>
                <c:pt idx="49">
                  <c:v>-126</c:v>
                </c:pt>
                <c:pt idx="50">
                  <c:v>-141</c:v>
                </c:pt>
                <c:pt idx="51">
                  <c:v>-174</c:v>
                </c:pt>
                <c:pt idx="52">
                  <c:v>-198</c:v>
                </c:pt>
                <c:pt idx="53">
                  <c:v>-179</c:v>
                </c:pt>
                <c:pt idx="54">
                  <c:v>-171</c:v>
                </c:pt>
                <c:pt idx="55">
                  <c:v>-153</c:v>
                </c:pt>
                <c:pt idx="56">
                  <c:v>-153</c:v>
                </c:pt>
                <c:pt idx="57">
                  <c:v>-153</c:v>
                </c:pt>
                <c:pt idx="58">
                  <c:v>-149</c:v>
                </c:pt>
                <c:pt idx="59">
                  <c:v>-137</c:v>
                </c:pt>
                <c:pt idx="60">
                  <c:v>-131</c:v>
                </c:pt>
                <c:pt idx="61">
                  <c:v>-122</c:v>
                </c:pt>
                <c:pt idx="62">
                  <c:v>-106</c:v>
                </c:pt>
                <c:pt idx="63">
                  <c:v>-108</c:v>
                </c:pt>
                <c:pt idx="64">
                  <c:v>-105</c:v>
                </c:pt>
                <c:pt idx="65">
                  <c:v>-104</c:v>
                </c:pt>
                <c:pt idx="66">
                  <c:v>-91</c:v>
                </c:pt>
                <c:pt idx="67">
                  <c:v>-82</c:v>
                </c:pt>
                <c:pt idx="68">
                  <c:v>-91</c:v>
                </c:pt>
                <c:pt idx="69">
                  <c:v>-94</c:v>
                </c:pt>
                <c:pt idx="70">
                  <c:v>-96</c:v>
                </c:pt>
                <c:pt idx="71">
                  <c:v>-88</c:v>
                </c:pt>
              </c:numCache>
            </c:numRef>
          </c:val>
          <c:smooth val="1"/>
          <c:extLst>
            <c:ext xmlns:c16="http://schemas.microsoft.com/office/drawing/2014/chart" uri="{C3380CC4-5D6E-409C-BE32-E72D297353CC}">
              <c16:uniqueId val="{00000001-81D3-4BD9-B1E6-C55306DA23F9}"/>
            </c:ext>
          </c:extLst>
        </c:ser>
        <c:dLbls>
          <c:showLegendKey val="0"/>
          <c:showVal val="0"/>
          <c:showCatName val="0"/>
          <c:showSerName val="0"/>
          <c:showPercent val="0"/>
          <c:showBubbleSize val="0"/>
        </c:dLbls>
        <c:marker val="1"/>
        <c:smooth val="0"/>
        <c:axId val="360752976"/>
        <c:axId val="360751408"/>
      </c:lineChart>
      <c:catAx>
        <c:axId val="360756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Local</a:t>
                </a:r>
                <a:r>
                  <a:rPr lang="en-US" baseline="0"/>
                  <a:t> Time (hours)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750624"/>
        <c:crosses val="autoZero"/>
        <c:auto val="1"/>
        <c:lblAlgn val="ctr"/>
        <c:lblOffset val="100"/>
        <c:noMultiLvlLbl val="0"/>
      </c:catAx>
      <c:valAx>
        <c:axId val="360750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ROTI(TECU/mn)</a:t>
                </a:r>
              </a:p>
            </c:rich>
          </c:tx>
          <c:layout>
            <c:manualLayout>
              <c:xMode val="edge"/>
              <c:yMode val="edge"/>
              <c:x val="3.1372549019607843E-2"/>
              <c:y val="0.307404255319148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756504"/>
        <c:crossesAt val="1"/>
        <c:crossBetween val="between"/>
      </c:valAx>
      <c:valAx>
        <c:axId val="3607514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Dst(nT)</a:t>
                </a:r>
              </a:p>
              <a:p>
                <a:pPr>
                  <a:defRPr/>
                </a:pPr>
                <a:endParaRPr lang="fr-FR"/>
              </a:p>
            </c:rich>
          </c:tx>
          <c:layout>
            <c:manualLayout>
              <c:xMode val="edge"/>
              <c:yMode val="edge"/>
              <c:x val="0.89250980392156865"/>
              <c:y val="0.352681297816496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752976"/>
        <c:crosses val="max"/>
        <c:crossBetween val="between"/>
      </c:valAx>
      <c:catAx>
        <c:axId val="360752976"/>
        <c:scaling>
          <c:orientation val="minMax"/>
        </c:scaling>
        <c:delete val="1"/>
        <c:axPos val="b"/>
        <c:numFmt formatCode="General" sourceLinked="1"/>
        <c:majorTickMark val="out"/>
        <c:minorTickMark val="none"/>
        <c:tickLblPos val="nextTo"/>
        <c:crossAx val="360751408"/>
        <c:crosses val="autoZero"/>
        <c:auto val="1"/>
        <c:lblAlgn val="ctr"/>
        <c:lblOffset val="100"/>
        <c:noMultiLvlLbl val="0"/>
      </c:catAx>
      <c:spPr>
        <a:noFill/>
        <a:ln>
          <a:noFill/>
        </a:ln>
        <a:effectLst/>
      </c:spPr>
    </c:plotArea>
    <c:legend>
      <c:legendPos val="b"/>
      <c:layout>
        <c:manualLayout>
          <c:xMode val="edge"/>
          <c:yMode val="edge"/>
          <c:x val="0.29198626512580561"/>
          <c:y val="0.90346776157469844"/>
          <c:w val="0.43362420873861357"/>
          <c:h val="9.57453509800636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0.04859</cdr:x>
      <cdr:y>0.82031</cdr:y>
    </cdr:from>
    <cdr:to>
      <cdr:x>0.22748</cdr:x>
      <cdr:y>1</cdr:y>
    </cdr:to>
    <cdr:sp macro="" textlink="">
      <cdr:nvSpPr>
        <cdr:cNvPr id="2" name="Zone de texte 5"/>
        <cdr:cNvSpPr txBox="1"/>
      </cdr:nvSpPr>
      <cdr:spPr>
        <a:xfrm xmlns:a="http://schemas.openxmlformats.org/drawingml/2006/main">
          <a:off x="143510" y="1945005"/>
          <a:ext cx="528320" cy="40005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fr-FR" sz="1800" b="1">
              <a:effectLst/>
              <a:latin typeface="Calibri" panose="020F0502020204030204" pitchFamily="34" charset="0"/>
              <a:ea typeface="Calibri" panose="020F0502020204030204" pitchFamily="34" charset="0"/>
              <a:cs typeface="Times New Roman" panose="02020603050405020304" pitchFamily="18" charset="0"/>
            </a:rPr>
            <a:t>(b)</a:t>
          </a:r>
          <a:endParaRPr lang="fr-F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0.04956</cdr:x>
      <cdr:y>0.81498</cdr:y>
    </cdr:from>
    <cdr:to>
      <cdr:x>0.23202</cdr:x>
      <cdr:y>1</cdr:y>
    </cdr:to>
    <cdr:sp macro="" textlink="">
      <cdr:nvSpPr>
        <cdr:cNvPr id="2" name="Zone de texte 5"/>
        <cdr:cNvSpPr txBox="1"/>
      </cdr:nvSpPr>
      <cdr:spPr>
        <a:xfrm xmlns:a="http://schemas.openxmlformats.org/drawingml/2006/main">
          <a:off x="143510" y="1945005"/>
          <a:ext cx="528320" cy="40005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fr-FR" sz="1800" b="1">
              <a:effectLst/>
              <a:latin typeface="Calibri" panose="020F0502020204030204" pitchFamily="34" charset="0"/>
              <a:ea typeface="Calibri" panose="020F0502020204030204" pitchFamily="34" charset="0"/>
              <a:cs typeface="Times New Roman" panose="02020603050405020304" pitchFamily="18" charset="0"/>
            </a:rPr>
            <a:t>(c)</a:t>
          </a:r>
          <a:endParaRPr lang="fr-F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0.04932</cdr:x>
      <cdr:y>0.80793</cdr:y>
    </cdr:from>
    <cdr:to>
      <cdr:x>0.2309</cdr:x>
      <cdr:y>1</cdr:y>
    </cdr:to>
    <cdr:sp macro="" textlink="">
      <cdr:nvSpPr>
        <cdr:cNvPr id="2" name="Zone de texte 5"/>
        <cdr:cNvSpPr txBox="1"/>
      </cdr:nvSpPr>
      <cdr:spPr>
        <a:xfrm xmlns:a="http://schemas.openxmlformats.org/drawingml/2006/main">
          <a:off x="143510" y="1945005"/>
          <a:ext cx="528320" cy="40005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fr-FR" sz="1800" b="1">
              <a:effectLst/>
              <a:latin typeface="Calibri" panose="020F0502020204030204" pitchFamily="34" charset="0"/>
              <a:ea typeface="Calibri" panose="020F0502020204030204" pitchFamily="34" charset="0"/>
              <a:cs typeface="Times New Roman" panose="02020603050405020304" pitchFamily="18" charset="0"/>
            </a:rPr>
            <a:t>(d)</a:t>
          </a:r>
          <a:endParaRPr lang="fr-F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0.04744</cdr:x>
      <cdr:y>0.82587</cdr:y>
    </cdr:from>
    <cdr:to>
      <cdr:x>0.22208</cdr:x>
      <cdr:y>1</cdr:y>
    </cdr:to>
    <cdr:sp macro="" textlink="">
      <cdr:nvSpPr>
        <cdr:cNvPr id="2" name="Zone de texte 5"/>
        <cdr:cNvSpPr txBox="1"/>
      </cdr:nvSpPr>
      <cdr:spPr>
        <a:xfrm xmlns:a="http://schemas.openxmlformats.org/drawingml/2006/main">
          <a:off x="143510" y="1945005"/>
          <a:ext cx="528320" cy="40005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fr-FR" sz="1800" b="1">
              <a:effectLst/>
              <a:latin typeface="Calibri" panose="020F0502020204030204" pitchFamily="34" charset="0"/>
              <a:ea typeface="Calibri" panose="020F0502020204030204" pitchFamily="34" charset="0"/>
              <a:cs typeface="Times New Roman" panose="02020603050405020304" pitchFamily="18" charset="0"/>
            </a:rPr>
            <a:t>(e)</a:t>
          </a:r>
          <a:endParaRPr lang="fr-F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0.0475</cdr:x>
      <cdr:y>0.81205</cdr:y>
    </cdr:from>
    <cdr:to>
      <cdr:x>0.22236</cdr:x>
      <cdr:y>1</cdr:y>
    </cdr:to>
    <cdr:sp macro="" textlink="">
      <cdr:nvSpPr>
        <cdr:cNvPr id="2" name="Zone de texte 5"/>
        <cdr:cNvSpPr txBox="1"/>
      </cdr:nvSpPr>
      <cdr:spPr>
        <a:xfrm xmlns:a="http://schemas.openxmlformats.org/drawingml/2006/main">
          <a:off x="143510" y="1945005"/>
          <a:ext cx="528320" cy="40005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fr-FR" sz="1800" b="1">
              <a:effectLst/>
              <a:latin typeface="Calibri" panose="020F0502020204030204" pitchFamily="34" charset="0"/>
              <a:ea typeface="Calibri" panose="020F0502020204030204" pitchFamily="34" charset="0"/>
              <a:cs typeface="Times New Roman" panose="02020603050405020304" pitchFamily="18" charset="0"/>
            </a:rPr>
            <a:t>(f)</a:t>
          </a:r>
          <a:endParaRPr lang="fr-F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2066</TotalTime>
  <Pages>14</Pages>
  <Words>4525</Words>
  <Characters>25796</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1020</cp:lastModifiedBy>
  <cp:revision>69</cp:revision>
  <dcterms:created xsi:type="dcterms:W3CDTF">2025-10-15T16:34:00Z</dcterms:created>
  <dcterms:modified xsi:type="dcterms:W3CDTF">2025-11-06T04:54:00Z</dcterms:modified>
</cp:coreProperties>
</file>