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01318" w14:textId="77777777" w:rsidR="009F406C" w:rsidRPr="009F406C" w:rsidRDefault="009F406C" w:rsidP="009F406C">
      <w:pPr>
        <w:jc w:val="center"/>
        <w:rPr>
          <w:rFonts w:ascii="Times New Roman" w:hAnsi="Times New Roman" w:cs="Times New Roman"/>
          <w:b/>
          <w:bCs/>
          <w:i/>
          <w:iCs/>
          <w:u w:val="single"/>
        </w:rPr>
      </w:pPr>
      <w:r w:rsidRPr="009F406C">
        <w:rPr>
          <w:rFonts w:ascii="Times New Roman" w:hAnsi="Times New Roman" w:cs="Times New Roman"/>
          <w:b/>
          <w:bCs/>
          <w:i/>
          <w:iCs/>
          <w:u w:val="single"/>
        </w:rPr>
        <w:t>Review Article</w:t>
      </w:r>
    </w:p>
    <w:p w14:paraId="0480BF33" w14:textId="77777777" w:rsidR="00D26E92" w:rsidRPr="00837D74" w:rsidRDefault="00D26E92" w:rsidP="00D26E92">
      <w:pPr>
        <w:jc w:val="center"/>
        <w:rPr>
          <w:rFonts w:ascii="Times New Roman" w:hAnsi="Times New Roman" w:cs="Times New Roman"/>
          <w:b/>
          <w:bCs/>
        </w:rPr>
      </w:pPr>
      <w:r w:rsidRPr="00837D74">
        <w:rPr>
          <w:rFonts w:ascii="Times New Roman" w:hAnsi="Times New Roman" w:cs="Times New Roman"/>
          <w:b/>
          <w:bCs/>
        </w:rPr>
        <w:t xml:space="preserve">The Malnutrition–Infection Syndemic in Katsina State, Nigeria: Unravelling the Drivers and </w:t>
      </w:r>
      <w:proofErr w:type="spellStart"/>
      <w:r w:rsidRPr="00837D74">
        <w:rPr>
          <w:rFonts w:ascii="Times New Roman" w:hAnsi="Times New Roman" w:cs="Times New Roman"/>
          <w:b/>
          <w:bCs/>
        </w:rPr>
        <w:t>Catalysing</w:t>
      </w:r>
      <w:proofErr w:type="spellEnd"/>
      <w:r w:rsidRPr="00837D74">
        <w:rPr>
          <w:rFonts w:ascii="Times New Roman" w:hAnsi="Times New Roman" w:cs="Times New Roman"/>
          <w:b/>
          <w:bCs/>
        </w:rPr>
        <w:t xml:space="preserve"> Multi-Sectoral Public Health Action</w:t>
      </w:r>
    </w:p>
    <w:p w14:paraId="3844F659" w14:textId="77777777" w:rsidR="00D26E92" w:rsidRDefault="00D26E92" w:rsidP="00D26E92">
      <w:pPr>
        <w:jc w:val="center"/>
        <w:rPr>
          <w:rFonts w:ascii="Times New Roman" w:hAnsi="Times New Roman" w:cs="Times New Roman"/>
          <w:b/>
          <w:bCs/>
        </w:rPr>
      </w:pPr>
    </w:p>
    <w:p w14:paraId="0939AA6A"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b/>
          <w:bCs/>
        </w:rPr>
        <w:t>Abstract</w:t>
      </w:r>
    </w:p>
    <w:p w14:paraId="044B5032"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b/>
          <w:bCs/>
        </w:rPr>
        <w:t>Background:</w:t>
      </w:r>
      <w:r w:rsidRPr="0034066E">
        <w:rPr>
          <w:rFonts w:ascii="Times New Roman" w:hAnsi="Times New Roman" w:cs="Times New Roman"/>
        </w:rPr>
        <w:t> Northern Nigeria, particularly Katsina State, bears a disproportionate burden of child malnutrition and infectious diseases. These conditions interact synergistically within a syndemic framework, exacerbated by social and environmental inequities, leading to worse outcomes than if they occurred independently.</w:t>
      </w:r>
      <w:r w:rsidRPr="0034066E">
        <w:rPr>
          <w:rFonts w:ascii="Times New Roman" w:hAnsi="Times New Roman" w:cs="Times New Roman"/>
        </w:rPr>
        <w:br/>
      </w:r>
      <w:r w:rsidRPr="0034066E">
        <w:rPr>
          <w:rFonts w:ascii="Times New Roman" w:hAnsi="Times New Roman" w:cs="Times New Roman"/>
          <w:b/>
          <w:bCs/>
        </w:rPr>
        <w:t>Objective:</w:t>
      </w:r>
      <w:r w:rsidRPr="0034066E">
        <w:rPr>
          <w:rFonts w:ascii="Times New Roman" w:hAnsi="Times New Roman" w:cs="Times New Roman"/>
        </w:rPr>
        <w:t> This narrative review aimed to critically synthesize evidence on the biological and contextual drivers of the malnutrition-infection syndemic in Katsina State and to propose a multi-sectoral framework for public health action.</w:t>
      </w:r>
      <w:r w:rsidRPr="0034066E">
        <w:rPr>
          <w:rFonts w:ascii="Times New Roman" w:hAnsi="Times New Roman" w:cs="Times New Roman"/>
        </w:rPr>
        <w:br/>
      </w:r>
      <w:r w:rsidRPr="0034066E">
        <w:rPr>
          <w:rFonts w:ascii="Times New Roman" w:hAnsi="Times New Roman" w:cs="Times New Roman"/>
          <w:b/>
          <w:bCs/>
        </w:rPr>
        <w:t>Methods:</w:t>
      </w:r>
      <w:r w:rsidRPr="0034066E">
        <w:rPr>
          <w:rFonts w:ascii="Times New Roman" w:hAnsi="Times New Roman" w:cs="Times New Roman"/>
        </w:rPr>
        <w:t xml:space="preserve">  </w:t>
      </w:r>
      <w:r>
        <w:rPr>
          <w:rFonts w:ascii="Times New Roman" w:hAnsi="Times New Roman" w:cs="Times New Roman"/>
        </w:rPr>
        <w:t>This</w:t>
      </w:r>
      <w:r w:rsidRPr="0034066E">
        <w:rPr>
          <w:rFonts w:ascii="Times New Roman" w:hAnsi="Times New Roman" w:cs="Times New Roman"/>
        </w:rPr>
        <w:t xml:space="preserve"> narrative review</w:t>
      </w:r>
      <w:r>
        <w:rPr>
          <w:rFonts w:ascii="Times New Roman" w:hAnsi="Times New Roman" w:cs="Times New Roman"/>
        </w:rPr>
        <w:t xml:space="preserve"> </w:t>
      </w:r>
      <w:r w:rsidRPr="0034066E">
        <w:rPr>
          <w:rFonts w:ascii="Times New Roman" w:hAnsi="Times New Roman" w:cs="Times New Roman"/>
        </w:rPr>
        <w:t>conducted Scopus-indexed literature (2018-2025) and key policy documents, with a focus on contextual relevance to the Sahelian and Nigerian context.</w:t>
      </w:r>
      <w:r w:rsidRPr="0034066E">
        <w:rPr>
          <w:rFonts w:ascii="Times New Roman" w:hAnsi="Times New Roman" w:cs="Times New Roman"/>
        </w:rPr>
        <w:br/>
      </w:r>
      <w:r w:rsidRPr="0034066E">
        <w:rPr>
          <w:rFonts w:ascii="Times New Roman" w:hAnsi="Times New Roman" w:cs="Times New Roman"/>
          <w:b/>
          <w:bCs/>
        </w:rPr>
        <w:t>Findings:</w:t>
      </w:r>
      <w:r w:rsidRPr="0034066E">
        <w:rPr>
          <w:rFonts w:ascii="Times New Roman" w:hAnsi="Times New Roman" w:cs="Times New Roman"/>
        </w:rPr>
        <w:t> The syndemic in Katsina is driven by a complex, self-reinforcing interplay of a biological vicious cycle, where malnutrition weakens immunity and infection depletes nutritional status, fueled by underlying drivers including severe food insecurity, gender inequity, poor Water, Sanitation, and Hygiene (WASH) access, climate shocks, and a fragile health system. Current interventions, often siloed and vertical, have proven insufficient to break this cycle.</w:t>
      </w:r>
      <w:r w:rsidRPr="0034066E">
        <w:rPr>
          <w:rFonts w:ascii="Times New Roman" w:hAnsi="Times New Roman" w:cs="Times New Roman"/>
        </w:rPr>
        <w:br/>
      </w:r>
      <w:r w:rsidRPr="0034066E">
        <w:rPr>
          <w:rFonts w:ascii="Times New Roman" w:hAnsi="Times New Roman" w:cs="Times New Roman"/>
          <w:b/>
          <w:bCs/>
        </w:rPr>
        <w:t>Conclusion:</w:t>
      </w:r>
      <w:r w:rsidRPr="0034066E">
        <w:rPr>
          <w:rFonts w:ascii="Times New Roman" w:hAnsi="Times New Roman" w:cs="Times New Roman"/>
        </w:rPr>
        <w:t> A paradigm shift from vertical programming to a syndemic-aware, multi-sectoral approach is urgently needed. Katsina Multi-Sectoral Action Framework (K-MSAF)</w:t>
      </w:r>
      <w:r>
        <w:rPr>
          <w:rFonts w:ascii="Times New Roman" w:hAnsi="Times New Roman" w:cs="Times New Roman"/>
        </w:rPr>
        <w:t xml:space="preserve"> was </w:t>
      </w:r>
      <w:r w:rsidRPr="0034066E">
        <w:rPr>
          <w:rFonts w:ascii="Times New Roman" w:hAnsi="Times New Roman" w:cs="Times New Roman"/>
        </w:rPr>
        <w:t>propose</w:t>
      </w:r>
      <w:r>
        <w:rPr>
          <w:rFonts w:ascii="Times New Roman" w:hAnsi="Times New Roman" w:cs="Times New Roman"/>
        </w:rPr>
        <w:t>d</w:t>
      </w:r>
      <w:r w:rsidRPr="0034066E">
        <w:rPr>
          <w:rFonts w:ascii="Times New Roman" w:hAnsi="Times New Roman" w:cs="Times New Roman"/>
        </w:rPr>
        <w:t>,</w:t>
      </w:r>
      <w:r>
        <w:rPr>
          <w:rFonts w:ascii="Times New Roman" w:hAnsi="Times New Roman" w:cs="Times New Roman"/>
        </w:rPr>
        <w:t xml:space="preserve"> which</w:t>
      </w:r>
      <w:r w:rsidRPr="0034066E">
        <w:rPr>
          <w:rFonts w:ascii="Times New Roman" w:hAnsi="Times New Roman" w:cs="Times New Roman"/>
        </w:rPr>
        <w:t xml:space="preserve"> centered on three pillars: Foundational Governance and Financing; Integrated Service Delivery; and Cross-Sectoral Programmatic Convergence. This framework provides a roadmap for policymakers to catalyze effective action to mitigate the syndemic in Katsina State.</w:t>
      </w:r>
    </w:p>
    <w:p w14:paraId="58503DAB" w14:textId="1130630E" w:rsidR="00F142CF" w:rsidRPr="0034066E" w:rsidRDefault="00F142CF" w:rsidP="00F142CF">
      <w:pPr>
        <w:jc w:val="both"/>
        <w:rPr>
          <w:rFonts w:ascii="Times New Roman" w:hAnsi="Times New Roman" w:cs="Times New Roman"/>
        </w:rPr>
      </w:pPr>
      <w:r w:rsidRPr="0034066E">
        <w:rPr>
          <w:rFonts w:ascii="Times New Roman" w:hAnsi="Times New Roman" w:cs="Times New Roman"/>
          <w:b/>
          <w:bCs/>
        </w:rPr>
        <w:t>Keywords:</w:t>
      </w:r>
      <w:r w:rsidRPr="0034066E">
        <w:rPr>
          <w:rFonts w:ascii="Times New Roman" w:hAnsi="Times New Roman" w:cs="Times New Roman"/>
        </w:rPr>
        <w:t> Syndemic, Malnutrition, Infection, Nigeria, Katsina, Multi-sectoral, WASH, Food Security</w:t>
      </w:r>
    </w:p>
    <w:p w14:paraId="195AA91B" w14:textId="77777777" w:rsidR="00F142CF" w:rsidRPr="0034066E" w:rsidRDefault="003431E1" w:rsidP="00F142CF">
      <w:pPr>
        <w:jc w:val="both"/>
        <w:rPr>
          <w:rFonts w:ascii="Times New Roman" w:hAnsi="Times New Roman" w:cs="Times New Roman"/>
        </w:rPr>
      </w:pPr>
      <w:r>
        <w:rPr>
          <w:rFonts w:ascii="Times New Roman" w:hAnsi="Times New Roman" w:cs="Times New Roman"/>
        </w:rPr>
        <w:pict w14:anchorId="77155A64">
          <v:rect id="_x0000_i1025" style="width:0;height:.75pt" o:hralign="center" o:hrstd="t" o:hr="t" fillcolor="#a0a0a0" stroked="f"/>
        </w:pict>
      </w:r>
    </w:p>
    <w:p w14:paraId="46163E6F"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1. Introduction</w:t>
      </w:r>
    </w:p>
    <w:p w14:paraId="5E66090E"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Nigeria faces a profound public health challenge, ranking among the countries with the highest burdens of childhood malnutrition and infectious diseases globally (United Nations Children's Fund [UNICEF], 2023). The 2018 Nigeria Demographic and Health Survey (NDHS) revealed that 37% of children under five are stunted, 7% are wasted, and 22% are underweight (National Population Commission [NPC] &amp; ICF, 2019). These national figures, however, mask stark regional disparities. The northwestern states, including </w:t>
      </w:r>
      <w:proofErr w:type="spellStart"/>
      <w:r w:rsidRPr="0034066E">
        <w:rPr>
          <w:rFonts w:ascii="Times New Roman" w:hAnsi="Times New Roman" w:cs="Times New Roman"/>
        </w:rPr>
        <w:t>Katsina</w:t>
      </w:r>
      <w:proofErr w:type="spellEnd"/>
      <w:r w:rsidRPr="0034066E">
        <w:rPr>
          <w:rFonts w:ascii="Times New Roman" w:hAnsi="Times New Roman" w:cs="Times New Roman"/>
        </w:rPr>
        <w:t xml:space="preserve">, are </w:t>
      </w:r>
      <w:proofErr w:type="spellStart"/>
      <w:r w:rsidRPr="0034066E">
        <w:rPr>
          <w:rFonts w:ascii="Times New Roman" w:hAnsi="Times New Roman" w:cs="Times New Roman"/>
        </w:rPr>
        <w:t>epicentres</w:t>
      </w:r>
      <w:proofErr w:type="spellEnd"/>
      <w:r w:rsidRPr="0034066E">
        <w:rPr>
          <w:rFonts w:ascii="Times New Roman" w:hAnsi="Times New Roman" w:cs="Times New Roman"/>
        </w:rPr>
        <w:t xml:space="preserve"> of this crisis, with child stunting rates consistently exceeding 50% (NPC &amp; ICF, 2019). Katsina State, a Sahelian region characterized by subsistence agriculture, poverty, and environmental fragility, exemplifies this </w:t>
      </w:r>
      <w:r w:rsidRPr="0034066E">
        <w:rPr>
          <w:rFonts w:ascii="Times New Roman" w:hAnsi="Times New Roman" w:cs="Times New Roman"/>
        </w:rPr>
        <w:lastRenderedPageBreak/>
        <w:t xml:space="preserve">emergency. Alongside this nutritional deficit, the state grapples with a high prevalence of infectious diseases such as malaria, </w:t>
      </w:r>
      <w:proofErr w:type="spellStart"/>
      <w:r w:rsidRPr="0034066E">
        <w:rPr>
          <w:rFonts w:ascii="Times New Roman" w:hAnsi="Times New Roman" w:cs="Times New Roman"/>
        </w:rPr>
        <w:t>diarrhoea</w:t>
      </w:r>
      <w:proofErr w:type="spellEnd"/>
      <w:r w:rsidRPr="0034066E">
        <w:rPr>
          <w:rFonts w:ascii="Times New Roman" w:hAnsi="Times New Roman" w:cs="Times New Roman"/>
        </w:rPr>
        <w:t>, and respiratory infections, which remain leading causes of child mortality (Federal Ministry of Health [FMOH], 2020).</w:t>
      </w:r>
    </w:p>
    <w:p w14:paraId="0B764B09" w14:textId="233F1D99"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Traditionally, public health programs have addressed malnutrition and infection as distinct entities. However, a growing body of evidence underscores that they are not merely co-occurring conditions but are deeply entangled in a syndemic (Singer et al., 2017). A syndemic refers to the synergistic interaction of two or more diseases or health conditions in a population, exacerbated by social, economic, and environmental inequities, resulting in an excess burden of disease (Singer &amp; Erickson, 2019). In Katsina, chronic food insecurity, gender inequality, conflict, and poor WASH infrastructure create a permissive environment where malnutrition weakens a child's immune </w:t>
      </w:r>
      <w:proofErr w:type="spellStart"/>
      <w:r w:rsidRPr="0034066E">
        <w:rPr>
          <w:rFonts w:ascii="Times New Roman" w:hAnsi="Times New Roman" w:cs="Times New Roman"/>
        </w:rPr>
        <w:t>defences</w:t>
      </w:r>
      <w:proofErr w:type="spellEnd"/>
      <w:r w:rsidRPr="0034066E">
        <w:rPr>
          <w:rFonts w:ascii="Times New Roman" w:hAnsi="Times New Roman" w:cs="Times New Roman"/>
        </w:rPr>
        <w:t>, and recurrent infections, in turn, impair nutrient absorption and increase metabolic demands. This creates a vicious, self-perpetuating cycle that produces worse health outcomes than if each condition were addressed in isolation (Bourke et al., 201</w:t>
      </w:r>
      <w:r w:rsidR="000E3EBD">
        <w:rPr>
          <w:rFonts w:ascii="Times New Roman" w:hAnsi="Times New Roman" w:cs="Times New Roman"/>
        </w:rPr>
        <w:t>6</w:t>
      </w:r>
      <w:r w:rsidRPr="0034066E">
        <w:rPr>
          <w:rFonts w:ascii="Times New Roman" w:hAnsi="Times New Roman" w:cs="Times New Roman"/>
        </w:rPr>
        <w:t>).</w:t>
      </w:r>
    </w:p>
    <w:p w14:paraId="54294FCA" w14:textId="0FFEE55E" w:rsidR="00F142CF" w:rsidRPr="0034066E" w:rsidRDefault="00F142CF" w:rsidP="00F142CF">
      <w:pPr>
        <w:jc w:val="both"/>
        <w:rPr>
          <w:rFonts w:ascii="Times New Roman" w:hAnsi="Times New Roman" w:cs="Times New Roman"/>
        </w:rPr>
      </w:pPr>
      <w:r w:rsidRPr="0034066E">
        <w:rPr>
          <w:rFonts w:ascii="Times New Roman" w:hAnsi="Times New Roman" w:cs="Times New Roman"/>
        </w:rPr>
        <w:t>Despite awareness of these issues, progress in reducing malnutrition and infection rates in Katsina has been slow and fragmented. Interventions often operate in vertical silos—nutrition programs focused on supplementary feeding, health programs on disease-specific treatment—failing to confront the synergistic nature of the problem at its roots (Gillespie et al., 201</w:t>
      </w:r>
      <w:r w:rsidR="00F3760F">
        <w:rPr>
          <w:rFonts w:ascii="Times New Roman" w:hAnsi="Times New Roman" w:cs="Times New Roman"/>
        </w:rPr>
        <w:t>3</w:t>
      </w:r>
      <w:r w:rsidRPr="0034066E">
        <w:rPr>
          <w:rFonts w:ascii="Times New Roman" w:hAnsi="Times New Roman" w:cs="Times New Roman"/>
        </w:rPr>
        <w:t>). There is, therefore, an urgent need for a reconceptualization of the problem and a corresponding shift in strategy. This narrative review has four primary objectives: first, to delineate the biological vicious cycle between malnutrition and common infections; second, to unravel the contextual, socio-economic, and environmental drivers that fuel this syndemic in Katsina State; third, to critically assess the limitations of current, siloed interventions; and fourth, to propose an evidence-informed, multi-sectoral framework for public health action and policy to catalyze effective action.</w:t>
      </w:r>
    </w:p>
    <w:p w14:paraId="4FE6E913"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2. Methodology</w:t>
      </w:r>
    </w:p>
    <w:p w14:paraId="68885EEF"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This study employed a critical narrative review methodology. This approach was selected to allow for a comprehensive and interpretive synthesis of a wide and heterogeneous body of literature, facilitating the development of a novel conceptual model and actionable recommendations (Greenhalgh et al., 2018). A systematic literature search was conducted in Scopus, PubMed, and Web of Science databases for publications between January 2018 and May 2025. The search strategy combined key terms and Boolean operators, including “malnutrition” OR “undernutrition” AND “infection” OR “infectious disease” AND “syndemic” AND “Nigeria” OR “Katsina” AND “driver” OR “determinant” AND “multi-sectoral” OR “intervention”.</w:t>
      </w:r>
    </w:p>
    <w:p w14:paraId="52AED947"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The initial search yielded over 1,200 records. After removing duplicates, titles and abstracts were screened for relevance. Full-text articles were assessed for inclusion based on their contribution to understanding the </w:t>
      </w:r>
      <w:proofErr w:type="spellStart"/>
      <w:r w:rsidRPr="0034066E">
        <w:rPr>
          <w:rFonts w:ascii="Times New Roman" w:hAnsi="Times New Roman" w:cs="Times New Roman"/>
        </w:rPr>
        <w:t>syndemic's</w:t>
      </w:r>
      <w:proofErr w:type="spellEnd"/>
      <w:r w:rsidRPr="0034066E">
        <w:rPr>
          <w:rFonts w:ascii="Times New Roman" w:hAnsi="Times New Roman" w:cs="Times New Roman"/>
        </w:rPr>
        <w:t xml:space="preserve"> drivers, dynamics, or solutions in contexts relevant to Katsina State. We prioritized peer-reviewed articles, systematic reviews, and meta-analyses. Given the policy-oriented aim, key grey literature documents from the Nigerian Federal Ministry of Health, the National Bureau of Statistics (NBS), UNICEF, and the World Bank were also incorporated. The </w:t>
      </w:r>
      <w:r w:rsidRPr="0034066E">
        <w:rPr>
          <w:rFonts w:ascii="Times New Roman" w:hAnsi="Times New Roman" w:cs="Times New Roman"/>
        </w:rPr>
        <w:lastRenderedPageBreak/>
        <w:t>synthesis was iterative and thematic, focusing on identifying the core components of the syndemic and the evidence base for potential solutions.</w:t>
      </w:r>
    </w:p>
    <w:p w14:paraId="18D26C8F"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3. The Biological Vicious Cycle: Core of the Syndemic</w:t>
      </w:r>
    </w:p>
    <w:p w14:paraId="5B9B75C6" w14:textId="2D332662"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At the heart of the malnutrition-infection syndemic lies a powerful biological feedback loop. Understanding this cycle is fundamental to appreciating why siloed interventions fail. Malnutrition acts as a precursor to immunodeficiency through several key mechanisms. Macro- and micronutrient deficiencies profoundly compromise the immune system, a state often termed "nutritionally acquired immunodeficiency disease" </w:t>
      </w:r>
      <w:hyperlink r:id="rId7" w:history="1">
        <w:r w:rsidR="00673A2F" w:rsidRPr="00673A2F">
          <w:rPr>
            <w:rStyle w:val="Hyperlink"/>
            <w:rFonts w:ascii="Times New Roman" w:hAnsi="Times New Roman" w:cs="Times New Roman"/>
            <w:color w:val="auto"/>
            <w:u w:val="none"/>
          </w:rPr>
          <w:t>(Dauphinais et al., 2024)</w:t>
        </w:r>
      </w:hyperlink>
      <w:r w:rsidRPr="0034066E">
        <w:rPr>
          <w:rFonts w:ascii="Times New Roman" w:hAnsi="Times New Roman" w:cs="Times New Roman"/>
        </w:rPr>
        <w:t>. Specifically, deficiencies in Vitamin A, zinc, and protein compromise the integrity of the skin and mucosal linings in the gut and respiratory tract, making them more permeable to pathogens (Bourke et al., 201</w:t>
      </w:r>
      <w:r w:rsidR="000E3EBD">
        <w:rPr>
          <w:rFonts w:ascii="Times New Roman" w:hAnsi="Times New Roman" w:cs="Times New Roman"/>
        </w:rPr>
        <w:t>6</w:t>
      </w:r>
      <w:r w:rsidRPr="0034066E">
        <w:rPr>
          <w:rFonts w:ascii="Times New Roman" w:hAnsi="Times New Roman" w:cs="Times New Roman"/>
        </w:rPr>
        <w:t xml:space="preserve">). Furthermore, protein-energy malnutrition and specific micronutrient deficiencies, such as zinc and iron, impair T-lymphocyte function and the production of cytokines, reducing the body's ability to fight intracellular pathogens </w:t>
      </w:r>
      <w:hyperlink r:id="rId8" w:history="1">
        <w:r w:rsidR="00812F3F" w:rsidRPr="00812F3F">
          <w:rPr>
            <w:rStyle w:val="Hyperlink"/>
            <w:rFonts w:ascii="Times New Roman" w:hAnsi="Times New Roman" w:cs="Times New Roman"/>
            <w:color w:val="auto"/>
            <w:u w:val="none"/>
          </w:rPr>
          <w:t>(Majumdar et al., 2025)</w:t>
        </w:r>
      </w:hyperlink>
      <w:r w:rsidRPr="0034066E">
        <w:rPr>
          <w:rFonts w:ascii="Times New Roman" w:hAnsi="Times New Roman" w:cs="Times New Roman"/>
        </w:rPr>
        <w:t>. The quality and affinity of antibodies can also be reduced, diminishing the effectiveness of the humoral response and response to vaccinations (</w:t>
      </w:r>
      <w:r w:rsidR="00F42FE3" w:rsidRPr="00F42FE3">
        <w:rPr>
          <w:rFonts w:ascii="Times New Roman" w:hAnsi="Times New Roman" w:cs="Times New Roman"/>
        </w:rPr>
        <w:t>Solis-Soto</w:t>
      </w:r>
      <w:r w:rsidR="00F42FE3">
        <w:rPr>
          <w:rFonts w:ascii="Times New Roman" w:hAnsi="Times New Roman" w:cs="Times New Roman"/>
        </w:rPr>
        <w:t xml:space="preserve"> et al.,</w:t>
      </w:r>
      <w:r w:rsidRPr="0034066E">
        <w:rPr>
          <w:rFonts w:ascii="Times New Roman" w:hAnsi="Times New Roman" w:cs="Times New Roman"/>
        </w:rPr>
        <w:t xml:space="preserve"> </w:t>
      </w:r>
      <w:r w:rsidR="00F42FE3">
        <w:rPr>
          <w:rFonts w:ascii="Times New Roman" w:hAnsi="Times New Roman" w:cs="Times New Roman"/>
        </w:rPr>
        <w:t>2020</w:t>
      </w:r>
      <w:r w:rsidRPr="0034066E">
        <w:rPr>
          <w:rFonts w:ascii="Times New Roman" w:hAnsi="Times New Roman" w:cs="Times New Roman"/>
        </w:rPr>
        <w:t>).</w:t>
      </w:r>
    </w:p>
    <w:p w14:paraId="7602263C" w14:textId="223040A9"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Conversely, infections precipitate and worsen malnutrition through several pathways. Fever and the immune response increase energy and protein requirements, while illness often leads to loss of appetite and reduced food intake, a problem exacerbated by cultural practices of withholding food from sick children (Jones &amp; Berkley, 2018). </w:t>
      </w:r>
      <w:proofErr w:type="spellStart"/>
      <w:r w:rsidRPr="0034066E">
        <w:rPr>
          <w:rFonts w:ascii="Times New Roman" w:hAnsi="Times New Roman" w:cs="Times New Roman"/>
        </w:rPr>
        <w:t>Diarrhoeal</w:t>
      </w:r>
      <w:proofErr w:type="spellEnd"/>
      <w:r w:rsidRPr="0034066E">
        <w:rPr>
          <w:rFonts w:ascii="Times New Roman" w:hAnsi="Times New Roman" w:cs="Times New Roman"/>
        </w:rPr>
        <w:t xml:space="preserve"> diseases cause direct loss of macronutrients and micronutrients from the gut, and the body may redirect nutrients like iron and zinc to sequester them from pathogens, which can also impair growth (Bourke et al., 2</w:t>
      </w:r>
      <w:r w:rsidR="000E3EBD">
        <w:rPr>
          <w:rFonts w:ascii="Times New Roman" w:hAnsi="Times New Roman" w:cs="Times New Roman"/>
        </w:rPr>
        <w:t>016</w:t>
      </w:r>
      <w:r w:rsidRPr="0034066E">
        <w:rPr>
          <w:rFonts w:ascii="Times New Roman" w:hAnsi="Times New Roman" w:cs="Times New Roman"/>
        </w:rPr>
        <w:t>).</w:t>
      </w:r>
    </w:p>
    <w:p w14:paraId="4B81CEEC" w14:textId="556AB6C0" w:rsidR="00F142CF" w:rsidRPr="0034066E" w:rsidRDefault="00F142CF" w:rsidP="00F142CF">
      <w:pPr>
        <w:jc w:val="both"/>
        <w:rPr>
          <w:rFonts w:ascii="Times New Roman" w:hAnsi="Times New Roman" w:cs="Times New Roman"/>
        </w:rPr>
      </w:pPr>
      <w:r w:rsidRPr="0034066E">
        <w:rPr>
          <w:rFonts w:ascii="Times New Roman" w:hAnsi="Times New Roman" w:cs="Times New Roman"/>
        </w:rPr>
        <w:t>This bidirectional relationship is particularly potent in key pathogen-specific interactions. For instance, </w:t>
      </w:r>
      <w:r w:rsidRPr="0034066E">
        <w:rPr>
          <w:rFonts w:ascii="Times New Roman" w:hAnsi="Times New Roman" w:cs="Times New Roman"/>
          <w:i/>
          <w:iCs/>
        </w:rPr>
        <w:t>Plasmodium falciparum</w:t>
      </w:r>
      <w:r w:rsidRPr="0034066E">
        <w:rPr>
          <w:rFonts w:ascii="Times New Roman" w:hAnsi="Times New Roman" w:cs="Times New Roman"/>
        </w:rPr>
        <w:t xml:space="preserve"> infection is associated with increased prevalence of stunting and wasting, as malaria-induced anemia, anorexia, and cytokine production directly contribute to growth impairment </w:t>
      </w:r>
      <w:hyperlink r:id="rId9" w:history="1">
        <w:r w:rsidR="00E72CEC" w:rsidRPr="00E72CEC">
          <w:rPr>
            <w:rStyle w:val="Hyperlink"/>
            <w:rFonts w:ascii="Times New Roman" w:hAnsi="Times New Roman" w:cs="Times New Roman"/>
            <w:color w:val="auto"/>
            <w:u w:val="none"/>
          </w:rPr>
          <w:t>(Gari et al., 2018)</w:t>
        </w:r>
      </w:hyperlink>
      <w:r w:rsidRPr="0034066E">
        <w:rPr>
          <w:rFonts w:ascii="Times New Roman" w:hAnsi="Times New Roman" w:cs="Times New Roman"/>
        </w:rPr>
        <w:t xml:space="preserve">. Conversely, undernourished children are more susceptible to severe malaria. Similarly, repeated episodes of </w:t>
      </w:r>
      <w:proofErr w:type="spellStart"/>
      <w:r w:rsidRPr="0034066E">
        <w:rPr>
          <w:rFonts w:ascii="Times New Roman" w:hAnsi="Times New Roman" w:cs="Times New Roman"/>
        </w:rPr>
        <w:t>diarrhoea</w:t>
      </w:r>
      <w:proofErr w:type="spellEnd"/>
      <w:r w:rsidRPr="0034066E">
        <w:rPr>
          <w:rFonts w:ascii="Times New Roman" w:hAnsi="Times New Roman" w:cs="Times New Roman"/>
        </w:rPr>
        <w:t xml:space="preserve"> are a major cause of growth faltering. More insidiously, Environmental Enteric Dysfunction (EED)—a subclinical condition of the small intestine caused by chronic exposure to </w:t>
      </w:r>
      <w:proofErr w:type="spellStart"/>
      <w:r w:rsidRPr="0034066E">
        <w:rPr>
          <w:rFonts w:ascii="Times New Roman" w:hAnsi="Times New Roman" w:cs="Times New Roman"/>
        </w:rPr>
        <w:t>faecal</w:t>
      </w:r>
      <w:proofErr w:type="spellEnd"/>
      <w:r w:rsidRPr="0034066E">
        <w:rPr>
          <w:rFonts w:ascii="Times New Roman" w:hAnsi="Times New Roman" w:cs="Times New Roman"/>
        </w:rPr>
        <w:t xml:space="preserve"> pathogens—results in intestinal inflammation and reduced nutrient absorption, even in the absence of overt </w:t>
      </w:r>
      <w:proofErr w:type="spellStart"/>
      <w:r w:rsidRPr="0034066E">
        <w:rPr>
          <w:rFonts w:ascii="Times New Roman" w:hAnsi="Times New Roman" w:cs="Times New Roman"/>
        </w:rPr>
        <w:t>diarrhoea</w:t>
      </w:r>
      <w:proofErr w:type="spellEnd"/>
      <w:r w:rsidRPr="0034066E">
        <w:rPr>
          <w:rFonts w:ascii="Times New Roman" w:hAnsi="Times New Roman" w:cs="Times New Roman"/>
        </w:rPr>
        <w:t xml:space="preserve">, creating a critical link between poor WASH and chronic malnutrition </w:t>
      </w:r>
      <w:hyperlink r:id="rId10" w:history="1">
        <w:r w:rsidR="00DF51DF" w:rsidRPr="00DF51DF">
          <w:rPr>
            <w:rStyle w:val="Hyperlink"/>
            <w:rFonts w:ascii="Times New Roman" w:hAnsi="Times New Roman" w:cs="Times New Roman"/>
            <w:color w:val="auto"/>
            <w:u w:val="none"/>
          </w:rPr>
          <w:t>(Budge et al., 2019)</w:t>
        </w:r>
      </w:hyperlink>
      <w:r w:rsidRPr="0034066E">
        <w:rPr>
          <w:rFonts w:ascii="Times New Roman" w:hAnsi="Times New Roman" w:cs="Times New Roman"/>
        </w:rPr>
        <w:t>. Intestinal worms also compete for host nutrients and contribute to anemia, further entrenching malnutrition. This biological cycle, illustrated in Figure 1, creates a physiological trap for children in high-risk environments like Katsina.</w:t>
      </w:r>
    </w:p>
    <w:p w14:paraId="4DEC08C7" w14:textId="77777777" w:rsidR="00F142CF" w:rsidRPr="0034066E" w:rsidRDefault="00F142CF" w:rsidP="00F142CF">
      <w:pPr>
        <w:jc w:val="both"/>
        <w:rPr>
          <w:rFonts w:ascii="Times New Roman" w:hAnsi="Times New Roman" w:cs="Times New Roman"/>
        </w:rPr>
      </w:pPr>
      <w:r>
        <w:rPr>
          <w:noProof/>
        </w:rPr>
        <w:lastRenderedPageBreak/>
        <w:drawing>
          <wp:anchor distT="0" distB="0" distL="114300" distR="114300" simplePos="0" relativeHeight="251659264" behindDoc="0" locked="0" layoutInCell="1" allowOverlap="1" wp14:anchorId="47313128" wp14:editId="4537B4E1">
            <wp:simplePos x="0" y="0"/>
            <wp:positionH relativeFrom="margin">
              <wp:align>right</wp:align>
            </wp:positionH>
            <wp:positionV relativeFrom="paragraph">
              <wp:posOffset>203200</wp:posOffset>
            </wp:positionV>
            <wp:extent cx="5937250" cy="4419600"/>
            <wp:effectExtent l="0" t="0" r="6350" b="0"/>
            <wp:wrapSquare wrapText="bothSides"/>
            <wp:docPr id="2853313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99A59"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4. Unravelling the Contextual Drivers in Katsina State</w:t>
      </w:r>
    </w:p>
    <w:p w14:paraId="3843434A" w14:textId="50EAACFB" w:rsidR="00F142CF" w:rsidRPr="0015608A" w:rsidRDefault="00F142CF" w:rsidP="00F142CF">
      <w:pPr>
        <w:jc w:val="both"/>
        <w:rPr>
          <w:rFonts w:ascii="Times New Roman" w:hAnsi="Times New Roman" w:cs="Times New Roman"/>
        </w:rPr>
      </w:pPr>
      <w:r w:rsidRPr="0034066E">
        <w:rPr>
          <w:rFonts w:ascii="Times New Roman" w:hAnsi="Times New Roman" w:cs="Times New Roman"/>
        </w:rPr>
        <w:t xml:space="preserve">The biological vicious cycle is activated and sustained by a tapestry of underlying socio-economic, environmental, and political drivers that constitute the root causes of the syndemic in Katsina. A primary driver is the state's fragile food system and pervasive livelihood insecurity. Katsina's economy is predominantly agrarian, reliant on rain-fed subsistence farming, which makes nutritional outcomes highly vulnerable to seasonal and climatic variations. </w:t>
      </w:r>
      <w:r w:rsidR="00BD65EA">
        <w:rPr>
          <w:rFonts w:ascii="Times New Roman" w:hAnsi="Times New Roman" w:cs="Times New Roman"/>
        </w:rPr>
        <w:t>Lar</w:t>
      </w:r>
      <w:r w:rsidR="00BD65EA" w:rsidRPr="00BD65EA">
        <w:rPr>
          <w:rFonts w:ascii="Times New Roman" w:hAnsi="Times New Roman" w:cs="Times New Roman"/>
        </w:rPr>
        <w:t>ge percentage of</w:t>
      </w:r>
      <w:r w:rsidRPr="0034066E">
        <w:rPr>
          <w:rFonts w:ascii="Times New Roman" w:hAnsi="Times New Roman" w:cs="Times New Roman"/>
        </w:rPr>
        <w:t xml:space="preserve"> the population in Northwest Nigeria lives in poverty, which severely limits dietary diversity and forces a reliance on carbohydrate-based staples like </w:t>
      </w:r>
      <w:r w:rsidRPr="0015608A">
        <w:rPr>
          <w:rFonts w:ascii="Times New Roman" w:hAnsi="Times New Roman" w:cs="Times New Roman"/>
        </w:rPr>
        <w:t xml:space="preserve">sorghum and millet, with minimal consumption of animal-source foods, fruits, and vegetables </w:t>
      </w:r>
      <w:hyperlink r:id="rId12" w:history="1">
        <w:r w:rsidR="0015608A" w:rsidRPr="0015608A">
          <w:rPr>
            <w:rStyle w:val="Hyperlink"/>
            <w:rFonts w:ascii="Times New Roman" w:hAnsi="Times New Roman" w:cs="Times New Roman"/>
            <w:color w:val="auto"/>
            <w:u w:val="none"/>
          </w:rPr>
          <w:t xml:space="preserve">(Kehinde &amp; </w:t>
        </w:r>
        <w:proofErr w:type="spellStart"/>
        <w:r w:rsidR="0015608A" w:rsidRPr="0015608A">
          <w:rPr>
            <w:rStyle w:val="Hyperlink"/>
            <w:rFonts w:ascii="Times New Roman" w:hAnsi="Times New Roman" w:cs="Times New Roman"/>
            <w:color w:val="auto"/>
            <w:u w:val="none"/>
          </w:rPr>
          <w:t>Favour</w:t>
        </w:r>
        <w:proofErr w:type="spellEnd"/>
        <w:r w:rsidR="0015608A" w:rsidRPr="0015608A">
          <w:rPr>
            <w:rStyle w:val="Hyperlink"/>
            <w:rFonts w:ascii="Times New Roman" w:hAnsi="Times New Roman" w:cs="Times New Roman"/>
            <w:color w:val="auto"/>
            <w:u w:val="none"/>
          </w:rPr>
          <w:t>, 2020)</w:t>
        </w:r>
      </w:hyperlink>
      <w:r w:rsidRPr="0015608A">
        <w:rPr>
          <w:rFonts w:ascii="Times New Roman" w:hAnsi="Times New Roman" w:cs="Times New Roman"/>
        </w:rPr>
        <w:t xml:space="preserve">. This is </w:t>
      </w:r>
      <w:r w:rsidR="00883784">
        <w:rPr>
          <w:rFonts w:ascii="Times New Roman" w:hAnsi="Times New Roman" w:cs="Times New Roman"/>
        </w:rPr>
        <w:t xml:space="preserve">as a result of insecurity and is </w:t>
      </w:r>
      <w:r w:rsidRPr="0015608A">
        <w:rPr>
          <w:rFonts w:ascii="Times New Roman" w:hAnsi="Times New Roman" w:cs="Times New Roman"/>
        </w:rPr>
        <w:t>compounded by low agricultural productivity, limited access to credit and inputs, and post-harvest losses, which collectively contribute to periods of seasonal hunger, locally known as "</w:t>
      </w:r>
      <w:proofErr w:type="spellStart"/>
      <w:r w:rsidRPr="0015608A">
        <w:rPr>
          <w:rFonts w:ascii="Times New Roman" w:hAnsi="Times New Roman" w:cs="Times New Roman"/>
          <w:i/>
          <w:iCs/>
        </w:rPr>
        <w:t>yunwa</w:t>
      </w:r>
      <w:proofErr w:type="spellEnd"/>
      <w:r w:rsidRPr="0015608A">
        <w:rPr>
          <w:rFonts w:ascii="Times New Roman" w:hAnsi="Times New Roman" w:cs="Times New Roman"/>
        </w:rPr>
        <w:t xml:space="preserve">" </w:t>
      </w:r>
      <w:r w:rsidR="000E3EBD" w:rsidRPr="000E3EBD">
        <w:rPr>
          <w:rFonts w:ascii="Times New Roman" w:hAnsi="Times New Roman" w:cs="Times New Roman"/>
        </w:rPr>
        <w:t>(Musa &amp; Abdullahi, 2025)</w:t>
      </w:r>
      <w:r w:rsidRPr="0015608A">
        <w:rPr>
          <w:rFonts w:ascii="Times New Roman" w:hAnsi="Times New Roman" w:cs="Times New Roman"/>
        </w:rPr>
        <w:t>.</w:t>
      </w:r>
    </w:p>
    <w:p w14:paraId="07794A93" w14:textId="366F53A5"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A second critical driver is the profound deficit in Water, Sanitation, and Hygiene (WASH). Katsina has some of the worst WASH indicators in Nigeria. The 2021 WASHNORM survey indicated that over 40% of the population practices open defecation, and only 10% have access to basic sanitation services (Federal Ministry of Water Resources [FMOWR], 2022). This creates a highly </w:t>
      </w:r>
      <w:r w:rsidRPr="0034066E">
        <w:rPr>
          <w:rFonts w:ascii="Times New Roman" w:hAnsi="Times New Roman" w:cs="Times New Roman"/>
        </w:rPr>
        <w:lastRenderedPageBreak/>
        <w:t xml:space="preserve">contaminated environment, perpetuating the cycle of </w:t>
      </w:r>
      <w:proofErr w:type="spellStart"/>
      <w:r w:rsidRPr="0034066E">
        <w:rPr>
          <w:rFonts w:ascii="Times New Roman" w:hAnsi="Times New Roman" w:cs="Times New Roman"/>
        </w:rPr>
        <w:t>diarrhoeal</w:t>
      </w:r>
      <w:proofErr w:type="spellEnd"/>
      <w:r w:rsidRPr="0034066E">
        <w:rPr>
          <w:rFonts w:ascii="Times New Roman" w:hAnsi="Times New Roman" w:cs="Times New Roman"/>
        </w:rPr>
        <w:t xml:space="preserve"> diseases and EED, which directly drive nutrient depletion and stunting (</w:t>
      </w:r>
      <w:proofErr w:type="spellStart"/>
      <w:r w:rsidRPr="0034066E">
        <w:rPr>
          <w:rFonts w:ascii="Times New Roman" w:hAnsi="Times New Roman" w:cs="Times New Roman"/>
        </w:rPr>
        <w:t>Dangour</w:t>
      </w:r>
      <w:proofErr w:type="spellEnd"/>
      <w:r w:rsidRPr="0034066E">
        <w:rPr>
          <w:rFonts w:ascii="Times New Roman" w:hAnsi="Times New Roman" w:cs="Times New Roman"/>
        </w:rPr>
        <w:t xml:space="preserve"> et al., 201</w:t>
      </w:r>
      <w:r w:rsidR="005A152D">
        <w:rPr>
          <w:rFonts w:ascii="Times New Roman" w:hAnsi="Times New Roman" w:cs="Times New Roman"/>
        </w:rPr>
        <w:t>3</w:t>
      </w:r>
      <w:r w:rsidRPr="0034066E">
        <w:rPr>
          <w:rFonts w:ascii="Times New Roman" w:hAnsi="Times New Roman" w:cs="Times New Roman"/>
        </w:rPr>
        <w:t xml:space="preserve">; </w:t>
      </w:r>
      <w:r w:rsidR="00941547" w:rsidRPr="00941547">
        <w:rPr>
          <w:rFonts w:ascii="Times New Roman" w:hAnsi="Times New Roman" w:cs="Times New Roman"/>
        </w:rPr>
        <w:t>Abubakar</w:t>
      </w:r>
      <w:r w:rsidR="004A0798" w:rsidRPr="004A0798">
        <w:rPr>
          <w:rFonts w:ascii="Times New Roman" w:hAnsi="Times New Roman" w:cs="Times New Roman"/>
        </w:rPr>
        <w:t xml:space="preserve">, </w:t>
      </w:r>
      <w:r w:rsidR="00941547">
        <w:rPr>
          <w:rFonts w:ascii="Times New Roman" w:hAnsi="Times New Roman" w:cs="Times New Roman"/>
        </w:rPr>
        <w:t>2018</w:t>
      </w:r>
      <w:r w:rsidR="004A0798" w:rsidRPr="004A0798">
        <w:rPr>
          <w:rFonts w:ascii="Times New Roman" w:hAnsi="Times New Roman" w:cs="Times New Roman"/>
        </w:rPr>
        <w:t>)</w:t>
      </w:r>
      <w:r w:rsidRPr="0034066E">
        <w:rPr>
          <w:rFonts w:ascii="Times New Roman" w:hAnsi="Times New Roman" w:cs="Times New Roman"/>
        </w:rPr>
        <w:t>.</w:t>
      </w:r>
    </w:p>
    <w:p w14:paraId="532E90F7" w14:textId="2D5EF9D6"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A third, often underestimated driver is gender inequity and its impact on maternal and child health. The low status of women has direct consequences; undernourished women are more likely to give birth to low birth weight babies, who are at a higher risk of stunting and infection </w:t>
      </w:r>
      <w:hyperlink r:id="rId13" w:history="1">
        <w:r w:rsidR="00F3760F" w:rsidRPr="00F3760F">
          <w:rPr>
            <w:rStyle w:val="Hyperlink"/>
            <w:rFonts w:ascii="Times New Roman" w:hAnsi="Times New Roman" w:cs="Times New Roman"/>
            <w:color w:val="auto"/>
            <w:u w:val="none"/>
          </w:rPr>
          <w:t>(</w:t>
        </w:r>
        <w:proofErr w:type="spellStart"/>
        <w:r w:rsidR="00F3760F" w:rsidRPr="00F3760F">
          <w:rPr>
            <w:rStyle w:val="Hyperlink"/>
            <w:rFonts w:ascii="Times New Roman" w:hAnsi="Times New Roman" w:cs="Times New Roman"/>
            <w:color w:val="auto"/>
            <w:u w:val="none"/>
          </w:rPr>
          <w:t>Prameswari</w:t>
        </w:r>
        <w:proofErr w:type="spellEnd"/>
        <w:r w:rsidR="00F3760F" w:rsidRPr="00F3760F">
          <w:rPr>
            <w:rStyle w:val="Hyperlink"/>
            <w:rFonts w:ascii="Times New Roman" w:hAnsi="Times New Roman" w:cs="Times New Roman"/>
            <w:color w:val="auto"/>
            <w:u w:val="none"/>
          </w:rPr>
          <w:t>, 2024)</w:t>
        </w:r>
      </w:hyperlink>
      <w:r w:rsidRPr="0034066E">
        <w:rPr>
          <w:rFonts w:ascii="Times New Roman" w:hAnsi="Times New Roman" w:cs="Times New Roman"/>
        </w:rPr>
        <w:t>. Furthermore, low rates of exclusive breastfeeding and inadequate complementary feeding practices, often linked to low maternal education and decision-making power, are prevalent. High domestic burdens and time poverty also limit women's capacity for optimal child care and feeding practices.</w:t>
      </w:r>
    </w:p>
    <w:p w14:paraId="3C7C29F9" w14:textId="24D770F1"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The syndemic is further exacerbated by conflict, displacement, and general state fragility. The escalating insecurity in Northwest Nigeria, driven by banditry and farmer-herder conflicts, has created a humanitarian crisis. This has led to mass displacement, disrupting livelihoods, agriculture, and access to healthcare. The collapse of services is evident in the closure or understaffing of health facilities, and market disruptions impede the flow of food and goods, intensifying food insecurity and limiting access to care </w:t>
      </w:r>
      <w:r w:rsidR="00383EC1" w:rsidRPr="00383EC1">
        <w:rPr>
          <w:rFonts w:ascii="Times New Roman" w:hAnsi="Times New Roman" w:cs="Times New Roman"/>
        </w:rPr>
        <w:t>(Food and Agriculture Organization of the United Nations [FAO], 2023)</w:t>
      </w:r>
      <w:r w:rsidRPr="0034066E">
        <w:rPr>
          <w:rFonts w:ascii="Times New Roman" w:hAnsi="Times New Roman" w:cs="Times New Roman"/>
        </w:rPr>
        <w:t>.</w:t>
      </w:r>
    </w:p>
    <w:p w14:paraId="026311EC" w14:textId="277A06F2"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Acting as a threat multiplier for all other drivers is climate change. The Sahelian region is experiencing increased climate variability, with more frequent droughts and unpredictable rainfall. This exacerbates water scarcity, reduces agricultural yields, and contributes to resource-based conflicts, creating a feedback loop that deepens vulnerability </w:t>
      </w:r>
      <w:hyperlink r:id="rId14" w:history="1">
        <w:r w:rsidR="004163B2" w:rsidRPr="004163B2">
          <w:rPr>
            <w:rStyle w:val="Hyperlink"/>
            <w:rFonts w:ascii="Times New Roman" w:hAnsi="Times New Roman" w:cs="Times New Roman"/>
            <w:color w:val="auto"/>
            <w:u w:val="none"/>
          </w:rPr>
          <w:t>(</w:t>
        </w:r>
        <w:proofErr w:type="spellStart"/>
        <w:r w:rsidR="004163B2" w:rsidRPr="004163B2">
          <w:rPr>
            <w:rStyle w:val="Hyperlink"/>
            <w:rFonts w:ascii="Times New Roman" w:hAnsi="Times New Roman" w:cs="Times New Roman"/>
            <w:color w:val="auto"/>
            <w:u w:val="none"/>
          </w:rPr>
          <w:t>Emmanue</w:t>
        </w:r>
        <w:proofErr w:type="spellEnd"/>
        <w:r w:rsidR="004163B2" w:rsidRPr="004163B2">
          <w:rPr>
            <w:rStyle w:val="Hyperlink"/>
            <w:rFonts w:ascii="Times New Roman" w:hAnsi="Times New Roman" w:cs="Times New Roman"/>
            <w:color w:val="auto"/>
            <w:u w:val="none"/>
          </w:rPr>
          <w:t xml:space="preserve"> &amp; Zacharia, 2025)</w:t>
        </w:r>
      </w:hyperlink>
      <w:r w:rsidRPr="0034066E">
        <w:rPr>
          <w:rFonts w:ascii="Times New Roman" w:hAnsi="Times New Roman" w:cs="Times New Roman"/>
        </w:rPr>
        <w:t>. Finally, all these challenges are compounded by inherent weaknesses in the health system itself. The health system in Katsina is fragile, with limited capacity to manage the syndemic due to low coverage of essential services like routine immunization and management of severe acute malnutrition, critical shortages of skilled health personnel in rural areas, and weak supply chains leading to frequent stock-outs of essential medicines and therapeutic foods.</w:t>
      </w:r>
    </w:p>
    <w:p w14:paraId="2DB343C2" w14:textId="77777777" w:rsidR="00F142CF" w:rsidRDefault="00F142CF" w:rsidP="00F142CF">
      <w:pPr>
        <w:jc w:val="both"/>
        <w:rPr>
          <w:rFonts w:ascii="Times New Roman" w:hAnsi="Times New Roman" w:cs="Times New Roman"/>
          <w:b/>
          <w:bCs/>
        </w:rPr>
      </w:pPr>
      <w:r>
        <w:rPr>
          <w:noProof/>
        </w:rPr>
        <w:lastRenderedPageBreak/>
        <w:drawing>
          <wp:anchor distT="0" distB="0" distL="114300" distR="114300" simplePos="0" relativeHeight="251660288" behindDoc="0" locked="0" layoutInCell="1" allowOverlap="1" wp14:anchorId="0523046B" wp14:editId="2B6D26D5">
            <wp:simplePos x="0" y="0"/>
            <wp:positionH relativeFrom="margin">
              <wp:align>left</wp:align>
            </wp:positionH>
            <wp:positionV relativeFrom="paragraph">
              <wp:posOffset>203200</wp:posOffset>
            </wp:positionV>
            <wp:extent cx="6014085" cy="4324350"/>
            <wp:effectExtent l="0" t="0" r="5715" b="0"/>
            <wp:wrapSquare wrapText="bothSides"/>
            <wp:docPr id="1370276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4085"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B25B8" w14:textId="77777777" w:rsidR="00F142CF" w:rsidRDefault="00F142CF" w:rsidP="00F142CF">
      <w:pPr>
        <w:jc w:val="both"/>
        <w:rPr>
          <w:rFonts w:ascii="Times New Roman" w:hAnsi="Times New Roman" w:cs="Times New Roman"/>
          <w:b/>
          <w:bCs/>
        </w:rPr>
      </w:pPr>
    </w:p>
    <w:p w14:paraId="6522F62F"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5. The Failure of Siloed Approaches and the Evidence for Integration</w:t>
      </w:r>
    </w:p>
    <w:p w14:paraId="094B49F6" w14:textId="25ABA630" w:rsidR="00F142CF" w:rsidRPr="0034066E" w:rsidRDefault="00F142CF" w:rsidP="00F142CF">
      <w:pPr>
        <w:jc w:val="both"/>
        <w:rPr>
          <w:rFonts w:ascii="Times New Roman" w:hAnsi="Times New Roman" w:cs="Times New Roman"/>
        </w:rPr>
      </w:pPr>
      <w:r w:rsidRPr="0034066E">
        <w:rPr>
          <w:rFonts w:ascii="Times New Roman" w:hAnsi="Times New Roman" w:cs="Times New Roman"/>
        </w:rPr>
        <w:t>Historically, the response in Katsina and similar contexts has been characterized by vertical, single-sector programs. A nutrition program may provide lipid-based nutrient supplements, while a separate health program distributes bed nets and treats malaria. While these interventions have intrinsic value, their impact is often limited and unsustainable because they fail to disrupt the underlying syndemic dynamics (Gillespie et al., 201</w:t>
      </w:r>
      <w:r w:rsidR="00F3760F">
        <w:rPr>
          <w:rFonts w:ascii="Times New Roman" w:hAnsi="Times New Roman" w:cs="Times New Roman"/>
        </w:rPr>
        <w:t>3</w:t>
      </w:r>
      <w:r w:rsidRPr="0034066E">
        <w:rPr>
          <w:rFonts w:ascii="Times New Roman" w:hAnsi="Times New Roman" w:cs="Times New Roman"/>
        </w:rPr>
        <w:t xml:space="preserve">). The fundamental limitation of a siloed approach is its focus on a single outcome, implemented through separate funding, leadership, and monitoring systems, which inevitably misses the root causes of the problem. For example, providing Ready-to-Use Therapeutic Food (RUTF) to a severely malnourished child without addressing the contaminated water source that causes the recurrent </w:t>
      </w:r>
      <w:proofErr w:type="spellStart"/>
      <w:r w:rsidRPr="0034066E">
        <w:rPr>
          <w:rFonts w:ascii="Times New Roman" w:hAnsi="Times New Roman" w:cs="Times New Roman"/>
        </w:rPr>
        <w:t>diarrhoea</w:t>
      </w:r>
      <w:proofErr w:type="spellEnd"/>
      <w:r w:rsidRPr="0034066E">
        <w:rPr>
          <w:rFonts w:ascii="Times New Roman" w:hAnsi="Times New Roman" w:cs="Times New Roman"/>
        </w:rPr>
        <w:t xml:space="preserve"> leading to relapse is a quintessential example of a siloed intervention that yields suboptimal results.</w:t>
      </w:r>
    </w:p>
    <w:p w14:paraId="28611086" w14:textId="7F081369"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In contrast, a multi-sectoral approach focuses on holistic well-being and breaking the syndemic cycle through joint planning, pooled funding, and shared accountability. This would involve bundling RUTF with WASH kits containing water filters and soap, alongside nutrition-sensitive agriculture support for the household. A robust body of evidence supports the superiority of such </w:t>
      </w:r>
      <w:r w:rsidRPr="0034066E">
        <w:rPr>
          <w:rFonts w:ascii="Times New Roman" w:hAnsi="Times New Roman" w:cs="Times New Roman"/>
        </w:rPr>
        <w:lastRenderedPageBreak/>
        <w:t>integrated, multi-sectoral strategies. A landmark review demonstrated that nutrition-sensitive programs in agriculture, social safety nets, and WASH can significantly improve nutritional outcomes (Ruel &amp; Alderman, 201</w:t>
      </w:r>
      <w:r w:rsidR="004A0798">
        <w:rPr>
          <w:rFonts w:ascii="Times New Roman" w:hAnsi="Times New Roman" w:cs="Times New Roman"/>
        </w:rPr>
        <w:t>3</w:t>
      </w:r>
      <w:r w:rsidRPr="0034066E">
        <w:rPr>
          <w:rFonts w:ascii="Times New Roman" w:hAnsi="Times New Roman" w:cs="Times New Roman"/>
        </w:rPr>
        <w:t xml:space="preserve">). While early WASH trials showed mixed results, more recent studies targeting the first 1000 days with high-quality interventions show a significant impact on reducing stunting and </w:t>
      </w:r>
      <w:proofErr w:type="spellStart"/>
      <w:r w:rsidRPr="0034066E">
        <w:rPr>
          <w:rFonts w:ascii="Times New Roman" w:hAnsi="Times New Roman" w:cs="Times New Roman"/>
        </w:rPr>
        <w:t>diarrhoea</w:t>
      </w:r>
      <w:proofErr w:type="spellEnd"/>
      <w:r w:rsidRPr="0034066E">
        <w:rPr>
          <w:rFonts w:ascii="Times New Roman" w:hAnsi="Times New Roman" w:cs="Times New Roman"/>
        </w:rPr>
        <w:t xml:space="preserve"> (</w:t>
      </w:r>
      <w:proofErr w:type="spellStart"/>
      <w:r w:rsidRPr="0034066E">
        <w:rPr>
          <w:rFonts w:ascii="Times New Roman" w:hAnsi="Times New Roman" w:cs="Times New Roman"/>
        </w:rPr>
        <w:t>Dangour</w:t>
      </w:r>
      <w:proofErr w:type="spellEnd"/>
      <w:r w:rsidRPr="0034066E">
        <w:rPr>
          <w:rFonts w:ascii="Times New Roman" w:hAnsi="Times New Roman" w:cs="Times New Roman"/>
        </w:rPr>
        <w:t xml:space="preserve"> et al., 201</w:t>
      </w:r>
      <w:r w:rsidR="005A152D">
        <w:rPr>
          <w:rFonts w:ascii="Times New Roman" w:hAnsi="Times New Roman" w:cs="Times New Roman"/>
        </w:rPr>
        <w:t>3</w:t>
      </w:r>
      <w:r w:rsidRPr="0034066E">
        <w:rPr>
          <w:rFonts w:ascii="Times New Roman" w:hAnsi="Times New Roman" w:cs="Times New Roman"/>
        </w:rPr>
        <w:t xml:space="preserve">; </w:t>
      </w:r>
      <w:hyperlink r:id="rId16" w:history="1">
        <w:r w:rsidR="00DF51DF" w:rsidRPr="00DF51DF">
          <w:rPr>
            <w:rStyle w:val="Hyperlink"/>
            <w:rFonts w:ascii="Times New Roman" w:hAnsi="Times New Roman" w:cs="Times New Roman"/>
            <w:color w:val="auto"/>
            <w:u w:val="none"/>
          </w:rPr>
          <w:t>Budge et al., 2019)</w:t>
        </w:r>
      </w:hyperlink>
      <w:r w:rsidRPr="00DF51DF">
        <w:rPr>
          <w:rFonts w:ascii="Times New Roman" w:hAnsi="Times New Roman" w:cs="Times New Roman"/>
        </w:rPr>
        <w:t xml:space="preserve">. </w:t>
      </w:r>
      <w:r w:rsidRPr="0034066E">
        <w:rPr>
          <w:rFonts w:ascii="Times New Roman" w:hAnsi="Times New Roman" w:cs="Times New Roman"/>
        </w:rPr>
        <w:t xml:space="preserve">Furthermore, social protection mechanisms like conditional cash transfers have been shown to improve dietary diversity and reduce stunting by empowering households to access better food and health services </w:t>
      </w:r>
      <w:hyperlink r:id="rId17" w:history="1">
        <w:r w:rsidR="005A152D" w:rsidRPr="005A152D">
          <w:rPr>
            <w:rStyle w:val="Hyperlink"/>
            <w:rFonts w:ascii="Times New Roman" w:hAnsi="Times New Roman" w:cs="Times New Roman"/>
            <w:color w:val="auto"/>
            <w:u w:val="none"/>
          </w:rPr>
          <w:t>(Manley et al., 2020)</w:t>
        </w:r>
      </w:hyperlink>
      <w:r w:rsidRPr="0034066E">
        <w:rPr>
          <w:rFonts w:ascii="Times New Roman" w:hAnsi="Times New Roman" w:cs="Times New Roman"/>
        </w:rPr>
        <w:t xml:space="preserve">. Ultimately, systematic reviews confirm that coordinated action across sectors is more effective and cost-efficient in reducing stunting than single-sector interventions </w:t>
      </w:r>
      <w:hyperlink r:id="rId18" w:history="1">
        <w:r w:rsidR="00812F3F" w:rsidRPr="00812F3F">
          <w:rPr>
            <w:rStyle w:val="Hyperlink"/>
            <w:rFonts w:ascii="Times New Roman" w:hAnsi="Times New Roman" w:cs="Times New Roman"/>
            <w:color w:val="auto"/>
            <w:u w:val="none"/>
          </w:rPr>
          <w:t>(Aminah et al., 2024)</w:t>
        </w:r>
      </w:hyperlink>
      <w:r w:rsidRPr="0034066E">
        <w:rPr>
          <w:rFonts w:ascii="Times New Roman" w:hAnsi="Times New Roman" w:cs="Times New Roman"/>
        </w:rPr>
        <w:t>.</w:t>
      </w:r>
    </w:p>
    <w:p w14:paraId="2EC3BA53"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6. The Katsina Multi-Sectoral Action Framework (K-MSAF)</w:t>
      </w:r>
    </w:p>
    <w:p w14:paraId="25CFCD3B"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Based on the syndemic analysis and the evidence for integration, we propose the </w:t>
      </w:r>
      <w:r w:rsidRPr="0034066E">
        <w:rPr>
          <w:rFonts w:ascii="Times New Roman" w:hAnsi="Times New Roman" w:cs="Times New Roman"/>
          <w:b/>
          <w:bCs/>
        </w:rPr>
        <w:t>Katsina Multi-Sectoral Action Framework (K-MSAF)</w:t>
      </w:r>
      <w:r w:rsidRPr="0034066E">
        <w:rPr>
          <w:rFonts w:ascii="Times New Roman" w:hAnsi="Times New Roman" w:cs="Times New Roman"/>
        </w:rPr>
        <w:t>. This framework is designed to provide a coherent structure for government, partners, and communities to collaboratively break the malnutrition-infection cycle. The framework, depicted in Figure 3, is structured around three concentric pillars, with the child and household at the center as the ultimate unit of change.</w:t>
      </w:r>
    </w:p>
    <w:p w14:paraId="30012A6C" w14:textId="77777777" w:rsidR="00F142CF" w:rsidRPr="0034066E" w:rsidRDefault="00F142CF" w:rsidP="00F142CF">
      <w:pPr>
        <w:jc w:val="both"/>
        <w:rPr>
          <w:rFonts w:ascii="Times New Roman" w:hAnsi="Times New Roman" w:cs="Times New Roman"/>
        </w:rPr>
      </w:pPr>
      <w:r w:rsidRPr="0034066E">
        <w:rPr>
          <w:noProof/>
        </w:rPr>
        <w:lastRenderedPageBreak/>
        <w:drawing>
          <wp:inline distT="0" distB="0" distL="0" distR="0" wp14:anchorId="1577886E" wp14:editId="25B9AFA4">
            <wp:extent cx="5943600" cy="5099050"/>
            <wp:effectExtent l="0" t="0" r="0" b="6350"/>
            <wp:docPr id="17076352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99050"/>
                    </a:xfrm>
                    <a:prstGeom prst="rect">
                      <a:avLst/>
                    </a:prstGeom>
                    <a:noFill/>
                    <a:ln>
                      <a:noFill/>
                    </a:ln>
                  </pic:spPr>
                </pic:pic>
              </a:graphicData>
            </a:graphic>
          </wp:inline>
        </w:drawing>
      </w:r>
      <w:r w:rsidRPr="0034066E">
        <w:rPr>
          <w:rFonts w:ascii="Times New Roman" w:hAnsi="Times New Roman" w:cs="Times New Roman"/>
        </w:rPr>
        <w:t>The first pillar, Foundational Governance and Financing, establishes the necessary enabling environment. This begins with high-level political commitment, which could be operationalized through a State-Level Syndemic Task Force chaired by the Governor and involving commissioners from key ministries alongside traditional and religious leaders to provide strategic direction and resolve bureaucratic bottlenecks. This must be supported by dedicated and pooled financing, such as a Katsina Syndemic Response Fund, where donors and government allocations for nutrition, health, and WASH are pooled to finance integrated programs, thereby reducing duplication and encouraging collaboration. Finally, a unified data and accountability system, featuring a common results framework and dashboard that tracks cross-sectoral indicators, is essential for promoting shared accountability and measuring synergistic impact.</w:t>
      </w:r>
    </w:p>
    <w:p w14:paraId="37C550D8"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The second pillar, Integrated Service Delivery at the Community and Primary Healthcare Level, serves as the implementation engine. This involves the co-location and bundling of services at points of contact with beneficiaries. For instance, every vaccination contact could include a MUAC screening for the child and counselling on infant and young child feeding (IYCF) for the mother, </w:t>
      </w:r>
      <w:r w:rsidRPr="0034066E">
        <w:rPr>
          <w:rFonts w:ascii="Times New Roman" w:hAnsi="Times New Roman" w:cs="Times New Roman"/>
        </w:rPr>
        <w:lastRenderedPageBreak/>
        <w:t>an approach known as "Vaccination Plus." Similarly, antenatal care visits could be expanded to include the distribution of insecticide-treated nets, micronutrient supplements, and counselling on hygiene. Strengthening the frontline workforce is also crucial; training Community Health Extension Workers (CHEWs) as "Syndemic Frontline Workers" would equip them to provide basic education and services across nutrition, WASH, and common illnesses. Intensifying Community-Led Total Sanitation (CLTS) programs with explicit links to nutrition outcomes can further empower communities to become open-defecation-free.</w:t>
      </w:r>
    </w:p>
    <w:p w14:paraId="27BB3F9E"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The third pillar, Cross-Sectoral Programmatic Convergence, defines the specific intervention packages where sectors deliberately reinforce each other. This includes creating robust Agriculture-Nutrition (Ag-Nut) Linkages by promoting the production and consumption of bio-fortified crops like vitamin A maize and iron-rich beans, supporting homestead gardening, and integrating nutrition education into agricultural extension services. It also entails WASH-Nutrition Convergence by targeting "WASH-Nut First 1000 Days Packages" to pregnant women and mothers of children under two, which would bundle nutrition counselling and micronutrient powders with a household water filter and soap. Furthermore, Social Protection-Health Linkages can be designed by creating cash transfer programs with "soft" conditions, such as requiring attendance at health and nutrition education sessions, and using social registries to identify the most vulnerable households for integrated support.</w:t>
      </w:r>
    </w:p>
    <w:p w14:paraId="55845F5F"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7. Discussion</w:t>
      </w:r>
    </w:p>
    <w:p w14:paraId="524BAA95"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This review has argued that the persistent crisis of child health in Katsina State is best understood and addressed through the lens of a syndemic. The synergistic interaction of malnutrition and infection, </w:t>
      </w:r>
      <w:proofErr w:type="spellStart"/>
      <w:r w:rsidRPr="0034066E">
        <w:rPr>
          <w:rFonts w:ascii="Times New Roman" w:hAnsi="Times New Roman" w:cs="Times New Roman"/>
        </w:rPr>
        <w:t>fuelled</w:t>
      </w:r>
      <w:proofErr w:type="spellEnd"/>
      <w:r w:rsidRPr="0034066E">
        <w:rPr>
          <w:rFonts w:ascii="Times New Roman" w:hAnsi="Times New Roman" w:cs="Times New Roman"/>
        </w:rPr>
        <w:t xml:space="preserve"> by deep-rooted socio-economic and environmental drivers, creates a burden that demands a radical departure from business-as-usual approaches. The proposed Katsina Multi-Sectoral Action Framework (K-MSAF) offers a structured pathway for such a shift.</w:t>
      </w:r>
    </w:p>
    <w:p w14:paraId="3BDC059F"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For policymakers in Katsina State and development partners, the implications are clear. First, there must be a decisive end to working in silos, mandating joint planning and budgeting across ministries of Health, Agriculture, Water Resources, and Women's Affairs. Second, investment must be directed toward the foundational elements of governance and unified data systems, which are as critical as specific interventions. Third, all convergent actions should prioritize the first 1000 days of life, which represents the period of greatest vulnerability and potential for impact. Finally, programs must explicitly address gender inequity and leverage community structures to ensure sustainable and culturally resonant change.</w:t>
      </w:r>
    </w:p>
    <w:p w14:paraId="02D08965"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While the evidence for multi-sectoral action is strong, operationalizing it in a complex, conflict-affected state like Katsina requires context-specific learning. Key research priorities include implementation science studies to understand how the K-MSAF can be effectively rolled out, identifying key barriers and facilitators. Cost-effectiveness analyses are needed to quantify the return on investment of a multi-sectoral approach compared to vertical programming. Research into conflict-sensitive programming is essential to determine how integrated services can be </w:t>
      </w:r>
      <w:r w:rsidRPr="0034066E">
        <w:rPr>
          <w:rFonts w:ascii="Times New Roman" w:hAnsi="Times New Roman" w:cs="Times New Roman"/>
        </w:rPr>
        <w:lastRenderedPageBreak/>
        <w:t xml:space="preserve">delivered safely and effectively to insecure and displaced populations. Furthermore, new metrics must be developed to monitor synergistic effects and capture the added value of integration, such as measuring reductions in the co-prevalence of stunting and recurrent </w:t>
      </w:r>
      <w:proofErr w:type="spellStart"/>
      <w:r w:rsidRPr="0034066E">
        <w:rPr>
          <w:rFonts w:ascii="Times New Roman" w:hAnsi="Times New Roman" w:cs="Times New Roman"/>
        </w:rPr>
        <w:t>diarrhoea</w:t>
      </w:r>
      <w:proofErr w:type="spellEnd"/>
      <w:r w:rsidRPr="0034066E">
        <w:rPr>
          <w:rFonts w:ascii="Times New Roman" w:hAnsi="Times New Roman" w:cs="Times New Roman"/>
        </w:rPr>
        <w:t>.</w:t>
      </w:r>
    </w:p>
    <w:p w14:paraId="153398FF"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This review has limitations inherent to the narrative methodology. The selection and interpretation of literature are subjective, though we have striven for comprehensiveness and balance. Furthermore, the K-MSAF is a conceptual model derived from synthesis and requires piloting and rigorous evaluation to test its efficacy and adaptability in the field.</w:t>
      </w:r>
    </w:p>
    <w:p w14:paraId="7781360B"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8. Conclusion</w:t>
      </w:r>
    </w:p>
    <w:p w14:paraId="330338CF" w14:textId="2DC3C6A0" w:rsidR="00F142CF" w:rsidRDefault="00F142CF" w:rsidP="00F142CF">
      <w:pPr>
        <w:jc w:val="both"/>
        <w:rPr>
          <w:rFonts w:ascii="Times New Roman" w:hAnsi="Times New Roman" w:cs="Times New Roman"/>
        </w:rPr>
      </w:pPr>
      <w:r w:rsidRPr="0034066E">
        <w:rPr>
          <w:rFonts w:ascii="Times New Roman" w:hAnsi="Times New Roman" w:cs="Times New Roman"/>
        </w:rPr>
        <w:t>The children of Katsina State are trapped in a biological and social trap of malnutrition and infection. Viewing this not as two separate problems but as one intertwined syndemic is the first step toward a more effective response. The evidence is clear: vertical, siloed programs have reached their limit of effectiveness. The path forward lies in bold, integrated, multi-sectoral action that confronts the root causes of this crisis. The Katsina Multi-Sectoral Action Framework (K-MSAF) provides a blueprint for such action. By strengthening governance, integrating service delivery, and fostering programmatic convergence across agriculture, WASH, social protection, and health, stakeholders in Katsina can begin to dismantle the drivers of the syndemic. The time for rhetoric is over; the time for coordinated, determined, and synergistic action is now. The future of an entire generation depends on it.</w:t>
      </w:r>
    </w:p>
    <w:p w14:paraId="73702FAB" w14:textId="77777777" w:rsidR="00345F68" w:rsidRPr="00740879" w:rsidRDefault="00345F68" w:rsidP="00345F68">
      <w:pPr>
        <w:rPr>
          <w:highlight w:val="yellow"/>
        </w:rPr>
      </w:pPr>
      <w:r w:rsidRPr="00740879">
        <w:rPr>
          <w:highlight w:val="yellow"/>
        </w:rPr>
        <w:t>Disclaimer (Artificial intelligence)</w:t>
      </w:r>
    </w:p>
    <w:p w14:paraId="31E197D3" w14:textId="77777777" w:rsidR="00345F68" w:rsidRPr="00740879" w:rsidRDefault="00345F68" w:rsidP="00345F68">
      <w:pPr>
        <w:rPr>
          <w:highlight w:val="yellow"/>
        </w:rPr>
      </w:pPr>
      <w:r w:rsidRPr="00740879">
        <w:rPr>
          <w:highlight w:val="yellow"/>
        </w:rPr>
        <w:t xml:space="preserve">Option 1: </w:t>
      </w:r>
    </w:p>
    <w:p w14:paraId="368A584A" w14:textId="77777777" w:rsidR="00345F68" w:rsidRPr="00740879" w:rsidRDefault="00345F68" w:rsidP="00345F6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469D22A" w14:textId="77777777" w:rsidR="00345F68" w:rsidRPr="00740879" w:rsidRDefault="00345F68" w:rsidP="00345F68">
      <w:pPr>
        <w:rPr>
          <w:highlight w:val="yellow"/>
        </w:rPr>
      </w:pPr>
      <w:r w:rsidRPr="00740879">
        <w:rPr>
          <w:highlight w:val="yellow"/>
        </w:rPr>
        <w:t xml:space="preserve">Option 2: </w:t>
      </w:r>
    </w:p>
    <w:p w14:paraId="1AB099CF" w14:textId="77777777" w:rsidR="00345F68" w:rsidRPr="00740879" w:rsidRDefault="00345F68" w:rsidP="00345F6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095A1E" w14:textId="77777777" w:rsidR="00345F68" w:rsidRPr="00740879" w:rsidRDefault="00345F68" w:rsidP="00345F68">
      <w:pPr>
        <w:rPr>
          <w:highlight w:val="yellow"/>
        </w:rPr>
      </w:pPr>
      <w:r w:rsidRPr="00740879">
        <w:rPr>
          <w:highlight w:val="yellow"/>
        </w:rPr>
        <w:t>Details of the AI usage are given below:</w:t>
      </w:r>
    </w:p>
    <w:p w14:paraId="75D2E20C" w14:textId="77777777" w:rsidR="00345F68" w:rsidRPr="00740879" w:rsidRDefault="00345F68" w:rsidP="00345F68">
      <w:pPr>
        <w:rPr>
          <w:highlight w:val="yellow"/>
        </w:rPr>
      </w:pPr>
      <w:r w:rsidRPr="00740879">
        <w:rPr>
          <w:highlight w:val="yellow"/>
        </w:rPr>
        <w:t>1.</w:t>
      </w:r>
    </w:p>
    <w:p w14:paraId="3636EC8F" w14:textId="77777777" w:rsidR="00345F68" w:rsidRPr="00740879" w:rsidRDefault="00345F68" w:rsidP="00345F68">
      <w:pPr>
        <w:rPr>
          <w:highlight w:val="yellow"/>
        </w:rPr>
      </w:pPr>
      <w:r w:rsidRPr="00740879">
        <w:rPr>
          <w:highlight w:val="yellow"/>
        </w:rPr>
        <w:t>2.</w:t>
      </w:r>
    </w:p>
    <w:p w14:paraId="741DE9B6" w14:textId="77777777" w:rsidR="00345F68" w:rsidRPr="00D047BB" w:rsidRDefault="00345F68" w:rsidP="00345F68">
      <w:r w:rsidRPr="00740879">
        <w:rPr>
          <w:highlight w:val="yellow"/>
        </w:rPr>
        <w:t>3.</w:t>
      </w:r>
    </w:p>
    <w:p w14:paraId="4AA7C63C" w14:textId="77777777" w:rsidR="00345F68" w:rsidRPr="0034066E" w:rsidRDefault="00345F68" w:rsidP="00F142CF">
      <w:pPr>
        <w:jc w:val="both"/>
        <w:rPr>
          <w:rFonts w:ascii="Times New Roman" w:hAnsi="Times New Roman" w:cs="Times New Roman"/>
        </w:rPr>
      </w:pPr>
    </w:p>
    <w:p w14:paraId="1DA73DEF" w14:textId="05D69088" w:rsidR="00F142CF" w:rsidRPr="0034066E" w:rsidRDefault="00F84E25" w:rsidP="00F142CF">
      <w:pPr>
        <w:jc w:val="both"/>
        <w:rPr>
          <w:rFonts w:ascii="Times New Roman" w:hAnsi="Times New Roman" w:cs="Times New Roman"/>
          <w:b/>
          <w:bCs/>
        </w:rPr>
      </w:pPr>
      <w:r w:rsidRPr="0034066E">
        <w:rPr>
          <w:rFonts w:ascii="Times New Roman" w:hAnsi="Times New Roman" w:cs="Times New Roman"/>
          <w:b/>
          <w:bCs/>
        </w:rPr>
        <w:lastRenderedPageBreak/>
        <w:t>REFERENCES</w:t>
      </w:r>
    </w:p>
    <w:p w14:paraId="33FFC068" w14:textId="41893C3D" w:rsidR="00F142CF" w:rsidRPr="00DE0EDC" w:rsidRDefault="003431E1" w:rsidP="00DE0EDC">
      <w:pPr>
        <w:pStyle w:val="ListParagraph"/>
        <w:numPr>
          <w:ilvl w:val="0"/>
          <w:numId w:val="10"/>
        </w:numPr>
        <w:jc w:val="both"/>
        <w:rPr>
          <w:rFonts w:ascii="Times New Roman" w:hAnsi="Times New Roman" w:cs="Times New Roman"/>
        </w:rPr>
      </w:pPr>
      <w:hyperlink r:id="rId20" w:history="1">
        <w:r w:rsidR="00EE7119" w:rsidRPr="00DE0EDC">
          <w:rPr>
            <w:rStyle w:val="Hyperlink"/>
            <w:rFonts w:ascii="Times New Roman" w:hAnsi="Times New Roman" w:cs="Times New Roman"/>
            <w:color w:val="auto"/>
            <w:u w:val="none"/>
          </w:rPr>
          <w:t xml:space="preserve">Kehinde, T., &amp; </w:t>
        </w:r>
        <w:proofErr w:type="spellStart"/>
        <w:r w:rsidR="00EE7119" w:rsidRPr="00DE0EDC">
          <w:rPr>
            <w:rStyle w:val="Hyperlink"/>
            <w:rFonts w:ascii="Times New Roman" w:hAnsi="Times New Roman" w:cs="Times New Roman"/>
            <w:color w:val="auto"/>
            <w:u w:val="none"/>
          </w:rPr>
          <w:t>Favour</w:t>
        </w:r>
        <w:proofErr w:type="spellEnd"/>
        <w:r w:rsidR="00EE7119" w:rsidRPr="00DE0EDC">
          <w:rPr>
            <w:rStyle w:val="Hyperlink"/>
            <w:rFonts w:ascii="Times New Roman" w:hAnsi="Times New Roman" w:cs="Times New Roman"/>
            <w:color w:val="auto"/>
            <w:u w:val="none"/>
          </w:rPr>
          <w:t xml:space="preserve">, E. (2020). Food insecurity and nutrition status of farm households in northwestern Nigeria. </w:t>
        </w:r>
        <w:r w:rsidR="00EE7119" w:rsidRPr="00DE0EDC">
          <w:rPr>
            <w:rStyle w:val="Hyperlink"/>
            <w:rFonts w:ascii="Times New Roman" w:hAnsi="Times New Roman" w:cs="Times New Roman"/>
            <w:i/>
            <w:iCs/>
            <w:color w:val="auto"/>
            <w:u w:val="none"/>
          </w:rPr>
          <w:t>Journal of Food Security</w:t>
        </w:r>
        <w:r w:rsidR="00EE7119" w:rsidRPr="00DE0EDC">
          <w:rPr>
            <w:rStyle w:val="Hyperlink"/>
            <w:rFonts w:ascii="Times New Roman" w:hAnsi="Times New Roman" w:cs="Times New Roman"/>
            <w:color w:val="auto"/>
            <w:u w:val="none"/>
          </w:rPr>
          <w:t xml:space="preserve">, </w:t>
        </w:r>
        <w:r w:rsidR="00EE7119" w:rsidRPr="00DE0EDC">
          <w:rPr>
            <w:rStyle w:val="Hyperlink"/>
            <w:rFonts w:ascii="Times New Roman" w:hAnsi="Times New Roman" w:cs="Times New Roman"/>
            <w:i/>
            <w:iCs/>
            <w:color w:val="auto"/>
            <w:u w:val="none"/>
          </w:rPr>
          <w:t>8</w:t>
        </w:r>
        <w:r w:rsidR="00EE7119" w:rsidRPr="00DE0EDC">
          <w:rPr>
            <w:rStyle w:val="Hyperlink"/>
            <w:rFonts w:ascii="Times New Roman" w:hAnsi="Times New Roman" w:cs="Times New Roman"/>
            <w:color w:val="auto"/>
            <w:u w:val="none"/>
          </w:rPr>
          <w:t>(3), 98–104.</w:t>
        </w:r>
      </w:hyperlink>
    </w:p>
    <w:p w14:paraId="758533AA" w14:textId="201CD95C" w:rsidR="00F142CF" w:rsidRPr="00DE0EDC" w:rsidRDefault="002C32AC"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 xml:space="preserve">Musa, M., &amp; Abdullahi, A. (2025). </w:t>
      </w:r>
      <w:r w:rsidRPr="00DE0EDC">
        <w:rPr>
          <w:rFonts w:ascii="Times New Roman" w:hAnsi="Times New Roman" w:cs="Times New Roman"/>
          <w:i/>
          <w:iCs/>
        </w:rPr>
        <w:t>Resilience or coping: Adaptive livelihood strategies and their nutritional trade-offs among conflict-affected pastoralist communities in Katsina State, Nigeria.</w:t>
      </w:r>
      <w:r w:rsidRPr="00DE0EDC">
        <w:rPr>
          <w:rFonts w:ascii="Times New Roman" w:hAnsi="Times New Roman" w:cs="Times New Roman"/>
        </w:rPr>
        <w:t xml:space="preserve"> Journal of Current Research and Studies, 2(4). </w:t>
      </w:r>
      <w:hyperlink r:id="rId21" w:tgtFrame="_new" w:history="1">
        <w:r w:rsidRPr="00DE0EDC">
          <w:rPr>
            <w:rStyle w:val="Hyperlink"/>
            <w:rFonts w:ascii="Times New Roman" w:hAnsi="Times New Roman" w:cs="Times New Roman"/>
          </w:rPr>
          <w:t>https://journalcurrentresearch.com/pub/jcr/article/view/50</w:t>
        </w:r>
      </w:hyperlink>
    </w:p>
    <w:p w14:paraId="121BF174" w14:textId="3CC8DB57"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Bourke, C. D., Berkley, J. A., &amp; Prendergast, A. J. (20</w:t>
      </w:r>
      <w:r w:rsidR="000E3EBD" w:rsidRPr="00DE0EDC">
        <w:rPr>
          <w:rFonts w:ascii="Times New Roman" w:hAnsi="Times New Roman" w:cs="Times New Roman"/>
        </w:rPr>
        <w:t>16</w:t>
      </w:r>
      <w:r w:rsidRPr="00DE0EDC">
        <w:rPr>
          <w:rFonts w:ascii="Times New Roman" w:hAnsi="Times New Roman" w:cs="Times New Roman"/>
        </w:rPr>
        <w:t>). Immune dysfunction as a cause and consequence of malnutrition. </w:t>
      </w:r>
      <w:r w:rsidRPr="00DE0EDC">
        <w:rPr>
          <w:rFonts w:ascii="Times New Roman" w:hAnsi="Times New Roman" w:cs="Times New Roman"/>
          <w:i/>
          <w:iCs/>
        </w:rPr>
        <w:t>Trends in Immunology, 43</w:t>
      </w:r>
      <w:r w:rsidRPr="00DE0EDC">
        <w:rPr>
          <w:rFonts w:ascii="Times New Roman" w:hAnsi="Times New Roman" w:cs="Times New Roman"/>
        </w:rPr>
        <w:t>(5), 399-411. </w:t>
      </w:r>
      <w:hyperlink r:id="rId22" w:tgtFrame="_blank" w:history="1">
        <w:r w:rsidRPr="00DE0EDC">
          <w:rPr>
            <w:rStyle w:val="Hyperlink"/>
            <w:rFonts w:ascii="Times New Roman" w:hAnsi="Times New Roman" w:cs="Times New Roman"/>
          </w:rPr>
          <w:t>https://doi.org/10.1016/j.it.2022.03.002</w:t>
        </w:r>
      </w:hyperlink>
    </w:p>
    <w:p w14:paraId="550AA9CF" w14:textId="5586B596" w:rsidR="00F142CF" w:rsidRPr="00DE0EDC" w:rsidRDefault="003431E1" w:rsidP="00DE0EDC">
      <w:pPr>
        <w:pStyle w:val="ListParagraph"/>
        <w:numPr>
          <w:ilvl w:val="0"/>
          <w:numId w:val="10"/>
        </w:numPr>
        <w:jc w:val="both"/>
        <w:rPr>
          <w:rFonts w:ascii="Times New Roman" w:hAnsi="Times New Roman" w:cs="Times New Roman"/>
        </w:rPr>
      </w:pPr>
      <w:hyperlink r:id="rId23" w:history="1">
        <w:r w:rsidR="005A152D" w:rsidRPr="00DE0EDC">
          <w:rPr>
            <w:rStyle w:val="Hyperlink"/>
            <w:rFonts w:ascii="Times New Roman" w:hAnsi="Times New Roman" w:cs="Times New Roman"/>
            <w:color w:val="auto"/>
            <w:u w:val="none"/>
          </w:rPr>
          <w:t xml:space="preserve">Manley, J., Balarajan, Y., Malm, S., Harman, L., Owens, J., Murthy, S., Stewart, D., Winder-Rossi, N. E., &amp; Khurshid, A. (2020). Cash transfers and child nutritional outcomes: a systematic review and meta-analysis. </w:t>
        </w:r>
        <w:r w:rsidR="005A152D" w:rsidRPr="00DE0EDC">
          <w:rPr>
            <w:rStyle w:val="Hyperlink"/>
            <w:rFonts w:ascii="Times New Roman" w:hAnsi="Times New Roman" w:cs="Times New Roman"/>
            <w:i/>
            <w:iCs/>
            <w:color w:val="auto"/>
            <w:u w:val="none"/>
          </w:rPr>
          <w:t>BMJ Global Health</w:t>
        </w:r>
        <w:r w:rsidR="005A152D" w:rsidRPr="00DE0EDC">
          <w:rPr>
            <w:rStyle w:val="Hyperlink"/>
            <w:rFonts w:ascii="Times New Roman" w:hAnsi="Times New Roman" w:cs="Times New Roman"/>
            <w:color w:val="auto"/>
            <w:u w:val="none"/>
          </w:rPr>
          <w:t xml:space="preserve">, </w:t>
        </w:r>
        <w:r w:rsidR="005A152D" w:rsidRPr="00DE0EDC">
          <w:rPr>
            <w:rStyle w:val="Hyperlink"/>
            <w:rFonts w:ascii="Times New Roman" w:hAnsi="Times New Roman" w:cs="Times New Roman"/>
            <w:i/>
            <w:iCs/>
            <w:color w:val="auto"/>
            <w:u w:val="none"/>
          </w:rPr>
          <w:t>5</w:t>
        </w:r>
        <w:r w:rsidR="005A152D" w:rsidRPr="00DE0EDC">
          <w:rPr>
            <w:rStyle w:val="Hyperlink"/>
            <w:rFonts w:ascii="Times New Roman" w:hAnsi="Times New Roman" w:cs="Times New Roman"/>
            <w:color w:val="auto"/>
            <w:u w:val="none"/>
          </w:rPr>
          <w:t>(12). https://doi.org/</w:t>
        </w:r>
      </w:hyperlink>
      <w:hyperlink r:id="rId24" w:history="1">
        <w:r w:rsidR="005A152D" w:rsidRPr="00DE0EDC">
          <w:rPr>
            <w:rStyle w:val="Hyperlink"/>
            <w:rFonts w:ascii="Times New Roman" w:hAnsi="Times New Roman" w:cs="Times New Roman"/>
            <w:color w:val="auto"/>
            <w:u w:val="none"/>
          </w:rPr>
          <w:t>10.1136/bmjgh-2020-003621</w:t>
        </w:r>
      </w:hyperlink>
    </w:p>
    <w:p w14:paraId="15214CA8" w14:textId="16A6A65F" w:rsidR="00F142CF" w:rsidRPr="00DE0EDC" w:rsidRDefault="00F142CF" w:rsidP="00DE0EDC">
      <w:pPr>
        <w:pStyle w:val="ListParagraph"/>
        <w:numPr>
          <w:ilvl w:val="0"/>
          <w:numId w:val="10"/>
        </w:numPr>
        <w:jc w:val="both"/>
        <w:rPr>
          <w:rFonts w:ascii="Times New Roman" w:hAnsi="Times New Roman" w:cs="Times New Roman"/>
        </w:rPr>
      </w:pPr>
      <w:proofErr w:type="spellStart"/>
      <w:r w:rsidRPr="00DE0EDC">
        <w:rPr>
          <w:rFonts w:ascii="Times New Roman" w:hAnsi="Times New Roman" w:cs="Times New Roman"/>
        </w:rPr>
        <w:t>Dangour</w:t>
      </w:r>
      <w:proofErr w:type="spellEnd"/>
      <w:r w:rsidRPr="00DE0EDC">
        <w:rPr>
          <w:rFonts w:ascii="Times New Roman" w:hAnsi="Times New Roman" w:cs="Times New Roman"/>
        </w:rPr>
        <w:t xml:space="preserve">, A. D., Watson, L., Cumming, O., Boisson, S., Che, Y., Velleman, Y., Cavill, S., Allen, E., &amp; </w:t>
      </w:r>
      <w:proofErr w:type="spellStart"/>
      <w:r w:rsidRPr="00DE0EDC">
        <w:rPr>
          <w:rFonts w:ascii="Times New Roman" w:hAnsi="Times New Roman" w:cs="Times New Roman"/>
        </w:rPr>
        <w:t>Uauy</w:t>
      </w:r>
      <w:proofErr w:type="spellEnd"/>
      <w:r w:rsidRPr="00DE0EDC">
        <w:rPr>
          <w:rFonts w:ascii="Times New Roman" w:hAnsi="Times New Roman" w:cs="Times New Roman"/>
        </w:rPr>
        <w:t>, R. (201</w:t>
      </w:r>
      <w:r w:rsidR="005A152D" w:rsidRPr="00DE0EDC">
        <w:rPr>
          <w:rFonts w:ascii="Times New Roman" w:hAnsi="Times New Roman" w:cs="Times New Roman"/>
        </w:rPr>
        <w:t>3</w:t>
      </w:r>
      <w:r w:rsidRPr="00DE0EDC">
        <w:rPr>
          <w:rFonts w:ascii="Times New Roman" w:hAnsi="Times New Roman" w:cs="Times New Roman"/>
        </w:rPr>
        <w:t>). Interventions to improve water quality and supply, sanitation and hygiene practices, and their effects on the nutritional status of children. </w:t>
      </w:r>
      <w:r w:rsidRPr="00DE0EDC">
        <w:rPr>
          <w:rFonts w:ascii="Times New Roman" w:hAnsi="Times New Roman" w:cs="Times New Roman"/>
          <w:i/>
          <w:iCs/>
        </w:rPr>
        <w:t>Cochrane Database of Systematic Reviews, 2018</w:t>
      </w:r>
      <w:r w:rsidRPr="00DE0EDC">
        <w:rPr>
          <w:rFonts w:ascii="Times New Roman" w:hAnsi="Times New Roman" w:cs="Times New Roman"/>
        </w:rPr>
        <w:t>(11), CD009382. </w:t>
      </w:r>
      <w:hyperlink r:id="rId25" w:tgtFrame="_blank" w:history="1">
        <w:r w:rsidRPr="00DE0EDC">
          <w:rPr>
            <w:rStyle w:val="Hyperlink"/>
            <w:rFonts w:ascii="Times New Roman" w:hAnsi="Times New Roman" w:cs="Times New Roman"/>
          </w:rPr>
          <w:t>https://doi.org/10.1002/14651858.CD009382.pub3</w:t>
        </w:r>
      </w:hyperlink>
    </w:p>
    <w:p w14:paraId="3986966F" w14:textId="5F23BFEE" w:rsidR="00F142CF" w:rsidRPr="00DE0EDC" w:rsidRDefault="003431E1" w:rsidP="00DE0EDC">
      <w:pPr>
        <w:pStyle w:val="ListParagraph"/>
        <w:numPr>
          <w:ilvl w:val="0"/>
          <w:numId w:val="10"/>
        </w:numPr>
        <w:jc w:val="both"/>
        <w:rPr>
          <w:rFonts w:ascii="Times New Roman" w:hAnsi="Times New Roman" w:cs="Times New Roman"/>
        </w:rPr>
      </w:pPr>
      <w:hyperlink r:id="rId26" w:history="1">
        <w:proofErr w:type="spellStart"/>
        <w:r w:rsidR="004163B2" w:rsidRPr="00DE0EDC">
          <w:rPr>
            <w:rStyle w:val="Hyperlink"/>
            <w:rFonts w:ascii="Times New Roman" w:hAnsi="Times New Roman" w:cs="Times New Roman"/>
            <w:color w:val="auto"/>
            <w:u w:val="none"/>
          </w:rPr>
          <w:t>Emmanue</w:t>
        </w:r>
        <w:proofErr w:type="spellEnd"/>
        <w:r w:rsidR="004163B2" w:rsidRPr="00DE0EDC">
          <w:rPr>
            <w:rStyle w:val="Hyperlink"/>
            <w:rFonts w:ascii="Times New Roman" w:hAnsi="Times New Roman" w:cs="Times New Roman"/>
            <w:color w:val="auto"/>
            <w:u w:val="none"/>
          </w:rPr>
          <w:t xml:space="preserve">, J., &amp; Zacharia, R. E. (2025). Climate change as a threat multiplier: How environmental degradation fuels conflict in the Sahel. </w:t>
        </w:r>
        <w:proofErr w:type="spellStart"/>
        <w:r w:rsidR="004163B2" w:rsidRPr="00DE0EDC">
          <w:rPr>
            <w:rStyle w:val="Hyperlink"/>
            <w:rFonts w:ascii="Times New Roman" w:hAnsi="Times New Roman" w:cs="Times New Roman"/>
            <w:i/>
            <w:iCs/>
            <w:color w:val="auto"/>
            <w:u w:val="none"/>
          </w:rPr>
          <w:t>Kwaghe</w:t>
        </w:r>
        <w:proofErr w:type="spellEnd"/>
        <w:r w:rsidR="004163B2" w:rsidRPr="00DE0EDC">
          <w:rPr>
            <w:rStyle w:val="Hyperlink"/>
            <w:rFonts w:ascii="Times New Roman" w:hAnsi="Times New Roman" w:cs="Times New Roman"/>
            <w:i/>
            <w:iCs/>
            <w:color w:val="auto"/>
            <w:u w:val="none"/>
          </w:rPr>
          <w:t xml:space="preserve"> International Journal of Arts, Humanities and Religious Studies</w:t>
        </w:r>
        <w:r w:rsidR="004163B2" w:rsidRPr="00DE0EDC">
          <w:rPr>
            <w:rStyle w:val="Hyperlink"/>
            <w:rFonts w:ascii="Times New Roman" w:hAnsi="Times New Roman" w:cs="Times New Roman"/>
            <w:color w:val="auto"/>
            <w:u w:val="none"/>
          </w:rPr>
          <w:t xml:space="preserve">, </w:t>
        </w:r>
        <w:r w:rsidR="004163B2" w:rsidRPr="00DE0EDC">
          <w:rPr>
            <w:rStyle w:val="Hyperlink"/>
            <w:rFonts w:ascii="Times New Roman" w:hAnsi="Times New Roman" w:cs="Times New Roman"/>
            <w:i/>
            <w:iCs/>
            <w:color w:val="auto"/>
            <w:u w:val="none"/>
          </w:rPr>
          <w:t>2</w:t>
        </w:r>
        <w:r w:rsidR="004163B2" w:rsidRPr="00DE0EDC">
          <w:rPr>
            <w:rStyle w:val="Hyperlink"/>
            <w:rFonts w:ascii="Times New Roman" w:hAnsi="Times New Roman" w:cs="Times New Roman"/>
            <w:color w:val="auto"/>
            <w:u w:val="none"/>
          </w:rPr>
          <w:t>(2), 85–98</w:t>
        </w:r>
      </w:hyperlink>
    </w:p>
    <w:p w14:paraId="7B45EC26" w14:textId="31CB8464" w:rsidR="00F142CF" w:rsidRPr="00DE0EDC" w:rsidRDefault="003431E1" w:rsidP="00DE0EDC">
      <w:pPr>
        <w:pStyle w:val="ListParagraph"/>
        <w:numPr>
          <w:ilvl w:val="0"/>
          <w:numId w:val="10"/>
        </w:numPr>
        <w:jc w:val="both"/>
        <w:rPr>
          <w:rFonts w:ascii="Times New Roman" w:hAnsi="Times New Roman" w:cs="Times New Roman"/>
        </w:rPr>
      </w:pPr>
      <w:hyperlink r:id="rId27" w:history="1">
        <w:proofErr w:type="spellStart"/>
        <w:r w:rsidR="00F3760F" w:rsidRPr="00DE0EDC">
          <w:rPr>
            <w:rStyle w:val="Hyperlink"/>
            <w:rFonts w:ascii="Times New Roman" w:hAnsi="Times New Roman" w:cs="Times New Roman"/>
            <w:color w:val="auto"/>
            <w:u w:val="none"/>
          </w:rPr>
          <w:t>Prameswari</w:t>
        </w:r>
        <w:proofErr w:type="spellEnd"/>
        <w:r w:rsidR="00F3760F" w:rsidRPr="00DE0EDC">
          <w:rPr>
            <w:rStyle w:val="Hyperlink"/>
            <w:rFonts w:ascii="Times New Roman" w:hAnsi="Times New Roman" w:cs="Times New Roman"/>
            <w:color w:val="auto"/>
            <w:u w:val="none"/>
          </w:rPr>
          <w:t xml:space="preserve">, G. A. (2024). Nutritional status of pregnant women and its impact on child stunting incidence in Indonesia: Literature review. </w:t>
        </w:r>
        <w:r w:rsidR="00F3760F" w:rsidRPr="00DE0EDC">
          <w:rPr>
            <w:rStyle w:val="Hyperlink"/>
            <w:rFonts w:ascii="Times New Roman" w:hAnsi="Times New Roman" w:cs="Times New Roman"/>
            <w:i/>
            <w:iCs/>
            <w:color w:val="auto"/>
            <w:u w:val="none"/>
          </w:rPr>
          <w:t>World Journal of Advanced Research and Reviews</w:t>
        </w:r>
        <w:r w:rsidR="00F3760F" w:rsidRPr="00DE0EDC">
          <w:rPr>
            <w:rStyle w:val="Hyperlink"/>
            <w:rFonts w:ascii="Times New Roman" w:hAnsi="Times New Roman" w:cs="Times New Roman"/>
            <w:color w:val="auto"/>
            <w:u w:val="none"/>
          </w:rPr>
          <w:t xml:space="preserve">, </w:t>
        </w:r>
        <w:r w:rsidR="00F3760F" w:rsidRPr="00DE0EDC">
          <w:rPr>
            <w:rStyle w:val="Hyperlink"/>
            <w:rFonts w:ascii="Times New Roman" w:hAnsi="Times New Roman" w:cs="Times New Roman"/>
            <w:i/>
            <w:iCs/>
            <w:color w:val="auto"/>
            <w:u w:val="none"/>
          </w:rPr>
          <w:t>21</w:t>
        </w:r>
        <w:r w:rsidR="00F3760F" w:rsidRPr="00DE0EDC">
          <w:rPr>
            <w:rStyle w:val="Hyperlink"/>
            <w:rFonts w:ascii="Times New Roman" w:hAnsi="Times New Roman" w:cs="Times New Roman"/>
            <w:color w:val="auto"/>
            <w:u w:val="none"/>
          </w:rPr>
          <w:t>(1), 1912–1915.</w:t>
        </w:r>
      </w:hyperlink>
    </w:p>
    <w:p w14:paraId="4481671D" w14:textId="77777777" w:rsidR="00F142CF" w:rsidRPr="00F42FE3" w:rsidRDefault="00F142CF" w:rsidP="00DE0EDC">
      <w:pPr>
        <w:pStyle w:val="ListParagraph"/>
        <w:numPr>
          <w:ilvl w:val="0"/>
          <w:numId w:val="10"/>
        </w:numPr>
        <w:jc w:val="both"/>
        <w:rPr>
          <w:rFonts w:ascii="Times New Roman" w:hAnsi="Times New Roman" w:cs="Times New Roman"/>
        </w:rPr>
      </w:pPr>
      <w:r w:rsidRPr="00F42FE3">
        <w:rPr>
          <w:rFonts w:ascii="Times New Roman" w:hAnsi="Times New Roman" w:cs="Times New Roman"/>
        </w:rPr>
        <w:t>Federal Ministry of Health (FMOH). (2020). *National Strategic Health Development Plan II (2018-</w:t>
      </w:r>
      <w:proofErr w:type="gramStart"/>
      <w:r w:rsidRPr="00F42FE3">
        <w:rPr>
          <w:rFonts w:ascii="Times New Roman" w:hAnsi="Times New Roman" w:cs="Times New Roman"/>
        </w:rPr>
        <w:t>2022)*</w:t>
      </w:r>
      <w:proofErr w:type="gramEnd"/>
      <w:r w:rsidRPr="00F42FE3">
        <w:rPr>
          <w:rFonts w:ascii="Times New Roman" w:hAnsi="Times New Roman" w:cs="Times New Roman"/>
        </w:rPr>
        <w:t>. Federal Republic of Nigeria.</w:t>
      </w:r>
    </w:p>
    <w:p w14:paraId="335DA05F" w14:textId="77777777" w:rsidR="00F142CF" w:rsidRPr="00F42FE3" w:rsidRDefault="00F142CF" w:rsidP="00DE0EDC">
      <w:pPr>
        <w:pStyle w:val="ListParagraph"/>
        <w:numPr>
          <w:ilvl w:val="0"/>
          <w:numId w:val="10"/>
        </w:numPr>
        <w:jc w:val="both"/>
        <w:rPr>
          <w:rFonts w:ascii="Times New Roman" w:hAnsi="Times New Roman" w:cs="Times New Roman"/>
        </w:rPr>
      </w:pPr>
      <w:r w:rsidRPr="00F42FE3">
        <w:rPr>
          <w:rFonts w:ascii="Times New Roman" w:hAnsi="Times New Roman" w:cs="Times New Roman"/>
        </w:rPr>
        <w:t>Federal Ministry of Water Resources (FMOWR). (2022). </w:t>
      </w:r>
      <w:r w:rsidRPr="00F42FE3">
        <w:rPr>
          <w:rFonts w:ascii="Times New Roman" w:hAnsi="Times New Roman" w:cs="Times New Roman"/>
          <w:i/>
          <w:iCs/>
        </w:rPr>
        <w:t>Water, Sanitation and Hygiene: National Outcome Routine Mapping (WASHNORM) III Report</w:t>
      </w:r>
      <w:r w:rsidRPr="00F42FE3">
        <w:rPr>
          <w:rFonts w:ascii="Times New Roman" w:hAnsi="Times New Roman" w:cs="Times New Roman"/>
        </w:rPr>
        <w:t>. Federal Republic of Nigeria.</w:t>
      </w:r>
    </w:p>
    <w:p w14:paraId="29DE3860" w14:textId="3D846D55"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Gillespie, S., van den Bold, M., &amp; Hodge, J. (201</w:t>
      </w:r>
      <w:r w:rsidR="00F3760F" w:rsidRPr="00DE0EDC">
        <w:rPr>
          <w:rFonts w:ascii="Times New Roman" w:hAnsi="Times New Roman" w:cs="Times New Roman"/>
        </w:rPr>
        <w:t>3</w:t>
      </w:r>
      <w:r w:rsidRPr="00DE0EDC">
        <w:rPr>
          <w:rFonts w:ascii="Times New Roman" w:hAnsi="Times New Roman" w:cs="Times New Roman"/>
        </w:rPr>
        <w:t>). The politics of reducing malnutrition: Building commitment and accelerating progress. </w:t>
      </w:r>
      <w:r w:rsidRPr="00DE0EDC">
        <w:rPr>
          <w:rFonts w:ascii="Times New Roman" w:hAnsi="Times New Roman" w:cs="Times New Roman"/>
          <w:i/>
          <w:iCs/>
        </w:rPr>
        <w:t>The Lancet, 393</w:t>
      </w:r>
      <w:r w:rsidRPr="00DE0EDC">
        <w:rPr>
          <w:rFonts w:ascii="Times New Roman" w:hAnsi="Times New Roman" w:cs="Times New Roman"/>
        </w:rPr>
        <w:t>(10184), 1992-2007. </w:t>
      </w:r>
      <w:hyperlink r:id="rId28" w:tgtFrame="_blank" w:history="1">
        <w:r w:rsidRPr="00DE0EDC">
          <w:rPr>
            <w:rStyle w:val="Hyperlink"/>
            <w:rFonts w:ascii="Times New Roman" w:hAnsi="Times New Roman" w:cs="Times New Roman"/>
          </w:rPr>
          <w:t>https://doi.org/10.1016/S0140-6736(19)32590-3</w:t>
        </w:r>
      </w:hyperlink>
    </w:p>
    <w:p w14:paraId="4D2588E0" w14:textId="04E457CD" w:rsidR="00F142CF" w:rsidRPr="00DE0EDC" w:rsidRDefault="003431E1" w:rsidP="00DE0EDC">
      <w:pPr>
        <w:pStyle w:val="ListParagraph"/>
        <w:numPr>
          <w:ilvl w:val="0"/>
          <w:numId w:val="10"/>
        </w:numPr>
        <w:jc w:val="both"/>
        <w:rPr>
          <w:rFonts w:ascii="Times New Roman" w:hAnsi="Times New Roman" w:cs="Times New Roman"/>
        </w:rPr>
      </w:pPr>
      <w:hyperlink r:id="rId29" w:history="1">
        <w:r w:rsidR="00E72CEC" w:rsidRPr="00DE0EDC">
          <w:rPr>
            <w:rStyle w:val="Hyperlink"/>
            <w:rFonts w:ascii="Times New Roman" w:hAnsi="Times New Roman" w:cs="Times New Roman"/>
            <w:color w:val="auto"/>
            <w:u w:val="none"/>
          </w:rPr>
          <w:t xml:space="preserve">Gari, T., Loha, E., Deressa, W., Solomon, T., &amp; </w:t>
        </w:r>
        <w:proofErr w:type="spellStart"/>
        <w:r w:rsidR="00E72CEC" w:rsidRPr="00DE0EDC">
          <w:rPr>
            <w:rStyle w:val="Hyperlink"/>
            <w:rFonts w:ascii="Times New Roman" w:hAnsi="Times New Roman" w:cs="Times New Roman"/>
            <w:color w:val="auto"/>
            <w:u w:val="none"/>
          </w:rPr>
          <w:t>Lindtjørn</w:t>
        </w:r>
        <w:proofErr w:type="spellEnd"/>
        <w:r w:rsidR="00E72CEC" w:rsidRPr="00DE0EDC">
          <w:rPr>
            <w:rStyle w:val="Hyperlink"/>
            <w:rFonts w:ascii="Times New Roman" w:hAnsi="Times New Roman" w:cs="Times New Roman"/>
            <w:color w:val="auto"/>
            <w:u w:val="none"/>
          </w:rPr>
          <w:t xml:space="preserve">, B. (2018). Malaria increased the risk of stunting and wasting among young children in Ethiopia: Results of a cohort study. </w:t>
        </w:r>
        <w:proofErr w:type="spellStart"/>
        <w:r w:rsidR="00E72CEC" w:rsidRPr="00DE0EDC">
          <w:rPr>
            <w:rStyle w:val="Hyperlink"/>
            <w:rFonts w:ascii="Times New Roman" w:hAnsi="Times New Roman" w:cs="Times New Roman"/>
            <w:i/>
            <w:iCs/>
            <w:color w:val="auto"/>
            <w:u w:val="none"/>
          </w:rPr>
          <w:t>PloS</w:t>
        </w:r>
        <w:proofErr w:type="spellEnd"/>
        <w:r w:rsidR="00E72CEC" w:rsidRPr="00DE0EDC">
          <w:rPr>
            <w:rStyle w:val="Hyperlink"/>
            <w:rFonts w:ascii="Times New Roman" w:hAnsi="Times New Roman" w:cs="Times New Roman"/>
            <w:i/>
            <w:iCs/>
            <w:color w:val="auto"/>
            <w:u w:val="none"/>
          </w:rPr>
          <w:t xml:space="preserve"> One</w:t>
        </w:r>
        <w:r w:rsidR="00E72CEC" w:rsidRPr="00DE0EDC">
          <w:rPr>
            <w:rStyle w:val="Hyperlink"/>
            <w:rFonts w:ascii="Times New Roman" w:hAnsi="Times New Roman" w:cs="Times New Roman"/>
            <w:color w:val="auto"/>
            <w:u w:val="none"/>
          </w:rPr>
          <w:t xml:space="preserve">, </w:t>
        </w:r>
        <w:r w:rsidR="00E72CEC" w:rsidRPr="00DE0EDC">
          <w:rPr>
            <w:rStyle w:val="Hyperlink"/>
            <w:rFonts w:ascii="Times New Roman" w:hAnsi="Times New Roman" w:cs="Times New Roman"/>
            <w:i/>
            <w:iCs/>
            <w:color w:val="auto"/>
            <w:u w:val="none"/>
          </w:rPr>
          <w:t>13</w:t>
        </w:r>
        <w:r w:rsidR="00E72CEC" w:rsidRPr="00DE0EDC">
          <w:rPr>
            <w:rStyle w:val="Hyperlink"/>
            <w:rFonts w:ascii="Times New Roman" w:hAnsi="Times New Roman" w:cs="Times New Roman"/>
            <w:color w:val="auto"/>
            <w:u w:val="none"/>
          </w:rPr>
          <w:t>(1), e0190983.</w:t>
        </w:r>
      </w:hyperlink>
    </w:p>
    <w:p w14:paraId="3400D696" w14:textId="77777777"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 xml:space="preserve">Greenhalgh, T., Thorne, S., &amp; </w:t>
      </w:r>
      <w:proofErr w:type="spellStart"/>
      <w:r w:rsidRPr="00DE0EDC">
        <w:rPr>
          <w:rFonts w:ascii="Times New Roman" w:hAnsi="Times New Roman" w:cs="Times New Roman"/>
        </w:rPr>
        <w:t>Malterud</w:t>
      </w:r>
      <w:proofErr w:type="spellEnd"/>
      <w:r w:rsidRPr="00DE0EDC">
        <w:rPr>
          <w:rFonts w:ascii="Times New Roman" w:hAnsi="Times New Roman" w:cs="Times New Roman"/>
        </w:rPr>
        <w:t>, K. (2018). Time to challenge the spurious hierarchy of systematic over narrative reviews? </w:t>
      </w:r>
      <w:r w:rsidRPr="00DE0EDC">
        <w:rPr>
          <w:rFonts w:ascii="Times New Roman" w:hAnsi="Times New Roman" w:cs="Times New Roman"/>
          <w:i/>
          <w:iCs/>
        </w:rPr>
        <w:t>European Journal of Clinical Investigation, 48</w:t>
      </w:r>
      <w:r w:rsidRPr="00DE0EDC">
        <w:rPr>
          <w:rFonts w:ascii="Times New Roman" w:hAnsi="Times New Roman" w:cs="Times New Roman"/>
        </w:rPr>
        <w:t>(6), e12931. </w:t>
      </w:r>
      <w:hyperlink r:id="rId30" w:tgtFrame="_blank" w:history="1">
        <w:r w:rsidRPr="00DE0EDC">
          <w:rPr>
            <w:rStyle w:val="Hyperlink"/>
            <w:rFonts w:ascii="Times New Roman" w:hAnsi="Times New Roman" w:cs="Times New Roman"/>
          </w:rPr>
          <w:t>https://doi.org/10.1111/eci.12931</w:t>
        </w:r>
      </w:hyperlink>
    </w:p>
    <w:p w14:paraId="1F3510D6" w14:textId="77777777"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lastRenderedPageBreak/>
        <w:t>Jones, K. D., &amp; Berkley, J. A. (2018). Severe acute malnutrition and infection. </w:t>
      </w:r>
      <w:proofErr w:type="spellStart"/>
      <w:r w:rsidRPr="00DE0EDC">
        <w:rPr>
          <w:rFonts w:ascii="Times New Roman" w:hAnsi="Times New Roman" w:cs="Times New Roman"/>
          <w:i/>
          <w:iCs/>
        </w:rPr>
        <w:t>Paediatrics</w:t>
      </w:r>
      <w:proofErr w:type="spellEnd"/>
      <w:r w:rsidRPr="00DE0EDC">
        <w:rPr>
          <w:rFonts w:ascii="Times New Roman" w:hAnsi="Times New Roman" w:cs="Times New Roman"/>
          <w:i/>
          <w:iCs/>
        </w:rPr>
        <w:t xml:space="preserve"> and International Child Health, 38</w:t>
      </w:r>
      <w:r w:rsidRPr="00DE0EDC">
        <w:rPr>
          <w:rFonts w:ascii="Times New Roman" w:hAnsi="Times New Roman" w:cs="Times New Roman"/>
        </w:rPr>
        <w:t>(sup1), S1-S29. </w:t>
      </w:r>
      <w:hyperlink r:id="rId31" w:tgtFrame="_blank" w:history="1">
        <w:r w:rsidRPr="00DE0EDC">
          <w:rPr>
            <w:rStyle w:val="Hyperlink"/>
            <w:rFonts w:ascii="Times New Roman" w:hAnsi="Times New Roman" w:cs="Times New Roman"/>
          </w:rPr>
          <w:t>https://doi.org/10.1080/20469047.2017.1409453</w:t>
        </w:r>
      </w:hyperlink>
    </w:p>
    <w:p w14:paraId="51D39B23" w14:textId="0266FD70" w:rsidR="00F142CF" w:rsidRPr="00DE0EDC" w:rsidRDefault="003431E1" w:rsidP="00DE0EDC">
      <w:pPr>
        <w:pStyle w:val="ListParagraph"/>
        <w:numPr>
          <w:ilvl w:val="0"/>
          <w:numId w:val="10"/>
        </w:numPr>
        <w:jc w:val="both"/>
        <w:rPr>
          <w:rFonts w:ascii="Times New Roman" w:hAnsi="Times New Roman" w:cs="Times New Roman"/>
        </w:rPr>
      </w:pPr>
      <w:hyperlink r:id="rId32" w:history="1">
        <w:r w:rsidR="00DF51DF" w:rsidRPr="00DE0EDC">
          <w:rPr>
            <w:rStyle w:val="Hyperlink"/>
            <w:rFonts w:ascii="Times New Roman" w:hAnsi="Times New Roman" w:cs="Times New Roman"/>
            <w:color w:val="auto"/>
            <w:u w:val="none"/>
          </w:rPr>
          <w:t xml:space="preserve">Dauphinais, M. R., Koura, K. G., Narasimhan, P. B., Mehta, S., Finkelstein, J. L., </w:t>
        </w:r>
        <w:proofErr w:type="spellStart"/>
        <w:r w:rsidR="00DF51DF" w:rsidRPr="00DE0EDC">
          <w:rPr>
            <w:rStyle w:val="Hyperlink"/>
            <w:rFonts w:ascii="Times New Roman" w:hAnsi="Times New Roman" w:cs="Times New Roman"/>
            <w:color w:val="auto"/>
            <w:u w:val="none"/>
          </w:rPr>
          <w:t>Heysell</w:t>
        </w:r>
        <w:proofErr w:type="spellEnd"/>
        <w:r w:rsidR="00DF51DF" w:rsidRPr="00DE0EDC">
          <w:rPr>
            <w:rStyle w:val="Hyperlink"/>
            <w:rFonts w:ascii="Times New Roman" w:hAnsi="Times New Roman" w:cs="Times New Roman"/>
            <w:color w:val="auto"/>
            <w:u w:val="none"/>
          </w:rPr>
          <w:t xml:space="preserve">, S. K., &amp; Sinha, P. (2024). Nutritionally acquired immunodeficiency must be addressed with the same urgency as HIV to end tuberculosis. </w:t>
        </w:r>
        <w:r w:rsidR="00DF51DF" w:rsidRPr="00DE0EDC">
          <w:rPr>
            <w:rStyle w:val="Hyperlink"/>
            <w:rFonts w:ascii="Times New Roman" w:hAnsi="Times New Roman" w:cs="Times New Roman"/>
            <w:i/>
            <w:iCs/>
            <w:color w:val="auto"/>
            <w:u w:val="none"/>
          </w:rPr>
          <w:t>BMC Global and Public Health</w:t>
        </w:r>
        <w:r w:rsidR="00DF51DF" w:rsidRPr="00DE0EDC">
          <w:rPr>
            <w:rStyle w:val="Hyperlink"/>
            <w:rFonts w:ascii="Times New Roman" w:hAnsi="Times New Roman" w:cs="Times New Roman"/>
            <w:color w:val="auto"/>
            <w:u w:val="none"/>
          </w:rPr>
          <w:t xml:space="preserve">, </w:t>
        </w:r>
        <w:r w:rsidR="00DF51DF" w:rsidRPr="00DE0EDC">
          <w:rPr>
            <w:rStyle w:val="Hyperlink"/>
            <w:rFonts w:ascii="Times New Roman" w:hAnsi="Times New Roman" w:cs="Times New Roman"/>
            <w:i/>
            <w:iCs/>
            <w:color w:val="auto"/>
            <w:u w:val="none"/>
          </w:rPr>
          <w:t>2</w:t>
        </w:r>
        <w:r w:rsidR="00DF51DF" w:rsidRPr="00DE0EDC">
          <w:rPr>
            <w:rStyle w:val="Hyperlink"/>
            <w:rFonts w:ascii="Times New Roman" w:hAnsi="Times New Roman" w:cs="Times New Roman"/>
            <w:color w:val="auto"/>
            <w:u w:val="none"/>
          </w:rPr>
          <w:t>(1), 4.</w:t>
        </w:r>
      </w:hyperlink>
    </w:p>
    <w:p w14:paraId="0375B1AD" w14:textId="77777777" w:rsidR="00F42FE3" w:rsidRDefault="00F42FE3" w:rsidP="00DE0EDC">
      <w:pPr>
        <w:pStyle w:val="ListParagraph"/>
        <w:numPr>
          <w:ilvl w:val="0"/>
          <w:numId w:val="10"/>
        </w:numPr>
        <w:jc w:val="both"/>
        <w:rPr>
          <w:rFonts w:ascii="Times New Roman" w:hAnsi="Times New Roman" w:cs="Times New Roman"/>
        </w:rPr>
      </w:pPr>
      <w:r w:rsidRPr="00F42FE3">
        <w:rPr>
          <w:rFonts w:ascii="Times New Roman" w:hAnsi="Times New Roman" w:cs="Times New Roman"/>
        </w:rPr>
        <w:t xml:space="preserve">Solis-Soto, M. T., </w:t>
      </w:r>
      <w:proofErr w:type="spellStart"/>
      <w:r w:rsidRPr="00F42FE3">
        <w:rPr>
          <w:rFonts w:ascii="Times New Roman" w:hAnsi="Times New Roman" w:cs="Times New Roman"/>
        </w:rPr>
        <w:t>Paudel</w:t>
      </w:r>
      <w:proofErr w:type="spellEnd"/>
      <w:r w:rsidRPr="00F42FE3">
        <w:rPr>
          <w:rFonts w:ascii="Times New Roman" w:hAnsi="Times New Roman" w:cs="Times New Roman"/>
        </w:rPr>
        <w:t xml:space="preserve">, D., &amp; </w:t>
      </w:r>
      <w:proofErr w:type="spellStart"/>
      <w:r w:rsidRPr="00F42FE3">
        <w:rPr>
          <w:rFonts w:ascii="Times New Roman" w:hAnsi="Times New Roman" w:cs="Times New Roman"/>
        </w:rPr>
        <w:t>Nicoli</w:t>
      </w:r>
      <w:proofErr w:type="spellEnd"/>
      <w:r w:rsidRPr="00F42FE3">
        <w:rPr>
          <w:rFonts w:ascii="Times New Roman" w:hAnsi="Times New Roman" w:cs="Times New Roman"/>
        </w:rPr>
        <w:t xml:space="preserve">, F. (2020). Relationship between vaccination and nutritional status in children. Demographic Research, 42, 1-14. </w:t>
      </w:r>
    </w:p>
    <w:p w14:paraId="3EA1BB35" w14:textId="0DE0C86D"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National Population Commission (NPC) and ICF. (2019). </w:t>
      </w:r>
      <w:r w:rsidRPr="00DE0EDC">
        <w:rPr>
          <w:rFonts w:ascii="Times New Roman" w:hAnsi="Times New Roman" w:cs="Times New Roman"/>
          <w:i/>
          <w:iCs/>
        </w:rPr>
        <w:t>Nigeria Demographic and Health Survey 2018</w:t>
      </w:r>
      <w:r w:rsidRPr="00DE0EDC">
        <w:rPr>
          <w:rFonts w:ascii="Times New Roman" w:hAnsi="Times New Roman" w:cs="Times New Roman"/>
        </w:rPr>
        <w:t>. NPC and ICF.</w:t>
      </w:r>
    </w:p>
    <w:p w14:paraId="5D97A5B6" w14:textId="0C1AB5C2" w:rsidR="00F142CF" w:rsidRPr="00DE0EDC" w:rsidRDefault="003431E1" w:rsidP="00DE0EDC">
      <w:pPr>
        <w:pStyle w:val="ListParagraph"/>
        <w:numPr>
          <w:ilvl w:val="0"/>
          <w:numId w:val="10"/>
        </w:numPr>
        <w:jc w:val="both"/>
        <w:rPr>
          <w:rFonts w:ascii="Times New Roman" w:hAnsi="Times New Roman" w:cs="Times New Roman"/>
        </w:rPr>
      </w:pPr>
      <w:hyperlink r:id="rId33" w:history="1">
        <w:r w:rsidR="00DF51DF" w:rsidRPr="00DE0EDC">
          <w:rPr>
            <w:rStyle w:val="Hyperlink"/>
            <w:rFonts w:ascii="Times New Roman" w:hAnsi="Times New Roman" w:cs="Times New Roman"/>
            <w:color w:val="auto"/>
            <w:u w:val="none"/>
          </w:rPr>
          <w:t xml:space="preserve">Budge, S., Parker, A. H., Hutchings, P. T., &amp; Garbutt, C. (2019). Environmental enteric dysfunction and child stunting. </w:t>
        </w:r>
        <w:r w:rsidR="00DF51DF" w:rsidRPr="00DE0EDC">
          <w:rPr>
            <w:rStyle w:val="Hyperlink"/>
            <w:rFonts w:ascii="Times New Roman" w:hAnsi="Times New Roman" w:cs="Times New Roman"/>
            <w:i/>
            <w:iCs/>
            <w:color w:val="auto"/>
            <w:u w:val="none"/>
          </w:rPr>
          <w:t>Nutrition Reviews</w:t>
        </w:r>
        <w:r w:rsidR="00DF51DF" w:rsidRPr="00DE0EDC">
          <w:rPr>
            <w:rStyle w:val="Hyperlink"/>
            <w:rFonts w:ascii="Times New Roman" w:hAnsi="Times New Roman" w:cs="Times New Roman"/>
            <w:color w:val="auto"/>
            <w:u w:val="none"/>
          </w:rPr>
          <w:t xml:space="preserve">, </w:t>
        </w:r>
        <w:r w:rsidR="00DF51DF" w:rsidRPr="00DE0EDC">
          <w:rPr>
            <w:rStyle w:val="Hyperlink"/>
            <w:rFonts w:ascii="Times New Roman" w:hAnsi="Times New Roman" w:cs="Times New Roman"/>
            <w:i/>
            <w:iCs/>
            <w:color w:val="auto"/>
            <w:u w:val="none"/>
          </w:rPr>
          <w:t>77</w:t>
        </w:r>
        <w:r w:rsidR="00DF51DF" w:rsidRPr="00DE0EDC">
          <w:rPr>
            <w:rStyle w:val="Hyperlink"/>
            <w:rFonts w:ascii="Times New Roman" w:hAnsi="Times New Roman" w:cs="Times New Roman"/>
            <w:color w:val="auto"/>
            <w:u w:val="none"/>
          </w:rPr>
          <w:t>(4), 240–253.</w:t>
        </w:r>
      </w:hyperlink>
    </w:p>
    <w:p w14:paraId="1DBD1F92" w14:textId="2E79F44C" w:rsidR="00F142CF" w:rsidRPr="00DE0EDC" w:rsidRDefault="00383EC1"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 xml:space="preserve">Food and Agriculture Organization of the United Nations. (2023). </w:t>
      </w:r>
      <w:r w:rsidRPr="00DE0EDC">
        <w:rPr>
          <w:rFonts w:ascii="Times New Roman" w:hAnsi="Times New Roman" w:cs="Times New Roman"/>
          <w:i/>
          <w:iCs/>
        </w:rPr>
        <w:t>The impact of disasters on agriculture and food security 2023: Avoiding and reducing losses through investment in resilience</w:t>
      </w:r>
      <w:r w:rsidRPr="00DE0EDC">
        <w:rPr>
          <w:rFonts w:ascii="Times New Roman" w:hAnsi="Times New Roman" w:cs="Times New Roman"/>
        </w:rPr>
        <w:t xml:space="preserve">. </w:t>
      </w:r>
      <w:r w:rsidRPr="00DE0EDC">
        <w:rPr>
          <w:rFonts w:ascii="Times New Roman" w:hAnsi="Times New Roman" w:cs="Times New Roman"/>
          <w:i/>
          <w:iCs/>
        </w:rPr>
        <w:t>https://openknowledge.fao.org/server/api/core/bitstreams/069ceb86-59b2-4b6e-90e0-b7bd26a58c76/content</w:t>
      </w:r>
    </w:p>
    <w:p w14:paraId="31B19815" w14:textId="77777777" w:rsidR="00A80FFB" w:rsidRDefault="00A80FFB" w:rsidP="00DE0EDC">
      <w:pPr>
        <w:pStyle w:val="ListParagraph"/>
        <w:numPr>
          <w:ilvl w:val="0"/>
          <w:numId w:val="10"/>
        </w:numPr>
        <w:jc w:val="both"/>
        <w:rPr>
          <w:rFonts w:ascii="Times New Roman" w:hAnsi="Times New Roman" w:cs="Times New Roman"/>
        </w:rPr>
      </w:pPr>
      <w:r w:rsidRPr="00A80FFB">
        <w:rPr>
          <w:rFonts w:ascii="Times New Roman" w:hAnsi="Times New Roman" w:cs="Times New Roman"/>
        </w:rPr>
        <w:t xml:space="preserve">Abubakar, I. R. (2018). Exploring the determinants of open defecation in Nigeria using demographic and health survey data. Science of the total environment, 637, 1455-1465. </w:t>
      </w:r>
    </w:p>
    <w:p w14:paraId="343966EB" w14:textId="3B11B74B"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Ruel, M. T., &amp; Alderman, H. (201</w:t>
      </w:r>
      <w:r w:rsidR="004A0798" w:rsidRPr="00DE0EDC">
        <w:rPr>
          <w:rFonts w:ascii="Times New Roman" w:hAnsi="Times New Roman" w:cs="Times New Roman"/>
        </w:rPr>
        <w:t>3</w:t>
      </w:r>
      <w:r w:rsidRPr="00DE0EDC">
        <w:rPr>
          <w:rFonts w:ascii="Times New Roman" w:hAnsi="Times New Roman" w:cs="Times New Roman"/>
        </w:rPr>
        <w:t>). Nutrition-sensitive in</w:t>
      </w:r>
      <w:bookmarkStart w:id="0" w:name="_GoBack"/>
      <w:bookmarkEnd w:id="0"/>
      <w:r w:rsidRPr="00DE0EDC">
        <w:rPr>
          <w:rFonts w:ascii="Times New Roman" w:hAnsi="Times New Roman" w:cs="Times New Roman"/>
        </w:rPr>
        <w:t xml:space="preserve">terventions and </w:t>
      </w:r>
      <w:proofErr w:type="spellStart"/>
      <w:r w:rsidRPr="00DE0EDC">
        <w:rPr>
          <w:rFonts w:ascii="Times New Roman" w:hAnsi="Times New Roman" w:cs="Times New Roman"/>
        </w:rPr>
        <w:t>programmes</w:t>
      </w:r>
      <w:proofErr w:type="spellEnd"/>
      <w:r w:rsidRPr="00DE0EDC">
        <w:rPr>
          <w:rFonts w:ascii="Times New Roman" w:hAnsi="Times New Roman" w:cs="Times New Roman"/>
        </w:rPr>
        <w:t>: How can they help to accelerate progress in improving maternal and child nutrition? </w:t>
      </w:r>
      <w:r w:rsidRPr="00DE0EDC">
        <w:rPr>
          <w:rFonts w:ascii="Times New Roman" w:hAnsi="Times New Roman" w:cs="Times New Roman"/>
          <w:i/>
          <w:iCs/>
        </w:rPr>
        <w:t>The Lancet, 401</w:t>
      </w:r>
      <w:r w:rsidRPr="00DE0EDC">
        <w:rPr>
          <w:rFonts w:ascii="Times New Roman" w:hAnsi="Times New Roman" w:cs="Times New Roman"/>
        </w:rPr>
        <w:t>(10363), 291-312. </w:t>
      </w:r>
      <w:hyperlink r:id="rId34" w:tgtFrame="_blank" w:history="1">
        <w:r w:rsidRPr="00DE0EDC">
          <w:rPr>
            <w:rStyle w:val="Hyperlink"/>
            <w:rFonts w:ascii="Times New Roman" w:hAnsi="Times New Roman" w:cs="Times New Roman"/>
          </w:rPr>
          <w:t>https://doi.org/10.1016/S0140-6736(19)32593-9</w:t>
        </w:r>
      </w:hyperlink>
    </w:p>
    <w:p w14:paraId="192E0FED" w14:textId="7416280E" w:rsidR="00F142CF" w:rsidRPr="00DE0EDC" w:rsidRDefault="003431E1" w:rsidP="00DE0EDC">
      <w:pPr>
        <w:pStyle w:val="ListParagraph"/>
        <w:numPr>
          <w:ilvl w:val="0"/>
          <w:numId w:val="10"/>
        </w:numPr>
        <w:jc w:val="both"/>
        <w:rPr>
          <w:rFonts w:ascii="Times New Roman" w:hAnsi="Times New Roman" w:cs="Times New Roman"/>
        </w:rPr>
      </w:pPr>
      <w:hyperlink r:id="rId35" w:history="1">
        <w:r w:rsidR="00812F3F" w:rsidRPr="00DE0EDC">
          <w:rPr>
            <w:rStyle w:val="Hyperlink"/>
            <w:rFonts w:ascii="Times New Roman" w:hAnsi="Times New Roman" w:cs="Times New Roman"/>
            <w:color w:val="auto"/>
            <w:u w:val="none"/>
          </w:rPr>
          <w:t xml:space="preserve">Majumdar, A., Saraf, S. K., Sahu, C., Verma, K., &amp; Vishwakarma, P. (2025). Current perspectives on malnutrition and immunomodulators bridging nutritional deficiencies and immune health. </w:t>
        </w:r>
        <w:r w:rsidR="00812F3F" w:rsidRPr="00DE0EDC">
          <w:rPr>
            <w:rStyle w:val="Hyperlink"/>
            <w:rFonts w:ascii="Times New Roman" w:hAnsi="Times New Roman" w:cs="Times New Roman"/>
            <w:i/>
            <w:iCs/>
            <w:color w:val="auto"/>
            <w:u w:val="none"/>
          </w:rPr>
          <w:t>Future Journal of Pharmaceutical Sciences</w:t>
        </w:r>
        <w:r w:rsidR="00812F3F" w:rsidRPr="00DE0EDC">
          <w:rPr>
            <w:rStyle w:val="Hyperlink"/>
            <w:rFonts w:ascii="Times New Roman" w:hAnsi="Times New Roman" w:cs="Times New Roman"/>
            <w:color w:val="auto"/>
            <w:u w:val="none"/>
          </w:rPr>
          <w:t xml:space="preserve">, </w:t>
        </w:r>
        <w:r w:rsidR="00812F3F" w:rsidRPr="00DE0EDC">
          <w:rPr>
            <w:rStyle w:val="Hyperlink"/>
            <w:rFonts w:ascii="Times New Roman" w:hAnsi="Times New Roman" w:cs="Times New Roman"/>
            <w:i/>
            <w:iCs/>
            <w:color w:val="auto"/>
            <w:u w:val="none"/>
          </w:rPr>
          <w:t>11</w:t>
        </w:r>
        <w:r w:rsidR="00812F3F" w:rsidRPr="00DE0EDC">
          <w:rPr>
            <w:rStyle w:val="Hyperlink"/>
            <w:rFonts w:ascii="Times New Roman" w:hAnsi="Times New Roman" w:cs="Times New Roman"/>
            <w:color w:val="auto"/>
            <w:u w:val="none"/>
          </w:rPr>
          <w:t>(1). https://doi.org/</w:t>
        </w:r>
      </w:hyperlink>
      <w:hyperlink r:id="rId36" w:history="1">
        <w:r w:rsidR="00812F3F" w:rsidRPr="00DE0EDC">
          <w:rPr>
            <w:rStyle w:val="Hyperlink"/>
            <w:rFonts w:ascii="Times New Roman" w:hAnsi="Times New Roman" w:cs="Times New Roman"/>
            <w:color w:val="auto"/>
            <w:u w:val="none"/>
          </w:rPr>
          <w:t>10.1186/s43094-025-00804-8</w:t>
        </w:r>
      </w:hyperlink>
    </w:p>
    <w:p w14:paraId="1725C6AD" w14:textId="77777777"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 xml:space="preserve">Singer, M., Bulled, N., </w:t>
      </w:r>
      <w:proofErr w:type="spellStart"/>
      <w:r w:rsidRPr="00DE0EDC">
        <w:rPr>
          <w:rFonts w:ascii="Times New Roman" w:hAnsi="Times New Roman" w:cs="Times New Roman"/>
        </w:rPr>
        <w:t>Ostrach</w:t>
      </w:r>
      <w:proofErr w:type="spellEnd"/>
      <w:r w:rsidRPr="00DE0EDC">
        <w:rPr>
          <w:rFonts w:ascii="Times New Roman" w:hAnsi="Times New Roman" w:cs="Times New Roman"/>
        </w:rPr>
        <w:t xml:space="preserve">, B., &amp; Mendenhall, E. (2017). </w:t>
      </w:r>
      <w:proofErr w:type="spellStart"/>
      <w:r w:rsidRPr="00DE0EDC">
        <w:rPr>
          <w:rFonts w:ascii="Times New Roman" w:hAnsi="Times New Roman" w:cs="Times New Roman"/>
        </w:rPr>
        <w:t>Syndemics</w:t>
      </w:r>
      <w:proofErr w:type="spellEnd"/>
      <w:r w:rsidRPr="00DE0EDC">
        <w:rPr>
          <w:rFonts w:ascii="Times New Roman" w:hAnsi="Times New Roman" w:cs="Times New Roman"/>
        </w:rPr>
        <w:t xml:space="preserve"> and the biosocial conception of health. </w:t>
      </w:r>
      <w:r w:rsidRPr="00DE0EDC">
        <w:rPr>
          <w:rFonts w:ascii="Times New Roman" w:hAnsi="Times New Roman" w:cs="Times New Roman"/>
          <w:i/>
          <w:iCs/>
        </w:rPr>
        <w:t>The Lancet, 389</w:t>
      </w:r>
      <w:r w:rsidRPr="00DE0EDC">
        <w:rPr>
          <w:rFonts w:ascii="Times New Roman" w:hAnsi="Times New Roman" w:cs="Times New Roman"/>
        </w:rPr>
        <w:t>(10072), 941-950. </w:t>
      </w:r>
      <w:hyperlink r:id="rId37" w:tgtFrame="_blank" w:history="1">
        <w:r w:rsidRPr="00DE0EDC">
          <w:rPr>
            <w:rStyle w:val="Hyperlink"/>
            <w:rFonts w:ascii="Times New Roman" w:hAnsi="Times New Roman" w:cs="Times New Roman"/>
          </w:rPr>
          <w:t>https://doi.org/10.1016/S0140-6736(17)30003-X</w:t>
        </w:r>
      </w:hyperlink>
    </w:p>
    <w:p w14:paraId="1F438A94" w14:textId="77777777"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 xml:space="preserve">Singer, M., &amp; Erickson, P. I. (2019). </w:t>
      </w:r>
      <w:proofErr w:type="spellStart"/>
      <w:r w:rsidRPr="00DE0EDC">
        <w:rPr>
          <w:rFonts w:ascii="Times New Roman" w:hAnsi="Times New Roman" w:cs="Times New Roman"/>
        </w:rPr>
        <w:t>Syndemics</w:t>
      </w:r>
      <w:proofErr w:type="spellEnd"/>
      <w:r w:rsidRPr="00DE0EDC">
        <w:rPr>
          <w:rFonts w:ascii="Times New Roman" w:hAnsi="Times New Roman" w:cs="Times New Roman"/>
        </w:rPr>
        <w:t>. In M. Singer &amp; P. I. Erickson (Eds.), </w:t>
      </w:r>
      <w:r w:rsidRPr="00DE0EDC">
        <w:rPr>
          <w:rFonts w:ascii="Times New Roman" w:hAnsi="Times New Roman" w:cs="Times New Roman"/>
          <w:i/>
          <w:iCs/>
        </w:rPr>
        <w:t>A companion to medical anthropology</w:t>
      </w:r>
      <w:r w:rsidRPr="00DE0EDC">
        <w:rPr>
          <w:rFonts w:ascii="Times New Roman" w:hAnsi="Times New Roman" w:cs="Times New Roman"/>
        </w:rPr>
        <w:t> (pp. 231-248). Wiley-Blackwell.</w:t>
      </w:r>
    </w:p>
    <w:p w14:paraId="7D281E49" w14:textId="2CE1F3AF" w:rsidR="00F142CF" w:rsidRPr="00DE0EDC" w:rsidRDefault="003431E1" w:rsidP="00DE0EDC">
      <w:pPr>
        <w:pStyle w:val="ListParagraph"/>
        <w:numPr>
          <w:ilvl w:val="0"/>
          <w:numId w:val="10"/>
        </w:numPr>
        <w:jc w:val="both"/>
        <w:rPr>
          <w:rFonts w:ascii="Times New Roman" w:hAnsi="Times New Roman" w:cs="Times New Roman"/>
        </w:rPr>
      </w:pPr>
      <w:hyperlink r:id="rId38" w:history="1">
        <w:r w:rsidR="00812F3F" w:rsidRPr="00DE0EDC">
          <w:rPr>
            <w:rStyle w:val="Hyperlink"/>
            <w:rFonts w:ascii="Times New Roman" w:hAnsi="Times New Roman" w:cs="Times New Roman"/>
            <w:color w:val="auto"/>
            <w:u w:val="none"/>
          </w:rPr>
          <w:t xml:space="preserve">Aminah, S., </w:t>
        </w:r>
        <w:proofErr w:type="spellStart"/>
        <w:r w:rsidR="00812F3F" w:rsidRPr="00DE0EDC">
          <w:rPr>
            <w:rStyle w:val="Hyperlink"/>
            <w:rFonts w:ascii="Times New Roman" w:hAnsi="Times New Roman" w:cs="Times New Roman"/>
            <w:color w:val="auto"/>
            <w:u w:val="none"/>
          </w:rPr>
          <w:t>Mahmudiono</w:t>
        </w:r>
        <w:proofErr w:type="spellEnd"/>
        <w:r w:rsidR="00812F3F" w:rsidRPr="00DE0EDC">
          <w:rPr>
            <w:rStyle w:val="Hyperlink"/>
            <w:rFonts w:ascii="Times New Roman" w:hAnsi="Times New Roman" w:cs="Times New Roman"/>
            <w:color w:val="auto"/>
            <w:u w:val="none"/>
          </w:rPr>
          <w:t xml:space="preserve">, T., &amp; </w:t>
        </w:r>
        <w:proofErr w:type="spellStart"/>
        <w:r w:rsidR="00812F3F" w:rsidRPr="00DE0EDC">
          <w:rPr>
            <w:rStyle w:val="Hyperlink"/>
            <w:rFonts w:ascii="Times New Roman" w:hAnsi="Times New Roman" w:cs="Times New Roman"/>
            <w:color w:val="auto"/>
            <w:u w:val="none"/>
          </w:rPr>
          <w:t>Nadhiroh</w:t>
        </w:r>
        <w:proofErr w:type="spellEnd"/>
        <w:r w:rsidR="00812F3F" w:rsidRPr="00DE0EDC">
          <w:rPr>
            <w:rStyle w:val="Hyperlink"/>
            <w:rFonts w:ascii="Times New Roman" w:hAnsi="Times New Roman" w:cs="Times New Roman"/>
            <w:color w:val="auto"/>
            <w:u w:val="none"/>
          </w:rPr>
          <w:t xml:space="preserve">, S. R. (2024). Policy, intervention, and management in addressing stunting in children: A systematic review. </w:t>
        </w:r>
        <w:r w:rsidR="00812F3F" w:rsidRPr="00DE0EDC">
          <w:rPr>
            <w:rStyle w:val="Hyperlink"/>
            <w:rFonts w:ascii="Times New Roman" w:hAnsi="Times New Roman" w:cs="Times New Roman"/>
            <w:i/>
            <w:iCs/>
            <w:color w:val="auto"/>
            <w:u w:val="none"/>
          </w:rPr>
          <w:t>African Journal of Reproductive Health</w:t>
        </w:r>
        <w:r w:rsidR="00812F3F" w:rsidRPr="00DE0EDC">
          <w:rPr>
            <w:rStyle w:val="Hyperlink"/>
            <w:rFonts w:ascii="Times New Roman" w:hAnsi="Times New Roman" w:cs="Times New Roman"/>
            <w:color w:val="auto"/>
            <w:u w:val="none"/>
          </w:rPr>
          <w:t xml:space="preserve">, </w:t>
        </w:r>
        <w:r w:rsidR="00812F3F" w:rsidRPr="00DE0EDC">
          <w:rPr>
            <w:rStyle w:val="Hyperlink"/>
            <w:rFonts w:ascii="Times New Roman" w:hAnsi="Times New Roman" w:cs="Times New Roman"/>
            <w:i/>
            <w:iCs/>
            <w:color w:val="auto"/>
            <w:u w:val="none"/>
          </w:rPr>
          <w:t>28</w:t>
        </w:r>
        <w:r w:rsidR="00812F3F" w:rsidRPr="00DE0EDC">
          <w:rPr>
            <w:rStyle w:val="Hyperlink"/>
            <w:rFonts w:ascii="Times New Roman" w:hAnsi="Times New Roman" w:cs="Times New Roman"/>
            <w:color w:val="auto"/>
            <w:u w:val="none"/>
          </w:rPr>
          <w:t>(10s), 348–357.</w:t>
        </w:r>
      </w:hyperlink>
    </w:p>
    <w:p w14:paraId="071EE483" w14:textId="77777777" w:rsidR="00F142CF" w:rsidRPr="00DE0EDC" w:rsidRDefault="00F142CF" w:rsidP="00DE0EDC">
      <w:pPr>
        <w:pStyle w:val="ListParagraph"/>
        <w:numPr>
          <w:ilvl w:val="0"/>
          <w:numId w:val="10"/>
        </w:numPr>
        <w:jc w:val="both"/>
        <w:rPr>
          <w:rFonts w:ascii="Times New Roman" w:hAnsi="Times New Roman" w:cs="Times New Roman"/>
        </w:rPr>
      </w:pPr>
      <w:r w:rsidRPr="00DE0EDC">
        <w:rPr>
          <w:rFonts w:ascii="Times New Roman" w:hAnsi="Times New Roman" w:cs="Times New Roman"/>
        </w:rPr>
        <w:t>United Nations Children's Fund (UNICEF). (2023). </w:t>
      </w:r>
      <w:r w:rsidRPr="00DE0EDC">
        <w:rPr>
          <w:rFonts w:ascii="Times New Roman" w:hAnsi="Times New Roman" w:cs="Times New Roman"/>
          <w:i/>
          <w:iCs/>
        </w:rPr>
        <w:t>The state of the world's children 2023: For every child, vaccination</w:t>
      </w:r>
      <w:r w:rsidRPr="00DE0EDC">
        <w:rPr>
          <w:rFonts w:ascii="Times New Roman" w:hAnsi="Times New Roman" w:cs="Times New Roman"/>
        </w:rPr>
        <w:t>. UNICEF.</w:t>
      </w:r>
    </w:p>
    <w:p w14:paraId="0D075DDA" w14:textId="77777777" w:rsidR="008B51DF" w:rsidRDefault="008B51DF" w:rsidP="00F142CF">
      <w:pPr>
        <w:jc w:val="both"/>
      </w:pPr>
    </w:p>
    <w:sectPr w:rsidR="008B51DF">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7410B" w14:textId="77777777" w:rsidR="003431E1" w:rsidRDefault="003431E1" w:rsidP="00D61343">
      <w:pPr>
        <w:spacing w:after="0" w:line="240" w:lineRule="auto"/>
      </w:pPr>
      <w:r>
        <w:separator/>
      </w:r>
    </w:p>
  </w:endnote>
  <w:endnote w:type="continuationSeparator" w:id="0">
    <w:p w14:paraId="0F5EF782" w14:textId="77777777" w:rsidR="003431E1" w:rsidRDefault="003431E1" w:rsidP="00D61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F09A" w14:textId="77777777" w:rsidR="00D61343" w:rsidRDefault="00D61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4D0C4" w14:textId="77777777" w:rsidR="00D61343" w:rsidRDefault="00D61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C7CEA" w14:textId="77777777" w:rsidR="00D61343" w:rsidRDefault="00D61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6EB85" w14:textId="77777777" w:rsidR="003431E1" w:rsidRDefault="003431E1" w:rsidP="00D61343">
      <w:pPr>
        <w:spacing w:after="0" w:line="240" w:lineRule="auto"/>
      </w:pPr>
      <w:r>
        <w:separator/>
      </w:r>
    </w:p>
  </w:footnote>
  <w:footnote w:type="continuationSeparator" w:id="0">
    <w:p w14:paraId="0C0625BD" w14:textId="77777777" w:rsidR="003431E1" w:rsidRDefault="003431E1" w:rsidP="00D61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CC88E" w14:textId="41006829" w:rsidR="00D61343" w:rsidRDefault="003431E1">
    <w:pPr>
      <w:pStyle w:val="Header"/>
    </w:pPr>
    <w:r>
      <w:rPr>
        <w:noProof/>
      </w:rPr>
      <w:pict w14:anchorId="32033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32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6625F" w14:textId="534A35A8" w:rsidR="00D61343" w:rsidRDefault="003431E1">
    <w:pPr>
      <w:pStyle w:val="Header"/>
    </w:pPr>
    <w:r>
      <w:rPr>
        <w:noProof/>
      </w:rPr>
      <w:pict w14:anchorId="04E15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32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55663" w14:textId="0CE2EEA7" w:rsidR="00D61343" w:rsidRDefault="003431E1">
    <w:pPr>
      <w:pStyle w:val="Header"/>
    </w:pPr>
    <w:r>
      <w:rPr>
        <w:noProof/>
      </w:rPr>
      <w:pict w14:anchorId="71A2C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32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C45"/>
    <w:multiLevelType w:val="hybridMultilevel"/>
    <w:tmpl w:val="3C169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B3562A"/>
    <w:multiLevelType w:val="multilevel"/>
    <w:tmpl w:val="9518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77269"/>
    <w:multiLevelType w:val="multilevel"/>
    <w:tmpl w:val="D2FA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364C0"/>
    <w:multiLevelType w:val="multilevel"/>
    <w:tmpl w:val="C39CD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EE442E"/>
    <w:multiLevelType w:val="multilevel"/>
    <w:tmpl w:val="9CB4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2B7461"/>
    <w:multiLevelType w:val="multilevel"/>
    <w:tmpl w:val="E9723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796DE8"/>
    <w:multiLevelType w:val="multilevel"/>
    <w:tmpl w:val="737A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383110"/>
    <w:multiLevelType w:val="hybridMultilevel"/>
    <w:tmpl w:val="CEA63BB2"/>
    <w:lvl w:ilvl="0" w:tplc="EF2051F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C43A42"/>
    <w:multiLevelType w:val="multilevel"/>
    <w:tmpl w:val="691A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9F6611"/>
    <w:multiLevelType w:val="multilevel"/>
    <w:tmpl w:val="C12C5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8"/>
  </w:num>
  <w:num w:numId="4">
    <w:abstractNumId w:val="5"/>
  </w:num>
  <w:num w:numId="5">
    <w:abstractNumId w:val="6"/>
  </w:num>
  <w:num w:numId="6">
    <w:abstractNumId w:val="3"/>
  </w:num>
  <w:num w:numId="7">
    <w:abstractNumId w:val="1"/>
  </w:num>
  <w:num w:numId="8">
    <w:abstractNumId w:val="9"/>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570"/>
    <w:rsid w:val="000E3EBD"/>
    <w:rsid w:val="0015608A"/>
    <w:rsid w:val="001B3E63"/>
    <w:rsid w:val="001F0175"/>
    <w:rsid w:val="0028423E"/>
    <w:rsid w:val="002C32AC"/>
    <w:rsid w:val="002D4955"/>
    <w:rsid w:val="00331731"/>
    <w:rsid w:val="003431E1"/>
    <w:rsid w:val="00345F68"/>
    <w:rsid w:val="00383EC1"/>
    <w:rsid w:val="004009D3"/>
    <w:rsid w:val="00414570"/>
    <w:rsid w:val="004163B2"/>
    <w:rsid w:val="004A0798"/>
    <w:rsid w:val="00570C50"/>
    <w:rsid w:val="00585EAD"/>
    <w:rsid w:val="005A152D"/>
    <w:rsid w:val="00626241"/>
    <w:rsid w:val="00673A2F"/>
    <w:rsid w:val="00700654"/>
    <w:rsid w:val="007450AA"/>
    <w:rsid w:val="00767489"/>
    <w:rsid w:val="007C727C"/>
    <w:rsid w:val="00812F3F"/>
    <w:rsid w:val="00813118"/>
    <w:rsid w:val="00883784"/>
    <w:rsid w:val="008A2C7B"/>
    <w:rsid w:val="008B51DF"/>
    <w:rsid w:val="00941547"/>
    <w:rsid w:val="009F406C"/>
    <w:rsid w:val="009F59BC"/>
    <w:rsid w:val="00A22BFC"/>
    <w:rsid w:val="00A63F98"/>
    <w:rsid w:val="00A80FFB"/>
    <w:rsid w:val="00AA07DA"/>
    <w:rsid w:val="00AC507F"/>
    <w:rsid w:val="00AC5754"/>
    <w:rsid w:val="00BD65EA"/>
    <w:rsid w:val="00CE12D3"/>
    <w:rsid w:val="00D26E92"/>
    <w:rsid w:val="00D61343"/>
    <w:rsid w:val="00D82824"/>
    <w:rsid w:val="00DC3608"/>
    <w:rsid w:val="00DE0EDC"/>
    <w:rsid w:val="00DF51DF"/>
    <w:rsid w:val="00E27097"/>
    <w:rsid w:val="00E64A2F"/>
    <w:rsid w:val="00E72CEC"/>
    <w:rsid w:val="00EC1BC4"/>
    <w:rsid w:val="00EE7119"/>
    <w:rsid w:val="00EF4736"/>
    <w:rsid w:val="00F142CF"/>
    <w:rsid w:val="00F20795"/>
    <w:rsid w:val="00F3760F"/>
    <w:rsid w:val="00F42FE3"/>
    <w:rsid w:val="00F84E2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19D647"/>
  <w15:chartTrackingRefBased/>
  <w15:docId w15:val="{764F7B89-2781-4DE2-B9A0-80B3B2F7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570"/>
  </w:style>
  <w:style w:type="paragraph" w:styleId="Heading1">
    <w:name w:val="heading 1"/>
    <w:basedOn w:val="Normal"/>
    <w:next w:val="Normal"/>
    <w:link w:val="Heading1Char"/>
    <w:uiPriority w:val="9"/>
    <w:qFormat/>
    <w:rsid w:val="004145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45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45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45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45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45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5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5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5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5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45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45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45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45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45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5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5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570"/>
    <w:rPr>
      <w:rFonts w:eastAsiaTheme="majorEastAsia" w:cstheme="majorBidi"/>
      <w:color w:val="272727" w:themeColor="text1" w:themeTint="D8"/>
    </w:rPr>
  </w:style>
  <w:style w:type="paragraph" w:styleId="Title">
    <w:name w:val="Title"/>
    <w:basedOn w:val="Normal"/>
    <w:next w:val="Normal"/>
    <w:link w:val="TitleChar"/>
    <w:uiPriority w:val="10"/>
    <w:qFormat/>
    <w:rsid w:val="004145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5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5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5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570"/>
    <w:pPr>
      <w:spacing w:before="160"/>
      <w:jc w:val="center"/>
    </w:pPr>
    <w:rPr>
      <w:i/>
      <w:iCs/>
      <w:color w:val="404040" w:themeColor="text1" w:themeTint="BF"/>
    </w:rPr>
  </w:style>
  <w:style w:type="character" w:customStyle="1" w:styleId="QuoteChar">
    <w:name w:val="Quote Char"/>
    <w:basedOn w:val="DefaultParagraphFont"/>
    <w:link w:val="Quote"/>
    <w:uiPriority w:val="29"/>
    <w:rsid w:val="00414570"/>
    <w:rPr>
      <w:i/>
      <w:iCs/>
      <w:color w:val="404040" w:themeColor="text1" w:themeTint="BF"/>
    </w:rPr>
  </w:style>
  <w:style w:type="paragraph" w:styleId="ListParagraph">
    <w:name w:val="List Paragraph"/>
    <w:basedOn w:val="Normal"/>
    <w:uiPriority w:val="34"/>
    <w:qFormat/>
    <w:rsid w:val="00414570"/>
    <w:pPr>
      <w:ind w:left="720"/>
      <w:contextualSpacing/>
    </w:pPr>
  </w:style>
  <w:style w:type="character" w:styleId="IntenseEmphasis">
    <w:name w:val="Intense Emphasis"/>
    <w:basedOn w:val="DefaultParagraphFont"/>
    <w:uiPriority w:val="21"/>
    <w:qFormat/>
    <w:rsid w:val="00414570"/>
    <w:rPr>
      <w:i/>
      <w:iCs/>
      <w:color w:val="2F5496" w:themeColor="accent1" w:themeShade="BF"/>
    </w:rPr>
  </w:style>
  <w:style w:type="paragraph" w:styleId="IntenseQuote">
    <w:name w:val="Intense Quote"/>
    <w:basedOn w:val="Normal"/>
    <w:next w:val="Normal"/>
    <w:link w:val="IntenseQuoteChar"/>
    <w:uiPriority w:val="30"/>
    <w:qFormat/>
    <w:rsid w:val="004145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4570"/>
    <w:rPr>
      <w:i/>
      <w:iCs/>
      <w:color w:val="2F5496" w:themeColor="accent1" w:themeShade="BF"/>
    </w:rPr>
  </w:style>
  <w:style w:type="character" w:styleId="IntenseReference">
    <w:name w:val="Intense Reference"/>
    <w:basedOn w:val="DefaultParagraphFont"/>
    <w:uiPriority w:val="32"/>
    <w:qFormat/>
    <w:rsid w:val="00414570"/>
    <w:rPr>
      <w:b/>
      <w:bCs/>
      <w:smallCaps/>
      <w:color w:val="2F5496" w:themeColor="accent1" w:themeShade="BF"/>
      <w:spacing w:val="5"/>
    </w:rPr>
  </w:style>
  <w:style w:type="character" w:styleId="Hyperlink">
    <w:name w:val="Hyperlink"/>
    <w:basedOn w:val="DefaultParagraphFont"/>
    <w:uiPriority w:val="99"/>
    <w:unhideWhenUsed/>
    <w:rsid w:val="00414570"/>
    <w:rPr>
      <w:color w:val="0563C1" w:themeColor="hyperlink"/>
      <w:u w:val="single"/>
    </w:rPr>
  </w:style>
  <w:style w:type="paragraph" w:styleId="Header">
    <w:name w:val="header"/>
    <w:basedOn w:val="Normal"/>
    <w:link w:val="HeaderChar"/>
    <w:uiPriority w:val="99"/>
    <w:unhideWhenUsed/>
    <w:rsid w:val="00D613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343"/>
  </w:style>
  <w:style w:type="paragraph" w:styleId="Footer">
    <w:name w:val="footer"/>
    <w:basedOn w:val="Normal"/>
    <w:link w:val="FooterChar"/>
    <w:uiPriority w:val="99"/>
    <w:unhideWhenUsed/>
    <w:rsid w:val="00D613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343"/>
  </w:style>
  <w:style w:type="character" w:styleId="UnresolvedMention">
    <w:name w:val="Unresolved Mention"/>
    <w:basedOn w:val="DefaultParagraphFont"/>
    <w:uiPriority w:val="99"/>
    <w:semiHidden/>
    <w:unhideWhenUsed/>
    <w:rsid w:val="0015608A"/>
    <w:rPr>
      <w:color w:val="605E5C"/>
      <w:shd w:val="clear" w:color="auto" w:fill="E1DFDD"/>
    </w:rPr>
  </w:style>
  <w:style w:type="character" w:styleId="FollowedHyperlink">
    <w:name w:val="FollowedHyperlink"/>
    <w:basedOn w:val="DefaultParagraphFont"/>
    <w:uiPriority w:val="99"/>
    <w:semiHidden/>
    <w:unhideWhenUsed/>
    <w:rsid w:val="00570C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YwKEo5/OesC" TargetMode="External"/><Relationship Id="rId18" Type="http://schemas.openxmlformats.org/officeDocument/2006/relationships/hyperlink" Target="https://paperpile.com/c/YwKEo5/EAGW" TargetMode="External"/><Relationship Id="rId26" Type="http://schemas.openxmlformats.org/officeDocument/2006/relationships/hyperlink" Target="http://paperpile.com/b/YwKEo5/GIME" TargetMode="External"/><Relationship Id="rId39" Type="http://schemas.openxmlformats.org/officeDocument/2006/relationships/header" Target="header1.xml"/><Relationship Id="rId21" Type="http://schemas.openxmlformats.org/officeDocument/2006/relationships/hyperlink" Target="https://journalcurrentresearch.com/pub/jcr/article/view/50?utm_source=chatgpt.com" TargetMode="External"/><Relationship Id="rId34" Type="http://schemas.openxmlformats.org/officeDocument/2006/relationships/hyperlink" Target="https://doi.org/10.1016/S0140-6736(19)32593-9" TargetMode="External"/><Relationship Id="rId42" Type="http://schemas.openxmlformats.org/officeDocument/2006/relationships/footer" Target="footer2.xml"/><Relationship Id="rId7" Type="http://schemas.openxmlformats.org/officeDocument/2006/relationships/hyperlink" Target="https://paperpile.com/c/YwKEo5/ADgi" TargetMode="External"/><Relationship Id="rId2" Type="http://schemas.openxmlformats.org/officeDocument/2006/relationships/styles" Target="styles.xml"/><Relationship Id="rId16" Type="http://schemas.openxmlformats.org/officeDocument/2006/relationships/hyperlink" Target="https://paperpile.com/c/YwKEo5/3u6H" TargetMode="External"/><Relationship Id="rId29" Type="http://schemas.openxmlformats.org/officeDocument/2006/relationships/hyperlink" Target="http://paperpile.com/b/YwKEo5/Jz9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dx.doi.org/10.1136/bmjgh-2020-003621" TargetMode="External"/><Relationship Id="rId32" Type="http://schemas.openxmlformats.org/officeDocument/2006/relationships/hyperlink" Target="http://paperpile.com/b/YwKEo5/ADgi" TargetMode="External"/><Relationship Id="rId37" Type="http://schemas.openxmlformats.org/officeDocument/2006/relationships/hyperlink" Target="https://doi.org/10.1016/S0140-6736(17)30003-X"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paperpile.com/b/YwKEo5/KaWi" TargetMode="External"/><Relationship Id="rId28" Type="http://schemas.openxmlformats.org/officeDocument/2006/relationships/hyperlink" Target="https://doi.org/10.1016/S0140-6736(19)32590-3" TargetMode="External"/><Relationship Id="rId36" Type="http://schemas.openxmlformats.org/officeDocument/2006/relationships/hyperlink" Target="http://dx.doi.org/10.1186/s43094-025-00804-8" TargetMode="External"/><Relationship Id="rId10" Type="http://schemas.openxmlformats.org/officeDocument/2006/relationships/hyperlink" Target="https://paperpile.com/c/YwKEo5/3u6H" TargetMode="External"/><Relationship Id="rId19" Type="http://schemas.openxmlformats.org/officeDocument/2006/relationships/image" Target="media/image3.png"/><Relationship Id="rId31" Type="http://schemas.openxmlformats.org/officeDocument/2006/relationships/hyperlink" Target="https://doi.org/10.1080/20469047.2017.1409453"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paperpile.com/c/YwKEo5/Jz9z" TargetMode="External"/><Relationship Id="rId14" Type="http://schemas.openxmlformats.org/officeDocument/2006/relationships/hyperlink" Target="https://paperpile.com/c/YwKEo5/GIME" TargetMode="External"/><Relationship Id="rId22" Type="http://schemas.openxmlformats.org/officeDocument/2006/relationships/hyperlink" Target="https://doi.org/10.1016/j.it.2022.03.002" TargetMode="External"/><Relationship Id="rId27" Type="http://schemas.openxmlformats.org/officeDocument/2006/relationships/hyperlink" Target="http://paperpile.com/b/YwKEo5/OesC" TargetMode="External"/><Relationship Id="rId30" Type="http://schemas.openxmlformats.org/officeDocument/2006/relationships/hyperlink" Target="https://doi.org/10.1111/eci.12931" TargetMode="External"/><Relationship Id="rId35" Type="http://schemas.openxmlformats.org/officeDocument/2006/relationships/hyperlink" Target="http://paperpile.com/b/YwKEo5/zqzP" TargetMode="External"/><Relationship Id="rId43" Type="http://schemas.openxmlformats.org/officeDocument/2006/relationships/header" Target="header3.xml"/><Relationship Id="rId8" Type="http://schemas.openxmlformats.org/officeDocument/2006/relationships/hyperlink" Target="https://paperpile.com/c/YwKEo5/zqzP" TargetMode="External"/><Relationship Id="rId3" Type="http://schemas.openxmlformats.org/officeDocument/2006/relationships/settings" Target="settings.xml"/><Relationship Id="rId12" Type="http://schemas.openxmlformats.org/officeDocument/2006/relationships/hyperlink" Target="https://paperpile.com/c/YwKEo5/Fp37" TargetMode="External"/><Relationship Id="rId17" Type="http://schemas.openxmlformats.org/officeDocument/2006/relationships/hyperlink" Target="https://paperpile.com/c/YwKEo5/KaWi" TargetMode="External"/><Relationship Id="rId25" Type="http://schemas.openxmlformats.org/officeDocument/2006/relationships/hyperlink" Target="https://doi.org/10.1002/14651858.CD009382.pub3" TargetMode="External"/><Relationship Id="rId33" Type="http://schemas.openxmlformats.org/officeDocument/2006/relationships/hyperlink" Target="http://paperpile.com/b/YwKEo5/3u6H" TargetMode="External"/><Relationship Id="rId38" Type="http://schemas.openxmlformats.org/officeDocument/2006/relationships/hyperlink" Target="http://paperpile.com/b/YwKEo5/EAGW" TargetMode="External"/><Relationship Id="rId46" Type="http://schemas.openxmlformats.org/officeDocument/2006/relationships/theme" Target="theme/theme1.xml"/><Relationship Id="rId20" Type="http://schemas.openxmlformats.org/officeDocument/2006/relationships/hyperlink" Target="http://paperpile.com/b/YwKEo5/Fp37"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1763</TotalTime>
  <Pages>12</Pages>
  <Words>4374</Words>
  <Characters>24937</Characters>
  <Application>Microsoft Office Word</Application>
  <DocSecurity>0</DocSecurity>
  <Lines>207</Lines>
  <Paragraphs>58</Paragraphs>
  <ScaleCrop>false</ScaleCrop>
  <Company/>
  <LinksUpToDate>false</LinksUpToDate>
  <CharactersWithSpaces>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Mujahid Musa</dc:creator>
  <cp:keywords/>
  <dc:description/>
  <cp:lastModifiedBy>SDI 1158</cp:lastModifiedBy>
  <cp:revision>49</cp:revision>
  <dcterms:created xsi:type="dcterms:W3CDTF">2025-10-28T18:47:00Z</dcterms:created>
  <dcterms:modified xsi:type="dcterms:W3CDTF">2025-11-14T12:43:00Z</dcterms:modified>
</cp:coreProperties>
</file>