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93F7" w14:textId="77777777" w:rsidR="00754C9A" w:rsidRDefault="00754C9A" w:rsidP="00441B6F">
      <w:pPr>
        <w:pStyle w:val="Title"/>
        <w:spacing w:after="0"/>
        <w:jc w:val="both"/>
        <w:rPr>
          <w:rFonts w:ascii="Arial" w:hAnsi="Arial" w:cs="Arial"/>
        </w:rPr>
      </w:pPr>
      <w:bookmarkStart w:id="0" w:name="_GoBack"/>
      <w:bookmarkEnd w:id="0"/>
    </w:p>
    <w:p w14:paraId="05E16BDE" w14:textId="77777777" w:rsidR="00954B6D" w:rsidRPr="00954B6D" w:rsidRDefault="00954B6D" w:rsidP="00954B6D">
      <w:pPr>
        <w:spacing w:before="100" w:beforeAutospacing="1" w:after="100" w:afterAutospacing="1"/>
        <w:jc w:val="center"/>
        <w:rPr>
          <w:rFonts w:ascii="Arial" w:hAnsi="Arial" w:cs="Arial"/>
          <w:b/>
          <w:bCs/>
          <w:i/>
          <w:iCs/>
          <w:sz w:val="22"/>
          <w:szCs w:val="22"/>
          <w:u w:val="single"/>
        </w:rPr>
      </w:pPr>
      <w:r w:rsidRPr="00954B6D">
        <w:rPr>
          <w:rFonts w:ascii="Arial" w:hAnsi="Arial" w:cs="Arial"/>
          <w:b/>
          <w:bCs/>
          <w:i/>
          <w:iCs/>
          <w:sz w:val="22"/>
          <w:szCs w:val="22"/>
          <w:u w:val="single"/>
        </w:rPr>
        <w:t>Original Research Article</w:t>
      </w:r>
    </w:p>
    <w:p w14:paraId="3B9F0EFF" w14:textId="77777777" w:rsidR="00B36096" w:rsidRDefault="00B36096" w:rsidP="00B36096">
      <w:pPr>
        <w:spacing w:before="100" w:beforeAutospacing="1" w:after="100" w:afterAutospacing="1"/>
        <w:jc w:val="center"/>
        <w:rPr>
          <w:rFonts w:ascii="Times New Roman" w:hAnsi="Times New Roman"/>
          <w:b/>
          <w:bCs/>
          <w:iCs/>
          <w:sz w:val="28"/>
          <w:szCs w:val="28"/>
        </w:rPr>
      </w:pPr>
      <w:r w:rsidRPr="00B36096">
        <w:rPr>
          <w:rFonts w:ascii="Arial" w:hAnsi="Arial" w:cs="Arial"/>
          <w:b/>
          <w:bCs/>
          <w:sz w:val="22"/>
          <w:szCs w:val="22"/>
        </w:rPr>
        <w:t xml:space="preserve">Correlating Chromosomal Aberrations and Root Growth Inhibition(RGI) with Exposure to Common Food Additives in </w:t>
      </w:r>
      <w:r w:rsidRPr="00B36096">
        <w:rPr>
          <w:rFonts w:ascii="Arial" w:hAnsi="Arial" w:cs="Arial"/>
          <w:b/>
          <w:bCs/>
          <w:i/>
          <w:iCs/>
          <w:sz w:val="22"/>
          <w:szCs w:val="22"/>
        </w:rPr>
        <w:t>Allium cepa</w:t>
      </w:r>
      <w:r w:rsidRPr="00B36096">
        <w:rPr>
          <w:rFonts w:ascii="Arial" w:hAnsi="Arial" w:cs="Arial"/>
          <w:b/>
          <w:bCs/>
          <w:iCs/>
          <w:sz w:val="22"/>
          <w:szCs w:val="22"/>
        </w:rPr>
        <w:t>: Public Health Implications</w:t>
      </w:r>
      <w:r>
        <w:rPr>
          <w:rFonts w:ascii="Times New Roman" w:hAnsi="Times New Roman"/>
          <w:b/>
          <w:bCs/>
          <w:iCs/>
          <w:sz w:val="28"/>
          <w:szCs w:val="28"/>
        </w:rPr>
        <w:t>.</w:t>
      </w:r>
    </w:p>
    <w:p w14:paraId="07D82671" w14:textId="77777777" w:rsidR="004E064D" w:rsidRPr="00B36096" w:rsidRDefault="004E064D" w:rsidP="00B36096">
      <w:pPr>
        <w:pStyle w:val="Affiliation"/>
        <w:spacing w:after="0" w:line="240" w:lineRule="auto"/>
        <w:jc w:val="both"/>
        <w:rPr>
          <w:rFonts w:ascii="Arial" w:hAnsi="Arial" w:cs="Arial"/>
          <w:sz w:val="22"/>
          <w:szCs w:val="22"/>
        </w:rPr>
      </w:pPr>
    </w:p>
    <w:p w14:paraId="2F7FE020" w14:textId="77777777" w:rsidR="00B01FCD" w:rsidRPr="00FB3A86" w:rsidRDefault="00E0179C" w:rsidP="00441B6F">
      <w:pPr>
        <w:pStyle w:val="Copyright"/>
        <w:spacing w:after="0" w:line="240" w:lineRule="auto"/>
        <w:jc w:val="both"/>
        <w:rPr>
          <w:rFonts w:ascii="Arial" w:hAnsi="Arial" w:cs="Arial"/>
        </w:rPr>
        <w:sectPr w:rsidR="00B01FCD" w:rsidRPr="00FB3A86" w:rsidSect="006745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94D90A" wp14:editId="765747F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3DB3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7C5FA4C"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1202B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FAA0B6" w14:textId="77777777" w:rsidTr="001E44FE">
        <w:tc>
          <w:tcPr>
            <w:tcW w:w="9576" w:type="dxa"/>
            <w:shd w:val="clear" w:color="auto" w:fill="F2F2F2"/>
          </w:tcPr>
          <w:p w14:paraId="2A25109A" w14:textId="704C5BB6" w:rsidR="00505F06" w:rsidRPr="00B36096" w:rsidRDefault="00B36096" w:rsidP="00441B6F">
            <w:pPr>
              <w:pStyle w:val="Body"/>
              <w:spacing w:after="0"/>
              <w:rPr>
                <w:rFonts w:ascii="Arial" w:eastAsia="Calibri" w:hAnsi="Arial" w:cs="Arial"/>
              </w:rPr>
            </w:pPr>
            <w:r w:rsidRPr="00B36096">
              <w:rPr>
                <w:rFonts w:ascii="Arial" w:hAnsi="Arial" w:cs="Arial"/>
              </w:rPr>
              <w:t>The widespread use of sy</w:t>
            </w:r>
            <w:r w:rsidR="00526E82">
              <w:rPr>
                <w:rFonts w:ascii="Arial" w:hAnsi="Arial" w:cs="Arial"/>
              </w:rPr>
              <w:t xml:space="preserve">nthetic food additives in </w:t>
            </w:r>
            <w:proofErr w:type="spellStart"/>
            <w:r w:rsidR="00526E82">
              <w:rPr>
                <w:rFonts w:ascii="Arial" w:hAnsi="Arial" w:cs="Arial"/>
              </w:rPr>
              <w:t>ultra</w:t>
            </w:r>
            <w:r w:rsidR="00526E82" w:rsidRPr="00B36096">
              <w:rPr>
                <w:rFonts w:ascii="Arial" w:hAnsi="Arial" w:cs="Arial"/>
              </w:rPr>
              <w:t xml:space="preserve"> processed</w:t>
            </w:r>
            <w:proofErr w:type="spellEnd"/>
            <w:r w:rsidRPr="00B36096">
              <w:rPr>
                <w:rFonts w:ascii="Arial" w:hAnsi="Arial" w:cs="Arial"/>
              </w:rPr>
              <w:t xml:space="preserve"> foods raises concerns about potential cytotoxic and genoto</w:t>
            </w:r>
            <w:r w:rsidR="00526E82">
              <w:rPr>
                <w:rFonts w:ascii="Arial" w:hAnsi="Arial" w:cs="Arial"/>
              </w:rPr>
              <w:t xml:space="preserve">xic effects, especially in low- </w:t>
            </w:r>
            <w:r w:rsidRPr="00B36096">
              <w:rPr>
                <w:rFonts w:ascii="Arial" w:hAnsi="Arial" w:cs="Arial"/>
              </w:rPr>
              <w:t>and middle-income countries where regulatory oversight may be weak.</w:t>
            </w:r>
            <w:r w:rsidRPr="00B36096">
              <w:rPr>
                <w:rFonts w:ascii="Arial" w:hAnsi="Arial" w:cs="Arial"/>
              </w:rPr>
              <w:br/>
              <w:t xml:space="preserve">This study assessed the cytotoxicity and genotoxicity of monosodium glutamate (MSG), sorbic acid, and erythrosine red using the </w:t>
            </w:r>
            <w:r w:rsidRPr="00092B47">
              <w:rPr>
                <w:rFonts w:ascii="Arial" w:hAnsi="Arial" w:cs="Arial"/>
                <w:i/>
              </w:rPr>
              <w:t>Allium cepa</w:t>
            </w:r>
            <w:r w:rsidRPr="00B36096">
              <w:rPr>
                <w:rFonts w:ascii="Arial" w:hAnsi="Arial" w:cs="Arial"/>
              </w:rPr>
              <w:t xml:space="preserve"> root assay.</w:t>
            </w:r>
            <w:r w:rsidRPr="00B36096">
              <w:rPr>
                <w:rFonts w:ascii="Arial" w:hAnsi="Arial" w:cs="Arial"/>
                <w:bCs/>
                <w:iCs/>
              </w:rPr>
              <w:t xml:space="preserve"> </w:t>
            </w:r>
            <w:r w:rsidRPr="00B36096">
              <w:rPr>
                <w:rFonts w:ascii="Arial" w:hAnsi="Arial" w:cs="Arial"/>
              </w:rPr>
              <w:t>Onion bulbs were exposed to graded concentrations of each additive, with chromosomal aberrations and root growth inhibition (RGI) evaluated as endpoints. Data were analyzed using ANOVA, Tukey’s post hoc test, and linear regression. All additives induced concentration-dependent increases in chromosomal aberrations and significant RGI. MSG showed strong correlations with chromosomal aberrations (R² = 0.871) and RGI (R² = 0.905, p &lt; 0.05). Sorbic acid exhibited similar patterns (R² = 0.795 and 0.881, respectively). Erythrosine red caused the greatest RGI (R² = 0.964, p &lt; 0.05) and high chromosomal disruption at higher doses. Across additives, RGI was a more sensitive toxicity indicator than chromosomal aberrations. These findings indicate that common food additives can exert marked cytotoxic effects and potential genotoxicity, with implications for rapidly dividing human tissues. Stricter regulatory limits, clearer labeling, and public education are recommended, particularly in settings with high consumption of processed foods.</w:t>
            </w:r>
            <w:r w:rsidRPr="00B36096">
              <w:rPr>
                <w:rFonts w:ascii="Arial" w:hAnsi="Arial" w:cs="Arial"/>
              </w:rPr>
              <w:br/>
            </w:r>
          </w:p>
        </w:tc>
      </w:tr>
    </w:tbl>
    <w:p w14:paraId="2BF44BDF" w14:textId="77777777" w:rsidR="00636EB2" w:rsidRDefault="00636EB2" w:rsidP="00441B6F">
      <w:pPr>
        <w:pStyle w:val="Body"/>
        <w:spacing w:after="0"/>
        <w:rPr>
          <w:rFonts w:ascii="Arial" w:hAnsi="Arial" w:cs="Arial"/>
          <w:i/>
        </w:rPr>
      </w:pPr>
    </w:p>
    <w:p w14:paraId="560F7743" w14:textId="77777777" w:rsidR="00A24E7E" w:rsidRDefault="00A24E7E" w:rsidP="00441B6F">
      <w:pPr>
        <w:pStyle w:val="Body"/>
        <w:spacing w:after="0"/>
        <w:rPr>
          <w:rFonts w:ascii="Arial" w:hAnsi="Arial" w:cs="Arial"/>
          <w:i/>
        </w:rPr>
      </w:pPr>
      <w:r>
        <w:rPr>
          <w:rFonts w:ascii="Arial" w:hAnsi="Arial" w:cs="Arial"/>
          <w:i/>
        </w:rPr>
        <w:t xml:space="preserve">Keywords: </w:t>
      </w:r>
      <w:r w:rsidR="00B36096" w:rsidRPr="00B36096">
        <w:rPr>
          <w:rFonts w:ascii="Arial" w:hAnsi="Arial" w:cs="Arial"/>
          <w:i/>
        </w:rPr>
        <w:t>Allium cepa, cytotoxicity, genotoxicity, food additives, erythrosine, sorbic acid, monosodium glutamate</w:t>
      </w:r>
    </w:p>
    <w:p w14:paraId="2A5F2998" w14:textId="77777777" w:rsidR="00B52896" w:rsidRPr="00B36096" w:rsidRDefault="00B52896" w:rsidP="00B36096">
      <w:pPr>
        <w:pStyle w:val="Body"/>
        <w:spacing w:after="0"/>
        <w:rPr>
          <w:rFonts w:ascii="Arial" w:hAnsi="Arial" w:cs="Arial"/>
          <w:sz w:val="18"/>
        </w:rPr>
      </w:pPr>
    </w:p>
    <w:p w14:paraId="1FCB8769" w14:textId="77777777" w:rsidR="00505F06" w:rsidRPr="00B36096" w:rsidRDefault="00505F06" w:rsidP="00441B6F">
      <w:pPr>
        <w:pStyle w:val="Body"/>
        <w:spacing w:after="0"/>
        <w:rPr>
          <w:rFonts w:ascii="Arial" w:hAnsi="Arial" w:cs="Arial"/>
        </w:rPr>
      </w:pPr>
    </w:p>
    <w:p w14:paraId="5E167CCB" w14:textId="77777777" w:rsidR="007F7B32" w:rsidRPr="00635115" w:rsidRDefault="00902823" w:rsidP="00441B6F">
      <w:pPr>
        <w:pStyle w:val="AbstHead"/>
        <w:spacing w:after="0"/>
        <w:jc w:val="both"/>
        <w:rPr>
          <w:rFonts w:ascii="Arial" w:hAnsi="Arial" w:cs="Arial"/>
          <w:sz w:val="20"/>
        </w:rPr>
      </w:pPr>
      <w:r w:rsidRPr="00635115">
        <w:rPr>
          <w:rFonts w:ascii="Arial" w:hAnsi="Arial" w:cs="Arial"/>
          <w:sz w:val="20"/>
        </w:rPr>
        <w:t xml:space="preserve">1. </w:t>
      </w:r>
      <w:r w:rsidR="00B01FCD" w:rsidRPr="00635115">
        <w:rPr>
          <w:rFonts w:ascii="Arial" w:hAnsi="Arial" w:cs="Arial"/>
          <w:sz w:val="20"/>
        </w:rPr>
        <w:t>INTRODUCTION</w:t>
      </w:r>
      <w:r w:rsidR="007F7B32" w:rsidRPr="00635115">
        <w:rPr>
          <w:rFonts w:ascii="Arial" w:hAnsi="Arial" w:cs="Arial"/>
          <w:sz w:val="20"/>
        </w:rPr>
        <w:t xml:space="preserve"> </w:t>
      </w:r>
    </w:p>
    <w:p w14:paraId="1FBE53AF" w14:textId="77777777" w:rsidR="008B726E"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The practice of food additives goes back a few centuries, initially with natural additives to preserve food or add to its attractiveness. However, with the explosive development of the global food sector in the 20</w:t>
      </w:r>
      <w:r w:rsidRPr="00635115">
        <w:rPr>
          <w:rFonts w:ascii="Arial" w:hAnsi="Arial" w:cs="Arial"/>
          <w:bCs/>
          <w:iCs/>
          <w:vertAlign w:val="superscript"/>
        </w:rPr>
        <w:t>th</w:t>
      </w:r>
      <w:r w:rsidRPr="00635115">
        <w:rPr>
          <w:rFonts w:ascii="Arial" w:hAnsi="Arial" w:cs="Arial"/>
          <w:bCs/>
          <w:iCs/>
        </w:rPr>
        <w:t xml:space="preserve"> and 21</w:t>
      </w:r>
      <w:r w:rsidRPr="00635115">
        <w:rPr>
          <w:rFonts w:ascii="Arial" w:hAnsi="Arial" w:cs="Arial"/>
          <w:bCs/>
          <w:iCs/>
          <w:vertAlign w:val="superscript"/>
        </w:rPr>
        <w:t>st</w:t>
      </w:r>
      <w:r w:rsidRPr="00635115">
        <w:rPr>
          <w:rFonts w:ascii="Arial" w:hAnsi="Arial" w:cs="Arial"/>
          <w:bCs/>
          <w:iCs/>
        </w:rPr>
        <w:t xml:space="preserve"> centuries, the use of synthetic and semi-synthetic additives in processed and packaged foods has grown by leaps and bounds. These additives, preservatives, colorants, emulsifiers, sweeteners, and flavor enhancers are now being used regularly to prolong shelf life, refine taste, and ensure product consistency (</w:t>
      </w:r>
      <w:r w:rsidRPr="00635115">
        <w:rPr>
          <w:rFonts w:ascii="Arial" w:hAnsi="Arial" w:cs="Arial"/>
        </w:rPr>
        <w:t xml:space="preserve">Kim et al., 2019; </w:t>
      </w:r>
      <w:proofErr w:type="spellStart"/>
      <w:r w:rsidRPr="00635115">
        <w:rPr>
          <w:rFonts w:ascii="Arial" w:hAnsi="Arial" w:cs="Arial"/>
        </w:rPr>
        <w:t>Soodan</w:t>
      </w:r>
      <w:proofErr w:type="spellEnd"/>
      <w:r w:rsidRPr="00635115">
        <w:rPr>
          <w:rFonts w:ascii="Arial" w:hAnsi="Arial" w:cs="Arial"/>
        </w:rPr>
        <w:t xml:space="preserve"> et al., 2014)</w:t>
      </w:r>
      <w:r w:rsidRPr="00635115">
        <w:rPr>
          <w:rFonts w:ascii="Arial" w:hAnsi="Arial" w:cs="Arial"/>
          <w:bCs/>
          <w:iCs/>
        </w:rPr>
        <w:t>.</w:t>
      </w:r>
    </w:p>
    <w:p w14:paraId="639D358B" w14:textId="77777777" w:rsidR="00B36096"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 xml:space="preserve">Reacting to the widening application of food additives, global regulatory authorities like the Food and Agriculture Organization (FAO) and the World Health Organization (WHO), via the Codex Alimentarius Commission, set out to create safety standards and acceptable daily intake (ADI) levels to inform the utilization of these chemicals in foods. Regardless of such regulation, scientific concern regarding the long-term health consequences of chronic and cumulative consumption of some food additives has increased. In particular, concerns have been brought up regarding their possible genotoxic and </w:t>
      </w:r>
      <w:r w:rsidRPr="00635115">
        <w:rPr>
          <w:rFonts w:ascii="Arial" w:hAnsi="Arial" w:cs="Arial"/>
          <w:bCs/>
          <w:iCs/>
        </w:rPr>
        <w:lastRenderedPageBreak/>
        <w:t>cytotoxic consequences, especially in low- and middle-income nations where regulation enforcement could be intermittent (</w:t>
      </w:r>
      <w:proofErr w:type="spellStart"/>
      <w:r w:rsidRPr="00635115">
        <w:rPr>
          <w:rFonts w:ascii="Arial" w:hAnsi="Arial" w:cs="Arial"/>
          <w:bCs/>
          <w:iCs/>
        </w:rPr>
        <w:t>Carocho</w:t>
      </w:r>
      <w:proofErr w:type="spellEnd"/>
      <w:r w:rsidRPr="00635115">
        <w:rPr>
          <w:rFonts w:ascii="Arial" w:hAnsi="Arial" w:cs="Arial"/>
          <w:bCs/>
          <w:iCs/>
        </w:rPr>
        <w:t xml:space="preserve"> &amp; Barreiro, 2014; </w:t>
      </w:r>
      <w:proofErr w:type="spellStart"/>
      <w:r w:rsidRPr="00635115">
        <w:rPr>
          <w:rFonts w:ascii="Arial" w:hAnsi="Arial" w:cs="Arial"/>
        </w:rPr>
        <w:t>Chequer</w:t>
      </w:r>
      <w:proofErr w:type="spellEnd"/>
      <w:r w:rsidRPr="00635115">
        <w:rPr>
          <w:rFonts w:ascii="Arial" w:hAnsi="Arial" w:cs="Arial"/>
          <w:bCs/>
          <w:iCs/>
        </w:rPr>
        <w:t xml:space="preserve"> et al., 2012).</w:t>
      </w:r>
    </w:p>
    <w:p w14:paraId="211BEE97" w14:textId="77777777" w:rsidR="00B36096"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Genotoxicity, which is the capacity of chemicals to cause damage to genetic material, became a central interest in toxicological research. Detection of chromosomal aberrations like bridges, fragments, breaks, laggards, and micronuclei was an important indicator of genotoxic stress and gave early indications of possible mutagenesis and carcinogenesis (Guo et al., 2020). Ethical and practical constraints of testing genotoxicity directly in humans led researchers to adopt alternative models.</w:t>
      </w:r>
    </w:p>
    <w:p w14:paraId="479CC935" w14:textId="77777777" w:rsidR="00B36096"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 xml:space="preserve">In 1938, Levan developed the Allium cepa assay, a breakthrough in plant toxicology. The model quickly became popular because of its simplicity, low expense, comparatively short life cycle, and big, easily discernible chromosomes (2n = 16). With time, the A. cepa test system was recommended by agencies like the United Nations Environment </w:t>
      </w:r>
      <w:proofErr w:type="spellStart"/>
      <w:r w:rsidRPr="00635115">
        <w:rPr>
          <w:rFonts w:ascii="Arial" w:hAnsi="Arial" w:cs="Arial"/>
          <w:bCs/>
          <w:iCs/>
        </w:rPr>
        <w:t>Programme</w:t>
      </w:r>
      <w:proofErr w:type="spellEnd"/>
      <w:r w:rsidRPr="00635115">
        <w:rPr>
          <w:rFonts w:ascii="Arial" w:hAnsi="Arial" w:cs="Arial"/>
          <w:bCs/>
          <w:iCs/>
        </w:rPr>
        <w:t xml:space="preserve"> (UNEP) and the International </w:t>
      </w:r>
      <w:proofErr w:type="spellStart"/>
      <w:r w:rsidRPr="00635115">
        <w:rPr>
          <w:rFonts w:ascii="Arial" w:hAnsi="Arial" w:cs="Arial"/>
          <w:bCs/>
          <w:iCs/>
        </w:rPr>
        <w:t>Programme</w:t>
      </w:r>
      <w:proofErr w:type="spellEnd"/>
      <w:r w:rsidRPr="00635115">
        <w:rPr>
          <w:rFonts w:ascii="Arial" w:hAnsi="Arial" w:cs="Arial"/>
          <w:bCs/>
          <w:iCs/>
        </w:rPr>
        <w:t xml:space="preserve"> on Chemical Safety (IPCS) for environmental monitoring and initial chemical screening (</w:t>
      </w:r>
      <w:r w:rsidRPr="00635115">
        <w:rPr>
          <w:rFonts w:ascii="Arial" w:hAnsi="Arial" w:cs="Arial"/>
        </w:rPr>
        <w:t>Horie</w:t>
      </w:r>
      <w:r w:rsidRPr="00635115">
        <w:rPr>
          <w:rFonts w:ascii="Arial" w:hAnsi="Arial" w:cs="Arial"/>
          <w:bCs/>
          <w:iCs/>
        </w:rPr>
        <w:t xml:space="preserve"> et al.,2011). A. cepa root meristem cells, with active mitotic division, became especially useful for identifying cytological disturbances caused by environmental toxins, such as heavy metals, pesticides, and food additives.</w:t>
      </w:r>
    </w:p>
    <w:p w14:paraId="64DFD27D" w14:textId="41E1F921" w:rsidR="00B36096"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 xml:space="preserve">As research techniques improved, recent decades have seen an explosion of research using the </w:t>
      </w:r>
      <w:r w:rsidRPr="00635115">
        <w:rPr>
          <w:rFonts w:ascii="Arial" w:hAnsi="Arial" w:cs="Arial"/>
          <w:bCs/>
          <w:i/>
          <w:iCs/>
        </w:rPr>
        <w:t>A. cepa</w:t>
      </w:r>
      <w:r w:rsidRPr="00635115">
        <w:rPr>
          <w:rFonts w:ascii="Arial" w:hAnsi="Arial" w:cs="Arial"/>
          <w:bCs/>
          <w:iCs/>
        </w:rPr>
        <w:t xml:space="preserve"> model to evaluate the genotoxicity of popular food additives consumed globally. </w:t>
      </w:r>
      <w:r w:rsidRPr="00635115">
        <w:rPr>
          <w:rFonts w:ascii="Arial" w:hAnsi="Arial" w:cs="Arial"/>
        </w:rPr>
        <w:t xml:space="preserve">The A. cepa assay, widely adopted for its low cost and chromosomal clarity, is now a standard preliminary model for assessing the genotoxicity of food additives and environmental contaminants. </w:t>
      </w:r>
      <w:r w:rsidRPr="00635115">
        <w:rPr>
          <w:rFonts w:ascii="Arial" w:hAnsi="Arial" w:cs="Arial"/>
          <w:bCs/>
          <w:iCs/>
        </w:rPr>
        <w:t>Food additives like monosodium glutamate (MSG), sodium benzoate, tartrazine, and aspartame, although cleared for inclusion in human diets, have exhibited cytological disruptions in the laboratory setting, such as mitosis inhibition, DNA damage, and oxidative stress (</w:t>
      </w:r>
      <w:r w:rsidRPr="00635115">
        <w:rPr>
          <w:rFonts w:ascii="Arial" w:hAnsi="Arial" w:cs="Arial"/>
          <w:iCs/>
        </w:rPr>
        <w:t>Ikechukwu</w:t>
      </w:r>
      <w:r w:rsidRPr="00635115">
        <w:rPr>
          <w:rFonts w:ascii="Arial" w:hAnsi="Arial" w:cs="Arial"/>
          <w:bCs/>
          <w:iCs/>
        </w:rPr>
        <w:t xml:space="preserve"> et al., 2024; </w:t>
      </w:r>
      <w:r w:rsidR="00C3415E">
        <w:rPr>
          <w:rFonts w:ascii="Arial" w:hAnsi="Arial" w:cs="Arial"/>
          <w:bCs/>
          <w:iCs/>
        </w:rPr>
        <w:t>Das et al., 2022</w:t>
      </w:r>
      <w:r w:rsidRPr="00635115">
        <w:rPr>
          <w:rFonts w:ascii="Arial" w:hAnsi="Arial" w:cs="Arial"/>
          <w:bCs/>
          <w:iCs/>
        </w:rPr>
        <w:t>). Such reports have raised alarm bells over the safety limits of such additives, particularly upon long-term consumption or in combination.</w:t>
      </w:r>
    </w:p>
    <w:p w14:paraId="799AF640" w14:textId="77777777" w:rsidR="00B36096"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In parallel with these advances, the worldwide boom in the consumption of ultra-processed foods, particularly in low-income countries such as Nigeria, has aggravated exposure risks. In these environments, informal markets, lack of regulatory enforcement, and increased dependence on imported processed foods are some of the factors leading to high additive consumption. Of particular concern is the exposure of vulnerable groups, including children, whose tissues are rapidly dividing and thus potentially more sensitive to cellular and genetic disruption (</w:t>
      </w:r>
      <w:proofErr w:type="spellStart"/>
      <w:r w:rsidRPr="00635115">
        <w:rPr>
          <w:rFonts w:ascii="Arial" w:hAnsi="Arial" w:cs="Arial"/>
        </w:rPr>
        <w:t>Aşkin</w:t>
      </w:r>
      <w:proofErr w:type="spellEnd"/>
      <w:r w:rsidRPr="00635115">
        <w:rPr>
          <w:rFonts w:ascii="Arial" w:hAnsi="Arial" w:cs="Arial"/>
        </w:rPr>
        <w:t xml:space="preserve"> </w:t>
      </w:r>
      <w:proofErr w:type="spellStart"/>
      <w:r w:rsidRPr="00635115">
        <w:rPr>
          <w:rFonts w:ascii="Arial" w:hAnsi="Arial" w:cs="Arial"/>
        </w:rPr>
        <w:t>Çelik</w:t>
      </w:r>
      <w:proofErr w:type="spellEnd"/>
      <w:r w:rsidRPr="00635115">
        <w:rPr>
          <w:rFonts w:ascii="Arial" w:hAnsi="Arial" w:cs="Arial"/>
        </w:rPr>
        <w:t xml:space="preserve"> &amp; </w:t>
      </w:r>
      <w:proofErr w:type="spellStart"/>
      <w:r w:rsidRPr="00635115">
        <w:rPr>
          <w:rFonts w:ascii="Arial" w:hAnsi="Arial" w:cs="Arial"/>
        </w:rPr>
        <w:t>Aslantürk</w:t>
      </w:r>
      <w:proofErr w:type="spellEnd"/>
      <w:r w:rsidRPr="00635115">
        <w:rPr>
          <w:rFonts w:ascii="Arial" w:hAnsi="Arial" w:cs="Arial"/>
        </w:rPr>
        <w:t>, 2010</w:t>
      </w:r>
      <w:r w:rsidRPr="00635115">
        <w:rPr>
          <w:rFonts w:ascii="Arial" w:hAnsi="Arial" w:cs="Arial"/>
          <w:bCs/>
          <w:iCs/>
        </w:rPr>
        <w:t>).</w:t>
      </w:r>
    </w:p>
    <w:p w14:paraId="48E5E438" w14:textId="01A2620F" w:rsidR="00B36096" w:rsidRPr="00635115" w:rsidRDefault="00B36096" w:rsidP="00B36096">
      <w:pPr>
        <w:spacing w:before="100" w:beforeAutospacing="1" w:after="100" w:afterAutospacing="1" w:line="360" w:lineRule="auto"/>
        <w:jc w:val="both"/>
        <w:rPr>
          <w:rFonts w:ascii="Arial" w:hAnsi="Arial" w:cs="Arial"/>
          <w:bCs/>
          <w:iCs/>
        </w:rPr>
      </w:pPr>
      <w:r w:rsidRPr="00635115">
        <w:rPr>
          <w:rFonts w:ascii="Arial" w:hAnsi="Arial" w:cs="Arial"/>
          <w:bCs/>
          <w:iCs/>
        </w:rPr>
        <w:t>While many additives are designated as GRAS (Generally Recognized As Safe) under recommended usage levels, emerging evidence from in vivo and in vitro models indicates that some may interfere with DNA repair mechanisms, redox balance, and mitotic progression (</w:t>
      </w:r>
      <w:r w:rsidR="00C3415E" w:rsidRPr="00C3415E">
        <w:rPr>
          <w:rFonts w:ascii="Arial" w:hAnsi="Arial" w:cs="Arial"/>
          <w:bCs/>
          <w:iCs/>
        </w:rPr>
        <w:t>X</w:t>
      </w:r>
      <w:r w:rsidR="00C3415E">
        <w:rPr>
          <w:rFonts w:ascii="Arial" w:hAnsi="Arial" w:cs="Arial"/>
          <w:bCs/>
          <w:iCs/>
        </w:rPr>
        <w:t>u et al., 2024;</w:t>
      </w:r>
      <w:r w:rsidR="00C3415E" w:rsidRPr="00C3415E">
        <w:rPr>
          <w:rFonts w:ascii="Arial" w:hAnsi="Arial" w:cs="Arial"/>
          <w:bCs/>
          <w:iCs/>
        </w:rPr>
        <w:t xml:space="preserve"> </w:t>
      </w:r>
      <w:proofErr w:type="spellStart"/>
      <w:r w:rsidRPr="00635115">
        <w:rPr>
          <w:rFonts w:ascii="Arial" w:hAnsi="Arial" w:cs="Arial"/>
        </w:rPr>
        <w:t>Leme</w:t>
      </w:r>
      <w:proofErr w:type="spellEnd"/>
      <w:r w:rsidRPr="00635115">
        <w:rPr>
          <w:rFonts w:ascii="Arial" w:hAnsi="Arial" w:cs="Arial"/>
        </w:rPr>
        <w:t xml:space="preserve"> et al.,</w:t>
      </w:r>
      <w:r w:rsidRPr="00635115">
        <w:rPr>
          <w:rFonts w:ascii="Arial" w:hAnsi="Arial" w:cs="Arial"/>
          <w:bCs/>
          <w:iCs/>
        </w:rPr>
        <w:t xml:space="preserve"> 2</w:t>
      </w:r>
      <w:r w:rsidR="00C3415E">
        <w:rPr>
          <w:rFonts w:ascii="Arial" w:hAnsi="Arial" w:cs="Arial"/>
          <w:bCs/>
          <w:iCs/>
        </w:rPr>
        <w:t>009</w:t>
      </w:r>
      <w:r w:rsidRPr="00635115">
        <w:rPr>
          <w:rFonts w:ascii="Arial" w:hAnsi="Arial" w:cs="Arial"/>
          <w:bCs/>
          <w:iCs/>
        </w:rPr>
        <w:t>). Several additives act as pro-oxidants, generating reactive oxygen species (ROS) that overwhelm antioxidant defenses and trigger cell death pathways. These effects are especially worrisome in fast-dividing tissues such as the gastrointestinal epithelium, bone marrow, and reproductive organs.</w:t>
      </w:r>
    </w:p>
    <w:p w14:paraId="367112A2" w14:textId="68F3EA12" w:rsidR="00B36096" w:rsidRPr="00635115" w:rsidRDefault="00B36096" w:rsidP="00B36096">
      <w:pPr>
        <w:spacing w:before="240" w:beforeAutospacing="1" w:after="100" w:afterAutospacing="1" w:line="360" w:lineRule="auto"/>
        <w:jc w:val="both"/>
        <w:rPr>
          <w:rFonts w:ascii="Arial" w:hAnsi="Arial" w:cs="Arial"/>
          <w:bCs/>
          <w:iCs/>
        </w:rPr>
      </w:pPr>
      <w:r w:rsidRPr="00635115">
        <w:rPr>
          <w:rFonts w:ascii="Arial" w:hAnsi="Arial" w:cs="Arial"/>
          <w:bCs/>
          <w:iCs/>
        </w:rPr>
        <w:t xml:space="preserve">It is against this background that the present research was conceived to examine the genotoxicity of some food additives based on the </w:t>
      </w:r>
      <w:r w:rsidRPr="00635115">
        <w:rPr>
          <w:rFonts w:ascii="Arial" w:hAnsi="Arial" w:cs="Arial"/>
          <w:bCs/>
          <w:i/>
          <w:iCs/>
        </w:rPr>
        <w:t>Allium cepa</w:t>
      </w:r>
      <w:r w:rsidRPr="00635115">
        <w:rPr>
          <w:rFonts w:ascii="Arial" w:hAnsi="Arial" w:cs="Arial"/>
          <w:bCs/>
          <w:iCs/>
        </w:rPr>
        <w:t xml:space="preserve"> assay, a system that complies with the ethical tenets of research through the 3Rs (Replaceme</w:t>
      </w:r>
      <w:r w:rsidR="00C3415E">
        <w:rPr>
          <w:rFonts w:ascii="Arial" w:hAnsi="Arial" w:cs="Arial"/>
          <w:bCs/>
          <w:iCs/>
        </w:rPr>
        <w:t xml:space="preserve">nt, Reduction, and Refinement) </w:t>
      </w:r>
      <w:r w:rsidRPr="00635115">
        <w:rPr>
          <w:rFonts w:ascii="Arial" w:hAnsi="Arial" w:cs="Arial"/>
          <w:bCs/>
          <w:iCs/>
        </w:rPr>
        <w:t>(</w:t>
      </w:r>
      <w:proofErr w:type="spellStart"/>
      <w:r w:rsidRPr="00635115">
        <w:rPr>
          <w:rFonts w:ascii="Arial" w:hAnsi="Arial" w:cs="Arial"/>
        </w:rPr>
        <w:t>Aleem</w:t>
      </w:r>
      <w:proofErr w:type="spellEnd"/>
      <w:r w:rsidRPr="00635115">
        <w:rPr>
          <w:rFonts w:ascii="Arial" w:hAnsi="Arial" w:cs="Arial"/>
        </w:rPr>
        <w:t xml:space="preserve"> et al., 2020).</w:t>
      </w:r>
      <w:r w:rsidRPr="00635115">
        <w:rPr>
          <w:rFonts w:ascii="Arial" w:hAnsi="Arial" w:cs="Arial"/>
          <w:bCs/>
          <w:iCs/>
        </w:rPr>
        <w:t xml:space="preserve"> Through the exposure of </w:t>
      </w:r>
      <w:r w:rsidRPr="00635115">
        <w:rPr>
          <w:rFonts w:ascii="Arial" w:hAnsi="Arial" w:cs="Arial"/>
          <w:bCs/>
          <w:i/>
          <w:iCs/>
        </w:rPr>
        <w:t>A. cepa</w:t>
      </w:r>
      <w:r w:rsidRPr="00635115">
        <w:rPr>
          <w:rFonts w:ascii="Arial" w:hAnsi="Arial" w:cs="Arial"/>
          <w:bCs/>
          <w:iCs/>
        </w:rPr>
        <w:t xml:space="preserve"> root tip cells to graded levels of popular additives, this research seeks to measure their ability to cause chromosomal aberrations and other mitotic disturbances. In </w:t>
      </w:r>
      <w:r w:rsidRPr="00635115">
        <w:rPr>
          <w:rFonts w:ascii="Arial" w:hAnsi="Arial" w:cs="Arial"/>
          <w:bCs/>
          <w:iCs/>
        </w:rPr>
        <w:lastRenderedPageBreak/>
        <w:t xml:space="preserve">addition, it investigates dose-response relations to gain insight into the intensity as well as the frequency of </w:t>
      </w:r>
      <w:proofErr w:type="spellStart"/>
      <w:r w:rsidRPr="00635115">
        <w:rPr>
          <w:rFonts w:ascii="Arial" w:hAnsi="Arial" w:cs="Arial"/>
          <w:bCs/>
          <w:iCs/>
        </w:rPr>
        <w:t>cytogenotoxicity</w:t>
      </w:r>
      <w:proofErr w:type="spellEnd"/>
      <w:r w:rsidRPr="00635115">
        <w:rPr>
          <w:rFonts w:ascii="Arial" w:hAnsi="Arial" w:cs="Arial"/>
          <w:bCs/>
          <w:iCs/>
        </w:rPr>
        <w:t xml:space="preserve"> with concentration (</w:t>
      </w:r>
      <w:proofErr w:type="spellStart"/>
      <w:r w:rsidRPr="00635115">
        <w:rPr>
          <w:rFonts w:ascii="Arial" w:hAnsi="Arial" w:cs="Arial"/>
        </w:rPr>
        <w:t>Aleem</w:t>
      </w:r>
      <w:proofErr w:type="spellEnd"/>
      <w:r w:rsidRPr="00635115">
        <w:rPr>
          <w:rFonts w:ascii="Arial" w:hAnsi="Arial" w:cs="Arial"/>
        </w:rPr>
        <w:t xml:space="preserve"> &amp; Jasmine</w:t>
      </w:r>
      <w:r w:rsidRPr="00635115">
        <w:rPr>
          <w:rFonts w:ascii="Arial" w:hAnsi="Arial" w:cs="Arial"/>
          <w:bCs/>
          <w:iCs/>
        </w:rPr>
        <w:t>, 2021).</w:t>
      </w:r>
    </w:p>
    <w:p w14:paraId="2AE4A5F9" w14:textId="77777777" w:rsidR="00B36096" w:rsidRPr="00635115" w:rsidRDefault="00B36096" w:rsidP="00B36096">
      <w:pPr>
        <w:spacing w:before="100" w:beforeAutospacing="1" w:after="100" w:afterAutospacing="1" w:line="360" w:lineRule="auto"/>
        <w:jc w:val="both"/>
        <w:rPr>
          <w:rFonts w:ascii="Arial" w:hAnsi="Arial" w:cs="Arial"/>
          <w:color w:val="FF0000"/>
        </w:rPr>
      </w:pPr>
      <w:r w:rsidRPr="00635115">
        <w:rPr>
          <w:rFonts w:ascii="Arial" w:hAnsi="Arial" w:cs="Arial"/>
          <w:bCs/>
          <w:iCs/>
        </w:rPr>
        <w:t>Finally, this study adds to the continuing discussion of food safety and chemical risk assessment, especially in areas where consumer protection systems are still developing. The results are anticipated to yield empirical evidence that guides public health policy, regulatory reform, and consumer education, hence buttressing the contributions of plant bioassays in environmental and food toxicology.</w:t>
      </w:r>
    </w:p>
    <w:p w14:paraId="20C0021F" w14:textId="77777777" w:rsidR="00790ADA" w:rsidRPr="00FB3A86" w:rsidRDefault="00790ADA" w:rsidP="00441B6F">
      <w:pPr>
        <w:pStyle w:val="Body"/>
        <w:spacing w:after="0"/>
        <w:rPr>
          <w:rFonts w:ascii="Arial" w:hAnsi="Arial" w:cs="Arial"/>
        </w:rPr>
      </w:pPr>
    </w:p>
    <w:p w14:paraId="011E2FBD" w14:textId="3C6756BE" w:rsidR="00790ADA" w:rsidRPr="00FB3A86" w:rsidRDefault="00902823" w:rsidP="00441B6F">
      <w:pPr>
        <w:pStyle w:val="AbstHead"/>
        <w:spacing w:after="0"/>
        <w:jc w:val="both"/>
        <w:rPr>
          <w:rFonts w:ascii="Arial" w:hAnsi="Arial" w:cs="Arial"/>
        </w:rPr>
      </w:pPr>
      <w:r>
        <w:rPr>
          <w:rFonts w:ascii="Arial" w:hAnsi="Arial" w:cs="Arial"/>
        </w:rPr>
        <w:t>2. material</w:t>
      </w:r>
      <w:r w:rsidR="00526E82">
        <w:rPr>
          <w:rFonts w:ascii="Arial" w:hAnsi="Arial" w:cs="Arial"/>
        </w:rPr>
        <w:t>S</w:t>
      </w:r>
      <w:r>
        <w:rPr>
          <w:rFonts w:ascii="Arial" w:hAnsi="Arial" w:cs="Arial"/>
        </w:rPr>
        <w:t xml:space="preserve"> and method</w:t>
      </w:r>
      <w:r w:rsidR="00000F8F">
        <w:rPr>
          <w:rFonts w:ascii="Arial" w:hAnsi="Arial" w:cs="Arial"/>
        </w:rPr>
        <w:t xml:space="preserve">s </w:t>
      </w:r>
    </w:p>
    <w:p w14:paraId="7E1A1C48" w14:textId="77777777" w:rsidR="0050424B" w:rsidRPr="0050424B" w:rsidRDefault="0050424B" w:rsidP="0050424B">
      <w:pPr>
        <w:pStyle w:val="Heading4"/>
        <w:spacing w:line="360" w:lineRule="auto"/>
        <w:jc w:val="both"/>
        <w:rPr>
          <w:rFonts w:ascii="Arial" w:hAnsi="Arial" w:cs="Arial"/>
          <w:b w:val="0"/>
          <w:i w:val="0"/>
          <w:color w:val="000000" w:themeColor="text1"/>
        </w:rPr>
      </w:pPr>
      <w:r>
        <w:rPr>
          <w:rStyle w:val="Strong"/>
          <w:rFonts w:ascii="Arial" w:hAnsi="Arial" w:cs="Arial"/>
          <w:b/>
          <w:i w:val="0"/>
          <w:color w:val="000000" w:themeColor="text1"/>
        </w:rPr>
        <w:t xml:space="preserve">2.1. </w:t>
      </w:r>
      <w:r w:rsidRPr="0050424B">
        <w:rPr>
          <w:rStyle w:val="Strong"/>
          <w:rFonts w:ascii="Arial" w:hAnsi="Arial" w:cs="Arial"/>
          <w:b/>
          <w:i w:val="0"/>
          <w:color w:val="000000" w:themeColor="text1"/>
        </w:rPr>
        <w:t>Study Area and Experimental Setting</w:t>
      </w:r>
    </w:p>
    <w:p w14:paraId="4ABBDFF5"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The study was conducted in the Plant Physiology and Cytogenetics Laboratory, Department of Biology, Federal University of Technology, Akure (FUTA), Nigeria. Akure is situated in southwestern Nigeria within the tropical rainforest belt (Latitude 7°15'N, Longitude 5°11'E), experiencing average annual rainfall of 1500–2000 mm and a mean temperature range of 23–31°C. The laboratory environment was maintained at ambient room temperature (25 ± 2°C) with natural day-night photoperiods during the experiment. The region is significant for its reliance on open markets like Sasha Market, which serve as major distribution hubs for food commodities and additives, hence making it a pertinent location for food toxicology studies.</w:t>
      </w:r>
    </w:p>
    <w:p w14:paraId="248B8B4E"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2.2. Plant Material Collection and Preparation</w:t>
      </w:r>
    </w:p>
    <w:p w14:paraId="47A25576" w14:textId="77777777" w:rsidR="001F5029" w:rsidRDefault="0050424B" w:rsidP="001F5029">
      <w:pPr>
        <w:pStyle w:val="NormalWeb"/>
        <w:spacing w:line="360" w:lineRule="auto"/>
        <w:jc w:val="both"/>
        <w:rPr>
          <w:rStyle w:val="Strong"/>
          <w:rFonts w:ascii="Arial" w:hAnsi="Arial" w:cs="Arial"/>
          <w:b w:val="0"/>
          <w:bCs w:val="0"/>
          <w:color w:val="000000" w:themeColor="text1"/>
          <w:sz w:val="20"/>
          <w:szCs w:val="20"/>
        </w:rPr>
      </w:pPr>
      <w:r w:rsidRPr="0050424B">
        <w:rPr>
          <w:rFonts w:ascii="Arial" w:hAnsi="Arial" w:cs="Arial"/>
          <w:color w:val="000000" w:themeColor="text1"/>
          <w:sz w:val="20"/>
          <w:szCs w:val="20"/>
        </w:rPr>
        <w:t>Healthy onion bulbs (</w:t>
      </w:r>
      <w:r w:rsidRPr="0050424B">
        <w:rPr>
          <w:rStyle w:val="Emphasis"/>
          <w:rFonts w:ascii="Arial" w:hAnsi="Arial" w:cs="Arial"/>
          <w:color w:val="000000" w:themeColor="text1"/>
          <w:sz w:val="20"/>
          <w:szCs w:val="20"/>
        </w:rPr>
        <w:t>Allium cepa</w:t>
      </w:r>
      <w:r w:rsidRPr="0050424B">
        <w:rPr>
          <w:rFonts w:ascii="Arial" w:hAnsi="Arial" w:cs="Arial"/>
          <w:color w:val="000000" w:themeColor="text1"/>
          <w:sz w:val="20"/>
          <w:szCs w:val="20"/>
        </w:rPr>
        <w:t xml:space="preserve"> L.; 2n = 16, Family: Amaryllidaceae) were sourced from Sasha Market, Akure. Selection criteria included uniform size (3.5–5.0 cm), absence of mechanical or fungal damage, and physiological freshness. Surface sterilization was achieved by removing dry outer scales and rinsing the bulbs thoroughly in distilled water to eliminate debris and microbial contaminants. This ensures consistency in root growth response during exposure </w:t>
      </w:r>
      <w:r w:rsidR="001F5029" w:rsidRPr="001F5029">
        <w:rPr>
          <w:rFonts w:ascii="Arial" w:hAnsi="Arial" w:cs="Arial"/>
          <w:color w:val="000000" w:themeColor="text1"/>
          <w:sz w:val="20"/>
          <w:szCs w:val="20"/>
        </w:rPr>
        <w:t>(</w:t>
      </w:r>
      <w:proofErr w:type="spellStart"/>
      <w:r w:rsidR="001F5029" w:rsidRPr="001F5029">
        <w:rPr>
          <w:rFonts w:ascii="Arial" w:hAnsi="Arial" w:cs="Arial"/>
          <w:color w:val="000000" w:themeColor="text1"/>
          <w:sz w:val="20"/>
          <w:szCs w:val="20"/>
        </w:rPr>
        <w:t>Salih</w:t>
      </w:r>
      <w:proofErr w:type="spellEnd"/>
      <w:r w:rsidR="001F5029" w:rsidRPr="001F5029">
        <w:rPr>
          <w:rFonts w:ascii="Arial" w:hAnsi="Arial" w:cs="Arial"/>
          <w:color w:val="000000" w:themeColor="text1"/>
          <w:sz w:val="20"/>
          <w:szCs w:val="20"/>
        </w:rPr>
        <w:t xml:space="preserve"> &amp; </w:t>
      </w:r>
      <w:proofErr w:type="spellStart"/>
      <w:r w:rsidR="001F5029" w:rsidRPr="001F5029">
        <w:rPr>
          <w:rFonts w:ascii="Arial" w:hAnsi="Arial" w:cs="Arial"/>
          <w:color w:val="000000" w:themeColor="text1"/>
          <w:sz w:val="20"/>
          <w:szCs w:val="20"/>
        </w:rPr>
        <w:t>Kka</w:t>
      </w:r>
      <w:proofErr w:type="spellEnd"/>
      <w:r w:rsidR="001F5029" w:rsidRPr="001F5029">
        <w:rPr>
          <w:rFonts w:ascii="Arial" w:hAnsi="Arial" w:cs="Arial"/>
          <w:color w:val="000000" w:themeColor="text1"/>
          <w:sz w:val="20"/>
          <w:szCs w:val="20"/>
        </w:rPr>
        <w:t>, 2022)</w:t>
      </w:r>
      <w:r w:rsidR="001F5029" w:rsidRPr="001F5029">
        <w:rPr>
          <w:rStyle w:val="Strong"/>
          <w:rFonts w:ascii="Arial" w:hAnsi="Arial" w:cs="Arial"/>
          <w:b w:val="0"/>
          <w:bCs w:val="0"/>
          <w:color w:val="000000" w:themeColor="text1"/>
          <w:sz w:val="20"/>
          <w:szCs w:val="20"/>
        </w:rPr>
        <w:t xml:space="preserve"> </w:t>
      </w:r>
    </w:p>
    <w:p w14:paraId="7E5EF1EE" w14:textId="39B57565" w:rsidR="0050424B" w:rsidRPr="0050424B" w:rsidRDefault="0050424B" w:rsidP="001F5029">
      <w:pPr>
        <w:pStyle w:val="NormalWeb"/>
        <w:spacing w:line="360" w:lineRule="auto"/>
        <w:jc w:val="both"/>
        <w:rPr>
          <w:rFonts w:ascii="Arial" w:hAnsi="Arial" w:cs="Arial"/>
          <w:b/>
          <w:i/>
          <w:color w:val="000000" w:themeColor="text1"/>
        </w:rPr>
      </w:pPr>
      <w:r>
        <w:rPr>
          <w:rStyle w:val="Strong"/>
          <w:rFonts w:ascii="Arial" w:hAnsi="Arial" w:cs="Arial"/>
          <w:color w:val="000000" w:themeColor="text1"/>
        </w:rPr>
        <w:t xml:space="preserve">2.3. </w:t>
      </w:r>
      <w:r w:rsidRPr="0050424B">
        <w:rPr>
          <w:rStyle w:val="Strong"/>
          <w:rFonts w:ascii="Arial" w:hAnsi="Arial" w:cs="Arial"/>
          <w:color w:val="000000" w:themeColor="text1"/>
        </w:rPr>
        <w:t>Selection and Preparation of Food Additives</w:t>
      </w:r>
    </w:p>
    <w:p w14:paraId="1B7427B5" w14:textId="0B9B1C1C"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 xml:space="preserve">Monosodium glutamate, </w:t>
      </w:r>
      <w:proofErr w:type="spellStart"/>
      <w:r w:rsidRPr="0050424B">
        <w:rPr>
          <w:rFonts w:ascii="Arial" w:hAnsi="Arial" w:cs="Arial"/>
          <w:color w:val="000000" w:themeColor="text1"/>
          <w:sz w:val="20"/>
          <w:szCs w:val="20"/>
        </w:rPr>
        <w:t>sorbic</w:t>
      </w:r>
      <w:proofErr w:type="spellEnd"/>
      <w:r w:rsidRPr="0050424B">
        <w:rPr>
          <w:rFonts w:ascii="Arial" w:hAnsi="Arial" w:cs="Arial"/>
          <w:color w:val="000000" w:themeColor="text1"/>
          <w:sz w:val="20"/>
          <w:szCs w:val="20"/>
        </w:rPr>
        <w:t xml:space="preserve"> acid, and erythrosine red were selected due to their broad usage and suspected genotoxic profiles. Analytical-grade powders were purchased from Sigma-Aldrich certified chemical distributors and kept in airtight containers. Working concentrations were determined based on prior toxicological thresholds used in </w:t>
      </w:r>
      <w:r w:rsidRPr="0050424B">
        <w:rPr>
          <w:rStyle w:val="Emphasis"/>
          <w:rFonts w:ascii="Arial" w:hAnsi="Arial" w:cs="Arial"/>
          <w:color w:val="000000" w:themeColor="text1"/>
          <w:sz w:val="20"/>
          <w:szCs w:val="20"/>
        </w:rPr>
        <w:t xml:space="preserve">Allium </w:t>
      </w:r>
      <w:proofErr w:type="spellStart"/>
      <w:r w:rsidRPr="0050424B">
        <w:rPr>
          <w:rStyle w:val="Emphasis"/>
          <w:rFonts w:ascii="Arial" w:hAnsi="Arial" w:cs="Arial"/>
          <w:color w:val="000000" w:themeColor="text1"/>
          <w:sz w:val="20"/>
          <w:szCs w:val="20"/>
        </w:rPr>
        <w:t>cepa</w:t>
      </w:r>
      <w:proofErr w:type="spellEnd"/>
      <w:r w:rsidRPr="0050424B">
        <w:rPr>
          <w:rFonts w:ascii="Arial" w:hAnsi="Arial" w:cs="Arial"/>
          <w:color w:val="000000" w:themeColor="text1"/>
          <w:sz w:val="20"/>
          <w:szCs w:val="20"/>
        </w:rPr>
        <w:t xml:space="preserve"> studies (</w:t>
      </w:r>
      <w:proofErr w:type="spellStart"/>
      <w:r w:rsidRPr="0050424B">
        <w:rPr>
          <w:rFonts w:ascii="Arial" w:hAnsi="Arial" w:cs="Arial"/>
          <w:color w:val="000000" w:themeColor="text1"/>
          <w:sz w:val="20"/>
          <w:szCs w:val="20"/>
        </w:rPr>
        <w:t>Ayed-Boussema</w:t>
      </w:r>
      <w:proofErr w:type="spellEnd"/>
      <w:r w:rsidRPr="0050424B">
        <w:rPr>
          <w:rFonts w:ascii="Arial" w:hAnsi="Arial" w:cs="Arial"/>
          <w:color w:val="000000" w:themeColor="text1"/>
          <w:sz w:val="20"/>
          <w:szCs w:val="20"/>
        </w:rPr>
        <w:t xml:space="preserve"> </w:t>
      </w:r>
      <w:r w:rsidR="001F5029">
        <w:rPr>
          <w:rFonts w:ascii="Arial" w:hAnsi="Arial" w:cs="Arial"/>
          <w:color w:val="000000" w:themeColor="text1"/>
          <w:sz w:val="20"/>
          <w:szCs w:val="20"/>
        </w:rPr>
        <w:t>et al., 2020</w:t>
      </w:r>
      <w:r w:rsidRPr="0050424B">
        <w:rPr>
          <w:rFonts w:ascii="Arial" w:hAnsi="Arial" w:cs="Arial"/>
          <w:color w:val="000000" w:themeColor="text1"/>
          <w:sz w:val="20"/>
          <w:szCs w:val="20"/>
        </w:rPr>
        <w:t>). Each additive was dissolved in freshly collected tap water to obtain three different concentrations for treatment, while tap water served as a negative control. A 10 ppm solution of lead nitrate [Pb(NO</w:t>
      </w:r>
      <w:proofErr w:type="gramStart"/>
      <w:r w:rsidRPr="0050424B">
        <w:rPr>
          <w:rFonts w:ascii="Cambria Math" w:hAnsi="Cambria Math" w:cs="Cambria Math"/>
          <w:color w:val="000000" w:themeColor="text1"/>
          <w:sz w:val="20"/>
          <w:szCs w:val="20"/>
        </w:rPr>
        <w:t>₃</w:t>
      </w:r>
      <w:r w:rsidRPr="0050424B">
        <w:rPr>
          <w:rFonts w:ascii="Arial" w:hAnsi="Arial" w:cs="Arial"/>
          <w:color w:val="000000" w:themeColor="text1"/>
          <w:sz w:val="20"/>
          <w:szCs w:val="20"/>
        </w:rPr>
        <w:t>)</w:t>
      </w:r>
      <w:r w:rsidRPr="0050424B">
        <w:rPr>
          <w:rFonts w:ascii="Cambria Math" w:hAnsi="Cambria Math" w:cs="Cambria Math"/>
          <w:color w:val="000000" w:themeColor="text1"/>
          <w:sz w:val="20"/>
          <w:szCs w:val="20"/>
        </w:rPr>
        <w:t>₂</w:t>
      </w:r>
      <w:proofErr w:type="gramEnd"/>
      <w:r w:rsidRPr="0050424B">
        <w:rPr>
          <w:rFonts w:ascii="Arial" w:hAnsi="Arial" w:cs="Arial"/>
          <w:color w:val="000000" w:themeColor="text1"/>
          <w:sz w:val="20"/>
          <w:szCs w:val="20"/>
        </w:rPr>
        <w:t>] was prepared as the positive control, known for its robust genotoxic activity in cytological studies (Leme &amp; Marin-Morales, 2009).</w:t>
      </w:r>
    </w:p>
    <w:p w14:paraId="52240220"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2.4. Experimental Design and Exposure Protocol</w:t>
      </w:r>
    </w:p>
    <w:p w14:paraId="4A726861"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 xml:space="preserve">A completely randomized design (CRD) was employed, with three replicates per treatment group. Bulbs were initially rooted in 100 mL beakers containing distilled water for 48 hours. Once root lengths reached 1–2 cm, bulbs were transferred into </w:t>
      </w:r>
      <w:r w:rsidRPr="0050424B">
        <w:rPr>
          <w:rFonts w:ascii="Arial" w:hAnsi="Arial" w:cs="Arial"/>
          <w:color w:val="000000" w:themeColor="text1"/>
          <w:sz w:val="20"/>
          <w:szCs w:val="20"/>
        </w:rPr>
        <w:lastRenderedPageBreak/>
        <w:t>beakers containing various additive concentrations. The exposure lasted another 48 hours under identical laboratory conditions, and test solutions were replaced every 24 hours to ensure chemical integrity (Oyeyemi et al., 2023).</w:t>
      </w:r>
    </w:p>
    <w:p w14:paraId="221B3A84"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2.5. Cytological Slide Preparation and Staining</w:t>
      </w:r>
    </w:p>
    <w:p w14:paraId="09A0954D"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 xml:space="preserve">After treatment, root tips (5 per bulb) were fixed in </w:t>
      </w:r>
      <w:proofErr w:type="spellStart"/>
      <w:r w:rsidRPr="0050424B">
        <w:rPr>
          <w:rFonts w:ascii="Arial" w:hAnsi="Arial" w:cs="Arial"/>
          <w:color w:val="000000" w:themeColor="text1"/>
          <w:sz w:val="20"/>
          <w:szCs w:val="20"/>
        </w:rPr>
        <w:t>Carnoy’s</w:t>
      </w:r>
      <w:proofErr w:type="spellEnd"/>
      <w:r w:rsidRPr="0050424B">
        <w:rPr>
          <w:rFonts w:ascii="Arial" w:hAnsi="Arial" w:cs="Arial"/>
          <w:color w:val="000000" w:themeColor="text1"/>
          <w:sz w:val="20"/>
          <w:szCs w:val="20"/>
        </w:rPr>
        <w:t xml:space="preserve"> fixative (ethanol: acetic acid = 3:1) for 24 hours. Hydrolysis was done in 1 N HCl at 60°C for 5 minutes. Root tips were stained with 2% aceto-orcein for 30 minutes and squashed onto glass slides using the thumb press technique. Coverslips were sealed with nail varnish to prevent drying. Slides were examined under a compound microscope at ×400 and ×1000 magnifications for mitotic and chromosomal analysis (Rank &amp; Nielsen, 1994).</w:t>
      </w:r>
    </w:p>
    <w:p w14:paraId="708C590D" w14:textId="77777777" w:rsidR="0050424B" w:rsidRPr="0050424B" w:rsidRDefault="0050424B" w:rsidP="0050424B">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2.6. </w:t>
      </w:r>
      <w:r w:rsidRPr="0050424B">
        <w:rPr>
          <w:rFonts w:ascii="Arial" w:hAnsi="Arial" w:cs="Arial"/>
          <w:b/>
          <w:color w:val="000000" w:themeColor="text1"/>
          <w:sz w:val="22"/>
          <w:szCs w:val="22"/>
        </w:rPr>
        <w:t>Statistical Analysis</w:t>
      </w:r>
    </w:p>
    <w:p w14:paraId="53413CC3" w14:textId="77777777" w:rsidR="00790ADA" w:rsidRPr="0050424B" w:rsidRDefault="0050424B" w:rsidP="0050424B">
      <w:pPr>
        <w:pStyle w:val="Body"/>
        <w:spacing w:after="0"/>
        <w:rPr>
          <w:rFonts w:ascii="Arial" w:hAnsi="Arial" w:cs="Arial"/>
        </w:rPr>
      </w:pPr>
      <w:r w:rsidRPr="0050424B">
        <w:rPr>
          <w:rFonts w:ascii="Arial" w:hAnsi="Arial" w:cs="Arial"/>
          <w:color w:val="000000" w:themeColor="text1"/>
        </w:rPr>
        <w:t xml:space="preserve">The data obtained were subjected to descriptive and inferential statistical analyses. The mean values and standard deviations (SD) of mitotic indices and aberration frequencies were calculated for each treatment. One-way Analysis of Variance (ANOVA) was used to test for significant differences between treatment and control groups. Where applicable, post hoc comparisons were conducted using Tukey's Honestly Significant Difference (HSD) test. A p-value less than 0.05 was considered statistically significant. Analyses were performed using GraphPad Prism version 9.0. Multiple Linear regression was employed to relate the dose response to food additives by </w:t>
      </w:r>
      <w:r w:rsidRPr="00981B99">
        <w:rPr>
          <w:rFonts w:ascii="Arial" w:hAnsi="Arial" w:cs="Arial"/>
          <w:i/>
          <w:color w:val="000000" w:themeColor="text1"/>
        </w:rPr>
        <w:t>Allium cepa</w:t>
      </w:r>
      <w:r w:rsidRPr="0050424B">
        <w:rPr>
          <w:rFonts w:ascii="Arial" w:hAnsi="Arial" w:cs="Arial"/>
          <w:color w:val="000000" w:themeColor="text1"/>
        </w:rPr>
        <w:t xml:space="preserve"> in terms of chromosomal aberration and root growth inhibition.</w:t>
      </w:r>
    </w:p>
    <w:p w14:paraId="08C4D431" w14:textId="77777777" w:rsidR="0050424B" w:rsidRDefault="0050424B" w:rsidP="00441B6F">
      <w:pPr>
        <w:pStyle w:val="Head1"/>
        <w:spacing w:after="0"/>
        <w:jc w:val="both"/>
        <w:rPr>
          <w:rFonts w:ascii="Arial" w:hAnsi="Arial" w:cs="Arial"/>
        </w:rPr>
      </w:pPr>
    </w:p>
    <w:p w14:paraId="020D1C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1DF0CC" w14:textId="77777777" w:rsidR="0050424B" w:rsidRDefault="0050424B" w:rsidP="0050424B">
      <w:pPr>
        <w:pStyle w:val="NormalWeb"/>
        <w:spacing w:line="360" w:lineRule="auto"/>
        <w:jc w:val="both"/>
        <w:rPr>
          <w:rFonts w:ascii="Arial" w:hAnsi="Arial" w:cs="Arial"/>
          <w:sz w:val="20"/>
          <w:szCs w:val="20"/>
        </w:rPr>
      </w:pPr>
      <w:r w:rsidRPr="0050424B">
        <w:rPr>
          <w:rFonts w:ascii="Arial" w:hAnsi="Arial" w:cs="Arial"/>
          <w:sz w:val="20"/>
          <w:szCs w:val="20"/>
        </w:rPr>
        <w:t xml:space="preserve">Table 1 shows that increasing concentrations of Monosodium Glutamate (MSG) resulted in an increase in chromosomal aberrations and a corresponding reduction in root length in </w:t>
      </w:r>
      <w:r w:rsidRPr="0050424B">
        <w:rPr>
          <w:rStyle w:val="Emphasis"/>
          <w:rFonts w:ascii="Arial" w:hAnsi="Arial" w:cs="Arial"/>
          <w:sz w:val="20"/>
          <w:szCs w:val="20"/>
        </w:rPr>
        <w:t>Allium cepa</w:t>
      </w:r>
      <w:r w:rsidRPr="0050424B">
        <w:rPr>
          <w:rFonts w:ascii="Arial" w:hAnsi="Arial" w:cs="Arial"/>
          <w:sz w:val="20"/>
          <w:szCs w:val="20"/>
        </w:rPr>
        <w:t xml:space="preserve"> cells. The negative control (</w:t>
      </w:r>
      <w:r w:rsidRPr="0050424B">
        <w:rPr>
          <w:rFonts w:ascii="Arial" w:hAnsi="Arial" w:cs="Arial"/>
          <w:i/>
          <w:sz w:val="20"/>
          <w:szCs w:val="20"/>
        </w:rPr>
        <w:t>Allium cepa</w:t>
      </w:r>
      <w:r w:rsidRPr="0050424B">
        <w:rPr>
          <w:rFonts w:ascii="Arial" w:hAnsi="Arial" w:cs="Arial"/>
          <w:sz w:val="20"/>
          <w:szCs w:val="20"/>
        </w:rPr>
        <w:t xml:space="preserve"> cells with no additive) recorded 8 aberrant cells with a mean ± SE of 1.23 ± 0.01 and a relative growth index (RGI) of 122.30 ± 1.42. At 360.50 mg/L of monosodium glutamate (MSG), there were 12 aberrant cells, a mean ± SE of 1.97 ± 0.05, and an RGI of 111.53 ± 3.01. Exposure to 540.75 mg/L of MSG resulted in 27 aberrant cells, with a significantly higher mean ± SE of 7.20 ± 0.52 and a reduced RGI of 87.59 ± 2.00. At the highest MSG concentration tested (721.00 mg/L), 32 aberrant cells were observed, with a mean ± SE of 9.71 ± 0.01 and an RGI of 70.10 ± 1.13. The positive control exhibited the highest number of aberrant cells (42), with a mean ± SE of 11.08 ± 1.00 and the lowest RGI of 39.54 ± 2.71.</w:t>
      </w:r>
    </w:p>
    <w:p w14:paraId="33ABA89D" w14:textId="77777777" w:rsidR="0050424B" w:rsidRPr="0050424B" w:rsidRDefault="0050424B" w:rsidP="0050424B">
      <w:pPr>
        <w:pStyle w:val="NormalWeb"/>
        <w:spacing w:line="360" w:lineRule="auto"/>
        <w:jc w:val="both"/>
        <w:rPr>
          <w:rFonts w:ascii="Arial" w:hAnsi="Arial" w:cs="Arial"/>
          <w:b/>
          <w:sz w:val="22"/>
          <w:szCs w:val="22"/>
        </w:rPr>
      </w:pPr>
      <w:r w:rsidRPr="0050424B">
        <w:rPr>
          <w:rFonts w:ascii="Arial" w:hAnsi="Arial" w:cs="Arial"/>
          <w:b/>
          <w:sz w:val="22"/>
          <w:szCs w:val="22"/>
        </w:rPr>
        <w:t>Table 1</w:t>
      </w:r>
      <w:r w:rsidRPr="0050424B">
        <w:rPr>
          <w:rFonts w:ascii="Arial" w:hAnsi="Arial" w:cs="Arial"/>
          <w:b/>
          <w:noProof/>
          <w:sz w:val="22"/>
          <w:szCs w:val="22"/>
        </w:rPr>
        <w:t>:</w:t>
      </w:r>
      <w:r w:rsidRPr="0050424B">
        <w:rPr>
          <w:rFonts w:ascii="Arial" w:hAnsi="Arial" w:cs="Arial"/>
          <w:b/>
          <w:sz w:val="22"/>
          <w:szCs w:val="22"/>
        </w:rPr>
        <w:t xml:space="preserve"> Effect of Monosodium Glutamate on the Chromosomes of </w:t>
      </w:r>
      <w:r w:rsidRPr="0050424B">
        <w:rPr>
          <w:rFonts w:ascii="Arial" w:hAnsi="Arial" w:cs="Arial"/>
          <w:b/>
          <w:i/>
          <w:iCs/>
          <w:sz w:val="22"/>
          <w:szCs w:val="22"/>
        </w:rPr>
        <w:t>Allium cepa</w:t>
      </w:r>
      <w:r w:rsidRPr="0050424B">
        <w:rPr>
          <w:rFonts w:ascii="Arial" w:hAnsi="Arial" w:cs="Arial"/>
          <w:b/>
          <w:sz w:val="22"/>
          <w:szCs w:val="22"/>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2A505172" w14:textId="77777777" w:rsidTr="001B39A2">
        <w:tc>
          <w:tcPr>
            <w:tcW w:w="2599" w:type="dxa"/>
          </w:tcPr>
          <w:p w14:paraId="5B706C18"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02EFC57D"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43780E0C" w14:textId="77777777" w:rsidR="0050424B" w:rsidRPr="0050424B" w:rsidRDefault="0050424B" w:rsidP="001B39A2">
            <w:pPr>
              <w:spacing w:line="360" w:lineRule="auto"/>
              <w:rPr>
                <w:rFonts w:ascii="Arial" w:hAnsi="Arial" w:cs="Arial"/>
                <w:b/>
                <w:sz w:val="20"/>
                <w:szCs w:val="20"/>
              </w:rPr>
            </w:pPr>
            <w:proofErr w:type="spellStart"/>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roofErr w:type="spellEnd"/>
          </w:p>
        </w:tc>
        <w:tc>
          <w:tcPr>
            <w:tcW w:w="2064" w:type="dxa"/>
          </w:tcPr>
          <w:p w14:paraId="6FBFC0B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7B14F623" w14:textId="77777777" w:rsidTr="001B39A2">
        <w:tc>
          <w:tcPr>
            <w:tcW w:w="2599" w:type="dxa"/>
          </w:tcPr>
          <w:p w14:paraId="665141B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 (No additive)</w:t>
            </w:r>
          </w:p>
        </w:tc>
        <w:tc>
          <w:tcPr>
            <w:tcW w:w="2411" w:type="dxa"/>
          </w:tcPr>
          <w:p w14:paraId="5653691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w:t>
            </w:r>
          </w:p>
        </w:tc>
        <w:tc>
          <w:tcPr>
            <w:tcW w:w="2502" w:type="dxa"/>
          </w:tcPr>
          <w:p w14:paraId="58F28B9D"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1.23</w:t>
            </w:r>
            <w:r w:rsidRPr="0050424B">
              <w:rPr>
                <w:rFonts w:ascii="Arial" w:eastAsia="Times New Roman" w:hAnsi="Arial" w:cs="Arial"/>
                <w:bCs/>
                <w:sz w:val="20"/>
                <w:szCs w:val="20"/>
              </w:rPr>
              <w:t>±0.01</w:t>
            </w:r>
          </w:p>
        </w:tc>
        <w:tc>
          <w:tcPr>
            <w:tcW w:w="2064" w:type="dxa"/>
          </w:tcPr>
          <w:p w14:paraId="6BE2E91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122.30±1.42</w:t>
            </w:r>
          </w:p>
        </w:tc>
      </w:tr>
      <w:tr w:rsidR="0050424B" w:rsidRPr="0050424B" w14:paraId="756CC994" w14:textId="77777777" w:rsidTr="001B39A2">
        <w:tc>
          <w:tcPr>
            <w:tcW w:w="2599" w:type="dxa"/>
          </w:tcPr>
          <w:p w14:paraId="6E33945F"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360.50</w:t>
            </w:r>
          </w:p>
        </w:tc>
        <w:tc>
          <w:tcPr>
            <w:tcW w:w="2411" w:type="dxa"/>
          </w:tcPr>
          <w:p w14:paraId="4BD003D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w:t>
            </w:r>
          </w:p>
        </w:tc>
        <w:tc>
          <w:tcPr>
            <w:tcW w:w="2502" w:type="dxa"/>
          </w:tcPr>
          <w:p w14:paraId="0630F8CD"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1.97</w:t>
            </w:r>
            <w:r w:rsidRPr="0050424B">
              <w:rPr>
                <w:rFonts w:ascii="Arial" w:eastAsia="Times New Roman" w:hAnsi="Arial" w:cs="Arial"/>
                <w:bCs/>
                <w:sz w:val="20"/>
                <w:szCs w:val="20"/>
              </w:rPr>
              <w:t>±0.05</w:t>
            </w:r>
          </w:p>
        </w:tc>
        <w:tc>
          <w:tcPr>
            <w:tcW w:w="2064" w:type="dxa"/>
          </w:tcPr>
          <w:p w14:paraId="1FC576D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111.53±3.01</w:t>
            </w:r>
          </w:p>
        </w:tc>
      </w:tr>
      <w:tr w:rsidR="0050424B" w:rsidRPr="0050424B" w14:paraId="55FAA05A" w14:textId="77777777" w:rsidTr="001B39A2">
        <w:tc>
          <w:tcPr>
            <w:tcW w:w="2599" w:type="dxa"/>
          </w:tcPr>
          <w:p w14:paraId="697E2ACC"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540.75</w:t>
            </w:r>
          </w:p>
        </w:tc>
        <w:tc>
          <w:tcPr>
            <w:tcW w:w="2411" w:type="dxa"/>
          </w:tcPr>
          <w:p w14:paraId="283CD40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27</w:t>
            </w:r>
          </w:p>
        </w:tc>
        <w:tc>
          <w:tcPr>
            <w:tcW w:w="2502" w:type="dxa"/>
          </w:tcPr>
          <w:p w14:paraId="409E534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7.20</w:t>
            </w:r>
            <w:r w:rsidRPr="0050424B">
              <w:rPr>
                <w:rFonts w:ascii="Arial" w:eastAsia="Times New Roman" w:hAnsi="Arial" w:cs="Arial"/>
                <w:bCs/>
                <w:sz w:val="20"/>
                <w:szCs w:val="20"/>
              </w:rPr>
              <w:t>±0.52</w:t>
            </w:r>
            <w:r w:rsidRPr="0050424B">
              <w:rPr>
                <w:rFonts w:ascii="Arial" w:eastAsia="Times New Roman" w:hAnsi="Arial" w:cs="Arial"/>
                <w:sz w:val="20"/>
                <w:szCs w:val="20"/>
              </w:rPr>
              <w:t>*</w:t>
            </w:r>
          </w:p>
        </w:tc>
        <w:tc>
          <w:tcPr>
            <w:tcW w:w="2064" w:type="dxa"/>
          </w:tcPr>
          <w:p w14:paraId="14ECA82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87.59±2.00*</w:t>
            </w:r>
          </w:p>
        </w:tc>
      </w:tr>
      <w:tr w:rsidR="0050424B" w:rsidRPr="0050424B" w14:paraId="2DCC338C" w14:textId="77777777" w:rsidTr="001B39A2">
        <w:tc>
          <w:tcPr>
            <w:tcW w:w="2599" w:type="dxa"/>
          </w:tcPr>
          <w:p w14:paraId="0AE6768A"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721.00mg/L </w:t>
            </w:r>
          </w:p>
        </w:tc>
        <w:tc>
          <w:tcPr>
            <w:tcW w:w="2411" w:type="dxa"/>
          </w:tcPr>
          <w:p w14:paraId="465E377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32</w:t>
            </w:r>
          </w:p>
        </w:tc>
        <w:tc>
          <w:tcPr>
            <w:tcW w:w="2502" w:type="dxa"/>
          </w:tcPr>
          <w:p w14:paraId="2781C37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9.71</w:t>
            </w:r>
            <w:r w:rsidRPr="0050424B">
              <w:rPr>
                <w:rFonts w:ascii="Arial" w:eastAsia="Times New Roman" w:hAnsi="Arial" w:cs="Arial"/>
                <w:bCs/>
                <w:sz w:val="20"/>
                <w:szCs w:val="20"/>
              </w:rPr>
              <w:t>±0.01</w:t>
            </w:r>
            <w:r w:rsidRPr="0050424B">
              <w:rPr>
                <w:rFonts w:ascii="Arial" w:eastAsia="Times New Roman" w:hAnsi="Arial" w:cs="Arial"/>
                <w:sz w:val="20"/>
                <w:szCs w:val="20"/>
              </w:rPr>
              <w:t>*</w:t>
            </w:r>
          </w:p>
        </w:tc>
        <w:tc>
          <w:tcPr>
            <w:tcW w:w="2064" w:type="dxa"/>
          </w:tcPr>
          <w:p w14:paraId="3833944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70.10±1.13*</w:t>
            </w:r>
          </w:p>
        </w:tc>
      </w:tr>
      <w:tr w:rsidR="0050424B" w:rsidRPr="0050424B" w14:paraId="56AA8D92" w14:textId="77777777" w:rsidTr="001B39A2">
        <w:tc>
          <w:tcPr>
            <w:tcW w:w="2599" w:type="dxa"/>
          </w:tcPr>
          <w:p w14:paraId="0DE24DD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3DD0EBA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42</w:t>
            </w:r>
          </w:p>
        </w:tc>
        <w:tc>
          <w:tcPr>
            <w:tcW w:w="2502" w:type="dxa"/>
          </w:tcPr>
          <w:p w14:paraId="12EC2DA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11.08</w:t>
            </w:r>
            <w:r w:rsidRPr="0050424B">
              <w:rPr>
                <w:rFonts w:ascii="Arial" w:eastAsia="Times New Roman" w:hAnsi="Arial" w:cs="Arial"/>
                <w:bCs/>
                <w:sz w:val="20"/>
                <w:szCs w:val="20"/>
              </w:rPr>
              <w:t>±1.00*</w:t>
            </w:r>
          </w:p>
        </w:tc>
        <w:tc>
          <w:tcPr>
            <w:tcW w:w="2064" w:type="dxa"/>
          </w:tcPr>
          <w:p w14:paraId="099FE89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39.54±2.71*</w:t>
            </w:r>
          </w:p>
        </w:tc>
      </w:tr>
    </w:tbl>
    <w:p w14:paraId="6805F407" w14:textId="77777777" w:rsidR="0050424B" w:rsidRPr="004157B4" w:rsidRDefault="0050424B" w:rsidP="0050424B">
      <w:pPr>
        <w:spacing w:line="360" w:lineRule="auto"/>
        <w:rPr>
          <w:rFonts w:ascii="Times New Roman" w:hAnsi="Times New Roman"/>
          <w:sz w:val="28"/>
          <w:szCs w:val="28"/>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w:t>
      </w:r>
      <w:r w:rsidRPr="004157B4">
        <w:rPr>
          <w:rFonts w:ascii="Times New Roman" w:hAnsi="Times New Roman"/>
          <w:sz w:val="28"/>
          <w:szCs w:val="28"/>
        </w:rPr>
        <w:t xml:space="preserve">. </w:t>
      </w:r>
    </w:p>
    <w:p w14:paraId="476F9027" w14:textId="77777777" w:rsidR="0050424B" w:rsidRPr="0050424B" w:rsidRDefault="0050424B" w:rsidP="0050424B">
      <w:pPr>
        <w:pStyle w:val="NormalWeb"/>
        <w:spacing w:line="360" w:lineRule="auto"/>
        <w:jc w:val="both"/>
        <w:rPr>
          <w:rFonts w:ascii="Arial" w:hAnsi="Arial" w:cs="Arial"/>
          <w:sz w:val="20"/>
          <w:szCs w:val="20"/>
        </w:rPr>
      </w:pPr>
      <w:r w:rsidRPr="0050424B">
        <w:rPr>
          <w:rFonts w:ascii="Arial" w:hAnsi="Arial" w:cs="Arial"/>
          <w:sz w:val="20"/>
          <w:szCs w:val="20"/>
        </w:rPr>
        <w:t xml:space="preserve">As seen in Table 2, the effect of sorbic acid on the chromosomes of Allium cepa cells showed a concentration-dependent increase in chromosomal aberrations. In the negative control group, aberrant cells were 8 in number, with a mean ± SE of </w:t>
      </w:r>
      <w:r w:rsidRPr="0050424B">
        <w:rPr>
          <w:rFonts w:ascii="Arial" w:hAnsi="Arial" w:cs="Arial"/>
          <w:sz w:val="20"/>
          <w:szCs w:val="20"/>
        </w:rPr>
        <w:lastRenderedPageBreak/>
        <w:t>1.30 ± 0.18 and a relative growth index (RGI) of 115.99 ± 2.41. At 129.50 mg/L sorbic acid, aberrant cells increased to 10, with a mean ± SE of 1.56 ± 0.07 and an RGI of 100.47 ± 1.54. At 194.25 mg/L, aberrant cells further increased to 17, with a mean ± SE of 2.00 ± 0.53 and an RGI of 85.73 ± 2.03. A marked rise was observed at 259.00 mg/L, where aberrant cells reached 28, with a mean ± SE of 6.09 ± 0.87 (p &lt; 0.05) and an RGI of 53.53 ± 1.72 (p &lt; 0.05). The positive control group had the highest aberration frequency, recording 41 aberrant cells, a mean ± SE of 11.00 ± 2.10 (p &lt; 0.05), and an RGI of 41.20 ± 2.03 (p &lt; 0.05).</w:t>
      </w:r>
    </w:p>
    <w:p w14:paraId="1DF9F951" w14:textId="77777777" w:rsidR="0050424B" w:rsidRPr="0050424B" w:rsidRDefault="0050424B" w:rsidP="0050424B">
      <w:pPr>
        <w:pStyle w:val="Caption"/>
        <w:spacing w:after="0" w:line="360" w:lineRule="auto"/>
        <w:jc w:val="left"/>
        <w:rPr>
          <w:rFonts w:ascii="Arial" w:hAnsi="Arial" w:cs="Arial"/>
          <w:b/>
          <w:sz w:val="22"/>
          <w:szCs w:val="22"/>
        </w:rPr>
      </w:pPr>
      <w:r w:rsidRPr="0050424B">
        <w:rPr>
          <w:rFonts w:ascii="Arial" w:hAnsi="Arial" w:cs="Arial"/>
          <w:b/>
          <w:sz w:val="22"/>
          <w:szCs w:val="22"/>
        </w:rPr>
        <w:t>Table 2</w:t>
      </w:r>
      <w:r w:rsidRPr="0050424B">
        <w:rPr>
          <w:rFonts w:ascii="Arial" w:hAnsi="Arial" w:cs="Arial"/>
          <w:b/>
          <w:noProof/>
          <w:sz w:val="22"/>
          <w:szCs w:val="22"/>
        </w:rPr>
        <w:t>:</w:t>
      </w:r>
      <w:r w:rsidRPr="0050424B">
        <w:rPr>
          <w:rFonts w:ascii="Arial" w:hAnsi="Arial" w:cs="Arial"/>
          <w:b/>
          <w:sz w:val="22"/>
          <w:szCs w:val="22"/>
        </w:rPr>
        <w:t xml:space="preserve"> Effect of Sorbic Acid on the Chromosomes of </w:t>
      </w:r>
      <w:r w:rsidRPr="0050424B">
        <w:rPr>
          <w:rFonts w:ascii="Arial" w:hAnsi="Arial" w:cs="Arial"/>
          <w:b/>
          <w:i/>
          <w:iCs/>
          <w:sz w:val="22"/>
          <w:szCs w:val="22"/>
        </w:rPr>
        <w:t>Allium cepa</w:t>
      </w:r>
      <w:r w:rsidRPr="0050424B">
        <w:rPr>
          <w:rFonts w:ascii="Arial" w:hAnsi="Arial" w:cs="Arial"/>
          <w:b/>
          <w:sz w:val="22"/>
          <w:szCs w:val="22"/>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484EF7C9" w14:textId="77777777" w:rsidTr="001B39A2">
        <w:tc>
          <w:tcPr>
            <w:tcW w:w="2599" w:type="dxa"/>
          </w:tcPr>
          <w:p w14:paraId="19DE6767"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04319F2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7EB27E1D" w14:textId="77777777" w:rsidR="0050424B" w:rsidRPr="0050424B" w:rsidRDefault="0050424B" w:rsidP="001B39A2">
            <w:pPr>
              <w:spacing w:line="360" w:lineRule="auto"/>
              <w:rPr>
                <w:rFonts w:ascii="Arial" w:hAnsi="Arial" w:cs="Arial"/>
                <w:b/>
                <w:sz w:val="20"/>
                <w:szCs w:val="20"/>
              </w:rPr>
            </w:pPr>
            <w:proofErr w:type="spellStart"/>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roofErr w:type="spellEnd"/>
          </w:p>
        </w:tc>
        <w:tc>
          <w:tcPr>
            <w:tcW w:w="2064" w:type="dxa"/>
          </w:tcPr>
          <w:p w14:paraId="209D2988"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1C67F1DA" w14:textId="77777777" w:rsidTr="001B39A2">
        <w:tc>
          <w:tcPr>
            <w:tcW w:w="2599" w:type="dxa"/>
          </w:tcPr>
          <w:p w14:paraId="1884A86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w:t>
            </w:r>
          </w:p>
        </w:tc>
        <w:tc>
          <w:tcPr>
            <w:tcW w:w="2411" w:type="dxa"/>
          </w:tcPr>
          <w:p w14:paraId="343D0462"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w:t>
            </w:r>
          </w:p>
        </w:tc>
        <w:tc>
          <w:tcPr>
            <w:tcW w:w="2502" w:type="dxa"/>
          </w:tcPr>
          <w:p w14:paraId="23DDE75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1.30</w:t>
            </w:r>
            <w:r w:rsidRPr="0050424B">
              <w:rPr>
                <w:rFonts w:ascii="Arial" w:eastAsia="Times New Roman" w:hAnsi="Arial" w:cs="Arial"/>
                <w:bCs/>
                <w:sz w:val="20"/>
                <w:szCs w:val="20"/>
              </w:rPr>
              <w:t>±0.18</w:t>
            </w:r>
          </w:p>
        </w:tc>
        <w:tc>
          <w:tcPr>
            <w:tcW w:w="2064" w:type="dxa"/>
          </w:tcPr>
          <w:p w14:paraId="1300AFE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115.99±2.41</w:t>
            </w:r>
          </w:p>
        </w:tc>
      </w:tr>
      <w:tr w:rsidR="0050424B" w:rsidRPr="0050424B" w14:paraId="1ECB925D" w14:textId="77777777" w:rsidTr="001B39A2">
        <w:tc>
          <w:tcPr>
            <w:tcW w:w="2599" w:type="dxa"/>
          </w:tcPr>
          <w:p w14:paraId="5AB60AFD"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129.50</w:t>
            </w:r>
          </w:p>
        </w:tc>
        <w:tc>
          <w:tcPr>
            <w:tcW w:w="2411" w:type="dxa"/>
          </w:tcPr>
          <w:p w14:paraId="14D0811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w:t>
            </w:r>
          </w:p>
        </w:tc>
        <w:tc>
          <w:tcPr>
            <w:tcW w:w="2502" w:type="dxa"/>
          </w:tcPr>
          <w:p w14:paraId="1DF57938"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1.56</w:t>
            </w:r>
            <w:r w:rsidRPr="0050424B">
              <w:rPr>
                <w:rFonts w:ascii="Arial" w:eastAsia="Times New Roman" w:hAnsi="Arial" w:cs="Arial"/>
                <w:bCs/>
                <w:sz w:val="20"/>
                <w:szCs w:val="20"/>
              </w:rPr>
              <w:t>±0.07</w:t>
            </w:r>
          </w:p>
        </w:tc>
        <w:tc>
          <w:tcPr>
            <w:tcW w:w="2064" w:type="dxa"/>
          </w:tcPr>
          <w:p w14:paraId="6D382AB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100.47±1.54</w:t>
            </w:r>
          </w:p>
        </w:tc>
      </w:tr>
      <w:tr w:rsidR="0050424B" w:rsidRPr="0050424B" w14:paraId="413BB60C" w14:textId="77777777" w:rsidTr="001B39A2">
        <w:tc>
          <w:tcPr>
            <w:tcW w:w="2599" w:type="dxa"/>
          </w:tcPr>
          <w:p w14:paraId="02BAB236"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194.25</w:t>
            </w:r>
          </w:p>
        </w:tc>
        <w:tc>
          <w:tcPr>
            <w:tcW w:w="2411" w:type="dxa"/>
          </w:tcPr>
          <w:p w14:paraId="4F536C7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17</w:t>
            </w:r>
          </w:p>
        </w:tc>
        <w:tc>
          <w:tcPr>
            <w:tcW w:w="2502" w:type="dxa"/>
          </w:tcPr>
          <w:p w14:paraId="4E755A4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2.00</w:t>
            </w:r>
            <w:r w:rsidRPr="0050424B">
              <w:rPr>
                <w:rFonts w:ascii="Arial" w:eastAsia="Times New Roman" w:hAnsi="Arial" w:cs="Arial"/>
                <w:bCs/>
                <w:sz w:val="20"/>
                <w:szCs w:val="20"/>
              </w:rPr>
              <w:t>±0.53</w:t>
            </w:r>
          </w:p>
        </w:tc>
        <w:tc>
          <w:tcPr>
            <w:tcW w:w="2064" w:type="dxa"/>
          </w:tcPr>
          <w:p w14:paraId="0714BA4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85.73±2.03</w:t>
            </w:r>
          </w:p>
        </w:tc>
      </w:tr>
      <w:tr w:rsidR="0050424B" w:rsidRPr="0050424B" w14:paraId="01D2DD31" w14:textId="77777777" w:rsidTr="001B39A2">
        <w:tc>
          <w:tcPr>
            <w:tcW w:w="2599" w:type="dxa"/>
          </w:tcPr>
          <w:p w14:paraId="2AC3CC4B"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259.00 mg/L </w:t>
            </w:r>
          </w:p>
        </w:tc>
        <w:tc>
          <w:tcPr>
            <w:tcW w:w="2411" w:type="dxa"/>
          </w:tcPr>
          <w:p w14:paraId="34811C3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28</w:t>
            </w:r>
          </w:p>
        </w:tc>
        <w:tc>
          <w:tcPr>
            <w:tcW w:w="2502" w:type="dxa"/>
          </w:tcPr>
          <w:p w14:paraId="5824EC1B"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6.09</w:t>
            </w:r>
            <w:r w:rsidRPr="0050424B">
              <w:rPr>
                <w:rFonts w:ascii="Arial" w:eastAsia="Times New Roman" w:hAnsi="Arial" w:cs="Arial"/>
                <w:bCs/>
                <w:sz w:val="20"/>
                <w:szCs w:val="20"/>
              </w:rPr>
              <w:t>±0.87</w:t>
            </w:r>
            <w:r w:rsidRPr="0050424B">
              <w:rPr>
                <w:rFonts w:ascii="Arial" w:eastAsia="Times New Roman" w:hAnsi="Arial" w:cs="Arial"/>
                <w:sz w:val="20"/>
                <w:szCs w:val="20"/>
              </w:rPr>
              <w:t>*</w:t>
            </w:r>
          </w:p>
        </w:tc>
        <w:tc>
          <w:tcPr>
            <w:tcW w:w="2064" w:type="dxa"/>
          </w:tcPr>
          <w:p w14:paraId="1B82BE7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53.53±1.72*</w:t>
            </w:r>
          </w:p>
        </w:tc>
      </w:tr>
      <w:tr w:rsidR="0050424B" w:rsidRPr="0050424B" w14:paraId="1ACFA95C" w14:textId="77777777" w:rsidTr="001B39A2">
        <w:tc>
          <w:tcPr>
            <w:tcW w:w="2599" w:type="dxa"/>
          </w:tcPr>
          <w:p w14:paraId="117C461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679AB1E8"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41</w:t>
            </w:r>
          </w:p>
        </w:tc>
        <w:tc>
          <w:tcPr>
            <w:tcW w:w="2502" w:type="dxa"/>
          </w:tcPr>
          <w:p w14:paraId="34A80D4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11.00</w:t>
            </w:r>
            <w:r w:rsidRPr="0050424B">
              <w:rPr>
                <w:rFonts w:ascii="Arial" w:eastAsia="Times New Roman" w:hAnsi="Arial" w:cs="Arial"/>
                <w:bCs/>
                <w:sz w:val="20"/>
                <w:szCs w:val="20"/>
              </w:rPr>
              <w:t>±2.10*</w:t>
            </w:r>
          </w:p>
        </w:tc>
        <w:tc>
          <w:tcPr>
            <w:tcW w:w="2064" w:type="dxa"/>
          </w:tcPr>
          <w:p w14:paraId="2E129AF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41.20±2.03*</w:t>
            </w:r>
          </w:p>
        </w:tc>
      </w:tr>
    </w:tbl>
    <w:p w14:paraId="2BA0E7AB" w14:textId="77777777" w:rsidR="0050424B" w:rsidRPr="0050424B" w:rsidRDefault="0050424B" w:rsidP="0050424B">
      <w:pPr>
        <w:spacing w:line="360" w:lineRule="auto"/>
        <w:rPr>
          <w:rFonts w:ascii="Arial" w:hAnsi="Arial" w:cs="Arial"/>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 - No aberration recorded.</w:t>
      </w:r>
    </w:p>
    <w:p w14:paraId="56E45C44" w14:textId="77777777" w:rsidR="0050424B" w:rsidRPr="0050424B" w:rsidRDefault="0050424B" w:rsidP="0050424B">
      <w:pPr>
        <w:pStyle w:val="Caption"/>
        <w:spacing w:line="360" w:lineRule="auto"/>
        <w:jc w:val="both"/>
        <w:rPr>
          <w:rFonts w:ascii="Arial" w:hAnsi="Arial" w:cs="Arial"/>
          <w:sz w:val="20"/>
          <w:szCs w:val="20"/>
        </w:rPr>
      </w:pPr>
      <w:r w:rsidRPr="0050424B">
        <w:rPr>
          <w:rFonts w:ascii="Arial" w:hAnsi="Arial" w:cs="Arial"/>
          <w:sz w:val="20"/>
          <w:szCs w:val="20"/>
        </w:rPr>
        <w:t>The results in Table 3 show</w:t>
      </w:r>
      <w:r w:rsidR="006B2B68">
        <w:rPr>
          <w:rFonts w:ascii="Arial" w:hAnsi="Arial" w:cs="Arial"/>
          <w:sz w:val="20"/>
          <w:szCs w:val="20"/>
        </w:rPr>
        <w:t>s</w:t>
      </w:r>
      <w:r w:rsidRPr="0050424B">
        <w:rPr>
          <w:rFonts w:ascii="Arial" w:hAnsi="Arial" w:cs="Arial"/>
          <w:sz w:val="20"/>
          <w:szCs w:val="20"/>
        </w:rPr>
        <w:t xml:space="preserve"> that in Allium cepa cells exposed to erythrosine red, the negative control group recorded 5 aberrant cells, with a mean of 1.38 ± 0.03 and a relative growth index (RGI) of 122.31 ± 2.04. At 1.16 mg/L, there were also 5 aberrant cells, with a mean of 1.39 ± 0.01 and an RGI of 108.10 ± 1.65. Exposure to 1.74 mg/L resulted in 7 aberrant cells, a mean of 1.52 ± 0.05, and an RGI of 92.05 ± 2.07. At the highest tested concentration of 2.32 mg/L, the number of aberrant cells increased markedly to 13, with a mean of 2.49 ± 0.08 and a significantly reduced RGI of 78.62 ± 1.18 (p &lt; 0.05). The positive control exhibited the highest aberration frequency, with 40 aberrant cells, a mean of 11.00 ± 0.41, and an RGI of 38.30 ± 2.50, all of which were significantly different from the negative control (p &lt; 0.05).</w:t>
      </w:r>
    </w:p>
    <w:p w14:paraId="11B4920B" w14:textId="77777777" w:rsidR="0050424B" w:rsidRPr="0050424B" w:rsidRDefault="0050424B" w:rsidP="0050424B">
      <w:pPr>
        <w:pStyle w:val="Caption"/>
        <w:spacing w:line="360" w:lineRule="auto"/>
        <w:jc w:val="left"/>
        <w:rPr>
          <w:rFonts w:ascii="Arial" w:hAnsi="Arial" w:cs="Arial"/>
          <w:b/>
          <w:sz w:val="20"/>
          <w:szCs w:val="20"/>
        </w:rPr>
      </w:pPr>
      <w:r w:rsidRPr="0050424B">
        <w:rPr>
          <w:rFonts w:ascii="Arial" w:hAnsi="Arial" w:cs="Arial"/>
          <w:b/>
          <w:sz w:val="20"/>
          <w:szCs w:val="20"/>
        </w:rPr>
        <w:t>Table 3</w:t>
      </w:r>
      <w:r w:rsidRPr="0050424B">
        <w:rPr>
          <w:rFonts w:ascii="Arial" w:hAnsi="Arial" w:cs="Arial"/>
          <w:b/>
          <w:noProof/>
          <w:sz w:val="20"/>
          <w:szCs w:val="20"/>
        </w:rPr>
        <w:t>:</w:t>
      </w:r>
      <w:r w:rsidRPr="0050424B">
        <w:rPr>
          <w:rFonts w:ascii="Arial" w:hAnsi="Arial" w:cs="Arial"/>
          <w:b/>
          <w:sz w:val="20"/>
          <w:szCs w:val="20"/>
        </w:rPr>
        <w:t xml:space="preserve"> Effect of erythrosine red on the Chromosomes of </w:t>
      </w:r>
      <w:r w:rsidRPr="0050424B">
        <w:rPr>
          <w:rFonts w:ascii="Arial" w:hAnsi="Arial" w:cs="Arial"/>
          <w:b/>
          <w:i/>
          <w:iCs/>
          <w:sz w:val="20"/>
          <w:szCs w:val="20"/>
        </w:rPr>
        <w:t>Allium cepa</w:t>
      </w:r>
      <w:r w:rsidRPr="0050424B">
        <w:rPr>
          <w:rFonts w:ascii="Arial" w:hAnsi="Arial" w:cs="Arial"/>
          <w:b/>
          <w:sz w:val="20"/>
          <w:szCs w:val="20"/>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708FB259" w14:textId="77777777" w:rsidTr="001B39A2">
        <w:tc>
          <w:tcPr>
            <w:tcW w:w="2599" w:type="dxa"/>
          </w:tcPr>
          <w:p w14:paraId="575374B4"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37B10CE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1E481EBC" w14:textId="77777777" w:rsidR="0050424B" w:rsidRPr="0050424B" w:rsidRDefault="0050424B" w:rsidP="001B39A2">
            <w:pPr>
              <w:spacing w:line="360" w:lineRule="auto"/>
              <w:rPr>
                <w:rFonts w:ascii="Arial" w:hAnsi="Arial" w:cs="Arial"/>
                <w:b/>
                <w:sz w:val="20"/>
                <w:szCs w:val="20"/>
              </w:rPr>
            </w:pPr>
            <w:proofErr w:type="spellStart"/>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roofErr w:type="spellEnd"/>
          </w:p>
        </w:tc>
        <w:tc>
          <w:tcPr>
            <w:tcW w:w="2064" w:type="dxa"/>
          </w:tcPr>
          <w:p w14:paraId="4FCFC399"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5E52741A" w14:textId="77777777" w:rsidTr="001B39A2">
        <w:tc>
          <w:tcPr>
            <w:tcW w:w="2599" w:type="dxa"/>
          </w:tcPr>
          <w:p w14:paraId="53BA048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w:t>
            </w:r>
          </w:p>
        </w:tc>
        <w:tc>
          <w:tcPr>
            <w:tcW w:w="2411" w:type="dxa"/>
          </w:tcPr>
          <w:p w14:paraId="224BB29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w:t>
            </w:r>
          </w:p>
        </w:tc>
        <w:tc>
          <w:tcPr>
            <w:tcW w:w="2502" w:type="dxa"/>
          </w:tcPr>
          <w:p w14:paraId="4D0F09A5"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1.38</w:t>
            </w:r>
            <w:r w:rsidRPr="0050424B">
              <w:rPr>
                <w:rFonts w:ascii="Arial" w:eastAsia="Times New Roman" w:hAnsi="Arial" w:cs="Arial"/>
                <w:bCs/>
                <w:sz w:val="20"/>
                <w:szCs w:val="20"/>
              </w:rPr>
              <w:t>±0.03</w:t>
            </w:r>
          </w:p>
        </w:tc>
        <w:tc>
          <w:tcPr>
            <w:tcW w:w="2064" w:type="dxa"/>
          </w:tcPr>
          <w:p w14:paraId="54F1E10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122.31±2.04</w:t>
            </w:r>
          </w:p>
        </w:tc>
      </w:tr>
      <w:tr w:rsidR="0050424B" w:rsidRPr="0050424B" w14:paraId="5A6644C4" w14:textId="77777777" w:rsidTr="001B39A2">
        <w:tc>
          <w:tcPr>
            <w:tcW w:w="2599" w:type="dxa"/>
          </w:tcPr>
          <w:p w14:paraId="1C3CE9E1"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1.16</w:t>
            </w:r>
          </w:p>
        </w:tc>
        <w:tc>
          <w:tcPr>
            <w:tcW w:w="2411" w:type="dxa"/>
          </w:tcPr>
          <w:p w14:paraId="67E52DC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w:t>
            </w:r>
          </w:p>
        </w:tc>
        <w:tc>
          <w:tcPr>
            <w:tcW w:w="2502" w:type="dxa"/>
          </w:tcPr>
          <w:p w14:paraId="5E1B4C9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1.39</w:t>
            </w:r>
            <w:r w:rsidRPr="0050424B">
              <w:rPr>
                <w:rFonts w:ascii="Arial" w:eastAsia="Times New Roman" w:hAnsi="Arial" w:cs="Arial"/>
                <w:bCs/>
                <w:sz w:val="20"/>
                <w:szCs w:val="20"/>
              </w:rPr>
              <w:t>±0.01</w:t>
            </w:r>
          </w:p>
        </w:tc>
        <w:tc>
          <w:tcPr>
            <w:tcW w:w="2064" w:type="dxa"/>
          </w:tcPr>
          <w:p w14:paraId="585545D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108.10±1.65</w:t>
            </w:r>
          </w:p>
        </w:tc>
      </w:tr>
      <w:tr w:rsidR="0050424B" w:rsidRPr="0050424B" w14:paraId="6E3DF127" w14:textId="77777777" w:rsidTr="001B39A2">
        <w:tc>
          <w:tcPr>
            <w:tcW w:w="2599" w:type="dxa"/>
          </w:tcPr>
          <w:p w14:paraId="2068FB5B"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1.74</w:t>
            </w:r>
          </w:p>
        </w:tc>
        <w:tc>
          <w:tcPr>
            <w:tcW w:w="2411" w:type="dxa"/>
          </w:tcPr>
          <w:p w14:paraId="767F97F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w:t>
            </w:r>
          </w:p>
        </w:tc>
        <w:tc>
          <w:tcPr>
            <w:tcW w:w="2502" w:type="dxa"/>
          </w:tcPr>
          <w:p w14:paraId="17F5CAA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1.52</w:t>
            </w:r>
            <w:r w:rsidRPr="0050424B">
              <w:rPr>
                <w:rFonts w:ascii="Arial" w:eastAsia="Times New Roman" w:hAnsi="Arial" w:cs="Arial"/>
                <w:bCs/>
                <w:sz w:val="20"/>
                <w:szCs w:val="20"/>
              </w:rPr>
              <w:t>±0.05</w:t>
            </w:r>
          </w:p>
        </w:tc>
        <w:tc>
          <w:tcPr>
            <w:tcW w:w="2064" w:type="dxa"/>
          </w:tcPr>
          <w:p w14:paraId="4B6B4B8B"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92.05±2.07</w:t>
            </w:r>
          </w:p>
        </w:tc>
      </w:tr>
      <w:tr w:rsidR="0050424B" w:rsidRPr="0050424B" w14:paraId="7D1B7A0D" w14:textId="77777777" w:rsidTr="001B39A2">
        <w:tc>
          <w:tcPr>
            <w:tcW w:w="2599" w:type="dxa"/>
          </w:tcPr>
          <w:p w14:paraId="59596751"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2.32 mg/L </w:t>
            </w:r>
          </w:p>
        </w:tc>
        <w:tc>
          <w:tcPr>
            <w:tcW w:w="2411" w:type="dxa"/>
          </w:tcPr>
          <w:p w14:paraId="55DD7BE5"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w:t>
            </w:r>
          </w:p>
        </w:tc>
        <w:tc>
          <w:tcPr>
            <w:tcW w:w="2502" w:type="dxa"/>
          </w:tcPr>
          <w:p w14:paraId="2CE6E87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2.49</w:t>
            </w:r>
            <w:r w:rsidRPr="0050424B">
              <w:rPr>
                <w:rFonts w:ascii="Arial" w:eastAsia="Times New Roman" w:hAnsi="Arial" w:cs="Arial"/>
                <w:bCs/>
                <w:sz w:val="20"/>
                <w:szCs w:val="20"/>
              </w:rPr>
              <w:t>±0.08*</w:t>
            </w:r>
          </w:p>
        </w:tc>
        <w:tc>
          <w:tcPr>
            <w:tcW w:w="2064" w:type="dxa"/>
          </w:tcPr>
          <w:p w14:paraId="3171FD9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78.62±1.18*</w:t>
            </w:r>
          </w:p>
        </w:tc>
      </w:tr>
      <w:tr w:rsidR="0050424B" w:rsidRPr="0050424B" w14:paraId="2C46366D" w14:textId="77777777" w:rsidTr="001B39A2">
        <w:tc>
          <w:tcPr>
            <w:tcW w:w="2599" w:type="dxa"/>
          </w:tcPr>
          <w:p w14:paraId="222634E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2EC7E58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40</w:t>
            </w:r>
          </w:p>
        </w:tc>
        <w:tc>
          <w:tcPr>
            <w:tcW w:w="2502" w:type="dxa"/>
          </w:tcPr>
          <w:p w14:paraId="45BCFF39"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11.00</w:t>
            </w:r>
            <w:r w:rsidRPr="0050424B">
              <w:rPr>
                <w:rFonts w:ascii="Arial" w:eastAsia="Times New Roman" w:hAnsi="Arial" w:cs="Arial"/>
                <w:bCs/>
                <w:sz w:val="20"/>
                <w:szCs w:val="20"/>
              </w:rPr>
              <w:t>±0.41*</w:t>
            </w:r>
          </w:p>
        </w:tc>
        <w:tc>
          <w:tcPr>
            <w:tcW w:w="2064" w:type="dxa"/>
          </w:tcPr>
          <w:p w14:paraId="7E981AB9"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38.30±2.50*</w:t>
            </w:r>
          </w:p>
        </w:tc>
      </w:tr>
    </w:tbl>
    <w:p w14:paraId="1CA2B9F5" w14:textId="77777777" w:rsidR="0050424B" w:rsidRPr="0050424B" w:rsidRDefault="0050424B" w:rsidP="0050424B">
      <w:pPr>
        <w:spacing w:line="360" w:lineRule="auto"/>
        <w:rPr>
          <w:rFonts w:ascii="Arial" w:hAnsi="Arial" w:cs="Arial"/>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w:t>
      </w:r>
    </w:p>
    <w:p w14:paraId="29C4B4FC" w14:textId="681380CB"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 xml:space="preserve">The increasing use of synthetic food additives in processed foods has amplified concerns over their potential cytotoxic and genotoxic effects. In this study, the </w:t>
      </w:r>
      <w:r w:rsidRPr="00526E82">
        <w:rPr>
          <w:rFonts w:ascii="Arial" w:hAnsi="Arial" w:cs="Arial"/>
          <w:i/>
        </w:rPr>
        <w:t xml:space="preserve">Allium </w:t>
      </w:r>
      <w:proofErr w:type="spellStart"/>
      <w:r w:rsidRPr="00526E82">
        <w:rPr>
          <w:rFonts w:ascii="Arial" w:hAnsi="Arial" w:cs="Arial"/>
          <w:i/>
        </w:rPr>
        <w:t>cepa</w:t>
      </w:r>
      <w:proofErr w:type="spellEnd"/>
      <w:r w:rsidR="00526E82">
        <w:rPr>
          <w:rFonts w:ascii="Arial" w:hAnsi="Arial" w:cs="Arial"/>
        </w:rPr>
        <w:t xml:space="preserve"> assay, </w:t>
      </w:r>
      <w:r w:rsidRPr="006B2B68">
        <w:rPr>
          <w:rFonts w:ascii="Arial" w:hAnsi="Arial" w:cs="Arial"/>
        </w:rPr>
        <w:t>a widely recogniz</w:t>
      </w:r>
      <w:r w:rsidR="00526E82">
        <w:rPr>
          <w:rFonts w:ascii="Arial" w:hAnsi="Arial" w:cs="Arial"/>
        </w:rPr>
        <w:t xml:space="preserve">ed and sensitive plant bioassay, </w:t>
      </w:r>
      <w:r w:rsidRPr="006B2B68">
        <w:rPr>
          <w:rFonts w:ascii="Arial" w:hAnsi="Arial" w:cs="Arial"/>
        </w:rPr>
        <w:t xml:space="preserve">was employed to evaluate the toxicity of monosodium glutamate (MSG), sorbic acid, and erythrosine. Both chromosomal aberrations and root growth inhibition (RGI) were assessed as biological endpoints. The reliability and sensitivity of the Allium test in detecting </w:t>
      </w:r>
      <w:proofErr w:type="spellStart"/>
      <w:r w:rsidRPr="006B2B68">
        <w:rPr>
          <w:rFonts w:ascii="Arial" w:hAnsi="Arial" w:cs="Arial"/>
        </w:rPr>
        <w:t>sublethal</w:t>
      </w:r>
      <w:proofErr w:type="spellEnd"/>
      <w:r w:rsidRPr="006B2B68">
        <w:rPr>
          <w:rFonts w:ascii="Arial" w:hAnsi="Arial" w:cs="Arial"/>
        </w:rPr>
        <w:t xml:space="preserve"> </w:t>
      </w:r>
      <w:proofErr w:type="spellStart"/>
      <w:r w:rsidRPr="006B2B68">
        <w:rPr>
          <w:rFonts w:ascii="Arial" w:hAnsi="Arial" w:cs="Arial"/>
        </w:rPr>
        <w:t>cytogenotoxic</w:t>
      </w:r>
      <w:proofErr w:type="spellEnd"/>
      <w:r w:rsidRPr="006B2B68">
        <w:rPr>
          <w:rFonts w:ascii="Arial" w:hAnsi="Arial" w:cs="Arial"/>
        </w:rPr>
        <w:t xml:space="preserve"> damage have been widely documented (</w:t>
      </w:r>
      <w:proofErr w:type="spellStart"/>
      <w:r w:rsidRPr="006B2B68">
        <w:rPr>
          <w:rFonts w:ascii="Arial" w:hAnsi="Arial" w:cs="Arial"/>
        </w:rPr>
        <w:t>Yalçın</w:t>
      </w:r>
      <w:proofErr w:type="spellEnd"/>
      <w:r w:rsidRPr="006B2B68">
        <w:rPr>
          <w:rFonts w:ascii="Arial" w:hAnsi="Arial" w:cs="Arial"/>
        </w:rPr>
        <w:t xml:space="preserve"> &amp; </w:t>
      </w:r>
      <w:proofErr w:type="spellStart"/>
      <w:r w:rsidRPr="006B2B68">
        <w:rPr>
          <w:rFonts w:ascii="Arial" w:hAnsi="Arial" w:cs="Arial"/>
        </w:rPr>
        <w:t>Sevim</w:t>
      </w:r>
      <w:proofErr w:type="spellEnd"/>
      <w:r w:rsidRPr="006B2B68">
        <w:rPr>
          <w:rFonts w:ascii="Arial" w:hAnsi="Arial" w:cs="Arial"/>
        </w:rPr>
        <w:t xml:space="preserve">, 2019; </w:t>
      </w:r>
      <w:proofErr w:type="spellStart"/>
      <w:r w:rsidRPr="006B2B68">
        <w:rPr>
          <w:rFonts w:ascii="Arial" w:hAnsi="Arial" w:cs="Arial"/>
        </w:rPr>
        <w:t>Omobowale</w:t>
      </w:r>
      <w:proofErr w:type="spellEnd"/>
      <w:r w:rsidRPr="006B2B68">
        <w:rPr>
          <w:rFonts w:ascii="Arial" w:hAnsi="Arial" w:cs="Arial"/>
        </w:rPr>
        <w:t xml:space="preserve"> et al., 2020), making it a robust tool for preclinical toxicity screening.</w:t>
      </w:r>
    </w:p>
    <w:p w14:paraId="7A5FFE3C" w14:textId="30F8FE5D"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lastRenderedPageBreak/>
        <w:t>Regression analysis revealed a strong positive correlation between MSG concentration and chromosomal aberration frequency (R² = 0.871), indicating dose-dependent genotoxicity. While this relationship did not reach statistical significance (p = 0.067), the high beta coefficient (β = 0.933) and low standard error suggest strong biological relevance. These findings are consistent with prior studies that identified MSG-induced oxidative stress and DNA fragmentation in both plant and animal models (</w:t>
      </w:r>
      <w:proofErr w:type="spellStart"/>
      <w:r w:rsidRPr="006B2B68">
        <w:rPr>
          <w:rFonts w:ascii="Arial" w:hAnsi="Arial" w:cs="Arial"/>
        </w:rPr>
        <w:t>Tawfik</w:t>
      </w:r>
      <w:proofErr w:type="spellEnd"/>
      <w:r w:rsidRPr="006B2B68">
        <w:rPr>
          <w:rFonts w:ascii="Arial" w:hAnsi="Arial" w:cs="Arial"/>
        </w:rPr>
        <w:t xml:space="preserve"> &amp; Al-</w:t>
      </w:r>
      <w:proofErr w:type="spellStart"/>
      <w:r w:rsidRPr="006B2B68">
        <w:rPr>
          <w:rFonts w:ascii="Arial" w:hAnsi="Arial" w:cs="Arial"/>
        </w:rPr>
        <w:t>Badr</w:t>
      </w:r>
      <w:proofErr w:type="spellEnd"/>
      <w:r w:rsidRPr="006B2B68">
        <w:rPr>
          <w:rFonts w:ascii="Arial" w:hAnsi="Arial" w:cs="Arial"/>
        </w:rPr>
        <w:t xml:space="preserve">, 2018; </w:t>
      </w:r>
      <w:proofErr w:type="spellStart"/>
      <w:r w:rsidR="001F5029">
        <w:rPr>
          <w:rFonts w:ascii="Arial" w:hAnsi="Arial" w:cs="Arial"/>
        </w:rPr>
        <w:t>Abdou</w:t>
      </w:r>
      <w:proofErr w:type="spellEnd"/>
      <w:r w:rsidR="001F5029">
        <w:rPr>
          <w:rFonts w:ascii="Arial" w:hAnsi="Arial" w:cs="Arial"/>
        </w:rPr>
        <w:t xml:space="preserve"> et al., 2025b</w:t>
      </w:r>
      <w:r w:rsidRPr="006B2B68">
        <w:rPr>
          <w:rFonts w:ascii="Arial" w:hAnsi="Arial" w:cs="Arial"/>
        </w:rPr>
        <w:t>). Moreover, MSG significantly inhibited root elongation (R² = 0.905; p = 0.048), with a negative regression coefficient (B = -0.073), highlighting its cytotoxic potential. This observation supports hypotheses that MSG interferes with cell respiration and mitotic spindle formation, thereby inhibiting mitotic progression (</w:t>
      </w:r>
      <w:proofErr w:type="spellStart"/>
      <w:r w:rsidRPr="006B2B68">
        <w:rPr>
          <w:rFonts w:ascii="Arial" w:hAnsi="Arial" w:cs="Arial"/>
        </w:rPr>
        <w:t>Nnamonu</w:t>
      </w:r>
      <w:proofErr w:type="spellEnd"/>
      <w:r w:rsidRPr="006B2B68">
        <w:rPr>
          <w:rFonts w:ascii="Arial" w:hAnsi="Arial" w:cs="Arial"/>
        </w:rPr>
        <w:t xml:space="preserve"> et al., 2021). Chronic MSG exposure has been linked to neurotoxicity, metabolic disturbances, and organ damage in mammalian models </w:t>
      </w:r>
      <w:r w:rsidR="00981B99" w:rsidRPr="00981B99">
        <w:rPr>
          <w:rFonts w:ascii="Arial" w:hAnsi="Arial" w:cs="Arial"/>
        </w:rPr>
        <w:t>(Al-</w:t>
      </w:r>
      <w:proofErr w:type="spellStart"/>
      <w:r w:rsidR="00981B99" w:rsidRPr="00981B99">
        <w:rPr>
          <w:rFonts w:ascii="Arial" w:hAnsi="Arial" w:cs="Arial"/>
        </w:rPr>
        <w:t>Otaibi</w:t>
      </w:r>
      <w:proofErr w:type="spellEnd"/>
      <w:r w:rsidR="00981B99" w:rsidRPr="00981B99">
        <w:rPr>
          <w:rFonts w:ascii="Arial" w:hAnsi="Arial" w:cs="Arial"/>
        </w:rPr>
        <w:t xml:space="preserve"> et al., 2022)</w:t>
      </w:r>
      <w:r w:rsidR="006E76A0">
        <w:rPr>
          <w:rFonts w:ascii="Arial" w:hAnsi="Arial" w:cs="Arial"/>
        </w:rPr>
        <w:t xml:space="preserve">, </w:t>
      </w:r>
      <w:r w:rsidRPr="006B2B68">
        <w:rPr>
          <w:rFonts w:ascii="Arial" w:hAnsi="Arial" w:cs="Arial"/>
        </w:rPr>
        <w:t>underscoring public health concerns, particularly among vulnerable populations such as children and pregnant women with high intake of ultra-processed foods.</w:t>
      </w:r>
    </w:p>
    <w:p w14:paraId="4FA94A11" w14:textId="2788ED40" w:rsidR="006B2B68" w:rsidRPr="006B2B68" w:rsidRDefault="006B2B68" w:rsidP="006B2B68">
      <w:pPr>
        <w:spacing w:before="100" w:beforeAutospacing="1" w:after="100" w:afterAutospacing="1" w:line="360" w:lineRule="auto"/>
        <w:jc w:val="both"/>
        <w:rPr>
          <w:rFonts w:ascii="Arial" w:hAnsi="Arial" w:cs="Arial"/>
        </w:rPr>
      </w:pPr>
      <w:proofErr w:type="spellStart"/>
      <w:r w:rsidRPr="006B2B68">
        <w:rPr>
          <w:rFonts w:ascii="Arial" w:hAnsi="Arial" w:cs="Arial"/>
        </w:rPr>
        <w:t>Sorbic</w:t>
      </w:r>
      <w:proofErr w:type="spellEnd"/>
      <w:r w:rsidRPr="006B2B68">
        <w:rPr>
          <w:rFonts w:ascii="Arial" w:hAnsi="Arial" w:cs="Arial"/>
        </w:rPr>
        <w:t xml:space="preserve"> Acid exhibited a similar strong correlation with chromosomal aberrations (R² = 0.795), though statistical significance was not achieved (p = 0.109). Nonetheless, the dose-dependent increase in aberrant cells (B = 0.073) suggests underlying genotoxic potential. Supporting evidence from in vitro studies using Saccharomyces cerevisiae and human lymphocyte models has identified DNA-damaging effects of sorbates, particularly under oxidative conditions (</w:t>
      </w:r>
      <w:proofErr w:type="spellStart"/>
      <w:r w:rsidR="001F5029">
        <w:rPr>
          <w:rFonts w:ascii="Arial" w:hAnsi="Arial" w:cs="Arial"/>
        </w:rPr>
        <w:t>Pongsavee</w:t>
      </w:r>
      <w:proofErr w:type="spellEnd"/>
      <w:r w:rsidR="001F5029">
        <w:rPr>
          <w:rFonts w:ascii="Arial" w:hAnsi="Arial" w:cs="Arial"/>
        </w:rPr>
        <w:t xml:space="preserve"> &amp; Mishra, 2021; Lea et al., 2021</w:t>
      </w:r>
      <w:r w:rsidRPr="006B2B68">
        <w:rPr>
          <w:rFonts w:ascii="Arial" w:hAnsi="Arial" w:cs="Arial"/>
        </w:rPr>
        <w:t>). Cytotoxicity data further demonstrated significant root growth inhibition (R² = 0.881; p = 0.061), with a strong negative regression coefficient (B = -0.226), indicating substantial suppression of mitotic activity. These results align with previous findings that Sorbic Acid disrupts ATP synthesis and compromises membrane integrity (Uysal et al., 2022). Though widely regarded as safe, concerns over cumulative exposure, particularly in children consuming baked goods, beverages, and snacks,</w:t>
      </w:r>
      <w:r w:rsidR="001F5029">
        <w:rPr>
          <w:rFonts w:ascii="Arial" w:hAnsi="Arial" w:cs="Arial"/>
        </w:rPr>
        <w:t xml:space="preserve"> necessitate caution (EFSA, 2021</w:t>
      </w:r>
      <w:r w:rsidRPr="006B2B68">
        <w:rPr>
          <w:rFonts w:ascii="Arial" w:hAnsi="Arial" w:cs="Arial"/>
        </w:rPr>
        <w:t>). The World Health Organization (WHO) has recently advocated for stricter regulatory thresholds for daily additive intake in response to accumulating evidence of systemic toxicity (WHO, 2023).</w:t>
      </w:r>
    </w:p>
    <w:p w14:paraId="2C8B5B33" w14:textId="7870D558"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Among the three additives examined, Erythrosine red demonstrated the most pronounced cytotoxic effect. While its correlation with chromosomal aberrations was moderate (R² = 0.639; p = 0.201), the high unstandardized coefficient (B = 3.054) suggests a potent genotoxic impact at higher concentrations. These findings corroborate studies reporting erythrosine-induced chromosomal fragmentation and micronuclei formation in mammalian cells (</w:t>
      </w:r>
      <w:r w:rsidR="001F5029">
        <w:rPr>
          <w:rFonts w:ascii="Arial" w:hAnsi="Arial" w:cs="Arial"/>
        </w:rPr>
        <w:t>Singh &amp; Chadha, 2024</w:t>
      </w:r>
      <w:r w:rsidRPr="006B2B68">
        <w:rPr>
          <w:rFonts w:ascii="Arial" w:hAnsi="Arial" w:cs="Arial"/>
        </w:rPr>
        <w:t>; Panda et al., 2022). Additionally, Erythrosine exhibited the strongest RGI effect (R² = 0.964; p = 0.018), with a steep regression slope (B = -18.837), confirming its high cytotoxic potential. Previous research has linked synthetic azo dyes such as erythrosine red with mitochondrial dysfunction and apoptotic induction (</w:t>
      </w:r>
      <w:proofErr w:type="spellStart"/>
      <w:r w:rsidR="001F5029">
        <w:rPr>
          <w:rFonts w:ascii="Arial" w:hAnsi="Arial" w:cs="Arial"/>
        </w:rPr>
        <w:t>Damotharan</w:t>
      </w:r>
      <w:proofErr w:type="spellEnd"/>
      <w:r w:rsidR="001F5029">
        <w:rPr>
          <w:rFonts w:ascii="Arial" w:hAnsi="Arial" w:cs="Arial"/>
        </w:rPr>
        <w:t xml:space="preserve"> et al., 2024</w:t>
      </w:r>
      <w:r w:rsidRPr="006B2B68">
        <w:rPr>
          <w:rFonts w:ascii="Arial" w:hAnsi="Arial" w:cs="Arial"/>
        </w:rPr>
        <w:t xml:space="preserve">; </w:t>
      </w:r>
      <w:proofErr w:type="spellStart"/>
      <w:r w:rsidRPr="006B2B68">
        <w:rPr>
          <w:rFonts w:ascii="Arial" w:hAnsi="Arial" w:cs="Arial"/>
        </w:rPr>
        <w:t>Ogunleye</w:t>
      </w:r>
      <w:proofErr w:type="spellEnd"/>
      <w:r w:rsidRPr="006B2B68">
        <w:rPr>
          <w:rFonts w:ascii="Arial" w:hAnsi="Arial" w:cs="Arial"/>
        </w:rPr>
        <w:t xml:space="preserve"> et al., 2024). Due to its synthetic nature and resistance to metabolic breakdown, erythrosine red tends to bioaccumulate, presenting significant long-term health risks. Regulatory bodies, including the EFSA and US FDA, have flagged erythrosine red for tighter oversight due to its toxicological profile even at low doses (EFSA, 2021; FDA, 2022).</w:t>
      </w:r>
    </w:p>
    <w:p w14:paraId="79367204" w14:textId="43368CA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Across all three additives, RGI emerged as a more reliable and statistically significant indicator of toxicity compared to chromosomal aberrations. This may be attributed to RGI’s integrative reflection of cellular health, encompassing disruptions in mitosis, water uptake, enzymatic activity, and oxidative homeostasis (Oyeyemi et al., 2023). The observed toxicity gradient, erythrosine &gt; sorbic acid &gt; MSG, mirrors the structural complexity and oxidative potential of the compounds (</w:t>
      </w:r>
      <w:r w:rsidR="00716465">
        <w:rPr>
          <w:rFonts w:ascii="Arial" w:hAnsi="Arial" w:cs="Arial"/>
        </w:rPr>
        <w:t>Singh &amp; Chadha, 2024b</w:t>
      </w:r>
      <w:r w:rsidRPr="006B2B68">
        <w:rPr>
          <w:rFonts w:ascii="Arial" w:hAnsi="Arial" w:cs="Arial"/>
        </w:rPr>
        <w:t>). Though genotoxic effects did not attain statistical significance, strong correlations and high R² values imply biological significance. The limited sample size (n = 4) likely constrained statistical power; however, the Allium test’s known sensitivity warrants close attention to even marginal trends (</w:t>
      </w:r>
      <w:proofErr w:type="spellStart"/>
      <w:r w:rsidR="00716465" w:rsidRPr="001F5029">
        <w:rPr>
          <w:rFonts w:ascii="Arial" w:hAnsi="Arial" w:cs="Arial"/>
          <w:color w:val="000000" w:themeColor="text1"/>
        </w:rPr>
        <w:t>Salih</w:t>
      </w:r>
      <w:proofErr w:type="spellEnd"/>
      <w:r w:rsidR="00716465" w:rsidRPr="001F5029">
        <w:rPr>
          <w:rFonts w:ascii="Arial" w:hAnsi="Arial" w:cs="Arial"/>
          <w:color w:val="000000" w:themeColor="text1"/>
        </w:rPr>
        <w:t xml:space="preserve"> &amp; </w:t>
      </w:r>
      <w:proofErr w:type="spellStart"/>
      <w:r w:rsidR="00716465" w:rsidRPr="001F5029">
        <w:rPr>
          <w:rFonts w:ascii="Arial" w:hAnsi="Arial" w:cs="Arial"/>
          <w:color w:val="000000" w:themeColor="text1"/>
        </w:rPr>
        <w:t>Kka</w:t>
      </w:r>
      <w:proofErr w:type="spellEnd"/>
      <w:r w:rsidR="00716465" w:rsidRPr="001F5029">
        <w:rPr>
          <w:rFonts w:ascii="Arial" w:hAnsi="Arial" w:cs="Arial"/>
          <w:color w:val="000000" w:themeColor="text1"/>
        </w:rPr>
        <w:t>, 2022</w:t>
      </w:r>
      <w:r w:rsidR="00716465">
        <w:rPr>
          <w:rFonts w:ascii="Arial" w:hAnsi="Arial" w:cs="Arial"/>
        </w:rPr>
        <w:t>).</w:t>
      </w:r>
    </w:p>
    <w:p w14:paraId="38C0F006" w14:textId="1804C348"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lastRenderedPageBreak/>
        <w:t xml:space="preserve">From a public health perspective, the cytotoxic effects observed in </w:t>
      </w:r>
      <w:r w:rsidRPr="006B2B68">
        <w:rPr>
          <w:rFonts w:ascii="Arial" w:hAnsi="Arial" w:cs="Arial"/>
          <w:i/>
        </w:rPr>
        <w:t>A. cepa</w:t>
      </w:r>
      <w:r w:rsidRPr="006B2B68">
        <w:rPr>
          <w:rFonts w:ascii="Arial" w:hAnsi="Arial" w:cs="Arial"/>
        </w:rPr>
        <w:t xml:space="preserve"> roots may extrapolate to adverse effects on human cells, particularly those with high proliferative rates, such as gastrointestinal epithelium, reproductive tissues, and developing neural cells. Toxicity in plant models has been consistently correlated with outcomes in mammalian systems (</w:t>
      </w:r>
      <w:r w:rsidR="00716465">
        <w:rPr>
          <w:rFonts w:ascii="Arial" w:hAnsi="Arial" w:cs="Arial"/>
        </w:rPr>
        <w:t>Pal et al., 2017</w:t>
      </w:r>
      <w:r w:rsidRPr="006B2B68">
        <w:rPr>
          <w:rFonts w:ascii="Arial" w:hAnsi="Arial" w:cs="Arial"/>
        </w:rPr>
        <w:t>). Prolonged exposure to these additives could compromise intestinal barrier function, elevate reactive oxygen species (ROS), and increase susceptibility to inflammation and carcinogenesis (</w:t>
      </w:r>
      <w:proofErr w:type="spellStart"/>
      <w:r w:rsidR="00716465">
        <w:rPr>
          <w:rFonts w:ascii="Arial" w:hAnsi="Arial" w:cs="Arial"/>
        </w:rPr>
        <w:t>Besedin</w:t>
      </w:r>
      <w:proofErr w:type="spellEnd"/>
      <w:r w:rsidR="00716465">
        <w:rPr>
          <w:rFonts w:ascii="Arial" w:hAnsi="Arial" w:cs="Arial"/>
        </w:rPr>
        <w:t xml:space="preserve"> et al., 2024</w:t>
      </w:r>
      <w:r w:rsidRPr="006B2B68">
        <w:rPr>
          <w:rFonts w:ascii="Arial" w:hAnsi="Arial" w:cs="Arial"/>
        </w:rPr>
        <w:t>). In low- and middle-income countries like Nigeria, where regulatory enforcement is limited, overconsumption of food additives, especially in unregulated street foods and beverages, amplifies these risks. Erythrosine red, for example, is frequently used illicitly to enhance the color of local pastries and drinks (</w:t>
      </w:r>
      <w:r w:rsidR="00716465">
        <w:rPr>
          <w:rFonts w:ascii="Arial" w:hAnsi="Arial" w:cs="Arial"/>
        </w:rPr>
        <w:t>Banc et al., 2024</w:t>
      </w:r>
      <w:r w:rsidRPr="006B2B68">
        <w:rPr>
          <w:rFonts w:ascii="Arial" w:hAnsi="Arial" w:cs="Arial"/>
        </w:rPr>
        <w:t>), increasing the urgency for effective policy enforcement.</w:t>
      </w:r>
    </w:p>
    <w:p w14:paraId="5CC4F7A9" w14:textId="43A7AA14"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In summary, this study provides compelling preliminary evidence that common food additive</w:t>
      </w:r>
      <w:r w:rsidR="00526E82">
        <w:rPr>
          <w:rFonts w:ascii="Arial" w:hAnsi="Arial" w:cs="Arial"/>
        </w:rPr>
        <w:t xml:space="preserve">s, particularly erythrosine, </w:t>
      </w:r>
      <w:r w:rsidRPr="006B2B68">
        <w:rPr>
          <w:rFonts w:ascii="Arial" w:hAnsi="Arial" w:cs="Arial"/>
        </w:rPr>
        <w:t>can induce cytotoxic and potential genotoxic effects at biologically relevant concentrations. These findings reinforce the value of plant bioassays as accessible, low-cost tools for early toxicity detection, and they support calls for tighter additive regulation, improved labeling, and increased consumer education.</w:t>
      </w:r>
    </w:p>
    <w:p w14:paraId="1E0492E5" w14:textId="5683D8A9" w:rsidR="00526E82" w:rsidRPr="00526E82" w:rsidRDefault="00000F8F" w:rsidP="00526E82">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F0187C" w14:textId="3084176F" w:rsidR="00315186" w:rsidRPr="006B2B68" w:rsidRDefault="00526E82" w:rsidP="00526E82">
      <w:pPr>
        <w:spacing w:before="100" w:beforeAutospacing="1" w:after="100" w:afterAutospacing="1" w:line="360" w:lineRule="auto"/>
        <w:jc w:val="both"/>
        <w:rPr>
          <w:rFonts w:ascii="Arial" w:hAnsi="Arial" w:cs="Arial"/>
        </w:rPr>
      </w:pPr>
      <w:r w:rsidRPr="00526E82">
        <w:rPr>
          <w:rFonts w:ascii="Arial" w:hAnsi="Arial" w:cs="Arial"/>
        </w:rPr>
        <w:t xml:space="preserve">This study demonstrates that exposure of </w:t>
      </w:r>
      <w:r w:rsidRPr="00526E82">
        <w:rPr>
          <w:rFonts w:ascii="Arial" w:hAnsi="Arial" w:cs="Arial"/>
          <w:i/>
        </w:rPr>
        <w:t xml:space="preserve">Allium </w:t>
      </w:r>
      <w:proofErr w:type="spellStart"/>
      <w:r w:rsidRPr="00526E82">
        <w:rPr>
          <w:rFonts w:ascii="Arial" w:hAnsi="Arial" w:cs="Arial"/>
          <w:i/>
        </w:rPr>
        <w:t>cepa</w:t>
      </w:r>
      <w:proofErr w:type="spellEnd"/>
      <w:r w:rsidRPr="00526E82">
        <w:rPr>
          <w:rFonts w:ascii="Arial" w:hAnsi="Arial" w:cs="Arial"/>
        </w:rPr>
        <w:t xml:space="preserve"> root cells to monosodium glutamate (MSG), </w:t>
      </w:r>
      <w:proofErr w:type="spellStart"/>
      <w:r w:rsidRPr="00526E82">
        <w:rPr>
          <w:rFonts w:ascii="Arial" w:hAnsi="Arial" w:cs="Arial"/>
        </w:rPr>
        <w:t>sorbic</w:t>
      </w:r>
      <w:proofErr w:type="spellEnd"/>
      <w:r w:rsidRPr="00526E82">
        <w:rPr>
          <w:rFonts w:ascii="Arial" w:hAnsi="Arial" w:cs="Arial"/>
        </w:rPr>
        <w:t xml:space="preserve"> acid, and erythrosine induces cytotoxic and potential genotoxic effects. Root growth inhibition (RGI) proved the most sensitive biomarker, correlating strongly with additive concentration. Erythrosine showed the highest cytotoxicity, followed by </w:t>
      </w:r>
      <w:proofErr w:type="spellStart"/>
      <w:r w:rsidRPr="00526E82">
        <w:rPr>
          <w:rFonts w:ascii="Arial" w:hAnsi="Arial" w:cs="Arial"/>
        </w:rPr>
        <w:t>sorbic</w:t>
      </w:r>
      <w:proofErr w:type="spellEnd"/>
      <w:r w:rsidRPr="00526E82">
        <w:rPr>
          <w:rFonts w:ascii="Arial" w:hAnsi="Arial" w:cs="Arial"/>
        </w:rPr>
        <w:t xml:space="preserve"> acid and MSG, reflecting their structural and oxidative properties. While </w:t>
      </w:r>
      <w:proofErr w:type="spellStart"/>
      <w:r w:rsidRPr="00526E82">
        <w:rPr>
          <w:rFonts w:ascii="Arial" w:hAnsi="Arial" w:cs="Arial"/>
        </w:rPr>
        <w:t>genotoxicity</w:t>
      </w:r>
      <w:proofErr w:type="spellEnd"/>
      <w:r w:rsidRPr="00526E82">
        <w:rPr>
          <w:rFonts w:ascii="Arial" w:hAnsi="Arial" w:cs="Arial"/>
        </w:rPr>
        <w:t xml:space="preserve"> was not always statistically significant, consistent regression trends support biological relevance. Findings raise public health concerns, especially in Nigeria, where weak regulation and high additive use increase risks. The study highlights the </w:t>
      </w:r>
      <w:r w:rsidRPr="00635115">
        <w:rPr>
          <w:rFonts w:ascii="Arial" w:hAnsi="Arial" w:cs="Arial"/>
          <w:i/>
        </w:rPr>
        <w:t xml:space="preserve">Allium </w:t>
      </w:r>
      <w:proofErr w:type="spellStart"/>
      <w:r w:rsidRPr="00635115">
        <w:rPr>
          <w:rFonts w:ascii="Arial" w:hAnsi="Arial" w:cs="Arial"/>
          <w:i/>
        </w:rPr>
        <w:t>cepa</w:t>
      </w:r>
      <w:proofErr w:type="spellEnd"/>
      <w:r w:rsidRPr="00526E82">
        <w:rPr>
          <w:rFonts w:ascii="Arial" w:hAnsi="Arial" w:cs="Arial"/>
        </w:rPr>
        <w:t xml:space="preserve"> assay’s utility and calls for stricter regulation, labeling, and further human-based studies</w:t>
      </w:r>
      <w:r w:rsidR="006B2B68" w:rsidRPr="006B2B68">
        <w:rPr>
          <w:rFonts w:ascii="Arial" w:hAnsi="Arial" w:cs="Arial"/>
        </w:rPr>
        <w:t>.</w:t>
      </w:r>
    </w:p>
    <w:p w14:paraId="73E84EF8" w14:textId="77777777" w:rsidR="00315186" w:rsidRPr="00315186" w:rsidRDefault="00315186" w:rsidP="00441B6F"/>
    <w:p w14:paraId="322A7F1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35AB76D" w14:textId="77777777" w:rsidR="00860000" w:rsidRPr="00786D36" w:rsidRDefault="00860000" w:rsidP="00441B6F">
      <w:pPr>
        <w:pStyle w:val="ReferHead"/>
        <w:spacing w:after="0"/>
        <w:jc w:val="both"/>
        <w:rPr>
          <w:rFonts w:ascii="Arial" w:hAnsi="Arial" w:cs="Arial"/>
        </w:rPr>
      </w:pPr>
    </w:p>
    <w:p w14:paraId="6A3BA62A" w14:textId="77777777" w:rsidR="00860000" w:rsidRDefault="008B726E"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0D6283BC" w14:textId="6EC27BCE" w:rsidR="00371FB6" w:rsidRDefault="00371FB6" w:rsidP="00441B6F">
      <w:pPr>
        <w:pStyle w:val="ReferHead"/>
        <w:spacing w:after="0"/>
        <w:jc w:val="both"/>
        <w:rPr>
          <w:rFonts w:ascii="Arial" w:hAnsi="Arial" w:cs="Arial"/>
          <w:b w:val="0"/>
          <w:caps w:val="0"/>
          <w:sz w:val="20"/>
        </w:rPr>
      </w:pPr>
    </w:p>
    <w:p w14:paraId="36148619" w14:textId="4C693516" w:rsidR="00AD267A" w:rsidRDefault="00AD267A" w:rsidP="00441B6F">
      <w:pPr>
        <w:pStyle w:val="ReferHead"/>
        <w:spacing w:after="0"/>
        <w:jc w:val="both"/>
        <w:rPr>
          <w:rFonts w:ascii="Arial" w:hAnsi="Arial" w:cs="Arial"/>
          <w:b w:val="0"/>
          <w:caps w:val="0"/>
          <w:sz w:val="20"/>
        </w:rPr>
      </w:pPr>
    </w:p>
    <w:p w14:paraId="0E770632" w14:textId="77777777" w:rsidR="00AD267A" w:rsidRPr="00FE7640" w:rsidRDefault="00AD267A" w:rsidP="00AD267A">
      <w:pPr>
        <w:rPr>
          <w:rFonts w:ascii="Calibri" w:eastAsia="Calibri" w:hAnsi="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kern w:val="2"/>
          <w:highlight w:val="yellow"/>
        </w:rPr>
        <w:t>Disclaimer (Artificial intelligence)</w:t>
      </w:r>
    </w:p>
    <w:p w14:paraId="07356E08" w14:textId="77777777" w:rsidR="00AD267A" w:rsidRPr="009C5487" w:rsidRDefault="00AD267A" w:rsidP="00AD267A">
      <w:pPr>
        <w:rPr>
          <w:rFonts w:ascii="Calibri" w:eastAsia="Calibri" w:hAnsi="Calibri"/>
          <w:kern w:val="2"/>
          <w:highlight w:val="yellow"/>
        </w:rPr>
      </w:pPr>
      <w:r w:rsidRPr="009C5487">
        <w:rPr>
          <w:rFonts w:ascii="Calibri" w:eastAsia="Calibri" w:hAnsi="Calibri"/>
          <w:kern w:val="2"/>
          <w:highlight w:val="yellow"/>
        </w:rPr>
        <w:t xml:space="preserve">Option 1: </w:t>
      </w:r>
    </w:p>
    <w:p w14:paraId="27CACF6C" w14:textId="77777777" w:rsidR="00AD267A" w:rsidRPr="009C5487" w:rsidRDefault="00AD267A" w:rsidP="00AD267A">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manuscript. </w:t>
      </w:r>
    </w:p>
    <w:bookmarkEnd w:id="1"/>
    <w:bookmarkEnd w:id="2"/>
    <w:bookmarkEnd w:id="3"/>
    <w:bookmarkEnd w:id="4"/>
    <w:bookmarkEnd w:id="5"/>
    <w:p w14:paraId="7B267C2F" w14:textId="77777777" w:rsidR="00AD267A" w:rsidRDefault="00AD267A" w:rsidP="00441B6F">
      <w:pPr>
        <w:pStyle w:val="ReferHead"/>
        <w:spacing w:after="0"/>
        <w:jc w:val="both"/>
        <w:rPr>
          <w:rFonts w:ascii="Arial" w:hAnsi="Arial" w:cs="Arial"/>
          <w:b w:val="0"/>
          <w:caps w:val="0"/>
          <w:sz w:val="20"/>
        </w:rPr>
      </w:pPr>
    </w:p>
    <w:p w14:paraId="17647B0C" w14:textId="77777777" w:rsidR="00860000" w:rsidRDefault="00860000" w:rsidP="00441B6F">
      <w:pPr>
        <w:pStyle w:val="ReferHead"/>
        <w:spacing w:after="0"/>
        <w:jc w:val="both"/>
        <w:rPr>
          <w:rFonts w:ascii="Arial" w:hAnsi="Arial" w:cs="Arial"/>
        </w:rPr>
      </w:pPr>
    </w:p>
    <w:p w14:paraId="04D134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CD901A" w14:textId="77777777" w:rsidR="008B726E" w:rsidRDefault="008B726E" w:rsidP="008B726E">
      <w:pPr>
        <w:spacing w:line="360" w:lineRule="auto"/>
        <w:ind w:left="720" w:hanging="720"/>
        <w:rPr>
          <w:rFonts w:ascii="Arial" w:hAnsi="Arial" w:cs="Arial"/>
        </w:rPr>
      </w:pPr>
    </w:p>
    <w:p w14:paraId="261A9EC4" w14:textId="77777777" w:rsidR="006E7886" w:rsidRDefault="006E7886" w:rsidP="008B726E">
      <w:pPr>
        <w:spacing w:line="360" w:lineRule="auto"/>
        <w:ind w:left="720" w:hanging="720"/>
        <w:jc w:val="both"/>
      </w:pPr>
      <w:proofErr w:type="spellStart"/>
      <w:r>
        <w:t>Abdou</w:t>
      </w:r>
      <w:proofErr w:type="spellEnd"/>
      <w:r>
        <w:t>, H. M., El-</w:t>
      </w:r>
      <w:proofErr w:type="spellStart"/>
      <w:r>
        <w:t>Gendy</w:t>
      </w:r>
      <w:proofErr w:type="spellEnd"/>
      <w:r>
        <w:t xml:space="preserve">, A. H., Aly, R. G., </w:t>
      </w:r>
      <w:proofErr w:type="spellStart"/>
      <w:r>
        <w:t>Abouzied</w:t>
      </w:r>
      <w:proofErr w:type="spellEnd"/>
      <w:r>
        <w:t xml:space="preserve">, M. M., </w:t>
      </w:r>
      <w:proofErr w:type="spellStart"/>
      <w:r>
        <w:t>Eltahir</w:t>
      </w:r>
      <w:proofErr w:type="spellEnd"/>
      <w:r>
        <w:t xml:space="preserve">, H. M., </w:t>
      </w:r>
      <w:proofErr w:type="spellStart"/>
      <w:r>
        <w:t>Thagfan</w:t>
      </w:r>
      <w:proofErr w:type="spellEnd"/>
      <w:r>
        <w:t xml:space="preserve">, S. S. A., &amp; </w:t>
      </w:r>
      <w:proofErr w:type="spellStart"/>
      <w:r>
        <w:t>Eweda</w:t>
      </w:r>
      <w:proofErr w:type="spellEnd"/>
      <w:r>
        <w:t xml:space="preserve">, S. M. (2025). Evaluation of the effects of monosodium glutamate overconsumption on the functions of the liver, kidney, and heart of male rats: The involvement of dyslipidemia, oxidative stress, and inflammatory responses. </w:t>
      </w:r>
      <w:r>
        <w:rPr>
          <w:rStyle w:val="Emphasis"/>
        </w:rPr>
        <w:t xml:space="preserve">Journal of </w:t>
      </w:r>
      <w:proofErr w:type="spellStart"/>
      <w:r>
        <w:rPr>
          <w:rStyle w:val="Emphasis"/>
        </w:rPr>
        <w:t>Xenobiotics</w:t>
      </w:r>
      <w:proofErr w:type="spellEnd"/>
      <w:r>
        <w:rPr>
          <w:rStyle w:val="Emphasis"/>
        </w:rPr>
        <w:t>, 15</w:t>
      </w:r>
      <w:r>
        <w:t xml:space="preserve">(3), 64. </w:t>
      </w:r>
      <w:hyperlink r:id="rId14" w:tgtFrame="_new" w:history="1">
        <w:r>
          <w:rPr>
            <w:rStyle w:val="Hyperlink"/>
          </w:rPr>
          <w:t>https://doi.org/10.3390/jox15030064</w:t>
        </w:r>
      </w:hyperlink>
    </w:p>
    <w:p w14:paraId="27239A64" w14:textId="66499440" w:rsidR="006E7886" w:rsidRDefault="006E7886" w:rsidP="008B726E">
      <w:pPr>
        <w:spacing w:line="360" w:lineRule="auto"/>
        <w:ind w:left="720" w:hanging="720"/>
        <w:jc w:val="both"/>
      </w:pPr>
      <w:r>
        <w:t>Al-</w:t>
      </w:r>
      <w:proofErr w:type="spellStart"/>
      <w:r>
        <w:t>Otaibi</w:t>
      </w:r>
      <w:proofErr w:type="spellEnd"/>
      <w:r>
        <w:t xml:space="preserve">, A., Mansour, N., </w:t>
      </w:r>
      <w:proofErr w:type="spellStart"/>
      <w:r>
        <w:t>Elabd</w:t>
      </w:r>
      <w:proofErr w:type="spellEnd"/>
      <w:r>
        <w:t xml:space="preserve">, H., &amp; </w:t>
      </w:r>
      <w:proofErr w:type="spellStart"/>
      <w:r>
        <w:t>Esmail</w:t>
      </w:r>
      <w:proofErr w:type="spellEnd"/>
      <w:r>
        <w:t xml:space="preserve">, N. (2022). Toxicity of monosodium glutamate intake on different tissues induced oxidative stress: A review. </w:t>
      </w:r>
      <w:r>
        <w:rPr>
          <w:rStyle w:val="Emphasis"/>
        </w:rPr>
        <w:t>Journal of Medical and Life Science, 0</w:t>
      </w:r>
      <w:r>
        <w:t xml:space="preserve">(0), 68–81. </w:t>
      </w:r>
      <w:hyperlink r:id="rId15" w:tgtFrame="_new" w:history="1">
        <w:r>
          <w:rPr>
            <w:rStyle w:val="Hyperlink"/>
          </w:rPr>
          <w:t>https://doi.org/10.21608/jmals.2022.264345</w:t>
        </w:r>
      </w:hyperlink>
    </w:p>
    <w:p w14:paraId="79A04A62" w14:textId="61900709"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lastRenderedPageBreak/>
        <w:t>Aleem</w:t>
      </w:r>
      <w:proofErr w:type="spellEnd"/>
      <w:r w:rsidRPr="008B726E">
        <w:rPr>
          <w:rFonts w:ascii="Arial" w:hAnsi="Arial" w:cs="Arial"/>
        </w:rPr>
        <w:t xml:space="preserve">, Y. N., &amp; Jasmine, M. S. (2021). Genotoxic and cytotoxic effects of food additives. </w:t>
      </w:r>
      <w:r w:rsidRPr="008B726E">
        <w:rPr>
          <w:rFonts w:ascii="Arial" w:hAnsi="Arial" w:cs="Arial"/>
          <w:i/>
          <w:iCs/>
        </w:rPr>
        <w:t>Journal of Cytology and Genetics, 22</w:t>
      </w:r>
      <w:r w:rsidRPr="008B726E">
        <w:rPr>
          <w:rFonts w:ascii="Arial" w:hAnsi="Arial" w:cs="Arial"/>
        </w:rPr>
        <w:t>(NS), 67–82.</w:t>
      </w:r>
    </w:p>
    <w:p w14:paraId="1552866B"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Aleem, Y. N., Joseph, T. J., &amp; Shah, J. M. (2020). Mutagenicity assessment of sunset yellow on chromosomal aberrations and whole genome DNA strand breaks in </w:t>
      </w:r>
      <w:r w:rsidRPr="008B726E">
        <w:rPr>
          <w:rFonts w:ascii="Arial" w:hAnsi="Arial" w:cs="Arial"/>
          <w:i/>
          <w:iCs/>
        </w:rPr>
        <w:t>Allium cepa</w:t>
      </w:r>
      <w:r w:rsidRPr="008B726E">
        <w:rPr>
          <w:rFonts w:ascii="Arial" w:hAnsi="Arial" w:cs="Arial"/>
        </w:rPr>
        <w:t xml:space="preserve">. </w:t>
      </w:r>
      <w:r w:rsidRPr="008B726E">
        <w:rPr>
          <w:rFonts w:ascii="Arial" w:hAnsi="Arial" w:cs="Arial"/>
          <w:i/>
          <w:iCs/>
        </w:rPr>
        <w:t>Journal of Cytology and Genetics, 21</w:t>
      </w:r>
      <w:r w:rsidRPr="008B726E">
        <w:rPr>
          <w:rFonts w:ascii="Arial" w:hAnsi="Arial" w:cs="Arial"/>
        </w:rPr>
        <w:t>(NS), 121–129.</w:t>
      </w:r>
    </w:p>
    <w:p w14:paraId="19FB713E"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Aşkin</w:t>
      </w:r>
      <w:proofErr w:type="spellEnd"/>
      <w:r w:rsidRPr="008B726E">
        <w:rPr>
          <w:rFonts w:ascii="Arial" w:hAnsi="Arial" w:cs="Arial"/>
        </w:rPr>
        <w:t xml:space="preserve"> </w:t>
      </w:r>
      <w:proofErr w:type="spellStart"/>
      <w:r w:rsidRPr="008B726E">
        <w:rPr>
          <w:rFonts w:ascii="Arial" w:hAnsi="Arial" w:cs="Arial"/>
        </w:rPr>
        <w:t>Çelik</w:t>
      </w:r>
      <w:proofErr w:type="spellEnd"/>
      <w:r w:rsidRPr="008B726E">
        <w:rPr>
          <w:rFonts w:ascii="Arial" w:hAnsi="Arial" w:cs="Arial"/>
        </w:rPr>
        <w:t xml:space="preserve">, T., &amp; </w:t>
      </w:r>
      <w:proofErr w:type="spellStart"/>
      <w:r w:rsidRPr="008B726E">
        <w:rPr>
          <w:rFonts w:ascii="Arial" w:hAnsi="Arial" w:cs="Arial"/>
        </w:rPr>
        <w:t>Aslantürk</w:t>
      </w:r>
      <w:proofErr w:type="spellEnd"/>
      <w:r w:rsidRPr="008B726E">
        <w:rPr>
          <w:rFonts w:ascii="Arial" w:hAnsi="Arial" w:cs="Arial"/>
        </w:rPr>
        <w:t xml:space="preserve">, Ö. S. (2010). Evaluation of cytotoxicity and </w:t>
      </w:r>
      <w:proofErr w:type="spellStart"/>
      <w:r w:rsidRPr="008B726E">
        <w:rPr>
          <w:rFonts w:ascii="Arial" w:hAnsi="Arial" w:cs="Arial"/>
        </w:rPr>
        <w:t>genotoxicity</w:t>
      </w:r>
      <w:proofErr w:type="spellEnd"/>
      <w:r w:rsidRPr="008B726E">
        <w:rPr>
          <w:rFonts w:ascii="Arial" w:hAnsi="Arial" w:cs="Arial"/>
        </w:rPr>
        <w:t xml:space="preserve"> of </w:t>
      </w:r>
      <w:proofErr w:type="spellStart"/>
      <w:r w:rsidRPr="008B726E">
        <w:rPr>
          <w:rFonts w:ascii="Arial" w:hAnsi="Arial" w:cs="Arial"/>
          <w:i/>
          <w:iCs/>
        </w:rPr>
        <w:t>Inula</w:t>
      </w:r>
      <w:proofErr w:type="spellEnd"/>
      <w:r w:rsidRPr="008B726E">
        <w:rPr>
          <w:rFonts w:ascii="Arial" w:hAnsi="Arial" w:cs="Arial"/>
          <w:i/>
          <w:iCs/>
        </w:rPr>
        <w:t xml:space="preserve"> </w:t>
      </w:r>
      <w:proofErr w:type="spellStart"/>
      <w:r w:rsidRPr="008B726E">
        <w:rPr>
          <w:rFonts w:ascii="Arial" w:hAnsi="Arial" w:cs="Arial"/>
          <w:i/>
          <w:iCs/>
        </w:rPr>
        <w:t>viscosa</w:t>
      </w:r>
      <w:proofErr w:type="spellEnd"/>
      <w:r w:rsidRPr="008B726E">
        <w:rPr>
          <w:rFonts w:ascii="Arial" w:hAnsi="Arial" w:cs="Arial"/>
        </w:rPr>
        <w:t xml:space="preserve"> leaf extracts with </w:t>
      </w:r>
      <w:r w:rsidRPr="008B726E">
        <w:rPr>
          <w:rFonts w:ascii="Arial" w:hAnsi="Arial" w:cs="Arial"/>
          <w:i/>
          <w:iCs/>
        </w:rPr>
        <w:t>the Allium</w:t>
      </w:r>
      <w:r w:rsidRPr="008B726E">
        <w:rPr>
          <w:rFonts w:ascii="Arial" w:hAnsi="Arial" w:cs="Arial"/>
        </w:rPr>
        <w:t xml:space="preserve"> test. </w:t>
      </w:r>
      <w:r w:rsidRPr="008B726E">
        <w:rPr>
          <w:rFonts w:ascii="Arial" w:hAnsi="Arial" w:cs="Arial"/>
          <w:i/>
          <w:iCs/>
        </w:rPr>
        <w:t>Journal of Biomedicine and Biotechnology, 2010</w:t>
      </w:r>
      <w:r w:rsidRPr="008B726E">
        <w:rPr>
          <w:rFonts w:ascii="Arial" w:hAnsi="Arial" w:cs="Arial"/>
        </w:rPr>
        <w:t>, Article 189252.</w:t>
      </w:r>
    </w:p>
    <w:p w14:paraId="243C5F16" w14:textId="77777777" w:rsidR="006E7886" w:rsidRDefault="006E7886" w:rsidP="006E7886">
      <w:pPr>
        <w:spacing w:line="360" w:lineRule="auto"/>
        <w:ind w:left="720" w:hanging="720"/>
        <w:jc w:val="both"/>
        <w:rPr>
          <w:rFonts w:ascii="Arial" w:hAnsi="Arial" w:cs="Arial"/>
        </w:rPr>
      </w:pPr>
      <w:r w:rsidRPr="006E7886">
        <w:rPr>
          <w:rFonts w:ascii="Arial" w:hAnsi="Arial" w:cs="Arial"/>
        </w:rPr>
        <w:t xml:space="preserve">Banc, R., Filip, L., </w:t>
      </w:r>
      <w:proofErr w:type="spellStart"/>
      <w:r w:rsidRPr="006E7886">
        <w:rPr>
          <w:rFonts w:ascii="Arial" w:hAnsi="Arial" w:cs="Arial"/>
        </w:rPr>
        <w:t>Cozma-Petruț</w:t>
      </w:r>
      <w:proofErr w:type="spellEnd"/>
      <w:r w:rsidRPr="006E7886">
        <w:rPr>
          <w:rFonts w:ascii="Arial" w:hAnsi="Arial" w:cs="Arial"/>
        </w:rPr>
        <w:t xml:space="preserve">, A., </w:t>
      </w:r>
      <w:proofErr w:type="spellStart"/>
      <w:r w:rsidRPr="006E7886">
        <w:rPr>
          <w:rFonts w:ascii="Arial" w:hAnsi="Arial" w:cs="Arial"/>
        </w:rPr>
        <w:t>Ciobârcă</w:t>
      </w:r>
      <w:proofErr w:type="spellEnd"/>
      <w:r w:rsidRPr="006E7886">
        <w:rPr>
          <w:rFonts w:ascii="Arial" w:hAnsi="Arial" w:cs="Arial"/>
        </w:rPr>
        <w:t xml:space="preserve">, D., &amp; </w:t>
      </w:r>
      <w:proofErr w:type="spellStart"/>
      <w:r w:rsidRPr="006E7886">
        <w:rPr>
          <w:rFonts w:ascii="Arial" w:hAnsi="Arial" w:cs="Arial"/>
        </w:rPr>
        <w:t>Miere</w:t>
      </w:r>
      <w:proofErr w:type="spellEnd"/>
      <w:r w:rsidRPr="006E7886">
        <w:rPr>
          <w:rFonts w:ascii="Arial" w:hAnsi="Arial" w:cs="Arial"/>
        </w:rPr>
        <w:t xml:space="preserve">, D. (2024). Yellow and red synthetic food dyes and potential health hazards: A mini review. </w:t>
      </w:r>
      <w:r w:rsidRPr="006E7886">
        <w:rPr>
          <w:rFonts w:ascii="Arial" w:hAnsi="Arial" w:cs="Arial"/>
          <w:i/>
          <w:iCs/>
        </w:rPr>
        <w:t>Bulletin of University of Agricultural Sciences and Veterinary Medicine Cluj-Napoca Food Science and Technology, 81</w:t>
      </w:r>
      <w:r w:rsidRPr="006E7886">
        <w:rPr>
          <w:rFonts w:ascii="Arial" w:hAnsi="Arial" w:cs="Arial"/>
        </w:rPr>
        <w:t xml:space="preserve">(1), 1–17. </w:t>
      </w:r>
      <w:hyperlink r:id="rId16" w:tgtFrame="_new" w:history="1">
        <w:r w:rsidRPr="006E7886">
          <w:rPr>
            <w:rStyle w:val="Hyperlink"/>
            <w:rFonts w:ascii="Arial" w:hAnsi="Arial" w:cs="Arial"/>
          </w:rPr>
          <w:t>https://doi.org/10.15835/buasvmcn-fst:2024.0005</w:t>
        </w:r>
      </w:hyperlink>
    </w:p>
    <w:p w14:paraId="072DAEA2" w14:textId="77777777" w:rsidR="006E7886" w:rsidRDefault="006E7886" w:rsidP="008B726E">
      <w:pPr>
        <w:spacing w:line="360" w:lineRule="auto"/>
        <w:ind w:left="720" w:hanging="720"/>
        <w:jc w:val="both"/>
      </w:pPr>
      <w:proofErr w:type="spellStart"/>
      <w:r>
        <w:t>Besedin</w:t>
      </w:r>
      <w:proofErr w:type="spellEnd"/>
      <w:r>
        <w:t xml:space="preserve">, D., Shah, R., Brennan, C., </w:t>
      </w:r>
      <w:proofErr w:type="spellStart"/>
      <w:r>
        <w:t>Panzeri</w:t>
      </w:r>
      <w:proofErr w:type="spellEnd"/>
      <w:r>
        <w:t xml:space="preserve">, E., Van, T. T. H., &amp; </w:t>
      </w:r>
      <w:proofErr w:type="spellStart"/>
      <w:r>
        <w:t>Eri</w:t>
      </w:r>
      <w:proofErr w:type="spellEnd"/>
      <w:r>
        <w:t xml:space="preserve">, R. (2024). Food additives and their implication in inflammatory bowel disease and metabolic syndrome. </w:t>
      </w:r>
      <w:r>
        <w:rPr>
          <w:rStyle w:val="Emphasis"/>
        </w:rPr>
        <w:t>Clinical Nutrition ESPEN, 64,</w:t>
      </w:r>
      <w:r>
        <w:t xml:space="preserve"> 483–495. </w:t>
      </w:r>
      <w:hyperlink r:id="rId17" w:tgtFrame="_new" w:history="1">
        <w:r>
          <w:rPr>
            <w:rStyle w:val="Hyperlink"/>
          </w:rPr>
          <w:t>https://doi.org/10.1016/j.clnesp.2024.10.171</w:t>
        </w:r>
      </w:hyperlink>
    </w:p>
    <w:p w14:paraId="2FCD564F"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Carocho</w:t>
      </w:r>
      <w:proofErr w:type="spellEnd"/>
      <w:r w:rsidRPr="008B726E">
        <w:rPr>
          <w:rFonts w:ascii="Arial" w:hAnsi="Arial" w:cs="Arial"/>
        </w:rPr>
        <w:t xml:space="preserve">, M., &amp; Barreiro, M. F. (2014). Adding molecules to food: Pros and cons—A review on synthetic and natural food additives. </w:t>
      </w:r>
      <w:r w:rsidRPr="008B726E">
        <w:rPr>
          <w:rFonts w:ascii="Arial" w:hAnsi="Arial" w:cs="Arial"/>
          <w:i/>
          <w:iCs/>
        </w:rPr>
        <w:t>Comprehensive Reviews in Food Science and Food Safety, 13</w:t>
      </w:r>
      <w:r w:rsidRPr="008B726E">
        <w:rPr>
          <w:rFonts w:ascii="Arial" w:hAnsi="Arial" w:cs="Arial"/>
        </w:rPr>
        <w:t>(4), 377–399.</w:t>
      </w:r>
    </w:p>
    <w:p w14:paraId="7374D0CA"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Chequer</w:t>
      </w:r>
      <w:proofErr w:type="spellEnd"/>
      <w:r w:rsidRPr="008B726E">
        <w:rPr>
          <w:rFonts w:ascii="Arial" w:hAnsi="Arial" w:cs="Arial"/>
        </w:rPr>
        <w:t xml:space="preserve">, F. M. D., Venancio, V. P., Bianchi, M. L. P., &amp; Antunes, L. M. G. (2012). Genotoxic and mutagenic effects of erythrosine B, a xanthene food dye, on HepG2 cells. </w:t>
      </w:r>
      <w:r w:rsidRPr="008B726E">
        <w:rPr>
          <w:rFonts w:ascii="Arial" w:hAnsi="Arial" w:cs="Arial"/>
          <w:i/>
          <w:iCs/>
        </w:rPr>
        <w:t>Food and Chemical Toxicology, 50</w:t>
      </w:r>
      <w:r w:rsidRPr="008B726E">
        <w:rPr>
          <w:rFonts w:ascii="Arial" w:hAnsi="Arial" w:cs="Arial"/>
        </w:rPr>
        <w:t>(10), 3447–3451.</w:t>
      </w:r>
    </w:p>
    <w:p w14:paraId="70D792DF" w14:textId="77777777" w:rsidR="006E7886" w:rsidRDefault="006E7886" w:rsidP="008B726E">
      <w:pPr>
        <w:spacing w:line="360" w:lineRule="auto"/>
        <w:ind w:left="720" w:hanging="720"/>
        <w:jc w:val="both"/>
      </w:pPr>
      <w:proofErr w:type="spellStart"/>
      <w:r>
        <w:t>Damotharan</w:t>
      </w:r>
      <w:proofErr w:type="spellEnd"/>
      <w:r>
        <w:t xml:space="preserve">, K., </w:t>
      </w:r>
      <w:proofErr w:type="spellStart"/>
      <w:r>
        <w:t>Sudhakaran</w:t>
      </w:r>
      <w:proofErr w:type="spellEnd"/>
      <w:r>
        <w:t xml:space="preserve">, G., </w:t>
      </w:r>
      <w:proofErr w:type="spellStart"/>
      <w:r>
        <w:t>Ramu</w:t>
      </w:r>
      <w:proofErr w:type="spellEnd"/>
      <w:r>
        <w:t xml:space="preserve">, M., Krishnan, M., S, K. R. N., &amp; </w:t>
      </w:r>
      <w:proofErr w:type="spellStart"/>
      <w:r>
        <w:t>Arockiaraj</w:t>
      </w:r>
      <w:proofErr w:type="spellEnd"/>
      <w:r>
        <w:t xml:space="preserve">, J. (2024). Biochemical processes mediating neurotoxicity induced by synthetic food dyes: A review of current evidence. </w:t>
      </w:r>
      <w:r>
        <w:rPr>
          <w:rStyle w:val="Emphasis"/>
        </w:rPr>
        <w:t>Chemosphere, 364,</w:t>
      </w:r>
      <w:r>
        <w:t xml:space="preserve"> 143295. </w:t>
      </w:r>
      <w:hyperlink r:id="rId18" w:tgtFrame="_new" w:history="1">
        <w:r>
          <w:rPr>
            <w:rStyle w:val="Hyperlink"/>
          </w:rPr>
          <w:t>https://doi.org/10.1016/j.chemosphere.2024.143295</w:t>
        </w:r>
      </w:hyperlink>
    </w:p>
    <w:p w14:paraId="3B37FBA7" w14:textId="192A699A" w:rsidR="006E7886" w:rsidRDefault="006E7886" w:rsidP="008B726E">
      <w:pPr>
        <w:spacing w:line="360" w:lineRule="auto"/>
        <w:ind w:left="720" w:hanging="720"/>
        <w:jc w:val="both"/>
      </w:pPr>
      <w:r>
        <w:t xml:space="preserve">Das, D., Banerjee, A., </w:t>
      </w:r>
      <w:proofErr w:type="spellStart"/>
      <w:r>
        <w:t>Bhattacharjee</w:t>
      </w:r>
      <w:proofErr w:type="spellEnd"/>
      <w:r>
        <w:t xml:space="preserve">, A., Mukherjee, S., &amp; </w:t>
      </w:r>
      <w:proofErr w:type="spellStart"/>
      <w:r>
        <w:t>Maji</w:t>
      </w:r>
      <w:proofErr w:type="spellEnd"/>
      <w:r>
        <w:t xml:space="preserve">, B. K. (2022). Dietary food additive monosodium glutamate with or without high-lipid diet induces spleen anomaly: A mechanistic approach on rat model. </w:t>
      </w:r>
      <w:r>
        <w:rPr>
          <w:rStyle w:val="Emphasis"/>
        </w:rPr>
        <w:t>Open Life Sciences, 17</w:t>
      </w:r>
      <w:r>
        <w:t xml:space="preserve">(1), 22–31. </w:t>
      </w:r>
      <w:hyperlink r:id="rId19" w:tgtFrame="_new" w:history="1">
        <w:r>
          <w:rPr>
            <w:rStyle w:val="Hyperlink"/>
          </w:rPr>
          <w:t>https://doi.org/10.1515/biol-2022-0004</w:t>
        </w:r>
      </w:hyperlink>
    </w:p>
    <w:p w14:paraId="637AC925" w14:textId="6DBE1892"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Emmanuella</w:t>
      </w:r>
      <w:proofErr w:type="spellEnd"/>
      <w:r w:rsidRPr="008B726E">
        <w:rPr>
          <w:rFonts w:ascii="Arial" w:hAnsi="Arial" w:cs="Arial"/>
        </w:rPr>
        <w:t xml:space="preserve">, C. I., Agu, P. N., </w:t>
      </w:r>
      <w:proofErr w:type="spellStart"/>
      <w:r w:rsidRPr="008B726E">
        <w:rPr>
          <w:rFonts w:ascii="Arial" w:hAnsi="Arial" w:cs="Arial"/>
        </w:rPr>
        <w:t>Olumuji</w:t>
      </w:r>
      <w:proofErr w:type="spellEnd"/>
      <w:r w:rsidRPr="008B726E">
        <w:rPr>
          <w:rFonts w:ascii="Arial" w:hAnsi="Arial" w:cs="Arial"/>
        </w:rPr>
        <w:t xml:space="preserve">, H. B., </w:t>
      </w:r>
      <w:proofErr w:type="spellStart"/>
      <w:r w:rsidRPr="008B726E">
        <w:rPr>
          <w:rFonts w:ascii="Arial" w:hAnsi="Arial" w:cs="Arial"/>
        </w:rPr>
        <w:t>Anagboso</w:t>
      </w:r>
      <w:proofErr w:type="spellEnd"/>
      <w:r w:rsidRPr="008B726E">
        <w:rPr>
          <w:rFonts w:ascii="Arial" w:hAnsi="Arial" w:cs="Arial"/>
        </w:rPr>
        <w:t xml:space="preserve">, M. O., Johnny, I. I., </w:t>
      </w:r>
      <w:proofErr w:type="spellStart"/>
      <w:r w:rsidRPr="008B726E">
        <w:rPr>
          <w:rFonts w:ascii="Arial" w:hAnsi="Arial" w:cs="Arial"/>
        </w:rPr>
        <w:t>Okokon</w:t>
      </w:r>
      <w:proofErr w:type="spellEnd"/>
      <w:r w:rsidRPr="008B726E">
        <w:rPr>
          <w:rFonts w:ascii="Arial" w:hAnsi="Arial" w:cs="Arial"/>
        </w:rPr>
        <w:t>, J. E., &amp; Ebong, N. O. (2024). Evaluation of genotoxic and cytotoxic activities of three vegetables (</w:t>
      </w:r>
      <w:proofErr w:type="spellStart"/>
      <w:r w:rsidRPr="008B726E">
        <w:rPr>
          <w:rFonts w:ascii="Arial" w:hAnsi="Arial" w:cs="Arial"/>
          <w:i/>
          <w:iCs/>
        </w:rPr>
        <w:t>Heinsia</w:t>
      </w:r>
      <w:proofErr w:type="spellEnd"/>
      <w:r w:rsidRPr="008B726E">
        <w:rPr>
          <w:rFonts w:ascii="Arial" w:hAnsi="Arial" w:cs="Arial"/>
          <w:i/>
          <w:iCs/>
        </w:rPr>
        <w:t xml:space="preserve"> </w:t>
      </w:r>
      <w:proofErr w:type="spellStart"/>
      <w:r w:rsidRPr="008B726E">
        <w:rPr>
          <w:rFonts w:ascii="Arial" w:hAnsi="Arial" w:cs="Arial"/>
          <w:i/>
          <w:iCs/>
        </w:rPr>
        <w:t>crinata</w:t>
      </w:r>
      <w:proofErr w:type="spellEnd"/>
      <w:r w:rsidRPr="008B726E">
        <w:rPr>
          <w:rFonts w:ascii="Arial" w:hAnsi="Arial" w:cs="Arial"/>
        </w:rPr>
        <w:t xml:space="preserve">, </w:t>
      </w:r>
      <w:proofErr w:type="spellStart"/>
      <w:r w:rsidRPr="008B726E">
        <w:rPr>
          <w:rFonts w:ascii="Arial" w:hAnsi="Arial" w:cs="Arial"/>
          <w:i/>
          <w:iCs/>
        </w:rPr>
        <w:t>Justicia</w:t>
      </w:r>
      <w:proofErr w:type="spellEnd"/>
      <w:r w:rsidRPr="008B726E">
        <w:rPr>
          <w:rFonts w:ascii="Arial" w:hAnsi="Arial" w:cs="Arial"/>
          <w:i/>
          <w:iCs/>
        </w:rPr>
        <w:t xml:space="preserve"> </w:t>
      </w:r>
      <w:proofErr w:type="spellStart"/>
      <w:r w:rsidRPr="008B726E">
        <w:rPr>
          <w:rFonts w:ascii="Arial" w:hAnsi="Arial" w:cs="Arial"/>
          <w:i/>
          <w:iCs/>
        </w:rPr>
        <w:t>insularis</w:t>
      </w:r>
      <w:proofErr w:type="spellEnd"/>
      <w:r w:rsidRPr="008B726E">
        <w:rPr>
          <w:rFonts w:ascii="Arial" w:hAnsi="Arial" w:cs="Arial"/>
        </w:rPr>
        <w:t xml:space="preserve">, and </w:t>
      </w:r>
      <w:proofErr w:type="spellStart"/>
      <w:r w:rsidRPr="008B726E">
        <w:rPr>
          <w:rFonts w:ascii="Arial" w:hAnsi="Arial" w:cs="Arial"/>
          <w:i/>
          <w:iCs/>
        </w:rPr>
        <w:t>Lasianthera</w:t>
      </w:r>
      <w:proofErr w:type="spellEnd"/>
      <w:r w:rsidRPr="008B726E">
        <w:rPr>
          <w:rFonts w:ascii="Arial" w:hAnsi="Arial" w:cs="Arial"/>
          <w:i/>
          <w:iCs/>
        </w:rPr>
        <w:t xml:space="preserve"> </w:t>
      </w:r>
      <w:proofErr w:type="spellStart"/>
      <w:r w:rsidRPr="008B726E">
        <w:rPr>
          <w:rFonts w:ascii="Arial" w:hAnsi="Arial" w:cs="Arial"/>
          <w:i/>
          <w:iCs/>
        </w:rPr>
        <w:t>africana</w:t>
      </w:r>
      <w:proofErr w:type="spellEnd"/>
      <w:r w:rsidRPr="008B726E">
        <w:rPr>
          <w:rFonts w:ascii="Arial" w:hAnsi="Arial" w:cs="Arial"/>
        </w:rPr>
        <w:t xml:space="preserve">) using the </w:t>
      </w:r>
      <w:r w:rsidRPr="008B726E">
        <w:rPr>
          <w:rFonts w:ascii="Arial" w:hAnsi="Arial" w:cs="Arial"/>
          <w:i/>
          <w:iCs/>
        </w:rPr>
        <w:t>Allium cepa</w:t>
      </w:r>
      <w:r w:rsidRPr="008B726E">
        <w:rPr>
          <w:rFonts w:ascii="Arial" w:hAnsi="Arial" w:cs="Arial"/>
        </w:rPr>
        <w:t xml:space="preserve"> test. </w:t>
      </w:r>
      <w:r w:rsidRPr="008B726E">
        <w:rPr>
          <w:rFonts w:ascii="Arial" w:hAnsi="Arial" w:cs="Arial"/>
          <w:i/>
          <w:iCs/>
        </w:rPr>
        <w:t>Asian Journal of Biochemistry, Genetics and Molecular Biology, 16</w:t>
      </w:r>
      <w:r w:rsidRPr="008B726E">
        <w:rPr>
          <w:rFonts w:ascii="Arial" w:hAnsi="Arial" w:cs="Arial"/>
        </w:rPr>
        <w:t>(4), 10–20.</w:t>
      </w:r>
    </w:p>
    <w:p w14:paraId="683A33A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European Food Safety Authority (EFSA). (2021). Scientific opinion on the re-evaluation of erythrosine (E127) as a food additive. </w:t>
      </w:r>
      <w:r w:rsidRPr="008B726E">
        <w:rPr>
          <w:rFonts w:ascii="Arial" w:hAnsi="Arial" w:cs="Arial"/>
          <w:i/>
          <w:iCs/>
        </w:rPr>
        <w:t>EFSA Journal, 19</w:t>
      </w:r>
      <w:r w:rsidRPr="008B726E">
        <w:rPr>
          <w:rFonts w:ascii="Arial" w:hAnsi="Arial" w:cs="Arial"/>
        </w:rPr>
        <w:t xml:space="preserve">(1), e06349. </w:t>
      </w:r>
      <w:hyperlink r:id="rId20" w:tgtFrame="_new" w:history="1">
        <w:r w:rsidRPr="008B726E">
          <w:rPr>
            <w:rStyle w:val="Hyperlink"/>
            <w:rFonts w:ascii="Arial" w:hAnsi="Arial" w:cs="Arial"/>
          </w:rPr>
          <w:t>https://doi.org/10.2903/j.efsa.2021.6349</w:t>
        </w:r>
      </w:hyperlink>
    </w:p>
    <w:p w14:paraId="01334DC7"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Guo</w:t>
      </w:r>
      <w:proofErr w:type="spellEnd"/>
      <w:r w:rsidRPr="008B726E">
        <w:rPr>
          <w:rFonts w:ascii="Arial" w:hAnsi="Arial" w:cs="Arial"/>
        </w:rPr>
        <w:t xml:space="preserve">, X., Liu, F., Deng, J., Dai, P., Qin, Y., Li, Z., Wang, B., Fan, A., Wang, Z., &amp; Zhao, Y. (2020). Electron-accepting micelles deplete reduced nicotinamide adenine dinucleotide phosphate and impair two antioxidant cascades for ferroptosis-induced tumor eradication. </w:t>
      </w:r>
      <w:r w:rsidRPr="008B726E">
        <w:rPr>
          <w:rFonts w:ascii="Arial" w:hAnsi="Arial" w:cs="Arial"/>
          <w:i/>
          <w:iCs/>
        </w:rPr>
        <w:t>ACS Nano, 14</w:t>
      </w:r>
      <w:r w:rsidRPr="008B726E">
        <w:rPr>
          <w:rFonts w:ascii="Arial" w:hAnsi="Arial" w:cs="Arial"/>
        </w:rPr>
        <w:t>(11), 14715–14730. https://doi.org/10.1021/acsnano.0c00764</w:t>
      </w:r>
    </w:p>
    <w:p w14:paraId="283B6D2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Horie, M., Fukui, H., Nishio, K., </w:t>
      </w:r>
      <w:proofErr w:type="spellStart"/>
      <w:r w:rsidRPr="008B726E">
        <w:rPr>
          <w:rFonts w:ascii="Arial" w:hAnsi="Arial" w:cs="Arial"/>
        </w:rPr>
        <w:t>Endoh</w:t>
      </w:r>
      <w:proofErr w:type="spellEnd"/>
      <w:r w:rsidRPr="008B726E">
        <w:rPr>
          <w:rFonts w:ascii="Arial" w:hAnsi="Arial" w:cs="Arial"/>
        </w:rPr>
        <w:t xml:space="preserve">, S., Kato, H., Fujita, K., Miyauchi, A., Nakamura, A., </w:t>
      </w:r>
      <w:proofErr w:type="spellStart"/>
      <w:r w:rsidRPr="008B726E">
        <w:rPr>
          <w:rFonts w:ascii="Arial" w:hAnsi="Arial" w:cs="Arial"/>
        </w:rPr>
        <w:t>Shichiri</w:t>
      </w:r>
      <w:proofErr w:type="spellEnd"/>
      <w:r w:rsidRPr="008B726E">
        <w:rPr>
          <w:rFonts w:ascii="Arial" w:hAnsi="Arial" w:cs="Arial"/>
        </w:rPr>
        <w:t xml:space="preserve">, M., Ishida, N., Kinugasa, S., Morimoto, Y., Niki, E., Yoshida, Y., &amp; Iwahashi, H. (2011). Evaluation of acute oxidative stress induced by </w:t>
      </w:r>
      <w:proofErr w:type="spellStart"/>
      <w:r w:rsidRPr="008B726E">
        <w:rPr>
          <w:rFonts w:ascii="Arial" w:hAnsi="Arial" w:cs="Arial"/>
        </w:rPr>
        <w:t>NiO</w:t>
      </w:r>
      <w:proofErr w:type="spellEnd"/>
      <w:r w:rsidRPr="008B726E">
        <w:rPr>
          <w:rFonts w:ascii="Arial" w:hAnsi="Arial" w:cs="Arial"/>
        </w:rPr>
        <w:t xml:space="preserve"> nanoparticles in vivo and in vitro. </w:t>
      </w:r>
      <w:r w:rsidRPr="008B726E">
        <w:rPr>
          <w:rFonts w:ascii="Arial" w:hAnsi="Arial" w:cs="Arial"/>
          <w:i/>
          <w:iCs/>
        </w:rPr>
        <w:t>Journal of Occupational Health, 53</w:t>
      </w:r>
      <w:r w:rsidRPr="008B726E">
        <w:rPr>
          <w:rFonts w:ascii="Arial" w:hAnsi="Arial" w:cs="Arial"/>
        </w:rPr>
        <w:t>, 64–74.</w:t>
      </w:r>
    </w:p>
    <w:p w14:paraId="0C7A5DC0"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Kim, S., Chen, J., Cheng, T., </w:t>
      </w:r>
      <w:proofErr w:type="spellStart"/>
      <w:r w:rsidRPr="008B726E">
        <w:rPr>
          <w:rFonts w:ascii="Arial" w:hAnsi="Arial" w:cs="Arial"/>
        </w:rPr>
        <w:t>Gindulyte</w:t>
      </w:r>
      <w:proofErr w:type="spellEnd"/>
      <w:r w:rsidRPr="008B726E">
        <w:rPr>
          <w:rFonts w:ascii="Arial" w:hAnsi="Arial" w:cs="Arial"/>
        </w:rPr>
        <w:t xml:space="preserve">, A., He, J., He, S., Li, Q., Shoemaker, B. A., Thiessen, P. A., Yu, B., Zaslavsky, L., Zhang, J., &amp; Bolton, E. E. (2019). PubChem 2019 update: Improved access to chemical data. </w:t>
      </w:r>
      <w:r w:rsidRPr="008B726E">
        <w:rPr>
          <w:rFonts w:ascii="Arial" w:hAnsi="Arial" w:cs="Arial"/>
          <w:i/>
          <w:iCs/>
        </w:rPr>
        <w:t>Nucleic Acids Research, 47</w:t>
      </w:r>
      <w:r w:rsidRPr="008B726E">
        <w:rPr>
          <w:rFonts w:ascii="Arial" w:hAnsi="Arial" w:cs="Arial"/>
        </w:rPr>
        <w:t>(D1), D1102–D1109. https://doi.org/10.1093/nar/gky1033</w:t>
      </w:r>
    </w:p>
    <w:p w14:paraId="3D84C15A" w14:textId="77777777" w:rsidR="006E7886" w:rsidRDefault="006E7886" w:rsidP="008B726E">
      <w:pPr>
        <w:spacing w:line="360" w:lineRule="auto"/>
        <w:ind w:left="720" w:hanging="720"/>
        <w:jc w:val="both"/>
      </w:pPr>
      <w:r>
        <w:t xml:space="preserve">Lea, I. A., Chappell, G. A., &amp; </w:t>
      </w:r>
      <w:proofErr w:type="spellStart"/>
      <w:r>
        <w:t>Wikoff</w:t>
      </w:r>
      <w:proofErr w:type="spellEnd"/>
      <w:r>
        <w:t xml:space="preserve">, D. S. (2021). Overall lack of genotoxic activity among five common low- and no-calorie sweeteners: A contemporary review of the collective evidence. </w:t>
      </w:r>
      <w:r>
        <w:rPr>
          <w:rStyle w:val="Emphasis"/>
        </w:rPr>
        <w:t>Mutation Research/Genetic Toxicology and Environmental Mutagenesis, 868–869,</w:t>
      </w:r>
      <w:r>
        <w:t xml:space="preserve"> 503389. </w:t>
      </w:r>
      <w:hyperlink r:id="rId21" w:tgtFrame="_new" w:history="1">
        <w:r>
          <w:rPr>
            <w:rStyle w:val="Hyperlink"/>
          </w:rPr>
          <w:t>https://doi.org/10.1016/j.mrgentox.2021.503389</w:t>
        </w:r>
      </w:hyperlink>
    </w:p>
    <w:p w14:paraId="259ADB09" w14:textId="28FA6AD8"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lastRenderedPageBreak/>
        <w:t>Leme</w:t>
      </w:r>
      <w:proofErr w:type="spellEnd"/>
      <w:r w:rsidRPr="008B726E">
        <w:rPr>
          <w:rFonts w:ascii="Arial" w:hAnsi="Arial" w:cs="Arial"/>
        </w:rPr>
        <w:t xml:space="preserve">, D. M., &amp; Marin-Morales, M. A. (2020). </w:t>
      </w:r>
      <w:r w:rsidRPr="008B726E">
        <w:rPr>
          <w:rFonts w:ascii="Arial" w:hAnsi="Arial" w:cs="Arial"/>
          <w:i/>
          <w:iCs/>
        </w:rPr>
        <w:t>Allium cepa</w:t>
      </w:r>
      <w:r w:rsidRPr="008B726E">
        <w:rPr>
          <w:rFonts w:ascii="Arial" w:hAnsi="Arial" w:cs="Arial"/>
        </w:rPr>
        <w:t xml:space="preserve"> test in environmental monitoring: A review on its application. </w:t>
      </w:r>
      <w:r w:rsidRPr="008B726E">
        <w:rPr>
          <w:rFonts w:ascii="Arial" w:hAnsi="Arial" w:cs="Arial"/>
          <w:i/>
          <w:iCs/>
        </w:rPr>
        <w:t>Mutation Research/Reviews in Mutation Research, 682</w:t>
      </w:r>
      <w:r w:rsidRPr="008B726E">
        <w:rPr>
          <w:rFonts w:ascii="Arial" w:hAnsi="Arial" w:cs="Arial"/>
        </w:rPr>
        <w:t>, 71–81. https://doi.org/10.1016/j.mrrev.2009.06.002</w:t>
      </w:r>
    </w:p>
    <w:p w14:paraId="3936C3FF" w14:textId="77777777" w:rsidR="00D478A7" w:rsidRDefault="00D478A7" w:rsidP="008B726E">
      <w:pPr>
        <w:spacing w:line="360" w:lineRule="auto"/>
        <w:ind w:left="720" w:hanging="720"/>
        <w:jc w:val="both"/>
      </w:pPr>
      <w:r>
        <w:t xml:space="preserve">Pal, S., Singh, N., &amp; Ansari, K. M. (2017). Toxicological effects of </w:t>
      </w:r>
      <w:proofErr w:type="spellStart"/>
      <w:r>
        <w:t>patulin</w:t>
      </w:r>
      <w:proofErr w:type="spellEnd"/>
      <w:r>
        <w:t xml:space="preserve"> mycotoxin on the mammalian system: An overview. </w:t>
      </w:r>
      <w:r>
        <w:rPr>
          <w:rStyle w:val="Emphasis"/>
        </w:rPr>
        <w:t>Toxicology Research, 6</w:t>
      </w:r>
      <w:r>
        <w:t xml:space="preserve">(6), 764–771. </w:t>
      </w:r>
      <w:hyperlink r:id="rId22" w:tgtFrame="_new" w:history="1">
        <w:r>
          <w:rPr>
            <w:rStyle w:val="Hyperlink"/>
          </w:rPr>
          <w:t>https://doi.org/10.1039/c7tx00138j</w:t>
        </w:r>
      </w:hyperlink>
    </w:p>
    <w:p w14:paraId="07EF6696" w14:textId="77777777" w:rsidR="00D478A7" w:rsidRDefault="00D478A7" w:rsidP="008B726E">
      <w:pPr>
        <w:spacing w:line="360" w:lineRule="auto"/>
        <w:ind w:left="720" w:hanging="720"/>
        <w:jc w:val="both"/>
      </w:pPr>
      <w:proofErr w:type="spellStart"/>
      <w:r>
        <w:t>Pongsavee</w:t>
      </w:r>
      <w:proofErr w:type="spellEnd"/>
      <w:r>
        <w:t xml:space="preserve">, N. M., &amp; Mishra, N. R. (2021). Potassium sorbate induces oxidative stress and </w:t>
      </w:r>
      <w:proofErr w:type="spellStart"/>
      <w:r>
        <w:t>genotoxicity</w:t>
      </w:r>
      <w:proofErr w:type="spellEnd"/>
      <w:r>
        <w:t xml:space="preserve"> in human lymphocytes. </w:t>
      </w:r>
      <w:r>
        <w:rPr>
          <w:rStyle w:val="Emphasis"/>
        </w:rPr>
        <w:t>Indian Journal of Forensic Medicine &amp; Toxicology, 15</w:t>
      </w:r>
      <w:r>
        <w:t xml:space="preserve">(2), 2795–2803. </w:t>
      </w:r>
      <w:hyperlink r:id="rId23" w:tgtFrame="_new" w:history="1">
        <w:r>
          <w:rPr>
            <w:rStyle w:val="Hyperlink"/>
          </w:rPr>
          <w:t>https://doi.org/10.37506/ijfmt.v15i2.14795</w:t>
        </w:r>
      </w:hyperlink>
    </w:p>
    <w:p w14:paraId="5D784328" w14:textId="063F4BDB"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Roede</w:t>
      </w:r>
      <w:proofErr w:type="spellEnd"/>
      <w:r w:rsidRPr="008B726E">
        <w:rPr>
          <w:rFonts w:ascii="Arial" w:hAnsi="Arial" w:cs="Arial"/>
        </w:rPr>
        <w:t xml:space="preserve">, J. R., &amp; Miller, G. W. (2014). Diquat. In </w:t>
      </w:r>
      <w:r w:rsidRPr="008B726E">
        <w:rPr>
          <w:rFonts w:ascii="Arial" w:hAnsi="Arial" w:cs="Arial"/>
          <w:i/>
          <w:iCs/>
        </w:rPr>
        <w:t>Encyclopedia of Toxicology</w:t>
      </w:r>
      <w:r w:rsidRPr="008B726E">
        <w:rPr>
          <w:rFonts w:ascii="Arial" w:hAnsi="Arial" w:cs="Arial"/>
        </w:rPr>
        <w:t xml:space="preserve"> (Vol. 2, pp. 202–204). Elsevier.</w:t>
      </w:r>
    </w:p>
    <w:p w14:paraId="448F0888" w14:textId="77777777" w:rsidR="00D478A7" w:rsidRDefault="00D478A7" w:rsidP="008B726E">
      <w:pPr>
        <w:spacing w:line="360" w:lineRule="auto"/>
        <w:ind w:left="720" w:hanging="720"/>
        <w:jc w:val="both"/>
      </w:pPr>
      <w:proofErr w:type="spellStart"/>
      <w:r>
        <w:t>Salih</w:t>
      </w:r>
      <w:proofErr w:type="spellEnd"/>
      <w:r>
        <w:t xml:space="preserve">, M., &amp; </w:t>
      </w:r>
      <w:proofErr w:type="spellStart"/>
      <w:r>
        <w:t>Kka</w:t>
      </w:r>
      <w:proofErr w:type="spellEnd"/>
      <w:r>
        <w:t>, N. (2022). Evaluation of the efficiency of onion (</w:t>
      </w:r>
      <w:r>
        <w:rPr>
          <w:rStyle w:val="Emphasis"/>
        </w:rPr>
        <w:t xml:space="preserve">Allium </w:t>
      </w:r>
      <w:proofErr w:type="spellStart"/>
      <w:r>
        <w:rPr>
          <w:rStyle w:val="Emphasis"/>
        </w:rPr>
        <w:t>cepa</w:t>
      </w:r>
      <w:proofErr w:type="spellEnd"/>
      <w:r>
        <w:t xml:space="preserve"> L.) sets treated with ascorbic acid and salicylic acid in stimulating growth and seed production. </w:t>
      </w:r>
      <w:proofErr w:type="spellStart"/>
      <w:r>
        <w:rPr>
          <w:rStyle w:val="Emphasis"/>
        </w:rPr>
        <w:t>Mağallaẗ</w:t>
      </w:r>
      <w:proofErr w:type="spellEnd"/>
      <w:r>
        <w:rPr>
          <w:rStyle w:val="Emphasis"/>
        </w:rPr>
        <w:t xml:space="preserve"> </w:t>
      </w:r>
      <w:proofErr w:type="spellStart"/>
      <w:r>
        <w:rPr>
          <w:rStyle w:val="Emphasis"/>
        </w:rPr>
        <w:t>Zirāʿaẗ</w:t>
      </w:r>
      <w:proofErr w:type="spellEnd"/>
      <w:r>
        <w:rPr>
          <w:rStyle w:val="Emphasis"/>
        </w:rPr>
        <w:t xml:space="preserve"> Al-</w:t>
      </w:r>
      <w:proofErr w:type="spellStart"/>
      <w:r>
        <w:rPr>
          <w:rStyle w:val="Emphasis"/>
        </w:rPr>
        <w:t>rāfidayn</w:t>
      </w:r>
      <w:proofErr w:type="spellEnd"/>
      <w:r>
        <w:rPr>
          <w:rStyle w:val="Emphasis"/>
        </w:rPr>
        <w:t>, 50</w:t>
      </w:r>
      <w:r>
        <w:t xml:space="preserve">(1), 52–64. </w:t>
      </w:r>
      <w:hyperlink r:id="rId24" w:tgtFrame="_new" w:history="1">
        <w:r>
          <w:rPr>
            <w:rStyle w:val="Hyperlink"/>
          </w:rPr>
          <w:t>https://doi.org/10.33899/magrj.2022.132858.1163</w:t>
        </w:r>
      </w:hyperlink>
    </w:p>
    <w:p w14:paraId="1C01F453" w14:textId="77777777" w:rsidR="00D478A7" w:rsidRDefault="00D478A7" w:rsidP="008B726E">
      <w:pPr>
        <w:spacing w:line="360" w:lineRule="auto"/>
        <w:ind w:left="720" w:hanging="720"/>
        <w:jc w:val="both"/>
      </w:pPr>
      <w:r>
        <w:t xml:space="preserve">Singh, M., &amp; Chadha, P. (2024). Assessment of synthetic food dye erythrosine induced cytotoxicity, </w:t>
      </w:r>
      <w:proofErr w:type="spellStart"/>
      <w:r>
        <w:t>genotoxicity</w:t>
      </w:r>
      <w:proofErr w:type="spellEnd"/>
      <w:r>
        <w:t xml:space="preserve">, biochemical and molecular alterations in </w:t>
      </w:r>
      <w:r>
        <w:rPr>
          <w:rStyle w:val="Emphasis"/>
        </w:rPr>
        <w:t xml:space="preserve">Allium </w:t>
      </w:r>
      <w:proofErr w:type="spellStart"/>
      <w:r>
        <w:rPr>
          <w:rStyle w:val="Emphasis"/>
        </w:rPr>
        <w:t>cepa</w:t>
      </w:r>
      <w:proofErr w:type="spellEnd"/>
      <w:r>
        <w:t xml:space="preserve"> root meristematic cells: Insights from in </w:t>
      </w:r>
      <w:proofErr w:type="spellStart"/>
      <w:r>
        <w:t>silico</w:t>
      </w:r>
      <w:proofErr w:type="spellEnd"/>
      <w:r>
        <w:t xml:space="preserve"> study. </w:t>
      </w:r>
      <w:r>
        <w:rPr>
          <w:rStyle w:val="Emphasis"/>
        </w:rPr>
        <w:t>Toxicology Research, 13</w:t>
      </w:r>
      <w:r>
        <w:t xml:space="preserve">(4). </w:t>
      </w:r>
      <w:hyperlink r:id="rId25" w:tgtFrame="_new" w:history="1">
        <w:r>
          <w:rPr>
            <w:rStyle w:val="Hyperlink"/>
          </w:rPr>
          <w:t>https://doi.org/10.1093/toxres/tfae126</w:t>
        </w:r>
      </w:hyperlink>
    </w:p>
    <w:p w14:paraId="4EC4EE71" w14:textId="77777777" w:rsidR="00D478A7" w:rsidRDefault="00D478A7" w:rsidP="008B726E">
      <w:pPr>
        <w:spacing w:line="360" w:lineRule="auto"/>
        <w:ind w:left="720" w:hanging="720"/>
        <w:jc w:val="both"/>
      </w:pPr>
      <w:r>
        <w:t>Singh, M., &amp; Chadha, P. (2024). Gastrointestinal toxicity following sub</w:t>
      </w:r>
      <w:r>
        <w:rPr>
          <w:rFonts w:ascii="Cambria Math" w:hAnsi="Cambria Math" w:cs="Cambria Math"/>
        </w:rPr>
        <w:t>‐</w:t>
      </w:r>
      <w:r>
        <w:t xml:space="preserve">acute exposure of erythrosine in rats: Biochemical, oxidative stress, DNA damage and histopathological studies. </w:t>
      </w:r>
      <w:r>
        <w:rPr>
          <w:rStyle w:val="Emphasis"/>
        </w:rPr>
        <w:t>Journal of Biochemical and Molecular Toxicology, 38</w:t>
      </w:r>
      <w:r>
        <w:t xml:space="preserve">(11). </w:t>
      </w:r>
      <w:hyperlink r:id="rId26" w:tgtFrame="_new" w:history="1">
        <w:r>
          <w:rPr>
            <w:rStyle w:val="Hyperlink"/>
          </w:rPr>
          <w:t>https://doi.org/10.1002/jbt.70007</w:t>
        </w:r>
      </w:hyperlink>
    </w:p>
    <w:p w14:paraId="69B53CB5" w14:textId="73FC4ED9"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Soodan</w:t>
      </w:r>
      <w:proofErr w:type="spellEnd"/>
      <w:r w:rsidRPr="008B726E">
        <w:rPr>
          <w:rFonts w:ascii="Arial" w:hAnsi="Arial" w:cs="Arial"/>
        </w:rPr>
        <w:t xml:space="preserve">, R., </w:t>
      </w:r>
      <w:proofErr w:type="spellStart"/>
      <w:r w:rsidRPr="008B726E">
        <w:rPr>
          <w:rFonts w:ascii="Arial" w:hAnsi="Arial" w:cs="Arial"/>
        </w:rPr>
        <w:t>Katnoria</w:t>
      </w:r>
      <w:proofErr w:type="spellEnd"/>
      <w:r w:rsidRPr="008B726E">
        <w:rPr>
          <w:rFonts w:ascii="Arial" w:hAnsi="Arial" w:cs="Arial"/>
        </w:rPr>
        <w:t xml:space="preserve">, J., &amp; Nagpal, A. (2014). </w:t>
      </w:r>
      <w:r w:rsidRPr="008B726E">
        <w:rPr>
          <w:rFonts w:ascii="Arial" w:hAnsi="Arial" w:cs="Arial"/>
          <w:i/>
          <w:iCs/>
        </w:rPr>
        <w:t>Allium cepa</w:t>
      </w:r>
      <w:r w:rsidRPr="008B726E">
        <w:rPr>
          <w:rFonts w:ascii="Arial" w:hAnsi="Arial" w:cs="Arial"/>
        </w:rPr>
        <w:t xml:space="preserve"> root chromosomal aberration assay: An efficient test system for evaluating genotoxicity of agricultural soil. </w:t>
      </w:r>
      <w:r w:rsidRPr="008B726E">
        <w:rPr>
          <w:rFonts w:ascii="Arial" w:hAnsi="Arial" w:cs="Arial"/>
          <w:i/>
          <w:iCs/>
        </w:rPr>
        <w:t>International Journal of Science and Research, 3</w:t>
      </w:r>
      <w:r w:rsidRPr="008B726E">
        <w:rPr>
          <w:rFonts w:ascii="Arial" w:hAnsi="Arial" w:cs="Arial"/>
        </w:rPr>
        <w:t>(8), 245–250.</w:t>
      </w:r>
    </w:p>
    <w:p w14:paraId="374890BC" w14:textId="77777777" w:rsidR="00D478A7" w:rsidRDefault="008B726E" w:rsidP="008B726E">
      <w:pPr>
        <w:spacing w:line="360" w:lineRule="auto"/>
        <w:ind w:left="720" w:hanging="720"/>
        <w:jc w:val="both"/>
        <w:rPr>
          <w:rFonts w:ascii="Arial" w:hAnsi="Arial" w:cs="Arial"/>
        </w:rPr>
      </w:pPr>
      <w:r w:rsidRPr="008B726E">
        <w:rPr>
          <w:rFonts w:ascii="Arial" w:hAnsi="Arial" w:cs="Arial"/>
        </w:rPr>
        <w:t xml:space="preserve">World Health Organization (WHO). (2023). </w:t>
      </w:r>
      <w:r w:rsidRPr="008B726E">
        <w:rPr>
          <w:rFonts w:ascii="Arial" w:hAnsi="Arial" w:cs="Arial"/>
          <w:i/>
          <w:iCs/>
        </w:rPr>
        <w:t>Toxicological evaluation of food additives: Report of the Joint FAO/WHO Expert Committee on Food Additives</w:t>
      </w:r>
      <w:r w:rsidRPr="008B726E">
        <w:rPr>
          <w:rFonts w:ascii="Arial" w:hAnsi="Arial" w:cs="Arial"/>
        </w:rPr>
        <w:t>. (WHO Technical Report Series No. 1056).</w:t>
      </w:r>
    </w:p>
    <w:p w14:paraId="68E6CA29" w14:textId="75E54E6A" w:rsidR="008B726E" w:rsidRDefault="00D478A7" w:rsidP="008B726E">
      <w:pPr>
        <w:spacing w:line="360" w:lineRule="auto"/>
        <w:ind w:left="720" w:hanging="720"/>
        <w:jc w:val="both"/>
      </w:pPr>
      <w:r w:rsidRPr="00D478A7">
        <w:t xml:space="preserve"> </w:t>
      </w:r>
      <w:r>
        <w:t xml:space="preserve">Xu, X., Wang, Z., </w:t>
      </w:r>
      <w:proofErr w:type="spellStart"/>
      <w:r>
        <w:t>Lv</w:t>
      </w:r>
      <w:proofErr w:type="spellEnd"/>
      <w:r>
        <w:t xml:space="preserve">, L., Liu, C., Wang, L., Sun, Y., Zhao, Z., Shi, B., Li, Q., &amp; </w:t>
      </w:r>
      <w:proofErr w:type="spellStart"/>
      <w:r>
        <w:t>Hao</w:t>
      </w:r>
      <w:proofErr w:type="spellEnd"/>
      <w:r>
        <w:t xml:space="preserve">, G. (2024). Molecular regulation of DNA damage and repair in female infertility: A systematic review. </w:t>
      </w:r>
      <w:r>
        <w:rPr>
          <w:rStyle w:val="Emphasis"/>
        </w:rPr>
        <w:t>Reproductive Biology and Endocrinology, 22</w:t>
      </w:r>
      <w:r>
        <w:t xml:space="preserve">(1). </w:t>
      </w:r>
      <w:hyperlink r:id="rId27" w:tgtFrame="_new" w:history="1">
        <w:r>
          <w:rPr>
            <w:rStyle w:val="Hyperlink"/>
          </w:rPr>
          <w:t>https://doi.org/10.1186/s12958-024-01273-z</w:t>
        </w:r>
      </w:hyperlink>
    </w:p>
    <w:p w14:paraId="634A5FC2" w14:textId="77777777" w:rsidR="00D478A7" w:rsidRPr="008B726E" w:rsidRDefault="00D478A7" w:rsidP="008B726E">
      <w:pPr>
        <w:spacing w:line="360" w:lineRule="auto"/>
        <w:ind w:left="720" w:hanging="720"/>
        <w:jc w:val="both"/>
        <w:rPr>
          <w:rFonts w:ascii="Arial" w:hAnsi="Arial" w:cs="Arial"/>
        </w:rPr>
      </w:pPr>
    </w:p>
    <w:p w14:paraId="78E68200" w14:textId="77777777" w:rsidR="00441B6F" w:rsidRDefault="00441B6F" w:rsidP="00441B6F">
      <w:pPr>
        <w:pStyle w:val="Body"/>
        <w:spacing w:after="0"/>
        <w:jc w:val="left"/>
        <w:rPr>
          <w:rFonts w:ascii="Arial" w:hAnsi="Arial" w:cs="Arial"/>
        </w:rPr>
      </w:pPr>
    </w:p>
    <w:p w14:paraId="3E16248C" w14:textId="77777777" w:rsidR="00B01FCD" w:rsidRPr="00FB3A86" w:rsidRDefault="00B01FCD" w:rsidP="00441B6F">
      <w:pPr>
        <w:pStyle w:val="Reference"/>
        <w:numPr>
          <w:ilvl w:val="0"/>
          <w:numId w:val="0"/>
        </w:numPr>
        <w:spacing w:line="240" w:lineRule="auto"/>
        <w:rPr>
          <w:rFonts w:ascii="Arial" w:hAnsi="Arial" w:cs="Arial"/>
        </w:rPr>
      </w:pPr>
    </w:p>
    <w:p w14:paraId="7284F416" w14:textId="77777777" w:rsidR="00B01FCD" w:rsidRPr="00FB3A86" w:rsidRDefault="00B01FCD" w:rsidP="00441B6F">
      <w:pPr>
        <w:pStyle w:val="Appendix"/>
        <w:spacing w:after="0"/>
        <w:jc w:val="both"/>
        <w:rPr>
          <w:rFonts w:ascii="Arial" w:hAnsi="Arial" w:cs="Arial"/>
          <w:b w:val="0"/>
        </w:rPr>
      </w:pPr>
    </w:p>
    <w:sectPr w:rsidR="00B01FCD" w:rsidRPr="00FB3A86" w:rsidSect="00674513">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BF66" w14:textId="77777777" w:rsidR="003151AA" w:rsidRDefault="003151AA" w:rsidP="00C37E61">
      <w:r>
        <w:separator/>
      </w:r>
    </w:p>
  </w:endnote>
  <w:endnote w:type="continuationSeparator" w:id="0">
    <w:p w14:paraId="090D4C53" w14:textId="77777777" w:rsidR="003151AA" w:rsidRDefault="003151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5791" w14:textId="77777777" w:rsidR="00674513" w:rsidRDefault="006745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F7D08" w14:textId="77777777" w:rsidR="00674513" w:rsidRDefault="006745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E0A3" w14:textId="21EE5496" w:rsidR="00754C9A" w:rsidRPr="00674513" w:rsidRDefault="00754C9A" w:rsidP="0067451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F5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7650" w14:textId="77777777" w:rsidR="003151AA" w:rsidRDefault="003151AA" w:rsidP="00C37E61">
      <w:r>
        <w:separator/>
      </w:r>
    </w:p>
  </w:footnote>
  <w:footnote w:type="continuationSeparator" w:id="0">
    <w:p w14:paraId="4313FD16" w14:textId="77777777" w:rsidR="003151AA" w:rsidRDefault="003151AA"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025F" w14:textId="1B11CBFE" w:rsidR="00674513" w:rsidRDefault="003151AA">
    <w:pPr>
      <w:pStyle w:val="Header"/>
    </w:pPr>
    <w:r>
      <w:rPr>
        <w:noProof/>
      </w:rPr>
      <w:pict w14:anchorId="2E15F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8DF4A" w14:textId="1DD1E903" w:rsidR="00674513" w:rsidRDefault="003151AA">
    <w:pPr>
      <w:pStyle w:val="Header"/>
    </w:pPr>
    <w:r>
      <w:rPr>
        <w:noProof/>
      </w:rPr>
      <w:pict w14:anchorId="32F93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5F75" w14:textId="0605205B" w:rsidR="00296529" w:rsidRPr="00296529" w:rsidRDefault="003151AA" w:rsidP="00296529">
    <w:pPr>
      <w:ind w:left="2160"/>
      <w:jc w:val="center"/>
      <w:rPr>
        <w:rFonts w:ascii="Times New Roman" w:eastAsia="Calibri" w:hAnsi="Times New Roman"/>
        <w:i/>
        <w:sz w:val="18"/>
        <w:szCs w:val="22"/>
      </w:rPr>
    </w:pPr>
    <w:r>
      <w:rPr>
        <w:noProof/>
      </w:rPr>
      <w:pict w14:anchorId="49B02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EED5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858D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9DB9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F2AB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B348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E005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18A2" w14:textId="58A77518" w:rsidR="00674513" w:rsidRDefault="003151AA">
    <w:pPr>
      <w:pStyle w:val="Header"/>
    </w:pPr>
    <w:r>
      <w:rPr>
        <w:noProof/>
      </w:rPr>
      <w:pict w14:anchorId="592E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590A" w14:textId="5575076B" w:rsidR="00674513" w:rsidRDefault="003151AA">
    <w:pPr>
      <w:pStyle w:val="Header"/>
    </w:pPr>
    <w:r>
      <w:rPr>
        <w:noProof/>
      </w:rPr>
      <w:pict w14:anchorId="7518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D32B" w14:textId="153D2F62" w:rsidR="00674513" w:rsidRDefault="003151AA">
    <w:pPr>
      <w:pStyle w:val="Header"/>
    </w:pPr>
    <w:r>
      <w:rPr>
        <w:noProof/>
      </w:rPr>
      <w:pict w14:anchorId="41F5F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5BA7"/>
    <w:rsid w:val="00030174"/>
    <w:rsid w:val="0004579C"/>
    <w:rsid w:val="00092B4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5029"/>
    <w:rsid w:val="00200595"/>
    <w:rsid w:val="00204835"/>
    <w:rsid w:val="00231920"/>
    <w:rsid w:val="0023195C"/>
    <w:rsid w:val="0024282C"/>
    <w:rsid w:val="002460DC"/>
    <w:rsid w:val="00250985"/>
    <w:rsid w:val="00252DF7"/>
    <w:rsid w:val="002556F6"/>
    <w:rsid w:val="00283105"/>
    <w:rsid w:val="00284C4C"/>
    <w:rsid w:val="00287E68"/>
    <w:rsid w:val="00296529"/>
    <w:rsid w:val="002B27FB"/>
    <w:rsid w:val="002B685A"/>
    <w:rsid w:val="002C57D2"/>
    <w:rsid w:val="002E0D56"/>
    <w:rsid w:val="002E3BB2"/>
    <w:rsid w:val="00315186"/>
    <w:rsid w:val="003151AA"/>
    <w:rsid w:val="0033343E"/>
    <w:rsid w:val="003512C2"/>
    <w:rsid w:val="00361A0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64D"/>
    <w:rsid w:val="00502516"/>
    <w:rsid w:val="0050424B"/>
    <w:rsid w:val="00505F06"/>
    <w:rsid w:val="00506828"/>
    <w:rsid w:val="00526E82"/>
    <w:rsid w:val="0053056E"/>
    <w:rsid w:val="00554FDA"/>
    <w:rsid w:val="00581571"/>
    <w:rsid w:val="005C784C"/>
    <w:rsid w:val="005D17F6"/>
    <w:rsid w:val="005E5539"/>
    <w:rsid w:val="00602BF5"/>
    <w:rsid w:val="00617FDD"/>
    <w:rsid w:val="00633614"/>
    <w:rsid w:val="00633F68"/>
    <w:rsid w:val="00635115"/>
    <w:rsid w:val="00636EB2"/>
    <w:rsid w:val="006375B8"/>
    <w:rsid w:val="0066510A"/>
    <w:rsid w:val="00673F9F"/>
    <w:rsid w:val="006742B3"/>
    <w:rsid w:val="00674513"/>
    <w:rsid w:val="00686953"/>
    <w:rsid w:val="00687DEA"/>
    <w:rsid w:val="00687E67"/>
    <w:rsid w:val="006967F7"/>
    <w:rsid w:val="006A250C"/>
    <w:rsid w:val="006B21D3"/>
    <w:rsid w:val="006B2B68"/>
    <w:rsid w:val="006B57D0"/>
    <w:rsid w:val="006D30FF"/>
    <w:rsid w:val="006D6940"/>
    <w:rsid w:val="006E76A0"/>
    <w:rsid w:val="006E7886"/>
    <w:rsid w:val="006F11EC"/>
    <w:rsid w:val="0070082C"/>
    <w:rsid w:val="00716465"/>
    <w:rsid w:val="007369E6"/>
    <w:rsid w:val="00746E59"/>
    <w:rsid w:val="00754C9A"/>
    <w:rsid w:val="0075599A"/>
    <w:rsid w:val="00761D52"/>
    <w:rsid w:val="0077749E"/>
    <w:rsid w:val="00790ADA"/>
    <w:rsid w:val="007C20B3"/>
    <w:rsid w:val="007D2288"/>
    <w:rsid w:val="007E088F"/>
    <w:rsid w:val="007F7B32"/>
    <w:rsid w:val="00804BC2"/>
    <w:rsid w:val="0081431A"/>
    <w:rsid w:val="0083216F"/>
    <w:rsid w:val="00860000"/>
    <w:rsid w:val="00863BD3"/>
    <w:rsid w:val="008641ED"/>
    <w:rsid w:val="00866D66"/>
    <w:rsid w:val="008671C6"/>
    <w:rsid w:val="00875803"/>
    <w:rsid w:val="008B459E"/>
    <w:rsid w:val="008B726E"/>
    <w:rsid w:val="008E13AE"/>
    <w:rsid w:val="008E1506"/>
    <w:rsid w:val="008E710C"/>
    <w:rsid w:val="008F69D6"/>
    <w:rsid w:val="00902823"/>
    <w:rsid w:val="00915CA6"/>
    <w:rsid w:val="00927834"/>
    <w:rsid w:val="009500A6"/>
    <w:rsid w:val="00954B6D"/>
    <w:rsid w:val="00957C18"/>
    <w:rsid w:val="009659BA"/>
    <w:rsid w:val="00981B9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267A"/>
    <w:rsid w:val="00AE008F"/>
    <w:rsid w:val="00B01FCD"/>
    <w:rsid w:val="00B1776C"/>
    <w:rsid w:val="00B36096"/>
    <w:rsid w:val="00B52583"/>
    <w:rsid w:val="00B52896"/>
    <w:rsid w:val="00B77AB5"/>
    <w:rsid w:val="00B95236"/>
    <w:rsid w:val="00B96BD9"/>
    <w:rsid w:val="00BA1B01"/>
    <w:rsid w:val="00BA2641"/>
    <w:rsid w:val="00BB37AA"/>
    <w:rsid w:val="00BC53A0"/>
    <w:rsid w:val="00BE62AD"/>
    <w:rsid w:val="00BF121F"/>
    <w:rsid w:val="00BF1F80"/>
    <w:rsid w:val="00C166EF"/>
    <w:rsid w:val="00C17EB0"/>
    <w:rsid w:val="00C27F5F"/>
    <w:rsid w:val="00C30A0F"/>
    <w:rsid w:val="00C3415E"/>
    <w:rsid w:val="00C37E61"/>
    <w:rsid w:val="00C70F1B"/>
    <w:rsid w:val="00C71A47"/>
    <w:rsid w:val="00C7464C"/>
    <w:rsid w:val="00C85588"/>
    <w:rsid w:val="00CA465A"/>
    <w:rsid w:val="00CD6755"/>
    <w:rsid w:val="00CD6856"/>
    <w:rsid w:val="00CE0089"/>
    <w:rsid w:val="00CE793C"/>
    <w:rsid w:val="00CE7CEC"/>
    <w:rsid w:val="00CF193C"/>
    <w:rsid w:val="00D173F1"/>
    <w:rsid w:val="00D478A7"/>
    <w:rsid w:val="00D74CB0"/>
    <w:rsid w:val="00D8295D"/>
    <w:rsid w:val="00DC2A65"/>
    <w:rsid w:val="00DE15F0"/>
    <w:rsid w:val="00DE5663"/>
    <w:rsid w:val="00DE78AA"/>
    <w:rsid w:val="00E0179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16E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699F8E"/>
  <w15:docId w15:val="{357B695A-4823-4E58-91A5-BEC60594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50424B"/>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6">
    <w:name w:val="heading 6"/>
    <w:basedOn w:val="Normal"/>
    <w:next w:val="Normal"/>
    <w:link w:val="Heading6Char"/>
    <w:semiHidden/>
    <w:unhideWhenUsed/>
    <w:qFormat/>
    <w:rsid w:val="00526E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3609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50424B"/>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50424B"/>
    <w:rPr>
      <w:b/>
      <w:bCs/>
    </w:rPr>
  </w:style>
  <w:style w:type="paragraph" w:styleId="Caption">
    <w:name w:val="caption"/>
    <w:basedOn w:val="Normal"/>
    <w:next w:val="Normal"/>
    <w:uiPriority w:val="35"/>
    <w:unhideWhenUsed/>
    <w:qFormat/>
    <w:rsid w:val="0050424B"/>
    <w:pPr>
      <w:spacing w:after="200" w:line="480" w:lineRule="auto"/>
      <w:jc w:val="center"/>
    </w:pPr>
    <w:rPr>
      <w:rFonts w:ascii="Times New Roman" w:hAnsi="Times New Roman"/>
      <w:sz w:val="24"/>
      <w:szCs w:val="24"/>
    </w:rPr>
  </w:style>
  <w:style w:type="character" w:customStyle="1" w:styleId="y8pc0">
    <w:name w:val="y8pc0"/>
    <w:basedOn w:val="DefaultParagraphFont"/>
    <w:rsid w:val="004E064D"/>
  </w:style>
  <w:style w:type="character" w:customStyle="1" w:styleId="Heading6Char">
    <w:name w:val="Heading 6 Char"/>
    <w:basedOn w:val="DefaultParagraphFont"/>
    <w:link w:val="Heading6"/>
    <w:semiHidden/>
    <w:rsid w:val="00526E8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45627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1189882">
      <w:bodyDiv w:val="1"/>
      <w:marLeft w:val="0"/>
      <w:marRight w:val="0"/>
      <w:marTop w:val="0"/>
      <w:marBottom w:val="0"/>
      <w:divBdr>
        <w:top w:val="none" w:sz="0" w:space="0" w:color="auto"/>
        <w:left w:val="none" w:sz="0" w:space="0" w:color="auto"/>
        <w:bottom w:val="none" w:sz="0" w:space="0" w:color="auto"/>
        <w:right w:val="none" w:sz="0" w:space="0" w:color="auto"/>
      </w:divBdr>
    </w:div>
    <w:div w:id="516962966">
      <w:bodyDiv w:val="1"/>
      <w:marLeft w:val="0"/>
      <w:marRight w:val="0"/>
      <w:marTop w:val="0"/>
      <w:marBottom w:val="0"/>
      <w:divBdr>
        <w:top w:val="none" w:sz="0" w:space="0" w:color="auto"/>
        <w:left w:val="none" w:sz="0" w:space="0" w:color="auto"/>
        <w:bottom w:val="none" w:sz="0" w:space="0" w:color="auto"/>
        <w:right w:val="none" w:sz="0" w:space="0" w:color="auto"/>
      </w:divBdr>
    </w:div>
    <w:div w:id="6242354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6189017">
      <w:bodyDiv w:val="1"/>
      <w:marLeft w:val="0"/>
      <w:marRight w:val="0"/>
      <w:marTop w:val="0"/>
      <w:marBottom w:val="0"/>
      <w:divBdr>
        <w:top w:val="none" w:sz="0" w:space="0" w:color="auto"/>
        <w:left w:val="none" w:sz="0" w:space="0" w:color="auto"/>
        <w:bottom w:val="none" w:sz="0" w:space="0" w:color="auto"/>
        <w:right w:val="none" w:sz="0" w:space="0" w:color="auto"/>
      </w:divBdr>
    </w:div>
    <w:div w:id="9298905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84051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035542">
      <w:bodyDiv w:val="1"/>
      <w:marLeft w:val="0"/>
      <w:marRight w:val="0"/>
      <w:marTop w:val="0"/>
      <w:marBottom w:val="0"/>
      <w:divBdr>
        <w:top w:val="none" w:sz="0" w:space="0" w:color="auto"/>
        <w:left w:val="none" w:sz="0" w:space="0" w:color="auto"/>
        <w:bottom w:val="none" w:sz="0" w:space="0" w:color="auto"/>
        <w:right w:val="none" w:sz="0" w:space="0" w:color="auto"/>
      </w:divBdr>
    </w:div>
    <w:div w:id="1212302256">
      <w:bodyDiv w:val="1"/>
      <w:marLeft w:val="0"/>
      <w:marRight w:val="0"/>
      <w:marTop w:val="0"/>
      <w:marBottom w:val="0"/>
      <w:divBdr>
        <w:top w:val="none" w:sz="0" w:space="0" w:color="auto"/>
        <w:left w:val="none" w:sz="0" w:space="0" w:color="auto"/>
        <w:bottom w:val="none" w:sz="0" w:space="0" w:color="auto"/>
        <w:right w:val="none" w:sz="0" w:space="0" w:color="auto"/>
      </w:divBdr>
    </w:div>
    <w:div w:id="1392656065">
      <w:bodyDiv w:val="1"/>
      <w:marLeft w:val="0"/>
      <w:marRight w:val="0"/>
      <w:marTop w:val="0"/>
      <w:marBottom w:val="0"/>
      <w:divBdr>
        <w:top w:val="none" w:sz="0" w:space="0" w:color="auto"/>
        <w:left w:val="none" w:sz="0" w:space="0" w:color="auto"/>
        <w:bottom w:val="none" w:sz="0" w:space="0" w:color="auto"/>
        <w:right w:val="none" w:sz="0" w:space="0" w:color="auto"/>
      </w:divBdr>
    </w:div>
    <w:div w:id="1473714379">
      <w:bodyDiv w:val="1"/>
      <w:marLeft w:val="0"/>
      <w:marRight w:val="0"/>
      <w:marTop w:val="0"/>
      <w:marBottom w:val="0"/>
      <w:divBdr>
        <w:top w:val="none" w:sz="0" w:space="0" w:color="auto"/>
        <w:left w:val="none" w:sz="0" w:space="0" w:color="auto"/>
        <w:bottom w:val="none" w:sz="0" w:space="0" w:color="auto"/>
        <w:right w:val="none" w:sz="0" w:space="0" w:color="auto"/>
      </w:divBdr>
    </w:div>
    <w:div w:id="1740595686">
      <w:bodyDiv w:val="1"/>
      <w:marLeft w:val="0"/>
      <w:marRight w:val="0"/>
      <w:marTop w:val="0"/>
      <w:marBottom w:val="0"/>
      <w:divBdr>
        <w:top w:val="none" w:sz="0" w:space="0" w:color="auto"/>
        <w:left w:val="none" w:sz="0" w:space="0" w:color="auto"/>
        <w:bottom w:val="none" w:sz="0" w:space="0" w:color="auto"/>
        <w:right w:val="none" w:sz="0" w:space="0" w:color="auto"/>
      </w:divBdr>
      <w:divsChild>
        <w:div w:id="2000495538">
          <w:marLeft w:val="0"/>
          <w:marRight w:val="0"/>
          <w:marTop w:val="0"/>
          <w:marBottom w:val="0"/>
          <w:divBdr>
            <w:top w:val="none" w:sz="0" w:space="0" w:color="auto"/>
            <w:left w:val="none" w:sz="0" w:space="0" w:color="auto"/>
            <w:bottom w:val="none" w:sz="0" w:space="0" w:color="auto"/>
            <w:right w:val="none" w:sz="0" w:space="0" w:color="auto"/>
          </w:divBdr>
          <w:divsChild>
            <w:div w:id="1994750154">
              <w:marLeft w:val="0"/>
              <w:marRight w:val="0"/>
              <w:marTop w:val="0"/>
              <w:marBottom w:val="0"/>
              <w:divBdr>
                <w:top w:val="none" w:sz="0" w:space="0" w:color="auto"/>
                <w:left w:val="none" w:sz="0" w:space="0" w:color="auto"/>
                <w:bottom w:val="none" w:sz="0" w:space="0" w:color="auto"/>
                <w:right w:val="none" w:sz="0" w:space="0" w:color="auto"/>
              </w:divBdr>
              <w:divsChild>
                <w:div w:id="719864086">
                  <w:marLeft w:val="0"/>
                  <w:marRight w:val="0"/>
                  <w:marTop w:val="0"/>
                  <w:marBottom w:val="0"/>
                  <w:divBdr>
                    <w:top w:val="none" w:sz="0" w:space="0" w:color="auto"/>
                    <w:left w:val="none" w:sz="0" w:space="0" w:color="auto"/>
                    <w:bottom w:val="none" w:sz="0" w:space="0" w:color="auto"/>
                    <w:right w:val="none" w:sz="0" w:space="0" w:color="auto"/>
                  </w:divBdr>
                  <w:divsChild>
                    <w:div w:id="893082445">
                      <w:marLeft w:val="0"/>
                      <w:marRight w:val="0"/>
                      <w:marTop w:val="0"/>
                      <w:marBottom w:val="0"/>
                      <w:divBdr>
                        <w:top w:val="none" w:sz="0" w:space="0" w:color="auto"/>
                        <w:left w:val="none" w:sz="0" w:space="0" w:color="auto"/>
                        <w:bottom w:val="none" w:sz="0" w:space="0" w:color="auto"/>
                        <w:right w:val="none" w:sz="0" w:space="0" w:color="auto"/>
                      </w:divBdr>
                      <w:divsChild>
                        <w:div w:id="2017531296">
                          <w:marLeft w:val="0"/>
                          <w:marRight w:val="0"/>
                          <w:marTop w:val="0"/>
                          <w:marBottom w:val="0"/>
                          <w:divBdr>
                            <w:top w:val="none" w:sz="0" w:space="0" w:color="auto"/>
                            <w:left w:val="none" w:sz="0" w:space="0" w:color="auto"/>
                            <w:bottom w:val="none" w:sz="0" w:space="0" w:color="auto"/>
                            <w:right w:val="none" w:sz="0" w:space="0" w:color="auto"/>
                          </w:divBdr>
                          <w:divsChild>
                            <w:div w:id="16395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315895">
      <w:bodyDiv w:val="1"/>
      <w:marLeft w:val="0"/>
      <w:marRight w:val="0"/>
      <w:marTop w:val="0"/>
      <w:marBottom w:val="0"/>
      <w:divBdr>
        <w:top w:val="none" w:sz="0" w:space="0" w:color="auto"/>
        <w:left w:val="none" w:sz="0" w:space="0" w:color="auto"/>
        <w:bottom w:val="none" w:sz="0" w:space="0" w:color="auto"/>
        <w:right w:val="none" w:sz="0" w:space="0" w:color="auto"/>
      </w:divBdr>
    </w:div>
    <w:div w:id="18941915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hemosphere.2024.143295" TargetMode="External"/><Relationship Id="rId26" Type="http://schemas.openxmlformats.org/officeDocument/2006/relationships/hyperlink" Target="https://doi.org/10.1002/jbt.70007" TargetMode="External"/><Relationship Id="rId3" Type="http://schemas.openxmlformats.org/officeDocument/2006/relationships/styles" Target="styles.xml"/><Relationship Id="rId21" Type="http://schemas.openxmlformats.org/officeDocument/2006/relationships/hyperlink" Target="https://doi.org/10.1016/j.mrgentox.2021.50338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clnesp.2024.10.171" TargetMode="External"/><Relationship Id="rId25" Type="http://schemas.openxmlformats.org/officeDocument/2006/relationships/hyperlink" Target="https://doi.org/10.1093/toxres/tfae1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835/buasvmcn-fst:2024.0005" TargetMode="External"/><Relationship Id="rId20" Type="http://schemas.openxmlformats.org/officeDocument/2006/relationships/hyperlink" Target="https://doi.org/10.2903/j.efsa.2021.634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9/magrj.2022.132858.116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608/jmals.2022.264345" TargetMode="External"/><Relationship Id="rId23" Type="http://schemas.openxmlformats.org/officeDocument/2006/relationships/hyperlink" Target="https://doi.org/10.37506/ijfmt.v15i2.14795"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515/biol-2022-0004"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jox15030064" TargetMode="External"/><Relationship Id="rId22" Type="http://schemas.openxmlformats.org/officeDocument/2006/relationships/hyperlink" Target="https://doi.org/10.1039/c7tx00138j" TargetMode="External"/><Relationship Id="rId27" Type="http://schemas.openxmlformats.org/officeDocument/2006/relationships/hyperlink" Target="https://doi.org/10.1186/s12958-024-01273-z"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FFAD-FE9B-4C88-BB82-9B9E02BB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4427</Words>
  <Characters>26208</Characters>
  <Application>Microsoft Office Word</Application>
  <DocSecurity>0</DocSecurity>
  <Lines>391</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2025-09-09T07:21:00Z</dcterms:created>
  <dcterms:modified xsi:type="dcterms:W3CDTF">2025-09-09T07:21:00Z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19e08fed-beff-408d-bedf-dc8978abb44c</vt:lpwstr>
  </property>
</Properties>
</file>