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AD9" w:rsidRDefault="00E66AD9">
      <w:pPr>
        <w:widowControl w:val="0"/>
        <w:spacing w:line="266" w:lineRule="auto"/>
        <w:ind w:right="-324"/>
        <w:jc w:val="center"/>
        <w:rPr>
          <w:b/>
          <w:highlight w:val="white"/>
        </w:rPr>
      </w:pPr>
    </w:p>
    <w:p w:rsidR="00E66AD9" w:rsidRDefault="007716D1">
      <w:pPr>
        <w:widowControl w:val="0"/>
        <w:spacing w:line="266" w:lineRule="auto"/>
        <w:ind w:right="-324"/>
        <w:jc w:val="center"/>
        <w:rPr>
          <w:b/>
          <w:highlight w:val="white"/>
        </w:rPr>
      </w:pPr>
      <w:r>
        <w:rPr>
          <w:b/>
          <w:highlight w:val="white"/>
        </w:rPr>
        <w:t xml:space="preserve"> Placental </w:t>
      </w:r>
      <w:proofErr w:type="spellStart"/>
      <w:r>
        <w:rPr>
          <w:b/>
          <w:highlight w:val="white"/>
        </w:rPr>
        <w:t>Localisation</w:t>
      </w:r>
      <w:proofErr w:type="spellEnd"/>
      <w:r>
        <w:rPr>
          <w:b/>
          <w:highlight w:val="white"/>
        </w:rPr>
        <w:t xml:space="preserve"> By USG As a Predictor of</w:t>
      </w:r>
      <w:r>
        <w:rPr>
          <w:b/>
        </w:rPr>
        <w:t xml:space="preserve"> </w:t>
      </w:r>
      <w:r>
        <w:rPr>
          <w:b/>
          <w:highlight w:val="white"/>
        </w:rPr>
        <w:t>Preeclampsia Development</w:t>
      </w:r>
    </w:p>
    <w:p w:rsidR="00E66AD9" w:rsidRDefault="00E66AD9">
      <w:pPr>
        <w:widowControl w:val="0"/>
        <w:spacing w:line="266" w:lineRule="auto"/>
        <w:ind w:right="-324"/>
        <w:jc w:val="center"/>
        <w:rPr>
          <w:b/>
          <w:highlight w:val="white"/>
        </w:rPr>
      </w:pPr>
    </w:p>
    <w:p w:rsidR="00E66AD9" w:rsidRDefault="00E66AD9">
      <w:pPr>
        <w:widowControl w:val="0"/>
        <w:spacing w:line="266" w:lineRule="auto"/>
        <w:ind w:right="-324"/>
        <w:jc w:val="center"/>
        <w:rPr>
          <w:highlight w:val="white"/>
        </w:rPr>
      </w:pPr>
    </w:p>
    <w:p w:rsidR="00E66AD9" w:rsidRDefault="00E66AD9">
      <w:pPr>
        <w:widowControl w:val="0"/>
        <w:spacing w:line="266" w:lineRule="auto"/>
        <w:ind w:right="-324"/>
        <w:jc w:val="left"/>
        <w:rPr>
          <w:sz w:val="16"/>
          <w:szCs w:val="16"/>
          <w:highlight w:val="white"/>
        </w:rPr>
      </w:pPr>
    </w:p>
    <w:tbl>
      <w:tblPr>
        <w:tblStyle w:val="a"/>
        <w:tblW w:w="939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90"/>
      </w:tblGrid>
      <w:tr w:rsidR="00E66AD9">
        <w:tc>
          <w:tcPr>
            <w:tcW w:w="9390" w:type="dxa"/>
            <w:tcMar>
              <w:top w:w="100" w:type="dxa"/>
              <w:left w:w="100" w:type="dxa"/>
              <w:bottom w:w="100" w:type="dxa"/>
              <w:right w:w="100" w:type="dxa"/>
            </w:tcMar>
          </w:tcPr>
          <w:p w:rsidR="00E66AD9" w:rsidRDefault="00886695">
            <w:pPr>
              <w:rPr>
                <w:szCs w:val="21"/>
              </w:rPr>
            </w:pPr>
            <w:r>
              <w:rPr>
                <w:szCs w:val="21"/>
              </w:rPr>
              <w:t xml:space="preserve">ABSTRACT </w:t>
            </w:r>
          </w:p>
          <w:p w:rsidR="00E66AD9" w:rsidRDefault="00886695">
            <w:pPr>
              <w:rPr>
                <w:szCs w:val="21"/>
              </w:rPr>
            </w:pPr>
            <w:r>
              <w:rPr>
                <w:b/>
                <w:szCs w:val="21"/>
              </w:rPr>
              <w:t>Objective-</w:t>
            </w:r>
            <w:r>
              <w:rPr>
                <w:szCs w:val="21"/>
              </w:rPr>
              <w:t>To find whether placental laterality as determined by ultrasound can be used as a predictor of the development of preeclampsia and to find its correlation with severity of preeclampsia, maternal and fetal outcomes.</w:t>
            </w:r>
          </w:p>
          <w:p w:rsidR="00E66AD9" w:rsidRDefault="00886695">
            <w:pPr>
              <w:rPr>
                <w:szCs w:val="21"/>
              </w:rPr>
            </w:pPr>
            <w:r>
              <w:rPr>
                <w:b/>
                <w:szCs w:val="21"/>
              </w:rPr>
              <w:t>Design</w:t>
            </w:r>
            <w:r>
              <w:rPr>
                <w:szCs w:val="21"/>
              </w:rPr>
              <w:t>- Prospective study</w:t>
            </w:r>
          </w:p>
          <w:p w:rsidR="00E66AD9" w:rsidRDefault="00886695">
            <w:pPr>
              <w:rPr>
                <w:szCs w:val="21"/>
              </w:rPr>
            </w:pPr>
            <w:r>
              <w:rPr>
                <w:b/>
                <w:szCs w:val="21"/>
              </w:rPr>
              <w:t>Setting</w:t>
            </w:r>
            <w:r>
              <w:rPr>
                <w:szCs w:val="21"/>
              </w:rPr>
              <w:t xml:space="preserve">-LLRM Medical college, Meerut, Antenatal clinic from </w:t>
            </w:r>
            <w:r>
              <w:rPr>
                <w:szCs w:val="21"/>
                <w:highlight w:val="white"/>
              </w:rPr>
              <w:t>October 2022 to March 2024</w:t>
            </w:r>
          </w:p>
          <w:p w:rsidR="00E66AD9" w:rsidRDefault="00886695">
            <w:pPr>
              <w:rPr>
                <w:szCs w:val="21"/>
              </w:rPr>
            </w:pPr>
            <w:r>
              <w:rPr>
                <w:b/>
                <w:szCs w:val="21"/>
              </w:rPr>
              <w:t>Sample</w:t>
            </w:r>
            <w:r>
              <w:rPr>
                <w:szCs w:val="21"/>
              </w:rPr>
              <w:t>- A total of 344 low-risk singleton pregnant women.</w:t>
            </w:r>
          </w:p>
          <w:p w:rsidR="00E66AD9" w:rsidRDefault="00886695">
            <w:pPr>
              <w:rPr>
                <w:szCs w:val="21"/>
              </w:rPr>
            </w:pPr>
            <w:r>
              <w:rPr>
                <w:b/>
                <w:szCs w:val="21"/>
              </w:rPr>
              <w:t>Methods:</w:t>
            </w:r>
            <w:r>
              <w:rPr>
                <w:szCs w:val="21"/>
              </w:rPr>
              <w:t>. At 18–24 weeks, an ultrasound was used to locate the placenta in the above mentioned women. Two groups of women were created: group A had a central placenta, while group B had a lateral placenta. The study's end point  was the onset of preeclampsia according to the RCOG criteria.</w:t>
            </w:r>
          </w:p>
          <w:p w:rsidR="00E66AD9" w:rsidRDefault="00886695">
            <w:pPr>
              <w:rPr>
                <w:szCs w:val="21"/>
              </w:rPr>
            </w:pPr>
            <w:r>
              <w:rPr>
                <w:b/>
                <w:szCs w:val="21"/>
              </w:rPr>
              <w:t>Outcome</w:t>
            </w:r>
            <w:r>
              <w:rPr>
                <w:szCs w:val="21"/>
              </w:rPr>
              <w:t xml:space="preserve">-To </w:t>
            </w:r>
            <w:proofErr w:type="spellStart"/>
            <w:r>
              <w:rPr>
                <w:szCs w:val="21"/>
              </w:rPr>
              <w:t>analyse</w:t>
            </w:r>
            <w:proofErr w:type="spellEnd"/>
            <w:r>
              <w:rPr>
                <w:szCs w:val="21"/>
              </w:rPr>
              <w:t xml:space="preserve"> placental </w:t>
            </w:r>
            <w:proofErr w:type="spellStart"/>
            <w:r>
              <w:rPr>
                <w:szCs w:val="21"/>
              </w:rPr>
              <w:t>localisation</w:t>
            </w:r>
            <w:proofErr w:type="spellEnd"/>
            <w:r>
              <w:rPr>
                <w:szCs w:val="21"/>
              </w:rPr>
              <w:t xml:space="preserve"> as a predictor of preeclampsia development and its association with </w:t>
            </w:r>
            <w:proofErr w:type="spellStart"/>
            <w:r>
              <w:rPr>
                <w:szCs w:val="21"/>
              </w:rPr>
              <w:t>feto</w:t>
            </w:r>
            <w:proofErr w:type="spellEnd"/>
            <w:r>
              <w:rPr>
                <w:szCs w:val="21"/>
              </w:rPr>
              <w:t>-maternal outcomes.</w:t>
            </w:r>
          </w:p>
          <w:p w:rsidR="00E66AD9" w:rsidRDefault="00886695">
            <w:pPr>
              <w:rPr>
                <w:szCs w:val="21"/>
              </w:rPr>
            </w:pPr>
            <w:r>
              <w:rPr>
                <w:b/>
                <w:szCs w:val="21"/>
              </w:rPr>
              <w:t xml:space="preserve">Results: </w:t>
            </w:r>
            <w:r>
              <w:rPr>
                <w:szCs w:val="21"/>
              </w:rPr>
              <w:t>Of the 344 pregnant women included in the study, 210 (Group A) had a central placenta and 134 (Group B) had a lateral placenta. Overall, 52 women developed preeclampsia, giving an incidence of 15.12%. Among those who developed preeclampsia, 16 (30.8%) had a central placenta, whereas 36 (69.2%) had a lateral placenta. This difference was found to be statistically highly significant (p &lt; 0.01). When evaluated as a screening tool for predicting preeclampsia, placental laterality demonstrated a sensitivity of 69.23% and a specificity of 66.44%.</w:t>
            </w:r>
          </w:p>
          <w:p w:rsidR="00E66AD9" w:rsidRDefault="00886695">
            <w:pPr>
              <w:rPr>
                <w:szCs w:val="21"/>
              </w:rPr>
            </w:pPr>
            <w:r>
              <w:rPr>
                <w:b/>
                <w:szCs w:val="21"/>
              </w:rPr>
              <w:t>Conclusions:</w:t>
            </w:r>
            <w:r>
              <w:rPr>
                <w:szCs w:val="21"/>
              </w:rPr>
              <w:t xml:space="preserve"> The placental laterality as assessed by ultrasonography at 18–24 </w:t>
            </w:r>
            <w:proofErr w:type="gramStart"/>
            <w:r>
              <w:rPr>
                <w:szCs w:val="21"/>
              </w:rPr>
              <w:t>weeks  is</w:t>
            </w:r>
            <w:proofErr w:type="gramEnd"/>
            <w:r>
              <w:rPr>
                <w:szCs w:val="21"/>
              </w:rPr>
              <w:t xml:space="preserve"> a simple, reliable and cost effective predictive screening tool for the onset of preeclampsia. </w:t>
            </w:r>
          </w:p>
          <w:p w:rsidR="007716D1" w:rsidRDefault="007716D1">
            <w:pPr>
              <w:rPr>
                <w:szCs w:val="21"/>
              </w:rPr>
            </w:pPr>
          </w:p>
          <w:p w:rsidR="00E66AD9" w:rsidRDefault="00886695">
            <w:pPr>
              <w:rPr>
                <w:szCs w:val="21"/>
              </w:rPr>
            </w:pPr>
            <w:r>
              <w:rPr>
                <w:b/>
                <w:szCs w:val="21"/>
              </w:rPr>
              <w:t>Keywords:</w:t>
            </w:r>
            <w:r>
              <w:rPr>
                <w:szCs w:val="21"/>
              </w:rPr>
              <w:t xml:space="preserve"> Pre-eclampsia, Placental laterality, Ultrasonography, predictor</w:t>
            </w:r>
          </w:p>
        </w:tc>
      </w:tr>
    </w:tbl>
    <w:p w:rsidR="00E66AD9" w:rsidRDefault="00E66AD9"/>
    <w:p w:rsidR="00E66AD9" w:rsidRDefault="00886695">
      <w:pPr>
        <w:spacing w:line="240" w:lineRule="auto"/>
        <w:rPr>
          <w:b/>
          <w:szCs w:val="21"/>
        </w:rPr>
      </w:pPr>
      <w:r>
        <w:rPr>
          <w:b/>
          <w:szCs w:val="21"/>
        </w:rPr>
        <w:t xml:space="preserve">Introduction </w:t>
      </w:r>
    </w:p>
    <w:p w:rsidR="00E66AD9" w:rsidRDefault="0049060D">
      <w:pPr>
        <w:spacing w:before="237" w:line="362" w:lineRule="auto"/>
        <w:ind w:right="22"/>
        <w:rPr>
          <w:rFonts w:ascii="SamsungKhmerUI" w:cs="SamsungKhmerUI"/>
          <w:szCs w:val="21"/>
        </w:rPr>
      </w:pPr>
      <w:r>
        <w:rPr>
          <w:rFonts w:ascii="SamsungKhmerUI" w:cs="SamsungKhmerUI"/>
          <w:szCs w:val="21"/>
          <w:highlight w:val="white"/>
        </w:rPr>
        <w:t>“</w:t>
      </w:r>
      <w:r w:rsidR="00886695">
        <w:rPr>
          <w:rFonts w:ascii="SamsungKhmerUI" w:cs="SamsungKhmerUI"/>
          <w:szCs w:val="21"/>
          <w:highlight w:val="white"/>
        </w:rPr>
        <w:t>One of the commonest medical disorders during pregnancy is</w:t>
      </w:r>
      <w:r w:rsidR="00886695">
        <w:rPr>
          <w:rFonts w:ascii="SamsungKhmerUI" w:cs="SamsungKhmerUI"/>
          <w:szCs w:val="21"/>
        </w:rPr>
        <w:t xml:space="preserve"> </w:t>
      </w:r>
      <w:r w:rsidR="00886695">
        <w:rPr>
          <w:rFonts w:ascii="SamsungKhmerUI" w:cs="SamsungKhmerUI"/>
          <w:szCs w:val="21"/>
          <w:highlight w:val="white"/>
        </w:rPr>
        <w:t>preeclampsia,</w:t>
      </w:r>
      <w:r w:rsidR="00886695">
        <w:rPr>
          <w:rFonts w:ascii="SamsungKhmerUI" w:cs="SamsungKhmerUI"/>
          <w:szCs w:val="21"/>
        </w:rPr>
        <w:t xml:space="preserve"> </w:t>
      </w:r>
      <w:r w:rsidR="00886695">
        <w:rPr>
          <w:rFonts w:ascii="SamsungKhmerUI" w:cs="SamsungKhmerUI"/>
          <w:szCs w:val="21"/>
          <w:highlight w:val="white"/>
        </w:rPr>
        <w:t>which is a pregnancy-specific hypertensive syndrome.</w:t>
      </w:r>
      <w:r w:rsidR="00886695">
        <w:rPr>
          <w:rFonts w:ascii="SamsungKhmerUI" w:cs="SamsungKhmerUI"/>
          <w:szCs w:val="21"/>
        </w:rPr>
        <w:t xml:space="preserve"> </w:t>
      </w:r>
      <w:r w:rsidR="00886695">
        <w:rPr>
          <w:rFonts w:ascii="SamsungKhmerUI" w:cs="SamsungKhmerUI"/>
          <w:szCs w:val="21"/>
          <w:highlight w:val="white"/>
        </w:rPr>
        <w:t>Hypertensive disorders in pregnancy (HDP) are the spectrum of</w:t>
      </w:r>
      <w:r w:rsidR="00886695">
        <w:rPr>
          <w:rFonts w:ascii="SamsungKhmerUI" w:cs="SamsungKhmerUI"/>
          <w:szCs w:val="21"/>
        </w:rPr>
        <w:t xml:space="preserve"> </w:t>
      </w:r>
      <w:r w:rsidR="00886695">
        <w:rPr>
          <w:rFonts w:ascii="SamsungKhmerUI" w:cs="SamsungKhmerUI"/>
          <w:szCs w:val="21"/>
          <w:highlight w:val="white"/>
        </w:rPr>
        <w:t>disorders</w:t>
      </w:r>
      <w:r w:rsidR="00886695">
        <w:rPr>
          <w:rFonts w:ascii="SamsungKhmerUI" w:cs="SamsungKhmerUI"/>
          <w:szCs w:val="21"/>
        </w:rPr>
        <w:t xml:space="preserve"> </w:t>
      </w:r>
      <w:r w:rsidR="00886695">
        <w:rPr>
          <w:rFonts w:ascii="SamsungKhmerUI" w:cs="SamsungKhmerUI"/>
          <w:szCs w:val="21"/>
          <w:highlight w:val="white"/>
        </w:rPr>
        <w:t>ranging from already existing chronic hypertension in the</w:t>
      </w:r>
      <w:r w:rsidR="00886695">
        <w:rPr>
          <w:rFonts w:ascii="SamsungKhmerUI" w:cs="SamsungKhmerUI"/>
          <w:szCs w:val="21"/>
        </w:rPr>
        <w:t xml:space="preserve"> </w:t>
      </w:r>
      <w:r w:rsidR="00886695">
        <w:rPr>
          <w:rFonts w:ascii="SamsungKhmerUI" w:cs="SamsungKhmerUI"/>
          <w:szCs w:val="21"/>
          <w:highlight w:val="white"/>
        </w:rPr>
        <w:t>index pregnancy to</w:t>
      </w:r>
      <w:r w:rsidR="00886695">
        <w:rPr>
          <w:rFonts w:ascii="SamsungKhmerUI" w:cs="SamsungKhmerUI"/>
          <w:szCs w:val="21"/>
        </w:rPr>
        <w:t xml:space="preserve"> </w:t>
      </w:r>
      <w:r w:rsidR="00886695">
        <w:rPr>
          <w:rFonts w:ascii="SamsungKhmerUI" w:cs="SamsungKhmerUI"/>
          <w:szCs w:val="21"/>
          <w:highlight w:val="white"/>
        </w:rPr>
        <w:t>complex multisystem disorder like preeclampsia</w:t>
      </w:r>
      <w:r w:rsidR="00886695">
        <w:rPr>
          <w:rFonts w:ascii="SamsungKhmerUI" w:cs="SamsungKhmerUI"/>
          <w:szCs w:val="21"/>
        </w:rPr>
        <w:t xml:space="preserve"> </w:t>
      </w:r>
      <w:r w:rsidR="00886695">
        <w:rPr>
          <w:rFonts w:ascii="SamsungKhmerUI" w:cs="SamsungKhmerUI"/>
          <w:szCs w:val="21"/>
          <w:highlight w:val="white"/>
        </w:rPr>
        <w:t>leading to the complications like</w:t>
      </w:r>
      <w:r w:rsidR="00886695">
        <w:rPr>
          <w:rFonts w:ascii="SamsungKhmerUI" w:cs="SamsungKhmerUI"/>
          <w:szCs w:val="21"/>
        </w:rPr>
        <w:t xml:space="preserve"> </w:t>
      </w:r>
      <w:r w:rsidR="00886695">
        <w:rPr>
          <w:rFonts w:ascii="SamsungKhmerUI" w:cs="SamsungKhmerUI"/>
          <w:szCs w:val="21"/>
          <w:highlight w:val="white"/>
        </w:rPr>
        <w:t>eclampsia, HELLP syndrome, acute</w:t>
      </w:r>
      <w:r w:rsidR="00886695">
        <w:rPr>
          <w:rFonts w:ascii="SamsungKhmerUI" w:cs="SamsungKhmerUI"/>
          <w:szCs w:val="21"/>
        </w:rPr>
        <w:t xml:space="preserve"> </w:t>
      </w:r>
      <w:r w:rsidR="00886695">
        <w:rPr>
          <w:rFonts w:ascii="SamsungKhmerUI" w:cs="SamsungKhmerUI"/>
          <w:szCs w:val="21"/>
          <w:highlight w:val="white"/>
        </w:rPr>
        <w:t>renal failure, pulmonary edema, stroke and left</w:t>
      </w:r>
      <w:r w:rsidR="00886695">
        <w:rPr>
          <w:rFonts w:ascii="SamsungKhmerUI" w:cs="SamsungKhmerUI"/>
          <w:szCs w:val="21"/>
        </w:rPr>
        <w:t xml:space="preserve"> </w:t>
      </w:r>
      <w:r w:rsidR="00886695">
        <w:rPr>
          <w:rFonts w:ascii="SamsungKhmerUI" w:cs="SamsungKhmerUI"/>
          <w:szCs w:val="21"/>
          <w:highlight w:val="white"/>
        </w:rPr>
        <w:t>ventricular failure.</w:t>
      </w:r>
      <w:r w:rsidR="00886695">
        <w:rPr>
          <w:rFonts w:ascii="SamsungKhmerUI" w:cs="SamsungKhmerUI"/>
          <w:szCs w:val="21"/>
        </w:rPr>
        <w:t xml:space="preserve"> </w:t>
      </w:r>
      <w:r w:rsidR="00886695">
        <w:rPr>
          <w:rFonts w:ascii="SamsungKhmerUI" w:cs="SamsungKhmerUI"/>
          <w:szCs w:val="21"/>
          <w:highlight w:val="white"/>
        </w:rPr>
        <w:t>Pre-eclampsia is a multiorgan disorder, and usually recognized</w:t>
      </w:r>
      <w:r w:rsidR="00886695">
        <w:rPr>
          <w:rFonts w:ascii="SamsungKhmerUI" w:cs="SamsungKhmerUI"/>
          <w:szCs w:val="21"/>
        </w:rPr>
        <w:t xml:space="preserve"> </w:t>
      </w:r>
      <w:r w:rsidR="00886695">
        <w:rPr>
          <w:rFonts w:ascii="SamsungKhmerUI" w:cs="SamsungKhmerUI"/>
          <w:szCs w:val="21"/>
          <w:highlight w:val="white"/>
        </w:rPr>
        <w:t>by new</w:t>
      </w:r>
      <w:r w:rsidR="00886695">
        <w:rPr>
          <w:rFonts w:ascii="SamsungKhmerUI" w:cs="SamsungKhmerUI"/>
          <w:szCs w:val="21"/>
        </w:rPr>
        <w:t xml:space="preserve"> </w:t>
      </w:r>
      <w:r w:rsidR="00886695">
        <w:rPr>
          <w:rFonts w:ascii="SamsungKhmerUI" w:cs="SamsungKhmerUI"/>
          <w:szCs w:val="21"/>
          <w:highlight w:val="white"/>
        </w:rPr>
        <w:t>onset of hypertension and proteinuria appearing in the second half of</w:t>
      </w:r>
      <w:r w:rsidR="00886695">
        <w:rPr>
          <w:rFonts w:ascii="SamsungKhmerUI" w:cs="SamsungKhmerUI"/>
          <w:szCs w:val="21"/>
        </w:rPr>
        <w:t xml:space="preserve"> </w:t>
      </w:r>
      <w:r w:rsidR="00886695">
        <w:rPr>
          <w:rFonts w:ascii="SamsungKhmerUI" w:cs="SamsungKhmerUI"/>
          <w:szCs w:val="21"/>
          <w:highlight w:val="white"/>
        </w:rPr>
        <w:t>pregnancy.</w:t>
      </w:r>
      <w:r w:rsidR="00322156">
        <w:rPr>
          <w:rFonts w:ascii="SamsungKhmerUI" w:cs="SamsungKhmerUI"/>
          <w:szCs w:val="21"/>
          <w:highlight w:val="white"/>
        </w:rPr>
        <w:t xml:space="preserve"> </w:t>
      </w:r>
      <w:proofErr w:type="gramStart"/>
      <w:r w:rsidR="00886695">
        <w:rPr>
          <w:rFonts w:ascii="SamsungKhmerUI" w:eastAsia="Calibri" w:hAnsi="Calibri" w:cs="SamsungKhmerUI"/>
          <w:szCs w:val="21"/>
          <w:highlight w:val="white"/>
        </w:rPr>
        <w:t>About</w:t>
      </w:r>
      <w:proofErr w:type="gramEnd"/>
      <w:r w:rsidR="00886695">
        <w:rPr>
          <w:rFonts w:ascii="SamsungKhmerUI" w:eastAsia="Calibri" w:hAnsi="Calibri" w:cs="SamsungKhmerUI"/>
          <w:szCs w:val="21"/>
          <w:highlight w:val="white"/>
        </w:rPr>
        <w:t xml:space="preserve"> 5 to 10% of pregnancies are complicated by it, and it continues to be a</w:t>
      </w:r>
      <w:r w:rsidR="00886695">
        <w:rPr>
          <w:rFonts w:ascii="SamsungKhmerUI" w:eastAsia="Calibri" w:hAnsi="Calibri" w:cs="SamsungKhmerUI"/>
          <w:szCs w:val="21"/>
        </w:rPr>
        <w:t xml:space="preserve"> </w:t>
      </w:r>
      <w:r w:rsidR="00886695">
        <w:rPr>
          <w:rFonts w:ascii="SamsungKhmerUI" w:eastAsia="Calibri" w:hAnsi="Calibri" w:cs="SamsungKhmerUI"/>
          <w:szCs w:val="21"/>
          <w:highlight w:val="white"/>
        </w:rPr>
        <w:t>major cause of maternal and perinatal morbidity and mortality</w:t>
      </w:r>
      <w:r>
        <w:rPr>
          <w:rFonts w:ascii="SamsungKhmerUI" w:eastAsia="Calibri" w:hAnsi="Calibri" w:cs="SamsungKhmerUI"/>
          <w:szCs w:val="21"/>
          <w:highlight w:val="white"/>
        </w:rPr>
        <w:t>”</w:t>
      </w:r>
      <w:r w:rsidR="00886695">
        <w:rPr>
          <w:rFonts w:ascii="SamsungKhmerUI" w:eastAsia="Calibri" w:hAnsi="Calibri" w:cs="SamsungKhmerUI"/>
          <w:szCs w:val="21"/>
          <w:highlight w:val="white"/>
        </w:rPr>
        <w:t xml:space="preserve"> (</w:t>
      </w:r>
      <w:proofErr w:type="spellStart"/>
      <w:r w:rsidR="00886695">
        <w:rPr>
          <w:rFonts w:ascii="SamsungKhmerUI" w:eastAsia="Calibri" w:hAnsi="Calibri" w:cs="SamsungKhmerUI"/>
          <w:szCs w:val="21"/>
          <w:highlight w:val="white"/>
        </w:rPr>
        <w:t>Fogsi</w:t>
      </w:r>
      <w:proofErr w:type="spellEnd"/>
      <w:r w:rsidR="00886695">
        <w:rPr>
          <w:rFonts w:ascii="SamsungKhmerUI" w:eastAsia="Calibri" w:hAnsi="Calibri" w:cs="SamsungKhmerUI"/>
          <w:szCs w:val="21"/>
          <w:highlight w:val="white"/>
        </w:rPr>
        <w:t xml:space="preserve"> 2019).</w:t>
      </w:r>
      <w:r w:rsidR="00886695">
        <w:rPr>
          <w:rFonts w:ascii="SamsungKhmerUI" w:eastAsia="Calibri" w:hAnsi="Calibri" w:cs="SamsungKhmerUI"/>
          <w:szCs w:val="21"/>
          <w:highlight w:val="white"/>
          <w:vertAlign w:val="superscript"/>
        </w:rPr>
        <w:t xml:space="preserve"> </w:t>
      </w:r>
      <w:r w:rsidR="00886695">
        <w:rPr>
          <w:rFonts w:ascii="SamsungKhmerUI" w:eastAsia="Calibri" w:hAnsi="Calibri" w:cs="SamsungKhmerUI"/>
          <w:szCs w:val="21"/>
          <w:vertAlign w:val="superscript"/>
        </w:rPr>
        <w:t>[1</w:t>
      </w:r>
      <w:proofErr w:type="gramStart"/>
      <w:r w:rsidR="00886695">
        <w:rPr>
          <w:rFonts w:ascii="SamsungKhmerUI" w:eastAsia="Calibri" w:hAnsi="Calibri" w:cs="SamsungKhmerUI"/>
          <w:szCs w:val="21"/>
          <w:vertAlign w:val="superscript"/>
        </w:rPr>
        <w:t>]</w:t>
      </w:r>
      <w:r w:rsidR="00DE1BA5">
        <w:rPr>
          <w:rFonts w:ascii="SamsungKhmerUI" w:eastAsia="Calibri" w:hAnsi="Calibri" w:cs="SamsungKhmerUI"/>
          <w:szCs w:val="21"/>
          <w:vertAlign w:val="superscript"/>
        </w:rPr>
        <w:t xml:space="preserve"> </w:t>
      </w:r>
      <w:r w:rsidR="00886695">
        <w:rPr>
          <w:rFonts w:ascii="SamsungKhmerUI" w:eastAsia="Calibri" w:hAnsi="Calibri" w:cs="SamsungKhmerUI"/>
          <w:szCs w:val="21"/>
          <w:vertAlign w:val="superscript"/>
        </w:rPr>
        <w:t xml:space="preserve"> </w:t>
      </w:r>
      <w:r w:rsidR="00886695">
        <w:rPr>
          <w:rFonts w:ascii="SamsungKhmerUI" w:eastAsia="Calibri" w:hAnsi="Calibri" w:cs="SamsungKhmerUI"/>
          <w:szCs w:val="21"/>
          <w:highlight w:val="white"/>
        </w:rPr>
        <w:t>Over</w:t>
      </w:r>
      <w:proofErr w:type="gramEnd"/>
      <w:r w:rsidR="00886695">
        <w:rPr>
          <w:rFonts w:ascii="SamsungKhmerUI" w:eastAsia="Calibri" w:hAnsi="Calibri" w:cs="SamsungKhmerUI"/>
          <w:szCs w:val="21"/>
          <w:highlight w:val="white"/>
        </w:rPr>
        <w:t xml:space="preserve"> 50,000 maternal deaths and every third instance of obstetric morbidity globally are caused by preeclampsia. (JSAFOG 2021). </w:t>
      </w:r>
      <w:r w:rsidR="00886695">
        <w:rPr>
          <w:rFonts w:ascii="SamsungKhmerUI" w:eastAsia="Calibri" w:hAnsi="Calibri" w:cs="SamsungKhmerUI"/>
          <w:szCs w:val="21"/>
          <w:vertAlign w:val="superscript"/>
        </w:rPr>
        <w:t>[2]</w:t>
      </w:r>
      <w:r w:rsidR="00886695">
        <w:rPr>
          <w:rFonts w:ascii="SamsungKhmerUI" w:eastAsia="Calibri" w:hAnsi="Calibri" w:cs="SamsungKhmerUI"/>
          <w:szCs w:val="21"/>
        </w:rPr>
        <w:t xml:space="preserve"> </w:t>
      </w:r>
    </w:p>
    <w:p w:rsidR="00E66AD9" w:rsidRDefault="0049060D">
      <w:pPr>
        <w:spacing w:line="360" w:lineRule="auto"/>
        <w:rPr>
          <w:rFonts w:ascii="SamsungKhmerUI" w:cs="SamsungKhmerUI"/>
          <w:szCs w:val="21"/>
        </w:rPr>
      </w:pPr>
      <w:r>
        <w:rPr>
          <w:rFonts w:ascii="SamsungKhmerUI" w:eastAsia="Calibri" w:hAnsi="Calibri" w:cs="SamsungKhmerUI"/>
          <w:szCs w:val="21"/>
          <w:highlight w:val="white"/>
        </w:rPr>
        <w:t>“</w:t>
      </w:r>
      <w:r w:rsidR="00886695">
        <w:rPr>
          <w:rFonts w:ascii="SamsungKhmerUI" w:eastAsia="Calibri" w:hAnsi="Calibri" w:cs="SamsungKhmerUI"/>
          <w:szCs w:val="21"/>
          <w:highlight w:val="white"/>
        </w:rPr>
        <w:t>Among all maternal deaths 19 % deaths are due to hypertension in</w:t>
      </w:r>
      <w:r w:rsidR="00886695">
        <w:rPr>
          <w:rFonts w:ascii="SamsungKhmerUI" w:eastAsia="Calibri" w:hAnsi="Calibri" w:cs="SamsungKhmerUI"/>
          <w:szCs w:val="21"/>
        </w:rPr>
        <w:t xml:space="preserve"> </w:t>
      </w:r>
      <w:r w:rsidR="00886695">
        <w:rPr>
          <w:rFonts w:ascii="SamsungKhmerUI" w:eastAsia="Calibri" w:hAnsi="Calibri" w:cs="SamsungKhmerUI"/>
          <w:szCs w:val="21"/>
          <w:highlight w:val="white"/>
        </w:rPr>
        <w:t>pregnancy</w:t>
      </w:r>
      <w:r>
        <w:rPr>
          <w:rFonts w:ascii="SamsungKhmerUI" w:eastAsia="Calibri" w:hAnsi="Calibri" w:cs="SamsungKhmerUI"/>
          <w:szCs w:val="21"/>
          <w:highlight w:val="white"/>
        </w:rPr>
        <w:t>”</w:t>
      </w:r>
      <w:r w:rsidR="00886695">
        <w:rPr>
          <w:rFonts w:ascii="SamsungKhmerUI" w:eastAsia="Calibri" w:hAnsi="Calibri" w:cs="SamsungKhmerUI"/>
          <w:szCs w:val="21"/>
        </w:rPr>
        <w:t xml:space="preserve"> </w:t>
      </w:r>
      <w:r w:rsidR="00886695">
        <w:rPr>
          <w:rFonts w:ascii="SamsungKhmerUI" w:eastAsia="Calibri" w:hAnsi="Calibri" w:cs="SamsungKhmerUI"/>
          <w:szCs w:val="21"/>
          <w:highlight w:val="white"/>
        </w:rPr>
        <w:t xml:space="preserve">(WHO </w:t>
      </w:r>
      <w:proofErr w:type="gramStart"/>
      <w:r w:rsidR="00886695">
        <w:rPr>
          <w:rFonts w:ascii="SamsungKhmerUI" w:eastAsia="Calibri" w:hAnsi="Calibri" w:cs="SamsungKhmerUI"/>
          <w:szCs w:val="21"/>
          <w:highlight w:val="white"/>
        </w:rPr>
        <w:t>2014)</w:t>
      </w:r>
      <w:r w:rsidR="00886695">
        <w:rPr>
          <w:rFonts w:ascii="SamsungKhmerUI" w:eastAsia="Calibri" w:hAnsi="Calibri" w:cs="SamsungKhmerUI"/>
          <w:szCs w:val="21"/>
          <w:vertAlign w:val="superscript"/>
        </w:rPr>
        <w:t>[</w:t>
      </w:r>
      <w:proofErr w:type="gramEnd"/>
      <w:r w:rsidR="00886695">
        <w:rPr>
          <w:rFonts w:ascii="SamsungKhmerUI" w:eastAsia="Calibri" w:hAnsi="Calibri" w:cs="SamsungKhmerUI"/>
          <w:szCs w:val="21"/>
          <w:vertAlign w:val="superscript"/>
        </w:rPr>
        <w:t>3]</w:t>
      </w:r>
      <w:r w:rsidR="00886695">
        <w:rPr>
          <w:rFonts w:ascii="SamsungKhmerUI" w:eastAsia="Calibri" w:hAnsi="Calibri" w:cs="SamsungKhmerUI"/>
          <w:szCs w:val="21"/>
          <w:highlight w:val="white"/>
        </w:rPr>
        <w:t xml:space="preserve">.Also </w:t>
      </w:r>
      <w:r>
        <w:rPr>
          <w:rFonts w:ascii="SamsungKhmerUI" w:eastAsia="Calibri" w:hAnsi="Calibri" w:cs="SamsungKhmerUI"/>
          <w:szCs w:val="21"/>
          <w:highlight w:val="white"/>
        </w:rPr>
        <w:t>“</w:t>
      </w:r>
      <w:r w:rsidR="00886695">
        <w:rPr>
          <w:rFonts w:ascii="SamsungKhmerUI" w:eastAsia="Calibri" w:hAnsi="Calibri" w:cs="SamsungKhmerUI"/>
          <w:szCs w:val="21"/>
          <w:highlight w:val="white"/>
        </w:rPr>
        <w:t>Infants of women with severe pregnancy induced</w:t>
      </w:r>
      <w:r w:rsidR="00886695">
        <w:rPr>
          <w:rFonts w:ascii="SamsungKhmerUI" w:eastAsia="Calibri" w:hAnsi="Calibri" w:cs="SamsungKhmerUI"/>
          <w:szCs w:val="21"/>
        </w:rPr>
        <w:t xml:space="preserve"> </w:t>
      </w:r>
      <w:r w:rsidR="00886695">
        <w:rPr>
          <w:rFonts w:ascii="SamsungKhmerUI" w:eastAsia="Calibri" w:hAnsi="Calibri" w:cs="SamsungKhmerUI"/>
          <w:szCs w:val="21"/>
          <w:highlight w:val="white"/>
        </w:rPr>
        <w:t xml:space="preserve">hypertension have </w:t>
      </w:r>
      <w:proofErr w:type="spellStart"/>
      <w:r w:rsidR="00886695">
        <w:rPr>
          <w:rFonts w:ascii="SamsungKhmerUI" w:eastAsia="Calibri" w:hAnsi="Calibri" w:cs="SamsungKhmerUI"/>
          <w:szCs w:val="21"/>
          <w:highlight w:val="white"/>
        </w:rPr>
        <w:t>five fold</w:t>
      </w:r>
      <w:proofErr w:type="spellEnd"/>
      <w:r w:rsidR="00886695">
        <w:rPr>
          <w:rFonts w:ascii="SamsungKhmerUI" w:eastAsia="Calibri" w:hAnsi="Calibri" w:cs="SamsungKhmerUI"/>
          <w:szCs w:val="21"/>
          <w:highlight w:val="white"/>
        </w:rPr>
        <w:t xml:space="preserve"> increase in mortality compared to infants with</w:t>
      </w:r>
      <w:r w:rsidR="00886695">
        <w:rPr>
          <w:rFonts w:ascii="SamsungKhmerUI" w:eastAsia="Calibri" w:hAnsi="Calibri" w:cs="SamsungKhmerUI"/>
          <w:szCs w:val="21"/>
        </w:rPr>
        <w:t xml:space="preserve"> </w:t>
      </w:r>
      <w:r w:rsidR="00886695">
        <w:rPr>
          <w:rFonts w:ascii="SamsungKhmerUI" w:eastAsia="Calibri" w:hAnsi="Calibri" w:cs="SamsungKhmerUI"/>
          <w:szCs w:val="21"/>
          <w:highlight w:val="white"/>
        </w:rPr>
        <w:t>normotensive women</w:t>
      </w:r>
      <w:r>
        <w:rPr>
          <w:rFonts w:ascii="SamsungKhmerUI" w:eastAsia="Calibri" w:hAnsi="Calibri" w:cs="SamsungKhmerUI"/>
          <w:szCs w:val="21"/>
          <w:highlight w:val="white"/>
        </w:rPr>
        <w:t>”</w:t>
      </w:r>
      <w:r w:rsidR="00886695">
        <w:rPr>
          <w:rFonts w:ascii="SamsungKhmerUI" w:eastAsia="Calibri" w:hAnsi="Calibri" w:cs="SamsungKhmerUI"/>
          <w:szCs w:val="21"/>
          <w:highlight w:val="white"/>
        </w:rPr>
        <w:t>.</w:t>
      </w:r>
      <w:r w:rsidR="00886695">
        <w:rPr>
          <w:rFonts w:ascii="SamsungKhmerUI" w:eastAsia="Calibri" w:hAnsi="Calibri" w:cs="SamsungKhmerUI"/>
          <w:szCs w:val="21"/>
          <w:vertAlign w:val="superscript"/>
        </w:rPr>
        <w:t xml:space="preserve">[4] </w:t>
      </w:r>
      <w:r w:rsidR="00886695">
        <w:rPr>
          <w:rFonts w:ascii="SamsungKhmerUI" w:eastAsia="Calibri" w:hAnsi="Calibri" w:cs="SamsungKhmerUI"/>
          <w:szCs w:val="21"/>
          <w:highlight w:val="white"/>
        </w:rPr>
        <w:t>Hypertensive disorders complicating pregnancy</w:t>
      </w:r>
      <w:r w:rsidR="00886695">
        <w:rPr>
          <w:rFonts w:ascii="SamsungKhmerUI" w:eastAsia="Calibri" w:hAnsi="Calibri" w:cs="SamsungKhmerUI"/>
          <w:szCs w:val="21"/>
        </w:rPr>
        <w:t xml:space="preserve"> </w:t>
      </w:r>
      <w:r w:rsidR="00886695">
        <w:rPr>
          <w:rFonts w:ascii="SamsungKhmerUI" w:eastAsia="Calibri" w:hAnsi="Calibri" w:cs="SamsungKhmerUI"/>
          <w:szCs w:val="21"/>
          <w:highlight w:val="white"/>
        </w:rPr>
        <w:t>represent one facet of a complex disease process.</w:t>
      </w:r>
    </w:p>
    <w:p w:rsidR="00E66AD9" w:rsidRDefault="0049060D">
      <w:pPr>
        <w:spacing w:line="360" w:lineRule="auto"/>
        <w:rPr>
          <w:rFonts w:ascii="SamsungKhmerUI" w:cs="SamsungKhmerUI"/>
          <w:szCs w:val="21"/>
          <w:highlight w:val="white"/>
        </w:rPr>
      </w:pPr>
      <w:r>
        <w:rPr>
          <w:rFonts w:ascii="SamsungKhmerUI" w:cs="SamsungKhmerUI"/>
          <w:szCs w:val="21"/>
          <w:highlight w:val="white"/>
        </w:rPr>
        <w:lastRenderedPageBreak/>
        <w:t>“</w:t>
      </w:r>
      <w:r w:rsidR="00886695">
        <w:rPr>
          <w:rFonts w:ascii="SamsungKhmerUI" w:cs="SamsungKhmerUI"/>
          <w:szCs w:val="21"/>
          <w:highlight w:val="white"/>
        </w:rPr>
        <w:t>Gestational hypertension, preeclampsia, eclampsia majority of</w:t>
      </w:r>
      <w:r w:rsidR="00886695">
        <w:rPr>
          <w:rFonts w:ascii="SamsungKhmerUI" w:cs="SamsungKhmerUI"/>
          <w:szCs w:val="21"/>
        </w:rPr>
        <w:t xml:space="preserve"> </w:t>
      </w:r>
      <w:r w:rsidR="00886695">
        <w:rPr>
          <w:rFonts w:ascii="SamsungKhmerUI" w:cs="SamsungKhmerUI"/>
          <w:szCs w:val="21"/>
          <w:highlight w:val="white"/>
        </w:rPr>
        <w:t>these conditions are preventable.</w:t>
      </w:r>
      <w:r w:rsidR="00886695">
        <w:rPr>
          <w:rFonts w:ascii="SamsungKhmerUI" w:cs="SamsungKhmerUI"/>
          <w:szCs w:val="21"/>
        </w:rPr>
        <w:t xml:space="preserve"> </w:t>
      </w:r>
      <w:r w:rsidR="00886695">
        <w:rPr>
          <w:rFonts w:ascii="SamsungKhmerUI" w:cs="SamsungKhmerUI"/>
          <w:szCs w:val="21"/>
          <w:highlight w:val="white"/>
        </w:rPr>
        <w:t>This has led to the interest in screening</w:t>
      </w:r>
      <w:r w:rsidR="002A4D85">
        <w:rPr>
          <w:rFonts w:ascii="SamsungKhmerUI" w:cs="SamsungKhmerUI"/>
          <w:szCs w:val="21"/>
          <w:highlight w:val="white"/>
        </w:rPr>
        <w:t>”</w:t>
      </w:r>
      <w:r w:rsidR="002A4D85">
        <w:rPr>
          <w:rFonts w:ascii="SamsungKhmerUI" w:cs="SamsungKhmerUI"/>
          <w:szCs w:val="21"/>
          <w:highlight w:val="white"/>
        </w:rPr>
        <w:t xml:space="preserve"> </w:t>
      </w:r>
      <w:r w:rsidR="002A4D85" w:rsidRPr="002A4D85">
        <w:rPr>
          <w:rFonts w:ascii="SamsungKhmerUI" w:cs="SamsungKhmerUI"/>
          <w:szCs w:val="21"/>
          <w:highlight w:val="white"/>
          <w:vertAlign w:val="superscript"/>
        </w:rPr>
        <w:t>2</w:t>
      </w:r>
      <w:r w:rsidR="00886695">
        <w:rPr>
          <w:rFonts w:ascii="SamsungKhmerUI" w:cs="SamsungKhmerUI"/>
          <w:szCs w:val="21"/>
          <w:highlight w:val="white"/>
        </w:rPr>
        <w:t xml:space="preserve">. </w:t>
      </w:r>
      <w:r w:rsidR="002A4D85">
        <w:rPr>
          <w:rFonts w:ascii="SamsungKhmerUI" w:cs="SamsungKhmerUI"/>
          <w:szCs w:val="21"/>
          <w:highlight w:val="white"/>
        </w:rPr>
        <w:t>“</w:t>
      </w:r>
      <w:proofErr w:type="gramStart"/>
      <w:r w:rsidR="00886695">
        <w:rPr>
          <w:rFonts w:ascii="SamsungKhmerUI" w:cs="SamsungKhmerUI"/>
          <w:szCs w:val="21"/>
          <w:highlight w:val="white"/>
        </w:rPr>
        <w:t>Also</w:t>
      </w:r>
      <w:proofErr w:type="gramEnd"/>
      <w:r w:rsidR="00886695">
        <w:rPr>
          <w:rFonts w:ascii="SamsungKhmerUI" w:cs="SamsungKhmerUI"/>
          <w:szCs w:val="21"/>
          <w:highlight w:val="white"/>
        </w:rPr>
        <w:t xml:space="preserve"> none of the tests for the prediction of preeclampsia is considered as</w:t>
      </w:r>
      <w:r w:rsidR="00886695">
        <w:rPr>
          <w:rFonts w:ascii="SamsungKhmerUI" w:cs="SamsungKhmerUI"/>
          <w:szCs w:val="21"/>
        </w:rPr>
        <w:t xml:space="preserve"> </w:t>
      </w:r>
      <w:r w:rsidR="00886695">
        <w:rPr>
          <w:rFonts w:ascii="SamsungKhmerUI" w:cs="SamsungKhmerUI"/>
          <w:szCs w:val="21"/>
          <w:highlight w:val="white"/>
        </w:rPr>
        <w:t>a gold</w:t>
      </w:r>
      <w:r w:rsidR="00886695">
        <w:rPr>
          <w:rFonts w:ascii="SamsungKhmerUI" w:cs="SamsungKhmerUI"/>
          <w:szCs w:val="21"/>
        </w:rPr>
        <w:t xml:space="preserve"> </w:t>
      </w:r>
      <w:r w:rsidR="00886695">
        <w:rPr>
          <w:rFonts w:ascii="SamsungKhmerUI" w:cs="SamsungKhmerUI"/>
          <w:szCs w:val="21"/>
          <w:highlight w:val="white"/>
        </w:rPr>
        <w:t>standard. So the search for the ideal predictor is still on. Abnormal waveforms indicating inadequate uterine perfusion are</w:t>
      </w:r>
      <w:r w:rsidR="00886695">
        <w:rPr>
          <w:rFonts w:ascii="SamsungKhmerUI" w:cs="SamsungKhmerUI"/>
          <w:szCs w:val="21"/>
        </w:rPr>
        <w:t xml:space="preserve"> </w:t>
      </w:r>
      <w:r w:rsidR="00886695">
        <w:rPr>
          <w:rFonts w:ascii="SamsungKhmerUI" w:cs="SamsungKhmerUI"/>
          <w:szCs w:val="21"/>
          <w:highlight w:val="white"/>
        </w:rPr>
        <w:t>primarily the resu</w:t>
      </w:r>
      <w:bookmarkStart w:id="0" w:name="_GoBack"/>
      <w:bookmarkEnd w:id="0"/>
      <w:r w:rsidR="00886695">
        <w:rPr>
          <w:rFonts w:ascii="SamsungKhmerUI" w:cs="SamsungKhmerUI"/>
          <w:szCs w:val="21"/>
          <w:highlight w:val="white"/>
        </w:rPr>
        <w:t>lt of placental implantation when one uterine artery is</w:t>
      </w:r>
      <w:r w:rsidR="00886695">
        <w:rPr>
          <w:rFonts w:ascii="SamsungKhmerUI" w:cs="SamsungKhmerUI"/>
          <w:szCs w:val="21"/>
        </w:rPr>
        <w:t xml:space="preserve"> </w:t>
      </w:r>
      <w:r w:rsidR="00886695">
        <w:rPr>
          <w:rFonts w:ascii="SamsungKhmerUI" w:cs="SamsungKhmerUI"/>
          <w:szCs w:val="21"/>
          <w:highlight w:val="white"/>
        </w:rPr>
        <w:t>the primary source of the intervillous flow, according to noninvasive</w:t>
      </w:r>
      <w:r w:rsidR="00886695">
        <w:rPr>
          <w:rFonts w:ascii="SamsungKhmerUI" w:cs="SamsungKhmerUI"/>
          <w:szCs w:val="21"/>
        </w:rPr>
        <w:t xml:space="preserve"> </w:t>
      </w:r>
      <w:r w:rsidR="00886695">
        <w:rPr>
          <w:rFonts w:ascii="SamsungKhmerUI" w:cs="SamsungKhmerUI"/>
          <w:szCs w:val="21"/>
          <w:highlight w:val="white"/>
        </w:rPr>
        <w:t>doppler velocimetry studies of the uterine arteries in the second</w:t>
      </w:r>
      <w:r w:rsidR="00886695">
        <w:rPr>
          <w:rFonts w:ascii="SamsungKhmerUI" w:cs="SamsungKhmerUI"/>
          <w:szCs w:val="21"/>
        </w:rPr>
        <w:t xml:space="preserve"> </w:t>
      </w:r>
      <w:r w:rsidR="00886695">
        <w:rPr>
          <w:rFonts w:ascii="SamsungKhmerUI" w:cs="SamsungKhmerUI"/>
          <w:szCs w:val="21"/>
          <w:highlight w:val="white"/>
        </w:rPr>
        <w:t>trimester. In most cases, patients with aberrant flow velocity waveforms</w:t>
      </w:r>
      <w:r w:rsidR="00886695">
        <w:rPr>
          <w:rFonts w:ascii="SamsungKhmerUI" w:cs="SamsungKhmerUI"/>
          <w:szCs w:val="21"/>
        </w:rPr>
        <w:t xml:space="preserve"> </w:t>
      </w:r>
      <w:r w:rsidR="00886695">
        <w:rPr>
          <w:rFonts w:ascii="SamsungKhmerUI" w:cs="SamsungKhmerUI"/>
          <w:szCs w:val="21"/>
          <w:highlight w:val="white"/>
        </w:rPr>
        <w:t>have laterally placed placenta</w:t>
      </w:r>
      <w:r>
        <w:rPr>
          <w:rFonts w:ascii="SamsungKhmerUI" w:cs="SamsungKhmerUI"/>
          <w:szCs w:val="21"/>
          <w:highlight w:val="white"/>
        </w:rPr>
        <w:t>”</w:t>
      </w:r>
      <w:r w:rsidR="00886695">
        <w:rPr>
          <w:rFonts w:ascii="SamsungKhmerUI" w:cs="SamsungKhmerUI"/>
          <w:szCs w:val="21"/>
          <w:highlight w:val="white"/>
        </w:rPr>
        <w:t>.</w:t>
      </w:r>
      <w:r w:rsidR="00886695">
        <w:rPr>
          <w:rFonts w:ascii="SamsungKhmerUI" w:cs="SamsungKhmerUI"/>
          <w:szCs w:val="21"/>
          <w:highlight w:val="white"/>
          <w:vertAlign w:val="superscript"/>
        </w:rPr>
        <w:t>[5,6]</w:t>
      </w:r>
      <w:r w:rsidR="00886695">
        <w:rPr>
          <w:rFonts w:ascii="SamsungKhmerUI" w:cs="SamsungKhmerUI"/>
          <w:szCs w:val="21"/>
          <w:highlight w:val="white"/>
        </w:rPr>
        <w:t xml:space="preserve"> So abnormal placental localization and lack of migration is associated with increases vascular resistance in arcuate artery, especially when there is abnormal placental attachment.</w:t>
      </w:r>
      <w:r w:rsidR="00886695">
        <w:rPr>
          <w:rFonts w:ascii="SamsungKhmerUI" w:cs="SamsungKhmerUI"/>
          <w:szCs w:val="21"/>
          <w:highlight w:val="white"/>
          <w:vertAlign w:val="superscript"/>
        </w:rPr>
        <w:t>[7]</w:t>
      </w:r>
      <w:r w:rsidR="00886695">
        <w:rPr>
          <w:rFonts w:ascii="SamsungKhmerUI" w:cs="SamsungKhmerUI"/>
          <w:szCs w:val="21"/>
          <w:highlight w:val="white"/>
        </w:rPr>
        <w:t xml:space="preserve"> </w:t>
      </w:r>
      <w:r w:rsidR="00322156">
        <w:rPr>
          <w:rFonts w:ascii="SamsungKhmerUI" w:cs="SamsungKhmerUI"/>
          <w:szCs w:val="21"/>
          <w:highlight w:val="white"/>
        </w:rPr>
        <w:t>“</w:t>
      </w:r>
      <w:r w:rsidR="00886695">
        <w:rPr>
          <w:rFonts w:ascii="SamsungKhmerUI" w:cs="SamsungKhmerUI"/>
          <w:szCs w:val="21"/>
          <w:highlight w:val="white"/>
        </w:rPr>
        <w:t>In the</w:t>
      </w:r>
      <w:r w:rsidR="00886695">
        <w:rPr>
          <w:rFonts w:ascii="SamsungKhmerUI" w:cs="SamsungKhmerUI"/>
          <w:szCs w:val="21"/>
        </w:rPr>
        <w:t xml:space="preserve"> </w:t>
      </w:r>
      <w:r w:rsidR="00886695">
        <w:rPr>
          <w:rFonts w:ascii="SamsungKhmerUI" w:cs="SamsungKhmerUI"/>
          <w:szCs w:val="21"/>
          <w:highlight w:val="white"/>
        </w:rPr>
        <w:t>light of</w:t>
      </w:r>
      <w:r w:rsidR="00886695">
        <w:rPr>
          <w:rFonts w:ascii="SamsungKhmerUI" w:cs="SamsungKhmerUI"/>
          <w:szCs w:val="21"/>
        </w:rPr>
        <w:t xml:space="preserve"> </w:t>
      </w:r>
      <w:r w:rsidR="00886695">
        <w:rPr>
          <w:rFonts w:ascii="SamsungKhmerUI" w:cs="SamsungKhmerUI"/>
          <w:szCs w:val="21"/>
          <w:highlight w:val="white"/>
        </w:rPr>
        <w:t>these observations,</w:t>
      </w:r>
      <w:r w:rsidR="00886695">
        <w:rPr>
          <w:rFonts w:ascii="SamsungKhmerUI" w:cs="SamsungKhmerUI"/>
          <w:szCs w:val="21"/>
        </w:rPr>
        <w:t xml:space="preserve"> </w:t>
      </w:r>
      <w:r w:rsidR="00886695">
        <w:rPr>
          <w:rFonts w:ascii="SamsungKhmerUI" w:cs="SamsungKhmerUI"/>
          <w:szCs w:val="21"/>
          <w:highlight w:val="white"/>
        </w:rPr>
        <w:t>we designed a prospective study to find out whether</w:t>
      </w:r>
      <w:r w:rsidR="00886695">
        <w:rPr>
          <w:rFonts w:ascii="SamsungKhmerUI" w:cs="SamsungKhmerUI"/>
          <w:szCs w:val="21"/>
        </w:rPr>
        <w:t xml:space="preserve"> </w:t>
      </w:r>
      <w:r w:rsidR="00886695">
        <w:rPr>
          <w:rFonts w:ascii="SamsungKhmerUI" w:cs="SamsungKhmerUI"/>
          <w:szCs w:val="21"/>
          <w:highlight w:val="white"/>
        </w:rPr>
        <w:t>the lateral location</w:t>
      </w:r>
      <w:r w:rsidR="00886695">
        <w:rPr>
          <w:rFonts w:ascii="SamsungKhmerUI" w:cs="SamsungKhmerUI"/>
          <w:szCs w:val="21"/>
        </w:rPr>
        <w:t xml:space="preserve"> </w:t>
      </w:r>
      <w:r w:rsidR="00886695">
        <w:rPr>
          <w:rFonts w:ascii="SamsungKhmerUI" w:cs="SamsungKhmerUI"/>
          <w:szCs w:val="21"/>
          <w:highlight w:val="white"/>
        </w:rPr>
        <w:t>of placenta as seen by ultrasound at 18-24 weeks of gestation</w:t>
      </w:r>
      <w:r w:rsidR="00886695">
        <w:rPr>
          <w:rFonts w:ascii="SamsungKhmerUI" w:cs="SamsungKhmerUI"/>
          <w:szCs w:val="21"/>
        </w:rPr>
        <w:t xml:space="preserve"> </w:t>
      </w:r>
      <w:r w:rsidR="00886695">
        <w:rPr>
          <w:rFonts w:ascii="SamsungKhmerUI" w:cs="SamsungKhmerUI"/>
          <w:szCs w:val="21"/>
          <w:highlight w:val="white"/>
        </w:rPr>
        <w:t>can be used to predict the development of preeclampsia</w:t>
      </w:r>
      <w:r w:rsidR="00322156">
        <w:rPr>
          <w:rFonts w:ascii="SamsungKhmerUI" w:cs="SamsungKhmerUI"/>
          <w:szCs w:val="21"/>
          <w:highlight w:val="white"/>
        </w:rPr>
        <w:t>”</w:t>
      </w:r>
      <w:r w:rsidR="00322156" w:rsidRPr="00322156">
        <w:rPr>
          <w:rFonts w:ascii="SamsungKhmerUI" w:cs="SamsungKhmerUI"/>
          <w:szCs w:val="21"/>
          <w:highlight w:val="white"/>
          <w:vertAlign w:val="superscript"/>
        </w:rPr>
        <w:t>2</w:t>
      </w:r>
      <w:r w:rsidR="00886695">
        <w:rPr>
          <w:rFonts w:ascii="SamsungKhmerUI" w:cs="SamsungKhmerUI"/>
          <w:szCs w:val="21"/>
          <w:highlight w:val="white"/>
        </w:rPr>
        <w:t>. Good antenatal supervision in those who turned positive in this</w:t>
      </w:r>
      <w:r w:rsidR="00886695">
        <w:rPr>
          <w:rFonts w:ascii="SamsungKhmerUI" w:cs="SamsungKhmerUI"/>
          <w:szCs w:val="21"/>
        </w:rPr>
        <w:t xml:space="preserve"> </w:t>
      </w:r>
      <w:r w:rsidR="00886695">
        <w:rPr>
          <w:rFonts w:ascii="SamsungKhmerUI" w:cs="SamsungKhmerUI"/>
          <w:szCs w:val="21"/>
          <w:highlight w:val="white"/>
        </w:rPr>
        <w:t>screening test followed by appropriate treatment will definitely help</w:t>
      </w:r>
      <w:r w:rsidR="00886695">
        <w:rPr>
          <w:rFonts w:ascii="SamsungKhmerUI" w:cs="SamsungKhmerUI"/>
          <w:szCs w:val="21"/>
        </w:rPr>
        <w:t xml:space="preserve"> </w:t>
      </w:r>
      <w:r w:rsidR="00886695">
        <w:rPr>
          <w:rFonts w:ascii="SamsungKhmerUI" w:cs="SamsungKhmerUI"/>
          <w:szCs w:val="21"/>
          <w:highlight w:val="white"/>
        </w:rPr>
        <w:t>mother and</w:t>
      </w:r>
      <w:r w:rsidR="00886695">
        <w:rPr>
          <w:rFonts w:ascii="SamsungKhmerUI" w:cs="SamsungKhmerUI"/>
          <w:szCs w:val="21"/>
        </w:rPr>
        <w:t xml:space="preserve"> </w:t>
      </w:r>
      <w:r w:rsidR="00886695">
        <w:rPr>
          <w:rFonts w:ascii="SamsungKhmerUI" w:cs="SamsungKhmerUI"/>
          <w:szCs w:val="21"/>
          <w:highlight w:val="white"/>
        </w:rPr>
        <w:t>baby for a good outcome.</w:t>
      </w:r>
    </w:p>
    <w:p w:rsidR="00E66AD9" w:rsidRDefault="00E66AD9">
      <w:pPr>
        <w:spacing w:line="240" w:lineRule="auto"/>
        <w:rPr>
          <w:szCs w:val="21"/>
          <w:highlight w:val="white"/>
        </w:rPr>
      </w:pPr>
    </w:p>
    <w:p w:rsidR="00E66AD9" w:rsidRDefault="00E66AD9">
      <w:pPr>
        <w:rPr>
          <w:b/>
          <w:szCs w:val="21"/>
        </w:rPr>
      </w:pPr>
    </w:p>
    <w:p w:rsidR="00E66AD9" w:rsidRDefault="00886695">
      <w:pPr>
        <w:rPr>
          <w:rFonts w:ascii="SamsungKhmerUI" w:hAnsi="SamsungKhmerUI" w:cs="SamsungKhmerUI"/>
          <w:szCs w:val="21"/>
        </w:rPr>
      </w:pPr>
      <w:r>
        <w:rPr>
          <w:rFonts w:ascii="SamsungKhmerUI" w:hAnsi="SamsungKhmerUI" w:cs="SamsungKhmerUI"/>
          <w:b/>
          <w:szCs w:val="21"/>
        </w:rPr>
        <w:t>Methods</w:t>
      </w:r>
      <w:r>
        <w:rPr>
          <w:rFonts w:ascii="SamsungKhmerUI" w:hAnsi="SamsungKhmerUI" w:cs="SamsungKhmerUI"/>
          <w:szCs w:val="21"/>
        </w:rPr>
        <w:t>-</w:t>
      </w:r>
    </w:p>
    <w:p w:rsidR="00E66AD9" w:rsidRDefault="00886695">
      <w:pPr>
        <w:rPr>
          <w:rFonts w:ascii="SamsungKhmerUI" w:hAnsi="SamsungKhmerUI" w:cs="SamsungKhmerUI"/>
          <w:szCs w:val="21"/>
        </w:rPr>
      </w:pPr>
      <w:r>
        <w:rPr>
          <w:rFonts w:ascii="SamsungKhmerUI" w:hAnsi="SamsungKhmerUI" w:cs="SamsungKhmerUI"/>
          <w:szCs w:val="21"/>
        </w:rPr>
        <w:t>A total of 344 pregnant women who attended the antenatal clinic in the Obstetrics and Gynecology department of S.V.B.P. Hospital between October 2022 and March 2024 were recruited in accordance with inclusion/exclusion criteria after receiving approval from the College Ethical Committee.</w:t>
      </w:r>
    </w:p>
    <w:p w:rsidR="00E66AD9" w:rsidRDefault="00886695">
      <w:pPr>
        <w:rPr>
          <w:rFonts w:ascii="SamsungKhmerUI" w:hAnsi="SamsungKhmerUI" w:cs="SamsungKhmerUI"/>
          <w:b/>
          <w:szCs w:val="21"/>
        </w:rPr>
      </w:pPr>
      <w:r>
        <w:rPr>
          <w:rFonts w:ascii="SamsungKhmerUI" w:hAnsi="SamsungKhmerUI" w:cs="SamsungKhmerUI"/>
          <w:b/>
          <w:szCs w:val="21"/>
          <w:highlight w:val="white"/>
        </w:rPr>
        <w:t>Inclusion Criteria</w:t>
      </w:r>
      <w:r>
        <w:rPr>
          <w:rFonts w:ascii="SamsungKhmerUI" w:hAnsi="SamsungKhmerUI" w:cs="SamsungKhmerUI"/>
          <w:b/>
          <w:szCs w:val="21"/>
        </w:rPr>
        <w:t xml:space="preserve"> </w:t>
      </w:r>
    </w:p>
    <w:p w:rsidR="00E66AD9" w:rsidRDefault="00886695">
      <w:pPr>
        <w:rPr>
          <w:rFonts w:ascii="SamsungKhmerUI" w:hAnsi="SamsungKhmerUI" w:cs="SamsungKhmerUI"/>
          <w:szCs w:val="21"/>
        </w:rPr>
      </w:pPr>
      <w:r>
        <w:rPr>
          <w:rFonts w:ascii="SamsungKhmerUI" w:hAnsi="SamsungKhmerUI" w:cs="SamsungKhmerUI"/>
          <w:szCs w:val="21"/>
          <w:highlight w:val="white"/>
        </w:rPr>
        <w:t>1. ANC patients (18-24 weeks) with normal blood pressure in the 1st</w:t>
      </w:r>
      <w:r>
        <w:rPr>
          <w:rFonts w:ascii="SamsungKhmerUI" w:hAnsi="SamsungKhmerUI" w:cs="SamsungKhmerUI"/>
          <w:szCs w:val="21"/>
        </w:rPr>
        <w:t xml:space="preserve"> </w:t>
      </w:r>
      <w:proofErr w:type="spellStart"/>
      <w:r>
        <w:rPr>
          <w:rFonts w:ascii="SamsungKhmerUI" w:hAnsi="SamsungKhmerUI" w:cs="SamsungKhmerUI"/>
          <w:szCs w:val="21"/>
          <w:highlight w:val="white"/>
        </w:rPr>
        <w:t>trimester,Singleton</w:t>
      </w:r>
      <w:proofErr w:type="spellEnd"/>
      <w:r>
        <w:rPr>
          <w:rFonts w:ascii="SamsungKhmerUI" w:hAnsi="SamsungKhmerUI" w:cs="SamsungKhmerUI"/>
          <w:szCs w:val="21"/>
          <w:highlight w:val="white"/>
        </w:rPr>
        <w:t xml:space="preserve"> Pregnancy</w:t>
      </w:r>
      <w:r>
        <w:rPr>
          <w:rFonts w:ascii="SamsungKhmerUI" w:hAnsi="SamsungKhmerUI" w:cs="SamsungKhmerUI"/>
          <w:szCs w:val="21"/>
        </w:rPr>
        <w:t xml:space="preserve"> </w:t>
      </w:r>
    </w:p>
    <w:p w:rsidR="00E66AD9" w:rsidRDefault="00886695">
      <w:pPr>
        <w:rPr>
          <w:rFonts w:ascii="SamsungKhmerUI" w:hAnsi="SamsungKhmerUI" w:cs="SamsungKhmerUI"/>
          <w:szCs w:val="21"/>
        </w:rPr>
      </w:pPr>
      <w:r>
        <w:rPr>
          <w:rFonts w:ascii="SamsungKhmerUI" w:hAnsi="SamsungKhmerUI" w:cs="SamsungKhmerUI"/>
          <w:b/>
          <w:szCs w:val="21"/>
          <w:highlight w:val="white"/>
        </w:rPr>
        <w:t>Exclusion Criteria</w:t>
      </w:r>
      <w:r>
        <w:rPr>
          <w:rFonts w:ascii="SamsungKhmerUI" w:hAnsi="SamsungKhmerUI" w:cs="SamsungKhmerUI"/>
          <w:b/>
          <w:szCs w:val="21"/>
        </w:rPr>
        <w:t xml:space="preserve"> </w:t>
      </w:r>
    </w:p>
    <w:p w:rsidR="00E66AD9" w:rsidRDefault="00886695">
      <w:pPr>
        <w:rPr>
          <w:rFonts w:ascii="SamsungKhmerUI" w:hAnsi="SamsungKhmerUI" w:cs="SamsungKhmerUI"/>
          <w:szCs w:val="21"/>
        </w:rPr>
      </w:pPr>
      <w:r>
        <w:rPr>
          <w:rFonts w:ascii="SamsungKhmerUI" w:hAnsi="SamsungKhmerUI" w:cs="SamsungKhmerUI"/>
          <w:szCs w:val="21"/>
        </w:rPr>
        <w:t xml:space="preserve">1. Pregnant women with chronic hypertension, multiple pregnancy, uterine anomalies, previous cesarean </w:t>
      </w:r>
      <w:proofErr w:type="spellStart"/>
      <w:r>
        <w:rPr>
          <w:rFonts w:ascii="SamsungKhmerUI" w:hAnsi="SamsungKhmerUI" w:cs="SamsungKhmerUI"/>
          <w:szCs w:val="21"/>
        </w:rPr>
        <w:t>section,</w:t>
      </w:r>
      <w:r>
        <w:rPr>
          <w:rFonts w:ascii="SamsungKhmerUI" w:hAnsi="SamsungKhmerUI" w:cs="SamsungKhmerUI"/>
          <w:szCs w:val="21"/>
          <w:highlight w:val="white"/>
        </w:rPr>
        <w:t>Thyrotoxicosis</w:t>
      </w:r>
      <w:proofErr w:type="spellEnd"/>
      <w:r>
        <w:rPr>
          <w:rFonts w:ascii="SamsungKhmerUI" w:hAnsi="SamsungKhmerUI" w:cs="SamsungKhmerUI"/>
          <w:szCs w:val="21"/>
        </w:rPr>
        <w:t xml:space="preserve"> , </w:t>
      </w:r>
      <w:r>
        <w:rPr>
          <w:rFonts w:ascii="SamsungKhmerUI" w:hAnsi="SamsungKhmerUI" w:cs="SamsungKhmerUI"/>
          <w:szCs w:val="21"/>
          <w:highlight w:val="white"/>
        </w:rPr>
        <w:t>Severe anemia</w:t>
      </w:r>
      <w:r>
        <w:rPr>
          <w:rFonts w:ascii="SamsungKhmerUI" w:hAnsi="SamsungKhmerUI" w:cs="SamsungKhmerUI"/>
          <w:szCs w:val="21"/>
        </w:rPr>
        <w:t xml:space="preserve"> ,</w:t>
      </w:r>
      <w:r>
        <w:rPr>
          <w:rFonts w:ascii="SamsungKhmerUI" w:hAnsi="SamsungKhmerUI" w:cs="SamsungKhmerUI"/>
          <w:szCs w:val="21"/>
          <w:highlight w:val="white"/>
        </w:rPr>
        <w:t>Vascular diseases</w:t>
      </w:r>
      <w:r>
        <w:rPr>
          <w:rFonts w:ascii="SamsungKhmerUI" w:hAnsi="SamsungKhmerUI" w:cs="SamsungKhmerUI"/>
          <w:szCs w:val="21"/>
        </w:rPr>
        <w:t>,</w:t>
      </w:r>
      <w:r>
        <w:rPr>
          <w:rFonts w:ascii="SamsungKhmerUI" w:hAnsi="SamsungKhmerUI" w:cs="SamsungKhmerUI"/>
          <w:szCs w:val="21"/>
          <w:highlight w:val="white"/>
        </w:rPr>
        <w:t xml:space="preserve"> diabetes </w:t>
      </w:r>
      <w:proofErr w:type="spellStart"/>
      <w:r>
        <w:rPr>
          <w:rFonts w:ascii="SamsungKhmerUI" w:hAnsi="SamsungKhmerUI" w:cs="SamsungKhmerUI"/>
          <w:szCs w:val="21"/>
          <w:highlight w:val="white"/>
        </w:rPr>
        <w:t>mellitus</w:t>
      </w:r>
      <w:r>
        <w:rPr>
          <w:rFonts w:ascii="SamsungKhmerUI" w:hAnsi="SamsungKhmerUI" w:cs="SamsungKhmerUI"/>
          <w:szCs w:val="21"/>
        </w:rPr>
        <w:t>,</w:t>
      </w:r>
      <w:r>
        <w:rPr>
          <w:rFonts w:ascii="SamsungKhmerUI" w:hAnsi="SamsungKhmerUI" w:cs="SamsungKhmerUI"/>
          <w:szCs w:val="21"/>
          <w:highlight w:val="white"/>
        </w:rPr>
        <w:t>Renal</w:t>
      </w:r>
      <w:proofErr w:type="spellEnd"/>
      <w:r>
        <w:rPr>
          <w:rFonts w:ascii="SamsungKhmerUI" w:hAnsi="SamsungKhmerUI" w:cs="SamsungKhmerUI"/>
          <w:szCs w:val="21"/>
          <w:highlight w:val="white"/>
        </w:rPr>
        <w:t xml:space="preserve"> </w:t>
      </w:r>
      <w:proofErr w:type="spellStart"/>
      <w:r>
        <w:rPr>
          <w:rFonts w:ascii="SamsungKhmerUI" w:hAnsi="SamsungKhmerUI" w:cs="SamsungKhmerUI"/>
          <w:szCs w:val="21"/>
          <w:highlight w:val="white"/>
        </w:rPr>
        <w:t>diseases</w:t>
      </w:r>
      <w:r>
        <w:rPr>
          <w:rFonts w:ascii="SamsungKhmerUI" w:hAnsi="SamsungKhmerUI" w:cs="SamsungKhmerUI"/>
          <w:szCs w:val="21"/>
        </w:rPr>
        <w:t>,</w:t>
      </w:r>
      <w:r>
        <w:rPr>
          <w:rFonts w:ascii="SamsungKhmerUI" w:hAnsi="SamsungKhmerUI" w:cs="SamsungKhmerUI"/>
          <w:szCs w:val="21"/>
          <w:highlight w:val="white"/>
        </w:rPr>
        <w:t>Epilepsy</w:t>
      </w:r>
      <w:r>
        <w:rPr>
          <w:rFonts w:ascii="SamsungKhmerUI" w:hAnsi="SamsungKhmerUI" w:cs="SamsungKhmerUI"/>
          <w:szCs w:val="21"/>
        </w:rPr>
        <w:t>,</w:t>
      </w:r>
      <w:r>
        <w:rPr>
          <w:rFonts w:ascii="SamsungKhmerUI" w:hAnsi="SamsungKhmerUI" w:cs="SamsungKhmerUI"/>
          <w:szCs w:val="21"/>
          <w:highlight w:val="white"/>
        </w:rPr>
        <w:t>Immunoinflammatory</w:t>
      </w:r>
      <w:proofErr w:type="spellEnd"/>
      <w:r>
        <w:rPr>
          <w:rFonts w:ascii="SamsungKhmerUI" w:hAnsi="SamsungKhmerUI" w:cs="SamsungKhmerUI"/>
          <w:szCs w:val="21"/>
          <w:highlight w:val="white"/>
        </w:rPr>
        <w:t xml:space="preserve"> diseases</w:t>
      </w:r>
      <w:r>
        <w:rPr>
          <w:rFonts w:ascii="SamsungKhmerUI" w:hAnsi="SamsungKhmerUI" w:cs="SamsungKhmerUI"/>
          <w:szCs w:val="21"/>
        </w:rPr>
        <w:t xml:space="preserve">, </w:t>
      </w:r>
      <w:r>
        <w:rPr>
          <w:rFonts w:ascii="SamsungKhmerUI" w:hAnsi="SamsungKhmerUI" w:cs="SamsungKhmerUI"/>
          <w:szCs w:val="21"/>
          <w:highlight w:val="white"/>
        </w:rPr>
        <w:t>Any cardiovascular disorders</w:t>
      </w:r>
    </w:p>
    <w:p w:rsidR="00E66AD9" w:rsidRDefault="00886695">
      <w:pPr>
        <w:rPr>
          <w:rFonts w:ascii="SamsungKhmerUI" w:hAnsi="SamsungKhmerUI" w:cs="SamsungKhmerUI"/>
          <w:szCs w:val="21"/>
        </w:rPr>
      </w:pPr>
      <w:r>
        <w:rPr>
          <w:rFonts w:ascii="SamsungKhmerUI" w:hAnsi="SamsungKhmerUI" w:cs="SamsungKhmerUI"/>
          <w:szCs w:val="21"/>
        </w:rPr>
        <w:t>2. Women not willing for follow-up.</w:t>
      </w:r>
    </w:p>
    <w:p w:rsidR="00E66AD9" w:rsidRDefault="00886695">
      <w:pPr>
        <w:widowControl w:val="0"/>
        <w:spacing w:before="115" w:line="240" w:lineRule="auto"/>
        <w:ind w:right="38"/>
        <w:rPr>
          <w:rFonts w:ascii="SamsungKhmerUI" w:hAnsi="SamsungKhmerUI" w:cs="SamsungKhmerUI"/>
          <w:szCs w:val="21"/>
          <w:highlight w:val="white"/>
        </w:rPr>
      </w:pPr>
      <w:r>
        <w:rPr>
          <w:rFonts w:ascii="SamsungKhmerUI" w:hAnsi="SamsungKhmerUI" w:cs="SamsungKhmerUI"/>
          <w:szCs w:val="21"/>
          <w:highlight w:val="white"/>
        </w:rPr>
        <w:t>Detailed history was obtained and thorough general ( weight, blood pressure, vital signs) systemic and</w:t>
      </w:r>
      <w:r>
        <w:rPr>
          <w:rFonts w:ascii="SamsungKhmerUI" w:hAnsi="SamsungKhmerUI" w:cs="SamsungKhmerUI"/>
          <w:szCs w:val="21"/>
        </w:rPr>
        <w:t xml:space="preserve"> </w:t>
      </w:r>
      <w:r>
        <w:rPr>
          <w:rFonts w:ascii="SamsungKhmerUI" w:hAnsi="SamsungKhmerUI" w:cs="SamsungKhmerUI"/>
          <w:szCs w:val="21"/>
          <w:highlight w:val="white"/>
        </w:rPr>
        <w:t>obstetric</w:t>
      </w:r>
      <w:r>
        <w:rPr>
          <w:rFonts w:ascii="SamsungKhmerUI" w:hAnsi="SamsungKhmerUI" w:cs="SamsungKhmerUI"/>
          <w:szCs w:val="21"/>
        </w:rPr>
        <w:t xml:space="preserve"> </w:t>
      </w:r>
      <w:r>
        <w:rPr>
          <w:rFonts w:ascii="SamsungKhmerUI" w:hAnsi="SamsungKhmerUI" w:cs="SamsungKhmerUI"/>
          <w:szCs w:val="21"/>
          <w:highlight w:val="white"/>
        </w:rPr>
        <w:t>examinations were done. Routine investigations were done—including CBC, ABO Rh type, ,S.TSH, HIV, HCV antibody, VDRL, HBsAg, post glucose blood sugar,</w:t>
      </w:r>
      <w:r>
        <w:rPr>
          <w:rFonts w:ascii="SamsungKhmerUI" w:hAnsi="SamsungKhmerUI" w:cs="SamsungKhmerUI"/>
          <w:szCs w:val="21"/>
        </w:rPr>
        <w:t xml:space="preserve"> </w:t>
      </w:r>
      <w:r>
        <w:rPr>
          <w:rFonts w:ascii="SamsungKhmerUI" w:hAnsi="SamsungKhmerUI" w:cs="SamsungKhmerUI"/>
          <w:szCs w:val="21"/>
          <w:highlight w:val="white"/>
        </w:rPr>
        <w:t>urine</w:t>
      </w:r>
      <w:r>
        <w:rPr>
          <w:rFonts w:ascii="SamsungKhmerUI" w:hAnsi="SamsungKhmerUI" w:cs="SamsungKhmerUI"/>
          <w:szCs w:val="21"/>
        </w:rPr>
        <w:t xml:space="preserve"> </w:t>
      </w:r>
      <w:r>
        <w:rPr>
          <w:rFonts w:ascii="SamsungKhmerUI" w:hAnsi="SamsungKhmerUI" w:cs="SamsungKhmerUI"/>
          <w:szCs w:val="21"/>
          <w:highlight w:val="white"/>
        </w:rPr>
        <w:t>routine, and microscopy—and the results were noted.</w:t>
      </w:r>
    </w:p>
    <w:p w:rsidR="00E66AD9" w:rsidRDefault="000A4BBB">
      <w:pPr>
        <w:widowControl w:val="0"/>
        <w:spacing w:before="115" w:line="240" w:lineRule="auto"/>
        <w:ind w:right="38"/>
        <w:rPr>
          <w:rFonts w:ascii="SamsungKhmerUI" w:hAnsi="SamsungKhmerUI" w:cs="SamsungKhmerUI"/>
          <w:szCs w:val="21"/>
          <w:highlight w:val="white"/>
        </w:rPr>
      </w:pPr>
      <w:r w:rsidRPr="000A4BBB">
        <w:rPr>
          <w:rFonts w:ascii="SamsungKhmerUI" w:hAnsi="SamsungKhmerUI" w:cs="SamsungKhmerUI"/>
          <w:szCs w:val="21"/>
        </w:rPr>
        <w:t>Placental location was assessed by ultrasound between 18 and 24 weeks of gestation in all enrolled participants. A placenta was categorized as central when it was distributed equally on both sides of the uterine midline, regardless of whether it was anterior, posterior, or fundal in position. If at least 75% of the placental mass lay to one side of the midline, it was classified as right or left unilateral.</w:t>
      </w:r>
      <w:r>
        <w:rPr>
          <w:rFonts w:ascii="SamsungKhmerUI" w:hAnsi="SamsungKhmerUI" w:cs="SamsungKhmerUI"/>
          <w:szCs w:val="21"/>
        </w:rPr>
        <w:t xml:space="preserve"> </w:t>
      </w:r>
      <w:r w:rsidR="00886695">
        <w:rPr>
          <w:rFonts w:ascii="SamsungKhmerUI" w:hAnsi="SamsungKhmerUI" w:cs="SamsungKhmerUI"/>
          <w:szCs w:val="21"/>
        </w:rPr>
        <w:t xml:space="preserve">All women with central and lateral placentas were followed until preeclampsia developed in accordance with RCOG guidelines, and then until delivery to determine the maternal and neonatal </w:t>
      </w:r>
      <w:proofErr w:type="spellStart"/>
      <w:proofErr w:type="gramStart"/>
      <w:r w:rsidR="00886695">
        <w:rPr>
          <w:rFonts w:ascii="SamsungKhmerUI" w:hAnsi="SamsungKhmerUI" w:cs="SamsungKhmerUI"/>
          <w:szCs w:val="21"/>
        </w:rPr>
        <w:t>outcome.</w:t>
      </w:r>
      <w:r w:rsidR="00886695">
        <w:rPr>
          <w:rFonts w:ascii="SamsungKhmerUI" w:hAnsi="SamsungKhmerUI" w:cs="SamsungKhmerUI"/>
          <w:color w:val="1F1F1F"/>
          <w:szCs w:val="21"/>
        </w:rPr>
        <w:t>The</w:t>
      </w:r>
      <w:proofErr w:type="spellEnd"/>
      <w:proofErr w:type="gramEnd"/>
      <w:r w:rsidR="00886695">
        <w:rPr>
          <w:rFonts w:ascii="SamsungKhmerUI" w:hAnsi="SamsungKhmerUI" w:cs="SamsungKhmerUI"/>
          <w:color w:val="1F1F1F"/>
          <w:szCs w:val="21"/>
        </w:rPr>
        <w:t xml:space="preserve"> study </w:t>
      </w:r>
      <w:proofErr w:type="spellStart"/>
      <w:r w:rsidR="00886695">
        <w:rPr>
          <w:rFonts w:ascii="SamsungKhmerUI" w:hAnsi="SamsungKhmerUI" w:cs="SamsungKhmerUI"/>
          <w:color w:val="1F1F1F"/>
          <w:szCs w:val="21"/>
        </w:rPr>
        <w:t>utilised</w:t>
      </w:r>
      <w:proofErr w:type="spellEnd"/>
      <w:r w:rsidR="00886695">
        <w:rPr>
          <w:rFonts w:ascii="SamsungKhmerUI" w:hAnsi="SamsungKhmerUI" w:cs="SamsungKhmerUI"/>
          <w:color w:val="1F1F1F"/>
          <w:szCs w:val="21"/>
        </w:rPr>
        <w:t xml:space="preserve"> the SPSS 18.0 software package to </w:t>
      </w:r>
      <w:proofErr w:type="spellStart"/>
      <w:r w:rsidR="00886695">
        <w:rPr>
          <w:rFonts w:ascii="SamsungKhmerUI" w:hAnsi="SamsungKhmerUI" w:cs="SamsungKhmerUI"/>
          <w:color w:val="1F1F1F"/>
          <w:szCs w:val="21"/>
        </w:rPr>
        <w:t>analyse</w:t>
      </w:r>
      <w:proofErr w:type="spellEnd"/>
      <w:r w:rsidR="00886695">
        <w:rPr>
          <w:rFonts w:ascii="SamsungKhmerUI" w:hAnsi="SamsungKhmerUI" w:cs="SamsungKhmerUI"/>
          <w:color w:val="1F1F1F"/>
          <w:szCs w:val="21"/>
        </w:rPr>
        <w:t xml:space="preserve"> the data. </w:t>
      </w:r>
      <w:r w:rsidR="00886695">
        <w:rPr>
          <w:rFonts w:ascii="SamsungKhmerUI" w:hAnsi="SamsungKhmerUI" w:cs="SamsungKhmerUI"/>
          <w:szCs w:val="21"/>
          <w:highlight w:val="white"/>
        </w:rPr>
        <w:t>p value &lt; 0.05 is considered significant.  Sensitivity, specificity, positive predictive value, negative predictive value were found.</w:t>
      </w:r>
    </w:p>
    <w:p w:rsidR="00E66AD9" w:rsidRDefault="00886695">
      <w:pPr>
        <w:widowControl w:val="0"/>
        <w:spacing w:before="115" w:line="240" w:lineRule="auto"/>
        <w:ind w:right="38"/>
        <w:jc w:val="center"/>
        <w:rPr>
          <w:szCs w:val="21"/>
          <w:highlight w:val="white"/>
        </w:rPr>
      </w:pPr>
      <w:r>
        <w:rPr>
          <w:noProof/>
        </w:rPr>
        <w:lastRenderedPageBreak/>
        <w:drawing>
          <wp:inline distT="0" distB="0" distL="114300" distR="114300">
            <wp:extent cx="3112816" cy="2308769"/>
            <wp:effectExtent l="0" t="0" r="0" b="0"/>
            <wp:docPr id="1026"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a:blip r:embed="rId6" cstate="print"/>
                    <a:srcRect/>
                    <a:stretch/>
                  </pic:blipFill>
                  <pic:spPr>
                    <a:xfrm>
                      <a:off x="0" y="0"/>
                      <a:ext cx="3112816" cy="2308769"/>
                    </a:xfrm>
                    <a:prstGeom prst="rect">
                      <a:avLst/>
                    </a:prstGeom>
                  </pic:spPr>
                </pic:pic>
              </a:graphicData>
            </a:graphic>
          </wp:inline>
        </w:drawing>
      </w:r>
      <w:r>
        <w:rPr>
          <w:noProof/>
        </w:rPr>
        <w:drawing>
          <wp:inline distT="0" distB="0" distL="114300" distR="114300">
            <wp:extent cx="3274496" cy="246969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7" cstate="print"/>
                    <a:srcRect/>
                    <a:stretch/>
                  </pic:blipFill>
                  <pic:spPr>
                    <a:xfrm>
                      <a:off x="0" y="0"/>
                      <a:ext cx="3274496" cy="2469690"/>
                    </a:xfrm>
                    <a:prstGeom prst="rect">
                      <a:avLst/>
                    </a:prstGeom>
                  </pic:spPr>
                </pic:pic>
              </a:graphicData>
            </a:graphic>
          </wp:inline>
        </w:drawing>
      </w:r>
    </w:p>
    <w:p w:rsidR="00E66AD9" w:rsidRDefault="00E66AD9">
      <w:pPr>
        <w:widowControl w:val="0"/>
        <w:spacing w:before="115" w:line="240" w:lineRule="auto"/>
        <w:ind w:right="38"/>
        <w:rPr>
          <w:b/>
          <w:szCs w:val="21"/>
          <w:highlight w:val="white"/>
        </w:rPr>
      </w:pPr>
    </w:p>
    <w:p w:rsidR="00E66AD9" w:rsidRDefault="00886695">
      <w:pPr>
        <w:widowControl w:val="0"/>
        <w:spacing w:before="115" w:line="240" w:lineRule="auto"/>
        <w:ind w:right="38"/>
        <w:rPr>
          <w:b/>
          <w:szCs w:val="21"/>
        </w:rPr>
      </w:pPr>
      <w:r>
        <w:rPr>
          <w:b/>
          <w:szCs w:val="21"/>
          <w:highlight w:val="white"/>
        </w:rPr>
        <w:t xml:space="preserve">Result &amp; </w:t>
      </w:r>
      <w:r>
        <w:rPr>
          <w:b/>
          <w:szCs w:val="21"/>
        </w:rPr>
        <w:t>Discussion</w:t>
      </w:r>
    </w:p>
    <w:p w:rsidR="00E66AD9" w:rsidRDefault="00E66AD9">
      <w:pPr>
        <w:widowControl w:val="0"/>
        <w:spacing w:before="115" w:line="240" w:lineRule="auto"/>
        <w:ind w:right="38"/>
        <w:rPr>
          <w:b/>
          <w:szCs w:val="21"/>
          <w:highlight w:val="white"/>
        </w:rPr>
      </w:pPr>
    </w:p>
    <w:p w:rsidR="00E66AD9" w:rsidRDefault="00886695">
      <w:pPr>
        <w:widowControl w:val="0"/>
        <w:spacing w:line="240" w:lineRule="auto"/>
        <w:ind w:right="-103"/>
        <w:rPr>
          <w:szCs w:val="21"/>
        </w:rPr>
      </w:pPr>
      <w:r>
        <w:rPr>
          <w:szCs w:val="21"/>
        </w:rPr>
        <w:t xml:space="preserve">Out of 344 </w:t>
      </w:r>
      <w:proofErr w:type="spellStart"/>
      <w:r>
        <w:rPr>
          <w:szCs w:val="21"/>
        </w:rPr>
        <w:t>patients,the</w:t>
      </w:r>
      <w:proofErr w:type="spellEnd"/>
      <w:r>
        <w:rPr>
          <w:szCs w:val="21"/>
        </w:rPr>
        <w:t xml:space="preserve"> maximum number of pregnant females in our study belongs to the 20-25 year and 26-30 year age group representing 54% and 28.8% respectively. Preeclampsia was high between 20-25 years .(Table 1)</w:t>
      </w:r>
    </w:p>
    <w:p w:rsidR="00E66AD9" w:rsidRDefault="00886695">
      <w:pPr>
        <w:widowControl w:val="0"/>
        <w:spacing w:line="240" w:lineRule="auto"/>
        <w:ind w:right="-133" w:hanging="135"/>
        <w:rPr>
          <w:szCs w:val="21"/>
        </w:rPr>
      </w:pPr>
      <w:r>
        <w:rPr>
          <w:szCs w:val="21"/>
        </w:rPr>
        <w:t xml:space="preserve">  Table 2 shows a higher incidence of pre-eclampsia in primigravida (80.8%) than in multigravida</w:t>
      </w:r>
    </w:p>
    <w:p w:rsidR="00E66AD9" w:rsidRDefault="00886695">
      <w:pPr>
        <w:widowControl w:val="0"/>
        <w:spacing w:line="240" w:lineRule="auto"/>
        <w:ind w:right="-132"/>
        <w:rPr>
          <w:szCs w:val="21"/>
          <w:highlight w:val="white"/>
        </w:rPr>
      </w:pPr>
      <w:r>
        <w:rPr>
          <w:szCs w:val="21"/>
        </w:rPr>
        <w:t xml:space="preserve">Out of total 344 patients, 210 patients (61%) had central placenta while 134 patients (39%) had lateral placental </w:t>
      </w:r>
      <w:proofErr w:type="spellStart"/>
      <w:r>
        <w:rPr>
          <w:szCs w:val="21"/>
        </w:rPr>
        <w:t>location.Overall</w:t>
      </w:r>
      <w:proofErr w:type="spellEnd"/>
      <w:r>
        <w:rPr>
          <w:szCs w:val="21"/>
        </w:rPr>
        <w:t xml:space="preserve">, 52 women developed preeclampsia, giving an incidence of 15.12%. Among those who developed preeclampsia, 16 (30.8%) had a central placenta, whereas 36 (69.2%) had a lateral placenta. </w:t>
      </w:r>
      <w:r>
        <w:rPr>
          <w:szCs w:val="21"/>
          <w:highlight w:val="white"/>
        </w:rPr>
        <w:t>This difference is found to be</w:t>
      </w:r>
      <w:r>
        <w:rPr>
          <w:szCs w:val="21"/>
        </w:rPr>
        <w:t xml:space="preserve"> </w:t>
      </w:r>
      <w:r>
        <w:rPr>
          <w:szCs w:val="21"/>
          <w:highlight w:val="white"/>
        </w:rPr>
        <w:t>significant statistically (p value &lt;0.01).(Table 3).</w:t>
      </w:r>
    </w:p>
    <w:p w:rsidR="00E66AD9" w:rsidRDefault="00886695">
      <w:pPr>
        <w:widowControl w:val="0"/>
        <w:spacing w:line="240" w:lineRule="auto"/>
        <w:ind w:right="-117"/>
        <w:rPr>
          <w:szCs w:val="21"/>
          <w:highlight w:val="white"/>
        </w:rPr>
      </w:pPr>
      <w:r>
        <w:rPr>
          <w:szCs w:val="21"/>
          <w:highlight w:val="white"/>
        </w:rPr>
        <w:t>Table 4 shows that the majority of patients experienced</w:t>
      </w:r>
      <w:r>
        <w:rPr>
          <w:szCs w:val="21"/>
        </w:rPr>
        <w:t xml:space="preserve"> </w:t>
      </w:r>
      <w:r>
        <w:rPr>
          <w:szCs w:val="21"/>
          <w:highlight w:val="white"/>
        </w:rPr>
        <w:t>pre-eclampsia between 36 and 40 weeks of gestation, suggesting that the</w:t>
      </w:r>
      <w:r>
        <w:rPr>
          <w:szCs w:val="21"/>
        </w:rPr>
        <w:t xml:space="preserve"> </w:t>
      </w:r>
      <w:r>
        <w:rPr>
          <w:szCs w:val="21"/>
          <w:highlight w:val="white"/>
        </w:rPr>
        <w:t>incidence is higher in the later stages of pregnancy.</w:t>
      </w:r>
    </w:p>
    <w:p w:rsidR="00E66AD9" w:rsidRDefault="00E66AD9">
      <w:pPr>
        <w:widowControl w:val="0"/>
        <w:spacing w:line="240" w:lineRule="auto"/>
        <w:ind w:right="-132"/>
        <w:rPr>
          <w:szCs w:val="21"/>
          <w:highlight w:val="white"/>
        </w:rPr>
      </w:pPr>
    </w:p>
    <w:p w:rsidR="00E66AD9" w:rsidRDefault="00886695">
      <w:pPr>
        <w:widowControl w:val="0"/>
        <w:spacing w:line="240" w:lineRule="auto"/>
        <w:ind w:right="2470"/>
        <w:rPr>
          <w:szCs w:val="21"/>
        </w:rPr>
      </w:pPr>
      <w:r>
        <w:rPr>
          <w:szCs w:val="21"/>
        </w:rPr>
        <w:t>Table 1 Distribution of Preeclampsia Among Patients by Age Group</w:t>
      </w:r>
    </w:p>
    <w:tbl>
      <w:tblPr>
        <w:tblStyle w:val="a0"/>
        <w:tblW w:w="916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165"/>
      </w:tblGrid>
      <w:tr w:rsidR="00E66AD9">
        <w:trPr>
          <w:trHeight w:val="357"/>
        </w:trPr>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Age in years</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Total no. of patients</w:t>
            </w:r>
          </w:p>
        </w:tc>
        <w:tc>
          <w:tcPr>
            <w:tcW w:w="3165" w:type="dxa"/>
            <w:tcMar>
              <w:top w:w="100" w:type="dxa"/>
              <w:left w:w="100" w:type="dxa"/>
              <w:bottom w:w="100" w:type="dxa"/>
              <w:right w:w="100" w:type="dxa"/>
            </w:tcMar>
          </w:tcPr>
          <w:p w:rsidR="00E66AD9" w:rsidRDefault="00886695">
            <w:pPr>
              <w:widowControl w:val="0"/>
              <w:spacing w:line="240" w:lineRule="auto"/>
              <w:rPr>
                <w:szCs w:val="21"/>
              </w:rPr>
            </w:pPr>
            <w:r>
              <w:rPr>
                <w:szCs w:val="21"/>
              </w:rPr>
              <w:t>Developed preeclampsia</w:t>
            </w:r>
          </w:p>
        </w:tc>
      </w:tr>
      <w:tr w:rsidR="00E66AD9">
        <w:trPr>
          <w:trHeight w:val="357"/>
        </w:trPr>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&lt;20 years</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34(10%)</w:t>
            </w:r>
          </w:p>
        </w:tc>
        <w:tc>
          <w:tcPr>
            <w:tcW w:w="3165" w:type="dxa"/>
            <w:tcMar>
              <w:top w:w="100" w:type="dxa"/>
              <w:left w:w="100" w:type="dxa"/>
              <w:bottom w:w="100" w:type="dxa"/>
              <w:right w:w="100" w:type="dxa"/>
            </w:tcMar>
          </w:tcPr>
          <w:p w:rsidR="00E66AD9" w:rsidRDefault="00886695">
            <w:pPr>
              <w:widowControl w:val="0"/>
              <w:spacing w:line="240" w:lineRule="auto"/>
              <w:rPr>
                <w:szCs w:val="21"/>
              </w:rPr>
            </w:pPr>
            <w:r>
              <w:rPr>
                <w:szCs w:val="21"/>
              </w:rPr>
              <w:t>4(7.7%)</w:t>
            </w:r>
          </w:p>
        </w:tc>
      </w:tr>
      <w:tr w:rsidR="00E66AD9">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20-25 years</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186(54%)</w:t>
            </w:r>
          </w:p>
        </w:tc>
        <w:tc>
          <w:tcPr>
            <w:tcW w:w="3165" w:type="dxa"/>
            <w:tcMar>
              <w:top w:w="100" w:type="dxa"/>
              <w:left w:w="100" w:type="dxa"/>
              <w:bottom w:w="100" w:type="dxa"/>
              <w:right w:w="100" w:type="dxa"/>
            </w:tcMar>
          </w:tcPr>
          <w:p w:rsidR="00E66AD9" w:rsidRDefault="00886695">
            <w:pPr>
              <w:widowControl w:val="0"/>
              <w:spacing w:line="240" w:lineRule="auto"/>
              <w:rPr>
                <w:szCs w:val="21"/>
              </w:rPr>
            </w:pPr>
            <w:r>
              <w:rPr>
                <w:szCs w:val="21"/>
              </w:rPr>
              <w:t>31(59.6%)</w:t>
            </w:r>
          </w:p>
        </w:tc>
      </w:tr>
      <w:tr w:rsidR="00E66AD9">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26-30 years</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99(28.8%)</w:t>
            </w:r>
          </w:p>
        </w:tc>
        <w:tc>
          <w:tcPr>
            <w:tcW w:w="3165" w:type="dxa"/>
            <w:tcMar>
              <w:top w:w="100" w:type="dxa"/>
              <w:left w:w="100" w:type="dxa"/>
              <w:bottom w:w="100" w:type="dxa"/>
              <w:right w:w="100" w:type="dxa"/>
            </w:tcMar>
          </w:tcPr>
          <w:p w:rsidR="00E66AD9" w:rsidRDefault="00886695">
            <w:pPr>
              <w:widowControl w:val="0"/>
              <w:spacing w:line="240" w:lineRule="auto"/>
              <w:rPr>
                <w:szCs w:val="21"/>
              </w:rPr>
            </w:pPr>
            <w:r>
              <w:rPr>
                <w:szCs w:val="21"/>
              </w:rPr>
              <w:t>12(23.1%)</w:t>
            </w:r>
          </w:p>
        </w:tc>
      </w:tr>
      <w:tr w:rsidR="00E66AD9">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lastRenderedPageBreak/>
              <w:t>&gt;30 years</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25(7.2%)</w:t>
            </w:r>
          </w:p>
        </w:tc>
        <w:tc>
          <w:tcPr>
            <w:tcW w:w="3165" w:type="dxa"/>
            <w:tcMar>
              <w:top w:w="100" w:type="dxa"/>
              <w:left w:w="100" w:type="dxa"/>
              <w:bottom w:w="100" w:type="dxa"/>
              <w:right w:w="100" w:type="dxa"/>
            </w:tcMar>
          </w:tcPr>
          <w:p w:rsidR="00E66AD9" w:rsidRDefault="00886695">
            <w:pPr>
              <w:widowControl w:val="0"/>
              <w:spacing w:line="240" w:lineRule="auto"/>
              <w:rPr>
                <w:szCs w:val="21"/>
              </w:rPr>
            </w:pPr>
            <w:r>
              <w:rPr>
                <w:szCs w:val="21"/>
              </w:rPr>
              <w:t>5(9.6%)</w:t>
            </w:r>
          </w:p>
        </w:tc>
      </w:tr>
      <w:tr w:rsidR="00E66AD9">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 xml:space="preserve">Total </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344(100%)</w:t>
            </w:r>
          </w:p>
        </w:tc>
        <w:tc>
          <w:tcPr>
            <w:tcW w:w="3165" w:type="dxa"/>
            <w:tcMar>
              <w:top w:w="100" w:type="dxa"/>
              <w:left w:w="100" w:type="dxa"/>
              <w:bottom w:w="100" w:type="dxa"/>
              <w:right w:w="100" w:type="dxa"/>
            </w:tcMar>
          </w:tcPr>
          <w:p w:rsidR="00E66AD9" w:rsidRDefault="00886695">
            <w:pPr>
              <w:widowControl w:val="0"/>
              <w:spacing w:line="240" w:lineRule="auto"/>
              <w:rPr>
                <w:szCs w:val="21"/>
              </w:rPr>
            </w:pPr>
            <w:r>
              <w:rPr>
                <w:szCs w:val="21"/>
              </w:rPr>
              <w:t>52(100%)</w:t>
            </w:r>
          </w:p>
        </w:tc>
      </w:tr>
    </w:tbl>
    <w:p w:rsidR="00E66AD9" w:rsidRDefault="00E66AD9">
      <w:pPr>
        <w:widowControl w:val="0"/>
        <w:spacing w:line="240" w:lineRule="auto"/>
        <w:ind w:right="2470"/>
        <w:rPr>
          <w:szCs w:val="21"/>
          <w:highlight w:val="white"/>
        </w:rPr>
      </w:pPr>
    </w:p>
    <w:p w:rsidR="00E66AD9" w:rsidRDefault="00886695">
      <w:pPr>
        <w:widowControl w:val="0"/>
        <w:spacing w:line="240" w:lineRule="auto"/>
        <w:ind w:right="2470"/>
        <w:rPr>
          <w:szCs w:val="21"/>
        </w:rPr>
      </w:pPr>
      <w:r>
        <w:rPr>
          <w:szCs w:val="21"/>
        </w:rPr>
        <w:t>Table 2  Distribution of Preeclampsia by Parity</w:t>
      </w:r>
    </w:p>
    <w:tbl>
      <w:tblPr>
        <w:tblStyle w:val="a1"/>
        <w:tblW w:w="918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00"/>
        <w:gridCol w:w="3000"/>
        <w:gridCol w:w="3180"/>
      </w:tblGrid>
      <w:tr w:rsidR="00E66AD9">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 xml:space="preserve">Parity </w:t>
            </w:r>
          </w:p>
        </w:tc>
        <w:tc>
          <w:tcPr>
            <w:tcW w:w="3000" w:type="dxa"/>
            <w:tcMar>
              <w:top w:w="100" w:type="dxa"/>
              <w:left w:w="100" w:type="dxa"/>
              <w:bottom w:w="100" w:type="dxa"/>
              <w:right w:w="100" w:type="dxa"/>
            </w:tcMar>
          </w:tcPr>
          <w:p w:rsidR="00E66AD9" w:rsidRDefault="00886695">
            <w:pPr>
              <w:widowControl w:val="0"/>
              <w:spacing w:line="333" w:lineRule="auto"/>
              <w:ind w:right="258"/>
              <w:rPr>
                <w:szCs w:val="21"/>
              </w:rPr>
            </w:pPr>
            <w:r>
              <w:rPr>
                <w:szCs w:val="21"/>
              </w:rPr>
              <w:t>Normotensive</w:t>
            </w:r>
          </w:p>
        </w:tc>
        <w:tc>
          <w:tcPr>
            <w:tcW w:w="3180" w:type="dxa"/>
            <w:tcMar>
              <w:top w:w="100" w:type="dxa"/>
              <w:left w:w="100" w:type="dxa"/>
              <w:bottom w:w="100" w:type="dxa"/>
              <w:right w:w="100" w:type="dxa"/>
            </w:tcMar>
          </w:tcPr>
          <w:p w:rsidR="00E66AD9" w:rsidRDefault="00886695">
            <w:pPr>
              <w:widowControl w:val="0"/>
              <w:spacing w:line="333" w:lineRule="auto"/>
              <w:ind w:right="258"/>
              <w:rPr>
                <w:szCs w:val="21"/>
              </w:rPr>
            </w:pPr>
            <w:r>
              <w:rPr>
                <w:szCs w:val="21"/>
              </w:rPr>
              <w:t>Preeclampsia positive</w:t>
            </w:r>
          </w:p>
        </w:tc>
      </w:tr>
      <w:tr w:rsidR="00E66AD9">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primigravida</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188</w:t>
            </w:r>
          </w:p>
        </w:tc>
        <w:tc>
          <w:tcPr>
            <w:tcW w:w="3180" w:type="dxa"/>
            <w:tcMar>
              <w:top w:w="100" w:type="dxa"/>
              <w:left w:w="100" w:type="dxa"/>
              <w:bottom w:w="100" w:type="dxa"/>
              <w:right w:w="100" w:type="dxa"/>
            </w:tcMar>
          </w:tcPr>
          <w:p w:rsidR="00E66AD9" w:rsidRDefault="00886695">
            <w:pPr>
              <w:widowControl w:val="0"/>
              <w:spacing w:line="240" w:lineRule="auto"/>
              <w:rPr>
                <w:szCs w:val="21"/>
              </w:rPr>
            </w:pPr>
            <w:r>
              <w:rPr>
                <w:szCs w:val="21"/>
              </w:rPr>
              <w:t>42</w:t>
            </w:r>
          </w:p>
        </w:tc>
      </w:tr>
      <w:tr w:rsidR="00E66AD9">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multigravida</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104</w:t>
            </w:r>
          </w:p>
        </w:tc>
        <w:tc>
          <w:tcPr>
            <w:tcW w:w="3180" w:type="dxa"/>
            <w:tcMar>
              <w:top w:w="100" w:type="dxa"/>
              <w:left w:w="100" w:type="dxa"/>
              <w:bottom w:w="100" w:type="dxa"/>
              <w:right w:w="100" w:type="dxa"/>
            </w:tcMar>
          </w:tcPr>
          <w:p w:rsidR="00E66AD9" w:rsidRDefault="00886695">
            <w:pPr>
              <w:widowControl w:val="0"/>
              <w:spacing w:line="240" w:lineRule="auto"/>
              <w:rPr>
                <w:szCs w:val="21"/>
              </w:rPr>
            </w:pPr>
            <w:r>
              <w:rPr>
                <w:szCs w:val="21"/>
              </w:rPr>
              <w:t>10</w:t>
            </w:r>
          </w:p>
        </w:tc>
      </w:tr>
    </w:tbl>
    <w:p w:rsidR="00E66AD9" w:rsidRDefault="00E66AD9">
      <w:pPr>
        <w:widowControl w:val="0"/>
        <w:spacing w:line="240" w:lineRule="auto"/>
        <w:ind w:right="2470"/>
        <w:rPr>
          <w:rFonts w:ascii="Times New Roman" w:eastAsia="Times New Roman" w:hAnsi="Times New Roman" w:cs="Times New Roman"/>
          <w:sz w:val="27"/>
          <w:szCs w:val="27"/>
        </w:rPr>
      </w:pPr>
    </w:p>
    <w:p w:rsidR="00E66AD9" w:rsidRDefault="00E66AD9">
      <w:pPr>
        <w:widowControl w:val="0"/>
        <w:spacing w:line="240" w:lineRule="auto"/>
        <w:ind w:right="1316"/>
        <w:rPr>
          <w:szCs w:val="21"/>
          <w:highlight w:val="white"/>
        </w:rPr>
      </w:pPr>
    </w:p>
    <w:p w:rsidR="00E66AD9" w:rsidRDefault="00886695">
      <w:pPr>
        <w:widowControl w:val="0"/>
        <w:spacing w:line="240" w:lineRule="auto"/>
        <w:ind w:right="1316"/>
        <w:rPr>
          <w:szCs w:val="21"/>
          <w:highlight w:val="white"/>
        </w:rPr>
      </w:pPr>
      <w:r>
        <w:rPr>
          <w:szCs w:val="21"/>
          <w:highlight w:val="white"/>
        </w:rPr>
        <w:t xml:space="preserve">Table 3 </w:t>
      </w:r>
      <w:r>
        <w:rPr>
          <w:szCs w:val="21"/>
        </w:rPr>
        <w:t>Distribution of Preeclampsia According to Placental Location</w:t>
      </w:r>
    </w:p>
    <w:tbl>
      <w:tblPr>
        <w:tblStyle w:val="a2"/>
        <w:tblW w:w="9210" w:type="dxa"/>
        <w:tblInd w:w="-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1695"/>
        <w:gridCol w:w="2790"/>
        <w:gridCol w:w="2400"/>
      </w:tblGrid>
      <w:tr w:rsidR="00E66AD9">
        <w:trPr>
          <w:trHeight w:val="560"/>
        </w:trPr>
        <w:tc>
          <w:tcPr>
            <w:tcW w:w="2325" w:type="dxa"/>
            <w:tcMar>
              <w:top w:w="100" w:type="dxa"/>
              <w:left w:w="100" w:type="dxa"/>
              <w:bottom w:w="100" w:type="dxa"/>
              <w:right w:w="100" w:type="dxa"/>
            </w:tcMar>
          </w:tcPr>
          <w:p w:rsidR="00E66AD9" w:rsidRDefault="00886695">
            <w:pPr>
              <w:widowControl w:val="0"/>
              <w:spacing w:line="240" w:lineRule="auto"/>
              <w:rPr>
                <w:szCs w:val="21"/>
              </w:rPr>
            </w:pPr>
            <w:r>
              <w:rPr>
                <w:szCs w:val="21"/>
              </w:rPr>
              <w:t xml:space="preserve"> Location of Placenta </w:t>
            </w:r>
          </w:p>
        </w:tc>
        <w:tc>
          <w:tcPr>
            <w:tcW w:w="1695" w:type="dxa"/>
            <w:tcMar>
              <w:top w:w="100" w:type="dxa"/>
              <w:left w:w="100" w:type="dxa"/>
              <w:bottom w:w="100" w:type="dxa"/>
              <w:right w:w="100" w:type="dxa"/>
            </w:tcMar>
          </w:tcPr>
          <w:p w:rsidR="00E66AD9" w:rsidRDefault="00886695">
            <w:pPr>
              <w:widowControl w:val="0"/>
              <w:spacing w:line="240" w:lineRule="auto"/>
              <w:rPr>
                <w:szCs w:val="21"/>
              </w:rPr>
            </w:pPr>
            <w:r>
              <w:rPr>
                <w:szCs w:val="21"/>
              </w:rPr>
              <w:t xml:space="preserve">Frequency </w:t>
            </w:r>
          </w:p>
        </w:tc>
        <w:tc>
          <w:tcPr>
            <w:tcW w:w="2790" w:type="dxa"/>
            <w:tcMar>
              <w:top w:w="100" w:type="dxa"/>
              <w:left w:w="100" w:type="dxa"/>
              <w:bottom w:w="100" w:type="dxa"/>
              <w:right w:w="100" w:type="dxa"/>
            </w:tcMar>
          </w:tcPr>
          <w:p w:rsidR="00E66AD9" w:rsidRDefault="00886695">
            <w:pPr>
              <w:widowControl w:val="0"/>
              <w:spacing w:line="240" w:lineRule="auto"/>
              <w:ind w:left="129"/>
              <w:rPr>
                <w:szCs w:val="21"/>
              </w:rPr>
            </w:pPr>
            <w:r>
              <w:rPr>
                <w:szCs w:val="21"/>
              </w:rPr>
              <w:t>Developed preeclampsia</w:t>
            </w:r>
          </w:p>
        </w:tc>
        <w:tc>
          <w:tcPr>
            <w:tcW w:w="2400" w:type="dxa"/>
            <w:tcMar>
              <w:top w:w="100" w:type="dxa"/>
              <w:left w:w="100" w:type="dxa"/>
              <w:bottom w:w="100" w:type="dxa"/>
              <w:right w:w="100" w:type="dxa"/>
            </w:tcMar>
          </w:tcPr>
          <w:p w:rsidR="00E66AD9" w:rsidRDefault="00886695">
            <w:pPr>
              <w:widowControl w:val="0"/>
              <w:spacing w:line="240" w:lineRule="auto"/>
              <w:rPr>
                <w:szCs w:val="21"/>
              </w:rPr>
            </w:pPr>
            <w:r>
              <w:rPr>
                <w:szCs w:val="21"/>
              </w:rPr>
              <w:t>normotensive</w:t>
            </w:r>
          </w:p>
        </w:tc>
      </w:tr>
      <w:tr w:rsidR="00E66AD9">
        <w:trPr>
          <w:trHeight w:val="540"/>
        </w:trPr>
        <w:tc>
          <w:tcPr>
            <w:tcW w:w="2325" w:type="dxa"/>
            <w:tcMar>
              <w:top w:w="100" w:type="dxa"/>
              <w:left w:w="100" w:type="dxa"/>
              <w:bottom w:w="100" w:type="dxa"/>
              <w:right w:w="100" w:type="dxa"/>
            </w:tcMar>
          </w:tcPr>
          <w:p w:rsidR="00E66AD9" w:rsidRDefault="00886695">
            <w:pPr>
              <w:widowControl w:val="0"/>
              <w:spacing w:line="240" w:lineRule="auto"/>
              <w:ind w:left="130"/>
              <w:rPr>
                <w:szCs w:val="21"/>
              </w:rPr>
            </w:pPr>
            <w:r>
              <w:rPr>
                <w:szCs w:val="21"/>
              </w:rPr>
              <w:t xml:space="preserve">Central </w:t>
            </w:r>
          </w:p>
        </w:tc>
        <w:tc>
          <w:tcPr>
            <w:tcW w:w="1695" w:type="dxa"/>
            <w:tcMar>
              <w:top w:w="100" w:type="dxa"/>
              <w:left w:w="100" w:type="dxa"/>
              <w:bottom w:w="100" w:type="dxa"/>
              <w:right w:w="100" w:type="dxa"/>
            </w:tcMar>
          </w:tcPr>
          <w:p w:rsidR="00E66AD9" w:rsidRDefault="00886695">
            <w:pPr>
              <w:widowControl w:val="0"/>
              <w:spacing w:line="240" w:lineRule="auto"/>
              <w:rPr>
                <w:szCs w:val="21"/>
              </w:rPr>
            </w:pPr>
            <w:r>
              <w:rPr>
                <w:szCs w:val="21"/>
              </w:rPr>
              <w:t>210 (61%)</w:t>
            </w:r>
          </w:p>
        </w:tc>
        <w:tc>
          <w:tcPr>
            <w:tcW w:w="2790" w:type="dxa"/>
            <w:tcMar>
              <w:top w:w="100" w:type="dxa"/>
              <w:left w:w="100" w:type="dxa"/>
              <w:bottom w:w="100" w:type="dxa"/>
              <w:right w:w="100" w:type="dxa"/>
            </w:tcMar>
          </w:tcPr>
          <w:p w:rsidR="00E66AD9" w:rsidRDefault="00886695">
            <w:pPr>
              <w:widowControl w:val="0"/>
              <w:spacing w:line="240" w:lineRule="auto"/>
              <w:ind w:left="136"/>
              <w:rPr>
                <w:szCs w:val="21"/>
              </w:rPr>
            </w:pPr>
            <w:r>
              <w:rPr>
                <w:szCs w:val="21"/>
              </w:rPr>
              <w:t>16(30.8%)</w:t>
            </w:r>
          </w:p>
        </w:tc>
        <w:tc>
          <w:tcPr>
            <w:tcW w:w="2400" w:type="dxa"/>
            <w:tcMar>
              <w:top w:w="100" w:type="dxa"/>
              <w:left w:w="100" w:type="dxa"/>
              <w:bottom w:w="100" w:type="dxa"/>
              <w:right w:w="100" w:type="dxa"/>
            </w:tcMar>
          </w:tcPr>
          <w:p w:rsidR="00E66AD9" w:rsidRDefault="00886695">
            <w:pPr>
              <w:widowControl w:val="0"/>
              <w:spacing w:line="240" w:lineRule="auto"/>
              <w:ind w:left="136"/>
              <w:rPr>
                <w:szCs w:val="21"/>
              </w:rPr>
            </w:pPr>
            <w:r>
              <w:rPr>
                <w:szCs w:val="21"/>
              </w:rPr>
              <w:t>194(66.4%)</w:t>
            </w:r>
          </w:p>
        </w:tc>
      </w:tr>
      <w:tr w:rsidR="00E66AD9">
        <w:trPr>
          <w:trHeight w:val="540"/>
        </w:trPr>
        <w:tc>
          <w:tcPr>
            <w:tcW w:w="2325" w:type="dxa"/>
            <w:tcMar>
              <w:top w:w="100" w:type="dxa"/>
              <w:left w:w="100" w:type="dxa"/>
              <w:bottom w:w="100" w:type="dxa"/>
              <w:right w:w="100" w:type="dxa"/>
            </w:tcMar>
          </w:tcPr>
          <w:p w:rsidR="00E66AD9" w:rsidRDefault="00886695">
            <w:pPr>
              <w:widowControl w:val="0"/>
              <w:spacing w:line="240" w:lineRule="auto"/>
              <w:ind w:left="125"/>
              <w:rPr>
                <w:szCs w:val="21"/>
              </w:rPr>
            </w:pPr>
            <w:r>
              <w:rPr>
                <w:szCs w:val="21"/>
              </w:rPr>
              <w:t xml:space="preserve">Lateral </w:t>
            </w:r>
          </w:p>
        </w:tc>
        <w:tc>
          <w:tcPr>
            <w:tcW w:w="1695" w:type="dxa"/>
            <w:tcMar>
              <w:top w:w="100" w:type="dxa"/>
              <w:left w:w="100" w:type="dxa"/>
              <w:bottom w:w="100" w:type="dxa"/>
              <w:right w:w="100" w:type="dxa"/>
            </w:tcMar>
          </w:tcPr>
          <w:p w:rsidR="00E66AD9" w:rsidRDefault="00886695">
            <w:pPr>
              <w:widowControl w:val="0"/>
              <w:spacing w:line="240" w:lineRule="auto"/>
              <w:rPr>
                <w:szCs w:val="21"/>
              </w:rPr>
            </w:pPr>
            <w:r>
              <w:rPr>
                <w:szCs w:val="21"/>
              </w:rPr>
              <w:t>134 (39%)</w:t>
            </w:r>
          </w:p>
        </w:tc>
        <w:tc>
          <w:tcPr>
            <w:tcW w:w="2790" w:type="dxa"/>
            <w:tcMar>
              <w:top w:w="100" w:type="dxa"/>
              <w:left w:w="100" w:type="dxa"/>
              <w:bottom w:w="100" w:type="dxa"/>
              <w:right w:w="100" w:type="dxa"/>
            </w:tcMar>
          </w:tcPr>
          <w:p w:rsidR="00E66AD9" w:rsidRDefault="00886695">
            <w:pPr>
              <w:widowControl w:val="0"/>
              <w:spacing w:line="240" w:lineRule="auto"/>
              <w:ind w:left="136"/>
              <w:rPr>
                <w:szCs w:val="21"/>
              </w:rPr>
            </w:pPr>
            <w:r>
              <w:rPr>
                <w:szCs w:val="21"/>
              </w:rPr>
              <w:t>36(69.2%)</w:t>
            </w:r>
          </w:p>
        </w:tc>
        <w:tc>
          <w:tcPr>
            <w:tcW w:w="2400" w:type="dxa"/>
            <w:tcMar>
              <w:top w:w="100" w:type="dxa"/>
              <w:left w:w="100" w:type="dxa"/>
              <w:bottom w:w="100" w:type="dxa"/>
              <w:right w:w="100" w:type="dxa"/>
            </w:tcMar>
          </w:tcPr>
          <w:p w:rsidR="00E66AD9" w:rsidRDefault="00886695">
            <w:pPr>
              <w:widowControl w:val="0"/>
              <w:spacing w:line="240" w:lineRule="auto"/>
              <w:ind w:left="136"/>
              <w:rPr>
                <w:szCs w:val="21"/>
              </w:rPr>
            </w:pPr>
            <w:r>
              <w:rPr>
                <w:szCs w:val="21"/>
              </w:rPr>
              <w:t>98(33.6%)</w:t>
            </w:r>
          </w:p>
        </w:tc>
      </w:tr>
      <w:tr w:rsidR="00E66AD9">
        <w:trPr>
          <w:trHeight w:val="540"/>
        </w:trPr>
        <w:tc>
          <w:tcPr>
            <w:tcW w:w="2325" w:type="dxa"/>
            <w:tcMar>
              <w:top w:w="100" w:type="dxa"/>
              <w:left w:w="100" w:type="dxa"/>
              <w:bottom w:w="100" w:type="dxa"/>
              <w:right w:w="100" w:type="dxa"/>
            </w:tcMar>
          </w:tcPr>
          <w:p w:rsidR="00E66AD9" w:rsidRDefault="00886695">
            <w:pPr>
              <w:widowControl w:val="0"/>
              <w:spacing w:line="240" w:lineRule="auto"/>
              <w:ind w:left="125"/>
              <w:rPr>
                <w:szCs w:val="21"/>
              </w:rPr>
            </w:pPr>
            <w:r>
              <w:rPr>
                <w:szCs w:val="21"/>
              </w:rPr>
              <w:t xml:space="preserve">Total </w:t>
            </w:r>
          </w:p>
        </w:tc>
        <w:tc>
          <w:tcPr>
            <w:tcW w:w="1695" w:type="dxa"/>
            <w:tcMar>
              <w:top w:w="100" w:type="dxa"/>
              <w:left w:w="100" w:type="dxa"/>
              <w:bottom w:w="100" w:type="dxa"/>
              <w:right w:w="100" w:type="dxa"/>
            </w:tcMar>
          </w:tcPr>
          <w:p w:rsidR="00E66AD9" w:rsidRDefault="00886695">
            <w:pPr>
              <w:widowControl w:val="0"/>
              <w:spacing w:line="240" w:lineRule="auto"/>
              <w:rPr>
                <w:sz w:val="20"/>
                <w:szCs w:val="20"/>
              </w:rPr>
            </w:pPr>
            <w:r>
              <w:rPr>
                <w:sz w:val="20"/>
                <w:szCs w:val="20"/>
              </w:rPr>
              <w:t>344</w:t>
            </w:r>
            <w:r>
              <w:rPr>
                <w:rFonts w:ascii="Times New Roman" w:eastAsia="Times New Roman" w:hAnsi="Times New Roman" w:cs="Times New Roman"/>
                <w:sz w:val="22"/>
              </w:rPr>
              <w:t>(100%)</w:t>
            </w:r>
          </w:p>
        </w:tc>
        <w:tc>
          <w:tcPr>
            <w:tcW w:w="2790" w:type="dxa"/>
            <w:tcMar>
              <w:top w:w="100" w:type="dxa"/>
              <w:left w:w="100" w:type="dxa"/>
              <w:bottom w:w="100" w:type="dxa"/>
              <w:right w:w="100" w:type="dxa"/>
            </w:tcMar>
          </w:tcPr>
          <w:p w:rsidR="00E66AD9" w:rsidRDefault="00886695">
            <w:pPr>
              <w:widowControl w:val="0"/>
              <w:spacing w:line="240" w:lineRule="auto"/>
              <w:ind w:left="136"/>
              <w:rPr>
                <w:szCs w:val="21"/>
              </w:rPr>
            </w:pPr>
            <w:r>
              <w:rPr>
                <w:szCs w:val="21"/>
              </w:rPr>
              <w:t>52(100%)</w:t>
            </w:r>
          </w:p>
        </w:tc>
        <w:tc>
          <w:tcPr>
            <w:tcW w:w="2400" w:type="dxa"/>
            <w:tcMar>
              <w:top w:w="100" w:type="dxa"/>
              <w:left w:w="100" w:type="dxa"/>
              <w:bottom w:w="100" w:type="dxa"/>
              <w:right w:w="100" w:type="dxa"/>
            </w:tcMar>
          </w:tcPr>
          <w:p w:rsidR="00E66AD9" w:rsidRDefault="00886695">
            <w:pPr>
              <w:widowControl w:val="0"/>
              <w:spacing w:line="240" w:lineRule="auto"/>
              <w:ind w:left="136"/>
              <w:rPr>
                <w:szCs w:val="21"/>
              </w:rPr>
            </w:pPr>
            <w:r>
              <w:rPr>
                <w:szCs w:val="21"/>
              </w:rPr>
              <w:t>292(100%)</w:t>
            </w:r>
          </w:p>
        </w:tc>
      </w:tr>
    </w:tbl>
    <w:p w:rsidR="00E66AD9" w:rsidRDefault="00886695">
      <w:pPr>
        <w:widowControl w:val="0"/>
        <w:spacing w:line="240" w:lineRule="auto"/>
        <w:rPr>
          <w:sz w:val="15"/>
          <w:szCs w:val="15"/>
        </w:rPr>
      </w:pPr>
      <w:r>
        <w:rPr>
          <w:szCs w:val="21"/>
          <w:highlight w:val="white"/>
        </w:rPr>
        <w:t>Chi square=23.616, p value=&lt;0.01</w:t>
      </w:r>
      <w:r>
        <w:rPr>
          <w:szCs w:val="21"/>
        </w:rPr>
        <w:t xml:space="preserve"> </w:t>
      </w:r>
    </w:p>
    <w:p w:rsidR="00E66AD9" w:rsidRDefault="00E66AD9">
      <w:pPr>
        <w:widowControl w:val="0"/>
        <w:spacing w:line="240" w:lineRule="auto"/>
        <w:ind w:right="2470"/>
        <w:rPr>
          <w:szCs w:val="21"/>
          <w:highlight w:val="white"/>
        </w:rPr>
      </w:pPr>
    </w:p>
    <w:p w:rsidR="00E66AD9" w:rsidRDefault="00886695">
      <w:pPr>
        <w:widowControl w:val="0"/>
        <w:rPr>
          <w:szCs w:val="21"/>
        </w:rPr>
      </w:pPr>
      <w:r>
        <w:rPr>
          <w:szCs w:val="21"/>
          <w:highlight w:val="white"/>
        </w:rPr>
        <w:t>Table 4</w:t>
      </w:r>
      <w:r>
        <w:rPr>
          <w:szCs w:val="21"/>
        </w:rPr>
        <w:t xml:space="preserve">  Distribution of Preeclampsia Cases by Gestational Age</w:t>
      </w:r>
    </w:p>
    <w:tbl>
      <w:tblPr>
        <w:tblStyle w:val="a3"/>
        <w:tblW w:w="925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45"/>
        <w:gridCol w:w="4710"/>
      </w:tblGrid>
      <w:tr w:rsidR="00E66AD9">
        <w:tc>
          <w:tcPr>
            <w:tcW w:w="4545" w:type="dxa"/>
            <w:tcMar>
              <w:top w:w="100" w:type="dxa"/>
              <w:left w:w="100" w:type="dxa"/>
              <w:bottom w:w="100" w:type="dxa"/>
              <w:right w:w="100" w:type="dxa"/>
            </w:tcMar>
          </w:tcPr>
          <w:p w:rsidR="00E66AD9" w:rsidRDefault="00886695">
            <w:pPr>
              <w:widowControl w:val="0"/>
              <w:spacing w:line="240" w:lineRule="auto"/>
              <w:rPr>
                <w:szCs w:val="21"/>
              </w:rPr>
            </w:pPr>
            <w:r>
              <w:rPr>
                <w:szCs w:val="21"/>
              </w:rPr>
              <w:t xml:space="preserve">Gestational age in weeks </w:t>
            </w:r>
          </w:p>
        </w:tc>
        <w:tc>
          <w:tcPr>
            <w:tcW w:w="4710" w:type="dxa"/>
            <w:tcMar>
              <w:top w:w="100" w:type="dxa"/>
              <w:left w:w="100" w:type="dxa"/>
              <w:bottom w:w="100" w:type="dxa"/>
              <w:right w:w="100" w:type="dxa"/>
            </w:tcMar>
          </w:tcPr>
          <w:p w:rsidR="00E66AD9" w:rsidRDefault="00886695">
            <w:pPr>
              <w:widowControl w:val="0"/>
              <w:spacing w:line="240" w:lineRule="auto"/>
              <w:ind w:left="252"/>
              <w:rPr>
                <w:szCs w:val="21"/>
              </w:rPr>
            </w:pPr>
            <w:r>
              <w:rPr>
                <w:szCs w:val="21"/>
              </w:rPr>
              <w:t>Number of patients with preeclampsia</w:t>
            </w:r>
          </w:p>
        </w:tc>
      </w:tr>
      <w:tr w:rsidR="00E66AD9">
        <w:tc>
          <w:tcPr>
            <w:tcW w:w="4545" w:type="dxa"/>
            <w:tcMar>
              <w:top w:w="100" w:type="dxa"/>
              <w:left w:w="100" w:type="dxa"/>
              <w:bottom w:w="100" w:type="dxa"/>
              <w:right w:w="100" w:type="dxa"/>
            </w:tcMar>
          </w:tcPr>
          <w:p w:rsidR="00E66AD9" w:rsidRDefault="00886695">
            <w:pPr>
              <w:widowControl w:val="0"/>
              <w:spacing w:line="240" w:lineRule="auto"/>
              <w:rPr>
                <w:szCs w:val="21"/>
              </w:rPr>
            </w:pPr>
            <w:r>
              <w:rPr>
                <w:szCs w:val="21"/>
              </w:rPr>
              <w:t>26-28</w:t>
            </w:r>
          </w:p>
        </w:tc>
        <w:tc>
          <w:tcPr>
            <w:tcW w:w="4710" w:type="dxa"/>
            <w:tcMar>
              <w:top w:w="100" w:type="dxa"/>
              <w:left w:w="100" w:type="dxa"/>
              <w:bottom w:w="100" w:type="dxa"/>
              <w:right w:w="100" w:type="dxa"/>
            </w:tcMar>
          </w:tcPr>
          <w:p w:rsidR="00E66AD9" w:rsidRDefault="00886695">
            <w:pPr>
              <w:widowControl w:val="0"/>
              <w:spacing w:line="240" w:lineRule="auto"/>
              <w:rPr>
                <w:szCs w:val="21"/>
              </w:rPr>
            </w:pPr>
            <w:r>
              <w:rPr>
                <w:szCs w:val="21"/>
              </w:rPr>
              <w:t>2</w:t>
            </w:r>
          </w:p>
        </w:tc>
      </w:tr>
      <w:tr w:rsidR="00E66AD9">
        <w:tc>
          <w:tcPr>
            <w:tcW w:w="4545" w:type="dxa"/>
            <w:tcMar>
              <w:top w:w="100" w:type="dxa"/>
              <w:left w:w="100" w:type="dxa"/>
              <w:bottom w:w="100" w:type="dxa"/>
              <w:right w:w="100" w:type="dxa"/>
            </w:tcMar>
          </w:tcPr>
          <w:p w:rsidR="00E66AD9" w:rsidRDefault="00886695">
            <w:pPr>
              <w:widowControl w:val="0"/>
              <w:spacing w:line="240" w:lineRule="auto"/>
              <w:rPr>
                <w:szCs w:val="21"/>
              </w:rPr>
            </w:pPr>
            <w:r>
              <w:rPr>
                <w:szCs w:val="21"/>
              </w:rPr>
              <w:t>29-31</w:t>
            </w:r>
          </w:p>
        </w:tc>
        <w:tc>
          <w:tcPr>
            <w:tcW w:w="4710" w:type="dxa"/>
            <w:tcMar>
              <w:top w:w="100" w:type="dxa"/>
              <w:left w:w="100" w:type="dxa"/>
              <w:bottom w:w="100" w:type="dxa"/>
              <w:right w:w="100" w:type="dxa"/>
            </w:tcMar>
          </w:tcPr>
          <w:p w:rsidR="00E66AD9" w:rsidRDefault="00886695">
            <w:pPr>
              <w:widowControl w:val="0"/>
              <w:spacing w:line="240" w:lineRule="auto"/>
              <w:rPr>
                <w:szCs w:val="21"/>
              </w:rPr>
            </w:pPr>
            <w:r>
              <w:rPr>
                <w:szCs w:val="21"/>
              </w:rPr>
              <w:t>4</w:t>
            </w:r>
          </w:p>
        </w:tc>
      </w:tr>
      <w:tr w:rsidR="00E66AD9">
        <w:tc>
          <w:tcPr>
            <w:tcW w:w="4545" w:type="dxa"/>
            <w:tcMar>
              <w:top w:w="100" w:type="dxa"/>
              <w:left w:w="100" w:type="dxa"/>
              <w:bottom w:w="100" w:type="dxa"/>
              <w:right w:w="100" w:type="dxa"/>
            </w:tcMar>
          </w:tcPr>
          <w:p w:rsidR="00E66AD9" w:rsidRDefault="00886695">
            <w:pPr>
              <w:widowControl w:val="0"/>
              <w:spacing w:line="240" w:lineRule="auto"/>
              <w:rPr>
                <w:szCs w:val="21"/>
              </w:rPr>
            </w:pPr>
            <w:r>
              <w:rPr>
                <w:szCs w:val="21"/>
              </w:rPr>
              <w:t>32-34</w:t>
            </w:r>
          </w:p>
        </w:tc>
        <w:tc>
          <w:tcPr>
            <w:tcW w:w="4710" w:type="dxa"/>
            <w:tcMar>
              <w:top w:w="100" w:type="dxa"/>
              <w:left w:w="100" w:type="dxa"/>
              <w:bottom w:w="100" w:type="dxa"/>
              <w:right w:w="100" w:type="dxa"/>
            </w:tcMar>
          </w:tcPr>
          <w:p w:rsidR="00E66AD9" w:rsidRDefault="00886695">
            <w:pPr>
              <w:widowControl w:val="0"/>
              <w:spacing w:line="240" w:lineRule="auto"/>
              <w:rPr>
                <w:szCs w:val="21"/>
              </w:rPr>
            </w:pPr>
            <w:r>
              <w:rPr>
                <w:szCs w:val="21"/>
              </w:rPr>
              <w:t>8</w:t>
            </w:r>
          </w:p>
        </w:tc>
      </w:tr>
      <w:tr w:rsidR="00E66AD9">
        <w:tc>
          <w:tcPr>
            <w:tcW w:w="4545" w:type="dxa"/>
            <w:tcMar>
              <w:top w:w="100" w:type="dxa"/>
              <w:left w:w="100" w:type="dxa"/>
              <w:bottom w:w="100" w:type="dxa"/>
              <w:right w:w="100" w:type="dxa"/>
            </w:tcMar>
          </w:tcPr>
          <w:p w:rsidR="00E66AD9" w:rsidRDefault="00886695">
            <w:pPr>
              <w:widowControl w:val="0"/>
              <w:spacing w:line="240" w:lineRule="auto"/>
              <w:rPr>
                <w:szCs w:val="21"/>
              </w:rPr>
            </w:pPr>
            <w:r>
              <w:rPr>
                <w:szCs w:val="21"/>
              </w:rPr>
              <w:t>35-37</w:t>
            </w:r>
          </w:p>
        </w:tc>
        <w:tc>
          <w:tcPr>
            <w:tcW w:w="4710" w:type="dxa"/>
            <w:tcMar>
              <w:top w:w="100" w:type="dxa"/>
              <w:left w:w="100" w:type="dxa"/>
              <w:bottom w:w="100" w:type="dxa"/>
              <w:right w:w="100" w:type="dxa"/>
            </w:tcMar>
          </w:tcPr>
          <w:p w:rsidR="00E66AD9" w:rsidRDefault="00886695">
            <w:pPr>
              <w:widowControl w:val="0"/>
              <w:spacing w:line="240" w:lineRule="auto"/>
              <w:rPr>
                <w:szCs w:val="21"/>
              </w:rPr>
            </w:pPr>
            <w:r>
              <w:rPr>
                <w:szCs w:val="21"/>
              </w:rPr>
              <w:t>17</w:t>
            </w:r>
          </w:p>
        </w:tc>
      </w:tr>
      <w:tr w:rsidR="00E66AD9">
        <w:tc>
          <w:tcPr>
            <w:tcW w:w="4545" w:type="dxa"/>
            <w:tcMar>
              <w:top w:w="100" w:type="dxa"/>
              <w:left w:w="100" w:type="dxa"/>
              <w:bottom w:w="100" w:type="dxa"/>
              <w:right w:w="100" w:type="dxa"/>
            </w:tcMar>
          </w:tcPr>
          <w:p w:rsidR="00E66AD9" w:rsidRDefault="00886695">
            <w:pPr>
              <w:widowControl w:val="0"/>
              <w:spacing w:line="240" w:lineRule="auto"/>
              <w:rPr>
                <w:szCs w:val="21"/>
              </w:rPr>
            </w:pPr>
            <w:r>
              <w:rPr>
                <w:szCs w:val="21"/>
              </w:rPr>
              <w:t>38-40</w:t>
            </w:r>
          </w:p>
        </w:tc>
        <w:tc>
          <w:tcPr>
            <w:tcW w:w="4710" w:type="dxa"/>
            <w:tcMar>
              <w:top w:w="100" w:type="dxa"/>
              <w:left w:w="100" w:type="dxa"/>
              <w:bottom w:w="100" w:type="dxa"/>
              <w:right w:w="100" w:type="dxa"/>
            </w:tcMar>
          </w:tcPr>
          <w:p w:rsidR="00E66AD9" w:rsidRDefault="00886695">
            <w:pPr>
              <w:widowControl w:val="0"/>
              <w:spacing w:line="240" w:lineRule="auto"/>
              <w:rPr>
                <w:szCs w:val="21"/>
              </w:rPr>
            </w:pPr>
            <w:r>
              <w:rPr>
                <w:szCs w:val="21"/>
              </w:rPr>
              <w:t>21</w:t>
            </w:r>
          </w:p>
        </w:tc>
      </w:tr>
      <w:tr w:rsidR="00E66AD9">
        <w:tc>
          <w:tcPr>
            <w:tcW w:w="4545" w:type="dxa"/>
            <w:tcMar>
              <w:top w:w="100" w:type="dxa"/>
              <w:left w:w="100" w:type="dxa"/>
              <w:bottom w:w="100" w:type="dxa"/>
              <w:right w:w="100" w:type="dxa"/>
            </w:tcMar>
          </w:tcPr>
          <w:p w:rsidR="00E66AD9" w:rsidRDefault="00886695">
            <w:pPr>
              <w:widowControl w:val="0"/>
              <w:spacing w:line="240" w:lineRule="auto"/>
              <w:rPr>
                <w:szCs w:val="21"/>
              </w:rPr>
            </w:pPr>
            <w:r>
              <w:rPr>
                <w:szCs w:val="21"/>
              </w:rPr>
              <w:t>&gt;40</w:t>
            </w:r>
          </w:p>
        </w:tc>
        <w:tc>
          <w:tcPr>
            <w:tcW w:w="4710" w:type="dxa"/>
            <w:tcMar>
              <w:top w:w="100" w:type="dxa"/>
              <w:left w:w="100" w:type="dxa"/>
              <w:bottom w:w="100" w:type="dxa"/>
              <w:right w:w="100" w:type="dxa"/>
            </w:tcMar>
          </w:tcPr>
          <w:p w:rsidR="00E66AD9" w:rsidRDefault="00886695">
            <w:pPr>
              <w:widowControl w:val="0"/>
              <w:spacing w:line="240" w:lineRule="auto"/>
              <w:rPr>
                <w:szCs w:val="21"/>
              </w:rPr>
            </w:pPr>
            <w:r>
              <w:rPr>
                <w:szCs w:val="21"/>
              </w:rPr>
              <w:t>-</w:t>
            </w:r>
          </w:p>
        </w:tc>
      </w:tr>
    </w:tbl>
    <w:p w:rsidR="00E66AD9" w:rsidRDefault="00E66AD9">
      <w:pPr>
        <w:widowControl w:val="0"/>
        <w:spacing w:line="240" w:lineRule="auto"/>
        <w:ind w:right="-103"/>
        <w:rPr>
          <w:szCs w:val="21"/>
          <w:highlight w:val="white"/>
        </w:rPr>
      </w:pPr>
    </w:p>
    <w:p w:rsidR="00E66AD9" w:rsidRDefault="00886695">
      <w:pPr>
        <w:widowControl w:val="0"/>
        <w:spacing w:line="240" w:lineRule="auto"/>
        <w:ind w:right="-103"/>
        <w:rPr>
          <w:szCs w:val="21"/>
          <w:highlight w:val="white"/>
        </w:rPr>
      </w:pPr>
      <w:r>
        <w:rPr>
          <w:szCs w:val="21"/>
          <w:highlight w:val="white"/>
        </w:rPr>
        <w:t>Out of total 52 patients who developed preeclampsia , 39</w:t>
      </w:r>
      <w:r>
        <w:rPr>
          <w:szCs w:val="21"/>
        </w:rPr>
        <w:t xml:space="preserve"> </w:t>
      </w:r>
      <w:r>
        <w:rPr>
          <w:szCs w:val="21"/>
          <w:highlight w:val="white"/>
        </w:rPr>
        <w:t>patients had mild preeclampsia and 13 patients developed severe preeclampsia.</w:t>
      </w:r>
      <w:r>
        <w:rPr>
          <w:szCs w:val="21"/>
        </w:rPr>
        <w:t xml:space="preserve"> </w:t>
      </w:r>
      <w:r>
        <w:rPr>
          <w:szCs w:val="21"/>
          <w:highlight w:val="white"/>
        </w:rPr>
        <w:t>12 patients with lateral placenta developed severe preeclampsia and 1 patient</w:t>
      </w:r>
      <w:r>
        <w:rPr>
          <w:szCs w:val="21"/>
        </w:rPr>
        <w:t xml:space="preserve"> </w:t>
      </w:r>
      <w:r>
        <w:rPr>
          <w:szCs w:val="21"/>
          <w:highlight w:val="white"/>
        </w:rPr>
        <w:t>with central placenta developed severe preeclampsia , that implies patients that</w:t>
      </w:r>
      <w:r>
        <w:rPr>
          <w:szCs w:val="21"/>
        </w:rPr>
        <w:t xml:space="preserve"> </w:t>
      </w:r>
      <w:r>
        <w:rPr>
          <w:szCs w:val="21"/>
          <w:highlight w:val="white"/>
        </w:rPr>
        <w:t>develop severe preeclampsia are more commonly associated with the lateral</w:t>
      </w:r>
      <w:r>
        <w:rPr>
          <w:szCs w:val="21"/>
        </w:rPr>
        <w:t xml:space="preserve"> </w:t>
      </w:r>
      <w:r>
        <w:rPr>
          <w:szCs w:val="21"/>
          <w:highlight w:val="white"/>
        </w:rPr>
        <w:t>placenta (</w:t>
      </w:r>
      <w:r>
        <w:rPr>
          <w:i/>
          <w:szCs w:val="21"/>
          <w:highlight w:val="white"/>
        </w:rPr>
        <w:t xml:space="preserve">p </w:t>
      </w:r>
      <w:r>
        <w:rPr>
          <w:szCs w:val="21"/>
          <w:highlight w:val="white"/>
        </w:rPr>
        <w:t>= 0.037). (Table 5)</w:t>
      </w:r>
    </w:p>
    <w:p w:rsidR="00E66AD9" w:rsidRDefault="00886695">
      <w:pPr>
        <w:widowControl w:val="0"/>
        <w:spacing w:line="240" w:lineRule="auto"/>
        <w:ind w:right="-103"/>
        <w:rPr>
          <w:szCs w:val="21"/>
          <w:highlight w:val="white"/>
        </w:rPr>
      </w:pPr>
      <w:r>
        <w:rPr>
          <w:szCs w:val="21"/>
        </w:rPr>
        <w:t xml:space="preserve">Table 6 shows 56.72% of women with lateral placentas experienced spontaneous labor onset, and 43.28% of women delivered after getting induced (p value 0.019965). In contrast, 69.1% of women with central placentas experienced spontaneous labor onset, and 30.9% underwent induction of </w:t>
      </w:r>
      <w:proofErr w:type="spellStart"/>
      <w:r>
        <w:rPr>
          <w:szCs w:val="21"/>
        </w:rPr>
        <w:t>labour</w:t>
      </w:r>
      <w:proofErr w:type="spellEnd"/>
      <w:r>
        <w:rPr>
          <w:szCs w:val="21"/>
        </w:rPr>
        <w:t xml:space="preserve">. The majority of the women in both groups gave birth vaginally. </w:t>
      </w:r>
    </w:p>
    <w:p w:rsidR="00E66AD9" w:rsidRDefault="00886695">
      <w:pPr>
        <w:widowControl w:val="0"/>
        <w:spacing w:line="240" w:lineRule="auto"/>
        <w:rPr>
          <w:szCs w:val="21"/>
        </w:rPr>
      </w:pPr>
      <w:r>
        <w:rPr>
          <w:szCs w:val="21"/>
          <w:highlight w:val="white"/>
        </w:rPr>
        <w:t xml:space="preserve">Table 7 shows </w:t>
      </w:r>
      <w:r>
        <w:rPr>
          <w:szCs w:val="21"/>
        </w:rPr>
        <w:t>52.98% of patients having lateral placenta delivered by caesarean section while only 35.71% of patients having central placenta underwent caesarean section.</w:t>
      </w:r>
    </w:p>
    <w:p w:rsidR="00E66AD9" w:rsidRDefault="00886695">
      <w:pPr>
        <w:widowControl w:val="0"/>
        <w:spacing w:line="240" w:lineRule="auto"/>
        <w:ind w:right="-111"/>
        <w:rPr>
          <w:szCs w:val="21"/>
        </w:rPr>
      </w:pPr>
      <w:r>
        <w:rPr>
          <w:szCs w:val="21"/>
        </w:rPr>
        <w:t xml:space="preserve">Table 8 shows that mothers who had lateral placentas experienced higher maternal difficulties than </w:t>
      </w:r>
      <w:r>
        <w:rPr>
          <w:szCs w:val="21"/>
        </w:rPr>
        <w:lastRenderedPageBreak/>
        <w:t>those who had central placentas. Eclampsia occurred in 3% of women with lateral placentas and in 0.95% of women with central placentas. Just 5.71% of women with central placentas and 16.4% of women with lateral placentas had IUGR. Consequently, IUGR in women with lateral placentas was statistically significant (p value 0.0018).</w:t>
      </w:r>
    </w:p>
    <w:p w:rsidR="00E66AD9" w:rsidRDefault="00886695">
      <w:pPr>
        <w:widowControl w:val="0"/>
        <w:spacing w:line="240" w:lineRule="auto"/>
        <w:ind w:right="-111"/>
        <w:rPr>
          <w:szCs w:val="21"/>
        </w:rPr>
      </w:pPr>
      <w:r>
        <w:rPr>
          <w:szCs w:val="21"/>
        </w:rPr>
        <w:t>Table 9 shows that all perinatal problems, including birth asphyxia, low birth weight, preterm, stillbirth, and NICU admissions, newborn infection, , neonatal mortality,  were observed more in cases with lateral placenta compared to central ones. There was a statistically significant difference identified for low birth weight, birth hypoxia, and NICU admission among the patients with lateral placenta compared to the neonates in the central placenta group.</w:t>
      </w:r>
    </w:p>
    <w:p w:rsidR="00E66AD9" w:rsidRDefault="00E66AD9">
      <w:pPr>
        <w:widowControl w:val="0"/>
        <w:spacing w:line="240" w:lineRule="auto"/>
        <w:ind w:right="-111"/>
        <w:rPr>
          <w:szCs w:val="21"/>
        </w:rPr>
      </w:pPr>
    </w:p>
    <w:p w:rsidR="00E66AD9" w:rsidRDefault="00E66AD9">
      <w:pPr>
        <w:widowControl w:val="0"/>
        <w:spacing w:before="408" w:line="366" w:lineRule="auto"/>
        <w:ind w:right="1027"/>
        <w:rPr>
          <w:szCs w:val="21"/>
        </w:rPr>
      </w:pPr>
    </w:p>
    <w:p w:rsidR="00E66AD9" w:rsidRDefault="00E66AD9">
      <w:pPr>
        <w:widowControl w:val="0"/>
        <w:spacing w:before="408" w:line="366" w:lineRule="auto"/>
        <w:ind w:right="1027"/>
        <w:rPr>
          <w:szCs w:val="21"/>
        </w:rPr>
      </w:pPr>
    </w:p>
    <w:p w:rsidR="00E66AD9" w:rsidRDefault="00886695">
      <w:pPr>
        <w:widowControl w:val="0"/>
        <w:spacing w:before="408" w:line="366" w:lineRule="auto"/>
        <w:ind w:right="1027"/>
        <w:rPr>
          <w:szCs w:val="21"/>
        </w:rPr>
      </w:pPr>
      <w:r>
        <w:rPr>
          <w:szCs w:val="21"/>
        </w:rPr>
        <w:t>Table 5 Distribution of Preeclampsia Severity by Placental Location</w:t>
      </w:r>
    </w:p>
    <w:tbl>
      <w:tblPr>
        <w:tblStyle w:val="a4"/>
        <w:tblW w:w="900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2775"/>
        <w:gridCol w:w="3000"/>
      </w:tblGrid>
      <w:tr w:rsidR="00E66AD9">
        <w:tc>
          <w:tcPr>
            <w:tcW w:w="3225" w:type="dxa"/>
            <w:tcMar>
              <w:top w:w="100" w:type="dxa"/>
              <w:left w:w="100" w:type="dxa"/>
              <w:bottom w:w="100" w:type="dxa"/>
              <w:right w:w="100" w:type="dxa"/>
            </w:tcMar>
          </w:tcPr>
          <w:p w:rsidR="00E66AD9" w:rsidRDefault="00886695">
            <w:pPr>
              <w:widowControl w:val="0"/>
              <w:spacing w:line="240" w:lineRule="auto"/>
              <w:rPr>
                <w:szCs w:val="21"/>
              </w:rPr>
            </w:pPr>
            <w:r>
              <w:rPr>
                <w:szCs w:val="21"/>
              </w:rPr>
              <w:t xml:space="preserve">Type of pre-eclampsia </w:t>
            </w:r>
          </w:p>
        </w:tc>
        <w:tc>
          <w:tcPr>
            <w:tcW w:w="2775" w:type="dxa"/>
            <w:tcMar>
              <w:top w:w="100" w:type="dxa"/>
              <w:left w:w="100" w:type="dxa"/>
              <w:bottom w:w="100" w:type="dxa"/>
              <w:right w:w="100" w:type="dxa"/>
            </w:tcMar>
          </w:tcPr>
          <w:p w:rsidR="00E66AD9" w:rsidRDefault="00886695">
            <w:pPr>
              <w:widowControl w:val="0"/>
              <w:spacing w:line="240" w:lineRule="auto"/>
              <w:rPr>
                <w:szCs w:val="21"/>
              </w:rPr>
            </w:pPr>
            <w:r>
              <w:rPr>
                <w:szCs w:val="21"/>
              </w:rPr>
              <w:t>central</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lateral</w:t>
            </w:r>
          </w:p>
        </w:tc>
      </w:tr>
      <w:tr w:rsidR="00E66AD9">
        <w:tc>
          <w:tcPr>
            <w:tcW w:w="3225" w:type="dxa"/>
            <w:tcMar>
              <w:top w:w="100" w:type="dxa"/>
              <w:left w:w="100" w:type="dxa"/>
              <w:bottom w:w="100" w:type="dxa"/>
              <w:right w:w="100" w:type="dxa"/>
            </w:tcMar>
          </w:tcPr>
          <w:p w:rsidR="00E66AD9" w:rsidRDefault="00886695">
            <w:pPr>
              <w:widowControl w:val="0"/>
              <w:spacing w:line="240" w:lineRule="auto"/>
              <w:rPr>
                <w:szCs w:val="21"/>
              </w:rPr>
            </w:pPr>
            <w:r>
              <w:rPr>
                <w:szCs w:val="21"/>
              </w:rPr>
              <w:t>mild</w:t>
            </w:r>
          </w:p>
        </w:tc>
        <w:tc>
          <w:tcPr>
            <w:tcW w:w="2775" w:type="dxa"/>
            <w:tcMar>
              <w:top w:w="100" w:type="dxa"/>
              <w:left w:w="100" w:type="dxa"/>
              <w:bottom w:w="100" w:type="dxa"/>
              <w:right w:w="100" w:type="dxa"/>
            </w:tcMar>
          </w:tcPr>
          <w:p w:rsidR="00E66AD9" w:rsidRDefault="00886695">
            <w:pPr>
              <w:widowControl w:val="0"/>
              <w:spacing w:line="240" w:lineRule="auto"/>
              <w:rPr>
                <w:szCs w:val="21"/>
              </w:rPr>
            </w:pPr>
            <w:r>
              <w:rPr>
                <w:szCs w:val="21"/>
              </w:rPr>
              <w:t>15(93.75%)</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24(66.67%)</w:t>
            </w:r>
          </w:p>
        </w:tc>
      </w:tr>
      <w:tr w:rsidR="00E66AD9">
        <w:tc>
          <w:tcPr>
            <w:tcW w:w="3225" w:type="dxa"/>
            <w:tcMar>
              <w:top w:w="100" w:type="dxa"/>
              <w:left w:w="100" w:type="dxa"/>
              <w:bottom w:w="100" w:type="dxa"/>
              <w:right w:w="100" w:type="dxa"/>
            </w:tcMar>
          </w:tcPr>
          <w:p w:rsidR="00E66AD9" w:rsidRDefault="00886695">
            <w:pPr>
              <w:widowControl w:val="0"/>
              <w:spacing w:line="240" w:lineRule="auto"/>
              <w:rPr>
                <w:szCs w:val="21"/>
              </w:rPr>
            </w:pPr>
            <w:r>
              <w:rPr>
                <w:szCs w:val="21"/>
              </w:rPr>
              <w:t>severe</w:t>
            </w:r>
          </w:p>
        </w:tc>
        <w:tc>
          <w:tcPr>
            <w:tcW w:w="2775" w:type="dxa"/>
            <w:tcMar>
              <w:top w:w="100" w:type="dxa"/>
              <w:left w:w="100" w:type="dxa"/>
              <w:bottom w:w="100" w:type="dxa"/>
              <w:right w:w="100" w:type="dxa"/>
            </w:tcMar>
          </w:tcPr>
          <w:p w:rsidR="00E66AD9" w:rsidRDefault="00886695">
            <w:pPr>
              <w:widowControl w:val="0"/>
              <w:spacing w:line="240" w:lineRule="auto"/>
              <w:rPr>
                <w:szCs w:val="21"/>
              </w:rPr>
            </w:pPr>
            <w:r>
              <w:rPr>
                <w:szCs w:val="21"/>
              </w:rPr>
              <w:t>1(6.25%)</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12(33.3%)</w:t>
            </w:r>
          </w:p>
        </w:tc>
      </w:tr>
      <w:tr w:rsidR="00E66AD9">
        <w:tc>
          <w:tcPr>
            <w:tcW w:w="3225" w:type="dxa"/>
            <w:tcMar>
              <w:top w:w="100" w:type="dxa"/>
              <w:left w:w="100" w:type="dxa"/>
              <w:bottom w:w="100" w:type="dxa"/>
              <w:right w:w="100" w:type="dxa"/>
            </w:tcMar>
          </w:tcPr>
          <w:p w:rsidR="00E66AD9" w:rsidRDefault="00886695">
            <w:pPr>
              <w:widowControl w:val="0"/>
              <w:spacing w:line="240" w:lineRule="auto"/>
              <w:rPr>
                <w:szCs w:val="21"/>
              </w:rPr>
            </w:pPr>
            <w:r>
              <w:rPr>
                <w:szCs w:val="21"/>
              </w:rPr>
              <w:t>total</w:t>
            </w:r>
          </w:p>
        </w:tc>
        <w:tc>
          <w:tcPr>
            <w:tcW w:w="2775" w:type="dxa"/>
            <w:tcMar>
              <w:top w:w="100" w:type="dxa"/>
              <w:left w:w="100" w:type="dxa"/>
              <w:bottom w:w="100" w:type="dxa"/>
              <w:right w:w="100" w:type="dxa"/>
            </w:tcMar>
          </w:tcPr>
          <w:p w:rsidR="00E66AD9" w:rsidRDefault="00886695">
            <w:pPr>
              <w:widowControl w:val="0"/>
              <w:spacing w:line="240" w:lineRule="auto"/>
              <w:rPr>
                <w:szCs w:val="21"/>
              </w:rPr>
            </w:pPr>
            <w:r>
              <w:rPr>
                <w:szCs w:val="21"/>
              </w:rPr>
              <w:t>16</w:t>
            </w:r>
          </w:p>
        </w:tc>
        <w:tc>
          <w:tcPr>
            <w:tcW w:w="3000" w:type="dxa"/>
            <w:tcMar>
              <w:top w:w="100" w:type="dxa"/>
              <w:left w:w="100" w:type="dxa"/>
              <w:bottom w:w="100" w:type="dxa"/>
              <w:right w:w="100" w:type="dxa"/>
            </w:tcMar>
          </w:tcPr>
          <w:p w:rsidR="00E66AD9" w:rsidRDefault="00886695">
            <w:pPr>
              <w:widowControl w:val="0"/>
              <w:spacing w:line="240" w:lineRule="auto"/>
              <w:rPr>
                <w:szCs w:val="21"/>
              </w:rPr>
            </w:pPr>
            <w:r>
              <w:rPr>
                <w:szCs w:val="21"/>
              </w:rPr>
              <w:t>36</w:t>
            </w:r>
          </w:p>
        </w:tc>
      </w:tr>
    </w:tbl>
    <w:p w:rsidR="00E66AD9" w:rsidRDefault="00886695">
      <w:pPr>
        <w:widowControl w:val="0"/>
        <w:spacing w:line="240" w:lineRule="auto"/>
        <w:rPr>
          <w:rFonts w:ascii="Times New Roman" w:eastAsia="Times New Roman" w:hAnsi="Times New Roman" w:cs="Times New Roman"/>
          <w:sz w:val="27"/>
          <w:szCs w:val="27"/>
        </w:rPr>
      </w:pPr>
      <w:r>
        <w:rPr>
          <w:szCs w:val="21"/>
          <w:highlight w:val="white"/>
        </w:rPr>
        <w:t>Chi square=4.33, p value-0.037</w:t>
      </w:r>
      <w:r>
        <w:rPr>
          <w:rFonts w:ascii="Times New Roman" w:eastAsia="Times New Roman" w:hAnsi="Times New Roman" w:cs="Times New Roman"/>
          <w:sz w:val="27"/>
          <w:szCs w:val="27"/>
        </w:rPr>
        <w:t xml:space="preserve"> </w:t>
      </w:r>
    </w:p>
    <w:p w:rsidR="00E66AD9" w:rsidRDefault="00E66AD9">
      <w:pPr>
        <w:widowControl w:val="0"/>
        <w:spacing w:line="240" w:lineRule="auto"/>
        <w:rPr>
          <w:rFonts w:ascii="Times New Roman" w:eastAsia="Times New Roman" w:hAnsi="Times New Roman" w:cs="Times New Roman"/>
          <w:sz w:val="27"/>
          <w:szCs w:val="27"/>
        </w:rPr>
      </w:pPr>
    </w:p>
    <w:p w:rsidR="00E66AD9" w:rsidRDefault="00886695">
      <w:pPr>
        <w:widowControl w:val="0"/>
        <w:spacing w:line="240" w:lineRule="auto"/>
        <w:rPr>
          <w:szCs w:val="21"/>
        </w:rPr>
      </w:pPr>
      <w:r>
        <w:rPr>
          <w:szCs w:val="21"/>
        </w:rPr>
        <w:t xml:space="preserve">Table 6 Onset of </w:t>
      </w:r>
      <w:proofErr w:type="spellStart"/>
      <w:r>
        <w:rPr>
          <w:szCs w:val="21"/>
        </w:rPr>
        <w:t>Labour</w:t>
      </w:r>
      <w:proofErr w:type="spellEnd"/>
      <w:r>
        <w:rPr>
          <w:szCs w:val="21"/>
        </w:rPr>
        <w:t xml:space="preserve"> in Relation to Placental Location</w:t>
      </w:r>
    </w:p>
    <w:tbl>
      <w:tblPr>
        <w:tblStyle w:val="a5"/>
        <w:tblW w:w="9075"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55"/>
        <w:gridCol w:w="2520"/>
        <w:gridCol w:w="2370"/>
        <w:gridCol w:w="1830"/>
      </w:tblGrid>
      <w:tr w:rsidR="00E66AD9">
        <w:trPr>
          <w:trHeight w:val="605"/>
        </w:trPr>
        <w:tc>
          <w:tcPr>
            <w:tcW w:w="2355" w:type="dxa"/>
            <w:tcMar>
              <w:top w:w="100" w:type="dxa"/>
              <w:left w:w="100" w:type="dxa"/>
              <w:bottom w:w="100" w:type="dxa"/>
              <w:right w:w="100" w:type="dxa"/>
            </w:tcMar>
          </w:tcPr>
          <w:p w:rsidR="00E66AD9" w:rsidRDefault="00886695">
            <w:pPr>
              <w:widowControl w:val="0"/>
              <w:spacing w:line="240" w:lineRule="auto"/>
              <w:ind w:left="135"/>
              <w:rPr>
                <w:szCs w:val="21"/>
              </w:rPr>
            </w:pPr>
            <w:proofErr w:type="spellStart"/>
            <w:r>
              <w:rPr>
                <w:szCs w:val="21"/>
                <w:highlight w:val="white"/>
              </w:rPr>
              <w:t>Labour</w:t>
            </w:r>
            <w:proofErr w:type="spellEnd"/>
            <w:r>
              <w:rPr>
                <w:szCs w:val="21"/>
                <w:highlight w:val="white"/>
              </w:rPr>
              <w:t xml:space="preserve"> onset</w:t>
            </w:r>
            <w:r>
              <w:rPr>
                <w:szCs w:val="21"/>
              </w:rPr>
              <w:t xml:space="preserve"> </w:t>
            </w:r>
          </w:p>
        </w:tc>
        <w:tc>
          <w:tcPr>
            <w:tcW w:w="2520" w:type="dxa"/>
            <w:tcMar>
              <w:top w:w="100" w:type="dxa"/>
              <w:left w:w="100" w:type="dxa"/>
              <w:bottom w:w="100" w:type="dxa"/>
              <w:right w:w="100" w:type="dxa"/>
            </w:tcMar>
          </w:tcPr>
          <w:p w:rsidR="00E66AD9" w:rsidRDefault="00886695">
            <w:pPr>
              <w:widowControl w:val="0"/>
              <w:spacing w:line="240" w:lineRule="auto"/>
              <w:ind w:left="134"/>
              <w:rPr>
                <w:szCs w:val="21"/>
              </w:rPr>
            </w:pPr>
            <w:r>
              <w:rPr>
                <w:szCs w:val="21"/>
                <w:highlight w:val="white"/>
              </w:rPr>
              <w:t>Central Placenta</w:t>
            </w:r>
            <w:r>
              <w:rPr>
                <w:szCs w:val="21"/>
              </w:rPr>
              <w:t xml:space="preserve"> </w:t>
            </w:r>
          </w:p>
        </w:tc>
        <w:tc>
          <w:tcPr>
            <w:tcW w:w="2370"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Lateral Placenta</w:t>
            </w:r>
            <w:r>
              <w:rPr>
                <w:szCs w:val="21"/>
              </w:rPr>
              <w:t xml:space="preserve"> </w:t>
            </w:r>
          </w:p>
        </w:tc>
        <w:tc>
          <w:tcPr>
            <w:tcW w:w="1830" w:type="dxa"/>
            <w:tcMar>
              <w:top w:w="100" w:type="dxa"/>
              <w:left w:w="100" w:type="dxa"/>
              <w:bottom w:w="100" w:type="dxa"/>
              <w:right w:w="100" w:type="dxa"/>
            </w:tcMar>
          </w:tcPr>
          <w:p w:rsidR="00E66AD9" w:rsidRDefault="00886695">
            <w:pPr>
              <w:widowControl w:val="0"/>
              <w:spacing w:line="240" w:lineRule="auto"/>
              <w:ind w:left="133"/>
              <w:rPr>
                <w:szCs w:val="21"/>
                <w:highlight w:val="white"/>
              </w:rPr>
            </w:pPr>
            <w:r>
              <w:rPr>
                <w:szCs w:val="21"/>
                <w:highlight w:val="white"/>
              </w:rPr>
              <w:t>Total</w:t>
            </w:r>
          </w:p>
        </w:tc>
      </w:tr>
      <w:tr w:rsidR="00E66AD9">
        <w:trPr>
          <w:trHeight w:val="540"/>
        </w:trPr>
        <w:tc>
          <w:tcPr>
            <w:tcW w:w="2355" w:type="dxa"/>
            <w:tcMar>
              <w:top w:w="100" w:type="dxa"/>
              <w:left w:w="100" w:type="dxa"/>
              <w:bottom w:w="100" w:type="dxa"/>
              <w:right w:w="100" w:type="dxa"/>
            </w:tcMar>
          </w:tcPr>
          <w:p w:rsidR="00E66AD9" w:rsidRDefault="00886695">
            <w:pPr>
              <w:widowControl w:val="0"/>
              <w:spacing w:line="240" w:lineRule="auto"/>
              <w:ind w:left="143"/>
              <w:rPr>
                <w:szCs w:val="21"/>
              </w:rPr>
            </w:pPr>
            <w:r>
              <w:rPr>
                <w:szCs w:val="21"/>
                <w:highlight w:val="white"/>
              </w:rPr>
              <w:t>spontaneous</w:t>
            </w:r>
            <w:r>
              <w:rPr>
                <w:szCs w:val="21"/>
              </w:rPr>
              <w:t xml:space="preserve"> </w:t>
            </w:r>
          </w:p>
        </w:tc>
        <w:tc>
          <w:tcPr>
            <w:tcW w:w="2520" w:type="dxa"/>
            <w:tcMar>
              <w:top w:w="100" w:type="dxa"/>
              <w:left w:w="100" w:type="dxa"/>
              <w:bottom w:w="100" w:type="dxa"/>
              <w:right w:w="100" w:type="dxa"/>
            </w:tcMar>
          </w:tcPr>
          <w:p w:rsidR="00E66AD9" w:rsidRDefault="00886695">
            <w:pPr>
              <w:widowControl w:val="0"/>
              <w:spacing w:line="240" w:lineRule="auto"/>
              <w:ind w:left="156"/>
              <w:rPr>
                <w:szCs w:val="21"/>
              </w:rPr>
            </w:pPr>
            <w:r>
              <w:rPr>
                <w:szCs w:val="21"/>
                <w:highlight w:val="white"/>
              </w:rPr>
              <w:t>145</w:t>
            </w:r>
            <w:r>
              <w:rPr>
                <w:szCs w:val="21"/>
              </w:rPr>
              <w:t xml:space="preserve"> </w:t>
            </w:r>
          </w:p>
        </w:tc>
        <w:tc>
          <w:tcPr>
            <w:tcW w:w="2370" w:type="dxa"/>
            <w:tcMar>
              <w:top w:w="100" w:type="dxa"/>
              <w:left w:w="100" w:type="dxa"/>
              <w:bottom w:w="100" w:type="dxa"/>
              <w:right w:w="100" w:type="dxa"/>
            </w:tcMar>
          </w:tcPr>
          <w:p w:rsidR="00E66AD9" w:rsidRDefault="00886695">
            <w:pPr>
              <w:widowControl w:val="0"/>
              <w:spacing w:line="240" w:lineRule="auto"/>
              <w:ind w:left="156"/>
              <w:rPr>
                <w:szCs w:val="21"/>
                <w:highlight w:val="white"/>
              </w:rPr>
            </w:pPr>
            <w:r>
              <w:rPr>
                <w:szCs w:val="21"/>
                <w:highlight w:val="white"/>
              </w:rPr>
              <w:t>76</w:t>
            </w:r>
          </w:p>
        </w:tc>
        <w:tc>
          <w:tcPr>
            <w:tcW w:w="1830" w:type="dxa"/>
            <w:tcMar>
              <w:top w:w="100" w:type="dxa"/>
              <w:left w:w="100" w:type="dxa"/>
              <w:bottom w:w="100" w:type="dxa"/>
              <w:right w:w="100" w:type="dxa"/>
            </w:tcMar>
          </w:tcPr>
          <w:p w:rsidR="00E66AD9" w:rsidRDefault="00886695">
            <w:pPr>
              <w:widowControl w:val="0"/>
              <w:spacing w:line="240" w:lineRule="auto"/>
              <w:ind w:left="130"/>
              <w:rPr>
                <w:szCs w:val="21"/>
                <w:highlight w:val="white"/>
              </w:rPr>
            </w:pPr>
            <w:r>
              <w:rPr>
                <w:szCs w:val="21"/>
                <w:highlight w:val="white"/>
              </w:rPr>
              <w:t>221</w:t>
            </w:r>
          </w:p>
        </w:tc>
      </w:tr>
      <w:tr w:rsidR="00E66AD9">
        <w:trPr>
          <w:trHeight w:val="540"/>
        </w:trPr>
        <w:tc>
          <w:tcPr>
            <w:tcW w:w="2355" w:type="dxa"/>
            <w:tcMar>
              <w:top w:w="100" w:type="dxa"/>
              <w:left w:w="100" w:type="dxa"/>
              <w:bottom w:w="100" w:type="dxa"/>
              <w:right w:w="100" w:type="dxa"/>
            </w:tcMar>
          </w:tcPr>
          <w:p w:rsidR="00E66AD9" w:rsidRDefault="00886695">
            <w:pPr>
              <w:widowControl w:val="0"/>
              <w:spacing w:line="240" w:lineRule="auto"/>
              <w:ind w:left="137"/>
              <w:rPr>
                <w:szCs w:val="21"/>
              </w:rPr>
            </w:pPr>
            <w:r>
              <w:rPr>
                <w:szCs w:val="21"/>
                <w:highlight w:val="white"/>
              </w:rPr>
              <w:t>induced</w:t>
            </w:r>
            <w:r>
              <w:rPr>
                <w:szCs w:val="21"/>
              </w:rPr>
              <w:t xml:space="preserve"> </w:t>
            </w:r>
          </w:p>
        </w:tc>
        <w:tc>
          <w:tcPr>
            <w:tcW w:w="2520" w:type="dxa"/>
            <w:tcMar>
              <w:top w:w="100" w:type="dxa"/>
              <w:left w:w="100" w:type="dxa"/>
              <w:bottom w:w="100" w:type="dxa"/>
              <w:right w:w="100" w:type="dxa"/>
            </w:tcMar>
          </w:tcPr>
          <w:p w:rsidR="00E66AD9" w:rsidRDefault="00886695">
            <w:pPr>
              <w:widowControl w:val="0"/>
              <w:spacing w:line="240" w:lineRule="auto"/>
              <w:ind w:left="136"/>
              <w:rPr>
                <w:szCs w:val="21"/>
              </w:rPr>
            </w:pPr>
            <w:r>
              <w:rPr>
                <w:szCs w:val="21"/>
                <w:highlight w:val="white"/>
              </w:rPr>
              <w:t>65</w:t>
            </w:r>
          </w:p>
        </w:tc>
        <w:tc>
          <w:tcPr>
            <w:tcW w:w="2370"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58</w:t>
            </w:r>
          </w:p>
        </w:tc>
        <w:tc>
          <w:tcPr>
            <w:tcW w:w="1830" w:type="dxa"/>
            <w:tcMar>
              <w:top w:w="100" w:type="dxa"/>
              <w:left w:w="100" w:type="dxa"/>
              <w:bottom w:w="100" w:type="dxa"/>
              <w:right w:w="100" w:type="dxa"/>
            </w:tcMar>
          </w:tcPr>
          <w:p w:rsidR="00E66AD9" w:rsidRDefault="00886695">
            <w:pPr>
              <w:widowControl w:val="0"/>
              <w:spacing w:line="240" w:lineRule="auto"/>
              <w:ind w:left="156"/>
              <w:rPr>
                <w:szCs w:val="21"/>
                <w:highlight w:val="white"/>
              </w:rPr>
            </w:pPr>
            <w:r>
              <w:rPr>
                <w:szCs w:val="21"/>
                <w:highlight w:val="white"/>
              </w:rPr>
              <w:t>123</w:t>
            </w:r>
          </w:p>
        </w:tc>
      </w:tr>
    </w:tbl>
    <w:p w:rsidR="00E66AD9" w:rsidRDefault="00886695">
      <w:pPr>
        <w:widowControl w:val="0"/>
        <w:spacing w:line="240" w:lineRule="auto"/>
        <w:rPr>
          <w:szCs w:val="21"/>
          <w:highlight w:val="white"/>
        </w:rPr>
      </w:pPr>
      <w:r>
        <w:rPr>
          <w:szCs w:val="21"/>
          <w:highlight w:val="white"/>
        </w:rPr>
        <w:t>chi -square=5.415, p value=0.019965</w:t>
      </w:r>
    </w:p>
    <w:p w:rsidR="00E66AD9" w:rsidRDefault="00E66AD9">
      <w:pPr>
        <w:widowControl w:val="0"/>
        <w:spacing w:line="240" w:lineRule="auto"/>
        <w:ind w:right="-111"/>
        <w:rPr>
          <w:szCs w:val="21"/>
        </w:rPr>
      </w:pPr>
    </w:p>
    <w:p w:rsidR="00E66AD9" w:rsidRDefault="00886695">
      <w:pPr>
        <w:widowControl w:val="0"/>
        <w:spacing w:before="311" w:line="240" w:lineRule="auto"/>
        <w:ind w:right="1447"/>
        <w:rPr>
          <w:szCs w:val="21"/>
        </w:rPr>
      </w:pPr>
      <w:r>
        <w:rPr>
          <w:szCs w:val="21"/>
        </w:rPr>
        <w:t>Table 7 Mode of Delivery According to Placental Location</w:t>
      </w:r>
    </w:p>
    <w:tbl>
      <w:tblPr>
        <w:tblStyle w:val="a6"/>
        <w:tblW w:w="9465" w:type="dxa"/>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3000"/>
        <w:gridCol w:w="2445"/>
        <w:gridCol w:w="1725"/>
      </w:tblGrid>
      <w:tr w:rsidR="00E66AD9">
        <w:trPr>
          <w:trHeight w:val="520"/>
        </w:trPr>
        <w:tc>
          <w:tcPr>
            <w:tcW w:w="2295" w:type="dxa"/>
            <w:tcMar>
              <w:top w:w="100" w:type="dxa"/>
              <w:left w:w="100" w:type="dxa"/>
              <w:bottom w:w="100" w:type="dxa"/>
              <w:right w:w="100" w:type="dxa"/>
            </w:tcMar>
          </w:tcPr>
          <w:p w:rsidR="00E66AD9" w:rsidRDefault="00886695">
            <w:pPr>
              <w:widowControl w:val="0"/>
              <w:spacing w:line="240" w:lineRule="auto"/>
              <w:rPr>
                <w:szCs w:val="21"/>
              </w:rPr>
            </w:pPr>
            <w:r>
              <w:rPr>
                <w:szCs w:val="21"/>
                <w:highlight w:val="white"/>
              </w:rPr>
              <w:t>Mode of delivery</w:t>
            </w:r>
            <w:r>
              <w:rPr>
                <w:szCs w:val="21"/>
              </w:rPr>
              <w:t xml:space="preserve"> </w:t>
            </w:r>
          </w:p>
        </w:tc>
        <w:tc>
          <w:tcPr>
            <w:tcW w:w="3000" w:type="dxa"/>
            <w:tcMar>
              <w:top w:w="100" w:type="dxa"/>
              <w:left w:w="100" w:type="dxa"/>
              <w:bottom w:w="100" w:type="dxa"/>
              <w:right w:w="100" w:type="dxa"/>
            </w:tcMar>
          </w:tcPr>
          <w:p w:rsidR="00E66AD9" w:rsidRDefault="00886695">
            <w:pPr>
              <w:widowControl w:val="0"/>
              <w:spacing w:line="240" w:lineRule="auto"/>
              <w:ind w:left="124"/>
              <w:rPr>
                <w:szCs w:val="21"/>
                <w:highlight w:val="white"/>
              </w:rPr>
            </w:pPr>
            <w:r>
              <w:rPr>
                <w:szCs w:val="21"/>
                <w:highlight w:val="white"/>
              </w:rPr>
              <w:t>Central placenta</w:t>
            </w:r>
          </w:p>
        </w:tc>
        <w:tc>
          <w:tcPr>
            <w:tcW w:w="2445" w:type="dxa"/>
            <w:tcMar>
              <w:top w:w="100" w:type="dxa"/>
              <w:left w:w="100" w:type="dxa"/>
              <w:bottom w:w="100" w:type="dxa"/>
              <w:right w:w="100" w:type="dxa"/>
            </w:tcMar>
          </w:tcPr>
          <w:p w:rsidR="00E66AD9" w:rsidRDefault="00886695">
            <w:pPr>
              <w:widowControl w:val="0"/>
              <w:spacing w:line="240" w:lineRule="auto"/>
              <w:rPr>
                <w:szCs w:val="21"/>
              </w:rPr>
            </w:pPr>
            <w:r>
              <w:rPr>
                <w:szCs w:val="21"/>
                <w:highlight w:val="white"/>
              </w:rPr>
              <w:t>Lateral Placenta</w:t>
            </w:r>
            <w:r>
              <w:rPr>
                <w:szCs w:val="21"/>
              </w:rPr>
              <w:t xml:space="preserve"> </w:t>
            </w:r>
          </w:p>
        </w:tc>
        <w:tc>
          <w:tcPr>
            <w:tcW w:w="1725" w:type="dxa"/>
            <w:tcMar>
              <w:top w:w="100" w:type="dxa"/>
              <w:left w:w="100" w:type="dxa"/>
              <w:bottom w:w="100" w:type="dxa"/>
              <w:right w:w="100" w:type="dxa"/>
            </w:tcMar>
          </w:tcPr>
          <w:p w:rsidR="00E66AD9" w:rsidRDefault="00886695">
            <w:pPr>
              <w:widowControl w:val="0"/>
              <w:spacing w:line="240" w:lineRule="auto"/>
              <w:ind w:left="138"/>
              <w:rPr>
                <w:szCs w:val="21"/>
                <w:highlight w:val="white"/>
              </w:rPr>
            </w:pPr>
            <w:r>
              <w:rPr>
                <w:szCs w:val="21"/>
                <w:highlight w:val="white"/>
              </w:rPr>
              <w:t>Total</w:t>
            </w:r>
          </w:p>
        </w:tc>
      </w:tr>
      <w:tr w:rsidR="00E66AD9">
        <w:trPr>
          <w:trHeight w:val="520"/>
        </w:trPr>
        <w:tc>
          <w:tcPr>
            <w:tcW w:w="2295" w:type="dxa"/>
            <w:tcMar>
              <w:top w:w="100" w:type="dxa"/>
              <w:left w:w="100" w:type="dxa"/>
              <w:bottom w:w="100" w:type="dxa"/>
              <w:right w:w="100" w:type="dxa"/>
            </w:tcMar>
          </w:tcPr>
          <w:p w:rsidR="00E66AD9" w:rsidRDefault="00886695">
            <w:pPr>
              <w:widowControl w:val="0"/>
              <w:spacing w:line="240" w:lineRule="auto"/>
              <w:ind w:left="119"/>
              <w:rPr>
                <w:szCs w:val="21"/>
                <w:highlight w:val="white"/>
              </w:rPr>
            </w:pPr>
            <w:r>
              <w:rPr>
                <w:szCs w:val="21"/>
                <w:highlight w:val="white"/>
              </w:rPr>
              <w:t>LSCS</w:t>
            </w:r>
          </w:p>
        </w:tc>
        <w:tc>
          <w:tcPr>
            <w:tcW w:w="3000" w:type="dxa"/>
            <w:tcMar>
              <w:top w:w="100" w:type="dxa"/>
              <w:left w:w="100" w:type="dxa"/>
              <w:bottom w:w="100" w:type="dxa"/>
              <w:right w:w="100" w:type="dxa"/>
            </w:tcMar>
          </w:tcPr>
          <w:p w:rsidR="00E66AD9" w:rsidRDefault="00886695">
            <w:pPr>
              <w:widowControl w:val="0"/>
              <w:spacing w:line="240" w:lineRule="auto"/>
              <w:ind w:left="124"/>
              <w:rPr>
                <w:szCs w:val="21"/>
                <w:highlight w:val="white"/>
              </w:rPr>
            </w:pPr>
            <w:r>
              <w:rPr>
                <w:szCs w:val="21"/>
                <w:highlight w:val="white"/>
              </w:rPr>
              <w:t>75</w:t>
            </w:r>
          </w:p>
        </w:tc>
        <w:tc>
          <w:tcPr>
            <w:tcW w:w="2445" w:type="dxa"/>
            <w:tcMar>
              <w:top w:w="100" w:type="dxa"/>
              <w:left w:w="100" w:type="dxa"/>
              <w:bottom w:w="100" w:type="dxa"/>
              <w:right w:w="100" w:type="dxa"/>
            </w:tcMar>
          </w:tcPr>
          <w:p w:rsidR="00E66AD9" w:rsidRDefault="00886695">
            <w:pPr>
              <w:widowControl w:val="0"/>
              <w:spacing w:line="240" w:lineRule="auto"/>
              <w:rPr>
                <w:szCs w:val="21"/>
                <w:highlight w:val="white"/>
              </w:rPr>
            </w:pPr>
            <w:r>
              <w:rPr>
                <w:szCs w:val="21"/>
                <w:highlight w:val="white"/>
              </w:rPr>
              <w:t>71</w:t>
            </w:r>
          </w:p>
        </w:tc>
        <w:tc>
          <w:tcPr>
            <w:tcW w:w="1725" w:type="dxa"/>
            <w:tcMar>
              <w:top w:w="100" w:type="dxa"/>
              <w:left w:w="100" w:type="dxa"/>
              <w:bottom w:w="100" w:type="dxa"/>
              <w:right w:w="100" w:type="dxa"/>
            </w:tcMar>
          </w:tcPr>
          <w:p w:rsidR="00E66AD9" w:rsidRDefault="00886695">
            <w:pPr>
              <w:widowControl w:val="0"/>
              <w:spacing w:line="240" w:lineRule="auto"/>
              <w:ind w:left="138"/>
              <w:rPr>
                <w:szCs w:val="21"/>
                <w:highlight w:val="white"/>
              </w:rPr>
            </w:pPr>
            <w:r>
              <w:rPr>
                <w:szCs w:val="21"/>
                <w:highlight w:val="white"/>
              </w:rPr>
              <w:t>146</w:t>
            </w:r>
          </w:p>
        </w:tc>
      </w:tr>
      <w:tr w:rsidR="00E66AD9">
        <w:trPr>
          <w:trHeight w:val="520"/>
        </w:trPr>
        <w:tc>
          <w:tcPr>
            <w:tcW w:w="2295" w:type="dxa"/>
            <w:tcMar>
              <w:top w:w="100" w:type="dxa"/>
              <w:left w:w="100" w:type="dxa"/>
              <w:bottom w:w="100" w:type="dxa"/>
              <w:right w:w="100" w:type="dxa"/>
            </w:tcMar>
          </w:tcPr>
          <w:p w:rsidR="00E66AD9" w:rsidRDefault="00886695">
            <w:pPr>
              <w:widowControl w:val="0"/>
              <w:spacing w:line="240" w:lineRule="auto"/>
              <w:ind w:left="119"/>
              <w:rPr>
                <w:szCs w:val="21"/>
                <w:highlight w:val="white"/>
              </w:rPr>
            </w:pPr>
            <w:r>
              <w:rPr>
                <w:szCs w:val="21"/>
                <w:highlight w:val="white"/>
              </w:rPr>
              <w:t>vaginal</w:t>
            </w:r>
          </w:p>
        </w:tc>
        <w:tc>
          <w:tcPr>
            <w:tcW w:w="3000" w:type="dxa"/>
            <w:tcMar>
              <w:top w:w="100" w:type="dxa"/>
              <w:left w:w="100" w:type="dxa"/>
              <w:bottom w:w="100" w:type="dxa"/>
              <w:right w:w="100" w:type="dxa"/>
            </w:tcMar>
          </w:tcPr>
          <w:p w:rsidR="00E66AD9" w:rsidRDefault="00886695">
            <w:pPr>
              <w:widowControl w:val="0"/>
              <w:spacing w:line="240" w:lineRule="auto"/>
              <w:ind w:left="124"/>
              <w:rPr>
                <w:szCs w:val="21"/>
                <w:highlight w:val="white"/>
              </w:rPr>
            </w:pPr>
            <w:r>
              <w:rPr>
                <w:szCs w:val="21"/>
                <w:highlight w:val="white"/>
              </w:rPr>
              <w:t>135</w:t>
            </w:r>
          </w:p>
        </w:tc>
        <w:tc>
          <w:tcPr>
            <w:tcW w:w="2445" w:type="dxa"/>
            <w:tcMar>
              <w:top w:w="100" w:type="dxa"/>
              <w:left w:w="100" w:type="dxa"/>
              <w:bottom w:w="100" w:type="dxa"/>
              <w:right w:w="100" w:type="dxa"/>
            </w:tcMar>
          </w:tcPr>
          <w:p w:rsidR="00E66AD9" w:rsidRDefault="00886695">
            <w:pPr>
              <w:widowControl w:val="0"/>
              <w:spacing w:line="240" w:lineRule="auto"/>
              <w:rPr>
                <w:szCs w:val="21"/>
                <w:highlight w:val="white"/>
              </w:rPr>
            </w:pPr>
            <w:r>
              <w:rPr>
                <w:szCs w:val="21"/>
                <w:highlight w:val="white"/>
              </w:rPr>
              <w:t>63</w:t>
            </w:r>
          </w:p>
        </w:tc>
        <w:tc>
          <w:tcPr>
            <w:tcW w:w="1725" w:type="dxa"/>
            <w:tcMar>
              <w:top w:w="100" w:type="dxa"/>
              <w:left w:w="100" w:type="dxa"/>
              <w:bottom w:w="100" w:type="dxa"/>
              <w:right w:w="100" w:type="dxa"/>
            </w:tcMar>
          </w:tcPr>
          <w:p w:rsidR="00E66AD9" w:rsidRDefault="00886695">
            <w:pPr>
              <w:widowControl w:val="0"/>
              <w:spacing w:line="240" w:lineRule="auto"/>
              <w:ind w:left="138"/>
              <w:rPr>
                <w:szCs w:val="21"/>
                <w:highlight w:val="white"/>
              </w:rPr>
            </w:pPr>
            <w:r>
              <w:rPr>
                <w:szCs w:val="21"/>
                <w:highlight w:val="white"/>
              </w:rPr>
              <w:t>198</w:t>
            </w:r>
          </w:p>
        </w:tc>
      </w:tr>
    </w:tbl>
    <w:p w:rsidR="00E66AD9" w:rsidRDefault="00886695">
      <w:pPr>
        <w:widowControl w:val="0"/>
        <w:spacing w:before="220" w:line="318" w:lineRule="auto"/>
        <w:ind w:right="2340"/>
        <w:rPr>
          <w:szCs w:val="21"/>
        </w:rPr>
      </w:pPr>
      <w:r>
        <w:rPr>
          <w:szCs w:val="21"/>
          <w:highlight w:val="white"/>
        </w:rPr>
        <w:t>Chi-square =9.98, p value = 0.0016</w:t>
      </w:r>
      <w:r>
        <w:rPr>
          <w:szCs w:val="21"/>
        </w:rPr>
        <w:t xml:space="preserve"> </w:t>
      </w:r>
    </w:p>
    <w:p w:rsidR="00E66AD9" w:rsidRDefault="00886695">
      <w:pPr>
        <w:widowControl w:val="0"/>
        <w:spacing w:before="317" w:line="344" w:lineRule="auto"/>
        <w:ind w:right="1304"/>
        <w:rPr>
          <w:b/>
          <w:szCs w:val="21"/>
        </w:rPr>
      </w:pPr>
      <w:r>
        <w:rPr>
          <w:szCs w:val="21"/>
          <w:highlight w:val="white"/>
        </w:rPr>
        <w:lastRenderedPageBreak/>
        <w:t>Table 8</w:t>
      </w:r>
      <w:r>
        <w:rPr>
          <w:szCs w:val="21"/>
        </w:rPr>
        <w:t xml:space="preserve"> Maternal and Fetal Outcomes According to Placental Location</w:t>
      </w:r>
    </w:p>
    <w:tbl>
      <w:tblPr>
        <w:tblStyle w:val="a7"/>
        <w:tblW w:w="9555"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2730"/>
        <w:gridCol w:w="2595"/>
        <w:gridCol w:w="1545"/>
      </w:tblGrid>
      <w:tr w:rsidR="00E66AD9">
        <w:trPr>
          <w:trHeight w:val="510"/>
        </w:trPr>
        <w:tc>
          <w:tcPr>
            <w:tcW w:w="2685" w:type="dxa"/>
            <w:tcMar>
              <w:top w:w="100" w:type="dxa"/>
              <w:left w:w="100" w:type="dxa"/>
              <w:bottom w:w="100" w:type="dxa"/>
              <w:right w:w="100" w:type="dxa"/>
            </w:tcMar>
          </w:tcPr>
          <w:p w:rsidR="00E66AD9" w:rsidRDefault="00886695">
            <w:pPr>
              <w:widowControl w:val="0"/>
              <w:spacing w:line="240" w:lineRule="auto"/>
              <w:ind w:left="127"/>
              <w:rPr>
                <w:szCs w:val="21"/>
              </w:rPr>
            </w:pPr>
            <w:r>
              <w:rPr>
                <w:szCs w:val="21"/>
                <w:highlight w:val="white"/>
              </w:rPr>
              <w:t>Outcome</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right="-1165"/>
              <w:rPr>
                <w:szCs w:val="21"/>
              </w:rPr>
            </w:pPr>
            <w:r>
              <w:rPr>
                <w:szCs w:val="21"/>
                <w:highlight w:val="white"/>
              </w:rPr>
              <w:t>Central Placenta</w:t>
            </w:r>
          </w:p>
        </w:tc>
        <w:tc>
          <w:tcPr>
            <w:tcW w:w="2595" w:type="dxa"/>
            <w:tcMar>
              <w:top w:w="100" w:type="dxa"/>
              <w:left w:w="100" w:type="dxa"/>
              <w:bottom w:w="100" w:type="dxa"/>
              <w:right w:w="100" w:type="dxa"/>
            </w:tcMar>
          </w:tcPr>
          <w:p w:rsidR="00E66AD9" w:rsidRDefault="00886695">
            <w:pPr>
              <w:widowControl w:val="0"/>
              <w:spacing w:line="240" w:lineRule="auto"/>
              <w:ind w:right="-1165"/>
              <w:rPr>
                <w:szCs w:val="21"/>
                <w:highlight w:val="white"/>
              </w:rPr>
            </w:pPr>
            <w:r>
              <w:rPr>
                <w:szCs w:val="21"/>
              </w:rPr>
              <w:t xml:space="preserve">Lateral </w:t>
            </w:r>
            <w:r>
              <w:rPr>
                <w:szCs w:val="21"/>
                <w:highlight w:val="white"/>
              </w:rPr>
              <w:t>Placenta</w:t>
            </w:r>
          </w:p>
        </w:tc>
        <w:tc>
          <w:tcPr>
            <w:tcW w:w="1545" w:type="dxa"/>
            <w:tcMar>
              <w:top w:w="100" w:type="dxa"/>
              <w:left w:w="100" w:type="dxa"/>
              <w:bottom w:w="100" w:type="dxa"/>
              <w:right w:w="100" w:type="dxa"/>
            </w:tcMar>
          </w:tcPr>
          <w:p w:rsidR="00E66AD9" w:rsidRDefault="00886695">
            <w:pPr>
              <w:widowControl w:val="0"/>
              <w:spacing w:line="240" w:lineRule="auto"/>
              <w:ind w:left="133"/>
              <w:rPr>
                <w:szCs w:val="21"/>
                <w:highlight w:val="white"/>
              </w:rPr>
            </w:pPr>
            <w:r>
              <w:rPr>
                <w:szCs w:val="21"/>
                <w:highlight w:val="white"/>
              </w:rPr>
              <w:t>P value</w:t>
            </w:r>
          </w:p>
        </w:tc>
      </w:tr>
      <w:tr w:rsidR="00E66AD9">
        <w:trPr>
          <w:trHeight w:val="520"/>
        </w:trPr>
        <w:tc>
          <w:tcPr>
            <w:tcW w:w="2685" w:type="dxa"/>
            <w:tcMar>
              <w:top w:w="100" w:type="dxa"/>
              <w:left w:w="100" w:type="dxa"/>
              <w:bottom w:w="100" w:type="dxa"/>
              <w:right w:w="100" w:type="dxa"/>
            </w:tcMar>
          </w:tcPr>
          <w:p w:rsidR="00E66AD9" w:rsidRDefault="00886695">
            <w:pPr>
              <w:widowControl w:val="0"/>
              <w:spacing w:line="240" w:lineRule="auto"/>
              <w:ind w:left="111"/>
              <w:rPr>
                <w:szCs w:val="21"/>
              </w:rPr>
            </w:pPr>
            <w:r>
              <w:rPr>
                <w:szCs w:val="21"/>
              </w:rPr>
              <w:t>WNL</w:t>
            </w:r>
          </w:p>
        </w:tc>
        <w:tc>
          <w:tcPr>
            <w:tcW w:w="2730" w:type="dxa"/>
            <w:tcMar>
              <w:top w:w="100" w:type="dxa"/>
              <w:left w:w="100" w:type="dxa"/>
              <w:bottom w:w="100" w:type="dxa"/>
              <w:right w:w="100" w:type="dxa"/>
            </w:tcMar>
          </w:tcPr>
          <w:p w:rsidR="00E66AD9" w:rsidRDefault="00886695">
            <w:pPr>
              <w:widowControl w:val="0"/>
              <w:spacing w:line="240" w:lineRule="auto"/>
              <w:ind w:left="146"/>
              <w:rPr>
                <w:szCs w:val="21"/>
              </w:rPr>
            </w:pPr>
            <w:r>
              <w:rPr>
                <w:szCs w:val="21"/>
                <w:highlight w:val="white"/>
              </w:rPr>
              <w:t>164</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75</w:t>
            </w:r>
          </w:p>
        </w:tc>
        <w:tc>
          <w:tcPr>
            <w:tcW w:w="1545" w:type="dxa"/>
            <w:tcMar>
              <w:top w:w="100" w:type="dxa"/>
              <w:left w:w="100" w:type="dxa"/>
              <w:bottom w:w="100" w:type="dxa"/>
              <w:right w:w="100" w:type="dxa"/>
            </w:tcMar>
          </w:tcPr>
          <w:p w:rsidR="00E66AD9" w:rsidRDefault="00E66AD9">
            <w:pPr>
              <w:widowControl w:val="0"/>
              <w:rPr>
                <w:szCs w:val="21"/>
                <w:highlight w:val="white"/>
              </w:rPr>
            </w:pP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21"/>
              <w:rPr>
                <w:szCs w:val="21"/>
              </w:rPr>
            </w:pPr>
            <w:r>
              <w:rPr>
                <w:szCs w:val="21"/>
                <w:highlight w:val="white"/>
              </w:rPr>
              <w:t>IUGR</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46"/>
              <w:rPr>
                <w:szCs w:val="21"/>
              </w:rPr>
            </w:pPr>
            <w:r>
              <w:rPr>
                <w:szCs w:val="21"/>
                <w:highlight w:val="white"/>
              </w:rPr>
              <w:t>12</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22</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jc w:val="center"/>
              <w:rPr>
                <w:szCs w:val="21"/>
                <w:highlight w:val="white"/>
              </w:rPr>
            </w:pPr>
            <w:r>
              <w:rPr>
                <w:szCs w:val="21"/>
                <w:highlight w:val="white"/>
              </w:rPr>
              <w:t>0.0018(S)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20"/>
              <w:rPr>
                <w:szCs w:val="21"/>
              </w:rPr>
            </w:pPr>
            <w:r>
              <w:rPr>
                <w:szCs w:val="21"/>
                <w:highlight w:val="white"/>
              </w:rPr>
              <w:t>Eclampsia</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0"/>
              <w:rPr>
                <w:szCs w:val="21"/>
              </w:rPr>
            </w:pPr>
            <w:r>
              <w:rPr>
                <w:szCs w:val="21"/>
                <w:highlight w:val="white"/>
              </w:rPr>
              <w:t>2</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29"/>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0.16(NS)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7"/>
              <w:rPr>
                <w:szCs w:val="21"/>
              </w:rPr>
            </w:pPr>
            <w:r>
              <w:rPr>
                <w:szCs w:val="21"/>
                <w:highlight w:val="white"/>
              </w:rPr>
              <w:t>Abruption</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6"/>
              <w:rPr>
                <w:szCs w:val="21"/>
              </w:rPr>
            </w:pPr>
            <w:r>
              <w:rPr>
                <w:szCs w:val="21"/>
                <w:highlight w:val="white"/>
              </w:rPr>
              <w:t>3</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29"/>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0.318(NS)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rPr>
            </w:pPr>
            <w:r>
              <w:rPr>
                <w:szCs w:val="21"/>
                <w:highlight w:val="white"/>
              </w:rPr>
              <w:t>HELLP</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4"/>
              <w:rPr>
                <w:szCs w:val="21"/>
              </w:rPr>
            </w:pPr>
            <w:r>
              <w:rPr>
                <w:szCs w:val="21"/>
                <w:highlight w:val="white"/>
              </w:rPr>
              <w:t>0</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56"/>
              <w:rPr>
                <w:szCs w:val="21"/>
              </w:rPr>
            </w:pPr>
            <w:r>
              <w:rPr>
                <w:szCs w:val="21"/>
                <w:highlight w:val="white"/>
              </w:rPr>
              <w:t>1</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highlight w:val="white"/>
              </w:rPr>
            </w:pPr>
            <w:r>
              <w:rPr>
                <w:szCs w:val="21"/>
                <w:highlight w:val="white"/>
              </w:rPr>
              <w:t>DIC</w:t>
            </w:r>
          </w:p>
        </w:tc>
        <w:tc>
          <w:tcPr>
            <w:tcW w:w="2730" w:type="dxa"/>
            <w:tcMar>
              <w:top w:w="100" w:type="dxa"/>
              <w:left w:w="100" w:type="dxa"/>
              <w:bottom w:w="100" w:type="dxa"/>
              <w:right w:w="100" w:type="dxa"/>
            </w:tcMar>
          </w:tcPr>
          <w:p w:rsidR="00E66AD9" w:rsidRDefault="00886695">
            <w:pPr>
              <w:widowControl w:val="0"/>
              <w:spacing w:line="240" w:lineRule="auto"/>
              <w:ind w:left="124"/>
              <w:rPr>
                <w:szCs w:val="21"/>
                <w:highlight w:val="white"/>
              </w:rPr>
            </w:pPr>
            <w:r>
              <w:rPr>
                <w:szCs w:val="21"/>
                <w:highlight w:val="white"/>
              </w:rPr>
              <w:t>0</w:t>
            </w:r>
          </w:p>
        </w:tc>
        <w:tc>
          <w:tcPr>
            <w:tcW w:w="2595" w:type="dxa"/>
            <w:tcMar>
              <w:top w:w="100" w:type="dxa"/>
              <w:left w:w="100" w:type="dxa"/>
              <w:bottom w:w="100" w:type="dxa"/>
              <w:right w:w="100" w:type="dxa"/>
            </w:tcMar>
          </w:tcPr>
          <w:p w:rsidR="00E66AD9" w:rsidRDefault="00886695">
            <w:pPr>
              <w:widowControl w:val="0"/>
              <w:spacing w:line="240" w:lineRule="auto"/>
              <w:ind w:left="156"/>
              <w:rPr>
                <w:szCs w:val="21"/>
                <w:highlight w:val="white"/>
              </w:rPr>
            </w:pPr>
            <w:r>
              <w:rPr>
                <w:szCs w:val="21"/>
                <w:highlight w:val="white"/>
              </w:rPr>
              <w:t>0</w:t>
            </w:r>
          </w:p>
        </w:tc>
        <w:tc>
          <w:tcPr>
            <w:tcW w:w="1545"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rPr>
            </w:pPr>
            <w:r>
              <w:rPr>
                <w:szCs w:val="21"/>
                <w:highlight w:val="white"/>
              </w:rPr>
              <w:t>Renal failure</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4"/>
              <w:rPr>
                <w:szCs w:val="21"/>
              </w:rPr>
            </w:pPr>
            <w:r>
              <w:rPr>
                <w:szCs w:val="21"/>
                <w:highlight w:val="white"/>
              </w:rPr>
              <w:t>0</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2</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rPr>
            </w:pPr>
            <w:r>
              <w:rPr>
                <w:szCs w:val="21"/>
                <w:highlight w:val="white"/>
              </w:rPr>
              <w:t xml:space="preserve">Preterm </w:t>
            </w:r>
            <w:proofErr w:type="spellStart"/>
            <w:r>
              <w:rPr>
                <w:szCs w:val="21"/>
                <w:highlight w:val="white"/>
              </w:rPr>
              <w:t>Labour</w:t>
            </w:r>
            <w:proofErr w:type="spellEnd"/>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0"/>
              <w:rPr>
                <w:szCs w:val="21"/>
              </w:rPr>
            </w:pPr>
            <w:r>
              <w:rPr>
                <w:szCs w:val="21"/>
                <w:highlight w:val="white"/>
              </w:rPr>
              <w:t>28</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26</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0.13(NS)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32"/>
              <w:rPr>
                <w:szCs w:val="21"/>
              </w:rPr>
            </w:pPr>
            <w:r>
              <w:rPr>
                <w:szCs w:val="21"/>
                <w:highlight w:val="white"/>
              </w:rPr>
              <w:t>Sepsis</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46"/>
              <w:rPr>
                <w:szCs w:val="21"/>
              </w:rPr>
            </w:pPr>
            <w:r>
              <w:rPr>
                <w:szCs w:val="21"/>
                <w:highlight w:val="white"/>
              </w:rPr>
              <w:t>1</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2</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0.322(NS)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rPr>
            </w:pPr>
            <w:r>
              <w:rPr>
                <w:szCs w:val="21"/>
                <w:highlight w:val="white"/>
              </w:rPr>
              <w:t>Mortality</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4"/>
              <w:rPr>
                <w:szCs w:val="21"/>
              </w:rPr>
            </w:pPr>
            <w:r>
              <w:rPr>
                <w:szCs w:val="21"/>
                <w:highlight w:val="white"/>
              </w:rPr>
              <w:t>0</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4"/>
              <w:rPr>
                <w:szCs w:val="21"/>
              </w:rPr>
            </w:pPr>
            <w:r>
              <w:rPr>
                <w:szCs w:val="21"/>
                <w:highlight w:val="white"/>
              </w:rPr>
              <w:t>0</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23"/>
              <w:rPr>
                <w:szCs w:val="21"/>
              </w:rPr>
            </w:pPr>
            <w:r>
              <w:rPr>
                <w:szCs w:val="21"/>
                <w:highlight w:val="white"/>
              </w:rPr>
              <w:t>Total</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0"/>
              <w:rPr>
                <w:szCs w:val="21"/>
              </w:rPr>
            </w:pPr>
            <w:r>
              <w:rPr>
                <w:szCs w:val="21"/>
                <w:highlight w:val="white"/>
              </w:rPr>
              <w:t>210</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56"/>
              <w:rPr>
                <w:szCs w:val="21"/>
                <w:highlight w:val="white"/>
              </w:rPr>
            </w:pPr>
            <w:r>
              <w:rPr>
                <w:szCs w:val="21"/>
                <w:highlight w:val="white"/>
              </w:rPr>
              <w:t>134</w:t>
            </w:r>
          </w:p>
        </w:tc>
        <w:tc>
          <w:tcPr>
            <w:tcW w:w="1545" w:type="dxa"/>
            <w:tcMar>
              <w:top w:w="100" w:type="dxa"/>
              <w:left w:w="100" w:type="dxa"/>
              <w:bottom w:w="100" w:type="dxa"/>
              <w:right w:w="100" w:type="dxa"/>
            </w:tcMar>
          </w:tcPr>
          <w:p w:rsidR="00E66AD9" w:rsidRDefault="00E66AD9">
            <w:pPr>
              <w:widowControl w:val="0"/>
              <w:rPr>
                <w:szCs w:val="21"/>
                <w:highlight w:val="white"/>
              </w:rPr>
            </w:pPr>
          </w:p>
        </w:tc>
      </w:tr>
    </w:tbl>
    <w:p w:rsidR="00E66AD9" w:rsidRDefault="00886695">
      <w:pPr>
        <w:widowControl w:val="0"/>
        <w:rPr>
          <w:rFonts w:ascii="Times New Roman" w:eastAsia="Times New Roman" w:hAnsi="Times New Roman" w:cs="Times New Roman"/>
          <w:sz w:val="27"/>
          <w:szCs w:val="27"/>
          <w:highlight w:val="white"/>
        </w:rPr>
      </w:pPr>
      <w:r>
        <w:rPr>
          <w:rFonts w:ascii="Times New Roman" w:eastAsia="Times New Roman" w:hAnsi="Times New Roman" w:cs="Times New Roman"/>
          <w:b/>
          <w:bCs/>
          <w:noProof/>
          <w:sz w:val="33"/>
          <w:szCs w:val="33"/>
          <w:highlight w:val="white"/>
        </w:rPr>
        <w:lastRenderedPageBreak/>
        <w:drawing>
          <wp:inline distT="0" distB="0" distL="0" distR="0">
            <wp:extent cx="6299062" cy="4340258"/>
            <wp:effectExtent l="0" t="0" r="6985" b="3175"/>
            <wp:docPr id="1029"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a:blip r:embed="rId8" cstate="print"/>
                    <a:srcRect/>
                    <a:stretch/>
                  </pic:blipFill>
                  <pic:spPr>
                    <a:xfrm>
                      <a:off x="0" y="0"/>
                      <a:ext cx="6314239" cy="4350716"/>
                    </a:xfrm>
                    <a:prstGeom prst="rect">
                      <a:avLst/>
                    </a:prstGeom>
                  </pic:spPr>
                </pic:pic>
              </a:graphicData>
            </a:graphic>
          </wp:inline>
        </w:drawing>
      </w:r>
    </w:p>
    <w:p w:rsidR="00D1110D" w:rsidRDefault="00D1110D">
      <w:pPr>
        <w:widowControl w:val="0"/>
        <w:spacing w:before="317" w:line="344" w:lineRule="auto"/>
        <w:ind w:right="1304"/>
        <w:rPr>
          <w:szCs w:val="21"/>
        </w:rPr>
      </w:pPr>
      <w:r>
        <w:rPr>
          <w:szCs w:val="21"/>
        </w:rPr>
        <w:t>Fig 3:</w:t>
      </w:r>
      <w:r w:rsidR="007716D1" w:rsidRPr="007716D1">
        <w:t xml:space="preserve"> </w:t>
      </w:r>
      <w:r w:rsidR="007716D1">
        <w:t xml:space="preserve"> Graph showing the </w:t>
      </w:r>
      <w:r w:rsidR="007716D1" w:rsidRPr="007716D1">
        <w:rPr>
          <w:szCs w:val="21"/>
        </w:rPr>
        <w:t>Maternal and Fetal Outcomes According to Placental Location</w:t>
      </w:r>
    </w:p>
    <w:p w:rsidR="00D1110D" w:rsidRDefault="00D1110D">
      <w:pPr>
        <w:widowControl w:val="0"/>
        <w:spacing w:before="317" w:line="344" w:lineRule="auto"/>
        <w:ind w:right="1304"/>
        <w:rPr>
          <w:szCs w:val="21"/>
        </w:rPr>
      </w:pPr>
    </w:p>
    <w:p w:rsidR="00E66AD9" w:rsidRDefault="00886695">
      <w:pPr>
        <w:widowControl w:val="0"/>
        <w:spacing w:before="317" w:line="344" w:lineRule="auto"/>
        <w:ind w:right="1304"/>
        <w:rPr>
          <w:b/>
          <w:szCs w:val="21"/>
        </w:rPr>
      </w:pPr>
      <w:r>
        <w:rPr>
          <w:szCs w:val="21"/>
        </w:rPr>
        <w:t>Table 9 Neonatal Outcomes According to Placental Location</w:t>
      </w:r>
    </w:p>
    <w:tbl>
      <w:tblPr>
        <w:tblStyle w:val="a8"/>
        <w:tblW w:w="9555" w:type="dxa"/>
        <w:tblInd w:w="-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85"/>
        <w:gridCol w:w="2730"/>
        <w:gridCol w:w="2595"/>
        <w:gridCol w:w="1545"/>
      </w:tblGrid>
      <w:tr w:rsidR="00E66AD9">
        <w:trPr>
          <w:trHeight w:val="510"/>
        </w:trPr>
        <w:tc>
          <w:tcPr>
            <w:tcW w:w="2685" w:type="dxa"/>
            <w:tcMar>
              <w:top w:w="100" w:type="dxa"/>
              <w:left w:w="100" w:type="dxa"/>
              <w:bottom w:w="100" w:type="dxa"/>
              <w:right w:w="100" w:type="dxa"/>
            </w:tcMar>
          </w:tcPr>
          <w:p w:rsidR="00E66AD9" w:rsidRDefault="00886695">
            <w:pPr>
              <w:widowControl w:val="0"/>
              <w:spacing w:line="240" w:lineRule="auto"/>
              <w:ind w:left="127"/>
              <w:rPr>
                <w:szCs w:val="21"/>
              </w:rPr>
            </w:pPr>
            <w:r>
              <w:rPr>
                <w:szCs w:val="21"/>
                <w:highlight w:val="white"/>
              </w:rPr>
              <w:t>Neonatal outcome</w:t>
            </w:r>
          </w:p>
        </w:tc>
        <w:tc>
          <w:tcPr>
            <w:tcW w:w="2730" w:type="dxa"/>
            <w:tcMar>
              <w:top w:w="100" w:type="dxa"/>
              <w:left w:w="100" w:type="dxa"/>
              <w:bottom w:w="100" w:type="dxa"/>
              <w:right w:w="100" w:type="dxa"/>
            </w:tcMar>
          </w:tcPr>
          <w:p w:rsidR="00E66AD9" w:rsidRDefault="00886695">
            <w:pPr>
              <w:widowControl w:val="0"/>
              <w:spacing w:line="240" w:lineRule="auto"/>
              <w:ind w:right="-1165"/>
              <w:rPr>
                <w:szCs w:val="21"/>
              </w:rPr>
            </w:pPr>
            <w:r>
              <w:rPr>
                <w:szCs w:val="21"/>
                <w:highlight w:val="white"/>
              </w:rPr>
              <w:t>Central Placenta</w:t>
            </w:r>
          </w:p>
        </w:tc>
        <w:tc>
          <w:tcPr>
            <w:tcW w:w="2595" w:type="dxa"/>
            <w:tcMar>
              <w:top w:w="100" w:type="dxa"/>
              <w:left w:w="100" w:type="dxa"/>
              <w:bottom w:w="100" w:type="dxa"/>
              <w:right w:w="100" w:type="dxa"/>
            </w:tcMar>
          </w:tcPr>
          <w:p w:rsidR="00E66AD9" w:rsidRDefault="00886695">
            <w:pPr>
              <w:widowControl w:val="0"/>
              <w:spacing w:line="240" w:lineRule="auto"/>
              <w:ind w:right="-1165"/>
              <w:rPr>
                <w:szCs w:val="21"/>
                <w:highlight w:val="white"/>
              </w:rPr>
            </w:pPr>
            <w:r>
              <w:rPr>
                <w:szCs w:val="21"/>
              </w:rPr>
              <w:t xml:space="preserve">Lateral </w:t>
            </w:r>
            <w:r>
              <w:rPr>
                <w:szCs w:val="21"/>
                <w:highlight w:val="white"/>
              </w:rPr>
              <w:t>Placenta</w:t>
            </w:r>
          </w:p>
        </w:tc>
        <w:tc>
          <w:tcPr>
            <w:tcW w:w="1545" w:type="dxa"/>
            <w:tcMar>
              <w:top w:w="100" w:type="dxa"/>
              <w:left w:w="100" w:type="dxa"/>
              <w:bottom w:w="100" w:type="dxa"/>
              <w:right w:w="100" w:type="dxa"/>
            </w:tcMar>
          </w:tcPr>
          <w:p w:rsidR="00E66AD9" w:rsidRDefault="00886695">
            <w:pPr>
              <w:widowControl w:val="0"/>
              <w:spacing w:line="240" w:lineRule="auto"/>
              <w:ind w:left="133"/>
              <w:rPr>
                <w:szCs w:val="21"/>
                <w:highlight w:val="white"/>
              </w:rPr>
            </w:pPr>
            <w:r>
              <w:rPr>
                <w:szCs w:val="21"/>
                <w:highlight w:val="white"/>
              </w:rPr>
              <w:t>P value</w:t>
            </w:r>
          </w:p>
        </w:tc>
      </w:tr>
      <w:tr w:rsidR="00E66AD9">
        <w:trPr>
          <w:trHeight w:val="520"/>
        </w:trPr>
        <w:tc>
          <w:tcPr>
            <w:tcW w:w="2685" w:type="dxa"/>
            <w:tcMar>
              <w:top w:w="100" w:type="dxa"/>
              <w:left w:w="100" w:type="dxa"/>
              <w:bottom w:w="100" w:type="dxa"/>
              <w:right w:w="100" w:type="dxa"/>
            </w:tcMar>
          </w:tcPr>
          <w:p w:rsidR="00E66AD9" w:rsidRDefault="00886695">
            <w:pPr>
              <w:widowControl w:val="0"/>
              <w:spacing w:line="240" w:lineRule="auto"/>
              <w:ind w:left="111"/>
              <w:rPr>
                <w:szCs w:val="21"/>
              </w:rPr>
            </w:pPr>
            <w:r>
              <w:rPr>
                <w:szCs w:val="21"/>
              </w:rPr>
              <w:t>WNL</w:t>
            </w:r>
          </w:p>
        </w:tc>
        <w:tc>
          <w:tcPr>
            <w:tcW w:w="2730" w:type="dxa"/>
            <w:tcMar>
              <w:top w:w="100" w:type="dxa"/>
              <w:left w:w="100" w:type="dxa"/>
              <w:bottom w:w="100" w:type="dxa"/>
              <w:right w:w="100" w:type="dxa"/>
            </w:tcMar>
          </w:tcPr>
          <w:p w:rsidR="00E66AD9" w:rsidRDefault="00886695">
            <w:pPr>
              <w:widowControl w:val="0"/>
              <w:spacing w:line="240" w:lineRule="auto"/>
              <w:ind w:left="146"/>
              <w:rPr>
                <w:szCs w:val="21"/>
              </w:rPr>
            </w:pPr>
            <w:r>
              <w:rPr>
                <w:szCs w:val="21"/>
                <w:highlight w:val="white"/>
              </w:rPr>
              <w:t>117</w:t>
            </w:r>
          </w:p>
        </w:tc>
        <w:tc>
          <w:tcPr>
            <w:tcW w:w="259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18</w:t>
            </w:r>
          </w:p>
        </w:tc>
        <w:tc>
          <w:tcPr>
            <w:tcW w:w="1545" w:type="dxa"/>
            <w:tcMar>
              <w:top w:w="100" w:type="dxa"/>
              <w:left w:w="100" w:type="dxa"/>
              <w:bottom w:w="100" w:type="dxa"/>
              <w:right w:w="100" w:type="dxa"/>
            </w:tcMar>
          </w:tcPr>
          <w:p w:rsidR="00E66AD9" w:rsidRDefault="00886695">
            <w:pPr>
              <w:widowControl w:val="0"/>
              <w:rPr>
                <w:szCs w:val="21"/>
                <w:highlight w:val="white"/>
              </w:rPr>
            </w:pPr>
            <w:r>
              <w:rPr>
                <w:szCs w:val="21"/>
                <w:highlight w:val="white"/>
              </w:rPr>
              <w:t>-</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21"/>
              <w:rPr>
                <w:szCs w:val="21"/>
              </w:rPr>
            </w:pPr>
            <w:r>
              <w:rPr>
                <w:szCs w:val="21"/>
                <w:highlight w:val="white"/>
              </w:rPr>
              <w:t>LBW(&lt;2.5KG)</w:t>
            </w:r>
          </w:p>
        </w:tc>
        <w:tc>
          <w:tcPr>
            <w:tcW w:w="2730" w:type="dxa"/>
            <w:tcMar>
              <w:top w:w="100" w:type="dxa"/>
              <w:left w:w="100" w:type="dxa"/>
              <w:bottom w:w="100" w:type="dxa"/>
              <w:right w:w="100" w:type="dxa"/>
            </w:tcMar>
          </w:tcPr>
          <w:p w:rsidR="00E66AD9" w:rsidRDefault="00886695">
            <w:pPr>
              <w:widowControl w:val="0"/>
              <w:spacing w:line="240" w:lineRule="auto"/>
              <w:ind w:left="146"/>
              <w:rPr>
                <w:szCs w:val="21"/>
              </w:rPr>
            </w:pPr>
            <w:r>
              <w:rPr>
                <w:szCs w:val="21"/>
                <w:highlight w:val="white"/>
              </w:rPr>
              <w:t>34</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44</w:t>
            </w:r>
          </w:p>
        </w:tc>
        <w:tc>
          <w:tcPr>
            <w:tcW w:w="1545" w:type="dxa"/>
            <w:tcMar>
              <w:top w:w="100" w:type="dxa"/>
              <w:left w:w="100" w:type="dxa"/>
              <w:bottom w:w="100" w:type="dxa"/>
              <w:right w:w="100" w:type="dxa"/>
            </w:tcMar>
          </w:tcPr>
          <w:p w:rsidR="00E66AD9" w:rsidRDefault="00886695">
            <w:pPr>
              <w:widowControl w:val="0"/>
              <w:spacing w:line="240" w:lineRule="auto"/>
              <w:jc w:val="center"/>
              <w:rPr>
                <w:szCs w:val="21"/>
                <w:highlight w:val="white"/>
              </w:rPr>
            </w:pPr>
            <w:r>
              <w:rPr>
                <w:szCs w:val="21"/>
                <w:highlight w:val="white"/>
              </w:rPr>
              <w:t>0.00032(S)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20"/>
              <w:rPr>
                <w:szCs w:val="21"/>
              </w:rPr>
            </w:pPr>
            <w:r>
              <w:rPr>
                <w:szCs w:val="21"/>
                <w:highlight w:val="white"/>
              </w:rPr>
              <w:t>Prematurity</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0"/>
              <w:rPr>
                <w:szCs w:val="21"/>
              </w:rPr>
            </w:pPr>
            <w:r>
              <w:rPr>
                <w:szCs w:val="21"/>
                <w:highlight w:val="white"/>
              </w:rPr>
              <w:t>17</w:t>
            </w:r>
          </w:p>
        </w:tc>
        <w:tc>
          <w:tcPr>
            <w:tcW w:w="2595" w:type="dxa"/>
            <w:tcMar>
              <w:top w:w="100" w:type="dxa"/>
              <w:left w:w="100" w:type="dxa"/>
              <w:bottom w:w="100" w:type="dxa"/>
              <w:right w:w="100" w:type="dxa"/>
            </w:tcMar>
          </w:tcPr>
          <w:p w:rsidR="00E66AD9" w:rsidRDefault="00886695">
            <w:pPr>
              <w:widowControl w:val="0"/>
              <w:spacing w:line="240" w:lineRule="auto"/>
              <w:ind w:left="129"/>
              <w:rPr>
                <w:szCs w:val="21"/>
              </w:rPr>
            </w:pPr>
            <w:r>
              <w:rPr>
                <w:szCs w:val="21"/>
                <w:highlight w:val="white"/>
              </w:rPr>
              <w:t>15</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0.33(NS)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7"/>
              <w:rPr>
                <w:szCs w:val="21"/>
              </w:rPr>
            </w:pPr>
            <w:r>
              <w:rPr>
                <w:szCs w:val="21"/>
                <w:highlight w:val="white"/>
              </w:rPr>
              <w:t>NICU admission</w:t>
            </w:r>
          </w:p>
        </w:tc>
        <w:tc>
          <w:tcPr>
            <w:tcW w:w="2730" w:type="dxa"/>
            <w:tcMar>
              <w:top w:w="100" w:type="dxa"/>
              <w:left w:w="100" w:type="dxa"/>
              <w:bottom w:w="100" w:type="dxa"/>
              <w:right w:w="100" w:type="dxa"/>
            </w:tcMar>
          </w:tcPr>
          <w:p w:rsidR="00E66AD9" w:rsidRDefault="00886695">
            <w:pPr>
              <w:widowControl w:val="0"/>
              <w:spacing w:line="240" w:lineRule="auto"/>
              <w:ind w:left="126"/>
              <w:rPr>
                <w:szCs w:val="21"/>
              </w:rPr>
            </w:pPr>
            <w:r>
              <w:rPr>
                <w:szCs w:val="21"/>
                <w:highlight w:val="white"/>
              </w:rPr>
              <w:t>14</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29"/>
              <w:rPr>
                <w:szCs w:val="21"/>
              </w:rPr>
            </w:pPr>
            <w:r>
              <w:rPr>
                <w:szCs w:val="21"/>
                <w:highlight w:val="white"/>
              </w:rPr>
              <w:t>20</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0.12(S)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rPr>
            </w:pPr>
            <w:r>
              <w:rPr>
                <w:szCs w:val="21"/>
                <w:highlight w:val="white"/>
              </w:rPr>
              <w:t>Perinatal mortality</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4"/>
              <w:rPr>
                <w:szCs w:val="21"/>
              </w:rPr>
            </w:pPr>
            <w:r>
              <w:rPr>
                <w:szCs w:val="21"/>
                <w:highlight w:val="white"/>
              </w:rPr>
              <w:t>3</w:t>
            </w:r>
          </w:p>
        </w:tc>
        <w:tc>
          <w:tcPr>
            <w:tcW w:w="2595" w:type="dxa"/>
            <w:tcMar>
              <w:top w:w="100" w:type="dxa"/>
              <w:left w:w="100" w:type="dxa"/>
              <w:bottom w:w="100" w:type="dxa"/>
              <w:right w:w="100" w:type="dxa"/>
            </w:tcMar>
          </w:tcPr>
          <w:p w:rsidR="00E66AD9" w:rsidRDefault="00886695">
            <w:pPr>
              <w:widowControl w:val="0"/>
              <w:spacing w:line="240" w:lineRule="auto"/>
              <w:ind w:left="156"/>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0.318(NS)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highlight w:val="white"/>
              </w:rPr>
            </w:pPr>
            <w:r>
              <w:rPr>
                <w:szCs w:val="21"/>
                <w:highlight w:val="white"/>
              </w:rPr>
              <w:lastRenderedPageBreak/>
              <w:t>Still birth</w:t>
            </w:r>
          </w:p>
        </w:tc>
        <w:tc>
          <w:tcPr>
            <w:tcW w:w="2730" w:type="dxa"/>
            <w:tcMar>
              <w:top w:w="100" w:type="dxa"/>
              <w:left w:w="100" w:type="dxa"/>
              <w:bottom w:w="100" w:type="dxa"/>
              <w:right w:w="100" w:type="dxa"/>
            </w:tcMar>
          </w:tcPr>
          <w:p w:rsidR="00E66AD9" w:rsidRDefault="00886695">
            <w:pPr>
              <w:widowControl w:val="0"/>
              <w:spacing w:line="240" w:lineRule="auto"/>
              <w:ind w:left="124"/>
              <w:rPr>
                <w:szCs w:val="21"/>
                <w:highlight w:val="white"/>
              </w:rPr>
            </w:pPr>
            <w:r>
              <w:rPr>
                <w:szCs w:val="21"/>
                <w:highlight w:val="white"/>
              </w:rPr>
              <w:t>2</w:t>
            </w:r>
          </w:p>
        </w:tc>
        <w:tc>
          <w:tcPr>
            <w:tcW w:w="2595" w:type="dxa"/>
            <w:tcMar>
              <w:top w:w="100" w:type="dxa"/>
              <w:left w:w="100" w:type="dxa"/>
              <w:bottom w:w="100" w:type="dxa"/>
              <w:right w:w="100" w:type="dxa"/>
            </w:tcMar>
          </w:tcPr>
          <w:p w:rsidR="00E66AD9" w:rsidRDefault="00886695">
            <w:pPr>
              <w:widowControl w:val="0"/>
              <w:spacing w:line="240" w:lineRule="auto"/>
              <w:ind w:left="156"/>
              <w:rPr>
                <w:szCs w:val="21"/>
                <w:highlight w:val="white"/>
              </w:rPr>
            </w:pPr>
            <w:r>
              <w:rPr>
                <w:szCs w:val="21"/>
                <w:highlight w:val="white"/>
              </w:rPr>
              <w:t>3</w:t>
            </w:r>
          </w:p>
        </w:tc>
        <w:tc>
          <w:tcPr>
            <w:tcW w:w="1545"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0.339(NS)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rPr>
            </w:pPr>
            <w:r>
              <w:rPr>
                <w:szCs w:val="21"/>
                <w:highlight w:val="white"/>
              </w:rPr>
              <w:t>Apgar at 1 min&lt;1</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4"/>
              <w:rPr>
                <w:szCs w:val="21"/>
              </w:rPr>
            </w:pPr>
            <w:r>
              <w:rPr>
                <w:szCs w:val="21"/>
                <w:highlight w:val="white"/>
              </w:rPr>
              <w:t>20</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26</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6"/>
              <w:rPr>
                <w:szCs w:val="21"/>
                <w:highlight w:val="white"/>
              </w:rPr>
            </w:pPr>
            <w:r>
              <w:rPr>
                <w:szCs w:val="21"/>
                <w:highlight w:val="white"/>
              </w:rPr>
              <w:t>0.0086(S)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19"/>
              <w:rPr>
                <w:szCs w:val="21"/>
              </w:rPr>
            </w:pPr>
            <w:r>
              <w:rPr>
                <w:szCs w:val="21"/>
                <w:highlight w:val="white"/>
              </w:rPr>
              <w:t>Neonatal death</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20"/>
              <w:rPr>
                <w:szCs w:val="21"/>
              </w:rPr>
            </w:pPr>
            <w:r>
              <w:rPr>
                <w:szCs w:val="21"/>
                <w:highlight w:val="white"/>
              </w:rPr>
              <w:t>3</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4</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0.994(NS)</w:t>
            </w:r>
          </w:p>
        </w:tc>
      </w:tr>
      <w:tr w:rsidR="00E66AD9">
        <w:trPr>
          <w:trHeight w:val="540"/>
        </w:trPr>
        <w:tc>
          <w:tcPr>
            <w:tcW w:w="2685" w:type="dxa"/>
            <w:tcMar>
              <w:top w:w="100" w:type="dxa"/>
              <w:left w:w="100" w:type="dxa"/>
              <w:bottom w:w="100" w:type="dxa"/>
              <w:right w:w="100" w:type="dxa"/>
            </w:tcMar>
          </w:tcPr>
          <w:p w:rsidR="00E66AD9" w:rsidRDefault="00886695">
            <w:pPr>
              <w:widowControl w:val="0"/>
              <w:spacing w:line="240" w:lineRule="auto"/>
              <w:ind w:left="132"/>
              <w:rPr>
                <w:szCs w:val="21"/>
              </w:rPr>
            </w:pPr>
            <w:r>
              <w:rPr>
                <w:szCs w:val="21"/>
                <w:highlight w:val="white"/>
              </w:rPr>
              <w:t xml:space="preserve">Total </w:t>
            </w:r>
            <w:r>
              <w:rPr>
                <w:szCs w:val="21"/>
              </w:rPr>
              <w:t xml:space="preserve"> </w:t>
            </w:r>
          </w:p>
        </w:tc>
        <w:tc>
          <w:tcPr>
            <w:tcW w:w="2730" w:type="dxa"/>
            <w:tcMar>
              <w:top w:w="100" w:type="dxa"/>
              <w:left w:w="100" w:type="dxa"/>
              <w:bottom w:w="100" w:type="dxa"/>
              <w:right w:w="100" w:type="dxa"/>
            </w:tcMar>
          </w:tcPr>
          <w:p w:rsidR="00E66AD9" w:rsidRDefault="00886695">
            <w:pPr>
              <w:widowControl w:val="0"/>
              <w:spacing w:line="240" w:lineRule="auto"/>
              <w:ind w:left="146"/>
              <w:rPr>
                <w:szCs w:val="21"/>
              </w:rPr>
            </w:pPr>
            <w:r>
              <w:rPr>
                <w:szCs w:val="21"/>
                <w:highlight w:val="white"/>
              </w:rPr>
              <w:t>210</w:t>
            </w:r>
            <w:r>
              <w:rPr>
                <w:szCs w:val="21"/>
              </w:rPr>
              <w:t xml:space="preserve"> </w:t>
            </w:r>
          </w:p>
        </w:tc>
        <w:tc>
          <w:tcPr>
            <w:tcW w:w="2595" w:type="dxa"/>
            <w:tcMar>
              <w:top w:w="100" w:type="dxa"/>
              <w:left w:w="100" w:type="dxa"/>
              <w:bottom w:w="100" w:type="dxa"/>
              <w:right w:w="100" w:type="dxa"/>
            </w:tcMar>
          </w:tcPr>
          <w:p w:rsidR="00E66AD9" w:rsidRDefault="00886695">
            <w:pPr>
              <w:widowControl w:val="0"/>
              <w:spacing w:line="240" w:lineRule="auto"/>
              <w:ind w:left="130"/>
              <w:rPr>
                <w:szCs w:val="21"/>
              </w:rPr>
            </w:pPr>
            <w:r>
              <w:rPr>
                <w:szCs w:val="21"/>
                <w:highlight w:val="white"/>
              </w:rPr>
              <w:t>134</w:t>
            </w:r>
            <w:r>
              <w:rPr>
                <w:szCs w:val="21"/>
              </w:rPr>
              <w:t xml:space="preserve"> </w:t>
            </w:r>
          </w:p>
        </w:tc>
        <w:tc>
          <w:tcPr>
            <w:tcW w:w="1545" w:type="dxa"/>
            <w:tcMar>
              <w:top w:w="100" w:type="dxa"/>
              <w:left w:w="100" w:type="dxa"/>
              <w:bottom w:w="100" w:type="dxa"/>
              <w:right w:w="100" w:type="dxa"/>
            </w:tcMar>
          </w:tcPr>
          <w:p w:rsidR="00E66AD9" w:rsidRDefault="00886695">
            <w:pPr>
              <w:widowControl w:val="0"/>
              <w:spacing w:line="240" w:lineRule="auto"/>
              <w:ind w:left="134"/>
              <w:rPr>
                <w:szCs w:val="21"/>
                <w:highlight w:val="white"/>
              </w:rPr>
            </w:pPr>
            <w:r>
              <w:rPr>
                <w:szCs w:val="21"/>
                <w:highlight w:val="white"/>
              </w:rPr>
              <w:t>0.322(NS)</w:t>
            </w:r>
          </w:p>
        </w:tc>
      </w:tr>
    </w:tbl>
    <w:p w:rsidR="00E66AD9" w:rsidRDefault="00E66AD9">
      <w:pPr>
        <w:widowControl w:val="0"/>
        <w:rPr>
          <w:szCs w:val="21"/>
          <w:highlight w:val="white"/>
        </w:rPr>
      </w:pPr>
    </w:p>
    <w:p w:rsidR="00E66AD9" w:rsidRDefault="00E66AD9">
      <w:pPr>
        <w:widowControl w:val="0"/>
        <w:rPr>
          <w:szCs w:val="21"/>
          <w:highlight w:val="white"/>
        </w:rPr>
      </w:pPr>
    </w:p>
    <w:p w:rsidR="00E66AD9" w:rsidRDefault="005D63FF">
      <w:pPr>
        <w:widowControl w:val="0"/>
        <w:rPr>
          <w:szCs w:val="21"/>
          <w:highlight w:val="white"/>
        </w:rPr>
      </w:pPr>
      <w:r>
        <w:rPr>
          <w:noProof/>
        </w:rPr>
        <w:drawing>
          <wp:anchor distT="0" distB="0" distL="0" distR="0" simplePos="0" relativeHeight="3" behindDoc="0" locked="0" layoutInCell="1" allowOverlap="1">
            <wp:simplePos x="0" y="0"/>
            <wp:positionH relativeFrom="page">
              <wp:posOffset>1444488</wp:posOffset>
            </wp:positionH>
            <wp:positionV relativeFrom="page">
              <wp:posOffset>3299790</wp:posOffset>
            </wp:positionV>
            <wp:extent cx="4306956" cy="3466493"/>
            <wp:effectExtent l="19050" t="19050" r="17780" b="19685"/>
            <wp:wrapNone/>
            <wp:docPr id="103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9" cstate="print"/>
                    <a:srcRect/>
                    <a:stretch/>
                  </pic:blipFill>
                  <pic:spPr>
                    <a:xfrm>
                      <a:off x="0" y="0"/>
                      <a:ext cx="4311221" cy="3469926"/>
                    </a:xfrm>
                    <a:prstGeom prst="rect">
                      <a:avLst/>
                    </a:prstGeom>
                    <a:ln w="9525" cap="flat" cmpd="sng">
                      <a:solidFill>
                        <a:srgbClr val="000000"/>
                      </a:solid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E66AD9">
      <w:pPr>
        <w:widowControl w:val="0"/>
        <w:rPr>
          <w:szCs w:val="21"/>
          <w:highlight w:val="white"/>
        </w:rPr>
      </w:pPr>
    </w:p>
    <w:p w:rsidR="00E66AD9" w:rsidRDefault="005D63FF">
      <w:pPr>
        <w:widowControl w:val="0"/>
        <w:rPr>
          <w:szCs w:val="21"/>
        </w:rPr>
      </w:pPr>
      <w:r>
        <w:rPr>
          <w:szCs w:val="21"/>
          <w:highlight w:val="white"/>
        </w:rPr>
        <w:t>Fig 4:</w:t>
      </w:r>
      <w:r w:rsidR="007716D1">
        <w:rPr>
          <w:szCs w:val="21"/>
          <w:highlight w:val="white"/>
        </w:rPr>
        <w:t xml:space="preserve"> Graph showing the </w:t>
      </w:r>
      <w:r w:rsidR="007716D1" w:rsidRPr="007716D1">
        <w:rPr>
          <w:szCs w:val="21"/>
        </w:rPr>
        <w:t>Neonatal Outcomes According to Placental Location</w:t>
      </w:r>
    </w:p>
    <w:p w:rsidR="007716D1" w:rsidRDefault="007716D1">
      <w:pPr>
        <w:widowControl w:val="0"/>
        <w:rPr>
          <w:szCs w:val="21"/>
          <w:highlight w:val="white"/>
        </w:rPr>
      </w:pPr>
    </w:p>
    <w:p w:rsidR="00E66AD9" w:rsidRDefault="0049060D">
      <w:pPr>
        <w:widowControl w:val="0"/>
        <w:rPr>
          <w:color w:val="212121"/>
          <w:szCs w:val="21"/>
          <w:highlight w:val="white"/>
        </w:rPr>
      </w:pPr>
      <w:r>
        <w:rPr>
          <w:szCs w:val="21"/>
        </w:rPr>
        <w:t>“</w:t>
      </w:r>
      <w:r w:rsidR="00886695">
        <w:rPr>
          <w:szCs w:val="21"/>
        </w:rPr>
        <w:t xml:space="preserve">Preeclampsia is a complex clinical syndrome which involves multiple organ systems and is one of the leading causes of maternal and also perinatal morbidity and mortality. </w:t>
      </w:r>
      <w:proofErr w:type="gramStart"/>
      <w:r w:rsidR="00886695">
        <w:rPr>
          <w:szCs w:val="21"/>
        </w:rPr>
        <w:t>So</w:t>
      </w:r>
      <w:proofErr w:type="gramEnd"/>
      <w:r w:rsidR="00886695">
        <w:rPr>
          <w:szCs w:val="21"/>
        </w:rPr>
        <w:t xml:space="preserve"> we need a test that could predict high risk of developing preeclampsia in pregnancy, so that prophylactic therapy could be started early</w:t>
      </w:r>
      <w:r>
        <w:rPr>
          <w:szCs w:val="21"/>
        </w:rPr>
        <w:t xml:space="preserve">” </w:t>
      </w:r>
      <w:r w:rsidRPr="0049060D">
        <w:rPr>
          <w:szCs w:val="21"/>
          <w:vertAlign w:val="superscript"/>
        </w:rPr>
        <w:t>20</w:t>
      </w:r>
      <w:r w:rsidR="00886695">
        <w:rPr>
          <w:szCs w:val="21"/>
        </w:rPr>
        <w:t xml:space="preserve">. </w:t>
      </w:r>
      <w:r w:rsidR="00886695">
        <w:rPr>
          <w:szCs w:val="21"/>
          <w:highlight w:val="white"/>
        </w:rPr>
        <w:t>For a screening test to be of value, it should be selective, reliably cheap</w:t>
      </w:r>
      <w:r w:rsidR="00886695">
        <w:rPr>
          <w:szCs w:val="21"/>
        </w:rPr>
        <w:t xml:space="preserve"> </w:t>
      </w:r>
      <w:r w:rsidR="00886695">
        <w:rPr>
          <w:szCs w:val="21"/>
          <w:highlight w:val="white"/>
        </w:rPr>
        <w:t>and easy to perform. Ultrasonography is routinely done in the second</w:t>
      </w:r>
      <w:r w:rsidR="00886695">
        <w:rPr>
          <w:szCs w:val="21"/>
        </w:rPr>
        <w:t xml:space="preserve"> </w:t>
      </w:r>
      <w:r w:rsidR="00886695">
        <w:rPr>
          <w:szCs w:val="21"/>
          <w:highlight w:val="white"/>
        </w:rPr>
        <w:t>trimester in all patients, hence placental location can also be assessed in</w:t>
      </w:r>
      <w:r w:rsidR="00886695">
        <w:rPr>
          <w:szCs w:val="21"/>
        </w:rPr>
        <w:t xml:space="preserve"> </w:t>
      </w:r>
      <w:r w:rsidR="00886695">
        <w:rPr>
          <w:szCs w:val="21"/>
          <w:highlight w:val="white"/>
        </w:rPr>
        <w:t>the same</w:t>
      </w:r>
      <w:r w:rsidR="00886695">
        <w:rPr>
          <w:szCs w:val="21"/>
        </w:rPr>
        <w:t xml:space="preserve"> </w:t>
      </w:r>
      <w:r w:rsidR="00886695">
        <w:rPr>
          <w:szCs w:val="21"/>
          <w:highlight w:val="white"/>
        </w:rPr>
        <w:t>sitting.</w:t>
      </w:r>
      <w:r w:rsidR="00886695">
        <w:rPr>
          <w:szCs w:val="21"/>
        </w:rPr>
        <w:t xml:space="preserve"> </w:t>
      </w:r>
      <w:r w:rsidR="00886695">
        <w:rPr>
          <w:color w:val="212121"/>
          <w:szCs w:val="21"/>
          <w:highlight w:val="white"/>
        </w:rPr>
        <w:t>Recent studies</w:t>
      </w:r>
      <w:r w:rsidR="00886695">
        <w:rPr>
          <w:color w:val="212121"/>
          <w:szCs w:val="21"/>
        </w:rPr>
        <w:t xml:space="preserve"> </w:t>
      </w:r>
      <w:r w:rsidR="00886695">
        <w:rPr>
          <w:color w:val="212121"/>
          <w:szCs w:val="21"/>
          <w:highlight w:val="white"/>
        </w:rPr>
        <w:t>on the placental transcriptome profile in preeclampsia provide</w:t>
      </w:r>
      <w:r w:rsidR="00886695">
        <w:rPr>
          <w:color w:val="212121"/>
          <w:szCs w:val="21"/>
        </w:rPr>
        <w:t xml:space="preserve"> </w:t>
      </w:r>
      <w:r w:rsidR="00886695">
        <w:rPr>
          <w:color w:val="212121"/>
          <w:szCs w:val="21"/>
          <w:highlight w:val="white"/>
        </w:rPr>
        <w:t>compelling evidence that preeclampsia has a placental origin</w:t>
      </w:r>
      <w:r w:rsidR="00886695">
        <w:rPr>
          <w:color w:val="212121"/>
          <w:szCs w:val="21"/>
          <w:highlight w:val="white"/>
          <w:vertAlign w:val="superscript"/>
        </w:rPr>
        <w:t>.[8]</w:t>
      </w:r>
      <w:r w:rsidR="00886695">
        <w:rPr>
          <w:color w:val="212121"/>
          <w:szCs w:val="21"/>
          <w:highlight w:val="white"/>
        </w:rPr>
        <w:t xml:space="preserve"> Women have two uterine arteries, each of which supplies the corresponding side of the uterus and has a significant number of branches. Despite the presence of anastomoses between the two uterine arteries, their functionality is unknown. The uterine artery nearer the placenta has less resistance than the one farther away when the placenta is laterally positioned. Both uterine arteries showed comparable resistance in women whose placentas were positioned in the middle(central)</w:t>
      </w:r>
      <w:r w:rsidR="00886695">
        <w:rPr>
          <w:color w:val="212121"/>
          <w:szCs w:val="21"/>
          <w:highlight w:val="white"/>
          <w:vertAlign w:val="superscript"/>
        </w:rPr>
        <w:t xml:space="preserve"> [9,10]</w:t>
      </w:r>
      <w:r w:rsidR="00886695">
        <w:rPr>
          <w:color w:val="212121"/>
          <w:szCs w:val="21"/>
          <w:highlight w:val="white"/>
        </w:rPr>
        <w:t xml:space="preserve">.Due to the placenta's central location, both uterine arteries contribute </w:t>
      </w:r>
      <w:r w:rsidR="00886695">
        <w:rPr>
          <w:color w:val="212121"/>
          <w:szCs w:val="21"/>
          <w:highlight w:val="white"/>
        </w:rPr>
        <w:lastRenderedPageBreak/>
        <w:t>equally to the uteroplacental blood flow. However, when the placenta is laterally situated, one of the uterine arteries often meets the uteroplacental blood flow requirements, with the other uterine artery contributing very little through the collateral circulation. Each woman may have a different level of collateral circulation, and a lack of it can contribute to the development of intrauterine growth retardation, preeclampsia, or both. When one side uterine artery primarily supplies the uteroplacental blood flow requirements, this could account for the decreased trophoblastic invasion in laterally positioned placentas.</w:t>
      </w:r>
    </w:p>
    <w:p w:rsidR="00E66AD9" w:rsidRDefault="00886695">
      <w:pPr>
        <w:widowControl w:val="0"/>
        <w:spacing w:line="240" w:lineRule="auto"/>
        <w:ind w:right="-103"/>
        <w:rPr>
          <w:color w:val="1F1F1F"/>
          <w:szCs w:val="21"/>
          <w:vertAlign w:val="superscript"/>
        </w:rPr>
      </w:pPr>
      <w:r>
        <w:rPr>
          <w:szCs w:val="21"/>
        </w:rPr>
        <w:t xml:space="preserve">In our study, incidence of preeclampsia is found to be 15.12% which is similar to </w:t>
      </w:r>
      <w:proofErr w:type="spellStart"/>
      <w:r>
        <w:rPr>
          <w:color w:val="231F20"/>
          <w:szCs w:val="21"/>
          <w:highlight w:val="white"/>
        </w:rPr>
        <w:t>Anuja</w:t>
      </w:r>
      <w:proofErr w:type="spellEnd"/>
      <w:r>
        <w:rPr>
          <w:color w:val="231F20"/>
          <w:szCs w:val="21"/>
          <w:highlight w:val="white"/>
        </w:rPr>
        <w:t xml:space="preserve"> V </w:t>
      </w:r>
      <w:proofErr w:type="spellStart"/>
      <w:r>
        <w:rPr>
          <w:color w:val="231F20"/>
          <w:szCs w:val="21"/>
          <w:highlight w:val="white"/>
        </w:rPr>
        <w:t>Bhalerao</w:t>
      </w:r>
      <w:proofErr w:type="spellEnd"/>
      <w:r>
        <w:rPr>
          <w:color w:val="231F20"/>
          <w:szCs w:val="21"/>
          <w:highlight w:val="white"/>
        </w:rPr>
        <w:t xml:space="preserve"> study.</w:t>
      </w:r>
      <w:r>
        <w:rPr>
          <w:color w:val="231F20"/>
          <w:szCs w:val="21"/>
          <w:highlight w:val="white"/>
          <w:vertAlign w:val="superscript"/>
        </w:rPr>
        <w:t>[11]</w:t>
      </w:r>
      <w:r>
        <w:rPr>
          <w:color w:val="231F20"/>
          <w:szCs w:val="21"/>
          <w:vertAlign w:val="superscript"/>
        </w:rPr>
        <w:t xml:space="preserve"> </w:t>
      </w:r>
      <w:r>
        <w:rPr>
          <w:color w:val="231F20"/>
          <w:szCs w:val="21"/>
          <w:highlight w:val="white"/>
        </w:rPr>
        <w:t xml:space="preserve"> Pre-eclampsia affected</w:t>
      </w:r>
      <w:r>
        <w:rPr>
          <w:color w:val="231F20"/>
          <w:szCs w:val="21"/>
        </w:rPr>
        <w:t xml:space="preserve"> </w:t>
      </w:r>
      <w:r>
        <w:rPr>
          <w:color w:val="231F20"/>
          <w:szCs w:val="21"/>
          <w:highlight w:val="white"/>
        </w:rPr>
        <w:t>people in the 20–25 age range in 59.6% of cases. This is consistent with the findings</w:t>
      </w:r>
      <w:r>
        <w:rPr>
          <w:color w:val="231F20"/>
          <w:szCs w:val="21"/>
        </w:rPr>
        <w:t xml:space="preserve"> </w:t>
      </w:r>
      <w:r>
        <w:rPr>
          <w:color w:val="231F20"/>
          <w:szCs w:val="21"/>
          <w:highlight w:val="white"/>
        </w:rPr>
        <w:t xml:space="preserve">of the </w:t>
      </w:r>
      <w:proofErr w:type="spellStart"/>
      <w:r>
        <w:rPr>
          <w:color w:val="231F20"/>
          <w:szCs w:val="21"/>
          <w:highlight w:val="white"/>
        </w:rPr>
        <w:t>Macgillivray</w:t>
      </w:r>
      <w:proofErr w:type="spellEnd"/>
      <w:r>
        <w:rPr>
          <w:color w:val="231F20"/>
          <w:szCs w:val="21"/>
          <w:highlight w:val="white"/>
        </w:rPr>
        <w:t xml:space="preserve"> report on the age incidence of preeclampsia, which indicate</w:t>
      </w:r>
      <w:r>
        <w:rPr>
          <w:color w:val="231F20"/>
          <w:szCs w:val="21"/>
        </w:rPr>
        <w:t xml:space="preserve"> </w:t>
      </w:r>
      <w:r>
        <w:rPr>
          <w:color w:val="231F20"/>
          <w:szCs w:val="21"/>
          <w:highlight w:val="white"/>
        </w:rPr>
        <w:t>that young primigravida had a high incidence of preeclampsia.</w:t>
      </w:r>
      <w:r>
        <w:rPr>
          <w:color w:val="231F20"/>
          <w:szCs w:val="21"/>
          <w:highlight w:val="white"/>
          <w:vertAlign w:val="superscript"/>
        </w:rPr>
        <w:t>[12]</w:t>
      </w:r>
      <w:r>
        <w:rPr>
          <w:color w:val="231F20"/>
          <w:szCs w:val="21"/>
          <w:highlight w:val="white"/>
        </w:rPr>
        <w:t>In this study, the prevalence of</w:t>
      </w:r>
      <w:r>
        <w:rPr>
          <w:color w:val="231F20"/>
          <w:szCs w:val="21"/>
        </w:rPr>
        <w:t xml:space="preserve"> </w:t>
      </w:r>
      <w:r>
        <w:rPr>
          <w:color w:val="231F20"/>
          <w:szCs w:val="21"/>
          <w:highlight w:val="white"/>
        </w:rPr>
        <w:t>pre-eclampsia in primigravidae was 18.26% overall which is</w:t>
      </w:r>
      <w:r>
        <w:rPr>
          <w:szCs w:val="21"/>
        </w:rPr>
        <w:t xml:space="preserve"> similar to the study by </w:t>
      </w:r>
      <w:r>
        <w:rPr>
          <w:color w:val="1F1F1F"/>
          <w:szCs w:val="21"/>
        </w:rPr>
        <w:t>Rachel Mathew et al.(18.6%)</w:t>
      </w:r>
      <w:r>
        <w:rPr>
          <w:color w:val="1F1F1F"/>
          <w:szCs w:val="21"/>
          <w:vertAlign w:val="superscript"/>
        </w:rPr>
        <w:t>[13]</w:t>
      </w:r>
    </w:p>
    <w:p w:rsidR="00E66AD9" w:rsidRDefault="00886695">
      <w:pPr>
        <w:widowControl w:val="0"/>
        <w:spacing w:line="240" w:lineRule="auto"/>
        <w:ind w:right="-103"/>
        <w:rPr>
          <w:sz w:val="16"/>
          <w:szCs w:val="16"/>
          <w:vertAlign w:val="superscript"/>
        </w:rPr>
      </w:pPr>
      <w:r>
        <w:rPr>
          <w:szCs w:val="21"/>
        </w:rPr>
        <w:t xml:space="preserve">Preeclampsia was observed in 30.8% of women with central placentas and 69.2% of women with lateral placentas in the current </w:t>
      </w:r>
      <w:proofErr w:type="spellStart"/>
      <w:r>
        <w:rPr>
          <w:szCs w:val="21"/>
        </w:rPr>
        <w:t>study.This</w:t>
      </w:r>
      <w:proofErr w:type="spellEnd"/>
      <w:r>
        <w:rPr>
          <w:szCs w:val="21"/>
        </w:rPr>
        <w:t xml:space="preserve"> study supports that of </w:t>
      </w:r>
      <w:proofErr w:type="spellStart"/>
      <w:r>
        <w:rPr>
          <w:szCs w:val="21"/>
        </w:rPr>
        <w:t>Kakkar</w:t>
      </w:r>
      <w:proofErr w:type="spellEnd"/>
      <w:r>
        <w:rPr>
          <w:szCs w:val="21"/>
        </w:rPr>
        <w:t xml:space="preserve"> et al., who found that preeclampsia developed in 36.3% of women with central placentas and 66.6% of women with lateral placentas.</w:t>
      </w:r>
      <w:r>
        <w:rPr>
          <w:szCs w:val="21"/>
          <w:vertAlign w:val="superscript"/>
        </w:rPr>
        <w:t>[15]</w:t>
      </w:r>
      <w:r>
        <w:rPr>
          <w:szCs w:val="21"/>
        </w:rPr>
        <w:t xml:space="preserve"> </w:t>
      </w:r>
      <w:r>
        <w:rPr>
          <w:color w:val="231F20"/>
          <w:szCs w:val="21"/>
          <w:highlight w:val="white"/>
        </w:rPr>
        <w:t>Of the 52 women in this study who received a preeclampsia diagnosis, 39</w:t>
      </w:r>
      <w:r>
        <w:rPr>
          <w:color w:val="231F20"/>
          <w:szCs w:val="21"/>
        </w:rPr>
        <w:t xml:space="preserve"> </w:t>
      </w:r>
      <w:r>
        <w:rPr>
          <w:color w:val="231F20"/>
          <w:szCs w:val="21"/>
          <w:highlight w:val="white"/>
        </w:rPr>
        <w:t>patients (75%) had mild preeclampsia and 13 patients (25%) had severe</w:t>
      </w:r>
      <w:r>
        <w:rPr>
          <w:color w:val="231F20"/>
          <w:szCs w:val="21"/>
        </w:rPr>
        <w:t xml:space="preserve"> </w:t>
      </w:r>
      <w:r>
        <w:rPr>
          <w:color w:val="231F20"/>
          <w:szCs w:val="21"/>
          <w:highlight w:val="white"/>
        </w:rPr>
        <w:t xml:space="preserve">preeclampsia. Of the 13 women, 12 patients (33.33%) had lateral placenta, and just one (6.25%) had a placenta located centrally, </w:t>
      </w:r>
      <w:r>
        <w:rPr>
          <w:szCs w:val="21"/>
          <w:highlight w:val="white"/>
        </w:rPr>
        <w:t xml:space="preserve"> which implies patients that develop severe</w:t>
      </w:r>
      <w:r>
        <w:rPr>
          <w:szCs w:val="21"/>
        </w:rPr>
        <w:t xml:space="preserve"> p</w:t>
      </w:r>
      <w:r>
        <w:rPr>
          <w:szCs w:val="21"/>
          <w:highlight w:val="white"/>
        </w:rPr>
        <w:t xml:space="preserve">reeclampsia are more commonly associated with the lateral placenta. </w:t>
      </w:r>
      <w:r>
        <w:rPr>
          <w:rFonts w:ascii="Calibri" w:eastAsia="Calibri" w:hAnsi="Calibri" w:cs="Calibri"/>
          <w:color w:val="231F20"/>
          <w:szCs w:val="21"/>
          <w:highlight w:val="white"/>
        </w:rPr>
        <w:t>These outcomes are consistent with the research carried out by Chandra et al</w:t>
      </w:r>
      <w:r>
        <w:rPr>
          <w:rFonts w:ascii="Calibri" w:eastAsia="Calibri" w:hAnsi="Calibri" w:cs="Calibri"/>
          <w:color w:val="231F20"/>
          <w:sz w:val="27"/>
          <w:szCs w:val="27"/>
          <w:highlight w:val="white"/>
        </w:rPr>
        <w:t>.</w:t>
      </w:r>
      <w:r>
        <w:rPr>
          <w:rFonts w:ascii="Calibri" w:eastAsia="Calibri" w:hAnsi="Calibri" w:cs="Calibri"/>
          <w:color w:val="231F20"/>
          <w:sz w:val="20"/>
          <w:szCs w:val="20"/>
          <w:highlight w:val="white"/>
          <w:vertAlign w:val="superscript"/>
        </w:rPr>
        <w:t>[16]</w:t>
      </w:r>
      <w:r>
        <w:rPr>
          <w:rFonts w:ascii="Calibri" w:eastAsia="Calibri" w:hAnsi="Calibri" w:cs="Calibri"/>
          <w:color w:val="231F20"/>
          <w:sz w:val="27"/>
          <w:szCs w:val="27"/>
          <w:highlight w:val="white"/>
        </w:rPr>
        <w:t xml:space="preserve"> </w:t>
      </w:r>
      <w:r>
        <w:rPr>
          <w:szCs w:val="21"/>
        </w:rPr>
        <w:t xml:space="preserve">Pre-eclampsia mostly manifested between 36 and 40 weeks of </w:t>
      </w:r>
      <w:proofErr w:type="spellStart"/>
      <w:r>
        <w:rPr>
          <w:szCs w:val="21"/>
        </w:rPr>
        <w:t>gestation.Preeclampsia</w:t>
      </w:r>
      <w:proofErr w:type="spellEnd"/>
      <w:r>
        <w:rPr>
          <w:szCs w:val="21"/>
        </w:rPr>
        <w:t xml:space="preserve"> manifested in the patients as elevated blood pressure, proteinuria, and with or without edema. In the lateral placenta group, pre-eclampsia occurred in 27% of patients. In the central placenta group, pre-eclampsia only occurred in 7.6% of cases. 56.72% of women with lateral placentas experienced spontaneous labor onset, and 43.28% of women delivered after getting induced (p value 0.019965). In contrast, 69.1% of women with central placentas experienced spontaneous labor onset, and 30.9% underwent induction of </w:t>
      </w:r>
      <w:proofErr w:type="spellStart"/>
      <w:r>
        <w:rPr>
          <w:szCs w:val="21"/>
        </w:rPr>
        <w:t>labour.</w:t>
      </w:r>
      <w:r>
        <w:rPr>
          <w:rFonts w:ascii="Times New Roman" w:eastAsia="Times New Roman" w:hAnsi="Times New Roman" w:cs="Times New Roman"/>
          <w:szCs w:val="21"/>
        </w:rPr>
        <w:t>This</w:t>
      </w:r>
      <w:proofErr w:type="spellEnd"/>
      <w:r>
        <w:rPr>
          <w:rFonts w:ascii="Times New Roman" w:eastAsia="Times New Roman" w:hAnsi="Times New Roman" w:cs="Times New Roman"/>
          <w:szCs w:val="21"/>
        </w:rPr>
        <w:t xml:space="preserve"> study shows similarity to that of Anjali Gupta et </w:t>
      </w:r>
      <w:proofErr w:type="spellStart"/>
      <w:r>
        <w:rPr>
          <w:rFonts w:ascii="Times New Roman" w:eastAsia="Times New Roman" w:hAnsi="Times New Roman" w:cs="Times New Roman"/>
          <w:szCs w:val="21"/>
        </w:rPr>
        <w:t>al’s</w:t>
      </w:r>
      <w:proofErr w:type="spellEnd"/>
      <w:r>
        <w:rPr>
          <w:rFonts w:ascii="Times New Roman" w:eastAsia="Times New Roman" w:hAnsi="Times New Roman" w:cs="Times New Roman"/>
          <w:szCs w:val="21"/>
        </w:rPr>
        <w:t xml:space="preserve"> study where in  </w:t>
      </w:r>
      <w:r w:rsidR="0049060D">
        <w:rPr>
          <w:rFonts w:ascii="Times New Roman" w:eastAsia="Times New Roman" w:hAnsi="Times New Roman" w:cs="Times New Roman"/>
          <w:szCs w:val="21"/>
        </w:rPr>
        <w:t>“</w:t>
      </w:r>
      <w:r>
        <w:rPr>
          <w:rFonts w:ascii="Times New Roman" w:eastAsia="Times New Roman" w:hAnsi="Times New Roman" w:cs="Times New Roman"/>
          <w:szCs w:val="21"/>
        </w:rPr>
        <w:t xml:space="preserve">women with lateral placenta, 57.14% had spontaneous onset of </w:t>
      </w:r>
      <w:proofErr w:type="spellStart"/>
      <w:r>
        <w:rPr>
          <w:rFonts w:ascii="Times New Roman" w:eastAsia="Times New Roman" w:hAnsi="Times New Roman" w:cs="Times New Roman"/>
          <w:szCs w:val="21"/>
        </w:rPr>
        <w:t>labour</w:t>
      </w:r>
      <w:proofErr w:type="spellEnd"/>
      <w:r>
        <w:rPr>
          <w:rFonts w:ascii="Times New Roman" w:eastAsia="Times New Roman" w:hAnsi="Times New Roman" w:cs="Times New Roman"/>
          <w:szCs w:val="21"/>
        </w:rPr>
        <w:t xml:space="preserve"> and 42.86% delivered after being induced whereas among women with central placenta, 66.4% had spontaneous onset of </w:t>
      </w:r>
      <w:proofErr w:type="spellStart"/>
      <w:r>
        <w:rPr>
          <w:rFonts w:ascii="Times New Roman" w:eastAsia="Times New Roman" w:hAnsi="Times New Roman" w:cs="Times New Roman"/>
          <w:szCs w:val="21"/>
        </w:rPr>
        <w:t>labour</w:t>
      </w:r>
      <w:proofErr w:type="spellEnd"/>
      <w:r>
        <w:rPr>
          <w:rFonts w:ascii="Times New Roman" w:eastAsia="Times New Roman" w:hAnsi="Times New Roman" w:cs="Times New Roman"/>
          <w:szCs w:val="21"/>
        </w:rPr>
        <w:t xml:space="preserve"> and 33.6% were induced</w:t>
      </w:r>
      <w:r w:rsidR="0049060D">
        <w:rPr>
          <w:rFonts w:ascii="Times New Roman" w:eastAsia="Times New Roman" w:hAnsi="Times New Roman" w:cs="Times New Roman"/>
          <w:szCs w:val="21"/>
        </w:rPr>
        <w:t>”</w:t>
      </w:r>
      <w:r>
        <w:rPr>
          <w:rFonts w:ascii="Times New Roman" w:eastAsia="Times New Roman" w:hAnsi="Times New Roman" w:cs="Times New Roman"/>
          <w:sz w:val="20"/>
          <w:szCs w:val="20"/>
        </w:rPr>
        <w:t>.</w:t>
      </w:r>
      <w:r>
        <w:rPr>
          <w:rFonts w:ascii="Times New Roman" w:eastAsia="Times New Roman" w:hAnsi="Times New Roman" w:cs="Times New Roman"/>
          <w:sz w:val="20"/>
          <w:szCs w:val="20"/>
          <w:vertAlign w:val="superscript"/>
        </w:rPr>
        <w:t>[4]</w:t>
      </w:r>
      <w:r>
        <w:rPr>
          <w:szCs w:val="21"/>
        </w:rPr>
        <w:t xml:space="preserve">  52.98% of patients having lateral placenta delivered by caesarean section while only 35.71% of patients having central placenta underwent caesarean section. </w:t>
      </w:r>
      <w:r>
        <w:rPr>
          <w:rFonts w:ascii="Times New Roman" w:eastAsia="Times New Roman" w:hAnsi="Times New Roman" w:cs="Times New Roman"/>
          <w:szCs w:val="21"/>
        </w:rPr>
        <w:t xml:space="preserve">A similar correlation was observed in a </w:t>
      </w:r>
      <w:proofErr w:type="spellStart"/>
      <w:r>
        <w:rPr>
          <w:rFonts w:ascii="Times New Roman" w:eastAsia="Times New Roman" w:hAnsi="Times New Roman" w:cs="Times New Roman"/>
          <w:szCs w:val="21"/>
        </w:rPr>
        <w:t>Shiwani</w:t>
      </w:r>
      <w:proofErr w:type="spellEnd"/>
      <w:r>
        <w:rPr>
          <w:rFonts w:ascii="Times New Roman" w:eastAsia="Times New Roman" w:hAnsi="Times New Roman" w:cs="Times New Roman"/>
          <w:szCs w:val="21"/>
        </w:rPr>
        <w:t xml:space="preserve"> Yadav et al. study, which revealed 51.6% of patients with lateral placenta had LSCS.</w:t>
      </w:r>
      <w:r>
        <w:rPr>
          <w:rFonts w:ascii="Times New Roman" w:eastAsia="Times New Roman" w:hAnsi="Times New Roman" w:cs="Times New Roman"/>
          <w:sz w:val="27"/>
          <w:szCs w:val="27"/>
        </w:rPr>
        <w:t xml:space="preserve"> </w:t>
      </w:r>
      <w:r>
        <w:rPr>
          <w:rFonts w:ascii="Times New Roman" w:eastAsia="Times New Roman" w:hAnsi="Times New Roman" w:cs="Times New Roman"/>
          <w:szCs w:val="21"/>
          <w:vertAlign w:val="superscript"/>
        </w:rPr>
        <w:t>[17]</w:t>
      </w:r>
    </w:p>
    <w:p w:rsidR="00E66AD9" w:rsidRDefault="00886695">
      <w:pPr>
        <w:widowControl w:val="0"/>
        <w:spacing w:line="240" w:lineRule="auto"/>
        <w:ind w:right="-103"/>
        <w:rPr>
          <w:szCs w:val="21"/>
        </w:rPr>
      </w:pPr>
      <w:r>
        <w:rPr>
          <w:szCs w:val="21"/>
        </w:rPr>
        <w:t xml:space="preserve">Mothers who had lateral placentas experienced higher maternal difficulties than those who had central placentas. Eclampsia occurred in 3% of women with lateral placentas and in 0.95% of women with central placentas. Just 5.71% of women with central placentas and 16.4% of women with lateral placentas had IUGR. </w:t>
      </w:r>
      <w:r>
        <w:rPr>
          <w:rFonts w:ascii="Times New Roman" w:eastAsia="Times New Roman" w:hAnsi="Times New Roman" w:cs="Times New Roman"/>
          <w:szCs w:val="21"/>
        </w:rPr>
        <w:t>Gosh et al.'s study also revealed a statistically significant increase in maternal problems such as eclampsia and IUGR newborns in women with lateral placentas</w:t>
      </w:r>
      <w:r>
        <w:rPr>
          <w:rFonts w:ascii="Times New Roman" w:eastAsia="Times New Roman" w:hAnsi="Times New Roman" w:cs="Times New Roman"/>
          <w:sz w:val="27"/>
          <w:szCs w:val="27"/>
        </w:rPr>
        <w:t>.</w:t>
      </w:r>
      <w:r w:rsidR="004B1879">
        <w:rPr>
          <w:rFonts w:ascii="Times New Roman" w:eastAsia="Times New Roman" w:hAnsi="Times New Roman" w:cs="Times New Roman"/>
          <w:sz w:val="27"/>
          <w:szCs w:val="27"/>
        </w:rPr>
        <w:t xml:space="preserve"> </w:t>
      </w:r>
      <w:r>
        <w:rPr>
          <w:rFonts w:ascii="Times New Roman" w:eastAsia="Times New Roman" w:hAnsi="Times New Roman" w:cs="Times New Roman"/>
          <w:szCs w:val="21"/>
          <w:vertAlign w:val="superscript"/>
        </w:rPr>
        <w:t>[</w:t>
      </w:r>
      <w:proofErr w:type="gramStart"/>
      <w:r>
        <w:rPr>
          <w:rFonts w:ascii="Times New Roman" w:eastAsia="Times New Roman" w:hAnsi="Times New Roman" w:cs="Times New Roman"/>
          <w:szCs w:val="21"/>
          <w:vertAlign w:val="superscript"/>
        </w:rPr>
        <w:t>18]</w:t>
      </w:r>
      <w:r>
        <w:rPr>
          <w:szCs w:val="21"/>
        </w:rPr>
        <w:t>All</w:t>
      </w:r>
      <w:proofErr w:type="gramEnd"/>
      <w:r>
        <w:rPr>
          <w:szCs w:val="21"/>
        </w:rPr>
        <w:t xml:space="preserve"> perinatal problems, including birth asphyxia, low birth weight, preterm, newborn infection, stillbirth, neonatal mortality, and NICU admissions, were observed more in cases with lateral placenta compared to central ones.</w:t>
      </w:r>
      <w:r w:rsidR="002D2AF7">
        <w:rPr>
          <w:szCs w:val="21"/>
        </w:rPr>
        <w:t xml:space="preserve"> </w:t>
      </w:r>
      <w:r>
        <w:rPr>
          <w:szCs w:val="21"/>
        </w:rPr>
        <w:t xml:space="preserve">Similar to what we found in our study, </w:t>
      </w:r>
      <w:proofErr w:type="spellStart"/>
      <w:r>
        <w:rPr>
          <w:szCs w:val="21"/>
        </w:rPr>
        <w:t>Bhalerao</w:t>
      </w:r>
      <w:proofErr w:type="spellEnd"/>
      <w:r>
        <w:rPr>
          <w:szCs w:val="21"/>
        </w:rPr>
        <w:t xml:space="preserve"> et al. found that mothers with lateral placentas had a larger percentage of newborns with birth weights under 2.5 kg (i.e., 65.38%) compared to women with central placentas (47.36%).</w:t>
      </w:r>
      <w:r>
        <w:rPr>
          <w:szCs w:val="21"/>
          <w:vertAlign w:val="superscript"/>
        </w:rPr>
        <w:t>[19]</w:t>
      </w:r>
      <w:r>
        <w:rPr>
          <w:szCs w:val="21"/>
        </w:rPr>
        <w:t xml:space="preserve"> We measured the following parameters in our study: sensitivity (</w:t>
      </w:r>
      <w:r>
        <w:rPr>
          <w:szCs w:val="21"/>
          <w:highlight w:val="white"/>
        </w:rPr>
        <w:t>69.23%</w:t>
      </w:r>
      <w:r>
        <w:rPr>
          <w:szCs w:val="21"/>
        </w:rPr>
        <w:t>), specificity (66.44%), and negative predictive value (92.38%), which is significant.</w:t>
      </w:r>
    </w:p>
    <w:p w:rsidR="00E66AD9" w:rsidRDefault="00E66AD9">
      <w:pPr>
        <w:widowControl w:val="0"/>
        <w:spacing w:line="240" w:lineRule="auto"/>
        <w:ind w:right="-103"/>
        <w:rPr>
          <w:b/>
          <w:szCs w:val="21"/>
        </w:rPr>
      </w:pPr>
    </w:p>
    <w:p w:rsidR="00E66AD9" w:rsidRDefault="00E66AD9">
      <w:pPr>
        <w:widowControl w:val="0"/>
        <w:spacing w:line="240" w:lineRule="auto"/>
        <w:ind w:right="-103"/>
        <w:rPr>
          <w:b/>
          <w:szCs w:val="21"/>
        </w:rPr>
      </w:pPr>
    </w:p>
    <w:p w:rsidR="00E66AD9" w:rsidRDefault="00886695">
      <w:pPr>
        <w:widowControl w:val="0"/>
        <w:spacing w:line="240" w:lineRule="auto"/>
        <w:ind w:right="-103"/>
        <w:rPr>
          <w:b/>
          <w:szCs w:val="21"/>
        </w:rPr>
      </w:pPr>
      <w:r>
        <w:rPr>
          <w:b/>
          <w:szCs w:val="21"/>
        </w:rPr>
        <w:t>Conclusion</w:t>
      </w:r>
    </w:p>
    <w:p w:rsidR="00E66AD9" w:rsidRPr="007716D1" w:rsidRDefault="00886695">
      <w:pPr>
        <w:widowControl w:val="0"/>
        <w:spacing w:line="240" w:lineRule="auto"/>
        <w:ind w:right="-103"/>
        <w:rPr>
          <w:szCs w:val="21"/>
        </w:rPr>
      </w:pPr>
      <w:r w:rsidRPr="007716D1">
        <w:rPr>
          <w:szCs w:val="21"/>
        </w:rPr>
        <w:t xml:space="preserve">This study found that a laterally positioned placenta, as determined by ultrasonography at 18–20 weeks, is linked to a higher risk of preeclampsia development and a comparatively higher likelihood of </w:t>
      </w:r>
      <w:proofErr w:type="spellStart"/>
      <w:r w:rsidRPr="007716D1">
        <w:rPr>
          <w:szCs w:val="21"/>
        </w:rPr>
        <w:t>unfavourable</w:t>
      </w:r>
      <w:proofErr w:type="spellEnd"/>
      <w:r w:rsidRPr="007716D1">
        <w:rPr>
          <w:szCs w:val="21"/>
        </w:rPr>
        <w:t xml:space="preserve"> </w:t>
      </w:r>
      <w:proofErr w:type="spellStart"/>
      <w:r w:rsidRPr="007716D1">
        <w:rPr>
          <w:szCs w:val="21"/>
        </w:rPr>
        <w:t>fetomaternal</w:t>
      </w:r>
      <w:proofErr w:type="spellEnd"/>
      <w:r w:rsidRPr="007716D1">
        <w:rPr>
          <w:szCs w:val="21"/>
        </w:rPr>
        <w:t xml:space="preserve"> outcome.</w:t>
      </w:r>
    </w:p>
    <w:p w:rsidR="00E66AD9" w:rsidRDefault="00E66AD9">
      <w:pPr>
        <w:widowControl w:val="0"/>
        <w:spacing w:line="240" w:lineRule="auto"/>
        <w:ind w:right="-103"/>
        <w:rPr>
          <w:b/>
          <w:szCs w:val="21"/>
        </w:rPr>
      </w:pPr>
    </w:p>
    <w:p w:rsidR="007716D1" w:rsidRDefault="00886695">
      <w:pPr>
        <w:widowControl w:val="0"/>
        <w:spacing w:line="240" w:lineRule="auto"/>
        <w:ind w:right="-103"/>
        <w:rPr>
          <w:b/>
          <w:szCs w:val="21"/>
        </w:rPr>
      </w:pPr>
      <w:r w:rsidRPr="007716D1">
        <w:rPr>
          <w:b/>
          <w:szCs w:val="21"/>
        </w:rPr>
        <w:t>Strength</w:t>
      </w:r>
      <w:r w:rsidR="007716D1" w:rsidRPr="007716D1">
        <w:rPr>
          <w:b/>
          <w:szCs w:val="21"/>
        </w:rPr>
        <w:t xml:space="preserve"> and Limitation: </w:t>
      </w:r>
    </w:p>
    <w:p w:rsidR="007716D1" w:rsidRPr="007716D1" w:rsidRDefault="007716D1">
      <w:pPr>
        <w:widowControl w:val="0"/>
        <w:spacing w:line="240" w:lineRule="auto"/>
        <w:ind w:right="-103"/>
        <w:rPr>
          <w:b/>
          <w:szCs w:val="21"/>
        </w:rPr>
      </w:pPr>
    </w:p>
    <w:p w:rsidR="00E66AD9" w:rsidRDefault="00886695">
      <w:pPr>
        <w:widowControl w:val="0"/>
        <w:spacing w:line="240" w:lineRule="auto"/>
        <w:ind w:right="-103"/>
        <w:rPr>
          <w:szCs w:val="21"/>
        </w:rPr>
      </w:pPr>
      <w:r>
        <w:rPr>
          <w:szCs w:val="21"/>
        </w:rPr>
        <w:t>Since placental location is assessed before outcome occurs, less prone to bias.</w:t>
      </w:r>
    </w:p>
    <w:p w:rsidR="00E66AD9" w:rsidRDefault="00886695">
      <w:pPr>
        <w:widowControl w:val="0"/>
        <w:spacing w:line="240" w:lineRule="auto"/>
        <w:ind w:right="-103"/>
        <w:rPr>
          <w:szCs w:val="21"/>
        </w:rPr>
      </w:pPr>
      <w:r>
        <w:rPr>
          <w:szCs w:val="21"/>
        </w:rPr>
        <w:lastRenderedPageBreak/>
        <w:t>Prospective studies help to establish temporality.</w:t>
      </w:r>
    </w:p>
    <w:p w:rsidR="00E66AD9" w:rsidRDefault="00886695">
      <w:pPr>
        <w:widowControl w:val="0"/>
        <w:spacing w:line="240" w:lineRule="auto"/>
        <w:ind w:right="-103"/>
        <w:rPr>
          <w:szCs w:val="21"/>
        </w:rPr>
      </w:pPr>
      <w:r>
        <w:rPr>
          <w:szCs w:val="21"/>
        </w:rPr>
        <w:t>A broad literature search was done enhancing the probability of retrieving all relevant research.</w:t>
      </w:r>
    </w:p>
    <w:p w:rsidR="007716D1" w:rsidRDefault="007716D1">
      <w:pPr>
        <w:widowControl w:val="0"/>
        <w:spacing w:line="240" w:lineRule="auto"/>
        <w:ind w:right="-103"/>
        <w:rPr>
          <w:b/>
          <w:szCs w:val="21"/>
        </w:rPr>
      </w:pPr>
    </w:p>
    <w:p w:rsidR="00E66AD9" w:rsidRDefault="00886695">
      <w:pPr>
        <w:widowControl w:val="0"/>
        <w:spacing w:line="240" w:lineRule="auto"/>
        <w:ind w:right="-103"/>
        <w:rPr>
          <w:szCs w:val="21"/>
        </w:rPr>
      </w:pPr>
      <w:r>
        <w:rPr>
          <w:szCs w:val="21"/>
        </w:rPr>
        <w:t>The exclusion criteria of the study may restrict the findings' applicability to a larger population.</w:t>
      </w:r>
    </w:p>
    <w:p w:rsidR="00E66AD9" w:rsidRDefault="00886695">
      <w:pPr>
        <w:spacing w:line="240" w:lineRule="auto"/>
        <w:rPr>
          <w:szCs w:val="21"/>
        </w:rPr>
      </w:pPr>
      <w:r>
        <w:rPr>
          <w:szCs w:val="21"/>
        </w:rPr>
        <w:t>Placental position is not precisely defined. Furthermore, the placenta's placement is not always clear-cut and might occasionally shift temporally  as a result of uterine wall contraction.</w:t>
      </w:r>
    </w:p>
    <w:p w:rsidR="00E66AD9" w:rsidRDefault="00886695">
      <w:pPr>
        <w:spacing w:line="240" w:lineRule="auto"/>
        <w:rPr>
          <w:szCs w:val="21"/>
        </w:rPr>
      </w:pPr>
      <w:r>
        <w:rPr>
          <w:szCs w:val="21"/>
        </w:rPr>
        <w:t>Also, a few of the outcomes under study may be connected to one another. For example, preterm birth is typically associated with FGR, hence there is likely an indirect correlation between the lateral placenta and this result.</w:t>
      </w:r>
    </w:p>
    <w:p w:rsidR="00E66AD9" w:rsidRDefault="00E66AD9">
      <w:pPr>
        <w:widowControl w:val="0"/>
        <w:spacing w:line="240" w:lineRule="auto"/>
        <w:ind w:right="-103"/>
        <w:rPr>
          <w:szCs w:val="21"/>
        </w:rPr>
      </w:pPr>
    </w:p>
    <w:p w:rsidR="00354C48" w:rsidRPr="00354C48" w:rsidRDefault="00354C48" w:rsidP="00354C48">
      <w:pPr>
        <w:widowControl w:val="0"/>
        <w:spacing w:line="240" w:lineRule="auto"/>
        <w:ind w:right="-103"/>
        <w:rPr>
          <w:rFonts w:ascii="Calibri" w:eastAsia="Calibri" w:hAnsi="Calibri" w:cs="Calibri"/>
          <w:b/>
          <w:sz w:val="28"/>
          <w:szCs w:val="28"/>
        </w:rPr>
      </w:pPr>
      <w:r w:rsidRPr="00354C48">
        <w:rPr>
          <w:rFonts w:ascii="Calibri" w:eastAsia="Calibri" w:hAnsi="Calibri" w:cs="Calibri"/>
          <w:b/>
          <w:sz w:val="28"/>
          <w:szCs w:val="28"/>
        </w:rPr>
        <w:t xml:space="preserve">Disclaimer for Preprint: </w:t>
      </w:r>
    </w:p>
    <w:p w:rsidR="00354C48" w:rsidRPr="00354C48" w:rsidRDefault="00354C48" w:rsidP="00354C48">
      <w:pPr>
        <w:widowControl w:val="0"/>
        <w:spacing w:line="240" w:lineRule="auto"/>
        <w:ind w:right="-103"/>
        <w:rPr>
          <w:rFonts w:ascii="Calibri" w:eastAsia="Calibri" w:hAnsi="Calibri" w:cs="Calibri"/>
          <w:sz w:val="28"/>
          <w:szCs w:val="28"/>
        </w:rPr>
      </w:pPr>
    </w:p>
    <w:p w:rsidR="00354C48" w:rsidRPr="00354C48" w:rsidRDefault="00354C48" w:rsidP="00354C48">
      <w:pPr>
        <w:widowControl w:val="0"/>
        <w:spacing w:line="240" w:lineRule="auto"/>
        <w:ind w:right="-103"/>
        <w:rPr>
          <w:rFonts w:ascii="Calibri" w:eastAsia="Calibri" w:hAnsi="Calibri" w:cs="Calibri"/>
          <w:sz w:val="28"/>
          <w:szCs w:val="28"/>
        </w:rPr>
      </w:pPr>
      <w:r w:rsidRPr="00354C48">
        <w:rPr>
          <w:rFonts w:ascii="Calibri" w:eastAsia="Calibri" w:hAnsi="Calibri" w:cs="Calibri"/>
          <w:sz w:val="28"/>
          <w:szCs w:val="28"/>
        </w:rPr>
        <w:t>This paper is an extended version of a preprint document of the same author.</w:t>
      </w:r>
    </w:p>
    <w:p w:rsidR="00354C48" w:rsidRPr="00354C48" w:rsidRDefault="00354C48" w:rsidP="00354C48">
      <w:pPr>
        <w:widowControl w:val="0"/>
        <w:spacing w:line="240" w:lineRule="auto"/>
        <w:ind w:right="-103"/>
        <w:rPr>
          <w:rFonts w:ascii="Calibri" w:eastAsia="Calibri" w:hAnsi="Calibri" w:cs="Calibri"/>
          <w:sz w:val="28"/>
          <w:szCs w:val="28"/>
        </w:rPr>
      </w:pPr>
      <w:r w:rsidRPr="00354C48">
        <w:rPr>
          <w:rFonts w:ascii="Calibri" w:eastAsia="Calibri" w:hAnsi="Calibri" w:cs="Calibri"/>
          <w:sz w:val="28"/>
          <w:szCs w:val="28"/>
        </w:rPr>
        <w:t xml:space="preserve">The preprint document is available in this link: </w:t>
      </w:r>
      <w:hyperlink r:id="rId10" w:history="1">
        <w:r w:rsidRPr="009E5627">
          <w:rPr>
            <w:rStyle w:val="Hyperlink"/>
            <w:rFonts w:ascii="Calibri" w:eastAsia="Calibri" w:hAnsi="Calibri" w:cs="Calibri"/>
            <w:sz w:val="28"/>
            <w:szCs w:val="28"/>
          </w:rPr>
          <w:t>https://www.authorea.com/doi/full/10.22541/au.173338588.85460413/v1</w:t>
        </w:r>
      </w:hyperlink>
      <w:r>
        <w:rPr>
          <w:rFonts w:ascii="Calibri" w:eastAsia="Calibri" w:hAnsi="Calibri" w:cs="Calibri"/>
          <w:sz w:val="28"/>
          <w:szCs w:val="28"/>
        </w:rPr>
        <w:t xml:space="preserve"> </w:t>
      </w:r>
    </w:p>
    <w:p w:rsidR="00E66AD9" w:rsidRDefault="00354C48" w:rsidP="00354C48">
      <w:pPr>
        <w:widowControl w:val="0"/>
        <w:spacing w:line="240" w:lineRule="auto"/>
        <w:ind w:right="-103"/>
        <w:rPr>
          <w:rFonts w:ascii="Calibri" w:eastAsia="Calibri" w:hAnsi="Calibri" w:cs="Calibri"/>
          <w:sz w:val="28"/>
          <w:szCs w:val="28"/>
        </w:rPr>
      </w:pPr>
      <w:r w:rsidRPr="00354C48">
        <w:rPr>
          <w:rFonts w:ascii="Calibri" w:eastAsia="Calibri" w:hAnsi="Calibri" w:cs="Calibri"/>
          <w:sz w:val="28"/>
          <w:szCs w:val="28"/>
        </w:rPr>
        <w:t>[As per journal policy, preprint /repository article can be published as a journal article, provided it is not published in any other journal]</w:t>
      </w:r>
    </w:p>
    <w:p w:rsidR="00354C48" w:rsidRDefault="00354C48" w:rsidP="00354C48">
      <w:pPr>
        <w:widowControl w:val="0"/>
        <w:spacing w:line="240" w:lineRule="auto"/>
        <w:ind w:right="-103"/>
        <w:rPr>
          <w:rFonts w:ascii="Calibri" w:eastAsia="Calibri" w:hAnsi="Calibri" w:cs="Calibri"/>
          <w:sz w:val="28"/>
          <w:szCs w:val="28"/>
        </w:rPr>
      </w:pPr>
    </w:p>
    <w:p w:rsidR="00354C48" w:rsidRDefault="00354C48">
      <w:pPr>
        <w:widowControl w:val="0"/>
        <w:spacing w:line="240" w:lineRule="auto"/>
        <w:ind w:right="-103"/>
        <w:rPr>
          <w:rFonts w:ascii="Calibri" w:eastAsia="Calibri" w:hAnsi="Calibri" w:cs="Calibri"/>
          <w:b/>
          <w:sz w:val="18"/>
          <w:szCs w:val="18"/>
        </w:rPr>
      </w:pPr>
    </w:p>
    <w:p w:rsidR="007716D1" w:rsidRDefault="00886695">
      <w:pPr>
        <w:widowControl w:val="0"/>
        <w:spacing w:line="240" w:lineRule="auto"/>
        <w:ind w:right="-103"/>
        <w:rPr>
          <w:rFonts w:ascii="Calibri" w:eastAsia="Calibri" w:hAnsi="Calibri" w:cs="Calibri"/>
          <w:sz w:val="18"/>
          <w:szCs w:val="18"/>
        </w:rPr>
      </w:pPr>
      <w:r w:rsidRPr="007716D1">
        <w:rPr>
          <w:rFonts w:ascii="Calibri" w:eastAsia="Calibri" w:hAnsi="Calibri" w:cs="Calibri"/>
          <w:b/>
          <w:sz w:val="18"/>
          <w:szCs w:val="18"/>
        </w:rPr>
        <w:t>Ethical approval:</w:t>
      </w:r>
      <w:r>
        <w:rPr>
          <w:rFonts w:ascii="Calibri" w:eastAsia="Calibri" w:hAnsi="Calibri" w:cs="Calibri"/>
          <w:sz w:val="18"/>
          <w:szCs w:val="18"/>
        </w:rPr>
        <w:t xml:space="preserve"> </w:t>
      </w:r>
    </w:p>
    <w:p w:rsidR="00E66AD9" w:rsidRDefault="00886695">
      <w:pPr>
        <w:widowControl w:val="0"/>
        <w:spacing w:line="240" w:lineRule="auto"/>
        <w:ind w:right="-103"/>
        <w:rPr>
          <w:rFonts w:ascii="Calibri" w:eastAsia="Calibri" w:hAnsi="Calibri" w:cs="Calibri"/>
          <w:sz w:val="18"/>
          <w:szCs w:val="18"/>
        </w:rPr>
      </w:pPr>
      <w:r>
        <w:rPr>
          <w:rFonts w:ascii="Calibri" w:eastAsia="Calibri" w:hAnsi="Calibri" w:cs="Calibri"/>
          <w:sz w:val="18"/>
          <w:szCs w:val="18"/>
        </w:rPr>
        <w:t>The study was approved by the Institutional Ethics Committee -No./SC-1/2024/5423</w:t>
      </w:r>
    </w:p>
    <w:p w:rsidR="00DE1BA5" w:rsidRDefault="00DE1BA5">
      <w:pPr>
        <w:widowControl w:val="0"/>
        <w:spacing w:line="240" w:lineRule="auto"/>
        <w:ind w:right="-103"/>
        <w:rPr>
          <w:rFonts w:ascii="Calibri" w:eastAsia="Calibri" w:hAnsi="Calibri" w:cs="Calibri"/>
          <w:sz w:val="18"/>
          <w:szCs w:val="18"/>
        </w:rPr>
      </w:pPr>
    </w:p>
    <w:p w:rsidR="00DE1BA5" w:rsidRPr="00DE1BA5" w:rsidRDefault="00DE1BA5" w:rsidP="00DE1BA5">
      <w:pPr>
        <w:widowControl w:val="0"/>
        <w:spacing w:line="240" w:lineRule="auto"/>
        <w:ind w:right="-103"/>
        <w:rPr>
          <w:rFonts w:ascii="Calibri" w:eastAsia="Calibri" w:hAnsi="Calibri" w:cs="Calibri"/>
          <w:b/>
          <w:sz w:val="18"/>
          <w:szCs w:val="18"/>
        </w:rPr>
      </w:pPr>
      <w:r w:rsidRPr="00DE1BA5">
        <w:rPr>
          <w:rFonts w:ascii="Calibri" w:eastAsia="Calibri" w:hAnsi="Calibri" w:cs="Calibri"/>
          <w:b/>
          <w:sz w:val="18"/>
          <w:szCs w:val="18"/>
        </w:rPr>
        <w:t>Consent:</w:t>
      </w:r>
    </w:p>
    <w:p w:rsidR="00DE1BA5" w:rsidRDefault="00DE1BA5" w:rsidP="00DE1BA5">
      <w:pPr>
        <w:widowControl w:val="0"/>
        <w:spacing w:line="240" w:lineRule="auto"/>
        <w:ind w:right="-103"/>
        <w:rPr>
          <w:rFonts w:ascii="Calibri" w:eastAsia="Calibri" w:hAnsi="Calibri" w:cs="Calibri"/>
          <w:sz w:val="18"/>
          <w:szCs w:val="18"/>
        </w:rPr>
      </w:pPr>
      <w:r w:rsidRPr="00DE1BA5">
        <w:rPr>
          <w:rFonts w:ascii="Calibri" w:eastAsia="Calibri" w:hAnsi="Calibri" w:cs="Calibri"/>
          <w:sz w:val="18"/>
          <w:szCs w:val="18"/>
        </w:rPr>
        <w:t>As per international standards or university standards, patient(s) written consent has been collected and preserved by the author(s).</w:t>
      </w:r>
    </w:p>
    <w:p w:rsidR="00E66AD9" w:rsidRDefault="00E66AD9">
      <w:pPr>
        <w:widowControl w:val="0"/>
        <w:spacing w:line="240" w:lineRule="auto"/>
        <w:ind w:right="-103"/>
        <w:rPr>
          <w:rFonts w:ascii="Calibri" w:eastAsia="Calibri" w:hAnsi="Calibri" w:cs="Calibri"/>
          <w:sz w:val="18"/>
          <w:szCs w:val="18"/>
        </w:rPr>
      </w:pPr>
    </w:p>
    <w:p w:rsidR="00E66AD9" w:rsidRPr="007716D1" w:rsidRDefault="00886695">
      <w:pPr>
        <w:rPr>
          <w:rFonts w:ascii="Calibri" w:eastAsia="Calibri" w:hAnsi="Calibri" w:cs="Times New Roman"/>
          <w:b/>
          <w:kern w:val="2"/>
          <w:highlight w:val="yellow"/>
        </w:rPr>
      </w:pPr>
      <w:bookmarkStart w:id="1" w:name="_Hlk204003461"/>
      <w:bookmarkStart w:id="2" w:name="_Hlk213070710"/>
      <w:r w:rsidRPr="007716D1">
        <w:rPr>
          <w:rFonts w:ascii="Calibri" w:eastAsia="Calibri" w:hAnsi="Calibri" w:cs="Times New Roman"/>
          <w:b/>
          <w:kern w:val="2"/>
          <w:highlight w:val="yellow"/>
        </w:rPr>
        <w:t>Disclaimer (Artificial intelligence)</w:t>
      </w:r>
    </w:p>
    <w:p w:rsidR="00E66AD9" w:rsidRDefault="00886695">
      <w:pPr>
        <w:rPr>
          <w:rFonts w:ascii="Calibri" w:eastAsia="Calibri" w:hAnsi="Calibri" w:cs="Times New Roman"/>
          <w:kern w:val="2"/>
          <w:highlight w:val="yellow"/>
        </w:rPr>
      </w:pPr>
      <w:r>
        <w:rPr>
          <w:rFonts w:ascii="Calibri" w:eastAsia="Calibri" w:hAnsi="Calibri" w:cs="Times New Roman"/>
          <w:kern w:val="2"/>
          <w:highlight w:val="yellow"/>
        </w:rPr>
        <w:t>Option 1:</w:t>
      </w:r>
    </w:p>
    <w:p w:rsidR="00E66AD9" w:rsidRDefault="00886695">
      <w:pPr>
        <w:rPr>
          <w:rFonts w:ascii="Calibri" w:eastAsia="Calibri" w:hAnsi="Calibri" w:cs="Times New Roman"/>
          <w:kern w:val="2"/>
          <w:highlight w:val="yellow"/>
        </w:rPr>
      </w:pPr>
      <w:r>
        <w:rPr>
          <w:rFonts w:ascii="Calibri" w:eastAsia="Calibri" w:hAnsi="Calibri" w:cs="Times New Roman"/>
          <w:kern w:val="2"/>
          <w:highlight w:val="yellow"/>
        </w:rPr>
        <w:t>Author(s) hereby declare that NO generative AI technologies such as Large Language Models (</w:t>
      </w:r>
      <w:proofErr w:type="spellStart"/>
      <w:r>
        <w:rPr>
          <w:rFonts w:ascii="Calibri" w:eastAsia="Calibri" w:hAnsi="Calibri" w:cs="Times New Roman"/>
          <w:kern w:val="2"/>
          <w:highlight w:val="yellow"/>
        </w:rPr>
        <w:t>ChatGPT</w:t>
      </w:r>
      <w:proofErr w:type="spellEnd"/>
      <w:r>
        <w:rPr>
          <w:rFonts w:ascii="Calibri" w:eastAsia="Calibri" w:hAnsi="Calibri" w:cs="Times New Roman"/>
          <w:kern w:val="2"/>
          <w:highlight w:val="yellow"/>
        </w:rPr>
        <w:t xml:space="preserve">, COPILOT, etc.) and text-to-image generators have been used during the writing or editing of this manuscript. </w:t>
      </w:r>
      <w:bookmarkEnd w:id="1"/>
    </w:p>
    <w:bookmarkEnd w:id="2"/>
    <w:p w:rsidR="00E66AD9" w:rsidRDefault="00E66AD9">
      <w:pPr>
        <w:widowControl w:val="0"/>
        <w:spacing w:line="240" w:lineRule="auto"/>
        <w:ind w:right="-103"/>
        <w:rPr>
          <w:rFonts w:ascii="Calibri" w:eastAsia="Calibri" w:hAnsi="Calibri" w:cs="Calibri"/>
          <w:sz w:val="18"/>
          <w:szCs w:val="18"/>
        </w:rPr>
      </w:pPr>
    </w:p>
    <w:p w:rsidR="00E66AD9" w:rsidRDefault="00886695">
      <w:pPr>
        <w:widowControl w:val="0"/>
        <w:spacing w:line="240" w:lineRule="auto"/>
        <w:ind w:right="-103"/>
        <w:rPr>
          <w:szCs w:val="21"/>
        </w:rPr>
      </w:pPr>
      <w:r>
        <w:rPr>
          <w:szCs w:val="21"/>
        </w:rPr>
        <w:t xml:space="preserve">Reference </w:t>
      </w:r>
    </w:p>
    <w:p w:rsidR="00E66AD9" w:rsidRDefault="00886695">
      <w:pPr>
        <w:widowControl w:val="0"/>
        <w:spacing w:line="240" w:lineRule="auto"/>
        <w:ind w:right="-103"/>
        <w:rPr>
          <w:szCs w:val="21"/>
        </w:rPr>
      </w:pPr>
      <w:r>
        <w:rPr>
          <w:szCs w:val="21"/>
        </w:rPr>
        <w:t xml:space="preserve">1. Dr. </w:t>
      </w:r>
      <w:proofErr w:type="spellStart"/>
      <w:r>
        <w:rPr>
          <w:szCs w:val="21"/>
        </w:rPr>
        <w:t>Gorakh</w:t>
      </w:r>
      <w:proofErr w:type="spellEnd"/>
      <w:r>
        <w:rPr>
          <w:szCs w:val="21"/>
        </w:rPr>
        <w:t xml:space="preserve"> </w:t>
      </w:r>
      <w:proofErr w:type="spellStart"/>
      <w:r>
        <w:rPr>
          <w:szCs w:val="21"/>
        </w:rPr>
        <w:t>Mandrupkar</w:t>
      </w:r>
      <w:proofErr w:type="spellEnd"/>
      <w:r>
        <w:rPr>
          <w:szCs w:val="21"/>
        </w:rPr>
        <w:t xml:space="preserve"> et al .FOGSI-GESTOSIS-ICOG Hypertensive Disorders in Pregnancy (HDP) Good Clinical Practice Recommendations 2019. page 3 </w:t>
      </w:r>
    </w:p>
    <w:p w:rsidR="00E66AD9" w:rsidRDefault="00886695">
      <w:pPr>
        <w:widowControl w:val="0"/>
        <w:spacing w:line="240" w:lineRule="auto"/>
        <w:ind w:right="-103"/>
        <w:rPr>
          <w:szCs w:val="21"/>
        </w:rPr>
      </w:pPr>
      <w:r>
        <w:rPr>
          <w:szCs w:val="21"/>
        </w:rPr>
        <w:t xml:space="preserve">2.Mansi j shah et al. Journal of South Asian Federation of Obstetrics and Gynecology (2021): 10.5005/jp-journals-10006-1876 </w:t>
      </w:r>
    </w:p>
    <w:p w:rsidR="00E66AD9" w:rsidRDefault="00886695">
      <w:pPr>
        <w:widowControl w:val="0"/>
        <w:spacing w:line="240" w:lineRule="auto"/>
        <w:ind w:right="-103"/>
        <w:rPr>
          <w:szCs w:val="21"/>
        </w:rPr>
      </w:pPr>
      <w:r>
        <w:rPr>
          <w:szCs w:val="21"/>
        </w:rPr>
        <w:t xml:space="preserve">3. </w:t>
      </w:r>
      <w:proofErr w:type="spellStart"/>
      <w:r>
        <w:rPr>
          <w:szCs w:val="21"/>
        </w:rPr>
        <w:t>Abalos</w:t>
      </w:r>
      <w:proofErr w:type="spellEnd"/>
      <w:r>
        <w:rPr>
          <w:szCs w:val="21"/>
        </w:rPr>
        <w:t xml:space="preserve"> E, Cuesta C, </w:t>
      </w:r>
      <w:proofErr w:type="spellStart"/>
      <w:r>
        <w:rPr>
          <w:szCs w:val="21"/>
        </w:rPr>
        <w:t>Carroli</w:t>
      </w:r>
      <w:proofErr w:type="spellEnd"/>
      <w:r>
        <w:rPr>
          <w:szCs w:val="21"/>
        </w:rPr>
        <w:t xml:space="preserve"> G, Qureshi Z, Widmer M, Vogel JP, et al. Pre-eclampsia, eclampsia and adverse maternal and perinatal outcomes: A secondary analysis of the World Health Organization </w:t>
      </w:r>
      <w:proofErr w:type="spellStart"/>
      <w:r>
        <w:rPr>
          <w:szCs w:val="21"/>
        </w:rPr>
        <w:t>Multicountry</w:t>
      </w:r>
      <w:proofErr w:type="spellEnd"/>
      <w:r>
        <w:rPr>
          <w:szCs w:val="21"/>
        </w:rPr>
        <w:t xml:space="preserve"> Survey on Maternal and Newborn Health. BJOG. 2014; 121(Suppl 1):14–2</w:t>
      </w:r>
    </w:p>
    <w:p w:rsidR="00E66AD9" w:rsidRDefault="00886695">
      <w:pPr>
        <w:widowControl w:val="0"/>
        <w:spacing w:line="240" w:lineRule="auto"/>
        <w:ind w:right="-103"/>
        <w:rPr>
          <w:szCs w:val="21"/>
        </w:rPr>
      </w:pPr>
      <w:r>
        <w:rPr>
          <w:szCs w:val="21"/>
        </w:rPr>
        <w:t xml:space="preserve">4.Gupta A et al. Int J </w:t>
      </w:r>
      <w:proofErr w:type="spellStart"/>
      <w:r>
        <w:rPr>
          <w:szCs w:val="21"/>
        </w:rPr>
        <w:t>Reprod</w:t>
      </w:r>
      <w:proofErr w:type="spellEnd"/>
      <w:r>
        <w:rPr>
          <w:szCs w:val="21"/>
        </w:rPr>
        <w:t xml:space="preserve"> Contracept </w:t>
      </w:r>
      <w:proofErr w:type="spellStart"/>
      <w:r>
        <w:rPr>
          <w:szCs w:val="21"/>
        </w:rPr>
        <w:t>Obstet</w:t>
      </w:r>
      <w:proofErr w:type="spellEnd"/>
      <w:r>
        <w:rPr>
          <w:szCs w:val="21"/>
        </w:rPr>
        <w:t xml:space="preserve"> Gynecol. 2020 Mar;9(3):1017-1022</w:t>
      </w:r>
    </w:p>
    <w:p w:rsidR="00E66AD9" w:rsidRDefault="00886695">
      <w:pPr>
        <w:widowControl w:val="0"/>
        <w:spacing w:line="240" w:lineRule="auto"/>
        <w:ind w:right="-103"/>
        <w:rPr>
          <w:szCs w:val="21"/>
        </w:rPr>
      </w:pPr>
      <w:r>
        <w:rPr>
          <w:szCs w:val="21"/>
        </w:rPr>
        <w:t xml:space="preserve">5.. Fleischer A, Schulman H, </w:t>
      </w:r>
      <w:proofErr w:type="spellStart"/>
      <w:r>
        <w:rPr>
          <w:szCs w:val="21"/>
        </w:rPr>
        <w:t>Farmakidis</w:t>
      </w:r>
      <w:proofErr w:type="spellEnd"/>
      <w:r>
        <w:rPr>
          <w:szCs w:val="21"/>
        </w:rPr>
        <w:t xml:space="preserve"> G, et al. Uterine artery Doppler velocimetry in pregnant women with hypertension. AM. J </w:t>
      </w:r>
      <w:proofErr w:type="spellStart"/>
      <w:r>
        <w:rPr>
          <w:szCs w:val="21"/>
        </w:rPr>
        <w:t>Obstet</w:t>
      </w:r>
      <w:proofErr w:type="spellEnd"/>
      <w:r>
        <w:rPr>
          <w:szCs w:val="21"/>
        </w:rPr>
        <w:t xml:space="preserve"> </w:t>
      </w:r>
      <w:proofErr w:type="spellStart"/>
      <w:r>
        <w:rPr>
          <w:szCs w:val="21"/>
        </w:rPr>
        <w:t>Gynaecol</w:t>
      </w:r>
      <w:proofErr w:type="spellEnd"/>
      <w:r>
        <w:rPr>
          <w:szCs w:val="21"/>
        </w:rPr>
        <w:t xml:space="preserve"> 1986:154:806-813. </w:t>
      </w:r>
    </w:p>
    <w:p w:rsidR="00E66AD9" w:rsidRDefault="00886695">
      <w:pPr>
        <w:widowControl w:val="0"/>
        <w:spacing w:line="240" w:lineRule="auto"/>
        <w:ind w:right="-103"/>
        <w:rPr>
          <w:szCs w:val="21"/>
        </w:rPr>
      </w:pPr>
      <w:r>
        <w:rPr>
          <w:szCs w:val="21"/>
        </w:rPr>
        <w:t xml:space="preserve">6. Schulman H. Winter D, </w:t>
      </w:r>
      <w:proofErr w:type="spellStart"/>
      <w:r>
        <w:rPr>
          <w:szCs w:val="21"/>
        </w:rPr>
        <w:t>Farmakides</w:t>
      </w:r>
      <w:proofErr w:type="spellEnd"/>
      <w:r>
        <w:rPr>
          <w:szCs w:val="21"/>
        </w:rPr>
        <w:t xml:space="preserve"> G, et al. Pregnancy surveillance with Doppler velocimetry of uterine and umbilical arteries. AM J </w:t>
      </w:r>
      <w:proofErr w:type="spellStart"/>
      <w:r>
        <w:rPr>
          <w:szCs w:val="21"/>
        </w:rPr>
        <w:t>Obstet</w:t>
      </w:r>
      <w:proofErr w:type="spellEnd"/>
      <w:r>
        <w:rPr>
          <w:szCs w:val="21"/>
        </w:rPr>
        <w:t xml:space="preserve"> </w:t>
      </w:r>
      <w:proofErr w:type="spellStart"/>
      <w:r>
        <w:rPr>
          <w:szCs w:val="21"/>
        </w:rPr>
        <w:t>Gynaecol</w:t>
      </w:r>
      <w:proofErr w:type="spellEnd"/>
      <w:r>
        <w:rPr>
          <w:szCs w:val="21"/>
        </w:rPr>
        <w:t xml:space="preserve"> 1989:160:192-196.</w:t>
      </w:r>
    </w:p>
    <w:p w:rsidR="00E66AD9" w:rsidRDefault="00886695">
      <w:pPr>
        <w:widowControl w:val="0"/>
        <w:spacing w:line="240" w:lineRule="auto"/>
        <w:ind w:right="-103"/>
        <w:rPr>
          <w:szCs w:val="21"/>
        </w:rPr>
      </w:pPr>
      <w:r>
        <w:rPr>
          <w:szCs w:val="21"/>
        </w:rPr>
        <w:t xml:space="preserve">7-Barinov, S. V., </w:t>
      </w:r>
      <w:proofErr w:type="spellStart"/>
      <w:r>
        <w:rPr>
          <w:szCs w:val="21"/>
        </w:rPr>
        <w:t>Tirskaya</w:t>
      </w:r>
      <w:proofErr w:type="spellEnd"/>
      <w:r>
        <w:rPr>
          <w:szCs w:val="21"/>
        </w:rPr>
        <w:t xml:space="preserve">, Y., </w:t>
      </w:r>
      <w:proofErr w:type="spellStart"/>
      <w:r>
        <w:rPr>
          <w:szCs w:val="21"/>
        </w:rPr>
        <w:t>Shamina</w:t>
      </w:r>
      <w:proofErr w:type="spellEnd"/>
      <w:r>
        <w:rPr>
          <w:szCs w:val="21"/>
        </w:rPr>
        <w:t xml:space="preserve">, I. V., </w:t>
      </w:r>
      <w:proofErr w:type="spellStart"/>
      <w:r>
        <w:rPr>
          <w:szCs w:val="21"/>
        </w:rPr>
        <w:t>Ledovskikh</w:t>
      </w:r>
      <w:proofErr w:type="spellEnd"/>
      <w:r>
        <w:rPr>
          <w:szCs w:val="21"/>
        </w:rPr>
        <w:t xml:space="preserve">, I. O., &amp; </w:t>
      </w:r>
      <w:proofErr w:type="spellStart"/>
      <w:r>
        <w:rPr>
          <w:szCs w:val="21"/>
        </w:rPr>
        <w:t>Atamanenko</w:t>
      </w:r>
      <w:proofErr w:type="spellEnd"/>
      <w:r>
        <w:rPr>
          <w:szCs w:val="21"/>
        </w:rPr>
        <w:t>, O. J. (2021). Placental blood flow and pregnancy outcomes in women with abnormal placental localization and absence of placental migration. The Journal of Maternal-Fetal &amp; Neonatal Medicine, 34(21), 3496-3502.</w:t>
      </w:r>
    </w:p>
    <w:p w:rsidR="00E66AD9" w:rsidRDefault="00886695">
      <w:pPr>
        <w:widowControl w:val="0"/>
        <w:spacing w:line="240" w:lineRule="auto"/>
        <w:ind w:right="-103"/>
        <w:rPr>
          <w:szCs w:val="21"/>
        </w:rPr>
      </w:pPr>
      <w:r>
        <w:rPr>
          <w:szCs w:val="21"/>
          <w:highlight w:val="white"/>
        </w:rPr>
        <w:t xml:space="preserve">8.Sober S, Reiman M, </w:t>
      </w:r>
      <w:proofErr w:type="spellStart"/>
      <w:r>
        <w:rPr>
          <w:szCs w:val="21"/>
          <w:highlight w:val="white"/>
        </w:rPr>
        <w:t>Kika</w:t>
      </w:r>
      <w:proofErr w:type="spellEnd"/>
      <w:r>
        <w:rPr>
          <w:szCs w:val="21"/>
          <w:highlight w:val="white"/>
        </w:rPr>
        <w:t xml:space="preserve"> T, </w:t>
      </w:r>
      <w:proofErr w:type="spellStart"/>
      <w:r>
        <w:rPr>
          <w:szCs w:val="21"/>
          <w:highlight w:val="white"/>
        </w:rPr>
        <w:t>Rull</w:t>
      </w:r>
      <w:proofErr w:type="spellEnd"/>
      <w:r>
        <w:rPr>
          <w:szCs w:val="21"/>
          <w:highlight w:val="white"/>
        </w:rPr>
        <w:t xml:space="preserve"> K, </w:t>
      </w:r>
      <w:proofErr w:type="spellStart"/>
      <w:r>
        <w:rPr>
          <w:szCs w:val="21"/>
          <w:highlight w:val="white"/>
        </w:rPr>
        <w:t>Inno</w:t>
      </w:r>
      <w:proofErr w:type="spellEnd"/>
      <w:r>
        <w:rPr>
          <w:szCs w:val="21"/>
          <w:highlight w:val="white"/>
        </w:rPr>
        <w:t xml:space="preserve"> R, </w:t>
      </w:r>
      <w:proofErr w:type="spellStart"/>
      <w:r>
        <w:rPr>
          <w:szCs w:val="21"/>
          <w:highlight w:val="white"/>
        </w:rPr>
        <w:t>Vaas</w:t>
      </w:r>
      <w:proofErr w:type="spellEnd"/>
      <w:r>
        <w:rPr>
          <w:szCs w:val="21"/>
          <w:highlight w:val="white"/>
        </w:rPr>
        <w:t xml:space="preserve"> P, et al.</w:t>
      </w:r>
      <w:r>
        <w:rPr>
          <w:szCs w:val="21"/>
        </w:rPr>
        <w:t xml:space="preserve"> </w:t>
      </w:r>
      <w:r>
        <w:rPr>
          <w:szCs w:val="21"/>
          <w:highlight w:val="white"/>
        </w:rPr>
        <w:t>Extensive shift in</w:t>
      </w:r>
      <w:r>
        <w:rPr>
          <w:szCs w:val="21"/>
        </w:rPr>
        <w:t xml:space="preserve"> </w:t>
      </w:r>
      <w:r>
        <w:rPr>
          <w:szCs w:val="21"/>
          <w:highlight w:val="white"/>
        </w:rPr>
        <w:t>placental transcriptome profile in</w:t>
      </w:r>
      <w:r>
        <w:rPr>
          <w:szCs w:val="21"/>
        </w:rPr>
        <w:t xml:space="preserve"> </w:t>
      </w:r>
      <w:r>
        <w:rPr>
          <w:szCs w:val="21"/>
          <w:highlight w:val="white"/>
        </w:rPr>
        <w:t>preeclampsia and placental origin of adverse</w:t>
      </w:r>
      <w:r>
        <w:rPr>
          <w:szCs w:val="21"/>
        </w:rPr>
        <w:t xml:space="preserve"> </w:t>
      </w:r>
      <w:r>
        <w:rPr>
          <w:szCs w:val="21"/>
          <w:highlight w:val="white"/>
        </w:rPr>
        <w:t>pregnancy</w:t>
      </w:r>
      <w:r>
        <w:rPr>
          <w:szCs w:val="21"/>
        </w:rPr>
        <w:t xml:space="preserve"> </w:t>
      </w:r>
      <w:r>
        <w:rPr>
          <w:szCs w:val="21"/>
          <w:highlight w:val="white"/>
        </w:rPr>
        <w:t xml:space="preserve">outcomes. </w:t>
      </w:r>
      <w:r>
        <w:rPr>
          <w:i/>
          <w:szCs w:val="21"/>
          <w:highlight w:val="white"/>
        </w:rPr>
        <w:t xml:space="preserve">Sci Rep. </w:t>
      </w:r>
      <w:r>
        <w:rPr>
          <w:szCs w:val="21"/>
          <w:highlight w:val="white"/>
        </w:rPr>
        <w:t>2015</w:t>
      </w:r>
      <w:r>
        <w:rPr>
          <w:szCs w:val="21"/>
        </w:rPr>
        <w:t xml:space="preserve"> </w:t>
      </w:r>
    </w:p>
    <w:p w:rsidR="00E66AD9" w:rsidRDefault="00886695">
      <w:pPr>
        <w:widowControl w:val="0"/>
        <w:spacing w:line="240" w:lineRule="auto"/>
        <w:ind w:right="-103"/>
        <w:rPr>
          <w:szCs w:val="21"/>
        </w:rPr>
      </w:pPr>
      <w:r>
        <w:rPr>
          <w:szCs w:val="21"/>
        </w:rPr>
        <w:t xml:space="preserve">9. Campbell S, Pearce JM, Hackett G, </w:t>
      </w:r>
      <w:proofErr w:type="spellStart"/>
      <w:r>
        <w:rPr>
          <w:szCs w:val="21"/>
        </w:rPr>
        <w:t>Overbeek</w:t>
      </w:r>
      <w:proofErr w:type="spellEnd"/>
      <w:r>
        <w:rPr>
          <w:szCs w:val="21"/>
        </w:rPr>
        <w:t xml:space="preserve"> TC, Hernandez C. Qualitative assessment of uteroplacental blood flow: early screening test for high risk pregnancies. </w:t>
      </w:r>
      <w:proofErr w:type="spellStart"/>
      <w:r>
        <w:rPr>
          <w:szCs w:val="21"/>
        </w:rPr>
        <w:t>Obstet</w:t>
      </w:r>
      <w:proofErr w:type="spellEnd"/>
      <w:r>
        <w:rPr>
          <w:szCs w:val="21"/>
        </w:rPr>
        <w:t xml:space="preserve"> Gynecol. 1986;68(5):649-53.</w:t>
      </w:r>
    </w:p>
    <w:p w:rsidR="00E66AD9" w:rsidRDefault="00886695">
      <w:pPr>
        <w:widowControl w:val="0"/>
        <w:spacing w:line="240" w:lineRule="auto"/>
        <w:ind w:right="-103"/>
        <w:rPr>
          <w:szCs w:val="21"/>
        </w:rPr>
      </w:pPr>
      <w:r>
        <w:rPr>
          <w:szCs w:val="21"/>
        </w:rPr>
        <w:lastRenderedPageBreak/>
        <w:t xml:space="preserve">10. </w:t>
      </w:r>
      <w:proofErr w:type="spellStart"/>
      <w:r>
        <w:rPr>
          <w:szCs w:val="21"/>
        </w:rPr>
        <w:t>Kofinas</w:t>
      </w:r>
      <w:proofErr w:type="spellEnd"/>
      <w:r>
        <w:rPr>
          <w:szCs w:val="21"/>
        </w:rPr>
        <w:t xml:space="preserve"> AD, Penry M, Swain M, </w:t>
      </w:r>
      <w:proofErr w:type="spellStart"/>
      <w:r>
        <w:rPr>
          <w:szCs w:val="21"/>
        </w:rPr>
        <w:t>Hatjis</w:t>
      </w:r>
      <w:proofErr w:type="spellEnd"/>
      <w:r>
        <w:rPr>
          <w:szCs w:val="21"/>
        </w:rPr>
        <w:t xml:space="preserve"> CG. Effect of placental laterality on uterine artery resistance and development of preeclampsia and intrauterine growth retardation. Am J </w:t>
      </w:r>
      <w:proofErr w:type="spellStart"/>
      <w:r>
        <w:rPr>
          <w:szCs w:val="21"/>
        </w:rPr>
        <w:t>Obstet</w:t>
      </w:r>
      <w:proofErr w:type="spellEnd"/>
      <w:r>
        <w:rPr>
          <w:szCs w:val="21"/>
        </w:rPr>
        <w:t xml:space="preserve"> Gynecol. 1989;161:153-69. </w:t>
      </w:r>
    </w:p>
    <w:p w:rsidR="00E66AD9" w:rsidRDefault="00886695">
      <w:pPr>
        <w:widowControl w:val="0"/>
        <w:spacing w:line="240" w:lineRule="auto"/>
        <w:ind w:right="-103"/>
        <w:rPr>
          <w:szCs w:val="21"/>
        </w:rPr>
      </w:pPr>
      <w:r>
        <w:rPr>
          <w:szCs w:val="21"/>
        </w:rPr>
        <w:t xml:space="preserve">11. </w:t>
      </w:r>
      <w:proofErr w:type="spellStart"/>
      <w:r>
        <w:rPr>
          <w:szCs w:val="21"/>
        </w:rPr>
        <w:t>Anuja</w:t>
      </w:r>
      <w:proofErr w:type="spellEnd"/>
      <w:r>
        <w:rPr>
          <w:szCs w:val="21"/>
        </w:rPr>
        <w:t xml:space="preserve"> V </w:t>
      </w:r>
      <w:proofErr w:type="spellStart"/>
      <w:r>
        <w:rPr>
          <w:szCs w:val="21"/>
        </w:rPr>
        <w:t>Bhalerao,Journal</w:t>
      </w:r>
      <w:proofErr w:type="spellEnd"/>
      <w:r>
        <w:rPr>
          <w:szCs w:val="21"/>
        </w:rPr>
        <w:t xml:space="preserve"> of South Asian Federation of Obstetrics and </w:t>
      </w:r>
      <w:proofErr w:type="spellStart"/>
      <w:r>
        <w:rPr>
          <w:szCs w:val="21"/>
        </w:rPr>
        <w:t>Gynaecology</w:t>
      </w:r>
      <w:proofErr w:type="spellEnd"/>
      <w:r>
        <w:rPr>
          <w:szCs w:val="21"/>
        </w:rPr>
        <w:t>, May-August 2013;5(2):68-71</w:t>
      </w:r>
    </w:p>
    <w:p w:rsidR="00E66AD9" w:rsidRDefault="00886695">
      <w:pPr>
        <w:widowControl w:val="0"/>
        <w:spacing w:line="240" w:lineRule="auto"/>
        <w:ind w:right="-103"/>
        <w:rPr>
          <w:szCs w:val="21"/>
        </w:rPr>
      </w:pPr>
      <w:r>
        <w:rPr>
          <w:szCs w:val="21"/>
        </w:rPr>
        <w:t>12.</w:t>
      </w:r>
      <w:r>
        <w:rPr>
          <w:color w:val="231F20"/>
          <w:szCs w:val="21"/>
          <w:highlight w:val="white"/>
        </w:rPr>
        <w:t xml:space="preserve">Macgillviray-BJOG </w:t>
      </w:r>
      <w:hyperlink r:id="rId11" w:history="1">
        <w:r>
          <w:rPr>
            <w:szCs w:val="21"/>
          </w:rPr>
          <w:t>obgyn.onlinelibrary.wiley.com/doi/10.1111/j.1471-</w:t>
        </w:r>
        <w:proofErr w:type="gramStart"/>
        <w:r>
          <w:rPr>
            <w:szCs w:val="21"/>
          </w:rPr>
          <w:t>0528.1958.tb</w:t>
        </w:r>
        <w:proofErr w:type="gramEnd"/>
        <w:r>
          <w:rPr>
            <w:szCs w:val="21"/>
          </w:rPr>
          <w:t>08557.x</w:t>
        </w:r>
      </w:hyperlink>
    </w:p>
    <w:p w:rsidR="00E66AD9" w:rsidRDefault="00886695">
      <w:pPr>
        <w:widowControl w:val="0"/>
        <w:spacing w:line="240" w:lineRule="auto"/>
        <w:ind w:right="-103"/>
        <w:rPr>
          <w:szCs w:val="21"/>
        </w:rPr>
      </w:pPr>
      <w:r>
        <w:rPr>
          <w:szCs w:val="21"/>
        </w:rPr>
        <w:t>13. Rachel Mathew Gynecology and Obstetrics Clinical Medicine 3 (2023) 119–123</w:t>
      </w:r>
    </w:p>
    <w:p w:rsidR="00E66AD9" w:rsidRDefault="00886695">
      <w:pPr>
        <w:widowControl w:val="0"/>
        <w:spacing w:line="240" w:lineRule="auto"/>
        <w:ind w:right="-103"/>
        <w:rPr>
          <w:szCs w:val="21"/>
        </w:rPr>
      </w:pPr>
      <w:r>
        <w:rPr>
          <w:szCs w:val="21"/>
        </w:rPr>
        <w:t xml:space="preserve">14- Figure 1 and figure 2- J Med Ultrasound. 2024 Apr 27;32(2):161–166. </w:t>
      </w:r>
      <w:proofErr w:type="spellStart"/>
      <w:r>
        <w:rPr>
          <w:szCs w:val="21"/>
        </w:rPr>
        <w:t>doi</w:t>
      </w:r>
      <w:proofErr w:type="spellEnd"/>
      <w:r>
        <w:rPr>
          <w:szCs w:val="21"/>
        </w:rPr>
        <w:t>: 10.4103/jmu.jmu_39_23</w:t>
      </w:r>
    </w:p>
    <w:p w:rsidR="00E66AD9" w:rsidRDefault="00886695">
      <w:pPr>
        <w:widowControl w:val="0"/>
        <w:spacing w:line="240" w:lineRule="auto"/>
        <w:ind w:right="-103"/>
        <w:rPr>
          <w:szCs w:val="21"/>
        </w:rPr>
      </w:pPr>
      <w:r>
        <w:rPr>
          <w:szCs w:val="21"/>
        </w:rPr>
        <w:t xml:space="preserve">15-Kakkar T, Singh V, </w:t>
      </w:r>
      <w:proofErr w:type="spellStart"/>
      <w:r>
        <w:rPr>
          <w:szCs w:val="21"/>
        </w:rPr>
        <w:t>Ranzdan</w:t>
      </w:r>
      <w:proofErr w:type="spellEnd"/>
      <w:r>
        <w:rPr>
          <w:szCs w:val="21"/>
        </w:rPr>
        <w:t xml:space="preserve"> R, Sanjeev KD, Gupta A, </w:t>
      </w:r>
      <w:proofErr w:type="spellStart"/>
      <w:r>
        <w:rPr>
          <w:szCs w:val="21"/>
        </w:rPr>
        <w:t>Kakkar</w:t>
      </w:r>
      <w:proofErr w:type="spellEnd"/>
      <w:r>
        <w:rPr>
          <w:szCs w:val="21"/>
        </w:rPr>
        <w:t xml:space="preserve"> M. Placental laterality as a predictor for development of preeclampsia. The Journal of Obstetrics and Gynecology of India (January–February 2013) 63(1):22–25 DOI 10.1007/s13224-012-0241-x</w:t>
      </w:r>
    </w:p>
    <w:p w:rsidR="00E66AD9" w:rsidRDefault="00886695">
      <w:pPr>
        <w:widowControl w:val="0"/>
        <w:spacing w:line="240" w:lineRule="auto"/>
        <w:ind w:right="-103"/>
        <w:rPr>
          <w:szCs w:val="21"/>
        </w:rPr>
      </w:pPr>
      <w:r>
        <w:rPr>
          <w:szCs w:val="21"/>
        </w:rPr>
        <w:t xml:space="preserve">16-IOSR Journal of Dental and Medical Sciences (IOSR-JDMS) </w:t>
      </w:r>
      <w:r>
        <w:rPr>
          <w:szCs w:val="21"/>
        </w:rPr>
        <w:cr/>
        <w:t>e-ISSN: 2279-0853, p-ISSN: 2279-0861.Volume 15, Issue 6 Ver. XIII (June. 2016)</w:t>
      </w:r>
    </w:p>
    <w:p w:rsidR="00E66AD9" w:rsidRDefault="00886695">
      <w:pPr>
        <w:widowControl w:val="0"/>
        <w:spacing w:line="240" w:lineRule="auto"/>
        <w:ind w:right="-103"/>
        <w:rPr>
          <w:szCs w:val="21"/>
        </w:rPr>
      </w:pPr>
      <w:r>
        <w:rPr>
          <w:szCs w:val="21"/>
        </w:rPr>
        <w:t>17-International Journal of Academic Medicine and Pharmacy (www.academicmed.org)</w:t>
      </w:r>
    </w:p>
    <w:p w:rsidR="00E66AD9" w:rsidRDefault="00886695">
      <w:pPr>
        <w:widowControl w:val="0"/>
        <w:spacing w:line="240" w:lineRule="auto"/>
        <w:ind w:right="-103"/>
        <w:rPr>
          <w:szCs w:val="21"/>
        </w:rPr>
      </w:pPr>
      <w:r>
        <w:rPr>
          <w:szCs w:val="21"/>
        </w:rPr>
        <w:t xml:space="preserve">ISSN (O): 2687-5365; ISSN (P): 2753-6556/ Int J </w:t>
      </w:r>
      <w:proofErr w:type="spellStart"/>
      <w:r>
        <w:rPr>
          <w:szCs w:val="21"/>
        </w:rPr>
        <w:t>Acad</w:t>
      </w:r>
      <w:proofErr w:type="spellEnd"/>
      <w:r>
        <w:rPr>
          <w:szCs w:val="21"/>
        </w:rPr>
        <w:t xml:space="preserve"> Med Pharm2023; 5 (1); 216-221</w:t>
      </w:r>
    </w:p>
    <w:p w:rsidR="00E66AD9" w:rsidRDefault="00886695">
      <w:pPr>
        <w:widowControl w:val="0"/>
        <w:spacing w:line="240" w:lineRule="auto"/>
        <w:ind w:right="-103"/>
        <w:rPr>
          <w:rFonts w:ascii="Calibri" w:eastAsia="Calibri" w:hAnsi="Calibri" w:cs="Calibri"/>
          <w:sz w:val="18"/>
          <w:szCs w:val="18"/>
        </w:rPr>
      </w:pPr>
      <w:r>
        <w:rPr>
          <w:rFonts w:ascii="Calibri" w:eastAsia="Calibri" w:hAnsi="Calibri" w:cs="Calibri"/>
          <w:sz w:val="18"/>
          <w:szCs w:val="18"/>
        </w:rPr>
        <w:t xml:space="preserve">18-International Journal of Reproduction, Contraception, Obstetrics and Gynecology Ghosh A et al. Int J </w:t>
      </w:r>
      <w:proofErr w:type="spellStart"/>
      <w:r>
        <w:rPr>
          <w:rFonts w:ascii="Calibri" w:eastAsia="Calibri" w:hAnsi="Calibri" w:cs="Calibri"/>
          <w:sz w:val="18"/>
          <w:szCs w:val="18"/>
        </w:rPr>
        <w:t>Reprod</w:t>
      </w:r>
      <w:proofErr w:type="spellEnd"/>
      <w:r>
        <w:rPr>
          <w:rFonts w:ascii="Calibri" w:eastAsia="Calibri" w:hAnsi="Calibri" w:cs="Calibri"/>
          <w:sz w:val="18"/>
          <w:szCs w:val="18"/>
        </w:rPr>
        <w:t xml:space="preserve"> Contracept </w:t>
      </w:r>
      <w:proofErr w:type="spellStart"/>
      <w:r>
        <w:rPr>
          <w:rFonts w:ascii="Calibri" w:eastAsia="Calibri" w:hAnsi="Calibri" w:cs="Calibri"/>
          <w:sz w:val="18"/>
          <w:szCs w:val="18"/>
        </w:rPr>
        <w:t>Obstet</w:t>
      </w:r>
      <w:proofErr w:type="spellEnd"/>
      <w:r>
        <w:rPr>
          <w:rFonts w:ascii="Calibri" w:eastAsia="Calibri" w:hAnsi="Calibri" w:cs="Calibri"/>
          <w:sz w:val="18"/>
          <w:szCs w:val="18"/>
        </w:rPr>
        <w:t xml:space="preserve"> Gynecol. 2020 Jan;9(1):200-204 www.ijrcog.org </w:t>
      </w:r>
      <w:proofErr w:type="spellStart"/>
      <w:r>
        <w:rPr>
          <w:rFonts w:ascii="Calibri" w:eastAsia="Calibri" w:hAnsi="Calibri" w:cs="Calibri"/>
          <w:sz w:val="18"/>
          <w:szCs w:val="18"/>
        </w:rPr>
        <w:t>pISSN</w:t>
      </w:r>
      <w:proofErr w:type="spellEnd"/>
      <w:r>
        <w:rPr>
          <w:rFonts w:ascii="Calibri" w:eastAsia="Calibri" w:hAnsi="Calibri" w:cs="Calibri"/>
          <w:sz w:val="18"/>
          <w:szCs w:val="18"/>
        </w:rPr>
        <w:t xml:space="preserve"> 2320-1770 | </w:t>
      </w:r>
      <w:proofErr w:type="spellStart"/>
      <w:r>
        <w:rPr>
          <w:rFonts w:ascii="Calibri" w:eastAsia="Calibri" w:hAnsi="Calibri" w:cs="Calibri"/>
          <w:sz w:val="18"/>
          <w:szCs w:val="18"/>
        </w:rPr>
        <w:t>eISSN</w:t>
      </w:r>
      <w:proofErr w:type="spellEnd"/>
      <w:r>
        <w:rPr>
          <w:rFonts w:ascii="Calibri" w:eastAsia="Calibri" w:hAnsi="Calibri" w:cs="Calibri"/>
          <w:sz w:val="18"/>
          <w:szCs w:val="18"/>
        </w:rPr>
        <w:t xml:space="preserve"> 2320-1789</w:t>
      </w:r>
    </w:p>
    <w:p w:rsidR="00E66AD9" w:rsidRDefault="00886695">
      <w:pPr>
        <w:widowControl w:val="0"/>
        <w:spacing w:line="240" w:lineRule="auto"/>
        <w:ind w:right="-103"/>
        <w:rPr>
          <w:rFonts w:ascii="Calibri" w:eastAsia="Calibri" w:hAnsi="Calibri" w:cs="Calibri"/>
          <w:sz w:val="18"/>
          <w:szCs w:val="18"/>
        </w:rPr>
      </w:pPr>
      <w:r>
        <w:rPr>
          <w:rFonts w:ascii="Calibri" w:eastAsia="Calibri" w:hAnsi="Calibri" w:cs="Calibri"/>
          <w:sz w:val="18"/>
          <w:szCs w:val="18"/>
        </w:rPr>
        <w:t xml:space="preserve">19-Journal of South Asian Federation of Obstetrics and </w:t>
      </w:r>
      <w:proofErr w:type="spellStart"/>
      <w:r>
        <w:rPr>
          <w:rFonts w:ascii="Calibri" w:eastAsia="Calibri" w:hAnsi="Calibri" w:cs="Calibri"/>
          <w:sz w:val="18"/>
          <w:szCs w:val="18"/>
        </w:rPr>
        <w:t>Gynaecology</w:t>
      </w:r>
      <w:proofErr w:type="spellEnd"/>
      <w:r>
        <w:rPr>
          <w:rFonts w:ascii="Calibri" w:eastAsia="Calibri" w:hAnsi="Calibri" w:cs="Calibri"/>
          <w:sz w:val="18"/>
          <w:szCs w:val="18"/>
        </w:rPr>
        <w:t>, May-August 2013;5(2):68-71</w:t>
      </w:r>
    </w:p>
    <w:p w:rsidR="0049060D" w:rsidRDefault="0049060D">
      <w:pPr>
        <w:widowControl w:val="0"/>
        <w:spacing w:line="240" w:lineRule="auto"/>
        <w:ind w:right="-103"/>
        <w:rPr>
          <w:rFonts w:ascii="Calibri" w:eastAsia="Calibri" w:hAnsi="Calibri" w:cs="Calibri"/>
          <w:sz w:val="18"/>
          <w:szCs w:val="18"/>
        </w:rPr>
      </w:pPr>
      <w:r>
        <w:rPr>
          <w:rFonts w:ascii="Calibri" w:eastAsia="Calibri" w:hAnsi="Calibri" w:cs="Calibri"/>
          <w:sz w:val="18"/>
          <w:szCs w:val="18"/>
        </w:rPr>
        <w:t xml:space="preserve">20. </w:t>
      </w:r>
      <w:r w:rsidRPr="0049060D">
        <w:rPr>
          <w:rFonts w:ascii="Calibri" w:eastAsia="Calibri" w:hAnsi="Calibri" w:cs="Calibri"/>
          <w:sz w:val="18"/>
          <w:szCs w:val="18"/>
        </w:rPr>
        <w:t>Gupta, A., Bansal, P., Sen, J., &amp; Singhal, S. R. (2020). Correlation of lateral placental location with development of preeclampsia. International Journal of Reproduction, Contraception, Obstetrics and Gynecology, 9(3), 1017–1022. https://doi.org/10.18203/2320-1770.ijrcog20200867</w:t>
      </w:r>
    </w:p>
    <w:sectPr w:rsidR="0049060D">
      <w:headerReference w:type="even" r:id="rId12"/>
      <w:headerReference w:type="default" r:id="rId13"/>
      <w:footerReference w:type="even" r:id="rId14"/>
      <w:footerReference w:type="default" r:id="rId15"/>
      <w:headerReference w:type="first" r:id="rId16"/>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41B2" w:rsidRDefault="00B041B2">
      <w:pPr>
        <w:spacing w:line="240" w:lineRule="auto"/>
      </w:pPr>
      <w:r>
        <w:separator/>
      </w:r>
    </w:p>
  </w:endnote>
  <w:endnote w:type="continuationSeparator" w:id="0">
    <w:p w:rsidR="00B041B2" w:rsidRDefault="00B041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msungKhmerUI">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D9" w:rsidRDefault="00E66A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D9" w:rsidRDefault="00E66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41B2" w:rsidRDefault="00B041B2">
      <w:pPr>
        <w:spacing w:line="240" w:lineRule="auto"/>
      </w:pPr>
      <w:r>
        <w:separator/>
      </w:r>
    </w:p>
  </w:footnote>
  <w:footnote w:type="continuationSeparator" w:id="0">
    <w:p w:rsidR="00B041B2" w:rsidRDefault="00B041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D9" w:rsidRDefault="00B041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left:0;text-align:left;margin-left:0;margin-top:0;width:571.95pt;height:64.5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D9" w:rsidRDefault="00B041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571.95pt;height:64.5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6AD9" w:rsidRDefault="00B041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left:0;text-align:left;margin-left:0;margin-top:0;width:571.95pt;height:64.5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Arial&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CysDAztDAzsjA1MTVX0lEKTi0uzszPAykwrAUAtr/iGywAAAA="/>
  </w:docVars>
  <w:rsids>
    <w:rsidRoot w:val="00E66AD9"/>
    <w:rsid w:val="000A4BBB"/>
    <w:rsid w:val="002A1A30"/>
    <w:rsid w:val="002A4D85"/>
    <w:rsid w:val="002D2AF7"/>
    <w:rsid w:val="00322156"/>
    <w:rsid w:val="00354C48"/>
    <w:rsid w:val="0049060D"/>
    <w:rsid w:val="004B1879"/>
    <w:rsid w:val="005D63FF"/>
    <w:rsid w:val="00705A9E"/>
    <w:rsid w:val="00730D35"/>
    <w:rsid w:val="007716D1"/>
    <w:rsid w:val="00886695"/>
    <w:rsid w:val="009806FF"/>
    <w:rsid w:val="009D6C76"/>
    <w:rsid w:val="00B041B2"/>
    <w:rsid w:val="00B527B5"/>
    <w:rsid w:val="00D1110D"/>
    <w:rsid w:val="00DE1BA5"/>
    <w:rsid w:val="00E66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AFA9A2D"/>
  <w15:docId w15:val="{00526EB5-757D-4E88-A640-597FC146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00" w:after="120"/>
      <w:outlineLvl w:val="0"/>
    </w:pPr>
    <w:rPr>
      <w:sz w:val="40"/>
      <w:szCs w:val="40"/>
    </w:rPr>
  </w:style>
  <w:style w:type="paragraph" w:styleId="Heading2">
    <w:name w:val="heading 2"/>
    <w:basedOn w:val="Normal1"/>
    <w:next w:val="Normal1"/>
    <w:uiPriority w:val="9"/>
    <w:semiHidden/>
    <w:unhideWhenUsed/>
    <w:qFormat/>
    <w:pPr>
      <w:keepNext/>
      <w:keepLines/>
      <w:spacing w:before="360" w:after="120"/>
      <w:outlineLvl w:val="1"/>
    </w:pPr>
    <w:rPr>
      <w:sz w:val="32"/>
      <w:szCs w:val="32"/>
    </w:rPr>
  </w:style>
  <w:style w:type="paragraph" w:styleId="Heading3">
    <w:name w:val="heading 3"/>
    <w:basedOn w:val="Normal1"/>
    <w:next w:val="Normal1"/>
    <w:uiPriority w:val="9"/>
    <w:semiHidden/>
    <w:unhideWhenUsed/>
    <w:qFormat/>
    <w:pPr>
      <w:keepNext/>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spacing w:before="240" w:after="80"/>
      <w:outlineLvl w:val="4"/>
    </w:pPr>
    <w:rPr>
      <w:color w:val="666666"/>
    </w:rPr>
  </w:style>
  <w:style w:type="paragraph" w:styleId="Heading6">
    <w:name w:val="heading 6"/>
    <w:basedOn w:val="Normal1"/>
    <w:next w:val="Normal1"/>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after="60"/>
    </w:pPr>
    <w:rPr>
      <w:sz w:val="52"/>
      <w:szCs w:val="52"/>
    </w:rPr>
  </w:style>
  <w:style w:type="paragraph" w:styleId="Subtitle">
    <w:name w:val="Subtitle"/>
    <w:basedOn w:val="Normal1"/>
    <w:next w:val="Normal1"/>
    <w:uiPriority w:val="11"/>
    <w:qFormat/>
    <w:pPr>
      <w:keepNext/>
      <w:keepLines/>
      <w:spacing w:after="320"/>
    </w:pPr>
    <w:rPr>
      <w:color w:val="666666"/>
      <w:sz w:val="30"/>
      <w:szCs w:val="30"/>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sz w:val="21"/>
    </w:rPr>
  </w:style>
  <w:style w:type="paragraph" w:styleId="Footer">
    <w:name w:val="footer"/>
    <w:basedOn w:val="Normal"/>
    <w:link w:val="FooterChar"/>
    <w:uiPriority w:val="99"/>
    <w:pPr>
      <w:tabs>
        <w:tab w:val="center" w:pos="4680"/>
        <w:tab w:val="right" w:pos="9360"/>
      </w:tabs>
      <w:spacing w:line="240" w:lineRule="auto"/>
    </w:pPr>
  </w:style>
  <w:style w:type="character" w:customStyle="1" w:styleId="FooterChar">
    <w:name w:val="Footer Char"/>
    <w:basedOn w:val="DefaultParagraphFont"/>
    <w:link w:val="Footer"/>
    <w:uiPriority w:val="99"/>
    <w:rPr>
      <w:sz w:val="21"/>
    </w:rPr>
  </w:style>
  <w:style w:type="paragraph" w:customStyle="1" w:styleId="normal0">
    <w:name w:val="&quot;normal&quot;"/>
  </w:style>
  <w:style w:type="paragraph" w:customStyle="1" w:styleId="normal2">
    <w:name w:val="&quot;normal&quot;"/>
  </w:style>
  <w:style w:type="paragraph" w:customStyle="1" w:styleId="normal3">
    <w:name w:val="&quot;normal&quot;"/>
  </w:style>
  <w:style w:type="paragraph" w:customStyle="1" w:styleId="normal4">
    <w:name w:val="&quot;normal&quot;"/>
  </w:style>
  <w:style w:type="paragraph" w:customStyle="1" w:styleId="normal5">
    <w:name w:val="&quot;normal&quot;"/>
  </w:style>
  <w:style w:type="paragraph" w:customStyle="1" w:styleId="normal6">
    <w:name w:val="&quot;normal&quot;"/>
  </w:style>
  <w:style w:type="paragraph" w:customStyle="1" w:styleId="normal7">
    <w:name w:val="&quot;normal&quot;"/>
  </w:style>
  <w:style w:type="character" w:styleId="UnresolvedMention">
    <w:name w:val="Unresolved Mention"/>
    <w:basedOn w:val="DefaultParagraphFont"/>
    <w:uiPriority w:val="99"/>
    <w:semiHidden/>
    <w:unhideWhenUsed/>
    <w:rsid w:val="00354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obgyn.onlinelibrary.wiley.com/doi/10.1111/j.1471-0528.1958.tb08557.x"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www.authorea.com/doi/full/10.22541/au.173338588.85460413/v1" TargetMode="Externa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3310</Words>
  <Characters>18867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Editor-1183</cp:lastModifiedBy>
  <cp:revision>54</cp:revision>
  <dcterms:created xsi:type="dcterms:W3CDTF">2025-11-18T09:10:00Z</dcterms:created>
  <dcterms:modified xsi:type="dcterms:W3CDTF">2025-11-24T05:16:00Z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6a3e4c0baf6e4c9a86287762630f2e88</vt:lpwstr>
  </property>
  <property fmtid="{D5CDD505-2E9C-101B-9397-08002B2CF9AE}" pid="3" name="GrammarlyDocumentId">
    <vt:lpwstr>a810c5ae-dcd3-4652-b66f-fb568d23998b</vt:lpwstr>
  </property>
</Properties>
</file>