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8579D" w14:textId="2AA2D081" w:rsidR="00972DF7" w:rsidRDefault="004E21C2" w:rsidP="00F4317D">
      <w:pPr>
        <w:jc w:val="both"/>
        <w:rPr>
          <w:rFonts w:ascii="Times New Roman" w:hAnsi="Times New Roman" w:cs="Times New Roman"/>
          <w:b/>
          <w:bCs/>
          <w:sz w:val="28"/>
          <w:szCs w:val="28"/>
        </w:rPr>
      </w:pPr>
      <w:r w:rsidRPr="00F4317D">
        <w:rPr>
          <w:rFonts w:ascii="Times New Roman" w:hAnsi="Times New Roman" w:cs="Times New Roman"/>
          <w:b/>
          <w:bCs/>
          <w:sz w:val="28"/>
          <w:szCs w:val="28"/>
        </w:rPr>
        <w:t xml:space="preserve">Fallow Land and Migration of Farmers and Agricultural </w:t>
      </w:r>
      <w:proofErr w:type="spellStart"/>
      <w:r w:rsidRPr="00F4317D">
        <w:rPr>
          <w:rFonts w:ascii="Times New Roman" w:hAnsi="Times New Roman" w:cs="Times New Roman"/>
          <w:b/>
          <w:bCs/>
          <w:sz w:val="28"/>
          <w:szCs w:val="28"/>
        </w:rPr>
        <w:t>Labourers</w:t>
      </w:r>
      <w:proofErr w:type="spellEnd"/>
      <w:r w:rsidRPr="00F4317D">
        <w:rPr>
          <w:rFonts w:ascii="Times New Roman" w:hAnsi="Times New Roman" w:cs="Times New Roman"/>
          <w:b/>
          <w:bCs/>
          <w:sz w:val="28"/>
          <w:szCs w:val="28"/>
        </w:rPr>
        <w:t xml:space="preserve"> </w:t>
      </w:r>
      <w:r>
        <w:rPr>
          <w:rFonts w:ascii="Times New Roman" w:hAnsi="Times New Roman" w:cs="Times New Roman"/>
          <w:b/>
          <w:bCs/>
          <w:sz w:val="28"/>
          <w:szCs w:val="28"/>
        </w:rPr>
        <w:t>of</w:t>
      </w:r>
      <w:r w:rsidRPr="00F4317D">
        <w:rPr>
          <w:rFonts w:ascii="Times New Roman" w:hAnsi="Times New Roman" w:cs="Times New Roman"/>
          <w:b/>
          <w:bCs/>
          <w:sz w:val="28"/>
          <w:szCs w:val="28"/>
        </w:rPr>
        <w:t xml:space="preserve"> Semi-Arid Regions of India</w:t>
      </w:r>
      <w:r>
        <w:rPr>
          <w:rFonts w:ascii="Times New Roman" w:hAnsi="Times New Roman" w:cs="Times New Roman"/>
          <w:b/>
          <w:bCs/>
          <w:sz w:val="28"/>
          <w:szCs w:val="28"/>
        </w:rPr>
        <w:t xml:space="preserve"> w</w:t>
      </w:r>
      <w:r w:rsidRPr="00F4317D">
        <w:rPr>
          <w:rFonts w:ascii="Times New Roman" w:hAnsi="Times New Roman" w:cs="Times New Roman"/>
          <w:b/>
          <w:bCs/>
          <w:sz w:val="28"/>
          <w:szCs w:val="28"/>
        </w:rPr>
        <w:t>ith Special Reference to Karnataka</w:t>
      </w:r>
    </w:p>
    <w:p w14:paraId="71F48E76" w14:textId="77777777" w:rsidR="00785482" w:rsidRPr="00785482" w:rsidRDefault="00785482" w:rsidP="00F4317D">
      <w:pPr>
        <w:jc w:val="both"/>
        <w:rPr>
          <w:rFonts w:ascii="Times New Roman" w:hAnsi="Times New Roman" w:cs="Times New Roman"/>
          <w:b/>
          <w:bCs/>
          <w:sz w:val="28"/>
          <w:szCs w:val="28"/>
        </w:rPr>
      </w:pPr>
    </w:p>
    <w:p w14:paraId="33B853DA" w14:textId="77777777" w:rsidR="00867BE7" w:rsidRPr="00867BE7" w:rsidRDefault="00ED0869" w:rsidP="00867BE7">
      <w:pPr>
        <w:jc w:val="both"/>
        <w:rPr>
          <w:rFonts w:ascii="Times New Roman" w:hAnsi="Times New Roman" w:cs="Times New Roman"/>
          <w:b/>
          <w:bCs/>
        </w:rPr>
      </w:pPr>
      <w:r>
        <w:rPr>
          <w:rFonts w:ascii="Times New Roman" w:hAnsi="Times New Roman" w:cs="Times New Roman"/>
          <w:b/>
          <w:bCs/>
        </w:rPr>
        <w:pict w14:anchorId="53EEDF56">
          <v:rect id="_x0000_i1025" style="width:0;height:1.5pt" o:hralign="center" o:hrstd="t" o:hr="t" fillcolor="#a0a0a0" stroked="f"/>
        </w:pict>
      </w:r>
    </w:p>
    <w:p w14:paraId="4175B2A1" w14:textId="77777777" w:rsidR="00867BE7" w:rsidRPr="00867BE7" w:rsidRDefault="00867BE7" w:rsidP="00867BE7">
      <w:pPr>
        <w:jc w:val="both"/>
        <w:rPr>
          <w:rFonts w:ascii="Times New Roman" w:hAnsi="Times New Roman" w:cs="Times New Roman"/>
          <w:b/>
          <w:bCs/>
        </w:rPr>
      </w:pPr>
      <w:r w:rsidRPr="00867BE7">
        <w:rPr>
          <w:rFonts w:ascii="Times New Roman" w:hAnsi="Times New Roman" w:cs="Times New Roman"/>
          <w:b/>
          <w:bCs/>
        </w:rPr>
        <w:t>Abstract</w:t>
      </w:r>
    </w:p>
    <w:p w14:paraId="5B529B8F" w14:textId="099F80DB" w:rsidR="00867BE7" w:rsidRPr="00867BE7" w:rsidRDefault="00867BE7" w:rsidP="00867BE7">
      <w:pPr>
        <w:jc w:val="both"/>
        <w:rPr>
          <w:rFonts w:ascii="Times New Roman" w:hAnsi="Times New Roman" w:cs="Times New Roman"/>
        </w:rPr>
      </w:pPr>
      <w:r w:rsidRPr="00867BE7">
        <w:rPr>
          <w:rFonts w:ascii="Times New Roman" w:hAnsi="Times New Roman" w:cs="Times New Roman"/>
        </w:rPr>
        <w:t xml:space="preserve">This study </w:t>
      </w:r>
      <w:r w:rsidR="0085511F">
        <w:rPr>
          <w:rFonts w:ascii="Times New Roman" w:hAnsi="Times New Roman" w:cs="Times New Roman"/>
        </w:rPr>
        <w:t>examin</w:t>
      </w:r>
      <w:r w:rsidRPr="00867BE7">
        <w:rPr>
          <w:rFonts w:ascii="Times New Roman" w:hAnsi="Times New Roman" w:cs="Times New Roman"/>
        </w:rPr>
        <w:t xml:space="preserve">es the interlinkages between fallow land dynamics and the migration of farmers and agricultural labourers in the semi-arid regions of India, with a specific focus on Karnataka. Using longitudinal data from the national </w:t>
      </w:r>
      <w:r w:rsidRPr="00867BE7">
        <w:rPr>
          <w:rFonts w:ascii="Times New Roman" w:hAnsi="Times New Roman" w:cs="Times New Roman"/>
          <w:i/>
          <w:iCs/>
        </w:rPr>
        <w:t>Land Use Statistics</w:t>
      </w:r>
      <w:r w:rsidRPr="00867BE7">
        <w:rPr>
          <w:rFonts w:ascii="Times New Roman" w:hAnsi="Times New Roman" w:cs="Times New Roman"/>
        </w:rPr>
        <w:t xml:space="preserve"> (LUS, 2013–14 to 2022–23), Karnataka State Agricultural Statistics, and recent empirical studies on rural labour and migration, the paper analyses temporal and spatial trends in fallow land, explores the underlying drivers of rural distress, and examines the reciprocal relationship between land fallowing and labour mobility in semi-arid agrarian systems. The findings reveal that the total fallow land in India (current and other fallows combined) stood at approximately 24.6 million hectares in 2022–23, with notable inter-state disparities. Karnataka, though exhibiting a smaller absolute extent of fallow land (~1.07 million hectares in 2022), demonstrates significant spatial heterogeneity, particularly in its semi-arid districts where higher incidences of fallowing coincide with elevated levels of seasonal and temporary migration. Migration continues to serve as a critical coping and livelihood strategy among rural households confronted with recurrent crop failures, agrarian distress, and declining on-farm returns. The study concludes by advocating policy interventions focused on (</w:t>
      </w:r>
      <w:proofErr w:type="spellStart"/>
      <w:r w:rsidRPr="00867BE7">
        <w:rPr>
          <w:rFonts w:ascii="Times New Roman" w:hAnsi="Times New Roman" w:cs="Times New Roman"/>
        </w:rPr>
        <w:t>i</w:t>
      </w:r>
      <w:proofErr w:type="spellEnd"/>
      <w:r w:rsidRPr="00867BE7">
        <w:rPr>
          <w:rFonts w:ascii="Times New Roman" w:hAnsi="Times New Roman" w:cs="Times New Roman"/>
        </w:rPr>
        <w:t>) targeted irrigation and crop diversification in semi-arid taluks, (ii) synchronization of rural employment programs such as MGNREGA with agricultural cycles, and (iii) strengthening of migrant-inclusive social protection frameworks to mitigate livelihood vulnerabilities.</w:t>
      </w:r>
    </w:p>
    <w:p w14:paraId="0A5181FA"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Keywords</w:t>
      </w:r>
    </w:p>
    <w:p w14:paraId="73F41980" w14:textId="77777777" w:rsidR="00F4317D" w:rsidRPr="00F4317D" w:rsidRDefault="00F4317D" w:rsidP="00F4317D">
      <w:pPr>
        <w:jc w:val="both"/>
        <w:rPr>
          <w:rFonts w:ascii="Times New Roman" w:hAnsi="Times New Roman" w:cs="Times New Roman"/>
        </w:rPr>
      </w:pPr>
      <w:r w:rsidRPr="00F4317D">
        <w:rPr>
          <w:rFonts w:ascii="Times New Roman" w:hAnsi="Times New Roman" w:cs="Times New Roman"/>
        </w:rPr>
        <w:t>Fallow land, migration, agricultural labour, semi-arid, Karnataka, land use statistics, PLFS</w:t>
      </w:r>
    </w:p>
    <w:p w14:paraId="768340DA" w14:textId="77777777" w:rsidR="00F4317D" w:rsidRPr="00F4317D" w:rsidRDefault="00ED0869" w:rsidP="00F4317D">
      <w:pPr>
        <w:jc w:val="both"/>
        <w:rPr>
          <w:rFonts w:ascii="Times New Roman" w:hAnsi="Times New Roman" w:cs="Times New Roman"/>
        </w:rPr>
      </w:pPr>
      <w:r>
        <w:rPr>
          <w:rFonts w:ascii="Times New Roman" w:hAnsi="Times New Roman" w:cs="Times New Roman"/>
          <w:noProof/>
        </w:rPr>
        <w:pict w14:anchorId="7A803738">
          <v:rect id="_x0000_i1026" style="width:0;height:1.5pt" o:hralign="center" o:hrstd="t" o:hr="t" fillcolor="#a0a0a0" stroked="f"/>
        </w:pict>
      </w:r>
    </w:p>
    <w:p w14:paraId="245BE70E"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1. Introduction</w:t>
      </w:r>
    </w:p>
    <w:p w14:paraId="0BBA073A" w14:textId="1A4D9FDA" w:rsidR="007761CB" w:rsidRPr="009B3F97" w:rsidRDefault="007761CB" w:rsidP="000838B5">
      <w:pPr>
        <w:ind w:firstLine="720"/>
        <w:jc w:val="both"/>
        <w:rPr>
          <w:rFonts w:ascii="Times New Roman" w:hAnsi="Times New Roman" w:cs="Times New Roman"/>
        </w:rPr>
      </w:pPr>
      <w:r w:rsidRPr="009B3F97">
        <w:rPr>
          <w:rFonts w:ascii="Times New Roman" w:hAnsi="Times New Roman" w:cs="Times New Roman"/>
        </w:rPr>
        <w:t xml:space="preserve">India’s semi-arid regions occupy approximately 37% of the total geographical area and support nearly half of the country’s rural population </w:t>
      </w:r>
      <w:r w:rsidRPr="000E6AB3">
        <w:rPr>
          <w:rFonts w:ascii="Times New Roman" w:hAnsi="Times New Roman" w:cs="Times New Roman"/>
          <w:color w:val="000000" w:themeColor="text1"/>
        </w:rPr>
        <w:t>(Ministry of Agriculture &amp; Farmers Welfare, 2023)</w:t>
      </w:r>
      <w:r w:rsidRPr="009B3F97">
        <w:rPr>
          <w:rFonts w:ascii="Times New Roman" w:hAnsi="Times New Roman" w:cs="Times New Roman"/>
        </w:rPr>
        <w:t>. These regions, characterised by erratic rainfall, low soil moisture, and recurrent droughts, face significant agrarian challenges such as declining productivity, increasing fallow land, and rising migration. The interplay between environmental stress, land-use decisions, and labour mobility shapes the socio-economic fabric of these areas</w:t>
      </w:r>
      <w:r w:rsidR="00AA0A7C">
        <w:rPr>
          <w:rFonts w:ascii="Times New Roman" w:hAnsi="Times New Roman" w:cs="Times New Roman"/>
        </w:rPr>
        <w:t>.</w:t>
      </w:r>
    </w:p>
    <w:p w14:paraId="7AB3E521" w14:textId="5C65684D" w:rsidR="007761CB" w:rsidRPr="009B3F97" w:rsidRDefault="007761CB" w:rsidP="000838B5">
      <w:pPr>
        <w:ind w:firstLine="720"/>
        <w:jc w:val="both"/>
        <w:rPr>
          <w:rFonts w:ascii="Times New Roman" w:hAnsi="Times New Roman" w:cs="Times New Roman"/>
        </w:rPr>
      </w:pPr>
      <w:r w:rsidRPr="009B3F97">
        <w:rPr>
          <w:rFonts w:ascii="Times New Roman" w:hAnsi="Times New Roman" w:cs="Times New Roman"/>
        </w:rPr>
        <w:t xml:space="preserve">Fallowing — the practice of leaving land uncultivated during a cropping season — serves both as an adaptive and distress strategy. In traditional dryland agriculture, fallows were maintained to restore soil fertility, conserve moisture, and reduce risk under uncertain rainfall </w:t>
      </w:r>
      <w:r w:rsidRPr="009B3F97">
        <w:rPr>
          <w:rFonts w:ascii="Times New Roman" w:hAnsi="Times New Roman" w:cs="Times New Roman"/>
        </w:rPr>
        <w:lastRenderedPageBreak/>
        <w:t xml:space="preserve">conditions </w:t>
      </w:r>
      <w:r w:rsidR="00FF133C">
        <w:rPr>
          <w:rFonts w:ascii="Times New Roman" w:hAnsi="Times New Roman" w:cs="Times New Roman"/>
        </w:rPr>
        <w:t>(</w:t>
      </w:r>
      <w:proofErr w:type="spellStart"/>
      <w:r w:rsidR="00FF133C" w:rsidRPr="00BA53FF">
        <w:rPr>
          <w:rFonts w:ascii="Times New Roman" w:hAnsi="Times New Roman" w:cs="Times New Roman"/>
          <w:color w:val="000000" w:themeColor="text1"/>
        </w:rPr>
        <w:t>Chirasmayee</w:t>
      </w:r>
      <w:proofErr w:type="spellEnd"/>
      <w:r w:rsidR="00FF133C" w:rsidRPr="00BA53FF">
        <w:rPr>
          <w:rFonts w:ascii="Times New Roman" w:hAnsi="Times New Roman" w:cs="Times New Roman"/>
          <w:color w:val="000000" w:themeColor="text1"/>
        </w:rPr>
        <w:t xml:space="preserve"> Savitha, &amp; Reshma Talari</w:t>
      </w:r>
      <w:r w:rsidR="009B69D9">
        <w:rPr>
          <w:rFonts w:ascii="Times New Roman" w:hAnsi="Times New Roman" w:cs="Times New Roman"/>
          <w:color w:val="000000" w:themeColor="text1"/>
        </w:rPr>
        <w:t xml:space="preserve">, </w:t>
      </w:r>
      <w:r w:rsidR="00FF133C" w:rsidRPr="00FF133C">
        <w:rPr>
          <w:rFonts w:ascii="Times New Roman" w:hAnsi="Times New Roman" w:cs="Times New Roman"/>
          <w:color w:val="000000" w:themeColor="text1"/>
        </w:rPr>
        <w:t>2023)</w:t>
      </w:r>
      <w:r w:rsidR="00FF133C">
        <w:rPr>
          <w:rFonts w:ascii="Times New Roman" w:hAnsi="Times New Roman" w:cs="Times New Roman"/>
        </w:rPr>
        <w:t>,</w:t>
      </w:r>
      <w:r w:rsidRPr="009B3F97">
        <w:rPr>
          <w:rFonts w:ascii="Times New Roman" w:hAnsi="Times New Roman" w:cs="Times New Roman"/>
        </w:rPr>
        <w:t xml:space="preserve"> However, in contemporary times, persistent or expanding fallow areas often signal rural distress, water scarcity, or labour shortages. The semi-arid tracts of Karnataka exemplify these processes, where a combination of climatic variability and livelihood vulnerability has led to fluctuating cropping intensity and increased migration of rural labour.</w:t>
      </w:r>
    </w:p>
    <w:p w14:paraId="626A1181" w14:textId="3511FFEB" w:rsidR="007761CB" w:rsidRPr="009B3F97" w:rsidRDefault="007761CB" w:rsidP="000838B5">
      <w:pPr>
        <w:ind w:firstLine="720"/>
        <w:jc w:val="both"/>
        <w:rPr>
          <w:rFonts w:ascii="Times New Roman" w:hAnsi="Times New Roman" w:cs="Times New Roman"/>
        </w:rPr>
      </w:pPr>
      <w:r w:rsidRPr="009B3F97">
        <w:rPr>
          <w:rFonts w:ascii="Times New Roman" w:hAnsi="Times New Roman" w:cs="Times New Roman"/>
        </w:rPr>
        <w:t xml:space="preserve">Migration, in turn, has become a structural component of India’s rural economy. According to the </w:t>
      </w:r>
      <w:r w:rsidRPr="009B3F97">
        <w:rPr>
          <w:rFonts w:ascii="Times New Roman" w:hAnsi="Times New Roman" w:cs="Times New Roman"/>
          <w:b/>
          <w:bCs/>
        </w:rPr>
        <w:t>Periodic Labour Force Survey (PLFS 2022–23)</w:t>
      </w:r>
      <w:r w:rsidRPr="009B3F97">
        <w:rPr>
          <w:rFonts w:ascii="Times New Roman" w:hAnsi="Times New Roman" w:cs="Times New Roman"/>
        </w:rPr>
        <w:t>, the share of agricultural employment has declined to less than 42% of the total workforce, reflecting a gradual shift from agriculture to non-farm sectors. Rural-to-urban migration, often seasonal or temporary, provides households with supplementary income but also affects local agricultural labour availability, leading to changes in land use and cropping patterns. Thus, understanding the dual processes of fallowing and migration is crucial for sustainable rural development policy.</w:t>
      </w:r>
    </w:p>
    <w:p w14:paraId="1A2E7F12" w14:textId="77777777" w:rsidR="007761CB" w:rsidRPr="009B3F97" w:rsidRDefault="007761CB" w:rsidP="000838B5">
      <w:pPr>
        <w:ind w:firstLine="720"/>
        <w:jc w:val="both"/>
        <w:rPr>
          <w:rFonts w:ascii="Times New Roman" w:hAnsi="Times New Roman" w:cs="Times New Roman"/>
        </w:rPr>
      </w:pPr>
      <w:r w:rsidRPr="009B3F97">
        <w:rPr>
          <w:rFonts w:ascii="Times New Roman" w:hAnsi="Times New Roman" w:cs="Times New Roman"/>
        </w:rPr>
        <w:t>This paper situates the discussion within the broader context of agrarian change in India’s semi-arid regions, using Karnataka as a representative case study. It integrates statistical evidence with conceptual insights from land-use and migration literature, providing a comprehensive view of how environmental, economic, and social forces intersect to shape agricultural sustainability.</w:t>
      </w:r>
    </w:p>
    <w:p w14:paraId="04CD9D06" w14:textId="77777777" w:rsidR="007761CB" w:rsidRPr="009B3F97" w:rsidRDefault="00ED0869" w:rsidP="007761CB">
      <w:pPr>
        <w:jc w:val="both"/>
        <w:rPr>
          <w:rFonts w:ascii="Times New Roman" w:hAnsi="Times New Roman" w:cs="Times New Roman"/>
        </w:rPr>
      </w:pPr>
      <w:r>
        <w:rPr>
          <w:rFonts w:ascii="Times New Roman" w:hAnsi="Times New Roman" w:cs="Times New Roman"/>
          <w:noProof/>
        </w:rPr>
        <w:pict w14:anchorId="6021CCC8">
          <v:rect id="_x0000_i1027" style="width:0;height:1.5pt" o:hralign="center" o:hrstd="t" o:hr="t" fillcolor="#a0a0a0" stroked="f"/>
        </w:pict>
      </w:r>
    </w:p>
    <w:p w14:paraId="5F0DAD98" w14:textId="2EC008A2" w:rsidR="007761CB" w:rsidRPr="00E73111" w:rsidRDefault="007761CB" w:rsidP="007761CB">
      <w:pPr>
        <w:jc w:val="both"/>
        <w:rPr>
          <w:rFonts w:ascii="Times New Roman" w:hAnsi="Times New Roman" w:cs="Times New Roman"/>
          <w:color w:val="000000" w:themeColor="text1"/>
        </w:rPr>
      </w:pPr>
      <w:r w:rsidRPr="009B3F97">
        <w:rPr>
          <w:rFonts w:ascii="Times New Roman" w:hAnsi="Times New Roman" w:cs="Times New Roman"/>
          <w:b/>
          <w:bCs/>
        </w:rPr>
        <w:t>2.</w:t>
      </w:r>
      <w:r w:rsidR="00747686">
        <w:rPr>
          <w:rFonts w:ascii="Times New Roman" w:hAnsi="Times New Roman" w:cs="Times New Roman"/>
          <w:b/>
          <w:bCs/>
        </w:rPr>
        <w:t xml:space="preserve"> </w:t>
      </w:r>
      <w:r w:rsidR="00BB0DCE" w:rsidRPr="00E73111">
        <w:rPr>
          <w:rFonts w:ascii="Times New Roman" w:hAnsi="Times New Roman" w:cs="Times New Roman"/>
          <w:b/>
          <w:bCs/>
          <w:color w:val="000000" w:themeColor="text1"/>
        </w:rPr>
        <w:t>Review of Literature</w:t>
      </w:r>
    </w:p>
    <w:p w14:paraId="2AC985D3" w14:textId="77777777" w:rsidR="007761CB" w:rsidRPr="009B3F97" w:rsidRDefault="007761CB" w:rsidP="007761CB">
      <w:pPr>
        <w:jc w:val="both"/>
        <w:rPr>
          <w:rFonts w:ascii="Times New Roman" w:hAnsi="Times New Roman" w:cs="Times New Roman"/>
          <w:b/>
          <w:bCs/>
        </w:rPr>
      </w:pPr>
      <w:r w:rsidRPr="009B3F97">
        <w:rPr>
          <w:rFonts w:ascii="Times New Roman" w:hAnsi="Times New Roman" w:cs="Times New Roman"/>
          <w:b/>
          <w:bCs/>
        </w:rPr>
        <w:t>2.1. Conceptualizing fallow land in agricultural systems</w:t>
      </w:r>
    </w:p>
    <w:p w14:paraId="101FAED2" w14:textId="77777777" w:rsidR="007761CB" w:rsidRPr="009B3F97" w:rsidRDefault="007761CB" w:rsidP="000838B5">
      <w:pPr>
        <w:ind w:firstLine="720"/>
        <w:jc w:val="both"/>
        <w:rPr>
          <w:rFonts w:ascii="Times New Roman" w:hAnsi="Times New Roman" w:cs="Times New Roman"/>
        </w:rPr>
      </w:pPr>
      <w:r w:rsidRPr="009B3F97">
        <w:rPr>
          <w:rFonts w:ascii="Times New Roman" w:hAnsi="Times New Roman" w:cs="Times New Roman"/>
        </w:rPr>
        <w:t>Fallow land refers to cultivable land left uncropped during a given agricultural year or for a longer duration to recover fertility or due to economic constraints (</w:t>
      </w:r>
      <w:r w:rsidRPr="00873F84">
        <w:rPr>
          <w:rFonts w:ascii="Times New Roman" w:hAnsi="Times New Roman" w:cs="Times New Roman"/>
          <w:color w:val="000000" w:themeColor="text1"/>
        </w:rPr>
        <w:t>FAO, 2019</w:t>
      </w:r>
      <w:r w:rsidRPr="009B3F97">
        <w:rPr>
          <w:rFonts w:ascii="Times New Roman" w:hAnsi="Times New Roman" w:cs="Times New Roman"/>
        </w:rPr>
        <w:t xml:space="preserve">). The </w:t>
      </w:r>
      <w:r w:rsidRPr="009B3F97">
        <w:rPr>
          <w:rFonts w:ascii="Times New Roman" w:hAnsi="Times New Roman" w:cs="Times New Roman"/>
          <w:b/>
          <w:bCs/>
        </w:rPr>
        <w:t>Government of India’s Land Use Statistics (LUS)</w:t>
      </w:r>
      <w:r w:rsidRPr="009B3F97">
        <w:rPr>
          <w:rFonts w:ascii="Times New Roman" w:hAnsi="Times New Roman" w:cs="Times New Roman"/>
        </w:rPr>
        <w:t xml:space="preserve"> classifies it under two categories: </w:t>
      </w:r>
      <w:r w:rsidRPr="009B3F97">
        <w:rPr>
          <w:rFonts w:ascii="Times New Roman" w:hAnsi="Times New Roman" w:cs="Times New Roman"/>
          <w:i/>
          <w:iCs/>
        </w:rPr>
        <w:t>current fallows</w:t>
      </w:r>
      <w:r w:rsidRPr="009B3F97">
        <w:rPr>
          <w:rFonts w:ascii="Times New Roman" w:hAnsi="Times New Roman" w:cs="Times New Roman"/>
        </w:rPr>
        <w:t xml:space="preserve"> (cultivable land left uncropped for one year) and </w:t>
      </w:r>
      <w:r w:rsidRPr="009B3F97">
        <w:rPr>
          <w:rFonts w:ascii="Times New Roman" w:hAnsi="Times New Roman" w:cs="Times New Roman"/>
          <w:i/>
          <w:iCs/>
        </w:rPr>
        <w:t>fallow land other than current fallows</w:t>
      </w:r>
      <w:r w:rsidRPr="009B3F97">
        <w:rPr>
          <w:rFonts w:ascii="Times New Roman" w:hAnsi="Times New Roman" w:cs="Times New Roman"/>
        </w:rPr>
        <w:t xml:space="preserve"> (land left uncultivated for 1–5 years). Together, these categories form an essential indicator of agricultural performance and sustainability.</w:t>
      </w:r>
    </w:p>
    <w:p w14:paraId="2A82667D" w14:textId="5F35378A" w:rsidR="007761CB" w:rsidRPr="009B3F97" w:rsidRDefault="007761CB" w:rsidP="00547D0C">
      <w:pPr>
        <w:ind w:firstLine="720"/>
        <w:jc w:val="both"/>
        <w:rPr>
          <w:rFonts w:ascii="Times New Roman" w:hAnsi="Times New Roman" w:cs="Times New Roman"/>
        </w:rPr>
      </w:pPr>
      <w:r w:rsidRPr="009B3F97">
        <w:rPr>
          <w:rFonts w:ascii="Times New Roman" w:hAnsi="Times New Roman" w:cs="Times New Roman"/>
        </w:rPr>
        <w:t>The share of fallow land in India has fluctuated between 12–16% of total reporting area over the last decade (LUS, 2023). Several studies link the persistence of fallow land to structural issues such as irrigation deficits, declining soil fertility, lack of labour, and increasing climatic variability (</w:t>
      </w:r>
      <w:r w:rsidRPr="00547D0C">
        <w:rPr>
          <w:rFonts w:ascii="Times New Roman" w:hAnsi="Times New Roman" w:cs="Times New Roman"/>
        </w:rPr>
        <w:t>Reddy, 201</w:t>
      </w:r>
      <w:r w:rsidR="00760E1E" w:rsidRPr="00547D0C">
        <w:rPr>
          <w:rFonts w:ascii="Times New Roman" w:hAnsi="Times New Roman" w:cs="Times New Roman"/>
        </w:rPr>
        <w:t>4</w:t>
      </w:r>
      <w:r w:rsidRPr="00547D0C">
        <w:rPr>
          <w:rFonts w:ascii="Times New Roman" w:hAnsi="Times New Roman" w:cs="Times New Roman"/>
        </w:rPr>
        <w:t xml:space="preserve">; </w:t>
      </w:r>
      <w:r w:rsidR="00547D0C" w:rsidRPr="00547D0C">
        <w:rPr>
          <w:rFonts w:ascii="Times New Roman" w:hAnsi="Times New Roman" w:cs="Times New Roman"/>
        </w:rPr>
        <w:t>Rose Mathew</w:t>
      </w:r>
      <w:r w:rsidRPr="00547D0C">
        <w:rPr>
          <w:rFonts w:ascii="Times New Roman" w:hAnsi="Times New Roman" w:cs="Times New Roman"/>
        </w:rPr>
        <w:t>, 202</w:t>
      </w:r>
      <w:r w:rsidR="00547D0C" w:rsidRPr="00547D0C">
        <w:rPr>
          <w:rFonts w:ascii="Times New Roman" w:hAnsi="Times New Roman" w:cs="Times New Roman"/>
        </w:rPr>
        <w:t>4</w:t>
      </w:r>
      <w:r w:rsidRPr="00547D0C">
        <w:rPr>
          <w:rFonts w:ascii="Times New Roman" w:hAnsi="Times New Roman" w:cs="Times New Roman"/>
        </w:rPr>
        <w:t>)</w:t>
      </w:r>
      <w:r w:rsidRPr="00FF2FE4">
        <w:rPr>
          <w:rFonts w:ascii="Times New Roman" w:hAnsi="Times New Roman" w:cs="Times New Roman"/>
          <w:color w:val="FF0000"/>
        </w:rPr>
        <w:t>.</w:t>
      </w:r>
      <w:r w:rsidRPr="009B3F97">
        <w:rPr>
          <w:rFonts w:ascii="Times New Roman" w:hAnsi="Times New Roman" w:cs="Times New Roman"/>
        </w:rPr>
        <w:t xml:space="preserve"> In drought-prone states like Karnataka, Maharashtra, and Telangana, fallow land dynamics also reflect farmers’ responses to monsoon uncertainty and water stress.</w:t>
      </w:r>
    </w:p>
    <w:p w14:paraId="67A285BA" w14:textId="77777777" w:rsidR="007761CB" w:rsidRPr="009B3F97" w:rsidRDefault="007761CB" w:rsidP="007761CB">
      <w:pPr>
        <w:jc w:val="both"/>
        <w:rPr>
          <w:rFonts w:ascii="Times New Roman" w:hAnsi="Times New Roman" w:cs="Times New Roman"/>
          <w:b/>
          <w:bCs/>
        </w:rPr>
      </w:pPr>
      <w:r w:rsidRPr="009B3F97">
        <w:rPr>
          <w:rFonts w:ascii="Times New Roman" w:hAnsi="Times New Roman" w:cs="Times New Roman"/>
          <w:b/>
          <w:bCs/>
        </w:rPr>
        <w:t>2.2. Migration and rural transformation</w:t>
      </w:r>
    </w:p>
    <w:p w14:paraId="60F112E0" w14:textId="31D9D0A4" w:rsidR="007761CB" w:rsidRPr="009B3F97" w:rsidRDefault="007761CB" w:rsidP="000838B5">
      <w:pPr>
        <w:ind w:firstLine="720"/>
        <w:jc w:val="both"/>
        <w:rPr>
          <w:rFonts w:ascii="Times New Roman" w:hAnsi="Times New Roman" w:cs="Times New Roman"/>
        </w:rPr>
      </w:pPr>
      <w:r w:rsidRPr="009B3F97">
        <w:rPr>
          <w:rFonts w:ascii="Times New Roman" w:hAnsi="Times New Roman" w:cs="Times New Roman"/>
        </w:rPr>
        <w:t xml:space="preserve">Migration has long been </w:t>
      </w:r>
      <w:r w:rsidR="0071252C" w:rsidRPr="00E73111">
        <w:rPr>
          <w:rFonts w:ascii="Times New Roman" w:hAnsi="Times New Roman" w:cs="Times New Roman"/>
          <w:color w:val="000000" w:themeColor="text1"/>
        </w:rPr>
        <w:t>recognized</w:t>
      </w:r>
      <w:r w:rsidR="0071252C">
        <w:rPr>
          <w:rFonts w:ascii="Times New Roman" w:hAnsi="Times New Roman" w:cs="Times New Roman"/>
        </w:rPr>
        <w:t xml:space="preserve"> </w:t>
      </w:r>
      <w:r w:rsidRPr="009B3F97">
        <w:rPr>
          <w:rFonts w:ascii="Times New Roman" w:hAnsi="Times New Roman" w:cs="Times New Roman"/>
        </w:rPr>
        <w:t>as both a symptom and driver of agrarian change (</w:t>
      </w:r>
      <w:r w:rsidR="00567661" w:rsidRPr="00567661">
        <w:rPr>
          <w:rFonts w:ascii="Times New Roman" w:hAnsi="Times New Roman" w:cs="Times New Roman"/>
        </w:rPr>
        <w:t>Satheesha</w:t>
      </w:r>
      <w:r w:rsidRPr="00567661">
        <w:rPr>
          <w:rFonts w:ascii="Times New Roman" w:hAnsi="Times New Roman" w:cs="Times New Roman"/>
        </w:rPr>
        <w:t>, 20</w:t>
      </w:r>
      <w:r w:rsidR="00567661" w:rsidRPr="00567661">
        <w:rPr>
          <w:rFonts w:ascii="Times New Roman" w:hAnsi="Times New Roman" w:cs="Times New Roman"/>
        </w:rPr>
        <w:t>23</w:t>
      </w:r>
      <w:r w:rsidRPr="009B3F97">
        <w:rPr>
          <w:rFonts w:ascii="Times New Roman" w:hAnsi="Times New Roman" w:cs="Times New Roman"/>
        </w:rPr>
        <w:t>). Rural households often diversify livelihoods through short-term or seasonal migration, particularly during non-cropping periods (</w:t>
      </w:r>
      <w:r w:rsidR="0015420F" w:rsidRPr="0015420F">
        <w:rPr>
          <w:rFonts w:ascii="Times New Roman" w:hAnsi="Times New Roman" w:cs="Times New Roman"/>
        </w:rPr>
        <w:t>Chhavi Tiwari et al</w:t>
      </w:r>
      <w:r w:rsidRPr="0015420F">
        <w:rPr>
          <w:rFonts w:ascii="Times New Roman" w:hAnsi="Times New Roman" w:cs="Times New Roman"/>
        </w:rPr>
        <w:t>, 202</w:t>
      </w:r>
      <w:r w:rsidR="0015420F" w:rsidRPr="0015420F">
        <w:rPr>
          <w:rFonts w:ascii="Times New Roman" w:hAnsi="Times New Roman" w:cs="Times New Roman"/>
        </w:rPr>
        <w:t>2</w:t>
      </w:r>
      <w:r w:rsidRPr="009B3F97">
        <w:rPr>
          <w:rFonts w:ascii="Times New Roman" w:hAnsi="Times New Roman" w:cs="Times New Roman"/>
        </w:rPr>
        <w:t xml:space="preserve">). Empirical studies </w:t>
      </w:r>
      <w:r w:rsidRPr="009B3F97">
        <w:rPr>
          <w:rFonts w:ascii="Times New Roman" w:hAnsi="Times New Roman" w:cs="Times New Roman"/>
        </w:rPr>
        <w:lastRenderedPageBreak/>
        <w:t>have found a strong linkage between migration decisions and agricultural stagnation, land degradation, and indebtedness (</w:t>
      </w:r>
      <w:proofErr w:type="spellStart"/>
      <w:r w:rsidRPr="0015420F">
        <w:rPr>
          <w:rFonts w:ascii="Times New Roman" w:hAnsi="Times New Roman" w:cs="Times New Roman"/>
        </w:rPr>
        <w:t>Deshingkar</w:t>
      </w:r>
      <w:proofErr w:type="spellEnd"/>
      <w:r w:rsidRPr="0015420F">
        <w:rPr>
          <w:rFonts w:ascii="Times New Roman" w:hAnsi="Times New Roman" w:cs="Times New Roman"/>
        </w:rPr>
        <w:t xml:space="preserve"> &amp; Start, 2003</w:t>
      </w:r>
      <w:r w:rsidRPr="009B3F97">
        <w:rPr>
          <w:rFonts w:ascii="Times New Roman" w:hAnsi="Times New Roman" w:cs="Times New Roman"/>
        </w:rPr>
        <w:t>).</w:t>
      </w:r>
    </w:p>
    <w:p w14:paraId="1B6E0135" w14:textId="4A82E76D" w:rsidR="007761CB" w:rsidRPr="009B3F97" w:rsidRDefault="007761CB" w:rsidP="007761CB">
      <w:pPr>
        <w:jc w:val="both"/>
        <w:rPr>
          <w:rFonts w:ascii="Times New Roman" w:hAnsi="Times New Roman" w:cs="Times New Roman"/>
        </w:rPr>
      </w:pPr>
      <w:r w:rsidRPr="009B3F97">
        <w:rPr>
          <w:rFonts w:ascii="Times New Roman" w:hAnsi="Times New Roman" w:cs="Times New Roman"/>
        </w:rPr>
        <w:t xml:space="preserve">In the Indian context, migration is highly seasonal, temporary, and circular. The </w:t>
      </w:r>
      <w:r w:rsidRPr="009B3F97">
        <w:rPr>
          <w:rFonts w:ascii="Times New Roman" w:hAnsi="Times New Roman" w:cs="Times New Roman"/>
          <w:b/>
          <w:bCs/>
        </w:rPr>
        <w:t>PLFS (2022–23)</w:t>
      </w:r>
      <w:r w:rsidRPr="009B3F97">
        <w:rPr>
          <w:rFonts w:ascii="Times New Roman" w:hAnsi="Times New Roman" w:cs="Times New Roman"/>
        </w:rPr>
        <w:t xml:space="preserve"> shows that 27% of the rural workforce engages in temporary or seasonal migration, with men dominating the flow towards urban informal sectors such as construction and manufacturing. In semi-arid Karnataka, labour migration is predominantly distress-driven, especially in districts like </w:t>
      </w:r>
      <w:proofErr w:type="spellStart"/>
      <w:r w:rsidRPr="009B3F97">
        <w:rPr>
          <w:rFonts w:ascii="Times New Roman" w:hAnsi="Times New Roman" w:cs="Times New Roman"/>
        </w:rPr>
        <w:t>Bidar</w:t>
      </w:r>
      <w:proofErr w:type="spellEnd"/>
      <w:r w:rsidRPr="009B3F97">
        <w:rPr>
          <w:rFonts w:ascii="Times New Roman" w:hAnsi="Times New Roman" w:cs="Times New Roman"/>
        </w:rPr>
        <w:t xml:space="preserve">, </w:t>
      </w:r>
      <w:proofErr w:type="spellStart"/>
      <w:r w:rsidRPr="009B3F97">
        <w:rPr>
          <w:rFonts w:ascii="Times New Roman" w:hAnsi="Times New Roman" w:cs="Times New Roman"/>
        </w:rPr>
        <w:t>Kalaburagi</w:t>
      </w:r>
      <w:proofErr w:type="spellEnd"/>
      <w:r w:rsidRPr="009B3F97">
        <w:rPr>
          <w:rFonts w:ascii="Times New Roman" w:hAnsi="Times New Roman" w:cs="Times New Roman"/>
        </w:rPr>
        <w:t xml:space="preserve">, </w:t>
      </w:r>
      <w:proofErr w:type="spellStart"/>
      <w:r w:rsidRPr="009B3F97">
        <w:rPr>
          <w:rFonts w:ascii="Times New Roman" w:hAnsi="Times New Roman" w:cs="Times New Roman"/>
        </w:rPr>
        <w:t>Raichur</w:t>
      </w:r>
      <w:proofErr w:type="spellEnd"/>
      <w:r w:rsidRPr="009B3F97">
        <w:rPr>
          <w:rFonts w:ascii="Times New Roman" w:hAnsi="Times New Roman" w:cs="Times New Roman"/>
        </w:rPr>
        <w:t xml:space="preserve">, and </w:t>
      </w:r>
      <w:proofErr w:type="spellStart"/>
      <w:r w:rsidRPr="009B3F97">
        <w:rPr>
          <w:rFonts w:ascii="Times New Roman" w:hAnsi="Times New Roman" w:cs="Times New Roman"/>
        </w:rPr>
        <w:t>Chitradurga</w:t>
      </w:r>
      <w:proofErr w:type="spellEnd"/>
      <w:r w:rsidRPr="009B3F97">
        <w:rPr>
          <w:rFonts w:ascii="Times New Roman" w:hAnsi="Times New Roman" w:cs="Times New Roman"/>
        </w:rPr>
        <w:t xml:space="preserve"> (</w:t>
      </w:r>
      <w:r w:rsidR="00C35986" w:rsidRPr="00C35986">
        <w:rPr>
          <w:rFonts w:ascii="Times New Roman" w:hAnsi="Times New Roman" w:cs="Times New Roman"/>
          <w:color w:val="131314"/>
        </w:rPr>
        <w:t xml:space="preserve">Seema </w:t>
      </w:r>
      <w:proofErr w:type="spellStart"/>
      <w:r w:rsidR="00C35986" w:rsidRPr="00C35986">
        <w:rPr>
          <w:rFonts w:ascii="Times New Roman" w:hAnsi="Times New Roman" w:cs="Times New Roman"/>
          <w:color w:val="131314"/>
        </w:rPr>
        <w:t>Purushothaman</w:t>
      </w:r>
      <w:proofErr w:type="spellEnd"/>
      <w:r w:rsidRPr="00C35986">
        <w:rPr>
          <w:rFonts w:ascii="Times New Roman" w:hAnsi="Times New Roman" w:cs="Times New Roman"/>
        </w:rPr>
        <w:t>, 20</w:t>
      </w:r>
      <w:r w:rsidR="00C35986" w:rsidRPr="00C35986">
        <w:rPr>
          <w:rFonts w:ascii="Times New Roman" w:hAnsi="Times New Roman" w:cs="Times New Roman"/>
        </w:rPr>
        <w:t>19</w:t>
      </w:r>
      <w:r w:rsidRPr="00E66744">
        <w:rPr>
          <w:rFonts w:ascii="Times New Roman" w:hAnsi="Times New Roman" w:cs="Times New Roman"/>
        </w:rPr>
        <w:t>;</w:t>
      </w:r>
      <w:r w:rsidRPr="00E710A3">
        <w:rPr>
          <w:rFonts w:ascii="Times New Roman" w:hAnsi="Times New Roman" w:cs="Times New Roman"/>
          <w:color w:val="FF0000"/>
        </w:rPr>
        <w:t xml:space="preserve"> </w:t>
      </w:r>
      <w:r w:rsidR="00E66744" w:rsidRPr="00E66744">
        <w:rPr>
          <w:rFonts w:ascii="Times New Roman" w:hAnsi="Times New Roman" w:cs="Times New Roman"/>
        </w:rPr>
        <w:t>Gowri Shankar R</w:t>
      </w:r>
      <w:r w:rsidRPr="00E710A3">
        <w:rPr>
          <w:rFonts w:ascii="Times New Roman" w:hAnsi="Times New Roman" w:cs="Times New Roman"/>
          <w:color w:val="FF0000"/>
        </w:rPr>
        <w:t xml:space="preserve"> </w:t>
      </w:r>
      <w:r w:rsidRPr="00E66744">
        <w:rPr>
          <w:rFonts w:ascii="Times New Roman" w:hAnsi="Times New Roman" w:cs="Times New Roman"/>
        </w:rPr>
        <w:t>et al., 202</w:t>
      </w:r>
      <w:r w:rsidR="00E66744" w:rsidRPr="00E66744">
        <w:rPr>
          <w:rFonts w:ascii="Times New Roman" w:hAnsi="Times New Roman" w:cs="Times New Roman"/>
        </w:rPr>
        <w:t>5</w:t>
      </w:r>
      <w:r w:rsidRPr="009B3F97">
        <w:rPr>
          <w:rFonts w:ascii="Times New Roman" w:hAnsi="Times New Roman" w:cs="Times New Roman"/>
        </w:rPr>
        <w:t>).</w:t>
      </w:r>
    </w:p>
    <w:p w14:paraId="6630FBF5" w14:textId="77777777" w:rsidR="007761CB" w:rsidRPr="009B3F97" w:rsidRDefault="007761CB" w:rsidP="007761CB">
      <w:pPr>
        <w:jc w:val="both"/>
        <w:rPr>
          <w:rFonts w:ascii="Times New Roman" w:hAnsi="Times New Roman" w:cs="Times New Roman"/>
          <w:b/>
          <w:bCs/>
        </w:rPr>
      </w:pPr>
      <w:r w:rsidRPr="009B3F97">
        <w:rPr>
          <w:rFonts w:ascii="Times New Roman" w:hAnsi="Times New Roman" w:cs="Times New Roman"/>
          <w:b/>
          <w:bCs/>
        </w:rPr>
        <w:t>2.3. Linkages between fallow land and migration</w:t>
      </w:r>
    </w:p>
    <w:p w14:paraId="003EDE91" w14:textId="699BAAA9" w:rsidR="007761CB" w:rsidRPr="009B3F97" w:rsidRDefault="007761CB" w:rsidP="000838B5">
      <w:pPr>
        <w:ind w:firstLine="720"/>
        <w:jc w:val="both"/>
        <w:rPr>
          <w:rFonts w:ascii="Times New Roman" w:hAnsi="Times New Roman" w:cs="Times New Roman"/>
        </w:rPr>
      </w:pPr>
      <w:r w:rsidRPr="009B3F97">
        <w:rPr>
          <w:rFonts w:ascii="Times New Roman" w:hAnsi="Times New Roman" w:cs="Times New Roman"/>
        </w:rPr>
        <w:t>The relationship between fallowing and migration is multidimensional. On one hand, labour shortages caused by migration can lead to more land being left fallow; on the other, prolonged fallowing can push rural labourers and small farmers to seek employment elsewhere. Studies in Andhra Pradesh and Maharashtra have observed similar dual feedback effects where the outmigration of youth reduces on-farm labour availability, while unviable rainfed farming triggers migration (</w:t>
      </w:r>
      <w:proofErr w:type="spellStart"/>
      <w:r w:rsidR="00F77C48">
        <w:fldChar w:fldCharType="begin"/>
      </w:r>
      <w:r w:rsidR="00F77C48">
        <w:instrText>HYPERLINK "https://www.researchgate.net/scientific-contributions/M-Anamica-2260961732?_sg%5B0%5D=laVj03DV3S-KMETmwMcHJgSg750gSz-Td3w_UCRvptIP0r6Nm0_3O44upp4cpXeS-ceQuIA.Uhl7hJ9-Q1mP2tfEwd4eNMDMXnr7mWR-u9-r3nzpu3qulEByGXi0AD2mZgy5o6YZThyy8jNy9alAnjl9CZIIFg&amp;_sg%5B1%5D=gHhilAUQHS88DWYLfkejL10CXiD9XkDqmq98W-W5HT9aP_SCwiL19XOhdPmwE801Mqi5wLs.SOirudrucMoyvj-n3IllmbYi-iMMwxQFfTlJ9RSCBBs1ssk6goJ9TcxS0TpWPMZpRBczkw1nE4rISMqp6cnoQw&amp;_tp=eyJjb250ZXh0Ijp7ImZpcnN0UGFnZSI6InB1YmxpY2F0aW9uIiwicGFnZSI6InB1YmxpY2F0aW9uIiwicG9zaXRpb24iOiJwYWdlSGVhZGVyIn19"</w:instrText>
      </w:r>
      <w:r w:rsidR="00F77C48">
        <w:fldChar w:fldCharType="separate"/>
      </w:r>
      <w:r w:rsidR="00F77C48" w:rsidRPr="00E66744">
        <w:rPr>
          <w:rStyle w:val="Hyperlink"/>
          <w:rFonts w:ascii="Times New Roman" w:hAnsi="Times New Roman" w:cs="Times New Roman"/>
          <w:color w:val="auto"/>
        </w:rPr>
        <w:t>Anamica</w:t>
      </w:r>
      <w:proofErr w:type="spellEnd"/>
      <w:r w:rsidR="00F77C48">
        <w:fldChar w:fldCharType="end"/>
      </w:r>
      <w:r w:rsidR="00F77C48">
        <w:rPr>
          <w:rFonts w:ascii="Times New Roman" w:hAnsi="Times New Roman" w:cs="Times New Roman"/>
        </w:rPr>
        <w:t xml:space="preserve"> et al.,</w:t>
      </w:r>
      <w:r w:rsidRPr="003A073C">
        <w:rPr>
          <w:rFonts w:ascii="Times New Roman" w:hAnsi="Times New Roman" w:cs="Times New Roman"/>
          <w:color w:val="FF0000"/>
        </w:rPr>
        <w:t xml:space="preserve"> </w:t>
      </w:r>
      <w:r w:rsidRPr="00F77C48">
        <w:rPr>
          <w:rFonts w:ascii="Times New Roman" w:hAnsi="Times New Roman" w:cs="Times New Roman"/>
        </w:rPr>
        <w:t>20</w:t>
      </w:r>
      <w:r w:rsidR="00F77C48" w:rsidRPr="00F77C48">
        <w:rPr>
          <w:rFonts w:ascii="Times New Roman" w:hAnsi="Times New Roman" w:cs="Times New Roman"/>
        </w:rPr>
        <w:t>12</w:t>
      </w:r>
      <w:r w:rsidRPr="009B3F97">
        <w:rPr>
          <w:rFonts w:ascii="Times New Roman" w:hAnsi="Times New Roman" w:cs="Times New Roman"/>
        </w:rPr>
        <w:t>).</w:t>
      </w:r>
    </w:p>
    <w:p w14:paraId="06ED1E1F" w14:textId="6073FBC3" w:rsidR="007761CB" w:rsidRPr="009B3F97" w:rsidRDefault="007761CB" w:rsidP="000838B5">
      <w:pPr>
        <w:ind w:firstLine="720"/>
        <w:jc w:val="both"/>
        <w:rPr>
          <w:rFonts w:ascii="Times New Roman" w:hAnsi="Times New Roman" w:cs="Times New Roman"/>
        </w:rPr>
      </w:pPr>
      <w:r w:rsidRPr="009B3F97">
        <w:rPr>
          <w:rFonts w:ascii="Times New Roman" w:hAnsi="Times New Roman" w:cs="Times New Roman"/>
        </w:rPr>
        <w:t>Remote sensing studies (</w:t>
      </w:r>
      <w:proofErr w:type="spellStart"/>
      <w:r w:rsidR="00924339" w:rsidRPr="00FE5476">
        <w:rPr>
          <w:rFonts w:ascii="Times New Roman" w:hAnsi="Times New Roman" w:cs="Times New Roman"/>
        </w:rPr>
        <w:t>Nazarij</w:t>
      </w:r>
      <w:proofErr w:type="spellEnd"/>
      <w:r w:rsidR="00924339" w:rsidRPr="00FE5476">
        <w:rPr>
          <w:rFonts w:ascii="Times New Roman" w:hAnsi="Times New Roman" w:cs="Times New Roman"/>
        </w:rPr>
        <w:t xml:space="preserve"> </w:t>
      </w:r>
      <w:proofErr w:type="spellStart"/>
      <w:r w:rsidR="00924339" w:rsidRPr="00FE5476">
        <w:rPr>
          <w:rFonts w:ascii="Times New Roman" w:hAnsi="Times New Roman" w:cs="Times New Roman"/>
        </w:rPr>
        <w:t>Buławka</w:t>
      </w:r>
      <w:proofErr w:type="spellEnd"/>
      <w:r w:rsidR="00924339" w:rsidRPr="00FE5476">
        <w:rPr>
          <w:rFonts w:ascii="Times New Roman" w:hAnsi="Times New Roman" w:cs="Times New Roman"/>
        </w:rPr>
        <w:t xml:space="preserve"> and Hector A. </w:t>
      </w:r>
      <w:r w:rsidR="00C00F72">
        <w:rPr>
          <w:rFonts w:ascii="Times New Roman" w:hAnsi="Times New Roman" w:cs="Times New Roman"/>
        </w:rPr>
        <w:t xml:space="preserve">Orengo, </w:t>
      </w:r>
      <w:r w:rsidR="00924339" w:rsidRPr="009B3F97">
        <w:rPr>
          <w:rFonts w:ascii="Times New Roman" w:hAnsi="Times New Roman" w:cs="Times New Roman"/>
        </w:rPr>
        <w:t>202</w:t>
      </w:r>
      <w:r w:rsidR="00924339">
        <w:rPr>
          <w:rFonts w:ascii="Times New Roman" w:hAnsi="Times New Roman" w:cs="Times New Roman"/>
        </w:rPr>
        <w:t>4</w:t>
      </w:r>
      <w:r w:rsidRPr="009B3F97">
        <w:rPr>
          <w:rFonts w:ascii="Times New Roman" w:hAnsi="Times New Roman" w:cs="Times New Roman"/>
        </w:rPr>
        <w:t>) further reveal that fallow expansion often coincides with regions of high seasonal migration intensity. This spatial co-occurrence suggests the existence of feedback loops between environmental stress, land abandonment, and human mobility — a key issue for sustainable land management.</w:t>
      </w:r>
    </w:p>
    <w:p w14:paraId="51A93CA4" w14:textId="77777777" w:rsidR="007761CB" w:rsidRPr="009B3F97" w:rsidRDefault="007761CB" w:rsidP="007761CB">
      <w:pPr>
        <w:jc w:val="both"/>
        <w:rPr>
          <w:rFonts w:ascii="Times New Roman" w:hAnsi="Times New Roman" w:cs="Times New Roman"/>
          <w:b/>
          <w:bCs/>
        </w:rPr>
      </w:pPr>
      <w:r w:rsidRPr="009B3F97">
        <w:rPr>
          <w:rFonts w:ascii="Times New Roman" w:hAnsi="Times New Roman" w:cs="Times New Roman"/>
          <w:b/>
          <w:bCs/>
        </w:rPr>
        <w:t>2.4. Karnataka’s semi-arid context</w:t>
      </w:r>
    </w:p>
    <w:p w14:paraId="64883C54" w14:textId="04C2262D" w:rsidR="007761CB" w:rsidRPr="009B3F97" w:rsidRDefault="007761CB" w:rsidP="000838B5">
      <w:pPr>
        <w:ind w:firstLine="720"/>
        <w:jc w:val="both"/>
        <w:rPr>
          <w:rFonts w:ascii="Times New Roman" w:hAnsi="Times New Roman" w:cs="Times New Roman"/>
        </w:rPr>
      </w:pPr>
      <w:r w:rsidRPr="009B3F97">
        <w:rPr>
          <w:rFonts w:ascii="Times New Roman" w:hAnsi="Times New Roman" w:cs="Times New Roman"/>
        </w:rPr>
        <w:t>Karnataka is largely semi-arid, with more than 60% of its geographical area receiving less than 750 mm of rainfall annually (</w:t>
      </w:r>
      <w:r w:rsidRPr="00F77C48">
        <w:rPr>
          <w:rFonts w:ascii="Times New Roman" w:hAnsi="Times New Roman" w:cs="Times New Roman"/>
        </w:rPr>
        <w:t>KSDA, 2023</w:t>
      </w:r>
      <w:r w:rsidRPr="009B3F97">
        <w:rPr>
          <w:rFonts w:ascii="Times New Roman" w:hAnsi="Times New Roman" w:cs="Times New Roman"/>
        </w:rPr>
        <w:t xml:space="preserve">). Despite having a rich agricultural base, only about 30% of its net sown area is irrigated. District-level studies (e.g., </w:t>
      </w:r>
      <w:proofErr w:type="spellStart"/>
      <w:r w:rsidRPr="009B3F97">
        <w:rPr>
          <w:rFonts w:ascii="Times New Roman" w:hAnsi="Times New Roman" w:cs="Times New Roman"/>
        </w:rPr>
        <w:t>Chikkaballapur</w:t>
      </w:r>
      <w:proofErr w:type="spellEnd"/>
      <w:r w:rsidRPr="009B3F97">
        <w:rPr>
          <w:rFonts w:ascii="Times New Roman" w:hAnsi="Times New Roman" w:cs="Times New Roman"/>
        </w:rPr>
        <w:t xml:space="preserve">, </w:t>
      </w:r>
      <w:proofErr w:type="spellStart"/>
      <w:r w:rsidRPr="009B3F97">
        <w:rPr>
          <w:rFonts w:ascii="Times New Roman" w:hAnsi="Times New Roman" w:cs="Times New Roman"/>
        </w:rPr>
        <w:t>Bidar</w:t>
      </w:r>
      <w:proofErr w:type="spellEnd"/>
      <w:r w:rsidRPr="009B3F97">
        <w:rPr>
          <w:rFonts w:ascii="Times New Roman" w:hAnsi="Times New Roman" w:cs="Times New Roman"/>
        </w:rPr>
        <w:t xml:space="preserve">, </w:t>
      </w:r>
      <w:proofErr w:type="spellStart"/>
      <w:r w:rsidRPr="009B3F97">
        <w:rPr>
          <w:rFonts w:ascii="Times New Roman" w:hAnsi="Times New Roman" w:cs="Times New Roman"/>
        </w:rPr>
        <w:t>Ballari</w:t>
      </w:r>
      <w:proofErr w:type="spellEnd"/>
      <w:r w:rsidRPr="009B3F97">
        <w:rPr>
          <w:rFonts w:ascii="Times New Roman" w:hAnsi="Times New Roman" w:cs="Times New Roman"/>
        </w:rPr>
        <w:t xml:space="preserve">, and </w:t>
      </w:r>
      <w:proofErr w:type="spellStart"/>
      <w:r w:rsidRPr="009B3F97">
        <w:rPr>
          <w:rFonts w:ascii="Times New Roman" w:hAnsi="Times New Roman" w:cs="Times New Roman"/>
        </w:rPr>
        <w:t>Koppal</w:t>
      </w:r>
      <w:proofErr w:type="spellEnd"/>
      <w:r w:rsidRPr="009B3F97">
        <w:rPr>
          <w:rFonts w:ascii="Times New Roman" w:hAnsi="Times New Roman" w:cs="Times New Roman"/>
        </w:rPr>
        <w:t>) have shown that persistent droughts, groundwater depletion, and crop failure contribute to both fallow land expansion and labour outmigration (</w:t>
      </w:r>
      <w:r w:rsidR="002C7208" w:rsidRPr="002C7208">
        <w:rPr>
          <w:rFonts w:ascii="Times New Roman" w:hAnsi="Times New Roman" w:cs="Times New Roman"/>
        </w:rPr>
        <w:t xml:space="preserve">Lokesh </w:t>
      </w:r>
      <w:r w:rsidR="002C7208">
        <w:rPr>
          <w:rFonts w:ascii="Times New Roman" w:hAnsi="Times New Roman" w:cs="Times New Roman"/>
        </w:rPr>
        <w:t>&amp;</w:t>
      </w:r>
      <w:r w:rsidR="002C7208" w:rsidRPr="002C7208">
        <w:rPr>
          <w:rFonts w:ascii="Times New Roman" w:hAnsi="Times New Roman" w:cs="Times New Roman"/>
        </w:rPr>
        <w:t xml:space="preserve"> Poddar</w:t>
      </w:r>
      <w:r w:rsidRPr="002C7208">
        <w:rPr>
          <w:rFonts w:ascii="Times New Roman" w:hAnsi="Times New Roman" w:cs="Times New Roman"/>
        </w:rPr>
        <w:t>, 20</w:t>
      </w:r>
      <w:r w:rsidR="002C7208" w:rsidRPr="002C7208">
        <w:rPr>
          <w:rFonts w:ascii="Times New Roman" w:hAnsi="Times New Roman" w:cs="Times New Roman"/>
        </w:rPr>
        <w:t>1</w:t>
      </w:r>
      <w:r w:rsidR="002C7208">
        <w:rPr>
          <w:rFonts w:ascii="Times New Roman" w:hAnsi="Times New Roman" w:cs="Times New Roman"/>
        </w:rPr>
        <w:t>8</w:t>
      </w:r>
      <w:r w:rsidRPr="00785482">
        <w:rPr>
          <w:rFonts w:ascii="Times New Roman" w:hAnsi="Times New Roman" w:cs="Times New Roman"/>
          <w:color w:val="000000" w:themeColor="text1"/>
        </w:rPr>
        <w:t xml:space="preserve">; </w:t>
      </w:r>
      <w:r w:rsidR="00FA4C30" w:rsidRPr="00FA4C30">
        <w:rPr>
          <w:rFonts w:ascii="Times New Roman" w:hAnsi="Times New Roman" w:cs="Times New Roman"/>
        </w:rPr>
        <w:t>Patil, S., &amp; Murthy</w:t>
      </w:r>
      <w:r w:rsidRPr="00FA4C30">
        <w:rPr>
          <w:rFonts w:ascii="Times New Roman" w:hAnsi="Times New Roman" w:cs="Times New Roman"/>
        </w:rPr>
        <w:t>, 20</w:t>
      </w:r>
      <w:r w:rsidR="00FA4C30">
        <w:rPr>
          <w:rFonts w:ascii="Times New Roman" w:hAnsi="Times New Roman" w:cs="Times New Roman"/>
        </w:rPr>
        <w:t>1</w:t>
      </w:r>
      <w:r w:rsidRPr="00FA4C30">
        <w:rPr>
          <w:rFonts w:ascii="Times New Roman" w:hAnsi="Times New Roman" w:cs="Times New Roman"/>
        </w:rPr>
        <w:t>1)</w:t>
      </w:r>
      <w:r w:rsidRPr="009B3F97">
        <w:rPr>
          <w:rFonts w:ascii="Times New Roman" w:hAnsi="Times New Roman" w:cs="Times New Roman"/>
        </w:rPr>
        <w:t>. The integration of geospatial data (e.g., Sentinel-1 &amp; 2 imagery) with socio-economic surveys has recently enabled better mapping of fallow patterns and their socio-economic drivers (</w:t>
      </w:r>
      <w:r w:rsidR="008C604B" w:rsidRPr="00FA4C30">
        <w:rPr>
          <w:rFonts w:ascii="Times New Roman" w:hAnsi="Times New Roman" w:cs="Times New Roman"/>
        </w:rPr>
        <w:t>Srinivasan</w:t>
      </w:r>
      <w:r w:rsidR="008C604B">
        <w:rPr>
          <w:rFonts w:ascii="Times New Roman" w:hAnsi="Times New Roman" w:cs="Times New Roman"/>
        </w:rPr>
        <w:t xml:space="preserve"> &amp;</w:t>
      </w:r>
      <w:r w:rsidR="008C604B" w:rsidRPr="00FA4C30">
        <w:rPr>
          <w:rFonts w:ascii="Times New Roman" w:hAnsi="Times New Roman" w:cs="Times New Roman"/>
        </w:rPr>
        <w:t xml:space="preserve"> Ramamurthy</w:t>
      </w:r>
      <w:r w:rsidRPr="008C604B">
        <w:rPr>
          <w:rFonts w:ascii="Times New Roman" w:hAnsi="Times New Roman" w:cs="Times New Roman"/>
        </w:rPr>
        <w:t>, 202</w:t>
      </w:r>
      <w:r w:rsidR="008C604B">
        <w:rPr>
          <w:rFonts w:ascii="Times New Roman" w:hAnsi="Times New Roman" w:cs="Times New Roman"/>
        </w:rPr>
        <w:t>5</w:t>
      </w:r>
      <w:r w:rsidRPr="009B3F97">
        <w:rPr>
          <w:rFonts w:ascii="Times New Roman" w:hAnsi="Times New Roman" w:cs="Times New Roman"/>
        </w:rPr>
        <w:t>).</w:t>
      </w:r>
    </w:p>
    <w:p w14:paraId="5E83B7E8" w14:textId="77777777" w:rsidR="00F4317D" w:rsidRPr="00F4317D" w:rsidRDefault="00ED0869" w:rsidP="00F4317D">
      <w:pPr>
        <w:jc w:val="both"/>
        <w:rPr>
          <w:rFonts w:ascii="Times New Roman" w:hAnsi="Times New Roman" w:cs="Times New Roman"/>
        </w:rPr>
      </w:pPr>
      <w:r>
        <w:rPr>
          <w:rFonts w:ascii="Times New Roman" w:hAnsi="Times New Roman" w:cs="Times New Roman"/>
          <w:noProof/>
        </w:rPr>
        <w:pict w14:anchorId="7C986B8A">
          <v:rect id="_x0000_i1028" style="width:0;height:1.5pt" o:hralign="center" o:hrstd="t" o:hr="t" fillcolor="#a0a0a0" stroked="f"/>
        </w:pict>
      </w:r>
    </w:p>
    <w:p w14:paraId="7E332328" w14:textId="1C8AD95D"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 xml:space="preserve">3. </w:t>
      </w:r>
      <w:r w:rsidR="004E21C2">
        <w:rPr>
          <w:rFonts w:ascii="Times New Roman" w:hAnsi="Times New Roman" w:cs="Times New Roman"/>
          <w:b/>
          <w:bCs/>
        </w:rPr>
        <w:t>Materials and Methods</w:t>
      </w:r>
    </w:p>
    <w:p w14:paraId="0AD8BA9C"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3.1 Data sources</w:t>
      </w:r>
    </w:p>
    <w:p w14:paraId="0218848D" w14:textId="77777777" w:rsidR="007761CB" w:rsidRPr="009B3F97" w:rsidRDefault="007761CB" w:rsidP="000838B5">
      <w:pPr>
        <w:ind w:firstLine="360"/>
        <w:jc w:val="both"/>
        <w:rPr>
          <w:rFonts w:ascii="Times New Roman" w:hAnsi="Times New Roman" w:cs="Times New Roman"/>
        </w:rPr>
      </w:pPr>
      <w:r w:rsidRPr="009B3F97">
        <w:rPr>
          <w:rFonts w:ascii="Times New Roman" w:hAnsi="Times New Roman" w:cs="Times New Roman"/>
        </w:rPr>
        <w:t>This study relies entirely on secondary data, integrating multiple official and academic datasets for a longitudinal and spatial analysis of fallow land and migration:</w:t>
      </w:r>
    </w:p>
    <w:p w14:paraId="01A1D298" w14:textId="77777777" w:rsidR="007761CB" w:rsidRPr="009B3F97" w:rsidRDefault="007761CB" w:rsidP="007761CB">
      <w:pPr>
        <w:numPr>
          <w:ilvl w:val="0"/>
          <w:numId w:val="11"/>
        </w:numPr>
        <w:jc w:val="both"/>
        <w:rPr>
          <w:rFonts w:ascii="Times New Roman" w:hAnsi="Times New Roman" w:cs="Times New Roman"/>
        </w:rPr>
      </w:pPr>
      <w:r w:rsidRPr="009B3F97">
        <w:rPr>
          <w:rFonts w:ascii="Times New Roman" w:hAnsi="Times New Roman" w:cs="Times New Roman"/>
          <w:b/>
          <w:bCs/>
        </w:rPr>
        <w:t>Land Use Statistics (LUS), 2013–14 to 2022–23</w:t>
      </w:r>
      <w:r w:rsidRPr="009B3F97">
        <w:rPr>
          <w:rFonts w:ascii="Times New Roman" w:hAnsi="Times New Roman" w:cs="Times New Roman"/>
        </w:rPr>
        <w:t xml:space="preserve"> – published by the Department of Agriculture &amp; Farmers Welfare (Government of India). It provides annual data on nine-</w:t>
      </w:r>
      <w:r w:rsidRPr="009B3F97">
        <w:rPr>
          <w:rFonts w:ascii="Times New Roman" w:hAnsi="Times New Roman" w:cs="Times New Roman"/>
        </w:rPr>
        <w:lastRenderedPageBreak/>
        <w:t>fold land use classification for all states and UTs, including “current fallows” and “fallow land other than current fallows.”</w:t>
      </w:r>
    </w:p>
    <w:p w14:paraId="3818D2A1" w14:textId="606E0842" w:rsidR="007761CB" w:rsidRPr="009B3F97" w:rsidRDefault="007761CB" w:rsidP="007761CB">
      <w:pPr>
        <w:numPr>
          <w:ilvl w:val="0"/>
          <w:numId w:val="11"/>
        </w:numPr>
        <w:jc w:val="both"/>
        <w:rPr>
          <w:rFonts w:ascii="Times New Roman" w:hAnsi="Times New Roman" w:cs="Times New Roman"/>
        </w:rPr>
      </w:pPr>
      <w:r w:rsidRPr="009B3F97">
        <w:rPr>
          <w:rFonts w:ascii="Times New Roman" w:hAnsi="Times New Roman" w:cs="Times New Roman"/>
          <w:b/>
          <w:bCs/>
        </w:rPr>
        <w:t>Directorate of Economics and Statistics (DES), Government of Karnataka</w:t>
      </w:r>
      <w:r w:rsidRPr="009B3F97">
        <w:rPr>
          <w:rFonts w:ascii="Times New Roman" w:hAnsi="Times New Roman" w:cs="Times New Roman"/>
        </w:rPr>
        <w:t xml:space="preserve"> – provides district-level data on land </w:t>
      </w:r>
      <w:r w:rsidR="0081471E" w:rsidRPr="001F0F3A">
        <w:rPr>
          <w:rFonts w:ascii="Times New Roman" w:hAnsi="Times New Roman" w:cs="Times New Roman"/>
          <w:color w:val="000000" w:themeColor="text1"/>
        </w:rPr>
        <w:t>utilization</w:t>
      </w:r>
      <w:r w:rsidRPr="009B3F97">
        <w:rPr>
          <w:rFonts w:ascii="Times New Roman" w:hAnsi="Times New Roman" w:cs="Times New Roman"/>
        </w:rPr>
        <w:t>, cropping intensity, and irrigation coverage.</w:t>
      </w:r>
    </w:p>
    <w:p w14:paraId="2B552C4B" w14:textId="77777777" w:rsidR="007761CB" w:rsidRPr="009B3F97" w:rsidRDefault="007761CB" w:rsidP="007761CB">
      <w:pPr>
        <w:numPr>
          <w:ilvl w:val="0"/>
          <w:numId w:val="11"/>
        </w:numPr>
        <w:jc w:val="both"/>
        <w:rPr>
          <w:rFonts w:ascii="Times New Roman" w:hAnsi="Times New Roman" w:cs="Times New Roman"/>
        </w:rPr>
      </w:pPr>
      <w:r w:rsidRPr="009B3F97">
        <w:rPr>
          <w:rFonts w:ascii="Times New Roman" w:hAnsi="Times New Roman" w:cs="Times New Roman"/>
          <w:b/>
          <w:bCs/>
        </w:rPr>
        <w:t>Periodic Labour Force Survey (PLFS, 2022–23)</w:t>
      </w:r>
      <w:r w:rsidRPr="009B3F97">
        <w:rPr>
          <w:rFonts w:ascii="Times New Roman" w:hAnsi="Times New Roman" w:cs="Times New Roman"/>
        </w:rPr>
        <w:t xml:space="preserve"> – provides employment structure, migration patterns, and labour participation rates.</w:t>
      </w:r>
    </w:p>
    <w:p w14:paraId="7D90FB2E" w14:textId="77777777" w:rsidR="007761CB" w:rsidRPr="009B3F97" w:rsidRDefault="007761CB" w:rsidP="007761CB">
      <w:pPr>
        <w:numPr>
          <w:ilvl w:val="0"/>
          <w:numId w:val="11"/>
        </w:numPr>
        <w:jc w:val="both"/>
        <w:rPr>
          <w:rFonts w:ascii="Times New Roman" w:hAnsi="Times New Roman" w:cs="Times New Roman"/>
        </w:rPr>
      </w:pPr>
      <w:r w:rsidRPr="009B3F97">
        <w:rPr>
          <w:rFonts w:ascii="Times New Roman" w:hAnsi="Times New Roman" w:cs="Times New Roman"/>
          <w:b/>
          <w:bCs/>
        </w:rPr>
        <w:t>Karnataka State Agricultural Profile (2022–23)</w:t>
      </w:r>
      <w:r w:rsidRPr="009B3F97">
        <w:rPr>
          <w:rFonts w:ascii="Times New Roman" w:hAnsi="Times New Roman" w:cs="Times New Roman"/>
        </w:rPr>
        <w:t xml:space="preserve"> – provides contextual data on rainfall, crop composition, and irrigation development.</w:t>
      </w:r>
    </w:p>
    <w:p w14:paraId="3E010DEB" w14:textId="77777777" w:rsidR="007761CB" w:rsidRPr="009B3F97" w:rsidRDefault="007761CB" w:rsidP="007761CB">
      <w:pPr>
        <w:numPr>
          <w:ilvl w:val="0"/>
          <w:numId w:val="11"/>
        </w:numPr>
        <w:jc w:val="both"/>
        <w:rPr>
          <w:rFonts w:ascii="Times New Roman" w:hAnsi="Times New Roman" w:cs="Times New Roman"/>
        </w:rPr>
      </w:pPr>
      <w:r w:rsidRPr="009B3F97">
        <w:rPr>
          <w:rFonts w:ascii="Times New Roman" w:hAnsi="Times New Roman" w:cs="Times New Roman"/>
          <w:b/>
          <w:bCs/>
        </w:rPr>
        <w:t>Peer-reviewed research papers (2018–2024)</w:t>
      </w:r>
      <w:r w:rsidRPr="009B3F97">
        <w:rPr>
          <w:rFonts w:ascii="Times New Roman" w:hAnsi="Times New Roman" w:cs="Times New Roman"/>
        </w:rPr>
        <w:t xml:space="preserve"> and state-level reports on migration and rural labour.</w:t>
      </w:r>
    </w:p>
    <w:p w14:paraId="497FD41A" w14:textId="77777777" w:rsidR="007761CB" w:rsidRPr="009B3F97" w:rsidRDefault="007761CB" w:rsidP="007761CB">
      <w:pPr>
        <w:jc w:val="both"/>
        <w:rPr>
          <w:rFonts w:ascii="Times New Roman" w:hAnsi="Times New Roman" w:cs="Times New Roman"/>
          <w:b/>
          <w:bCs/>
        </w:rPr>
      </w:pPr>
      <w:r w:rsidRPr="009B3F97">
        <w:rPr>
          <w:rFonts w:ascii="Times New Roman" w:hAnsi="Times New Roman" w:cs="Times New Roman"/>
          <w:b/>
          <w:bCs/>
        </w:rPr>
        <w:t>3.2. Methodology</w:t>
      </w:r>
    </w:p>
    <w:p w14:paraId="68B32B7D" w14:textId="56B638A1" w:rsidR="007761CB" w:rsidRPr="009B3F97" w:rsidRDefault="007761CB" w:rsidP="002E2059">
      <w:pPr>
        <w:ind w:firstLine="720"/>
        <w:jc w:val="both"/>
        <w:rPr>
          <w:rFonts w:ascii="Times New Roman" w:hAnsi="Times New Roman" w:cs="Times New Roman"/>
        </w:rPr>
      </w:pPr>
      <w:r w:rsidRPr="009B3F97">
        <w:rPr>
          <w:rFonts w:ascii="Times New Roman" w:hAnsi="Times New Roman" w:cs="Times New Roman"/>
        </w:rPr>
        <w:t xml:space="preserve">The study employed a </w:t>
      </w:r>
      <w:r w:rsidRPr="009B3F97">
        <w:rPr>
          <w:rFonts w:ascii="Times New Roman" w:hAnsi="Times New Roman" w:cs="Times New Roman"/>
          <w:b/>
          <w:bCs/>
        </w:rPr>
        <w:t>mixed analytical approach</w:t>
      </w:r>
      <w:r w:rsidRPr="009B3F97">
        <w:rPr>
          <w:rFonts w:ascii="Times New Roman" w:hAnsi="Times New Roman" w:cs="Times New Roman"/>
        </w:rPr>
        <w:t>, combining descriptive statistical analysis with interpretive synthesis.</w:t>
      </w:r>
      <w:r w:rsidR="002E2059">
        <w:rPr>
          <w:rFonts w:ascii="Times New Roman" w:hAnsi="Times New Roman" w:cs="Times New Roman"/>
        </w:rPr>
        <w:t xml:space="preserve"> </w:t>
      </w:r>
      <w:r w:rsidRPr="009B3F97">
        <w:rPr>
          <w:rFonts w:ascii="Times New Roman" w:hAnsi="Times New Roman" w:cs="Times New Roman"/>
        </w:rPr>
        <w:t xml:space="preserve">First, </w:t>
      </w:r>
      <w:r w:rsidRPr="009B3F97">
        <w:rPr>
          <w:rFonts w:ascii="Times New Roman" w:hAnsi="Times New Roman" w:cs="Times New Roman"/>
          <w:b/>
          <w:bCs/>
        </w:rPr>
        <w:t>trend analysis</w:t>
      </w:r>
      <w:r w:rsidRPr="009B3F97">
        <w:rPr>
          <w:rFonts w:ascii="Times New Roman" w:hAnsi="Times New Roman" w:cs="Times New Roman"/>
        </w:rPr>
        <w:t xml:space="preserve"> was performed using the LUS dataset from 2013–14 to 2022–23. Yearly figures for total fallow land (current + other fallows) were extracted for both </w:t>
      </w:r>
      <w:r w:rsidRPr="009B3F97">
        <w:rPr>
          <w:rFonts w:ascii="Times New Roman" w:hAnsi="Times New Roman" w:cs="Times New Roman"/>
          <w:b/>
          <w:bCs/>
        </w:rPr>
        <w:t>All-India</w:t>
      </w:r>
      <w:r w:rsidRPr="009B3F97">
        <w:rPr>
          <w:rFonts w:ascii="Times New Roman" w:hAnsi="Times New Roman" w:cs="Times New Roman"/>
        </w:rPr>
        <w:t xml:space="preserve"> and </w:t>
      </w:r>
      <w:r w:rsidRPr="009B3F97">
        <w:rPr>
          <w:rFonts w:ascii="Times New Roman" w:hAnsi="Times New Roman" w:cs="Times New Roman"/>
          <w:b/>
          <w:bCs/>
        </w:rPr>
        <w:t>Karnataka</w:t>
      </w:r>
      <w:r w:rsidRPr="009B3F97">
        <w:rPr>
          <w:rFonts w:ascii="Times New Roman" w:hAnsi="Times New Roman" w:cs="Times New Roman"/>
        </w:rPr>
        <w:t>. Data were converted to percentage of reporting area to ensure comparability.</w:t>
      </w:r>
      <w:r w:rsidR="002E2059">
        <w:rPr>
          <w:rFonts w:ascii="Times New Roman" w:hAnsi="Times New Roman" w:cs="Times New Roman"/>
        </w:rPr>
        <w:t xml:space="preserve"> </w:t>
      </w:r>
      <w:r w:rsidRPr="009B3F97">
        <w:rPr>
          <w:rFonts w:ascii="Times New Roman" w:hAnsi="Times New Roman" w:cs="Times New Roman"/>
        </w:rPr>
        <w:t xml:space="preserve">Second, a </w:t>
      </w:r>
      <w:r w:rsidRPr="009B3F97">
        <w:rPr>
          <w:rFonts w:ascii="Times New Roman" w:hAnsi="Times New Roman" w:cs="Times New Roman"/>
          <w:b/>
          <w:bCs/>
        </w:rPr>
        <w:t>spatial diagnostic framework</w:t>
      </w:r>
      <w:r w:rsidRPr="009B3F97">
        <w:rPr>
          <w:rFonts w:ascii="Times New Roman" w:hAnsi="Times New Roman" w:cs="Times New Roman"/>
        </w:rPr>
        <w:t xml:space="preserve"> was applied, focusing on semi-arid districts of Karnataka (</w:t>
      </w:r>
      <w:proofErr w:type="spellStart"/>
      <w:r w:rsidRPr="009B3F97">
        <w:rPr>
          <w:rFonts w:ascii="Times New Roman" w:hAnsi="Times New Roman" w:cs="Times New Roman"/>
        </w:rPr>
        <w:t>Bidar</w:t>
      </w:r>
      <w:proofErr w:type="spellEnd"/>
      <w:r w:rsidRPr="009B3F97">
        <w:rPr>
          <w:rFonts w:ascii="Times New Roman" w:hAnsi="Times New Roman" w:cs="Times New Roman"/>
        </w:rPr>
        <w:t xml:space="preserve">, </w:t>
      </w:r>
      <w:proofErr w:type="spellStart"/>
      <w:r w:rsidRPr="009B3F97">
        <w:rPr>
          <w:rFonts w:ascii="Times New Roman" w:hAnsi="Times New Roman" w:cs="Times New Roman"/>
        </w:rPr>
        <w:t>Kalaburagi</w:t>
      </w:r>
      <w:proofErr w:type="spellEnd"/>
      <w:r w:rsidRPr="009B3F97">
        <w:rPr>
          <w:rFonts w:ascii="Times New Roman" w:hAnsi="Times New Roman" w:cs="Times New Roman"/>
        </w:rPr>
        <w:t xml:space="preserve">, </w:t>
      </w:r>
      <w:proofErr w:type="spellStart"/>
      <w:r w:rsidRPr="009B3F97">
        <w:rPr>
          <w:rFonts w:ascii="Times New Roman" w:hAnsi="Times New Roman" w:cs="Times New Roman"/>
        </w:rPr>
        <w:t>Koppal</w:t>
      </w:r>
      <w:proofErr w:type="spellEnd"/>
      <w:r w:rsidRPr="009B3F97">
        <w:rPr>
          <w:rFonts w:ascii="Times New Roman" w:hAnsi="Times New Roman" w:cs="Times New Roman"/>
        </w:rPr>
        <w:t xml:space="preserve">, </w:t>
      </w:r>
      <w:proofErr w:type="spellStart"/>
      <w:r w:rsidRPr="009B3F97">
        <w:rPr>
          <w:rFonts w:ascii="Times New Roman" w:hAnsi="Times New Roman" w:cs="Times New Roman"/>
        </w:rPr>
        <w:t>Raichur</w:t>
      </w:r>
      <w:proofErr w:type="spellEnd"/>
      <w:r w:rsidRPr="009B3F97">
        <w:rPr>
          <w:rFonts w:ascii="Times New Roman" w:hAnsi="Times New Roman" w:cs="Times New Roman"/>
        </w:rPr>
        <w:t xml:space="preserve">, </w:t>
      </w:r>
      <w:proofErr w:type="spellStart"/>
      <w:r w:rsidRPr="009B3F97">
        <w:rPr>
          <w:rFonts w:ascii="Times New Roman" w:hAnsi="Times New Roman" w:cs="Times New Roman"/>
        </w:rPr>
        <w:t>Chitradurga</w:t>
      </w:r>
      <w:proofErr w:type="spellEnd"/>
      <w:r w:rsidRPr="009B3F97">
        <w:rPr>
          <w:rFonts w:ascii="Times New Roman" w:hAnsi="Times New Roman" w:cs="Times New Roman"/>
        </w:rPr>
        <w:t xml:space="preserve">, </w:t>
      </w:r>
      <w:proofErr w:type="spellStart"/>
      <w:r w:rsidRPr="009B3F97">
        <w:rPr>
          <w:rFonts w:ascii="Times New Roman" w:hAnsi="Times New Roman" w:cs="Times New Roman"/>
        </w:rPr>
        <w:t>Chikkaballapur</w:t>
      </w:r>
      <w:proofErr w:type="spellEnd"/>
      <w:r w:rsidRPr="009B3F97">
        <w:rPr>
          <w:rFonts w:ascii="Times New Roman" w:hAnsi="Times New Roman" w:cs="Times New Roman"/>
        </w:rPr>
        <w:t xml:space="preserve">). District-level fallow incidence was </w:t>
      </w:r>
      <w:proofErr w:type="spellStart"/>
      <w:r w:rsidRPr="009B3F97">
        <w:rPr>
          <w:rFonts w:ascii="Times New Roman" w:hAnsi="Times New Roman" w:cs="Times New Roman"/>
        </w:rPr>
        <w:t>analysed</w:t>
      </w:r>
      <w:proofErr w:type="spellEnd"/>
      <w:r w:rsidRPr="009B3F97">
        <w:rPr>
          <w:rFonts w:ascii="Times New Roman" w:hAnsi="Times New Roman" w:cs="Times New Roman"/>
        </w:rPr>
        <w:t xml:space="preserve"> in relation to rainfall variability, irrigation ratio, and migration trends.</w:t>
      </w:r>
      <w:r w:rsidR="002E2059">
        <w:rPr>
          <w:rFonts w:ascii="Times New Roman" w:hAnsi="Times New Roman" w:cs="Times New Roman"/>
        </w:rPr>
        <w:t xml:space="preserve"> </w:t>
      </w:r>
      <w:r w:rsidRPr="009B3F97">
        <w:rPr>
          <w:rFonts w:ascii="Times New Roman" w:hAnsi="Times New Roman" w:cs="Times New Roman"/>
        </w:rPr>
        <w:t xml:space="preserve">Third, </w:t>
      </w:r>
      <w:r w:rsidRPr="009B3F97">
        <w:rPr>
          <w:rFonts w:ascii="Times New Roman" w:hAnsi="Times New Roman" w:cs="Times New Roman"/>
          <w:b/>
          <w:bCs/>
        </w:rPr>
        <w:t>migration patterns</w:t>
      </w:r>
      <w:r w:rsidRPr="009B3F97">
        <w:rPr>
          <w:rFonts w:ascii="Times New Roman" w:hAnsi="Times New Roman" w:cs="Times New Roman"/>
        </w:rPr>
        <w:t xml:space="preserve"> were assessed using PLFS indicators and corroborated with district-level case studies (Bidar and Ballari). Migration was </w:t>
      </w:r>
      <w:proofErr w:type="spellStart"/>
      <w:r w:rsidRPr="009B3F97">
        <w:rPr>
          <w:rFonts w:ascii="Times New Roman" w:hAnsi="Times New Roman" w:cs="Times New Roman"/>
        </w:rPr>
        <w:t>categorised</w:t>
      </w:r>
      <w:proofErr w:type="spellEnd"/>
      <w:r w:rsidRPr="009B3F97">
        <w:rPr>
          <w:rFonts w:ascii="Times New Roman" w:hAnsi="Times New Roman" w:cs="Times New Roman"/>
        </w:rPr>
        <w:t xml:space="preserve"> as </w:t>
      </w:r>
      <w:r w:rsidRPr="009B3F97">
        <w:rPr>
          <w:rFonts w:ascii="Times New Roman" w:hAnsi="Times New Roman" w:cs="Times New Roman"/>
          <w:i/>
          <w:iCs/>
        </w:rPr>
        <w:t>seasonal</w:t>
      </w:r>
      <w:r w:rsidRPr="009B3F97">
        <w:rPr>
          <w:rFonts w:ascii="Times New Roman" w:hAnsi="Times New Roman" w:cs="Times New Roman"/>
        </w:rPr>
        <w:t xml:space="preserve">, </w:t>
      </w:r>
      <w:r w:rsidRPr="009B3F97">
        <w:rPr>
          <w:rFonts w:ascii="Times New Roman" w:hAnsi="Times New Roman" w:cs="Times New Roman"/>
          <w:i/>
          <w:iCs/>
        </w:rPr>
        <w:t>temporary</w:t>
      </w:r>
      <w:r w:rsidRPr="009B3F97">
        <w:rPr>
          <w:rFonts w:ascii="Times New Roman" w:hAnsi="Times New Roman" w:cs="Times New Roman"/>
        </w:rPr>
        <w:t xml:space="preserve">, or </w:t>
      </w:r>
      <w:r w:rsidRPr="009B3F97">
        <w:rPr>
          <w:rFonts w:ascii="Times New Roman" w:hAnsi="Times New Roman" w:cs="Times New Roman"/>
          <w:i/>
          <w:iCs/>
        </w:rPr>
        <w:t>permanent</w:t>
      </w:r>
      <w:r w:rsidRPr="009B3F97">
        <w:rPr>
          <w:rFonts w:ascii="Times New Roman" w:hAnsi="Times New Roman" w:cs="Times New Roman"/>
        </w:rPr>
        <w:t>, based on duration and sectoral engagement.</w:t>
      </w:r>
    </w:p>
    <w:p w14:paraId="43B0E258" w14:textId="69CECB84" w:rsidR="00F4317D" w:rsidRPr="00F4317D" w:rsidRDefault="007761CB" w:rsidP="002E2059">
      <w:pPr>
        <w:ind w:firstLine="720"/>
        <w:jc w:val="both"/>
        <w:rPr>
          <w:rFonts w:ascii="Times New Roman" w:hAnsi="Times New Roman" w:cs="Times New Roman"/>
        </w:rPr>
      </w:pPr>
      <w:r w:rsidRPr="009B3F97">
        <w:rPr>
          <w:rFonts w:ascii="Times New Roman" w:hAnsi="Times New Roman" w:cs="Times New Roman"/>
        </w:rPr>
        <w:t xml:space="preserve">Finally, an </w:t>
      </w:r>
      <w:r w:rsidRPr="009B3F97">
        <w:rPr>
          <w:rFonts w:ascii="Times New Roman" w:hAnsi="Times New Roman" w:cs="Times New Roman"/>
          <w:b/>
          <w:bCs/>
        </w:rPr>
        <w:t>integrative interpretation</w:t>
      </w:r>
      <w:r w:rsidRPr="009B3F97">
        <w:rPr>
          <w:rFonts w:ascii="Times New Roman" w:hAnsi="Times New Roman" w:cs="Times New Roman"/>
        </w:rPr>
        <w:t xml:space="preserve"> linked the observed fallow trends with migration evidence to explain underlying mechanisms — drought, labour shortages, and economic rationalisation of land use.</w:t>
      </w:r>
      <w:r w:rsidR="002E2059">
        <w:rPr>
          <w:rFonts w:ascii="Times New Roman" w:hAnsi="Times New Roman" w:cs="Times New Roman"/>
        </w:rPr>
        <w:t xml:space="preserve"> </w:t>
      </w:r>
      <w:r w:rsidRPr="009B3F97">
        <w:rPr>
          <w:rFonts w:ascii="Times New Roman" w:hAnsi="Times New Roman" w:cs="Times New Roman"/>
        </w:rPr>
        <w:t>Statistical measures included compound growth rate (CGR) of fallow area, correlation coefficients between rainfall deviation and fallow extent, and descriptive cross-tabulation of district-wise migration indicators.</w:t>
      </w:r>
    </w:p>
    <w:p w14:paraId="73E83124" w14:textId="77777777" w:rsidR="00F4317D" w:rsidRPr="00F4317D" w:rsidRDefault="00ED0869" w:rsidP="00F4317D">
      <w:pPr>
        <w:jc w:val="both"/>
        <w:rPr>
          <w:rFonts w:ascii="Times New Roman" w:hAnsi="Times New Roman" w:cs="Times New Roman"/>
        </w:rPr>
      </w:pPr>
      <w:r>
        <w:rPr>
          <w:rFonts w:ascii="Times New Roman" w:hAnsi="Times New Roman" w:cs="Times New Roman"/>
          <w:noProof/>
        </w:rPr>
        <w:pict w14:anchorId="7E627548">
          <v:rect id="_x0000_i1029" style="width:0;height:1.5pt" o:hralign="center" o:hrstd="t" o:hr="t" fillcolor="#a0a0a0" stroked="f"/>
        </w:pict>
      </w:r>
    </w:p>
    <w:p w14:paraId="2DB236DA"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4. Results</w:t>
      </w:r>
    </w:p>
    <w:p w14:paraId="28EF1DF1"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4.1 All-India fallow land trends (2013–14 to 2022–23)</w:t>
      </w:r>
    </w:p>
    <w:p w14:paraId="785C6ABB" w14:textId="77777777" w:rsidR="00F4317D" w:rsidRPr="00F4317D" w:rsidRDefault="00F4317D" w:rsidP="000838B5">
      <w:pPr>
        <w:ind w:firstLine="720"/>
        <w:jc w:val="both"/>
        <w:rPr>
          <w:rFonts w:ascii="Times New Roman" w:hAnsi="Times New Roman" w:cs="Times New Roman"/>
        </w:rPr>
      </w:pPr>
      <w:r w:rsidRPr="00F4317D">
        <w:rPr>
          <w:rFonts w:ascii="Times New Roman" w:hAnsi="Times New Roman" w:cs="Times New Roman"/>
        </w:rPr>
        <w:t xml:space="preserve">The latest LUS shows that </w:t>
      </w:r>
      <w:r w:rsidRPr="00F4317D">
        <w:rPr>
          <w:rFonts w:ascii="Times New Roman" w:hAnsi="Times New Roman" w:cs="Times New Roman"/>
          <w:b/>
          <w:bCs/>
        </w:rPr>
        <w:t>All-India total fallow land (current fallows + fallow lands other than current fallows) for 2022–23 is 24,626 thousand hectares (24.626 million ha)</w:t>
      </w:r>
      <w:r w:rsidRPr="00F4317D">
        <w:rPr>
          <w:rFonts w:ascii="Times New Roman" w:hAnsi="Times New Roman" w:cs="Times New Roman"/>
        </w:rPr>
        <w:t xml:space="preserve">, with current fallows ~13,498 thousand ha and other fallows ~11,128 thousand ha in 2022–23. Net area sown in 2022–23 is reported at 140,705 thousand hectares. These numbers demonstrate that a sizeable fraction of cultivable or arable land is periodically not cropped in a given agricultural year at national scale. </w:t>
      </w:r>
    </w:p>
    <w:p w14:paraId="0C779361" w14:textId="77777777" w:rsidR="00F4317D" w:rsidRPr="00F4317D" w:rsidRDefault="00F4317D" w:rsidP="00F4317D">
      <w:pPr>
        <w:jc w:val="both"/>
        <w:rPr>
          <w:rFonts w:ascii="Times New Roman" w:hAnsi="Times New Roman" w:cs="Times New Roman"/>
        </w:rPr>
      </w:pPr>
      <w:r w:rsidRPr="00F4317D">
        <w:rPr>
          <w:rFonts w:ascii="Times New Roman" w:hAnsi="Times New Roman" w:cs="Times New Roman"/>
          <w:b/>
          <w:bCs/>
        </w:rPr>
        <w:lastRenderedPageBreak/>
        <w:t>Table 1. Selected All-India land-use indicators (2022–23, thousand hectares)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34"/>
        <w:gridCol w:w="2014"/>
        <w:gridCol w:w="1273"/>
      </w:tblGrid>
      <w:tr w:rsidR="00F4317D" w:rsidRPr="00F4317D" w14:paraId="291B09D3" w14:textId="77777777" w:rsidTr="00F4317D">
        <w:trPr>
          <w:tblHeader/>
          <w:tblCellSpacing w:w="15" w:type="dxa"/>
          <w:jc w:val="center"/>
        </w:trPr>
        <w:tc>
          <w:tcPr>
            <w:tcW w:w="0" w:type="auto"/>
            <w:vAlign w:val="center"/>
            <w:hideMark/>
          </w:tcPr>
          <w:p w14:paraId="625DA510" w14:textId="77777777" w:rsidR="00F4317D" w:rsidRPr="00F4317D" w:rsidRDefault="00F4317D" w:rsidP="00F4317D">
            <w:pPr>
              <w:jc w:val="both"/>
              <w:rPr>
                <w:rFonts w:ascii="Times New Roman" w:hAnsi="Times New Roman" w:cs="Times New Roman"/>
                <w:b/>
                <w:bCs/>
                <w:sz w:val="20"/>
                <w:szCs w:val="20"/>
              </w:rPr>
            </w:pPr>
            <w:r w:rsidRPr="00F4317D">
              <w:rPr>
                <w:rFonts w:ascii="Times New Roman" w:hAnsi="Times New Roman" w:cs="Times New Roman"/>
                <w:b/>
                <w:bCs/>
                <w:sz w:val="20"/>
                <w:szCs w:val="20"/>
              </w:rPr>
              <w:t>Indicator</w:t>
            </w:r>
          </w:p>
        </w:tc>
        <w:tc>
          <w:tcPr>
            <w:tcW w:w="0" w:type="auto"/>
            <w:vAlign w:val="center"/>
            <w:hideMark/>
          </w:tcPr>
          <w:p w14:paraId="3D9232D3" w14:textId="77777777" w:rsidR="00F4317D" w:rsidRPr="00F4317D" w:rsidRDefault="00F4317D" w:rsidP="00F4317D">
            <w:pPr>
              <w:jc w:val="both"/>
              <w:rPr>
                <w:rFonts w:ascii="Times New Roman" w:hAnsi="Times New Roman" w:cs="Times New Roman"/>
                <w:b/>
                <w:bCs/>
                <w:sz w:val="20"/>
                <w:szCs w:val="20"/>
              </w:rPr>
            </w:pPr>
            <w:r w:rsidRPr="00F4317D">
              <w:rPr>
                <w:rFonts w:ascii="Times New Roman" w:hAnsi="Times New Roman" w:cs="Times New Roman"/>
                <w:b/>
                <w:bCs/>
                <w:sz w:val="20"/>
                <w:szCs w:val="20"/>
              </w:rPr>
              <w:t>2022–23 (thousand ha)</w:t>
            </w:r>
          </w:p>
        </w:tc>
        <w:tc>
          <w:tcPr>
            <w:tcW w:w="0" w:type="auto"/>
            <w:vAlign w:val="center"/>
            <w:hideMark/>
          </w:tcPr>
          <w:p w14:paraId="2CB4A497" w14:textId="77777777" w:rsidR="00F4317D" w:rsidRPr="00F4317D" w:rsidRDefault="00F4317D" w:rsidP="00F4317D">
            <w:pPr>
              <w:jc w:val="both"/>
              <w:rPr>
                <w:rFonts w:ascii="Times New Roman" w:hAnsi="Times New Roman" w:cs="Times New Roman"/>
                <w:b/>
                <w:bCs/>
                <w:sz w:val="20"/>
                <w:szCs w:val="20"/>
              </w:rPr>
            </w:pPr>
            <w:r w:rsidRPr="00F4317D">
              <w:rPr>
                <w:rFonts w:ascii="Times New Roman" w:hAnsi="Times New Roman" w:cs="Times New Roman"/>
                <w:b/>
                <w:bCs/>
                <w:sz w:val="20"/>
                <w:szCs w:val="20"/>
              </w:rPr>
              <w:t>Source</w:t>
            </w:r>
          </w:p>
        </w:tc>
      </w:tr>
      <w:tr w:rsidR="00F4317D" w:rsidRPr="00F4317D" w14:paraId="42BE3D09" w14:textId="77777777" w:rsidTr="00F4317D">
        <w:trPr>
          <w:tblCellSpacing w:w="15" w:type="dxa"/>
          <w:jc w:val="center"/>
        </w:trPr>
        <w:tc>
          <w:tcPr>
            <w:tcW w:w="0" w:type="auto"/>
            <w:vAlign w:val="center"/>
            <w:hideMark/>
          </w:tcPr>
          <w:p w14:paraId="0D54BCBF"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Fallow lands other than current fallows</w:t>
            </w:r>
          </w:p>
        </w:tc>
        <w:tc>
          <w:tcPr>
            <w:tcW w:w="0" w:type="auto"/>
            <w:vAlign w:val="center"/>
            <w:hideMark/>
          </w:tcPr>
          <w:p w14:paraId="06D99DBE"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11,128</w:t>
            </w:r>
          </w:p>
        </w:tc>
        <w:tc>
          <w:tcPr>
            <w:tcW w:w="0" w:type="auto"/>
            <w:vAlign w:val="center"/>
            <w:hideMark/>
          </w:tcPr>
          <w:p w14:paraId="658537E5"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 xml:space="preserve">LUS 2022–23. </w:t>
            </w:r>
          </w:p>
        </w:tc>
      </w:tr>
      <w:tr w:rsidR="00F4317D" w:rsidRPr="00F4317D" w14:paraId="16C0D983" w14:textId="77777777" w:rsidTr="00F4317D">
        <w:trPr>
          <w:tblCellSpacing w:w="15" w:type="dxa"/>
          <w:jc w:val="center"/>
        </w:trPr>
        <w:tc>
          <w:tcPr>
            <w:tcW w:w="0" w:type="auto"/>
            <w:vAlign w:val="center"/>
            <w:hideMark/>
          </w:tcPr>
          <w:p w14:paraId="17384AE1"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Current fallows</w:t>
            </w:r>
          </w:p>
        </w:tc>
        <w:tc>
          <w:tcPr>
            <w:tcW w:w="0" w:type="auto"/>
            <w:vAlign w:val="center"/>
            <w:hideMark/>
          </w:tcPr>
          <w:p w14:paraId="659D4D96"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13,498</w:t>
            </w:r>
          </w:p>
        </w:tc>
        <w:tc>
          <w:tcPr>
            <w:tcW w:w="0" w:type="auto"/>
            <w:vAlign w:val="center"/>
            <w:hideMark/>
          </w:tcPr>
          <w:p w14:paraId="5EB66801"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 xml:space="preserve">LUS 2022–23. </w:t>
            </w:r>
          </w:p>
        </w:tc>
      </w:tr>
      <w:tr w:rsidR="00F4317D" w:rsidRPr="00F4317D" w14:paraId="3FE70377" w14:textId="77777777" w:rsidTr="00F4317D">
        <w:trPr>
          <w:tblCellSpacing w:w="15" w:type="dxa"/>
          <w:jc w:val="center"/>
        </w:trPr>
        <w:tc>
          <w:tcPr>
            <w:tcW w:w="0" w:type="auto"/>
            <w:vAlign w:val="center"/>
            <w:hideMark/>
          </w:tcPr>
          <w:p w14:paraId="7F6546AF"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b/>
                <w:bCs/>
                <w:sz w:val="20"/>
                <w:szCs w:val="20"/>
              </w:rPr>
              <w:t>Total fallows (sum)</w:t>
            </w:r>
          </w:p>
        </w:tc>
        <w:tc>
          <w:tcPr>
            <w:tcW w:w="0" w:type="auto"/>
            <w:vAlign w:val="center"/>
            <w:hideMark/>
          </w:tcPr>
          <w:p w14:paraId="6B55AE71"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b/>
                <w:bCs/>
                <w:sz w:val="20"/>
                <w:szCs w:val="20"/>
              </w:rPr>
              <w:t>24,626</w:t>
            </w:r>
          </w:p>
        </w:tc>
        <w:tc>
          <w:tcPr>
            <w:tcW w:w="0" w:type="auto"/>
            <w:vAlign w:val="center"/>
            <w:hideMark/>
          </w:tcPr>
          <w:p w14:paraId="51122374"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 xml:space="preserve">LUS 2022–23. </w:t>
            </w:r>
          </w:p>
        </w:tc>
      </w:tr>
      <w:tr w:rsidR="00F4317D" w:rsidRPr="00F4317D" w14:paraId="4EBCBFCB" w14:textId="77777777" w:rsidTr="00F4317D">
        <w:trPr>
          <w:tblCellSpacing w:w="15" w:type="dxa"/>
          <w:jc w:val="center"/>
        </w:trPr>
        <w:tc>
          <w:tcPr>
            <w:tcW w:w="0" w:type="auto"/>
            <w:vAlign w:val="center"/>
            <w:hideMark/>
          </w:tcPr>
          <w:p w14:paraId="1C7CBC68"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Net area sown</w:t>
            </w:r>
          </w:p>
        </w:tc>
        <w:tc>
          <w:tcPr>
            <w:tcW w:w="0" w:type="auto"/>
            <w:vAlign w:val="center"/>
            <w:hideMark/>
          </w:tcPr>
          <w:p w14:paraId="7854A2E4"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140,705</w:t>
            </w:r>
          </w:p>
        </w:tc>
        <w:tc>
          <w:tcPr>
            <w:tcW w:w="0" w:type="auto"/>
            <w:vAlign w:val="center"/>
            <w:hideMark/>
          </w:tcPr>
          <w:p w14:paraId="61F9FF1C"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 xml:space="preserve">LUS 2022–23. </w:t>
            </w:r>
          </w:p>
        </w:tc>
      </w:tr>
    </w:tbl>
    <w:p w14:paraId="3A16BACB" w14:textId="77777777" w:rsidR="00F4317D" w:rsidRDefault="00F4317D" w:rsidP="00F4317D">
      <w:pPr>
        <w:jc w:val="both"/>
        <w:rPr>
          <w:rFonts w:ascii="Times New Roman" w:hAnsi="Times New Roman" w:cs="Times New Roman"/>
        </w:rPr>
      </w:pPr>
      <w:r w:rsidRPr="00F4317D">
        <w:rPr>
          <w:rFonts w:ascii="Times New Roman" w:hAnsi="Times New Roman" w:cs="Times New Roman"/>
          <w:i/>
          <w:iCs/>
        </w:rPr>
        <w:t>(All values are from the Department of Agriculture &amp; Farmers Welfare LUS 2013–14 to 2022–23 tables.)</w:t>
      </w:r>
      <w:r w:rsidRPr="00F4317D">
        <w:rPr>
          <w:rFonts w:ascii="Times New Roman" w:hAnsi="Times New Roman" w:cs="Times New Roman"/>
        </w:rPr>
        <w:t xml:space="preserve"> </w:t>
      </w:r>
    </w:p>
    <w:p w14:paraId="05A2D880" w14:textId="0C64495A" w:rsidR="00F9542C" w:rsidRPr="00F4317D" w:rsidRDefault="00F9542C" w:rsidP="00F9542C">
      <w:pPr>
        <w:jc w:val="center"/>
        <w:rPr>
          <w:rFonts w:ascii="Times New Roman" w:hAnsi="Times New Roman" w:cs="Times New Roman"/>
        </w:rPr>
      </w:pPr>
      <w:r>
        <w:rPr>
          <w:noProof/>
        </w:rPr>
        <w:drawing>
          <wp:inline distT="0" distB="0" distL="0" distR="0" wp14:anchorId="51CA184D" wp14:editId="70D3A66D">
            <wp:extent cx="4042410" cy="2609850"/>
            <wp:effectExtent l="19050" t="19050" r="15240" b="19050"/>
            <wp:docPr id="1245574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42410" cy="2609850"/>
                    </a:xfrm>
                    <a:prstGeom prst="rect">
                      <a:avLst/>
                    </a:prstGeom>
                    <a:noFill/>
                    <a:ln>
                      <a:solidFill>
                        <a:schemeClr val="accent1"/>
                      </a:solidFill>
                    </a:ln>
                  </pic:spPr>
                </pic:pic>
              </a:graphicData>
            </a:graphic>
          </wp:inline>
        </w:drawing>
      </w:r>
    </w:p>
    <w:p w14:paraId="1508D4BE" w14:textId="0BA859ED"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 xml:space="preserve">4.2 Karnataka — </w:t>
      </w:r>
      <w:r w:rsidR="00F9542C">
        <w:rPr>
          <w:rFonts w:ascii="Times New Roman" w:hAnsi="Times New Roman" w:cs="Times New Roman"/>
          <w:b/>
          <w:bCs/>
        </w:rPr>
        <w:t>F</w:t>
      </w:r>
      <w:r w:rsidRPr="00F4317D">
        <w:rPr>
          <w:rFonts w:ascii="Times New Roman" w:hAnsi="Times New Roman" w:cs="Times New Roman"/>
          <w:b/>
          <w:bCs/>
        </w:rPr>
        <w:t>allow land and cropping context</w:t>
      </w:r>
    </w:p>
    <w:p w14:paraId="0ED62C15" w14:textId="77777777" w:rsidR="00F4317D" w:rsidRPr="00F4317D" w:rsidRDefault="00F4317D" w:rsidP="000838B5">
      <w:pPr>
        <w:ind w:firstLine="720"/>
        <w:jc w:val="both"/>
        <w:rPr>
          <w:rFonts w:ascii="Times New Roman" w:hAnsi="Times New Roman" w:cs="Times New Roman"/>
        </w:rPr>
      </w:pPr>
      <w:r w:rsidRPr="00F4317D">
        <w:rPr>
          <w:rFonts w:ascii="Times New Roman" w:hAnsi="Times New Roman" w:cs="Times New Roman"/>
        </w:rPr>
        <w:t xml:space="preserve">Karnataka’s reporting area (geographical area ~19.05 million ha) and agricultural statistics show a </w:t>
      </w:r>
      <w:r w:rsidRPr="00F4317D">
        <w:rPr>
          <w:rFonts w:ascii="Times New Roman" w:hAnsi="Times New Roman" w:cs="Times New Roman"/>
          <w:b/>
          <w:bCs/>
        </w:rPr>
        <w:t>net sown area of roughly 11.1 million ha (111.6 lakh ha)</w:t>
      </w:r>
      <w:r w:rsidRPr="00F4317D">
        <w:rPr>
          <w:rFonts w:ascii="Times New Roman" w:hAnsi="Times New Roman" w:cs="Times New Roman"/>
        </w:rPr>
        <w:t xml:space="preserve"> in the period 2021–22 / 2022–23, and </w:t>
      </w:r>
      <w:r w:rsidRPr="00F4317D">
        <w:rPr>
          <w:rFonts w:ascii="Times New Roman" w:hAnsi="Times New Roman" w:cs="Times New Roman"/>
          <w:b/>
          <w:bCs/>
        </w:rPr>
        <w:t>total fallow land reported around 1,065 thousand ha in 2022</w:t>
      </w:r>
      <w:r w:rsidRPr="00F4317D">
        <w:rPr>
          <w:rFonts w:ascii="Times New Roman" w:hAnsi="Times New Roman" w:cs="Times New Roman"/>
        </w:rPr>
        <w:t xml:space="preserve"> (CEIC summary of state DES), with the majority of fallow pockets concentrated in semi-arid interior districts (northern and central Karnataka). (</w:t>
      </w:r>
      <w:hyperlink r:id="rId8" w:tooltip="Agricultural Land: Karnataka: Type of Use: Fallow Land: Total" w:history="1">
        <w:r w:rsidRPr="00F4317D">
          <w:rPr>
            <w:rStyle w:val="Hyperlink"/>
            <w:rFonts w:ascii="Times New Roman" w:hAnsi="Times New Roman" w:cs="Times New Roman"/>
          </w:rPr>
          <w:t>CEIC Data</w:t>
        </w:r>
      </w:hyperlink>
      <w:r w:rsidRPr="00F4317D">
        <w:rPr>
          <w:rFonts w:ascii="Times New Roman" w:hAnsi="Times New Roman" w:cs="Times New Roman"/>
        </w:rPr>
        <w:t>)</w:t>
      </w:r>
    </w:p>
    <w:p w14:paraId="4965D7CD" w14:textId="77777777" w:rsidR="00F4317D" w:rsidRPr="00F4317D" w:rsidRDefault="00F4317D" w:rsidP="00F4317D">
      <w:pPr>
        <w:jc w:val="both"/>
        <w:rPr>
          <w:rFonts w:ascii="Times New Roman" w:hAnsi="Times New Roman" w:cs="Times New Roman"/>
        </w:rPr>
      </w:pPr>
      <w:r w:rsidRPr="00F4317D">
        <w:rPr>
          <w:rFonts w:ascii="Times New Roman" w:hAnsi="Times New Roman" w:cs="Times New Roman"/>
          <w:b/>
          <w:bCs/>
        </w:rPr>
        <w:t>Table 2. Karnataka selected land-use indicators (2022, thousand hectares)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1"/>
        <w:gridCol w:w="1748"/>
        <w:gridCol w:w="4781"/>
      </w:tblGrid>
      <w:tr w:rsidR="00F4317D" w:rsidRPr="00F4317D" w14:paraId="2CB37007" w14:textId="77777777" w:rsidTr="00F4317D">
        <w:trPr>
          <w:tblHeader/>
          <w:tblCellSpacing w:w="15" w:type="dxa"/>
          <w:jc w:val="center"/>
        </w:trPr>
        <w:tc>
          <w:tcPr>
            <w:tcW w:w="0" w:type="auto"/>
            <w:vAlign w:val="center"/>
            <w:hideMark/>
          </w:tcPr>
          <w:p w14:paraId="6314B9D3" w14:textId="77777777" w:rsidR="00F4317D" w:rsidRPr="00F4317D" w:rsidRDefault="00F4317D" w:rsidP="00F4317D">
            <w:pPr>
              <w:jc w:val="center"/>
              <w:rPr>
                <w:rFonts w:ascii="Times New Roman" w:hAnsi="Times New Roman" w:cs="Times New Roman"/>
                <w:b/>
                <w:bCs/>
                <w:sz w:val="20"/>
                <w:szCs w:val="20"/>
              </w:rPr>
            </w:pPr>
            <w:r w:rsidRPr="00F4317D">
              <w:rPr>
                <w:rFonts w:ascii="Times New Roman" w:hAnsi="Times New Roman" w:cs="Times New Roman"/>
                <w:b/>
                <w:bCs/>
                <w:sz w:val="20"/>
                <w:szCs w:val="20"/>
              </w:rPr>
              <w:t>Indicator</w:t>
            </w:r>
          </w:p>
        </w:tc>
        <w:tc>
          <w:tcPr>
            <w:tcW w:w="0" w:type="auto"/>
            <w:vAlign w:val="center"/>
            <w:hideMark/>
          </w:tcPr>
          <w:p w14:paraId="2D29B223" w14:textId="77777777" w:rsidR="00F4317D" w:rsidRPr="00F4317D" w:rsidRDefault="00F4317D" w:rsidP="00F4317D">
            <w:pPr>
              <w:jc w:val="center"/>
              <w:rPr>
                <w:rFonts w:ascii="Times New Roman" w:hAnsi="Times New Roman" w:cs="Times New Roman"/>
                <w:b/>
                <w:bCs/>
                <w:sz w:val="20"/>
                <w:szCs w:val="20"/>
              </w:rPr>
            </w:pPr>
            <w:r w:rsidRPr="00F4317D">
              <w:rPr>
                <w:rFonts w:ascii="Times New Roman" w:hAnsi="Times New Roman" w:cs="Times New Roman"/>
                <w:b/>
                <w:bCs/>
                <w:sz w:val="20"/>
                <w:szCs w:val="20"/>
              </w:rPr>
              <w:t>2022 (thousand ha)</w:t>
            </w:r>
          </w:p>
        </w:tc>
        <w:tc>
          <w:tcPr>
            <w:tcW w:w="0" w:type="auto"/>
            <w:vAlign w:val="center"/>
            <w:hideMark/>
          </w:tcPr>
          <w:p w14:paraId="33A3C46E" w14:textId="77777777" w:rsidR="00F4317D" w:rsidRPr="00F4317D" w:rsidRDefault="00F4317D" w:rsidP="00F4317D">
            <w:pPr>
              <w:jc w:val="center"/>
              <w:rPr>
                <w:rFonts w:ascii="Times New Roman" w:hAnsi="Times New Roman" w:cs="Times New Roman"/>
                <w:b/>
                <w:bCs/>
                <w:sz w:val="20"/>
                <w:szCs w:val="20"/>
              </w:rPr>
            </w:pPr>
            <w:r w:rsidRPr="00F4317D">
              <w:rPr>
                <w:rFonts w:ascii="Times New Roman" w:hAnsi="Times New Roman" w:cs="Times New Roman"/>
                <w:b/>
                <w:bCs/>
                <w:sz w:val="20"/>
                <w:szCs w:val="20"/>
              </w:rPr>
              <w:t>Note / Source</w:t>
            </w:r>
          </w:p>
        </w:tc>
      </w:tr>
      <w:tr w:rsidR="00F4317D" w:rsidRPr="00F4317D" w14:paraId="4B5AC2FF" w14:textId="77777777" w:rsidTr="00F4317D">
        <w:trPr>
          <w:tblCellSpacing w:w="15" w:type="dxa"/>
          <w:jc w:val="center"/>
        </w:trPr>
        <w:tc>
          <w:tcPr>
            <w:tcW w:w="0" w:type="auto"/>
            <w:vAlign w:val="center"/>
            <w:hideMark/>
          </w:tcPr>
          <w:p w14:paraId="7ADD7BA1"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Net area sown (approx.)</w:t>
            </w:r>
          </w:p>
        </w:tc>
        <w:tc>
          <w:tcPr>
            <w:tcW w:w="0" w:type="auto"/>
            <w:vAlign w:val="center"/>
            <w:hideMark/>
          </w:tcPr>
          <w:p w14:paraId="1DDCCD72" w14:textId="77777777" w:rsidR="00F4317D" w:rsidRPr="00F4317D" w:rsidRDefault="00F4317D" w:rsidP="00F4317D">
            <w:pPr>
              <w:jc w:val="center"/>
              <w:rPr>
                <w:rFonts w:ascii="Times New Roman" w:hAnsi="Times New Roman" w:cs="Times New Roman"/>
                <w:sz w:val="20"/>
                <w:szCs w:val="20"/>
              </w:rPr>
            </w:pPr>
            <w:r w:rsidRPr="00F4317D">
              <w:rPr>
                <w:rFonts w:ascii="Times New Roman" w:hAnsi="Times New Roman" w:cs="Times New Roman"/>
                <w:sz w:val="20"/>
                <w:szCs w:val="20"/>
              </w:rPr>
              <w:t>11,166 (111.66 lakh ha)</w:t>
            </w:r>
          </w:p>
        </w:tc>
        <w:tc>
          <w:tcPr>
            <w:tcW w:w="0" w:type="auto"/>
            <w:vAlign w:val="center"/>
            <w:hideMark/>
          </w:tcPr>
          <w:p w14:paraId="3AC24EEE"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Karnataka State statistics / NABARD reporting. (</w:t>
            </w:r>
            <w:hyperlink r:id="rId9" w:tooltip="Karnataka State" w:history="1">
              <w:r w:rsidRPr="00F4317D">
                <w:rPr>
                  <w:rStyle w:val="Hyperlink"/>
                  <w:rFonts w:ascii="Times New Roman" w:hAnsi="Times New Roman" w:cs="Times New Roman"/>
                  <w:sz w:val="20"/>
                  <w:szCs w:val="20"/>
                </w:rPr>
                <w:t>NABARD</w:t>
              </w:r>
            </w:hyperlink>
            <w:r w:rsidRPr="00F4317D">
              <w:rPr>
                <w:rFonts w:ascii="Times New Roman" w:hAnsi="Times New Roman" w:cs="Times New Roman"/>
                <w:sz w:val="20"/>
                <w:szCs w:val="20"/>
              </w:rPr>
              <w:t>)</w:t>
            </w:r>
          </w:p>
        </w:tc>
      </w:tr>
      <w:tr w:rsidR="00F4317D" w:rsidRPr="00F4317D" w14:paraId="4E159E9F" w14:textId="77777777" w:rsidTr="00F4317D">
        <w:trPr>
          <w:tblCellSpacing w:w="15" w:type="dxa"/>
          <w:jc w:val="center"/>
        </w:trPr>
        <w:tc>
          <w:tcPr>
            <w:tcW w:w="0" w:type="auto"/>
            <w:vAlign w:val="center"/>
            <w:hideMark/>
          </w:tcPr>
          <w:p w14:paraId="73F795DD"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lastRenderedPageBreak/>
              <w:t>Fallow land — other than current fallows</w:t>
            </w:r>
          </w:p>
        </w:tc>
        <w:tc>
          <w:tcPr>
            <w:tcW w:w="0" w:type="auto"/>
            <w:vAlign w:val="center"/>
            <w:hideMark/>
          </w:tcPr>
          <w:p w14:paraId="7C3D2855" w14:textId="77777777" w:rsidR="00F4317D" w:rsidRPr="00F4317D" w:rsidRDefault="00F4317D" w:rsidP="00F4317D">
            <w:pPr>
              <w:jc w:val="center"/>
              <w:rPr>
                <w:rFonts w:ascii="Times New Roman" w:hAnsi="Times New Roman" w:cs="Times New Roman"/>
                <w:sz w:val="20"/>
                <w:szCs w:val="20"/>
              </w:rPr>
            </w:pPr>
            <w:r w:rsidRPr="00F4317D">
              <w:rPr>
                <w:rFonts w:ascii="Times New Roman" w:hAnsi="Times New Roman" w:cs="Times New Roman"/>
                <w:sz w:val="20"/>
                <w:szCs w:val="20"/>
              </w:rPr>
              <w:t>386</w:t>
            </w:r>
          </w:p>
        </w:tc>
        <w:tc>
          <w:tcPr>
            <w:tcW w:w="0" w:type="auto"/>
            <w:vAlign w:val="center"/>
            <w:hideMark/>
          </w:tcPr>
          <w:p w14:paraId="51413831"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CEIC / DES Karnataka series (2022). (</w:t>
            </w:r>
            <w:hyperlink r:id="rId10" w:tooltip="Agricultural Land: Karnataka: Type of Use: Fallow Land" w:history="1">
              <w:r w:rsidRPr="00F4317D">
                <w:rPr>
                  <w:rStyle w:val="Hyperlink"/>
                  <w:rFonts w:ascii="Times New Roman" w:hAnsi="Times New Roman" w:cs="Times New Roman"/>
                  <w:sz w:val="20"/>
                  <w:szCs w:val="20"/>
                </w:rPr>
                <w:t>CEIC Data</w:t>
              </w:r>
            </w:hyperlink>
            <w:r w:rsidRPr="00F4317D">
              <w:rPr>
                <w:rFonts w:ascii="Times New Roman" w:hAnsi="Times New Roman" w:cs="Times New Roman"/>
                <w:sz w:val="20"/>
                <w:szCs w:val="20"/>
              </w:rPr>
              <w:t>)</w:t>
            </w:r>
          </w:p>
        </w:tc>
      </w:tr>
      <w:tr w:rsidR="00F4317D" w:rsidRPr="00F4317D" w14:paraId="30B638E9" w14:textId="77777777" w:rsidTr="00F4317D">
        <w:trPr>
          <w:tblCellSpacing w:w="15" w:type="dxa"/>
          <w:jc w:val="center"/>
        </w:trPr>
        <w:tc>
          <w:tcPr>
            <w:tcW w:w="0" w:type="auto"/>
            <w:vAlign w:val="center"/>
            <w:hideMark/>
          </w:tcPr>
          <w:p w14:paraId="2E73060A"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Current fallows (implicit from totals)</w:t>
            </w:r>
          </w:p>
        </w:tc>
        <w:tc>
          <w:tcPr>
            <w:tcW w:w="0" w:type="auto"/>
            <w:vAlign w:val="center"/>
            <w:hideMark/>
          </w:tcPr>
          <w:p w14:paraId="0DBB8407" w14:textId="77777777" w:rsidR="00F4317D" w:rsidRPr="00F4317D" w:rsidRDefault="00F4317D" w:rsidP="00F4317D">
            <w:pPr>
              <w:jc w:val="center"/>
              <w:rPr>
                <w:rFonts w:ascii="Times New Roman" w:hAnsi="Times New Roman" w:cs="Times New Roman"/>
                <w:sz w:val="20"/>
                <w:szCs w:val="20"/>
              </w:rPr>
            </w:pPr>
            <w:r w:rsidRPr="00F4317D">
              <w:rPr>
                <w:rFonts w:ascii="Times New Roman" w:hAnsi="Times New Roman" w:cs="Times New Roman"/>
                <w:sz w:val="20"/>
                <w:szCs w:val="20"/>
              </w:rPr>
              <w:t>~679 (computed)</w:t>
            </w:r>
          </w:p>
        </w:tc>
        <w:tc>
          <w:tcPr>
            <w:tcW w:w="0" w:type="auto"/>
            <w:vAlign w:val="center"/>
            <w:hideMark/>
          </w:tcPr>
          <w:p w14:paraId="6DC4C493"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 xml:space="preserve">CEIC total fallow 1,065 – </w:t>
            </w:r>
            <w:proofErr w:type="gramStart"/>
            <w:r w:rsidRPr="00F4317D">
              <w:rPr>
                <w:rFonts w:ascii="Times New Roman" w:hAnsi="Times New Roman" w:cs="Times New Roman"/>
                <w:sz w:val="20"/>
                <w:szCs w:val="20"/>
              </w:rPr>
              <w:t>other</w:t>
            </w:r>
            <w:proofErr w:type="gramEnd"/>
            <w:r w:rsidRPr="00F4317D">
              <w:rPr>
                <w:rFonts w:ascii="Times New Roman" w:hAnsi="Times New Roman" w:cs="Times New Roman"/>
                <w:sz w:val="20"/>
                <w:szCs w:val="20"/>
              </w:rPr>
              <w:t xml:space="preserve"> fallow 386 = 679 (</w:t>
            </w:r>
            <w:proofErr w:type="spellStart"/>
            <w:r w:rsidRPr="00F4317D">
              <w:rPr>
                <w:rFonts w:ascii="Times New Roman" w:hAnsi="Times New Roman" w:cs="Times New Roman"/>
                <w:sz w:val="20"/>
                <w:szCs w:val="20"/>
              </w:rPr>
              <w:t>approx</w:t>
            </w:r>
            <w:proofErr w:type="spellEnd"/>
            <w:r w:rsidRPr="00F4317D">
              <w:rPr>
                <w:rFonts w:ascii="Times New Roman" w:hAnsi="Times New Roman" w:cs="Times New Roman"/>
                <w:sz w:val="20"/>
                <w:szCs w:val="20"/>
              </w:rPr>
              <w:t>). (</w:t>
            </w:r>
            <w:hyperlink r:id="rId11" w:tooltip="Agricultural Land: Karnataka: Type of Use: Fallow Land: Total" w:history="1">
              <w:r w:rsidRPr="00F4317D">
                <w:rPr>
                  <w:rStyle w:val="Hyperlink"/>
                  <w:rFonts w:ascii="Times New Roman" w:hAnsi="Times New Roman" w:cs="Times New Roman"/>
                  <w:sz w:val="20"/>
                  <w:szCs w:val="20"/>
                </w:rPr>
                <w:t>CEIC Data</w:t>
              </w:r>
            </w:hyperlink>
            <w:r w:rsidRPr="00F4317D">
              <w:rPr>
                <w:rFonts w:ascii="Times New Roman" w:hAnsi="Times New Roman" w:cs="Times New Roman"/>
                <w:sz w:val="20"/>
                <w:szCs w:val="20"/>
              </w:rPr>
              <w:t>)</w:t>
            </w:r>
          </w:p>
        </w:tc>
      </w:tr>
      <w:tr w:rsidR="00F4317D" w:rsidRPr="00F4317D" w14:paraId="14A45C2A" w14:textId="77777777" w:rsidTr="00F4317D">
        <w:trPr>
          <w:tblCellSpacing w:w="15" w:type="dxa"/>
          <w:jc w:val="center"/>
        </w:trPr>
        <w:tc>
          <w:tcPr>
            <w:tcW w:w="0" w:type="auto"/>
            <w:vAlign w:val="center"/>
            <w:hideMark/>
          </w:tcPr>
          <w:p w14:paraId="59B1FFB6"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b/>
                <w:bCs/>
                <w:sz w:val="20"/>
                <w:szCs w:val="20"/>
              </w:rPr>
              <w:t>Total fallow (sum)</w:t>
            </w:r>
          </w:p>
        </w:tc>
        <w:tc>
          <w:tcPr>
            <w:tcW w:w="0" w:type="auto"/>
            <w:vAlign w:val="center"/>
            <w:hideMark/>
          </w:tcPr>
          <w:p w14:paraId="1CABC462" w14:textId="77777777" w:rsidR="00F4317D" w:rsidRPr="00F4317D" w:rsidRDefault="00F4317D" w:rsidP="00F4317D">
            <w:pPr>
              <w:jc w:val="center"/>
              <w:rPr>
                <w:rFonts w:ascii="Times New Roman" w:hAnsi="Times New Roman" w:cs="Times New Roman"/>
                <w:sz w:val="20"/>
                <w:szCs w:val="20"/>
              </w:rPr>
            </w:pPr>
            <w:r w:rsidRPr="00F4317D">
              <w:rPr>
                <w:rFonts w:ascii="Times New Roman" w:hAnsi="Times New Roman" w:cs="Times New Roman"/>
                <w:b/>
                <w:bCs/>
                <w:sz w:val="20"/>
                <w:szCs w:val="20"/>
              </w:rPr>
              <w:t>1,065</w:t>
            </w:r>
          </w:p>
        </w:tc>
        <w:tc>
          <w:tcPr>
            <w:tcW w:w="0" w:type="auto"/>
            <w:vAlign w:val="center"/>
            <w:hideMark/>
          </w:tcPr>
          <w:p w14:paraId="0499A039"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CEIC / DES (Karnataka 2022). (</w:t>
            </w:r>
            <w:hyperlink r:id="rId12" w:tooltip="Agricultural Land: Karnataka: Type of Use: Fallow Land: Total" w:history="1">
              <w:r w:rsidRPr="00F4317D">
                <w:rPr>
                  <w:rStyle w:val="Hyperlink"/>
                  <w:rFonts w:ascii="Times New Roman" w:hAnsi="Times New Roman" w:cs="Times New Roman"/>
                  <w:sz w:val="20"/>
                  <w:szCs w:val="20"/>
                </w:rPr>
                <w:t>CEIC Data</w:t>
              </w:r>
            </w:hyperlink>
            <w:r w:rsidRPr="00F4317D">
              <w:rPr>
                <w:rFonts w:ascii="Times New Roman" w:hAnsi="Times New Roman" w:cs="Times New Roman"/>
                <w:sz w:val="20"/>
                <w:szCs w:val="20"/>
              </w:rPr>
              <w:t>)</w:t>
            </w:r>
          </w:p>
        </w:tc>
      </w:tr>
    </w:tbl>
    <w:p w14:paraId="0070663E" w14:textId="1AAC6F05" w:rsidR="00F4317D" w:rsidRDefault="00F4317D" w:rsidP="00F4317D">
      <w:pPr>
        <w:jc w:val="both"/>
        <w:rPr>
          <w:rFonts w:ascii="Times New Roman" w:hAnsi="Times New Roman" w:cs="Times New Roman"/>
        </w:rPr>
      </w:pPr>
      <w:r w:rsidRPr="00F4317D">
        <w:rPr>
          <w:rFonts w:ascii="Times New Roman" w:hAnsi="Times New Roman" w:cs="Times New Roman"/>
        </w:rPr>
        <w:t>Note: Sources report state values in thousand hectares (ha). The CEIC tables compile Directorate of Economics &amp; Statistics (DES) Karnataka figures as used in national LUS reporting.</w:t>
      </w:r>
    </w:p>
    <w:p w14:paraId="483326CB" w14:textId="09D08F62" w:rsidR="00F9542C" w:rsidRDefault="00F9542C" w:rsidP="00F9542C">
      <w:pPr>
        <w:jc w:val="center"/>
        <w:rPr>
          <w:rFonts w:ascii="Times New Roman" w:hAnsi="Times New Roman" w:cs="Times New Roman"/>
        </w:rPr>
      </w:pPr>
      <w:r>
        <w:rPr>
          <w:noProof/>
        </w:rPr>
        <w:drawing>
          <wp:inline distT="0" distB="0" distL="0" distR="0" wp14:anchorId="428D1BDF" wp14:editId="7EAA92EE">
            <wp:extent cx="4320540" cy="2400300"/>
            <wp:effectExtent l="19050" t="19050" r="22860" b="19050"/>
            <wp:docPr id="18095614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20540" cy="2400300"/>
                    </a:xfrm>
                    <a:prstGeom prst="rect">
                      <a:avLst/>
                    </a:prstGeom>
                    <a:noFill/>
                    <a:ln>
                      <a:solidFill>
                        <a:schemeClr val="accent1"/>
                      </a:solidFill>
                    </a:ln>
                  </pic:spPr>
                </pic:pic>
              </a:graphicData>
            </a:graphic>
          </wp:inline>
        </w:drawing>
      </w:r>
    </w:p>
    <w:p w14:paraId="730F07BA"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4.3 Migration and labour indicators</w:t>
      </w:r>
    </w:p>
    <w:p w14:paraId="22A8550C" w14:textId="77777777" w:rsidR="00F4317D" w:rsidRPr="00F4317D" w:rsidRDefault="00F4317D" w:rsidP="000838B5">
      <w:pPr>
        <w:ind w:firstLine="360"/>
        <w:jc w:val="both"/>
        <w:rPr>
          <w:rFonts w:ascii="Times New Roman" w:hAnsi="Times New Roman" w:cs="Times New Roman"/>
        </w:rPr>
      </w:pPr>
      <w:r w:rsidRPr="00F4317D">
        <w:rPr>
          <w:rFonts w:ascii="Times New Roman" w:hAnsi="Times New Roman" w:cs="Times New Roman"/>
        </w:rPr>
        <w:t>PLFS (2022–23) indicates shifts in labour force participation and a continued importance of agricultural work for a sizable share of the rural workforce. Migration (seasonal/temporary) remains significant as households pursue off-farm and urban work during agricultural slack months or in response to poor returns. Recent systematic reviews and regional studies identify the following recurring drivers of migration:</w:t>
      </w:r>
    </w:p>
    <w:p w14:paraId="2ED370B9" w14:textId="77049A5D" w:rsidR="00F4317D" w:rsidRPr="00F4317D" w:rsidRDefault="00F4317D" w:rsidP="00F4317D">
      <w:pPr>
        <w:numPr>
          <w:ilvl w:val="0"/>
          <w:numId w:val="3"/>
        </w:numPr>
        <w:jc w:val="both"/>
        <w:rPr>
          <w:rFonts w:ascii="Times New Roman" w:hAnsi="Times New Roman" w:cs="Times New Roman"/>
        </w:rPr>
      </w:pPr>
      <w:r w:rsidRPr="00F4317D">
        <w:rPr>
          <w:rFonts w:ascii="Times New Roman" w:hAnsi="Times New Roman" w:cs="Times New Roman"/>
        </w:rPr>
        <w:t>Rainfall variability and crop failure in semi-arid districts.</w:t>
      </w:r>
    </w:p>
    <w:p w14:paraId="00982800" w14:textId="4D11B3AC" w:rsidR="00F4317D" w:rsidRPr="00F4317D" w:rsidRDefault="00F4317D" w:rsidP="00F4317D">
      <w:pPr>
        <w:numPr>
          <w:ilvl w:val="0"/>
          <w:numId w:val="3"/>
        </w:numPr>
        <w:jc w:val="both"/>
        <w:rPr>
          <w:rFonts w:ascii="Times New Roman" w:hAnsi="Times New Roman" w:cs="Times New Roman"/>
        </w:rPr>
      </w:pPr>
      <w:r w:rsidRPr="00F4317D">
        <w:rPr>
          <w:rFonts w:ascii="Times New Roman" w:hAnsi="Times New Roman" w:cs="Times New Roman"/>
        </w:rPr>
        <w:t>Low on-farm incomes and fragmentation of holdings.</w:t>
      </w:r>
    </w:p>
    <w:p w14:paraId="684343B7" w14:textId="3452F4F4" w:rsidR="00F4317D" w:rsidRPr="00F4317D" w:rsidRDefault="00F4317D" w:rsidP="00F4317D">
      <w:pPr>
        <w:numPr>
          <w:ilvl w:val="0"/>
          <w:numId w:val="3"/>
        </w:numPr>
        <w:jc w:val="both"/>
        <w:rPr>
          <w:rFonts w:ascii="Times New Roman" w:hAnsi="Times New Roman" w:cs="Times New Roman"/>
        </w:rPr>
      </w:pPr>
      <w:r w:rsidRPr="00F4317D">
        <w:rPr>
          <w:rFonts w:ascii="Times New Roman" w:hAnsi="Times New Roman" w:cs="Times New Roman"/>
        </w:rPr>
        <w:t xml:space="preserve">Pull factors in urban </w:t>
      </w:r>
      <w:proofErr w:type="spellStart"/>
      <w:r w:rsidRPr="00F4317D">
        <w:rPr>
          <w:rFonts w:ascii="Times New Roman" w:hAnsi="Times New Roman" w:cs="Times New Roman"/>
        </w:rPr>
        <w:t>centres</w:t>
      </w:r>
      <w:proofErr w:type="spellEnd"/>
      <w:r w:rsidRPr="00F4317D">
        <w:rPr>
          <w:rFonts w:ascii="Times New Roman" w:hAnsi="Times New Roman" w:cs="Times New Roman"/>
        </w:rPr>
        <w:t xml:space="preserve"> (construction, services, factories) and </w:t>
      </w:r>
      <w:proofErr w:type="spellStart"/>
      <w:r w:rsidRPr="00F4317D">
        <w:rPr>
          <w:rFonts w:ascii="Times New Roman" w:hAnsi="Times New Roman" w:cs="Times New Roman"/>
        </w:rPr>
        <w:t>neighbouring</w:t>
      </w:r>
      <w:proofErr w:type="spellEnd"/>
      <w:r w:rsidRPr="00F4317D">
        <w:rPr>
          <w:rFonts w:ascii="Times New Roman" w:hAnsi="Times New Roman" w:cs="Times New Roman"/>
        </w:rPr>
        <w:t xml:space="preserve"> states. District studies in Karnataka (e.g., Bidar) document patterns of labour outflow during off seasons and during years of crop stress.</w:t>
      </w:r>
    </w:p>
    <w:p w14:paraId="7789BAC4" w14:textId="77777777" w:rsidR="00F4317D" w:rsidRPr="00F4317D" w:rsidRDefault="00F4317D" w:rsidP="00F4317D">
      <w:pPr>
        <w:jc w:val="both"/>
        <w:rPr>
          <w:rFonts w:ascii="Times New Roman" w:hAnsi="Times New Roman" w:cs="Times New Roman"/>
        </w:rPr>
      </w:pPr>
      <w:r w:rsidRPr="00F4317D">
        <w:rPr>
          <w:rFonts w:ascii="Times New Roman" w:hAnsi="Times New Roman" w:cs="Times New Roman"/>
          <w:b/>
          <w:bCs/>
        </w:rPr>
        <w:t>Table 3. Selected labour &amp; migration indicators (national /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2"/>
        <w:gridCol w:w="4365"/>
        <w:gridCol w:w="2553"/>
      </w:tblGrid>
      <w:tr w:rsidR="00F4317D" w:rsidRPr="00F4317D" w14:paraId="3EC32B8E" w14:textId="77777777" w:rsidTr="00F4317D">
        <w:trPr>
          <w:tblHeader/>
          <w:tblCellSpacing w:w="15" w:type="dxa"/>
        </w:trPr>
        <w:tc>
          <w:tcPr>
            <w:tcW w:w="0" w:type="auto"/>
            <w:vAlign w:val="center"/>
            <w:hideMark/>
          </w:tcPr>
          <w:p w14:paraId="79CEDD19" w14:textId="77777777" w:rsidR="00F4317D" w:rsidRPr="00F4317D" w:rsidRDefault="00F4317D" w:rsidP="00F4317D">
            <w:pPr>
              <w:jc w:val="both"/>
              <w:rPr>
                <w:rFonts w:ascii="Times New Roman" w:hAnsi="Times New Roman" w:cs="Times New Roman"/>
                <w:b/>
                <w:bCs/>
                <w:sz w:val="20"/>
                <w:szCs w:val="20"/>
              </w:rPr>
            </w:pPr>
            <w:r w:rsidRPr="00F4317D">
              <w:rPr>
                <w:rFonts w:ascii="Times New Roman" w:hAnsi="Times New Roman" w:cs="Times New Roman"/>
                <w:b/>
                <w:bCs/>
                <w:sz w:val="20"/>
                <w:szCs w:val="20"/>
              </w:rPr>
              <w:lastRenderedPageBreak/>
              <w:t>Indicator</w:t>
            </w:r>
          </w:p>
        </w:tc>
        <w:tc>
          <w:tcPr>
            <w:tcW w:w="0" w:type="auto"/>
            <w:vAlign w:val="center"/>
            <w:hideMark/>
          </w:tcPr>
          <w:p w14:paraId="1004F781" w14:textId="77777777" w:rsidR="00F4317D" w:rsidRPr="00F4317D" w:rsidRDefault="00F4317D" w:rsidP="00F4317D">
            <w:pPr>
              <w:jc w:val="both"/>
              <w:rPr>
                <w:rFonts w:ascii="Times New Roman" w:hAnsi="Times New Roman" w:cs="Times New Roman"/>
                <w:b/>
                <w:bCs/>
                <w:sz w:val="20"/>
                <w:szCs w:val="20"/>
              </w:rPr>
            </w:pPr>
            <w:r w:rsidRPr="00F4317D">
              <w:rPr>
                <w:rFonts w:ascii="Times New Roman" w:hAnsi="Times New Roman" w:cs="Times New Roman"/>
                <w:b/>
                <w:bCs/>
                <w:sz w:val="20"/>
                <w:szCs w:val="20"/>
              </w:rPr>
              <w:t>Value / Trend</w:t>
            </w:r>
          </w:p>
        </w:tc>
        <w:tc>
          <w:tcPr>
            <w:tcW w:w="0" w:type="auto"/>
            <w:vAlign w:val="center"/>
            <w:hideMark/>
          </w:tcPr>
          <w:p w14:paraId="2997C73D" w14:textId="77777777" w:rsidR="00F4317D" w:rsidRPr="00F4317D" w:rsidRDefault="00F4317D" w:rsidP="00F4317D">
            <w:pPr>
              <w:jc w:val="both"/>
              <w:rPr>
                <w:rFonts w:ascii="Times New Roman" w:hAnsi="Times New Roman" w:cs="Times New Roman"/>
                <w:b/>
                <w:bCs/>
                <w:sz w:val="20"/>
                <w:szCs w:val="20"/>
              </w:rPr>
            </w:pPr>
            <w:r w:rsidRPr="00F4317D">
              <w:rPr>
                <w:rFonts w:ascii="Times New Roman" w:hAnsi="Times New Roman" w:cs="Times New Roman"/>
                <w:b/>
                <w:bCs/>
                <w:sz w:val="20"/>
                <w:szCs w:val="20"/>
              </w:rPr>
              <w:t>Source</w:t>
            </w:r>
          </w:p>
        </w:tc>
      </w:tr>
      <w:tr w:rsidR="00F4317D" w:rsidRPr="00F4317D" w14:paraId="633747C1" w14:textId="77777777" w:rsidTr="00F4317D">
        <w:trPr>
          <w:tblCellSpacing w:w="15" w:type="dxa"/>
        </w:trPr>
        <w:tc>
          <w:tcPr>
            <w:tcW w:w="0" w:type="auto"/>
            <w:vAlign w:val="center"/>
            <w:hideMark/>
          </w:tcPr>
          <w:p w14:paraId="606AA97F"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LFPR (rural) change (2017–18 → 2022–23)</w:t>
            </w:r>
          </w:p>
        </w:tc>
        <w:tc>
          <w:tcPr>
            <w:tcW w:w="0" w:type="auto"/>
            <w:vAlign w:val="center"/>
            <w:hideMark/>
          </w:tcPr>
          <w:p w14:paraId="76F54ED7"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48.9% → 56.7% (increase)</w:t>
            </w:r>
          </w:p>
        </w:tc>
        <w:tc>
          <w:tcPr>
            <w:tcW w:w="0" w:type="auto"/>
            <w:vAlign w:val="center"/>
            <w:hideMark/>
          </w:tcPr>
          <w:p w14:paraId="3BDE88EA"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PLFS 2022–23 (annual report). (</w:t>
            </w:r>
            <w:proofErr w:type="spellStart"/>
            <w:r>
              <w:fldChar w:fldCharType="begin"/>
            </w:r>
            <w:r>
              <w:instrText>HYPERLINK "https://www.mospi.gov.in/publication/annual-report-periodic-labour-force-survey-plfs-july-2022-june-2023?utm_source=chatgpt.com" \o "Annual Report Periodic Labour Force Survey (PLFS) JULY ..."</w:instrText>
            </w:r>
            <w:r>
              <w:fldChar w:fldCharType="separate"/>
            </w:r>
            <w:r w:rsidRPr="00F4317D">
              <w:rPr>
                <w:rStyle w:val="Hyperlink"/>
                <w:rFonts w:ascii="Times New Roman" w:hAnsi="Times New Roman" w:cs="Times New Roman"/>
                <w:sz w:val="20"/>
                <w:szCs w:val="20"/>
              </w:rPr>
              <w:t>MoSPI</w:t>
            </w:r>
            <w:proofErr w:type="spellEnd"/>
            <w:r>
              <w:fldChar w:fldCharType="end"/>
            </w:r>
            <w:r w:rsidRPr="00F4317D">
              <w:rPr>
                <w:rFonts w:ascii="Times New Roman" w:hAnsi="Times New Roman" w:cs="Times New Roman"/>
                <w:sz w:val="20"/>
                <w:szCs w:val="20"/>
              </w:rPr>
              <w:t>)</w:t>
            </w:r>
          </w:p>
        </w:tc>
      </w:tr>
      <w:tr w:rsidR="00F4317D" w:rsidRPr="00F4317D" w14:paraId="2D77BE40" w14:textId="77777777" w:rsidTr="00F4317D">
        <w:trPr>
          <w:tblCellSpacing w:w="15" w:type="dxa"/>
        </w:trPr>
        <w:tc>
          <w:tcPr>
            <w:tcW w:w="0" w:type="auto"/>
            <w:vAlign w:val="center"/>
            <w:hideMark/>
          </w:tcPr>
          <w:p w14:paraId="5AC8B3A5"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Agricultural employment share (trend)</w:t>
            </w:r>
          </w:p>
        </w:tc>
        <w:tc>
          <w:tcPr>
            <w:tcW w:w="0" w:type="auto"/>
            <w:vAlign w:val="center"/>
            <w:hideMark/>
          </w:tcPr>
          <w:p w14:paraId="60A0966F"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Declining share of total employment over decades; agriculture still major rural employer</w:t>
            </w:r>
          </w:p>
        </w:tc>
        <w:tc>
          <w:tcPr>
            <w:tcW w:w="0" w:type="auto"/>
            <w:vAlign w:val="center"/>
            <w:hideMark/>
          </w:tcPr>
          <w:p w14:paraId="0BB803D5"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PLFS and systematic reviews. (</w:t>
            </w:r>
            <w:hyperlink r:id="rId14" w:tooltip="Labour migration in Indian agriculture: Patterns, drivers ..." w:history="1">
              <w:r w:rsidRPr="00F4317D">
                <w:rPr>
                  <w:rStyle w:val="Hyperlink"/>
                  <w:rFonts w:ascii="Times New Roman" w:hAnsi="Times New Roman" w:cs="Times New Roman"/>
                  <w:sz w:val="20"/>
                  <w:szCs w:val="20"/>
                </w:rPr>
                <w:t>ResearchGate</w:t>
              </w:r>
            </w:hyperlink>
            <w:r w:rsidRPr="00F4317D">
              <w:rPr>
                <w:rFonts w:ascii="Times New Roman" w:hAnsi="Times New Roman" w:cs="Times New Roman"/>
                <w:sz w:val="20"/>
                <w:szCs w:val="20"/>
              </w:rPr>
              <w:t>)</w:t>
            </w:r>
          </w:p>
        </w:tc>
      </w:tr>
      <w:tr w:rsidR="00F4317D" w:rsidRPr="00F4317D" w14:paraId="00791CD3" w14:textId="77777777" w:rsidTr="00F4317D">
        <w:trPr>
          <w:tblCellSpacing w:w="15" w:type="dxa"/>
        </w:trPr>
        <w:tc>
          <w:tcPr>
            <w:tcW w:w="0" w:type="auto"/>
            <w:vAlign w:val="center"/>
            <w:hideMark/>
          </w:tcPr>
          <w:p w14:paraId="65CA55BE"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Migration for employment (national snapshot)</w:t>
            </w:r>
          </w:p>
        </w:tc>
        <w:tc>
          <w:tcPr>
            <w:tcW w:w="0" w:type="auto"/>
            <w:vAlign w:val="center"/>
            <w:hideMark/>
          </w:tcPr>
          <w:p w14:paraId="1E485894"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Significant seasonal/temporary migration; inter-state flows to urban hubs</w:t>
            </w:r>
          </w:p>
        </w:tc>
        <w:tc>
          <w:tcPr>
            <w:tcW w:w="0" w:type="auto"/>
            <w:vAlign w:val="center"/>
            <w:hideMark/>
          </w:tcPr>
          <w:p w14:paraId="587AF796"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Recent studies and press/state data. (</w:t>
            </w:r>
            <w:hyperlink r:id="rId15" w:tooltip="The Migration of Agricultural Labour in India" w:history="1">
              <w:r w:rsidRPr="00F4317D">
                <w:rPr>
                  <w:rStyle w:val="Hyperlink"/>
                  <w:rFonts w:ascii="Times New Roman" w:hAnsi="Times New Roman" w:cs="Times New Roman"/>
                  <w:sz w:val="20"/>
                  <w:szCs w:val="20"/>
                </w:rPr>
                <w:t>GLB</w:t>
              </w:r>
            </w:hyperlink>
            <w:r w:rsidRPr="00F4317D">
              <w:rPr>
                <w:rFonts w:ascii="Times New Roman" w:hAnsi="Times New Roman" w:cs="Times New Roman"/>
                <w:sz w:val="20"/>
                <w:szCs w:val="20"/>
              </w:rPr>
              <w:t>)</w:t>
            </w:r>
          </w:p>
        </w:tc>
      </w:tr>
    </w:tbl>
    <w:p w14:paraId="41536A46" w14:textId="084EA57F" w:rsidR="00F4317D" w:rsidRDefault="00F4317D" w:rsidP="00F4317D">
      <w:pPr>
        <w:jc w:val="both"/>
        <w:rPr>
          <w:rFonts w:ascii="Times New Roman" w:hAnsi="Times New Roman" w:cs="Times New Roman"/>
        </w:rPr>
      </w:pPr>
    </w:p>
    <w:p w14:paraId="59999041" w14:textId="5AE5C98C" w:rsidR="00F9542C" w:rsidRPr="00F4317D" w:rsidRDefault="00F9542C" w:rsidP="00F9542C">
      <w:pPr>
        <w:jc w:val="center"/>
        <w:rPr>
          <w:rFonts w:ascii="Times New Roman" w:hAnsi="Times New Roman" w:cs="Times New Roman"/>
        </w:rPr>
      </w:pPr>
      <w:r>
        <w:rPr>
          <w:noProof/>
        </w:rPr>
        <w:drawing>
          <wp:inline distT="0" distB="0" distL="0" distR="0" wp14:anchorId="5AE5433A" wp14:editId="548EA05B">
            <wp:extent cx="3657600" cy="2339340"/>
            <wp:effectExtent l="19050" t="19050" r="19050" b="22860"/>
            <wp:docPr id="13472401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0" cy="2339340"/>
                    </a:xfrm>
                    <a:prstGeom prst="rect">
                      <a:avLst/>
                    </a:prstGeom>
                    <a:noFill/>
                    <a:ln>
                      <a:solidFill>
                        <a:schemeClr val="accent1"/>
                      </a:solidFill>
                    </a:ln>
                  </pic:spPr>
                </pic:pic>
              </a:graphicData>
            </a:graphic>
          </wp:inline>
        </w:drawing>
      </w:r>
    </w:p>
    <w:p w14:paraId="3E6B2342" w14:textId="4383F7D0" w:rsidR="004E21C2" w:rsidRPr="004E21C2" w:rsidRDefault="00F4317D" w:rsidP="004E21C2">
      <w:pPr>
        <w:jc w:val="both"/>
        <w:rPr>
          <w:rFonts w:ascii="Times New Roman" w:hAnsi="Times New Roman" w:cs="Times New Roman"/>
          <w:b/>
          <w:bCs/>
        </w:rPr>
      </w:pPr>
      <w:r w:rsidRPr="004E21C2">
        <w:rPr>
          <w:rFonts w:ascii="Times New Roman" w:hAnsi="Times New Roman" w:cs="Times New Roman"/>
          <w:b/>
          <w:bCs/>
        </w:rPr>
        <w:t>Discussion</w:t>
      </w:r>
      <w:r w:rsidR="004E21C2" w:rsidRPr="004E21C2">
        <w:rPr>
          <w:rFonts w:ascii="Times New Roman" w:hAnsi="Times New Roman" w:cs="Times New Roman"/>
          <w:b/>
          <w:bCs/>
        </w:rPr>
        <w:t xml:space="preserve">: </w:t>
      </w:r>
    </w:p>
    <w:p w14:paraId="3820CBEF" w14:textId="15C19483" w:rsidR="00F4317D" w:rsidRPr="004E21C2" w:rsidRDefault="00F4317D" w:rsidP="004E21C2">
      <w:pPr>
        <w:jc w:val="both"/>
        <w:rPr>
          <w:rFonts w:ascii="Times New Roman" w:hAnsi="Times New Roman" w:cs="Times New Roman"/>
          <w:b/>
          <w:bCs/>
        </w:rPr>
      </w:pPr>
      <w:r w:rsidRPr="004E21C2">
        <w:rPr>
          <w:rFonts w:ascii="Times New Roman" w:hAnsi="Times New Roman" w:cs="Times New Roman"/>
          <w:b/>
          <w:bCs/>
        </w:rPr>
        <w:t>linking fallows and migration in semi-arid Karnataka</w:t>
      </w:r>
    </w:p>
    <w:p w14:paraId="5D3C6039"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5.1 Mechanisms linking fallowing and migration</w:t>
      </w:r>
    </w:p>
    <w:p w14:paraId="704440B9" w14:textId="77777777" w:rsidR="00F4317D" w:rsidRPr="00F4317D" w:rsidRDefault="00F4317D" w:rsidP="00F4317D">
      <w:pPr>
        <w:jc w:val="both"/>
        <w:rPr>
          <w:rFonts w:ascii="Times New Roman" w:hAnsi="Times New Roman" w:cs="Times New Roman"/>
        </w:rPr>
      </w:pPr>
      <w:r w:rsidRPr="00F4317D">
        <w:rPr>
          <w:rFonts w:ascii="Times New Roman" w:hAnsi="Times New Roman" w:cs="Times New Roman"/>
        </w:rPr>
        <w:t>From the evidence and state statistics the following mechanisms emerge:</w:t>
      </w:r>
    </w:p>
    <w:p w14:paraId="0573E721" w14:textId="44B39D64" w:rsidR="00F4317D" w:rsidRPr="00F4317D" w:rsidRDefault="00F4317D" w:rsidP="00F4317D">
      <w:pPr>
        <w:numPr>
          <w:ilvl w:val="0"/>
          <w:numId w:val="4"/>
        </w:numPr>
        <w:jc w:val="both"/>
        <w:rPr>
          <w:rFonts w:ascii="Times New Roman" w:hAnsi="Times New Roman" w:cs="Times New Roman"/>
        </w:rPr>
      </w:pPr>
      <w:r w:rsidRPr="00F4317D">
        <w:rPr>
          <w:rFonts w:ascii="Times New Roman" w:hAnsi="Times New Roman" w:cs="Times New Roman"/>
          <w:b/>
          <w:bCs/>
        </w:rPr>
        <w:t>Climatic stress → fallowing → migration</w:t>
      </w:r>
      <w:r w:rsidR="002E2059">
        <w:rPr>
          <w:rFonts w:ascii="Times New Roman" w:hAnsi="Times New Roman" w:cs="Times New Roman"/>
        </w:rPr>
        <w:t xml:space="preserve">: </w:t>
      </w:r>
      <w:r w:rsidRPr="00F4317D">
        <w:rPr>
          <w:rFonts w:ascii="Times New Roman" w:hAnsi="Times New Roman" w:cs="Times New Roman"/>
        </w:rPr>
        <w:t>In semi-arid taluks, poor rainfall or groundwater scarcity can make cultivation unviable in some years. Farmers may leave fields fallow (current or 1–5year fallow) rather than invest in costly irrigation or inputs. Households then rely on wage migration (seasonal moves to nearby towns or other states) to smooth incomes during fallow years.</w:t>
      </w:r>
    </w:p>
    <w:p w14:paraId="4A76A272" w14:textId="622B473B" w:rsidR="00F4317D" w:rsidRPr="00F4317D" w:rsidRDefault="00F4317D" w:rsidP="00F4317D">
      <w:pPr>
        <w:numPr>
          <w:ilvl w:val="0"/>
          <w:numId w:val="4"/>
        </w:numPr>
        <w:jc w:val="both"/>
        <w:rPr>
          <w:rFonts w:ascii="Times New Roman" w:hAnsi="Times New Roman" w:cs="Times New Roman"/>
        </w:rPr>
      </w:pPr>
      <w:r w:rsidRPr="00F4317D">
        <w:rPr>
          <w:rFonts w:ascii="Times New Roman" w:hAnsi="Times New Roman" w:cs="Times New Roman"/>
          <w:b/>
          <w:bCs/>
        </w:rPr>
        <w:t>Labour shortages and mechanisation cycles</w:t>
      </w:r>
      <w:r w:rsidR="002E2059">
        <w:rPr>
          <w:rFonts w:ascii="Times New Roman" w:hAnsi="Times New Roman" w:cs="Times New Roman"/>
        </w:rPr>
        <w:t xml:space="preserve">: </w:t>
      </w:r>
      <w:r w:rsidRPr="00F4317D">
        <w:rPr>
          <w:rFonts w:ascii="Times New Roman" w:hAnsi="Times New Roman" w:cs="Times New Roman"/>
        </w:rPr>
        <w:t>In some cropping patterns, labour demand is seasonal and concentrated (sowing/harvest). When local demand falls (e.g., fewer crops due to fallowing), agricultural labourers migrate temporarily. Conversely, migration of labour can push farmers to fallow if they cannot hire labour affordably.</w:t>
      </w:r>
    </w:p>
    <w:p w14:paraId="03CA6E19" w14:textId="1CA22158" w:rsidR="002E2059" w:rsidRPr="00785482" w:rsidRDefault="00F4317D" w:rsidP="00785482">
      <w:pPr>
        <w:numPr>
          <w:ilvl w:val="0"/>
          <w:numId w:val="4"/>
        </w:numPr>
        <w:jc w:val="both"/>
        <w:rPr>
          <w:rFonts w:ascii="Times New Roman" w:hAnsi="Times New Roman" w:cs="Times New Roman"/>
        </w:rPr>
      </w:pPr>
      <w:r w:rsidRPr="00F4317D">
        <w:rPr>
          <w:rFonts w:ascii="Times New Roman" w:hAnsi="Times New Roman" w:cs="Times New Roman"/>
          <w:b/>
          <w:bCs/>
        </w:rPr>
        <w:lastRenderedPageBreak/>
        <w:t>Economic rationalisation and cropping choices</w:t>
      </w:r>
      <w:r w:rsidR="002E2059">
        <w:rPr>
          <w:rFonts w:ascii="Times New Roman" w:hAnsi="Times New Roman" w:cs="Times New Roman"/>
          <w:b/>
          <w:bCs/>
        </w:rPr>
        <w:t xml:space="preserve">: </w:t>
      </w:r>
      <w:r w:rsidR="000838B5">
        <w:rPr>
          <w:rFonts w:ascii="Times New Roman" w:hAnsi="Times New Roman" w:cs="Times New Roman"/>
        </w:rPr>
        <w:t xml:space="preserve"> </w:t>
      </w:r>
      <w:r w:rsidRPr="00F4317D">
        <w:rPr>
          <w:rFonts w:ascii="Times New Roman" w:hAnsi="Times New Roman" w:cs="Times New Roman"/>
        </w:rPr>
        <w:t>Farmers may choose to leave marginal plots fallow and invest in higher-return crops on better plots. This selective fallowing reallocates labour needs and also encourages migration of labourers from marginal areas to urban or peri-urban jobs.</w:t>
      </w:r>
    </w:p>
    <w:p w14:paraId="53601B11"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5.2 Spatial heterogeneity within Karnataka</w:t>
      </w:r>
    </w:p>
    <w:p w14:paraId="28FB3697" w14:textId="5727F395" w:rsidR="00F4317D" w:rsidRPr="00F4317D" w:rsidRDefault="00F4317D" w:rsidP="000838B5">
      <w:pPr>
        <w:ind w:firstLine="720"/>
        <w:jc w:val="both"/>
        <w:rPr>
          <w:rFonts w:ascii="Times New Roman" w:hAnsi="Times New Roman" w:cs="Times New Roman"/>
        </w:rPr>
      </w:pPr>
      <w:r w:rsidRPr="00F4317D">
        <w:rPr>
          <w:rFonts w:ascii="Times New Roman" w:hAnsi="Times New Roman" w:cs="Times New Roman"/>
        </w:rPr>
        <w:t>Karnataka’s fallow area (~1.07 million ha) is not uniformly distributed: interior semi-arid districts (northern Karnataka, parts of central districts) show higher incidence. District case studies (e.g., Bidar) document high levels of temporary out-migration among agricultural labour for employment in non-farm sectors during crop slack seasons or in stress years.</w:t>
      </w:r>
    </w:p>
    <w:p w14:paraId="486A0969"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5.3 Policy-sensitive interpretation</w:t>
      </w:r>
    </w:p>
    <w:p w14:paraId="26F7D0B8" w14:textId="77777777" w:rsidR="00F4317D" w:rsidRPr="00F4317D" w:rsidRDefault="00F4317D" w:rsidP="000838B5">
      <w:pPr>
        <w:ind w:firstLine="720"/>
        <w:jc w:val="both"/>
        <w:rPr>
          <w:rFonts w:ascii="Times New Roman" w:hAnsi="Times New Roman" w:cs="Times New Roman"/>
        </w:rPr>
      </w:pPr>
      <w:r w:rsidRPr="00F4317D">
        <w:rPr>
          <w:rFonts w:ascii="Times New Roman" w:hAnsi="Times New Roman" w:cs="Times New Roman"/>
        </w:rPr>
        <w:t>Fallowing is not always negative: planned fallow in rotations improves soil health. But the pattern of persistent or increasing fallow in semi-arid areas accompanied by rising temporary migration signals distress cropping in many locations. Policy must distinguish between adaptive fallowing (rotational) and distress fallowing (abandonment due to constraints).</w:t>
      </w:r>
    </w:p>
    <w:p w14:paraId="3570DDB7"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6. Policy implications and recommendations</w:t>
      </w:r>
    </w:p>
    <w:p w14:paraId="45F676BE" w14:textId="76FDBA6D" w:rsidR="00F4317D" w:rsidRPr="00F4317D" w:rsidRDefault="00F4317D" w:rsidP="00F4317D">
      <w:pPr>
        <w:numPr>
          <w:ilvl w:val="0"/>
          <w:numId w:val="5"/>
        </w:numPr>
        <w:jc w:val="both"/>
        <w:rPr>
          <w:rFonts w:ascii="Times New Roman" w:hAnsi="Times New Roman" w:cs="Times New Roman"/>
        </w:rPr>
      </w:pPr>
      <w:r w:rsidRPr="00F4317D">
        <w:rPr>
          <w:rFonts w:ascii="Times New Roman" w:hAnsi="Times New Roman" w:cs="Times New Roman"/>
          <w:b/>
          <w:bCs/>
        </w:rPr>
        <w:t>Targeted irrigation and groundwater recharge in semi-arid taluks</w:t>
      </w:r>
      <w:r w:rsidR="009B3F97">
        <w:rPr>
          <w:rFonts w:ascii="Times New Roman" w:hAnsi="Times New Roman" w:cs="Times New Roman"/>
        </w:rPr>
        <w:t xml:space="preserve"> </w:t>
      </w:r>
      <w:r w:rsidRPr="00F4317D">
        <w:rPr>
          <w:rFonts w:ascii="Times New Roman" w:hAnsi="Times New Roman" w:cs="Times New Roman"/>
        </w:rPr>
        <w:t>Investments in minor irrigation, community recharge structures and demand-side water management can reduce distress fallowing and stabilize livelihoods.</w:t>
      </w:r>
    </w:p>
    <w:p w14:paraId="1B3638E2" w14:textId="5CAABAFA" w:rsidR="00F4317D" w:rsidRPr="00F4317D" w:rsidRDefault="00F4317D" w:rsidP="00F4317D">
      <w:pPr>
        <w:numPr>
          <w:ilvl w:val="0"/>
          <w:numId w:val="5"/>
        </w:numPr>
        <w:jc w:val="both"/>
        <w:rPr>
          <w:rFonts w:ascii="Times New Roman" w:hAnsi="Times New Roman" w:cs="Times New Roman"/>
        </w:rPr>
      </w:pPr>
      <w:r w:rsidRPr="00F4317D">
        <w:rPr>
          <w:rFonts w:ascii="Times New Roman" w:hAnsi="Times New Roman" w:cs="Times New Roman"/>
          <w:b/>
          <w:bCs/>
        </w:rPr>
        <w:t>Crop diversification and drought-resilient crops</w:t>
      </w:r>
      <w:r w:rsidR="009B3F97">
        <w:rPr>
          <w:rFonts w:ascii="Times New Roman" w:hAnsi="Times New Roman" w:cs="Times New Roman"/>
        </w:rPr>
        <w:t xml:space="preserve"> </w:t>
      </w:r>
      <w:r w:rsidRPr="00F4317D">
        <w:rPr>
          <w:rFonts w:ascii="Times New Roman" w:hAnsi="Times New Roman" w:cs="Times New Roman"/>
        </w:rPr>
        <w:t>Promote millet, pulses, horticulture and dryland horticulture coupled with assured market linkages to make cultivation viable where water is a constraint.</w:t>
      </w:r>
    </w:p>
    <w:p w14:paraId="0A30F21F" w14:textId="098B4979" w:rsidR="00F4317D" w:rsidRPr="00F4317D" w:rsidRDefault="00F4317D" w:rsidP="00F4317D">
      <w:pPr>
        <w:numPr>
          <w:ilvl w:val="0"/>
          <w:numId w:val="5"/>
        </w:numPr>
        <w:jc w:val="both"/>
        <w:rPr>
          <w:rFonts w:ascii="Times New Roman" w:hAnsi="Times New Roman" w:cs="Times New Roman"/>
        </w:rPr>
      </w:pPr>
      <w:r w:rsidRPr="00F4317D">
        <w:rPr>
          <w:rFonts w:ascii="Times New Roman" w:hAnsi="Times New Roman" w:cs="Times New Roman"/>
          <w:b/>
          <w:bCs/>
        </w:rPr>
        <w:t>Align rural works programs with agricultural calendar</w:t>
      </w:r>
      <w:r w:rsidR="009B3F97">
        <w:rPr>
          <w:rFonts w:ascii="Times New Roman" w:hAnsi="Times New Roman" w:cs="Times New Roman"/>
        </w:rPr>
        <w:t xml:space="preserve"> </w:t>
      </w:r>
      <w:r w:rsidRPr="00F4317D">
        <w:rPr>
          <w:rFonts w:ascii="Times New Roman" w:hAnsi="Times New Roman" w:cs="Times New Roman"/>
        </w:rPr>
        <w:t>Use MGNREGA and rural works to provide employment during slack periods and to fund soil and water conservation that reduces future fallow incidence.</w:t>
      </w:r>
    </w:p>
    <w:p w14:paraId="12C555B3" w14:textId="537802C3" w:rsidR="00F4317D" w:rsidRPr="00F4317D" w:rsidRDefault="00F4317D" w:rsidP="00F4317D">
      <w:pPr>
        <w:numPr>
          <w:ilvl w:val="0"/>
          <w:numId w:val="5"/>
        </w:numPr>
        <w:jc w:val="both"/>
        <w:rPr>
          <w:rFonts w:ascii="Times New Roman" w:hAnsi="Times New Roman" w:cs="Times New Roman"/>
        </w:rPr>
      </w:pPr>
      <w:r w:rsidRPr="00F4317D">
        <w:rPr>
          <w:rFonts w:ascii="Times New Roman" w:hAnsi="Times New Roman" w:cs="Times New Roman"/>
          <w:b/>
          <w:bCs/>
        </w:rPr>
        <w:t>Migrant-inclusive social protection and labour intermediation</w:t>
      </w:r>
      <w:r w:rsidR="009B3F97">
        <w:rPr>
          <w:rFonts w:ascii="Times New Roman" w:hAnsi="Times New Roman" w:cs="Times New Roman"/>
        </w:rPr>
        <w:t xml:space="preserve"> </w:t>
      </w:r>
      <w:r w:rsidRPr="00F4317D">
        <w:rPr>
          <w:rFonts w:ascii="Times New Roman" w:hAnsi="Times New Roman" w:cs="Times New Roman"/>
        </w:rPr>
        <w:t>Recognize seasonal migrants (origin and destination) through portability of benefits, skill training, and safer labour intermediation so migration becomes a choice rather than distress.</w:t>
      </w:r>
    </w:p>
    <w:p w14:paraId="37755D9D" w14:textId="5A8C8CD6" w:rsidR="00F4317D" w:rsidRPr="00F4317D" w:rsidRDefault="00F4317D" w:rsidP="00F4317D">
      <w:pPr>
        <w:numPr>
          <w:ilvl w:val="0"/>
          <w:numId w:val="5"/>
        </w:numPr>
        <w:jc w:val="both"/>
        <w:rPr>
          <w:rFonts w:ascii="Times New Roman" w:hAnsi="Times New Roman" w:cs="Times New Roman"/>
        </w:rPr>
      </w:pPr>
      <w:r w:rsidRPr="00F4317D">
        <w:rPr>
          <w:rFonts w:ascii="Times New Roman" w:hAnsi="Times New Roman" w:cs="Times New Roman"/>
          <w:b/>
          <w:bCs/>
        </w:rPr>
        <w:t>District-level fallow mapping &amp; early warning</w:t>
      </w:r>
      <w:r w:rsidR="009B3F97">
        <w:rPr>
          <w:rFonts w:ascii="Times New Roman" w:hAnsi="Times New Roman" w:cs="Times New Roman"/>
        </w:rPr>
        <w:t xml:space="preserve"> </w:t>
      </w:r>
      <w:r w:rsidRPr="00F4317D">
        <w:rPr>
          <w:rFonts w:ascii="Times New Roman" w:hAnsi="Times New Roman" w:cs="Times New Roman"/>
        </w:rPr>
        <w:t>Use LUS, remote sensing (Sentinel-1/2), and district reporting to create a near-real-time fallow map and link it to local labour market programs and seed/credit interventions.</w:t>
      </w:r>
    </w:p>
    <w:p w14:paraId="705D7497"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7. Conclusion</w:t>
      </w:r>
    </w:p>
    <w:p w14:paraId="0F86BA14" w14:textId="77777777" w:rsidR="000838B5" w:rsidRPr="009B3F97" w:rsidRDefault="000838B5" w:rsidP="00BE36D3">
      <w:pPr>
        <w:ind w:firstLine="720"/>
        <w:jc w:val="both"/>
        <w:rPr>
          <w:rFonts w:ascii="Times New Roman" w:hAnsi="Times New Roman" w:cs="Times New Roman"/>
        </w:rPr>
      </w:pPr>
      <w:r w:rsidRPr="009B3F97">
        <w:rPr>
          <w:rFonts w:ascii="Times New Roman" w:hAnsi="Times New Roman" w:cs="Times New Roman"/>
        </w:rPr>
        <w:t xml:space="preserve">Semi-arid agriculture in India is at a crossroads. Fallow land expansion and migration are no longer isolated issues but interdependent outcomes of climatic risk, market volatility, and socio-economic restructuring. Karnataka’s semi-arid regions illustrate this complex relationship: as </w:t>
      </w:r>
      <w:r w:rsidRPr="009B3F97">
        <w:rPr>
          <w:rFonts w:ascii="Times New Roman" w:hAnsi="Times New Roman" w:cs="Times New Roman"/>
        </w:rPr>
        <w:lastRenderedPageBreak/>
        <w:t xml:space="preserve">fallow areas persist due to erratic rainfall and water scarcity, migration becomes a coping mechanism for both farmers and agricultural labourers. Policies must therefore view migration not merely as a problem but as part of an adaptive strategy that can be supported through </w:t>
      </w:r>
      <w:r w:rsidRPr="009B3F97">
        <w:rPr>
          <w:rFonts w:ascii="Times New Roman" w:hAnsi="Times New Roman" w:cs="Times New Roman"/>
          <w:b/>
          <w:bCs/>
        </w:rPr>
        <w:t>social protection</w:t>
      </w:r>
      <w:r w:rsidRPr="009B3F97">
        <w:rPr>
          <w:rFonts w:ascii="Times New Roman" w:hAnsi="Times New Roman" w:cs="Times New Roman"/>
        </w:rPr>
        <w:t xml:space="preserve">, </w:t>
      </w:r>
      <w:r w:rsidRPr="009B3F97">
        <w:rPr>
          <w:rFonts w:ascii="Times New Roman" w:hAnsi="Times New Roman" w:cs="Times New Roman"/>
          <w:b/>
          <w:bCs/>
        </w:rPr>
        <w:t>skill mobility</w:t>
      </w:r>
      <w:r w:rsidRPr="009B3F97">
        <w:rPr>
          <w:rFonts w:ascii="Times New Roman" w:hAnsi="Times New Roman" w:cs="Times New Roman"/>
        </w:rPr>
        <w:t xml:space="preserve">, and </w:t>
      </w:r>
      <w:r w:rsidRPr="009B3F97">
        <w:rPr>
          <w:rFonts w:ascii="Times New Roman" w:hAnsi="Times New Roman" w:cs="Times New Roman"/>
          <w:b/>
          <w:bCs/>
        </w:rPr>
        <w:t>climate-resilient agriculture</w:t>
      </w:r>
      <w:r w:rsidRPr="009B3F97">
        <w:rPr>
          <w:rFonts w:ascii="Times New Roman" w:hAnsi="Times New Roman" w:cs="Times New Roman"/>
        </w:rPr>
        <w:t>.</w:t>
      </w:r>
    </w:p>
    <w:p w14:paraId="4C4EAE5B" w14:textId="77777777" w:rsidR="00F4317D" w:rsidRPr="00F4317D" w:rsidRDefault="00F4317D" w:rsidP="007761CB">
      <w:pPr>
        <w:ind w:firstLine="720"/>
        <w:jc w:val="both"/>
        <w:rPr>
          <w:rFonts w:ascii="Times New Roman" w:hAnsi="Times New Roman" w:cs="Times New Roman"/>
        </w:rPr>
      </w:pPr>
      <w:r w:rsidRPr="00F4317D">
        <w:rPr>
          <w:rFonts w:ascii="Times New Roman" w:hAnsi="Times New Roman" w:cs="Times New Roman"/>
        </w:rPr>
        <w:t>Fallow land and migration in semi-arid India are tightly connected through climatic, economic and labour market mechanisms. National statistics show that 24.6 million ha were fallow in 2022–23 (current + other fallows), while Karnataka reported ~1.07 million ha of fallow in 2022. In semi-arid pockets of Karnataka, distress-induced fallowing contributes to seasonal and temporary migration of farmers and agricultural labourers. Policy responses must be spatially targeted, combining water security, livelihood programs, and migrant-sensitive protections to reduce distress fallowing and enable migration to remain a positive livelihood strategy.</w:t>
      </w:r>
    </w:p>
    <w:p w14:paraId="0183A950" w14:textId="77777777" w:rsidR="00F4317D" w:rsidRPr="00F4317D" w:rsidRDefault="00ED0869" w:rsidP="00F4317D">
      <w:pPr>
        <w:jc w:val="both"/>
        <w:rPr>
          <w:rFonts w:ascii="Times New Roman" w:hAnsi="Times New Roman" w:cs="Times New Roman"/>
        </w:rPr>
      </w:pPr>
      <w:r>
        <w:rPr>
          <w:rFonts w:ascii="Times New Roman" w:hAnsi="Times New Roman" w:cs="Times New Roman"/>
          <w:noProof/>
        </w:rPr>
        <w:pict w14:anchorId="009848C3">
          <v:rect id="_x0000_i1030" style="width:0;height:1.5pt" o:hralign="center" o:hrstd="t" o:hr="t" fillcolor="#a0a0a0" stroked="f"/>
        </w:pict>
      </w:r>
    </w:p>
    <w:p w14:paraId="2708D6C9" w14:textId="77777777" w:rsidR="004E21C2" w:rsidRPr="004E21C2" w:rsidRDefault="004E21C2" w:rsidP="004E21C2">
      <w:pPr>
        <w:jc w:val="both"/>
        <w:rPr>
          <w:rFonts w:ascii="Times New Roman" w:hAnsi="Times New Roman" w:cs="Times New Roman"/>
          <w:b/>
          <w:bCs/>
        </w:rPr>
      </w:pPr>
      <w:r w:rsidRPr="004E21C2">
        <w:rPr>
          <w:rFonts w:ascii="Times New Roman" w:hAnsi="Times New Roman" w:cs="Times New Roman"/>
          <w:b/>
          <w:bCs/>
        </w:rPr>
        <w:t>Disclaimer (Artificial intelligence)</w:t>
      </w:r>
    </w:p>
    <w:p w14:paraId="19249465" w14:textId="77777777" w:rsidR="004E21C2" w:rsidRPr="004E21C2" w:rsidRDefault="004E21C2" w:rsidP="004E21C2">
      <w:pPr>
        <w:jc w:val="both"/>
        <w:rPr>
          <w:rFonts w:ascii="Times New Roman" w:hAnsi="Times New Roman" w:cs="Times New Roman"/>
          <w:bCs/>
        </w:rPr>
      </w:pPr>
      <w:r w:rsidRPr="004E21C2">
        <w:rPr>
          <w:rFonts w:ascii="Times New Roman" w:hAnsi="Times New Roman" w:cs="Times New Roman"/>
          <w:bCs/>
        </w:rPr>
        <w:t xml:space="preserve">Option 1: </w:t>
      </w:r>
    </w:p>
    <w:p w14:paraId="2B5DA316" w14:textId="77777777" w:rsidR="004E21C2" w:rsidRPr="004E21C2" w:rsidRDefault="004E21C2" w:rsidP="004E21C2">
      <w:pPr>
        <w:jc w:val="both"/>
        <w:rPr>
          <w:rFonts w:ascii="Times New Roman" w:hAnsi="Times New Roman" w:cs="Times New Roman"/>
          <w:bCs/>
        </w:rPr>
      </w:pPr>
      <w:r w:rsidRPr="004E21C2">
        <w:rPr>
          <w:rFonts w:ascii="Times New Roman" w:hAnsi="Times New Roman" w:cs="Times New Roman"/>
          <w:bCs/>
        </w:rPr>
        <w:t>Author(s) hereby declare that NO generative AI technologies such as Large Language Models (</w:t>
      </w:r>
      <w:proofErr w:type="spellStart"/>
      <w:r w:rsidRPr="004E21C2">
        <w:rPr>
          <w:rFonts w:ascii="Times New Roman" w:hAnsi="Times New Roman" w:cs="Times New Roman"/>
          <w:bCs/>
        </w:rPr>
        <w:t>ChatGPT</w:t>
      </w:r>
      <w:proofErr w:type="spellEnd"/>
      <w:r w:rsidRPr="004E21C2">
        <w:rPr>
          <w:rFonts w:ascii="Times New Roman" w:hAnsi="Times New Roman" w:cs="Times New Roman"/>
          <w:bCs/>
        </w:rPr>
        <w:t xml:space="preserve">, COPILOT, etc.) and text-to-image generators have been used during the writing or editing of this manuscript. </w:t>
      </w:r>
    </w:p>
    <w:p w14:paraId="424645E7" w14:textId="77777777" w:rsidR="004E21C2" w:rsidRPr="004E21C2" w:rsidRDefault="004E21C2" w:rsidP="004E21C2">
      <w:pPr>
        <w:jc w:val="both"/>
        <w:rPr>
          <w:rFonts w:ascii="Times New Roman" w:hAnsi="Times New Roman" w:cs="Times New Roman"/>
          <w:bCs/>
        </w:rPr>
      </w:pPr>
      <w:r w:rsidRPr="004E21C2">
        <w:rPr>
          <w:rFonts w:ascii="Times New Roman" w:hAnsi="Times New Roman" w:cs="Times New Roman"/>
          <w:bCs/>
        </w:rPr>
        <w:t xml:space="preserve">Option 2: </w:t>
      </w:r>
    </w:p>
    <w:p w14:paraId="1CF490A0" w14:textId="77777777" w:rsidR="004E21C2" w:rsidRPr="004E21C2" w:rsidRDefault="004E21C2" w:rsidP="004E21C2">
      <w:pPr>
        <w:jc w:val="both"/>
        <w:rPr>
          <w:rFonts w:ascii="Times New Roman" w:hAnsi="Times New Roman" w:cs="Times New Roman"/>
          <w:bCs/>
        </w:rPr>
      </w:pPr>
      <w:r w:rsidRPr="004E21C2">
        <w:rPr>
          <w:rFonts w:ascii="Times New Roman" w:hAnsi="Times New Roman" w:cs="Times New Roman"/>
          <w:bC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D5D1E91" w14:textId="77777777" w:rsidR="004E21C2" w:rsidRPr="004E21C2" w:rsidRDefault="004E21C2" w:rsidP="004E21C2">
      <w:pPr>
        <w:jc w:val="both"/>
        <w:rPr>
          <w:rFonts w:ascii="Times New Roman" w:hAnsi="Times New Roman" w:cs="Times New Roman"/>
          <w:bCs/>
        </w:rPr>
      </w:pPr>
      <w:r w:rsidRPr="004E21C2">
        <w:rPr>
          <w:rFonts w:ascii="Times New Roman" w:hAnsi="Times New Roman" w:cs="Times New Roman"/>
          <w:bCs/>
        </w:rPr>
        <w:t>Details of the AI usage are given below:</w:t>
      </w:r>
    </w:p>
    <w:p w14:paraId="286A95B7" w14:textId="77777777" w:rsidR="004E21C2" w:rsidRPr="004E21C2" w:rsidRDefault="004E21C2" w:rsidP="004E21C2">
      <w:pPr>
        <w:jc w:val="both"/>
        <w:rPr>
          <w:rFonts w:ascii="Times New Roman" w:hAnsi="Times New Roman" w:cs="Times New Roman"/>
          <w:bCs/>
        </w:rPr>
      </w:pPr>
      <w:r w:rsidRPr="004E21C2">
        <w:rPr>
          <w:rFonts w:ascii="Times New Roman" w:hAnsi="Times New Roman" w:cs="Times New Roman"/>
          <w:bCs/>
        </w:rPr>
        <w:t>1.</w:t>
      </w:r>
    </w:p>
    <w:p w14:paraId="1BFE5CD5" w14:textId="77777777" w:rsidR="004E21C2" w:rsidRPr="004E21C2" w:rsidRDefault="004E21C2" w:rsidP="004E21C2">
      <w:pPr>
        <w:jc w:val="both"/>
        <w:rPr>
          <w:rFonts w:ascii="Times New Roman" w:hAnsi="Times New Roman" w:cs="Times New Roman"/>
          <w:bCs/>
        </w:rPr>
      </w:pPr>
      <w:r w:rsidRPr="004E21C2">
        <w:rPr>
          <w:rFonts w:ascii="Times New Roman" w:hAnsi="Times New Roman" w:cs="Times New Roman"/>
          <w:bCs/>
        </w:rPr>
        <w:t>2.</w:t>
      </w:r>
    </w:p>
    <w:p w14:paraId="3E81E20D" w14:textId="083C1892" w:rsidR="004E21C2" w:rsidRPr="004E21C2" w:rsidRDefault="004E21C2" w:rsidP="004E21C2">
      <w:pPr>
        <w:jc w:val="both"/>
        <w:rPr>
          <w:rFonts w:ascii="Times New Roman" w:hAnsi="Times New Roman" w:cs="Times New Roman"/>
          <w:bCs/>
        </w:rPr>
      </w:pPr>
      <w:r w:rsidRPr="004E21C2">
        <w:rPr>
          <w:rFonts w:ascii="Times New Roman" w:hAnsi="Times New Roman" w:cs="Times New Roman"/>
          <w:bCs/>
        </w:rPr>
        <w:t>3.</w:t>
      </w:r>
    </w:p>
    <w:p w14:paraId="38CFA647" w14:textId="77777777" w:rsidR="004E21C2" w:rsidRDefault="004E21C2" w:rsidP="007761CB">
      <w:pPr>
        <w:jc w:val="both"/>
        <w:rPr>
          <w:rFonts w:ascii="Times New Roman" w:hAnsi="Times New Roman" w:cs="Times New Roman"/>
          <w:b/>
          <w:bCs/>
        </w:rPr>
      </w:pPr>
    </w:p>
    <w:p w14:paraId="2F8871E8" w14:textId="77777777" w:rsidR="004E21C2" w:rsidRDefault="004E21C2" w:rsidP="007761CB">
      <w:pPr>
        <w:jc w:val="both"/>
        <w:rPr>
          <w:rFonts w:ascii="Times New Roman" w:hAnsi="Times New Roman" w:cs="Times New Roman"/>
          <w:b/>
          <w:bCs/>
        </w:rPr>
      </w:pPr>
    </w:p>
    <w:p w14:paraId="68CFDC66" w14:textId="77777777" w:rsidR="004E21C2" w:rsidRDefault="004E21C2" w:rsidP="007761CB">
      <w:pPr>
        <w:jc w:val="both"/>
        <w:rPr>
          <w:rFonts w:ascii="Times New Roman" w:hAnsi="Times New Roman" w:cs="Times New Roman"/>
          <w:b/>
          <w:bCs/>
        </w:rPr>
      </w:pPr>
    </w:p>
    <w:p w14:paraId="08242112" w14:textId="77777777" w:rsidR="004E21C2" w:rsidRDefault="004E21C2" w:rsidP="007761CB">
      <w:pPr>
        <w:jc w:val="both"/>
        <w:rPr>
          <w:rFonts w:ascii="Times New Roman" w:hAnsi="Times New Roman" w:cs="Times New Roman"/>
          <w:b/>
          <w:bCs/>
        </w:rPr>
      </w:pPr>
    </w:p>
    <w:p w14:paraId="69CC1361" w14:textId="77777777" w:rsidR="004E21C2" w:rsidRDefault="004E21C2" w:rsidP="007761CB">
      <w:pPr>
        <w:jc w:val="both"/>
        <w:rPr>
          <w:rFonts w:ascii="Times New Roman" w:hAnsi="Times New Roman" w:cs="Times New Roman"/>
          <w:b/>
          <w:bCs/>
        </w:rPr>
      </w:pPr>
    </w:p>
    <w:p w14:paraId="5A281025" w14:textId="6D156B8E" w:rsidR="007761CB" w:rsidRDefault="007761CB" w:rsidP="007761CB">
      <w:pPr>
        <w:jc w:val="both"/>
        <w:rPr>
          <w:rFonts w:ascii="Times New Roman" w:hAnsi="Times New Roman" w:cs="Times New Roman"/>
          <w:b/>
          <w:bCs/>
        </w:rPr>
      </w:pPr>
      <w:r w:rsidRPr="009B3F97">
        <w:rPr>
          <w:rFonts w:ascii="Times New Roman" w:hAnsi="Times New Roman" w:cs="Times New Roman"/>
          <w:b/>
          <w:bCs/>
        </w:rPr>
        <w:t>References</w:t>
      </w:r>
    </w:p>
    <w:p w14:paraId="1ABB36FE" w14:textId="56044910" w:rsidR="008318E9" w:rsidRPr="00756608" w:rsidRDefault="008318E9" w:rsidP="007761CB">
      <w:pPr>
        <w:jc w:val="both"/>
        <w:rPr>
          <w:rFonts w:ascii="Times New Roman" w:hAnsi="Times New Roman" w:cs="Times New Roman"/>
          <w:b/>
          <w:bCs/>
        </w:rPr>
      </w:pPr>
      <w:bookmarkStart w:id="0" w:name="_GoBack"/>
      <w:bookmarkEnd w:id="0"/>
      <w:proofErr w:type="spellStart"/>
      <w:r w:rsidRPr="00785482">
        <w:rPr>
          <w:rFonts w:ascii="Times New Roman" w:hAnsi="Times New Roman" w:cs="Times New Roman"/>
        </w:rPr>
        <w:lastRenderedPageBreak/>
        <w:t>Anamica</w:t>
      </w:r>
      <w:proofErr w:type="spellEnd"/>
      <w:r w:rsidR="00785482">
        <w:rPr>
          <w:rFonts w:ascii="Times New Roman" w:hAnsi="Times New Roman" w:cs="Times New Roman"/>
        </w:rPr>
        <w:t>.</w:t>
      </w:r>
      <w:r w:rsidRPr="00756608">
        <w:rPr>
          <w:rFonts w:ascii="Times New Roman" w:hAnsi="Times New Roman" w:cs="Times New Roman"/>
        </w:rPr>
        <w:t xml:space="preserve"> M, </w:t>
      </w:r>
      <w:r w:rsidRPr="00785482">
        <w:rPr>
          <w:rFonts w:ascii="Times New Roman" w:hAnsi="Times New Roman" w:cs="Times New Roman"/>
        </w:rPr>
        <w:t>Ravichandran</w:t>
      </w:r>
      <w:r w:rsidRPr="00756608">
        <w:rPr>
          <w:rFonts w:ascii="Times New Roman" w:hAnsi="Times New Roman" w:cs="Times New Roman"/>
        </w:rPr>
        <w:t xml:space="preserve">. V &amp; </w:t>
      </w:r>
      <w:r w:rsidRPr="00785482">
        <w:rPr>
          <w:rFonts w:ascii="Times New Roman" w:hAnsi="Times New Roman" w:cs="Times New Roman"/>
        </w:rPr>
        <w:t>Lavanya</w:t>
      </w:r>
      <w:r w:rsidRPr="00756608">
        <w:rPr>
          <w:rFonts w:ascii="Times New Roman" w:hAnsi="Times New Roman" w:cs="Times New Roman"/>
        </w:rPr>
        <w:t xml:space="preserve">. P (2012). </w:t>
      </w:r>
      <w:r w:rsidRPr="00756608">
        <w:rPr>
          <w:rFonts w:ascii="Times New Roman" w:hAnsi="Times New Roman" w:cs="Times New Roman"/>
          <w:i/>
          <w:iCs/>
        </w:rPr>
        <w:t>Impact of Migration on the Livelihood of Dryland Farmers</w:t>
      </w:r>
      <w:r w:rsidRPr="00756608">
        <w:rPr>
          <w:rFonts w:ascii="Times New Roman" w:hAnsi="Times New Roman" w:cs="Times New Roman"/>
        </w:rPr>
        <w:t xml:space="preserve"> Madras Agricultural Journal 99(10-12): 887-890 </w:t>
      </w:r>
      <w:proofErr w:type="spellStart"/>
      <w:r w:rsidRPr="00756608">
        <w:rPr>
          <w:rFonts w:ascii="Times New Roman" w:hAnsi="Times New Roman" w:cs="Times New Roman"/>
        </w:rPr>
        <w:t>doi</w:t>
      </w:r>
      <w:proofErr w:type="spellEnd"/>
      <w:r w:rsidRPr="00756608">
        <w:rPr>
          <w:rFonts w:ascii="Times New Roman" w:hAnsi="Times New Roman" w:cs="Times New Roman"/>
        </w:rPr>
        <w:t xml:space="preserve">:  </w:t>
      </w:r>
      <w:hyperlink r:id="rId17" w:tgtFrame="_blank" w:history="1">
        <w:r w:rsidRPr="00756608">
          <w:rPr>
            <w:rStyle w:val="Hyperlink"/>
            <w:rFonts w:ascii="Times New Roman" w:hAnsi="Times New Roman" w:cs="Times New Roman"/>
          </w:rPr>
          <w:t>10.29321/MAJ.10.100220</w:t>
        </w:r>
      </w:hyperlink>
    </w:p>
    <w:p w14:paraId="4A3C324B" w14:textId="77777777" w:rsidR="008318E9" w:rsidRPr="00756608" w:rsidRDefault="008318E9" w:rsidP="00EB5C90">
      <w:pPr>
        <w:jc w:val="both"/>
        <w:rPr>
          <w:rFonts w:ascii="Times New Roman" w:hAnsi="Times New Roman" w:cs="Times New Roman"/>
        </w:rPr>
      </w:pPr>
      <w:r w:rsidRPr="00756608">
        <w:rPr>
          <w:rFonts w:ascii="Times New Roman" w:hAnsi="Times New Roman" w:cs="Times New Roman"/>
        </w:rPr>
        <w:t xml:space="preserve">Bernstein, H. (2010). </w:t>
      </w:r>
      <w:r w:rsidRPr="00756608">
        <w:rPr>
          <w:rFonts w:ascii="Times New Roman" w:hAnsi="Times New Roman" w:cs="Times New Roman"/>
          <w:i/>
          <w:iCs/>
        </w:rPr>
        <w:t>Class dynamics of agrarian change</w:t>
      </w:r>
      <w:r w:rsidRPr="00756608">
        <w:rPr>
          <w:rFonts w:ascii="Times New Roman" w:hAnsi="Times New Roman" w:cs="Times New Roman"/>
        </w:rPr>
        <w:t xml:space="preserve">. Fernwood Publishing. </w:t>
      </w:r>
    </w:p>
    <w:p w14:paraId="00983546" w14:textId="46D567A4" w:rsidR="008318E9" w:rsidRPr="00756608" w:rsidRDefault="008318E9" w:rsidP="00EB5C90">
      <w:pPr>
        <w:jc w:val="both"/>
        <w:rPr>
          <w:rFonts w:ascii="Times New Roman" w:hAnsi="Times New Roman" w:cs="Times New Roman"/>
        </w:rPr>
      </w:pPr>
      <w:r w:rsidRPr="00756608">
        <w:rPr>
          <w:rFonts w:ascii="Times New Roman" w:hAnsi="Times New Roman" w:cs="Times New Roman"/>
        </w:rPr>
        <w:t xml:space="preserve">Chhavi Tiwari, </w:t>
      </w:r>
      <w:proofErr w:type="spellStart"/>
      <w:r w:rsidRPr="00756608">
        <w:rPr>
          <w:rFonts w:ascii="Times New Roman" w:hAnsi="Times New Roman" w:cs="Times New Roman"/>
        </w:rPr>
        <w:t>Sankalpa</w:t>
      </w:r>
      <w:proofErr w:type="spellEnd"/>
      <w:r w:rsidRPr="00756608">
        <w:rPr>
          <w:rFonts w:ascii="Times New Roman" w:hAnsi="Times New Roman" w:cs="Times New Roman"/>
        </w:rPr>
        <w:t xml:space="preserve"> Bhattacharjee, </w:t>
      </w:r>
      <w:proofErr w:type="spellStart"/>
      <w:r w:rsidRPr="00756608">
        <w:rPr>
          <w:rFonts w:ascii="Times New Roman" w:hAnsi="Times New Roman" w:cs="Times New Roman"/>
        </w:rPr>
        <w:t>Pradeepta</w:t>
      </w:r>
      <w:proofErr w:type="spellEnd"/>
      <w:r w:rsidRPr="00756608">
        <w:rPr>
          <w:rFonts w:ascii="Times New Roman" w:hAnsi="Times New Roman" w:cs="Times New Roman"/>
        </w:rPr>
        <w:t> </w:t>
      </w:r>
      <w:proofErr w:type="spellStart"/>
      <w:r w:rsidRPr="00756608">
        <w:rPr>
          <w:rFonts w:ascii="Times New Roman" w:hAnsi="Times New Roman" w:cs="Times New Roman"/>
        </w:rPr>
        <w:t>Sethi</w:t>
      </w:r>
      <w:proofErr w:type="spellEnd"/>
      <w:r w:rsidRPr="00756608">
        <w:rPr>
          <w:rFonts w:ascii="Times New Roman" w:hAnsi="Times New Roman" w:cs="Times New Roman"/>
        </w:rPr>
        <w:t xml:space="preserve"> &amp; </w:t>
      </w:r>
      <w:proofErr w:type="spellStart"/>
      <w:r w:rsidRPr="00756608">
        <w:rPr>
          <w:rFonts w:ascii="Times New Roman" w:hAnsi="Times New Roman" w:cs="Times New Roman"/>
        </w:rPr>
        <w:t>Debkumar</w:t>
      </w:r>
      <w:proofErr w:type="spellEnd"/>
      <w:r w:rsidRPr="00756608">
        <w:rPr>
          <w:rFonts w:ascii="Times New Roman" w:hAnsi="Times New Roman" w:cs="Times New Roman"/>
        </w:rPr>
        <w:t> Chakrabarti</w:t>
      </w:r>
      <w:r w:rsidR="00785482">
        <w:rPr>
          <w:rFonts w:ascii="Times New Roman" w:hAnsi="Times New Roman" w:cs="Times New Roman"/>
        </w:rPr>
        <w:t xml:space="preserve"> </w:t>
      </w:r>
      <w:r w:rsidRPr="00756608">
        <w:rPr>
          <w:rFonts w:ascii="Times New Roman" w:hAnsi="Times New Roman" w:cs="Times New Roman"/>
        </w:rPr>
        <w:t xml:space="preserve">(2022). </w:t>
      </w:r>
      <w:r w:rsidRPr="00756608">
        <w:rPr>
          <w:rFonts w:ascii="Times New Roman" w:hAnsi="Times New Roman" w:cs="Times New Roman"/>
          <w:i/>
          <w:iCs/>
        </w:rPr>
        <w:t>Internal Migration and Rural Inequalities in India</w:t>
      </w:r>
      <w:r w:rsidRPr="00756608">
        <w:rPr>
          <w:rFonts w:ascii="Times New Roman" w:hAnsi="Times New Roman" w:cs="Times New Roman"/>
        </w:rPr>
        <w:t xml:space="preserve">. </w:t>
      </w:r>
      <w:r w:rsidRPr="00756608">
        <w:rPr>
          <w:rFonts w:ascii="Times New Roman" w:hAnsi="Times New Roman" w:cs="Times New Roman"/>
          <w:i/>
          <w:iCs/>
        </w:rPr>
        <w:t xml:space="preserve">Population Research and Policy Review </w:t>
      </w:r>
      <w:hyperlink r:id="rId18" w:history="1">
        <w:r w:rsidRPr="00756608">
          <w:rPr>
            <w:rStyle w:val="Hyperlink"/>
            <w:rFonts w:ascii="Times New Roman" w:hAnsi="Times New Roman" w:cs="Times New Roman"/>
            <w:i/>
            <w:iCs/>
          </w:rPr>
          <w:t>https://doi.org/10.1007/s11113-022-09707-5</w:t>
        </w:r>
      </w:hyperlink>
      <w:r w:rsidRPr="00756608">
        <w:rPr>
          <w:rFonts w:ascii="Times New Roman" w:hAnsi="Times New Roman" w:cs="Times New Roman"/>
          <w:i/>
          <w:iCs/>
        </w:rPr>
        <w:t xml:space="preserve"> </w:t>
      </w:r>
    </w:p>
    <w:p w14:paraId="07DD0115" w14:textId="5DBF400B" w:rsidR="008318E9" w:rsidRPr="00756608" w:rsidRDefault="008318E9" w:rsidP="00EB5C90">
      <w:pPr>
        <w:jc w:val="both"/>
        <w:rPr>
          <w:rFonts w:ascii="Times New Roman" w:hAnsi="Times New Roman" w:cs="Times New Roman"/>
        </w:rPr>
      </w:pPr>
      <w:proofErr w:type="spellStart"/>
      <w:r w:rsidRPr="00756608">
        <w:rPr>
          <w:rFonts w:ascii="Times New Roman" w:hAnsi="Times New Roman" w:cs="Times New Roman"/>
        </w:rPr>
        <w:t>Chirasmayee</w:t>
      </w:r>
      <w:proofErr w:type="spellEnd"/>
      <w:r w:rsidRPr="00756608">
        <w:rPr>
          <w:rFonts w:ascii="Times New Roman" w:hAnsi="Times New Roman" w:cs="Times New Roman"/>
        </w:rPr>
        <w:t xml:space="preserve"> </w:t>
      </w:r>
      <w:r w:rsidRPr="00756608">
        <w:rPr>
          <w:rFonts w:ascii="Times New Roman" w:hAnsi="Times New Roman" w:cs="Times New Roman"/>
          <w:color w:val="000000" w:themeColor="text1"/>
        </w:rPr>
        <w:t>Savitha, &amp; Reshma Talari (2023)</w:t>
      </w:r>
      <w:r w:rsidRPr="00756608">
        <w:rPr>
          <w:rFonts w:ascii="Times New Roman" w:hAnsi="Times New Roman" w:cs="Times New Roman"/>
        </w:rPr>
        <w:t xml:space="preserve">, </w:t>
      </w:r>
      <w:r w:rsidRPr="00756608">
        <w:rPr>
          <w:rStyle w:val="title-text"/>
          <w:rFonts w:ascii="Times New Roman" w:eastAsia="Times New Roman" w:hAnsi="Times New Roman" w:cs="Times New Roman"/>
          <w:color w:val="1F1F1F"/>
          <w:lang w:bidi="te-IN"/>
        </w:rPr>
        <w:t xml:space="preserve">Mapping cropland extent using sentinel-2 datasets and machine learning algorithms for an agriculture watershed, </w:t>
      </w:r>
      <w:r w:rsidRPr="00756608">
        <w:rPr>
          <w:rStyle w:val="title-text"/>
          <w:rFonts w:ascii="Times New Roman" w:eastAsia="Times New Roman" w:hAnsi="Times New Roman" w:cs="Times New Roman"/>
          <w:i/>
          <w:iCs/>
          <w:color w:val="1F1F1F"/>
          <w:lang w:bidi="te-IN"/>
        </w:rPr>
        <w:t xml:space="preserve">Smart Agricultural Technology, </w:t>
      </w:r>
      <w:hyperlink r:id="rId19" w:history="1">
        <w:r w:rsidRPr="00756608">
          <w:rPr>
            <w:rStyle w:val="Hyperlink"/>
            <w:rFonts w:ascii="Times New Roman" w:eastAsia="Times New Roman" w:hAnsi="Times New Roman" w:cs="Times New Roman"/>
            <w:lang w:bidi="te-IN"/>
          </w:rPr>
          <w:t>https://doi.org/10.1016/j.atech.2023.100193</w:t>
        </w:r>
      </w:hyperlink>
    </w:p>
    <w:p w14:paraId="36EBAED6" w14:textId="51FB7552" w:rsidR="008318E9" w:rsidRPr="00756608" w:rsidRDefault="008318E9" w:rsidP="00EB5C90">
      <w:pPr>
        <w:jc w:val="both"/>
        <w:rPr>
          <w:rFonts w:ascii="Times New Roman" w:hAnsi="Times New Roman" w:cs="Times New Roman"/>
        </w:rPr>
      </w:pPr>
      <w:proofErr w:type="spellStart"/>
      <w:r w:rsidRPr="00756608">
        <w:rPr>
          <w:rFonts w:ascii="Times New Roman" w:hAnsi="Times New Roman" w:cs="Times New Roman"/>
        </w:rPr>
        <w:t>Deshingkar</w:t>
      </w:r>
      <w:proofErr w:type="spellEnd"/>
      <w:r w:rsidRPr="00756608">
        <w:rPr>
          <w:rFonts w:ascii="Times New Roman" w:hAnsi="Times New Roman" w:cs="Times New Roman"/>
        </w:rPr>
        <w:t xml:space="preserve">, P. &amp; Start, D (2003). </w:t>
      </w:r>
      <w:r w:rsidRPr="00756608">
        <w:rPr>
          <w:rFonts w:ascii="Times New Roman" w:hAnsi="Times New Roman" w:cs="Times New Roman"/>
          <w:i/>
          <w:iCs/>
        </w:rPr>
        <w:t>Seasonal migration for livelihoods in India: Coping, accumulation, and exclusion</w:t>
      </w:r>
      <w:r w:rsidRPr="00756608">
        <w:rPr>
          <w:rFonts w:ascii="Times New Roman" w:hAnsi="Times New Roman" w:cs="Times New Roman"/>
        </w:rPr>
        <w:t xml:space="preserve">. </w:t>
      </w:r>
      <w:r w:rsidRPr="00756608">
        <w:rPr>
          <w:rFonts w:ascii="Times New Roman" w:hAnsi="Times New Roman" w:cs="Times New Roman"/>
          <w:i/>
          <w:iCs/>
        </w:rPr>
        <w:t>ODI Working Paper 220</w:t>
      </w:r>
      <w:r w:rsidRPr="00756608">
        <w:rPr>
          <w:rFonts w:ascii="Times New Roman" w:hAnsi="Times New Roman" w:cs="Times New Roman"/>
        </w:rPr>
        <w:t xml:space="preserve">. </w:t>
      </w:r>
    </w:p>
    <w:p w14:paraId="0A9F08B5" w14:textId="77777777" w:rsidR="008318E9" w:rsidRPr="00756608" w:rsidRDefault="008318E9" w:rsidP="00EB5C90">
      <w:pPr>
        <w:jc w:val="both"/>
        <w:rPr>
          <w:rFonts w:ascii="Times New Roman" w:hAnsi="Times New Roman" w:cs="Times New Roman"/>
        </w:rPr>
      </w:pPr>
      <w:r w:rsidRPr="00756608">
        <w:rPr>
          <w:rFonts w:ascii="Times New Roman" w:hAnsi="Times New Roman" w:cs="Times New Roman"/>
        </w:rPr>
        <w:t xml:space="preserve">Ellis, F. (2000). </w:t>
      </w:r>
      <w:r w:rsidRPr="00756608">
        <w:rPr>
          <w:rFonts w:ascii="Times New Roman" w:hAnsi="Times New Roman" w:cs="Times New Roman"/>
          <w:i/>
          <w:iCs/>
        </w:rPr>
        <w:t>Rural livelihoods and diversity in developing countries</w:t>
      </w:r>
      <w:r w:rsidRPr="00756608">
        <w:rPr>
          <w:rFonts w:ascii="Times New Roman" w:hAnsi="Times New Roman" w:cs="Times New Roman"/>
        </w:rPr>
        <w:t xml:space="preserve">. Oxford University Press. </w:t>
      </w:r>
    </w:p>
    <w:p w14:paraId="419303A2" w14:textId="58307726" w:rsidR="008318E9" w:rsidRPr="00756608" w:rsidRDefault="008318E9" w:rsidP="00EB5C90">
      <w:pPr>
        <w:jc w:val="both"/>
        <w:rPr>
          <w:rFonts w:ascii="Times New Roman" w:hAnsi="Times New Roman" w:cs="Times New Roman"/>
        </w:rPr>
      </w:pPr>
      <w:r w:rsidRPr="00756608">
        <w:rPr>
          <w:rFonts w:ascii="Times New Roman" w:hAnsi="Times New Roman" w:cs="Times New Roman"/>
        </w:rPr>
        <w:t xml:space="preserve">FAO. (2019). </w:t>
      </w:r>
      <w:r w:rsidRPr="00756608">
        <w:rPr>
          <w:rFonts w:ascii="Times New Roman" w:hAnsi="Times New Roman" w:cs="Times New Roman"/>
          <w:i/>
          <w:iCs/>
        </w:rPr>
        <w:t>Guidelines for the compilation of land use statistics</w:t>
      </w:r>
      <w:r w:rsidRPr="00756608">
        <w:rPr>
          <w:rFonts w:ascii="Times New Roman" w:hAnsi="Times New Roman" w:cs="Times New Roman"/>
        </w:rPr>
        <w:t xml:space="preserve">. Food and Agriculture Organization. </w:t>
      </w:r>
    </w:p>
    <w:p w14:paraId="4A7127B8" w14:textId="4336DC8E" w:rsidR="008318E9" w:rsidRPr="00756608" w:rsidRDefault="008318E9" w:rsidP="008318E9">
      <w:pPr>
        <w:jc w:val="both"/>
        <w:rPr>
          <w:rFonts w:ascii="Times New Roman" w:hAnsi="Times New Roman" w:cs="Times New Roman"/>
        </w:rPr>
      </w:pPr>
      <w:r w:rsidRPr="00756608">
        <w:rPr>
          <w:rFonts w:ascii="Times New Roman" w:hAnsi="Times New Roman" w:cs="Times New Roman"/>
        </w:rPr>
        <w:t xml:space="preserve">Government of India (2023). </w:t>
      </w:r>
      <w:r w:rsidRPr="00756608">
        <w:rPr>
          <w:rFonts w:ascii="Times New Roman" w:hAnsi="Times New Roman" w:cs="Times New Roman"/>
          <w:i/>
          <w:iCs/>
        </w:rPr>
        <w:t>Land Use Statistics at a Glance, 2013–14 to 2022–23</w:t>
      </w:r>
      <w:r w:rsidRPr="00756608">
        <w:rPr>
          <w:rFonts w:ascii="Times New Roman" w:hAnsi="Times New Roman" w:cs="Times New Roman"/>
        </w:rPr>
        <w:t>. Department of Agriculture &amp; Farmers Welfare.</w:t>
      </w:r>
    </w:p>
    <w:p w14:paraId="03F31102" w14:textId="6116D003" w:rsidR="008318E9" w:rsidRPr="00756608" w:rsidRDefault="008318E9" w:rsidP="008318E9">
      <w:pPr>
        <w:jc w:val="both"/>
        <w:rPr>
          <w:rFonts w:ascii="Times New Roman" w:hAnsi="Times New Roman" w:cs="Times New Roman"/>
        </w:rPr>
      </w:pPr>
      <w:r w:rsidRPr="00756608">
        <w:rPr>
          <w:rFonts w:ascii="Times New Roman" w:hAnsi="Times New Roman" w:cs="Times New Roman"/>
        </w:rPr>
        <w:t xml:space="preserve">Gowri Shankar R, </w:t>
      </w:r>
      <w:proofErr w:type="spellStart"/>
      <w:r w:rsidRPr="00756608">
        <w:rPr>
          <w:rFonts w:ascii="Times New Roman" w:hAnsi="Times New Roman" w:cs="Times New Roman"/>
        </w:rPr>
        <w:t>Malaisamy</w:t>
      </w:r>
      <w:proofErr w:type="spellEnd"/>
      <w:r w:rsidRPr="00756608">
        <w:rPr>
          <w:rFonts w:ascii="Times New Roman" w:hAnsi="Times New Roman" w:cs="Times New Roman"/>
        </w:rPr>
        <w:t xml:space="preserve"> A, </w:t>
      </w:r>
      <w:proofErr w:type="spellStart"/>
      <w:r w:rsidRPr="00756608">
        <w:rPr>
          <w:rFonts w:ascii="Times New Roman" w:hAnsi="Times New Roman" w:cs="Times New Roman"/>
        </w:rPr>
        <w:t>Balasubramaniam</w:t>
      </w:r>
      <w:proofErr w:type="spellEnd"/>
      <w:r w:rsidRPr="00756608">
        <w:rPr>
          <w:rFonts w:ascii="Times New Roman" w:hAnsi="Times New Roman" w:cs="Times New Roman"/>
        </w:rPr>
        <w:t xml:space="preserve"> M, Ragavan T, Velusamy R, Balaji R, Prabakaran K &amp; Sivasankari B. (2025). </w:t>
      </w:r>
      <w:r w:rsidRPr="00756608">
        <w:rPr>
          <w:rFonts w:ascii="Times New Roman" w:hAnsi="Times New Roman" w:cs="Times New Roman"/>
          <w:i/>
          <w:iCs/>
        </w:rPr>
        <w:t>Labour migration in Indian agriculture: Patterns, drivers and consequences—A systematic review</w:t>
      </w:r>
      <w:r w:rsidRPr="00756608">
        <w:rPr>
          <w:rFonts w:ascii="Times New Roman" w:hAnsi="Times New Roman" w:cs="Times New Roman"/>
        </w:rPr>
        <w:t xml:space="preserve">, Plant Science Today, ISSN 2348-1900 (online) </w:t>
      </w:r>
      <w:hyperlink r:id="rId20" w:history="1">
        <w:r w:rsidRPr="00756608">
          <w:rPr>
            <w:rStyle w:val="Hyperlink"/>
            <w:rFonts w:ascii="Times New Roman" w:hAnsi="Times New Roman" w:cs="Times New Roman"/>
          </w:rPr>
          <w:t>https://doi.org/10.14719/pst.6109</w:t>
        </w:r>
      </w:hyperlink>
      <w:r w:rsidRPr="00756608">
        <w:rPr>
          <w:rFonts w:ascii="Times New Roman" w:hAnsi="Times New Roman" w:cs="Times New Roman"/>
        </w:rPr>
        <w:t xml:space="preserve"> .</w:t>
      </w:r>
    </w:p>
    <w:p w14:paraId="12B84DCA" w14:textId="7B93D47F" w:rsidR="008318E9" w:rsidRPr="00756608" w:rsidRDefault="008318E9" w:rsidP="008318E9">
      <w:pPr>
        <w:jc w:val="both"/>
        <w:rPr>
          <w:rFonts w:ascii="Times New Roman" w:hAnsi="Times New Roman" w:cs="Times New Roman"/>
        </w:rPr>
      </w:pPr>
      <w:r w:rsidRPr="00756608">
        <w:rPr>
          <w:rFonts w:ascii="Times New Roman" w:hAnsi="Times New Roman" w:cs="Times New Roman"/>
        </w:rPr>
        <w:t xml:space="preserve">Karnataka State Department of Agriculture (KSDA). (2023). </w:t>
      </w:r>
      <w:r w:rsidRPr="00756608">
        <w:rPr>
          <w:rFonts w:ascii="Times New Roman" w:hAnsi="Times New Roman" w:cs="Times New Roman"/>
          <w:i/>
          <w:iCs/>
        </w:rPr>
        <w:t>Annual report 2022–23</w:t>
      </w:r>
      <w:r w:rsidRPr="00756608">
        <w:rPr>
          <w:rFonts w:ascii="Times New Roman" w:hAnsi="Times New Roman" w:cs="Times New Roman"/>
        </w:rPr>
        <w:t>. Bengaluru: KSDA.</w:t>
      </w:r>
    </w:p>
    <w:p w14:paraId="0FE56515" w14:textId="1739D831" w:rsidR="008318E9" w:rsidRPr="00756608" w:rsidRDefault="008318E9" w:rsidP="008318E9">
      <w:pPr>
        <w:jc w:val="both"/>
        <w:rPr>
          <w:rFonts w:ascii="Times New Roman" w:hAnsi="Times New Roman" w:cs="Times New Roman"/>
        </w:rPr>
      </w:pPr>
      <w:r w:rsidRPr="00756608">
        <w:rPr>
          <w:rFonts w:ascii="Times New Roman" w:hAnsi="Times New Roman" w:cs="Times New Roman"/>
        </w:rPr>
        <w:t xml:space="preserve">Lokesh S &amp; Poddar R. S. (2018). </w:t>
      </w:r>
      <w:r w:rsidRPr="00756608">
        <w:rPr>
          <w:rFonts w:ascii="Times New Roman" w:hAnsi="Times New Roman" w:cs="Times New Roman"/>
          <w:i/>
          <w:iCs/>
        </w:rPr>
        <w:t>Impact of Drought on Water Resources and Agriculture in Karnataka</w:t>
      </w:r>
      <w:r w:rsidRPr="00756608">
        <w:rPr>
          <w:rFonts w:ascii="Times New Roman" w:hAnsi="Times New Roman" w:cs="Times New Roman"/>
        </w:rPr>
        <w:t xml:space="preserve">. </w:t>
      </w:r>
      <w:r w:rsidRPr="00756608">
        <w:rPr>
          <w:rFonts w:ascii="Times New Roman" w:hAnsi="Times New Roman" w:cs="Times New Roman"/>
          <w:i/>
          <w:iCs/>
        </w:rPr>
        <w:t xml:space="preserve">Int. J. Pure App. </w:t>
      </w:r>
      <w:proofErr w:type="spellStart"/>
      <w:r w:rsidRPr="00756608">
        <w:rPr>
          <w:rFonts w:ascii="Times New Roman" w:hAnsi="Times New Roman" w:cs="Times New Roman"/>
          <w:i/>
          <w:iCs/>
        </w:rPr>
        <w:t>Biosci</w:t>
      </w:r>
      <w:proofErr w:type="spellEnd"/>
      <w:r w:rsidRPr="00756608">
        <w:rPr>
          <w:rFonts w:ascii="Times New Roman" w:hAnsi="Times New Roman" w:cs="Times New Roman"/>
          <w:i/>
          <w:iCs/>
        </w:rPr>
        <w:t xml:space="preserve">. 6(2): 1102-1107 (2018). </w:t>
      </w:r>
      <w:proofErr w:type="spellStart"/>
      <w:r w:rsidRPr="00756608">
        <w:rPr>
          <w:rFonts w:ascii="Times New Roman" w:hAnsi="Times New Roman" w:cs="Times New Roman"/>
          <w:i/>
          <w:iCs/>
        </w:rPr>
        <w:t>doi</w:t>
      </w:r>
      <w:proofErr w:type="spellEnd"/>
      <w:r w:rsidRPr="00756608">
        <w:rPr>
          <w:rFonts w:ascii="Times New Roman" w:hAnsi="Times New Roman" w:cs="Times New Roman"/>
          <w:i/>
          <w:iCs/>
        </w:rPr>
        <w:t xml:space="preserve">: </w:t>
      </w:r>
      <w:hyperlink r:id="rId21" w:history="1">
        <w:r w:rsidRPr="00756608">
          <w:rPr>
            <w:rStyle w:val="Hyperlink"/>
            <w:rFonts w:ascii="Times New Roman" w:hAnsi="Times New Roman" w:cs="Times New Roman"/>
            <w:i/>
            <w:iCs/>
          </w:rPr>
          <w:t>http://dx.doi.org/10.18782/2320-7051.5210</w:t>
        </w:r>
      </w:hyperlink>
      <w:r w:rsidRPr="00756608">
        <w:rPr>
          <w:rFonts w:ascii="Times New Roman" w:hAnsi="Times New Roman" w:cs="Times New Roman"/>
          <w:i/>
          <w:iCs/>
        </w:rPr>
        <w:t xml:space="preserve"> </w:t>
      </w:r>
      <w:r w:rsidRPr="00756608">
        <w:rPr>
          <w:rFonts w:ascii="Times New Roman" w:hAnsi="Times New Roman" w:cs="Times New Roman"/>
        </w:rPr>
        <w:t>.</w:t>
      </w:r>
    </w:p>
    <w:p w14:paraId="1132C736" w14:textId="3AF4FF6C" w:rsidR="008318E9" w:rsidRPr="00756608" w:rsidRDefault="008318E9" w:rsidP="007761CB">
      <w:pPr>
        <w:jc w:val="both"/>
        <w:rPr>
          <w:rFonts w:ascii="Times New Roman" w:hAnsi="Times New Roman" w:cs="Times New Roman"/>
        </w:rPr>
      </w:pPr>
      <w:r w:rsidRPr="00756608">
        <w:rPr>
          <w:rFonts w:ascii="Times New Roman" w:hAnsi="Times New Roman" w:cs="Times New Roman"/>
        </w:rPr>
        <w:t>Ministry of Agriculture</w:t>
      </w:r>
      <w:r w:rsidRPr="00756608">
        <w:rPr>
          <w:rFonts w:ascii="Times New Roman" w:hAnsi="Times New Roman" w:cs="Times New Roman"/>
          <w:color w:val="00B050"/>
        </w:rPr>
        <w:t xml:space="preserve"> </w:t>
      </w:r>
      <w:r w:rsidRPr="00756608">
        <w:rPr>
          <w:rFonts w:ascii="Times New Roman" w:hAnsi="Times New Roman" w:cs="Times New Roman"/>
        </w:rPr>
        <w:t xml:space="preserve">&amp; Farmers Welfare. (2023). </w:t>
      </w:r>
      <w:r w:rsidRPr="00756608">
        <w:rPr>
          <w:rFonts w:ascii="Times New Roman" w:hAnsi="Times New Roman" w:cs="Times New Roman"/>
          <w:i/>
          <w:iCs/>
        </w:rPr>
        <w:t>Land Use Statistics at a Glance 2022–23</w:t>
      </w:r>
      <w:r w:rsidRPr="00756608">
        <w:rPr>
          <w:rFonts w:ascii="Times New Roman" w:hAnsi="Times New Roman" w:cs="Times New Roman"/>
        </w:rPr>
        <w:t>. Government of India.</w:t>
      </w:r>
    </w:p>
    <w:p w14:paraId="0BEE806D" w14:textId="34A5CCE8" w:rsidR="007761CB" w:rsidRPr="00756608" w:rsidRDefault="00FE5476" w:rsidP="007761CB">
      <w:pPr>
        <w:jc w:val="both"/>
        <w:rPr>
          <w:rFonts w:ascii="Times New Roman" w:hAnsi="Times New Roman" w:cs="Times New Roman"/>
        </w:rPr>
      </w:pPr>
      <w:proofErr w:type="spellStart"/>
      <w:r w:rsidRPr="00756608">
        <w:rPr>
          <w:rFonts w:ascii="Times New Roman" w:hAnsi="Times New Roman" w:cs="Times New Roman"/>
        </w:rPr>
        <w:t>Nazarij</w:t>
      </w:r>
      <w:proofErr w:type="spellEnd"/>
      <w:r w:rsidRPr="00756608">
        <w:rPr>
          <w:rFonts w:ascii="Times New Roman" w:hAnsi="Times New Roman" w:cs="Times New Roman"/>
        </w:rPr>
        <w:t xml:space="preserve"> </w:t>
      </w:r>
      <w:proofErr w:type="spellStart"/>
      <w:r w:rsidRPr="00756608">
        <w:rPr>
          <w:rFonts w:ascii="Times New Roman" w:hAnsi="Times New Roman" w:cs="Times New Roman"/>
        </w:rPr>
        <w:t>Buławka</w:t>
      </w:r>
      <w:proofErr w:type="spellEnd"/>
      <w:r w:rsidRPr="00756608">
        <w:rPr>
          <w:rFonts w:ascii="Times New Roman" w:hAnsi="Times New Roman" w:cs="Times New Roman"/>
        </w:rPr>
        <w:t xml:space="preserve"> and Hector A. Orengo </w:t>
      </w:r>
      <w:r w:rsidR="007761CB" w:rsidRPr="00756608">
        <w:rPr>
          <w:rFonts w:ascii="Times New Roman" w:hAnsi="Times New Roman" w:cs="Times New Roman"/>
        </w:rPr>
        <w:t>(202</w:t>
      </w:r>
      <w:r w:rsidR="00BC59D6" w:rsidRPr="00756608">
        <w:rPr>
          <w:rFonts w:ascii="Times New Roman" w:hAnsi="Times New Roman" w:cs="Times New Roman"/>
        </w:rPr>
        <w:t>4</w:t>
      </w:r>
      <w:r w:rsidR="007761CB" w:rsidRPr="00756608">
        <w:rPr>
          <w:rFonts w:ascii="Times New Roman" w:hAnsi="Times New Roman" w:cs="Times New Roman"/>
        </w:rPr>
        <w:t xml:space="preserve">). </w:t>
      </w:r>
      <w:r w:rsidR="00FA1EB9" w:rsidRPr="00756608">
        <w:rPr>
          <w:rFonts w:ascii="Times New Roman" w:hAnsi="Times New Roman" w:cs="Times New Roman"/>
          <w:i/>
          <w:iCs/>
        </w:rPr>
        <w:t>Application of Multi-Temporal and Multisource Satellite</w:t>
      </w:r>
      <w:r w:rsidR="007F5F9E" w:rsidRPr="00756608">
        <w:rPr>
          <w:rFonts w:ascii="Times New Roman" w:hAnsi="Times New Roman" w:cs="Times New Roman"/>
          <w:i/>
          <w:iCs/>
        </w:rPr>
        <w:t xml:space="preserve"> </w:t>
      </w:r>
      <w:r w:rsidR="00FA1EB9" w:rsidRPr="00756608">
        <w:rPr>
          <w:rFonts w:ascii="Times New Roman" w:hAnsi="Times New Roman" w:cs="Times New Roman"/>
          <w:i/>
          <w:iCs/>
        </w:rPr>
        <w:t>Imagery in the Study of Irrigated Landscapes in Arid Climates</w:t>
      </w:r>
      <w:r w:rsidR="00F77C48" w:rsidRPr="00756608">
        <w:rPr>
          <w:rFonts w:ascii="Times New Roman" w:hAnsi="Times New Roman" w:cs="Times New Roman"/>
          <w:i/>
          <w:iCs/>
        </w:rPr>
        <w:t xml:space="preserve"> </w:t>
      </w:r>
      <w:r w:rsidR="007761CB" w:rsidRPr="00756608">
        <w:rPr>
          <w:rFonts w:ascii="Times New Roman" w:hAnsi="Times New Roman" w:cs="Times New Roman"/>
          <w:i/>
          <w:iCs/>
        </w:rPr>
        <w:t xml:space="preserve">International </w:t>
      </w:r>
      <w:r w:rsidR="00C177C0" w:rsidRPr="00756608">
        <w:rPr>
          <w:rFonts w:ascii="Times New Roman" w:hAnsi="Times New Roman" w:cs="Times New Roman"/>
          <w:i/>
          <w:iCs/>
        </w:rPr>
        <w:t xml:space="preserve">remote sensing </w:t>
      </w:r>
      <w:hyperlink r:id="rId22" w:history="1">
        <w:r w:rsidR="00C177C0" w:rsidRPr="00756608">
          <w:rPr>
            <w:rStyle w:val="Hyperlink"/>
            <w:rFonts w:ascii="Times New Roman" w:hAnsi="Times New Roman" w:cs="Times New Roman"/>
          </w:rPr>
          <w:t>https://doi.org/10.3390/rs16111997</w:t>
        </w:r>
      </w:hyperlink>
      <w:r w:rsidR="007761CB" w:rsidRPr="00756608">
        <w:rPr>
          <w:rFonts w:ascii="Times New Roman" w:hAnsi="Times New Roman" w:cs="Times New Roman"/>
        </w:rPr>
        <w:t>.</w:t>
      </w:r>
      <w:r w:rsidR="00C177C0" w:rsidRPr="00756608">
        <w:rPr>
          <w:rFonts w:ascii="Times New Roman" w:hAnsi="Times New Roman" w:cs="Times New Roman"/>
        </w:rPr>
        <w:t xml:space="preserve"> </w:t>
      </w:r>
    </w:p>
    <w:p w14:paraId="4E5C19A5" w14:textId="00B812F7" w:rsidR="008318E9" w:rsidRPr="00756608" w:rsidRDefault="008318E9" w:rsidP="007761CB">
      <w:pPr>
        <w:jc w:val="both"/>
        <w:rPr>
          <w:rFonts w:ascii="Times New Roman" w:hAnsi="Times New Roman" w:cs="Times New Roman"/>
        </w:rPr>
      </w:pPr>
      <w:r w:rsidRPr="00756608">
        <w:rPr>
          <w:rFonts w:ascii="Times New Roman" w:hAnsi="Times New Roman" w:cs="Times New Roman"/>
        </w:rPr>
        <w:t xml:space="preserve">Patil, S &amp; Murthy, K. N. (2011). </w:t>
      </w:r>
      <w:r w:rsidRPr="00756608">
        <w:rPr>
          <w:rFonts w:ascii="Times New Roman" w:hAnsi="Times New Roman" w:cs="Times New Roman"/>
          <w:i/>
          <w:iCs/>
        </w:rPr>
        <w:t xml:space="preserve">Livelihood systems for rural community in </w:t>
      </w:r>
      <w:proofErr w:type="spellStart"/>
      <w:r w:rsidRPr="00756608">
        <w:rPr>
          <w:rFonts w:ascii="Times New Roman" w:hAnsi="Times New Roman" w:cs="Times New Roman"/>
          <w:i/>
          <w:iCs/>
        </w:rPr>
        <w:t>Chitradurga</w:t>
      </w:r>
      <w:proofErr w:type="spellEnd"/>
      <w:r w:rsidRPr="00756608">
        <w:rPr>
          <w:rFonts w:ascii="Times New Roman" w:hAnsi="Times New Roman" w:cs="Times New Roman"/>
          <w:i/>
          <w:iCs/>
        </w:rPr>
        <w:t xml:space="preserve"> district of Karnataka state Karnataka Journal of Agricultural Sciences 24(3), 102-115.</w:t>
      </w:r>
    </w:p>
    <w:p w14:paraId="3A8CAE1E" w14:textId="5A441C49" w:rsidR="008318E9" w:rsidRPr="00756608" w:rsidRDefault="00EB5C90" w:rsidP="007761CB">
      <w:pPr>
        <w:jc w:val="both"/>
        <w:rPr>
          <w:rFonts w:ascii="Times New Roman" w:hAnsi="Times New Roman" w:cs="Times New Roman"/>
        </w:rPr>
      </w:pPr>
      <w:r w:rsidRPr="00756608">
        <w:rPr>
          <w:rFonts w:ascii="Times New Roman" w:hAnsi="Times New Roman" w:cs="Times New Roman"/>
        </w:rPr>
        <w:lastRenderedPageBreak/>
        <w:t xml:space="preserve">Reddy, A. A (2014). </w:t>
      </w:r>
      <w:r w:rsidRPr="00756608">
        <w:rPr>
          <w:rFonts w:ascii="Times New Roman" w:hAnsi="Times New Roman" w:cs="Times New Roman"/>
          <w:i/>
          <w:iCs/>
        </w:rPr>
        <w:t>Profitability and Labour Use in Cropping Systems</w:t>
      </w:r>
      <w:r w:rsidRPr="00756608">
        <w:rPr>
          <w:rFonts w:ascii="Times New Roman" w:hAnsi="Times New Roman" w:cs="Times New Roman"/>
        </w:rPr>
        <w:t xml:space="preserve"> </w:t>
      </w:r>
      <w:r w:rsidRPr="00756608">
        <w:rPr>
          <w:rFonts w:ascii="Times New Roman" w:hAnsi="Times New Roman" w:cs="Times New Roman"/>
          <w:i/>
          <w:iCs/>
        </w:rPr>
        <w:t>Indian J. Dryland Agric. Res. &amp; Dev. 2014 29(1): 97-106</w:t>
      </w:r>
      <w:r w:rsidRPr="00756608">
        <w:rPr>
          <w:rFonts w:ascii="Times New Roman" w:hAnsi="Times New Roman" w:cs="Times New Roman"/>
        </w:rPr>
        <w:t>.</w:t>
      </w:r>
    </w:p>
    <w:p w14:paraId="0961FC42" w14:textId="31C5FF1D" w:rsidR="00EB5C90" w:rsidRPr="00756608" w:rsidRDefault="00EB5C90" w:rsidP="007761CB">
      <w:pPr>
        <w:jc w:val="both"/>
        <w:rPr>
          <w:rFonts w:ascii="Times New Roman" w:hAnsi="Times New Roman" w:cs="Times New Roman"/>
        </w:rPr>
      </w:pPr>
      <w:r w:rsidRPr="00756608">
        <w:rPr>
          <w:rFonts w:ascii="Times New Roman" w:hAnsi="Times New Roman" w:cs="Times New Roman"/>
        </w:rPr>
        <w:t>Rose Mathews,</w:t>
      </w:r>
      <w:r w:rsidRPr="00756608">
        <w:rPr>
          <w:rFonts w:ascii="Times New Roman" w:hAnsi="Times New Roman" w:cs="Times New Roman"/>
          <w:sz w:val="27"/>
          <w:szCs w:val="27"/>
          <w:shd w:val="clear" w:color="auto" w:fill="FFFFFF"/>
        </w:rPr>
        <w:t xml:space="preserve"> </w:t>
      </w:r>
      <w:r w:rsidRPr="00756608">
        <w:rPr>
          <w:rFonts w:ascii="Times New Roman" w:hAnsi="Times New Roman" w:cs="Times New Roman"/>
        </w:rPr>
        <w:t xml:space="preserve">Binoo P Bonny &amp; Poonam Bandu Bhange. (2024). </w:t>
      </w:r>
      <w:r w:rsidRPr="00756608">
        <w:rPr>
          <w:rFonts w:ascii="Times New Roman" w:hAnsi="Times New Roman" w:cs="Times New Roman"/>
          <w:i/>
          <w:iCs/>
        </w:rPr>
        <w:br/>
        <w:t xml:space="preserve">Determinants of Agricultural Land Fallowing in Kerala, India: </w:t>
      </w:r>
      <w:hyperlink r:id="rId23" w:history="1">
        <w:r w:rsidRPr="00756608">
          <w:rPr>
            <w:rStyle w:val="Hyperlink"/>
            <w:rFonts w:ascii="Times New Roman" w:hAnsi="Times New Roman" w:cs="Times New Roman"/>
            <w:i/>
            <w:iCs/>
          </w:rPr>
          <w:t>Asian Journal of Agricultural Extension Economics &amp; Sociology</w:t>
        </w:r>
      </w:hyperlink>
      <w:r w:rsidRPr="00756608">
        <w:rPr>
          <w:rFonts w:ascii="Times New Roman" w:hAnsi="Times New Roman" w:cs="Times New Roman"/>
          <w:i/>
          <w:iCs/>
        </w:rPr>
        <w:t> 42(12):140-153, doi:</w:t>
      </w:r>
      <w:hyperlink r:id="rId24" w:tgtFrame="_blank" w:history="1">
        <w:r w:rsidRPr="00756608">
          <w:rPr>
            <w:rStyle w:val="Hyperlink"/>
            <w:rFonts w:ascii="Times New Roman" w:hAnsi="Times New Roman" w:cs="Times New Roman"/>
            <w:i/>
            <w:iCs/>
          </w:rPr>
          <w:t>10.9734/</w:t>
        </w:r>
        <w:proofErr w:type="spellStart"/>
        <w:r w:rsidRPr="00756608">
          <w:rPr>
            <w:rStyle w:val="Hyperlink"/>
            <w:rFonts w:ascii="Times New Roman" w:hAnsi="Times New Roman" w:cs="Times New Roman"/>
            <w:i/>
            <w:iCs/>
          </w:rPr>
          <w:t>ajaees</w:t>
        </w:r>
        <w:proofErr w:type="spellEnd"/>
        <w:r w:rsidRPr="00756608">
          <w:rPr>
            <w:rStyle w:val="Hyperlink"/>
            <w:rFonts w:ascii="Times New Roman" w:hAnsi="Times New Roman" w:cs="Times New Roman"/>
            <w:i/>
            <w:iCs/>
          </w:rPr>
          <w:t>/2024/v42i122640</w:t>
        </w:r>
      </w:hyperlink>
    </w:p>
    <w:p w14:paraId="29EC8048" w14:textId="6808AB25" w:rsidR="008318E9" w:rsidRPr="00756608" w:rsidRDefault="00EB5C90" w:rsidP="007761CB">
      <w:pPr>
        <w:jc w:val="both"/>
        <w:rPr>
          <w:rFonts w:ascii="Times New Roman" w:hAnsi="Times New Roman" w:cs="Times New Roman"/>
        </w:rPr>
      </w:pPr>
      <w:r w:rsidRPr="00756608">
        <w:rPr>
          <w:rFonts w:ascii="Times New Roman" w:hAnsi="Times New Roman" w:cs="Times New Roman"/>
        </w:rPr>
        <w:t xml:space="preserve">Satheesha B (2023). </w:t>
      </w:r>
      <w:r w:rsidRPr="00756608">
        <w:rPr>
          <w:rFonts w:ascii="Times New Roman" w:hAnsi="Times New Roman" w:cs="Times New Roman"/>
          <w:i/>
          <w:iCs/>
        </w:rPr>
        <w:t>Changing Rural Labour Markets in India</w:t>
      </w:r>
      <w:r w:rsidRPr="00756608">
        <w:rPr>
          <w:rFonts w:ascii="Times New Roman" w:hAnsi="Times New Roman" w:cs="Times New Roman"/>
          <w:i/>
          <w:iCs/>
        </w:rPr>
        <w:br/>
        <w:t>Evidence from a Village in Southern Karnataka</w:t>
      </w:r>
      <w:r w:rsidRPr="00756608">
        <w:rPr>
          <w:rFonts w:ascii="Times New Roman" w:hAnsi="Times New Roman" w:cs="Times New Roman"/>
        </w:rPr>
        <w:t xml:space="preserve">. </w:t>
      </w:r>
      <w:r w:rsidRPr="00756608">
        <w:rPr>
          <w:rFonts w:ascii="Times New Roman" w:hAnsi="Times New Roman" w:cs="Times New Roman"/>
          <w:i/>
          <w:iCs/>
        </w:rPr>
        <w:t>Review of Agrarian Studies vol. 13, no. 2, July–December, 2023</w:t>
      </w:r>
      <w:r w:rsidRPr="00756608">
        <w:rPr>
          <w:rFonts w:ascii="Times New Roman" w:hAnsi="Times New Roman" w:cs="Times New Roman"/>
        </w:rPr>
        <w:t xml:space="preserve">. </w:t>
      </w:r>
      <w:hyperlink r:id="rId25" w:history="1">
        <w:r w:rsidRPr="00756608">
          <w:rPr>
            <w:rStyle w:val="Hyperlink"/>
            <w:rFonts w:ascii="Times New Roman" w:hAnsi="Times New Roman" w:cs="Times New Roman"/>
          </w:rPr>
          <w:t>https://doi.org/10.25003/RAS.13.02.0003</w:t>
        </w:r>
      </w:hyperlink>
    </w:p>
    <w:p w14:paraId="4AB2A547" w14:textId="1C54C059" w:rsidR="007761CB" w:rsidRPr="00756608" w:rsidRDefault="00C35986" w:rsidP="007761CB">
      <w:pPr>
        <w:jc w:val="both"/>
        <w:rPr>
          <w:rFonts w:ascii="Times New Roman" w:hAnsi="Times New Roman" w:cs="Times New Roman"/>
          <w:i/>
          <w:iCs/>
        </w:rPr>
      </w:pPr>
      <w:r w:rsidRPr="00756608">
        <w:rPr>
          <w:rFonts w:ascii="Times New Roman" w:hAnsi="Times New Roman" w:cs="Times New Roman"/>
        </w:rPr>
        <w:t xml:space="preserve">Seema Purushothaman </w:t>
      </w:r>
      <w:r w:rsidRPr="00756608">
        <w:rPr>
          <w:rFonts w:ascii="Times New Roman" w:hAnsi="Times New Roman" w:cs="Times New Roman"/>
          <w:color w:val="131314"/>
        </w:rPr>
        <w:t>&amp; Sheetal Patil</w:t>
      </w:r>
      <w:r w:rsidRPr="00756608">
        <w:rPr>
          <w:rFonts w:ascii="Times New Roman" w:hAnsi="Times New Roman" w:cs="Times New Roman"/>
        </w:rPr>
        <w:t xml:space="preserve"> </w:t>
      </w:r>
      <w:r w:rsidR="007761CB" w:rsidRPr="00756608">
        <w:rPr>
          <w:rFonts w:ascii="Times New Roman" w:hAnsi="Times New Roman" w:cs="Times New Roman"/>
        </w:rPr>
        <w:t>(20</w:t>
      </w:r>
      <w:r w:rsidRPr="00756608">
        <w:rPr>
          <w:rFonts w:ascii="Times New Roman" w:hAnsi="Times New Roman" w:cs="Times New Roman"/>
        </w:rPr>
        <w:t>19</w:t>
      </w:r>
      <w:r w:rsidR="007761CB" w:rsidRPr="00756608">
        <w:rPr>
          <w:rFonts w:ascii="Times New Roman" w:hAnsi="Times New Roman" w:cs="Times New Roman"/>
        </w:rPr>
        <w:t xml:space="preserve">). </w:t>
      </w:r>
      <w:r w:rsidRPr="00756608">
        <w:rPr>
          <w:rFonts w:ascii="Times New Roman" w:hAnsi="Times New Roman" w:cs="Times New Roman"/>
          <w:i/>
          <w:iCs/>
        </w:rPr>
        <w:t>Agrarian Change and Urbanization in Southern India: City and the Peasant</w:t>
      </w:r>
      <w:r w:rsidR="007761CB" w:rsidRPr="00756608">
        <w:rPr>
          <w:rFonts w:ascii="Times New Roman" w:hAnsi="Times New Roman" w:cs="Times New Roman"/>
        </w:rPr>
        <w:t xml:space="preserve">. </w:t>
      </w:r>
      <w:r w:rsidRPr="00756608">
        <w:rPr>
          <w:rFonts w:ascii="Times New Roman" w:hAnsi="Times New Roman" w:cs="Times New Roman"/>
          <w:i/>
          <w:iCs/>
        </w:rPr>
        <w:t>January 2019</w:t>
      </w:r>
      <w:r w:rsidRPr="00756608">
        <w:rPr>
          <w:rFonts w:ascii="Times New Roman" w:hAnsi="Times New Roman" w:cs="Times New Roman"/>
        </w:rPr>
        <w:t xml:space="preserve"> </w:t>
      </w:r>
      <w:proofErr w:type="spellStart"/>
      <w:r w:rsidRPr="00756608">
        <w:rPr>
          <w:rFonts w:ascii="Times New Roman" w:hAnsi="Times New Roman" w:cs="Times New Roman"/>
          <w:i/>
          <w:iCs/>
        </w:rPr>
        <w:t>doi</w:t>
      </w:r>
      <w:proofErr w:type="spellEnd"/>
      <w:r w:rsidRPr="00756608">
        <w:rPr>
          <w:rFonts w:ascii="Times New Roman" w:hAnsi="Times New Roman" w:cs="Times New Roman"/>
          <w:i/>
          <w:iCs/>
        </w:rPr>
        <w:t>: </w:t>
      </w:r>
      <w:hyperlink r:id="rId26" w:tgtFrame="_blank" w:history="1">
        <w:r w:rsidRPr="00756608">
          <w:rPr>
            <w:rStyle w:val="Hyperlink"/>
            <w:rFonts w:ascii="Times New Roman" w:hAnsi="Times New Roman" w:cs="Times New Roman"/>
            <w:i/>
            <w:iCs/>
          </w:rPr>
          <w:t>10.1007/978-981-10-8336-5</w:t>
        </w:r>
      </w:hyperlink>
      <w:r w:rsidRPr="00756608">
        <w:rPr>
          <w:rFonts w:ascii="Times New Roman" w:hAnsi="Times New Roman" w:cs="Times New Roman"/>
        </w:rPr>
        <w:t xml:space="preserve"> </w:t>
      </w:r>
      <w:r w:rsidRPr="00756608">
        <w:rPr>
          <w:rFonts w:ascii="Times New Roman" w:hAnsi="Times New Roman" w:cs="Times New Roman"/>
          <w:i/>
          <w:iCs/>
        </w:rPr>
        <w:t>ISBN: 978-981-10-8335-8</w:t>
      </w:r>
    </w:p>
    <w:p w14:paraId="584FB31E" w14:textId="7D73D98E" w:rsidR="00EB5C90" w:rsidRPr="00756608" w:rsidRDefault="00EB5C90" w:rsidP="007761CB">
      <w:pPr>
        <w:jc w:val="both"/>
        <w:rPr>
          <w:rFonts w:ascii="Times New Roman" w:hAnsi="Times New Roman" w:cs="Times New Roman"/>
          <w:i/>
          <w:iCs/>
        </w:rPr>
      </w:pPr>
      <w:r w:rsidRPr="00756608">
        <w:rPr>
          <w:rFonts w:ascii="Times New Roman" w:hAnsi="Times New Roman" w:cs="Times New Roman"/>
        </w:rPr>
        <w:t xml:space="preserve">Srinivasan. R &amp; Ramamurthy. V (2025). </w:t>
      </w:r>
      <w:r w:rsidRPr="00756608">
        <w:rPr>
          <w:rFonts w:ascii="Times New Roman" w:hAnsi="Times New Roman" w:cs="Times New Roman"/>
          <w:i/>
          <w:iCs/>
        </w:rPr>
        <w:t>Mapping of the fallow land using Landsat imageries for utilization of cropping area in Tamil Nadu, India Journal of Soil and Water Conservation 24(1): 27-36</w:t>
      </w:r>
      <w:r w:rsidRPr="00756608">
        <w:rPr>
          <w:rFonts w:ascii="Times New Roman" w:hAnsi="Times New Roman" w:cs="Times New Roman"/>
        </w:rPr>
        <w:t>.</w:t>
      </w:r>
    </w:p>
    <w:sectPr w:rsidR="00EB5C90" w:rsidRPr="00756608">
      <w:headerReference w:type="even" r:id="rId27"/>
      <w:headerReference w:type="default" r:id="rId28"/>
      <w:footerReference w:type="default" r:id="rId29"/>
      <w:head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35E17" w14:textId="77777777" w:rsidR="00ED0869" w:rsidRDefault="00ED0869" w:rsidP="00FF651F">
      <w:pPr>
        <w:spacing w:after="0" w:line="240" w:lineRule="auto"/>
      </w:pPr>
      <w:r>
        <w:separator/>
      </w:r>
    </w:p>
  </w:endnote>
  <w:endnote w:type="continuationSeparator" w:id="0">
    <w:p w14:paraId="4963FF36" w14:textId="77777777" w:rsidR="00ED0869" w:rsidRDefault="00ED0869" w:rsidP="00FF6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8232194"/>
      <w:docPartObj>
        <w:docPartGallery w:val="Page Numbers (Bottom of Page)"/>
        <w:docPartUnique/>
      </w:docPartObj>
    </w:sdtPr>
    <w:sdtEndPr>
      <w:rPr>
        <w:noProof/>
      </w:rPr>
    </w:sdtEndPr>
    <w:sdtContent>
      <w:p w14:paraId="494C9FE7" w14:textId="29F7AAA1" w:rsidR="00F81682" w:rsidRDefault="00F816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561A12" w14:textId="77777777" w:rsidR="00883FDC" w:rsidRDefault="00883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7E9A6" w14:textId="77777777" w:rsidR="00ED0869" w:rsidRDefault="00ED0869" w:rsidP="00FF651F">
      <w:pPr>
        <w:spacing w:after="0" w:line="240" w:lineRule="auto"/>
      </w:pPr>
      <w:r>
        <w:separator/>
      </w:r>
    </w:p>
  </w:footnote>
  <w:footnote w:type="continuationSeparator" w:id="0">
    <w:p w14:paraId="04C98B1C" w14:textId="77777777" w:rsidR="00ED0869" w:rsidRDefault="00ED0869" w:rsidP="00FF6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44951" w14:textId="64912610" w:rsidR="00883FDC" w:rsidRDefault="00ED0869">
    <w:pPr>
      <w:pStyle w:val="Header"/>
    </w:pPr>
    <w:r>
      <w:rPr>
        <w:noProof/>
      </w:rPr>
      <w:pict w14:anchorId="12766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336907" o:spid="_x0000_s2050" type="#_x0000_t136" style="position:absolute;margin-left:0;margin-top:0;width:277.5pt;height:52.3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70CBA" w14:textId="66E2D6F6" w:rsidR="00883FDC" w:rsidRDefault="00ED0869">
    <w:pPr>
      <w:pStyle w:val="Header"/>
    </w:pPr>
    <w:r>
      <w:rPr>
        <w:noProof/>
      </w:rPr>
      <w:pict w14:anchorId="1C258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336908" o:spid="_x0000_s2051" type="#_x0000_t136" style="position:absolute;margin-left:0;margin-top:0;width:277.5pt;height:52.3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9DAF7" w14:textId="38B7AE56" w:rsidR="00883FDC" w:rsidRDefault="00ED0869">
    <w:pPr>
      <w:pStyle w:val="Header"/>
    </w:pPr>
    <w:r>
      <w:rPr>
        <w:noProof/>
      </w:rPr>
      <w:pict w14:anchorId="49220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336906" o:spid="_x0000_s2049" type="#_x0000_t136" style="position:absolute;margin-left:0;margin-top:0;width:277.5pt;height:52.3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60EF2"/>
    <w:multiLevelType w:val="multilevel"/>
    <w:tmpl w:val="33AE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02152"/>
    <w:multiLevelType w:val="multilevel"/>
    <w:tmpl w:val="DD2E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D366E"/>
    <w:multiLevelType w:val="multilevel"/>
    <w:tmpl w:val="9B52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5466C"/>
    <w:multiLevelType w:val="multilevel"/>
    <w:tmpl w:val="C202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91BA2"/>
    <w:multiLevelType w:val="multilevel"/>
    <w:tmpl w:val="849A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F58E1"/>
    <w:multiLevelType w:val="multilevel"/>
    <w:tmpl w:val="FAF0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A666B"/>
    <w:multiLevelType w:val="multilevel"/>
    <w:tmpl w:val="D498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12730D"/>
    <w:multiLevelType w:val="multilevel"/>
    <w:tmpl w:val="3484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B16B95"/>
    <w:multiLevelType w:val="multilevel"/>
    <w:tmpl w:val="0E1A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281D47"/>
    <w:multiLevelType w:val="hybridMultilevel"/>
    <w:tmpl w:val="E2E2A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5D0B13"/>
    <w:multiLevelType w:val="multilevel"/>
    <w:tmpl w:val="F9A61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8271BE"/>
    <w:multiLevelType w:val="multilevel"/>
    <w:tmpl w:val="9560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DD7A0E"/>
    <w:multiLevelType w:val="multilevel"/>
    <w:tmpl w:val="8786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BD0309"/>
    <w:multiLevelType w:val="multilevel"/>
    <w:tmpl w:val="303A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2B0C24"/>
    <w:multiLevelType w:val="multilevel"/>
    <w:tmpl w:val="F5FE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8B771F"/>
    <w:multiLevelType w:val="multilevel"/>
    <w:tmpl w:val="81CCE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E67BE2"/>
    <w:multiLevelType w:val="multilevel"/>
    <w:tmpl w:val="AFE20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C15968"/>
    <w:multiLevelType w:val="multilevel"/>
    <w:tmpl w:val="5F36E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CF2F87"/>
    <w:multiLevelType w:val="multilevel"/>
    <w:tmpl w:val="F612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A040E5"/>
    <w:multiLevelType w:val="multilevel"/>
    <w:tmpl w:val="B9A6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5D06E8"/>
    <w:multiLevelType w:val="multilevel"/>
    <w:tmpl w:val="6ABC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4C4E53"/>
    <w:multiLevelType w:val="multilevel"/>
    <w:tmpl w:val="34E0D9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B6144F"/>
    <w:multiLevelType w:val="hybridMultilevel"/>
    <w:tmpl w:val="44B2BAF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6"/>
  </w:num>
  <w:num w:numId="3">
    <w:abstractNumId w:val="19"/>
  </w:num>
  <w:num w:numId="4">
    <w:abstractNumId w:val="10"/>
  </w:num>
  <w:num w:numId="5">
    <w:abstractNumId w:val="3"/>
  </w:num>
  <w:num w:numId="6">
    <w:abstractNumId w:val="16"/>
  </w:num>
  <w:num w:numId="7">
    <w:abstractNumId w:val="13"/>
  </w:num>
  <w:num w:numId="8">
    <w:abstractNumId w:val="14"/>
  </w:num>
  <w:num w:numId="9">
    <w:abstractNumId w:val="11"/>
  </w:num>
  <w:num w:numId="10">
    <w:abstractNumId w:val="12"/>
  </w:num>
  <w:num w:numId="11">
    <w:abstractNumId w:val="15"/>
  </w:num>
  <w:num w:numId="12">
    <w:abstractNumId w:val="21"/>
  </w:num>
  <w:num w:numId="13">
    <w:abstractNumId w:val="5"/>
  </w:num>
  <w:num w:numId="14">
    <w:abstractNumId w:val="8"/>
  </w:num>
  <w:num w:numId="15">
    <w:abstractNumId w:val="2"/>
  </w:num>
  <w:num w:numId="16">
    <w:abstractNumId w:val="4"/>
  </w:num>
  <w:num w:numId="17">
    <w:abstractNumId w:val="18"/>
  </w:num>
  <w:num w:numId="18">
    <w:abstractNumId w:val="17"/>
  </w:num>
  <w:num w:numId="19">
    <w:abstractNumId w:val="1"/>
  </w:num>
  <w:num w:numId="20">
    <w:abstractNumId w:val="7"/>
  </w:num>
  <w:num w:numId="21">
    <w:abstractNumId w:val="0"/>
  </w:num>
  <w:num w:numId="22">
    <w:abstractNumId w:val="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17D"/>
    <w:rsid w:val="000141EA"/>
    <w:rsid w:val="00014FB1"/>
    <w:rsid w:val="000838B5"/>
    <w:rsid w:val="000E6AB3"/>
    <w:rsid w:val="001227D7"/>
    <w:rsid w:val="0015420F"/>
    <w:rsid w:val="001915BE"/>
    <w:rsid w:val="001C5F2F"/>
    <w:rsid w:val="001F0F3A"/>
    <w:rsid w:val="00221B8E"/>
    <w:rsid w:val="002223BC"/>
    <w:rsid w:val="00247BD9"/>
    <w:rsid w:val="002C7208"/>
    <w:rsid w:val="002E161E"/>
    <w:rsid w:val="002E2059"/>
    <w:rsid w:val="002E7AD5"/>
    <w:rsid w:val="00317787"/>
    <w:rsid w:val="00345381"/>
    <w:rsid w:val="00366E26"/>
    <w:rsid w:val="003A073C"/>
    <w:rsid w:val="00413FE2"/>
    <w:rsid w:val="004166C5"/>
    <w:rsid w:val="004620DA"/>
    <w:rsid w:val="004E21C2"/>
    <w:rsid w:val="004F2F31"/>
    <w:rsid w:val="00500F34"/>
    <w:rsid w:val="00531641"/>
    <w:rsid w:val="00534884"/>
    <w:rsid w:val="00547D0C"/>
    <w:rsid w:val="005642A9"/>
    <w:rsid w:val="00567661"/>
    <w:rsid w:val="005A6E3C"/>
    <w:rsid w:val="005B2D1F"/>
    <w:rsid w:val="00604FFB"/>
    <w:rsid w:val="0061630C"/>
    <w:rsid w:val="00657A52"/>
    <w:rsid w:val="0067583E"/>
    <w:rsid w:val="0071252C"/>
    <w:rsid w:val="00723E38"/>
    <w:rsid w:val="00725A9F"/>
    <w:rsid w:val="00747686"/>
    <w:rsid w:val="007565D7"/>
    <w:rsid w:val="00756608"/>
    <w:rsid w:val="00760E1E"/>
    <w:rsid w:val="00766A92"/>
    <w:rsid w:val="007761CB"/>
    <w:rsid w:val="00785482"/>
    <w:rsid w:val="007B3A78"/>
    <w:rsid w:val="007D19CE"/>
    <w:rsid w:val="007E641D"/>
    <w:rsid w:val="007F5F9E"/>
    <w:rsid w:val="00804F6A"/>
    <w:rsid w:val="0081471E"/>
    <w:rsid w:val="008318E9"/>
    <w:rsid w:val="00843ACA"/>
    <w:rsid w:val="0085511F"/>
    <w:rsid w:val="00867BE7"/>
    <w:rsid w:val="00873F84"/>
    <w:rsid w:val="00883FDC"/>
    <w:rsid w:val="00887A91"/>
    <w:rsid w:val="008B1F10"/>
    <w:rsid w:val="008C21A5"/>
    <w:rsid w:val="008C604B"/>
    <w:rsid w:val="008E7A8C"/>
    <w:rsid w:val="009112D5"/>
    <w:rsid w:val="00924339"/>
    <w:rsid w:val="00933F62"/>
    <w:rsid w:val="00954D56"/>
    <w:rsid w:val="00972DF7"/>
    <w:rsid w:val="009B0654"/>
    <w:rsid w:val="009B3F97"/>
    <w:rsid w:val="009B69D9"/>
    <w:rsid w:val="009D1BB6"/>
    <w:rsid w:val="009E76D5"/>
    <w:rsid w:val="00A10D2B"/>
    <w:rsid w:val="00A24395"/>
    <w:rsid w:val="00A67B88"/>
    <w:rsid w:val="00A955D3"/>
    <w:rsid w:val="00AA0A7C"/>
    <w:rsid w:val="00AC48F0"/>
    <w:rsid w:val="00AD4757"/>
    <w:rsid w:val="00AE3F8F"/>
    <w:rsid w:val="00B25670"/>
    <w:rsid w:val="00B445C5"/>
    <w:rsid w:val="00B80190"/>
    <w:rsid w:val="00BA53FF"/>
    <w:rsid w:val="00BB0DCE"/>
    <w:rsid w:val="00BC59D6"/>
    <w:rsid w:val="00BD5105"/>
    <w:rsid w:val="00BE36D3"/>
    <w:rsid w:val="00BE7545"/>
    <w:rsid w:val="00C00F72"/>
    <w:rsid w:val="00C177C0"/>
    <w:rsid w:val="00C2302C"/>
    <w:rsid w:val="00C35986"/>
    <w:rsid w:val="00CA6391"/>
    <w:rsid w:val="00CB7703"/>
    <w:rsid w:val="00D1382B"/>
    <w:rsid w:val="00D50BE6"/>
    <w:rsid w:val="00D53D9F"/>
    <w:rsid w:val="00D67FE9"/>
    <w:rsid w:val="00D708F2"/>
    <w:rsid w:val="00D86878"/>
    <w:rsid w:val="00DC1412"/>
    <w:rsid w:val="00DF1D97"/>
    <w:rsid w:val="00DF2EB0"/>
    <w:rsid w:val="00E07776"/>
    <w:rsid w:val="00E11DC1"/>
    <w:rsid w:val="00E15774"/>
    <w:rsid w:val="00E17921"/>
    <w:rsid w:val="00E257C9"/>
    <w:rsid w:val="00E575F4"/>
    <w:rsid w:val="00E66744"/>
    <w:rsid w:val="00E710A3"/>
    <w:rsid w:val="00E73111"/>
    <w:rsid w:val="00E90C4A"/>
    <w:rsid w:val="00E95258"/>
    <w:rsid w:val="00EB5C90"/>
    <w:rsid w:val="00ED0869"/>
    <w:rsid w:val="00ED43A6"/>
    <w:rsid w:val="00F4317D"/>
    <w:rsid w:val="00F77C48"/>
    <w:rsid w:val="00F81682"/>
    <w:rsid w:val="00F9542C"/>
    <w:rsid w:val="00FA1EB9"/>
    <w:rsid w:val="00FA4C30"/>
    <w:rsid w:val="00FB0DE4"/>
    <w:rsid w:val="00FC4905"/>
    <w:rsid w:val="00FE0061"/>
    <w:rsid w:val="00FE1A2E"/>
    <w:rsid w:val="00FE5476"/>
    <w:rsid w:val="00FF133C"/>
    <w:rsid w:val="00FF2FE4"/>
    <w:rsid w:val="00FF651F"/>
    <w:rsid w:val="00FF6F71"/>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98548B"/>
  <w15:chartTrackingRefBased/>
  <w15:docId w15:val="{F0E89439-8C24-4E4E-A11B-177F8A47B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1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31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31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31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31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3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1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31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31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31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31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3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17D"/>
    <w:rPr>
      <w:rFonts w:eastAsiaTheme="majorEastAsia" w:cstheme="majorBidi"/>
      <w:color w:val="272727" w:themeColor="text1" w:themeTint="D8"/>
    </w:rPr>
  </w:style>
  <w:style w:type="paragraph" w:styleId="Title">
    <w:name w:val="Title"/>
    <w:basedOn w:val="Normal"/>
    <w:next w:val="Normal"/>
    <w:link w:val="TitleChar"/>
    <w:uiPriority w:val="10"/>
    <w:qFormat/>
    <w:rsid w:val="00F43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17D"/>
    <w:pPr>
      <w:spacing w:before="160"/>
      <w:jc w:val="center"/>
    </w:pPr>
    <w:rPr>
      <w:i/>
      <w:iCs/>
      <w:color w:val="404040" w:themeColor="text1" w:themeTint="BF"/>
    </w:rPr>
  </w:style>
  <w:style w:type="character" w:customStyle="1" w:styleId="QuoteChar">
    <w:name w:val="Quote Char"/>
    <w:basedOn w:val="DefaultParagraphFont"/>
    <w:link w:val="Quote"/>
    <w:uiPriority w:val="29"/>
    <w:rsid w:val="00F4317D"/>
    <w:rPr>
      <w:i/>
      <w:iCs/>
      <w:color w:val="404040" w:themeColor="text1" w:themeTint="BF"/>
    </w:rPr>
  </w:style>
  <w:style w:type="paragraph" w:styleId="ListParagraph">
    <w:name w:val="List Paragraph"/>
    <w:basedOn w:val="Normal"/>
    <w:uiPriority w:val="34"/>
    <w:qFormat/>
    <w:rsid w:val="00F4317D"/>
    <w:pPr>
      <w:ind w:left="720"/>
      <w:contextualSpacing/>
    </w:pPr>
  </w:style>
  <w:style w:type="character" w:styleId="IntenseEmphasis">
    <w:name w:val="Intense Emphasis"/>
    <w:basedOn w:val="DefaultParagraphFont"/>
    <w:uiPriority w:val="21"/>
    <w:qFormat/>
    <w:rsid w:val="00F4317D"/>
    <w:rPr>
      <w:i/>
      <w:iCs/>
      <w:color w:val="2F5496" w:themeColor="accent1" w:themeShade="BF"/>
    </w:rPr>
  </w:style>
  <w:style w:type="paragraph" w:styleId="IntenseQuote">
    <w:name w:val="Intense Quote"/>
    <w:basedOn w:val="Normal"/>
    <w:next w:val="Normal"/>
    <w:link w:val="IntenseQuoteChar"/>
    <w:uiPriority w:val="30"/>
    <w:qFormat/>
    <w:rsid w:val="00F431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317D"/>
    <w:rPr>
      <w:i/>
      <w:iCs/>
      <w:color w:val="2F5496" w:themeColor="accent1" w:themeShade="BF"/>
    </w:rPr>
  </w:style>
  <w:style w:type="character" w:styleId="IntenseReference">
    <w:name w:val="Intense Reference"/>
    <w:basedOn w:val="DefaultParagraphFont"/>
    <w:uiPriority w:val="32"/>
    <w:qFormat/>
    <w:rsid w:val="00F4317D"/>
    <w:rPr>
      <w:b/>
      <w:bCs/>
      <w:smallCaps/>
      <w:color w:val="2F5496" w:themeColor="accent1" w:themeShade="BF"/>
      <w:spacing w:val="5"/>
    </w:rPr>
  </w:style>
  <w:style w:type="character" w:styleId="Hyperlink">
    <w:name w:val="Hyperlink"/>
    <w:basedOn w:val="DefaultParagraphFont"/>
    <w:uiPriority w:val="99"/>
    <w:unhideWhenUsed/>
    <w:rsid w:val="00F4317D"/>
    <w:rPr>
      <w:color w:val="0563C1" w:themeColor="hyperlink"/>
      <w:u w:val="single"/>
    </w:rPr>
  </w:style>
  <w:style w:type="character" w:styleId="UnresolvedMention">
    <w:name w:val="Unresolved Mention"/>
    <w:basedOn w:val="DefaultParagraphFont"/>
    <w:uiPriority w:val="99"/>
    <w:semiHidden/>
    <w:unhideWhenUsed/>
    <w:rsid w:val="00F4317D"/>
    <w:rPr>
      <w:color w:val="605E5C"/>
      <w:shd w:val="clear" w:color="auto" w:fill="E1DFDD"/>
    </w:rPr>
  </w:style>
  <w:style w:type="paragraph" w:styleId="Header">
    <w:name w:val="header"/>
    <w:basedOn w:val="Normal"/>
    <w:link w:val="HeaderChar"/>
    <w:uiPriority w:val="99"/>
    <w:unhideWhenUsed/>
    <w:rsid w:val="00FF65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51F"/>
  </w:style>
  <w:style w:type="paragraph" w:styleId="Footer">
    <w:name w:val="footer"/>
    <w:basedOn w:val="Normal"/>
    <w:link w:val="FooterChar"/>
    <w:uiPriority w:val="99"/>
    <w:unhideWhenUsed/>
    <w:rsid w:val="00FF65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51F"/>
  </w:style>
  <w:style w:type="character" w:customStyle="1" w:styleId="title-text">
    <w:name w:val="title-text"/>
    <w:basedOn w:val="DefaultParagraphFont"/>
    <w:rsid w:val="001227D7"/>
  </w:style>
  <w:style w:type="paragraph" w:customStyle="1" w:styleId="nova-legacy-e-listitem">
    <w:name w:val="nova-legacy-e-list__item"/>
    <w:basedOn w:val="Normal"/>
    <w:rsid w:val="00C3598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15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icdata.com/en/india/agricultural-land-type-of-use-karnataka/agricultural-land-karnataka-type-of-use-fallow-land-total?utm_source=chatgpt.com" TargetMode="External"/><Relationship Id="rId13" Type="http://schemas.openxmlformats.org/officeDocument/2006/relationships/image" Target="media/image2.png"/><Relationship Id="rId18" Type="http://schemas.openxmlformats.org/officeDocument/2006/relationships/hyperlink" Target="https://doi.org/10.1007/s11113-022-09707-5" TargetMode="External"/><Relationship Id="rId26" Type="http://schemas.openxmlformats.org/officeDocument/2006/relationships/hyperlink" Target="https://doi.org/10.1007/978-981-10-8336-5" TargetMode="External"/><Relationship Id="rId3" Type="http://schemas.openxmlformats.org/officeDocument/2006/relationships/settings" Target="settings.xml"/><Relationship Id="rId21" Type="http://schemas.openxmlformats.org/officeDocument/2006/relationships/hyperlink" Target="http://dx.doi.org/10.18782/2320-7051.5210" TargetMode="External"/><Relationship Id="rId7" Type="http://schemas.openxmlformats.org/officeDocument/2006/relationships/image" Target="media/image1.png"/><Relationship Id="rId12" Type="http://schemas.openxmlformats.org/officeDocument/2006/relationships/hyperlink" Target="https://www.ceicdata.com/en/india/agricultural-land-type-of-use-karnataka/agricultural-land-karnataka-type-of-use-fallow-land-total?utm_source=chatgpt.com" TargetMode="External"/><Relationship Id="rId17" Type="http://schemas.openxmlformats.org/officeDocument/2006/relationships/hyperlink" Target="https://doi.org/10.29321/MAJ.10.100220" TargetMode="External"/><Relationship Id="rId25" Type="http://schemas.openxmlformats.org/officeDocument/2006/relationships/hyperlink" Target="https://doi.org/10.25003/RAS.13.02.0003"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doi.org/10.14719/pst.6109"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icdata.com/en/india/agricultural-land-type-of-use-karnataka/agricultural-land-karnataka-type-of-use-fallow-land-total?utm_source=chatgpt.com" TargetMode="External"/><Relationship Id="rId24" Type="http://schemas.openxmlformats.org/officeDocument/2006/relationships/hyperlink" Target="https://doi.org/10.9734/ajaees/2024/v42i122640"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loballaunchbase.com/post/the-migration-of-agricultural-labour-in-india?utm_source=chatgpt.com" TargetMode="External"/><Relationship Id="rId23" Type="http://schemas.openxmlformats.org/officeDocument/2006/relationships/hyperlink" Target="https://www.researchgate.net/journal/Asian-Journal-of-Agricultural-Extension-Economics-Sociology-2320-7027?_tp=eyJjb250ZXh0Ijp7ImZpcnN0UGFnZSI6InB1YmxpY2F0aW9uIiwicGFnZSI6InB1YmxpY2F0aW9uIn19" TargetMode="External"/><Relationship Id="rId28" Type="http://schemas.openxmlformats.org/officeDocument/2006/relationships/header" Target="header2.xml"/><Relationship Id="rId10" Type="http://schemas.openxmlformats.org/officeDocument/2006/relationships/hyperlink" Target="https://www.ceicdata.com/en/india/agricultural-land-type-of-use-karnataka/agricultural-land-karnataka-type-of-use-fallow-land-fallow-land-other-than-current-fallow?utm_source=chatgpt.com" TargetMode="External"/><Relationship Id="rId19" Type="http://schemas.openxmlformats.org/officeDocument/2006/relationships/hyperlink" Target="https://doi.org/10.1016/j.atech.2023.100193"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abard.org/auth/writereaddata/tender/pub_2102250728421375.pdf?utm_source=chatgpt.com" TargetMode="External"/><Relationship Id="rId14" Type="http://schemas.openxmlformats.org/officeDocument/2006/relationships/hyperlink" Target="https://www.researchgate.net/publication/390463643_Labour_migration_in_Indian_agriculture_Patterns_drivers_and_consequences-A_systematic_review?utm_source=chatgpt.com" TargetMode="External"/><Relationship Id="rId22" Type="http://schemas.openxmlformats.org/officeDocument/2006/relationships/hyperlink" Target="https://doi.org/10.3390/rs16111997" TargetMode="External"/><Relationship Id="rId27" Type="http://schemas.openxmlformats.org/officeDocument/2006/relationships/header" Target="header1.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11</Pages>
  <Words>3735</Words>
  <Characters>21290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vaninrpalli123@outlook.com</dc:creator>
  <cp:keywords/>
  <dc:description/>
  <cp:lastModifiedBy>SDI 1183</cp:lastModifiedBy>
  <cp:revision>11</cp:revision>
  <dcterms:created xsi:type="dcterms:W3CDTF">2025-11-03T13:47:00Z</dcterms:created>
  <dcterms:modified xsi:type="dcterms:W3CDTF">2025-11-08T11:53:00Z</dcterms:modified>
</cp:coreProperties>
</file>