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C4B8" w14:textId="77777777" w:rsidR="007F43AC" w:rsidRPr="009513AA" w:rsidRDefault="007F43AC" w:rsidP="00DB7E5B">
      <w:pPr>
        <w:spacing w:after="100" w:afterAutospacing="1" w:line="240" w:lineRule="auto"/>
        <w:jc w:val="center"/>
        <w:rPr>
          <w:rFonts w:ascii="Times New Roman" w:eastAsia="Times New Roman" w:hAnsi="Times New Roman" w:cs="Times New Roman"/>
          <w:b/>
          <w:bCs/>
          <w:kern w:val="36"/>
          <w:sz w:val="28"/>
          <w:szCs w:val="28"/>
          <w:lang w:eastAsia="en-IN"/>
          <w14:ligatures w14:val="none"/>
        </w:rPr>
      </w:pPr>
    </w:p>
    <w:p w14:paraId="73536468" w14:textId="1F827643" w:rsidR="00FA0C65" w:rsidRPr="009513AA" w:rsidRDefault="00C04B62" w:rsidP="00076FF4">
      <w:pPr>
        <w:spacing w:after="100" w:afterAutospacing="1" w:line="240" w:lineRule="auto"/>
        <w:jc w:val="center"/>
        <w:rPr>
          <w:rFonts w:ascii="Times New Roman" w:eastAsia="Times New Roman" w:hAnsi="Times New Roman" w:cs="Times New Roman"/>
          <w:b/>
          <w:bCs/>
          <w:kern w:val="36"/>
          <w:sz w:val="28"/>
          <w:szCs w:val="28"/>
          <w:lang w:eastAsia="en-IN"/>
          <w14:ligatures w14:val="none"/>
        </w:rPr>
      </w:pPr>
      <w:r w:rsidRPr="009513AA">
        <w:rPr>
          <w:rFonts w:ascii="Times New Roman" w:eastAsia="Times New Roman" w:hAnsi="Times New Roman" w:cs="Times New Roman"/>
          <w:b/>
          <w:bCs/>
          <w:kern w:val="36"/>
          <w:sz w:val="28"/>
          <w:szCs w:val="28"/>
          <w:lang w:eastAsia="en-IN"/>
          <w14:ligatures w14:val="none"/>
        </w:rPr>
        <w:t xml:space="preserve">Media Pathways </w:t>
      </w:r>
      <w:r>
        <w:rPr>
          <w:rFonts w:ascii="Times New Roman" w:eastAsia="Times New Roman" w:hAnsi="Times New Roman" w:cs="Times New Roman"/>
          <w:b/>
          <w:bCs/>
          <w:kern w:val="36"/>
          <w:sz w:val="28"/>
          <w:szCs w:val="28"/>
          <w:lang w:eastAsia="en-IN"/>
          <w14:ligatures w14:val="none"/>
        </w:rPr>
        <w:t>t</w:t>
      </w:r>
      <w:r w:rsidRPr="009513AA">
        <w:rPr>
          <w:rFonts w:ascii="Times New Roman" w:eastAsia="Times New Roman" w:hAnsi="Times New Roman" w:cs="Times New Roman"/>
          <w:b/>
          <w:bCs/>
          <w:kern w:val="36"/>
          <w:sz w:val="28"/>
          <w:szCs w:val="28"/>
          <w:lang w:eastAsia="en-IN"/>
          <w14:ligatures w14:val="none"/>
        </w:rPr>
        <w:t>o Women’s Empowerment:</w:t>
      </w:r>
      <w:r w:rsidR="00076FF4">
        <w:rPr>
          <w:rFonts w:ascii="Times New Roman" w:eastAsia="Times New Roman" w:hAnsi="Times New Roman" w:cs="Times New Roman"/>
          <w:b/>
          <w:bCs/>
          <w:kern w:val="36"/>
          <w:sz w:val="28"/>
          <w:szCs w:val="28"/>
          <w:lang w:eastAsia="en-IN"/>
          <w14:ligatures w14:val="none"/>
        </w:rPr>
        <w:t xml:space="preserve"> </w:t>
      </w:r>
      <w:r w:rsidR="00F576B9" w:rsidRPr="009513AA">
        <w:rPr>
          <w:rFonts w:ascii="Times New Roman" w:eastAsia="Times New Roman" w:hAnsi="Times New Roman" w:cs="Times New Roman"/>
          <w:b/>
          <w:bCs/>
          <w:kern w:val="36"/>
          <w:sz w:val="28"/>
          <w:szCs w:val="28"/>
          <w:lang w:eastAsia="en-IN"/>
          <w14:ligatures w14:val="none"/>
        </w:rPr>
        <w:t>Evidence,</w:t>
      </w:r>
      <w:r w:rsidR="00F576B9">
        <w:rPr>
          <w:rFonts w:ascii="Times New Roman" w:eastAsia="Times New Roman" w:hAnsi="Times New Roman" w:cs="Times New Roman"/>
          <w:b/>
          <w:bCs/>
          <w:kern w:val="36"/>
          <w:sz w:val="28"/>
          <w:szCs w:val="28"/>
          <w:lang w:eastAsia="en-IN"/>
          <w14:ligatures w14:val="none"/>
        </w:rPr>
        <w:t xml:space="preserve"> </w:t>
      </w:r>
      <w:r w:rsidR="00F576B9" w:rsidRPr="009513AA">
        <w:rPr>
          <w:rFonts w:ascii="Times New Roman" w:eastAsia="Times New Roman" w:hAnsi="Times New Roman" w:cs="Times New Roman"/>
          <w:b/>
          <w:bCs/>
          <w:kern w:val="36"/>
          <w:sz w:val="28"/>
          <w:szCs w:val="28"/>
          <w:lang w:eastAsia="en-IN"/>
          <w14:ligatures w14:val="none"/>
        </w:rPr>
        <w:t xml:space="preserve">Challenges </w:t>
      </w:r>
      <w:r w:rsidR="00E63169">
        <w:rPr>
          <w:rFonts w:ascii="Times New Roman" w:eastAsia="Times New Roman" w:hAnsi="Times New Roman" w:cs="Times New Roman"/>
          <w:b/>
          <w:bCs/>
          <w:kern w:val="36"/>
          <w:sz w:val="28"/>
          <w:szCs w:val="28"/>
          <w:lang w:eastAsia="en-IN"/>
          <w14:ligatures w14:val="none"/>
        </w:rPr>
        <w:t>a</w:t>
      </w:r>
      <w:r w:rsidR="00F576B9" w:rsidRPr="009513AA">
        <w:rPr>
          <w:rFonts w:ascii="Times New Roman" w:eastAsia="Times New Roman" w:hAnsi="Times New Roman" w:cs="Times New Roman"/>
          <w:b/>
          <w:bCs/>
          <w:kern w:val="36"/>
          <w:sz w:val="28"/>
          <w:szCs w:val="28"/>
          <w:lang w:eastAsia="en-IN"/>
          <w14:ligatures w14:val="none"/>
        </w:rPr>
        <w:t xml:space="preserve">nd Policy Directions </w:t>
      </w:r>
      <w:r w:rsidR="00C82011">
        <w:rPr>
          <w:rFonts w:ascii="Times New Roman" w:eastAsia="Times New Roman" w:hAnsi="Times New Roman" w:cs="Times New Roman"/>
          <w:b/>
          <w:bCs/>
          <w:kern w:val="36"/>
          <w:sz w:val="28"/>
          <w:szCs w:val="28"/>
          <w:lang w:eastAsia="en-IN"/>
          <w14:ligatures w14:val="none"/>
        </w:rPr>
        <w:t>f</w:t>
      </w:r>
      <w:r w:rsidR="00F576B9" w:rsidRPr="009513AA">
        <w:rPr>
          <w:rFonts w:ascii="Times New Roman" w:eastAsia="Times New Roman" w:hAnsi="Times New Roman" w:cs="Times New Roman"/>
          <w:b/>
          <w:bCs/>
          <w:kern w:val="36"/>
          <w:sz w:val="28"/>
          <w:szCs w:val="28"/>
          <w:lang w:eastAsia="en-IN"/>
          <w14:ligatures w14:val="none"/>
        </w:rPr>
        <w:t>rom Kerala</w:t>
      </w:r>
    </w:p>
    <w:p w14:paraId="33B041CA" w14:textId="77777777" w:rsidR="003D262C" w:rsidRPr="009513AA" w:rsidRDefault="003D262C" w:rsidP="008E2CF1">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eastAsia="en-IN"/>
          <w14:ligatures w14:val="none"/>
        </w:rPr>
      </w:pPr>
    </w:p>
    <w:p w14:paraId="612A3C2F" w14:textId="6CAFE9FB" w:rsidR="00AA6BC1" w:rsidRPr="009513AA" w:rsidRDefault="00AA6BC1" w:rsidP="008E2CF1">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Abstract</w:t>
      </w:r>
    </w:p>
    <w:p w14:paraId="49C3841B" w14:textId="77777777" w:rsidR="003D262C" w:rsidRPr="009513AA" w:rsidRDefault="003D262C" w:rsidP="003D262C">
      <w:pPr>
        <w:pStyle w:val="NormalWeb"/>
        <w:spacing w:line="360" w:lineRule="auto"/>
        <w:jc w:val="both"/>
        <w:rPr>
          <w:i/>
          <w:iCs/>
        </w:rPr>
      </w:pPr>
      <w:r w:rsidRPr="009513AA">
        <w:rPr>
          <w:i/>
          <w:iCs/>
        </w:rPr>
        <w:t>Media serves as a powerful catalyst for women’s empowerment in Kerala, offering new possibilities while also presenting notable challenges. Digital platforms, television, and print media have expanded women’s visibility, improved access to information, and opened spaces for social and political participation. However, persistent obstacles—such as gender stereotypes in media portrayals, unequal access to digital tools, and rural connectivity gaps—continue to limit women’s full utilization of media resources. Even with Kerala’s high literacy levels, women remain underrepresented, appearing as central subjects in only 28% of news coverage. Although women’s digital engagement has grown by about 15% in recent years, issues related to bias, accessibility, and technological inequality still hinder progress. Strengthening gender-sensitive media practices, improving digital literacy programs, and expanding technological infrastructure—especially in underserved regions—are essential steps toward maximizing media’s role in empowering women across Kerala.</w:t>
      </w:r>
    </w:p>
    <w:p w14:paraId="243D9595" w14:textId="4B23BF83" w:rsidR="00AA6BC1" w:rsidRPr="009513AA" w:rsidRDefault="00AA6BC1" w:rsidP="003D262C">
      <w:pPr>
        <w:pStyle w:val="NormalWeb"/>
        <w:spacing w:line="360" w:lineRule="auto"/>
        <w:jc w:val="both"/>
        <w:rPr>
          <w:i/>
          <w:iCs/>
        </w:rPr>
      </w:pPr>
      <w:r w:rsidRPr="009513AA">
        <w:rPr>
          <w:b/>
          <w:bCs/>
        </w:rPr>
        <w:t>Keywords:</w:t>
      </w:r>
      <w:r w:rsidRPr="009513AA">
        <w:t xml:space="preserve"> </w:t>
      </w:r>
      <w:r w:rsidRPr="009513AA">
        <w:rPr>
          <w:i/>
          <w:iCs/>
        </w:rPr>
        <w:t>Women Empowerment, Media, Digital Feminism, Gender Equality, Social Change, India</w:t>
      </w:r>
      <w:r w:rsidR="00313220" w:rsidRPr="009513AA">
        <w:rPr>
          <w:i/>
          <w:iCs/>
        </w:rPr>
        <w:t>, Kerala</w:t>
      </w:r>
    </w:p>
    <w:p w14:paraId="06FEA04F" w14:textId="642E9D74" w:rsidR="007B1ECE" w:rsidRPr="009513AA" w:rsidRDefault="007B1ECE" w:rsidP="00CE4EB2"/>
    <w:p w14:paraId="7E990055" w14:textId="77777777" w:rsidR="00AA6BC1" w:rsidRPr="009513AA" w:rsidRDefault="00AA6BC1" w:rsidP="00CE4EB2"/>
    <w:p w14:paraId="1F622E58" w14:textId="77777777" w:rsidR="00AA6BC1" w:rsidRPr="009513AA" w:rsidRDefault="00AA6BC1" w:rsidP="00CE4EB2"/>
    <w:p w14:paraId="41B2E901" w14:textId="77777777" w:rsidR="00AA6BC1" w:rsidRPr="009513AA" w:rsidRDefault="00AA6BC1" w:rsidP="00CE4EB2"/>
    <w:p w14:paraId="5CBF0AEB" w14:textId="77777777" w:rsidR="00AA6BC1" w:rsidRPr="009513AA" w:rsidRDefault="00AA6BC1" w:rsidP="00CE4EB2"/>
    <w:p w14:paraId="0E0CA5FB" w14:textId="77777777" w:rsidR="006E4DAE" w:rsidRPr="009513AA" w:rsidRDefault="006E4DAE" w:rsidP="00966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p>
    <w:p w14:paraId="6B42B6A0" w14:textId="77777777" w:rsidR="006E4DAE" w:rsidRPr="009513AA" w:rsidRDefault="006E4DAE" w:rsidP="00966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p>
    <w:p w14:paraId="36C7BBD0" w14:textId="77777777" w:rsidR="006E4DAE" w:rsidRPr="009513AA" w:rsidRDefault="006E4DAE" w:rsidP="00966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p>
    <w:p w14:paraId="2C68140A" w14:textId="79651AF2" w:rsidR="0096614F" w:rsidRPr="009513AA" w:rsidRDefault="0096614F" w:rsidP="00966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513AA">
        <w:rPr>
          <w:rFonts w:ascii="Times New Roman" w:eastAsia="Times New Roman" w:hAnsi="Times New Roman" w:cs="Times New Roman"/>
          <w:b/>
          <w:bCs/>
          <w:kern w:val="0"/>
          <w:sz w:val="28"/>
          <w:szCs w:val="28"/>
          <w:lang w:eastAsia="en-IN"/>
          <w14:ligatures w14:val="none"/>
        </w:rPr>
        <w:lastRenderedPageBreak/>
        <w:t>Introduction</w:t>
      </w:r>
    </w:p>
    <w:p w14:paraId="19EB4353" w14:textId="77777777" w:rsidR="00203813" w:rsidRPr="009513AA" w:rsidRDefault="0096614F" w:rsidP="00203813">
      <w:pPr>
        <w:pStyle w:val="NormalWeb"/>
        <w:spacing w:line="360" w:lineRule="auto"/>
        <w:jc w:val="both"/>
      </w:pPr>
      <w:r w:rsidRPr="009513AA">
        <w:t>The concept of women’s empowerment has evolved from being a social slogan to a developmental imperative. It encompasses not only the economic and political strengthening of women but also psychological and social dimensions that enable them to exercise control over their lives. In this transformation, media has played a decisive role — as both a mirror reflecting gender realities and a tool for social reconstruction.</w:t>
      </w:r>
      <w:r w:rsidR="00203813" w:rsidRPr="009513AA">
        <w:t xml:space="preserve"> </w:t>
      </w:r>
    </w:p>
    <w:p w14:paraId="4734E227" w14:textId="2026B21A" w:rsidR="00203813" w:rsidRPr="009513AA" w:rsidRDefault="00203813" w:rsidP="00203813">
      <w:pPr>
        <w:pStyle w:val="NormalWeb"/>
        <w:spacing w:line="360" w:lineRule="auto"/>
        <w:jc w:val="both"/>
      </w:pPr>
      <w:r w:rsidRPr="009513AA">
        <w:t xml:space="preserve">                          Media has undergone remarkable transformations over time, from the era of oral storytelling to the advent of the printing press, and eventually to today's digital landscape of social media and the Internet. Each technological advancement has reshaped how information is disseminated, transitioning from mass communication methods like radio and television to the immediate, worldwide accessibility of modern digital platforms. However, contemporary media also faces several issues, including the spread of misinformation, the concentration of media ownership, digital inequality, and biases in algorithms, all of which can restrict access to information and contribute to societal divisions. Despite these obstacles, media holds immense potential as a powerful agent of change, offering opportunities for global learning, social and political activism, cultural exchange, and economic development. By amplifying marginalized voices, encouraging civic participation, and promoting cross-cultural understanding, media can foster positive social progress. While it is crucial to address ethical dilemmas and ensure fair access, media continues to be a transformative tool for knowledge, innovation, and societal evolution.</w:t>
      </w:r>
    </w:p>
    <w:p w14:paraId="2E215DFF" w14:textId="469131C5" w:rsidR="0096614F" w:rsidRPr="009513AA" w:rsidRDefault="00203813" w:rsidP="0096614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                     </w:t>
      </w:r>
      <w:r w:rsidR="0096614F" w:rsidRPr="009513AA">
        <w:rPr>
          <w:rFonts w:ascii="Times New Roman" w:eastAsia="Times New Roman" w:hAnsi="Times New Roman" w:cs="Times New Roman"/>
          <w:kern w:val="0"/>
          <w:sz w:val="24"/>
          <w:szCs w:val="24"/>
          <w:lang w:eastAsia="en-IN"/>
          <w14:ligatures w14:val="none"/>
        </w:rPr>
        <w:t>In India, the media has undergone a massive transformation since the 1990s, paralleling economic liberalization and technological progress. From traditional print and broadcast media to the digital and social media revolution, each phase has influenced how women are represented, perceived, and engaged in the public sphere. This study explores how these evolving media landscapes have impacted women’s empowerment and the pathways through which media can act as a catalyst for gender-equitable growth. Kerala’s high human-development indicators — notably near-universal literacy and strong public-service infrastructure — have often been presented as fertile ground for women’s empowerment</w:t>
      </w:r>
      <w:r w:rsidR="005E6572" w:rsidRPr="009513AA">
        <w:rPr>
          <w:rFonts w:ascii="Times New Roman" w:eastAsia="Times New Roman" w:hAnsi="Times New Roman" w:cs="Times New Roman"/>
          <w:kern w:val="0"/>
          <w:sz w:val="24"/>
          <w:szCs w:val="24"/>
          <w:lang w:eastAsia="en-IN"/>
          <w14:ligatures w14:val="none"/>
        </w:rPr>
        <w:t xml:space="preserve"> [12,13]</w:t>
      </w:r>
      <w:r w:rsidR="0096614F" w:rsidRPr="009513AA">
        <w:rPr>
          <w:rFonts w:ascii="Times New Roman" w:eastAsia="Times New Roman" w:hAnsi="Times New Roman" w:cs="Times New Roman"/>
          <w:kern w:val="0"/>
          <w:sz w:val="24"/>
          <w:szCs w:val="24"/>
          <w:lang w:eastAsia="en-IN"/>
          <w14:ligatures w14:val="none"/>
        </w:rPr>
        <w:t xml:space="preserve">. Yet structural gaps persist: low female labour force participation, under-representation in political office, and stereotypical gender portrayals across media forms complicate the empowerment narrative. This paper examines the reciprocal relationship between media </w:t>
      </w:r>
      <w:r w:rsidR="0096614F" w:rsidRPr="009513AA">
        <w:rPr>
          <w:rFonts w:ascii="Times New Roman" w:eastAsia="Times New Roman" w:hAnsi="Times New Roman" w:cs="Times New Roman"/>
          <w:kern w:val="0"/>
          <w:sz w:val="24"/>
          <w:szCs w:val="24"/>
          <w:lang w:eastAsia="en-IN"/>
          <w14:ligatures w14:val="none"/>
        </w:rPr>
        <w:lastRenderedPageBreak/>
        <w:t>(television, newspapers, digital/social media) and women’s empowerment in Kerala, arguing that media both reflects and shapes gendered opportunities and constraints</w:t>
      </w:r>
      <w:r w:rsidR="005E6572" w:rsidRPr="009513AA">
        <w:rPr>
          <w:rFonts w:ascii="Times New Roman" w:eastAsia="Times New Roman" w:hAnsi="Times New Roman" w:cs="Times New Roman"/>
          <w:kern w:val="0"/>
          <w:sz w:val="24"/>
          <w:szCs w:val="24"/>
          <w:lang w:eastAsia="en-IN"/>
          <w14:ligatures w14:val="none"/>
        </w:rPr>
        <w:t xml:space="preserve"> [14,15]</w:t>
      </w:r>
      <w:r w:rsidR="0096614F" w:rsidRPr="009513AA">
        <w:rPr>
          <w:rFonts w:ascii="Times New Roman" w:eastAsia="Times New Roman" w:hAnsi="Times New Roman" w:cs="Times New Roman"/>
          <w:kern w:val="0"/>
          <w:sz w:val="24"/>
          <w:szCs w:val="24"/>
          <w:lang w:eastAsia="en-IN"/>
          <w14:ligatures w14:val="none"/>
        </w:rPr>
        <w:t>. Using a mixed-methods approach — critical content review of Malayalam television and major newspapers, secondary analysis of state-level socio-economic indicators, and synthesis of recent studies on digital uptake — the paper traces three pathways through which media influences empowerment: (1) information and awareness (health, rights, employment), (2) role modelling and aspiration formation (representational effects), and (3) political/social mobilisation (campaigns, protests, advocacy). Findings show Kerala’s female literacy and digital connectivity create strong conditions for media-enabled agency, but persistent stereotyping in entertainment media and limited women’s visibility in newsrooms and leadership weaken positive effects. Policy and industry recommendations include: strengthening media literacy and digital skills programmes for women, incentivising gender-balanced newsrooms and production teams, adopting public-service broadcasting slots for women’s economic rights and livelihoods information, and supporting critical media studies in local languages. The paper closes with an agenda for future empirical work (panel surveys and systematic content-coding) to measure causal effects of media exposure on women’s economic and political outcomes in Kerala.</w:t>
      </w:r>
    </w:p>
    <w:p w14:paraId="3ED9E722" w14:textId="052D1F9A" w:rsidR="00203813" w:rsidRPr="009513AA" w:rsidRDefault="00AA6ED1" w:rsidP="00AA6ED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Kerala is frequently celebrated for social indicators that rival developed regions: high literacy, favourable sex ratios, and substantial public investments in health and education. Female literacy in Kerala stood at over 92% in the 2011 Census, making the state an outlier on basic education indicators. At the same time, Kerala’s media ecosystem — robust regional print, a competitive Malayalam television industry, and rapidly expanding internet access — plays an outsized role in shaping public discourse. Recent telecom data show internet connections per 100 people in Kerala have grown rapidly, placing the state among India’s leading adopters of digital connectivity</w:t>
      </w:r>
      <w:r w:rsidR="005E6572" w:rsidRPr="009513AA">
        <w:rPr>
          <w:rFonts w:ascii="Times New Roman" w:eastAsia="Times New Roman" w:hAnsi="Times New Roman" w:cs="Times New Roman"/>
          <w:kern w:val="0"/>
          <w:sz w:val="24"/>
          <w:szCs w:val="24"/>
          <w:lang w:eastAsia="en-IN"/>
          <w14:ligatures w14:val="none"/>
        </w:rPr>
        <w:t xml:space="preserve"> [16,17]</w:t>
      </w:r>
      <w:r w:rsidR="008E2CF1" w:rsidRPr="009513AA">
        <w:rPr>
          <w:rFonts w:ascii="Times New Roman" w:eastAsia="Times New Roman" w:hAnsi="Times New Roman" w:cs="Times New Roman"/>
          <w:kern w:val="0"/>
          <w:sz w:val="24"/>
          <w:szCs w:val="24"/>
          <w:lang w:eastAsia="en-IN"/>
          <w14:ligatures w14:val="none"/>
        </w:rPr>
        <w:t xml:space="preserve">. </w:t>
      </w:r>
      <w:r w:rsidRPr="009513AA">
        <w:rPr>
          <w:rFonts w:ascii="Times New Roman" w:eastAsia="Times New Roman" w:hAnsi="Times New Roman" w:cs="Times New Roman"/>
          <w:kern w:val="0"/>
          <w:sz w:val="24"/>
          <w:szCs w:val="24"/>
          <w:lang w:eastAsia="en-IN"/>
          <w14:ligatures w14:val="none"/>
        </w:rPr>
        <w:t>This paper explores these dynamics with the aim of identifying actionable pathways for strengthening media’s positive contributions to women’s empowerment in Kerala.</w:t>
      </w:r>
    </w:p>
    <w:p w14:paraId="7CF97D26" w14:textId="2449D0BF" w:rsidR="00AA6ED1" w:rsidRPr="009513AA" w:rsidRDefault="00AA6ED1" w:rsidP="00AA6ED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Kerala’s structural context for media-enabled empowerment</w:t>
      </w:r>
    </w:p>
    <w:p w14:paraId="0A430415" w14:textId="77777777" w:rsidR="00AA6ED1" w:rsidRPr="009513AA" w:rsidRDefault="00AA6ED1" w:rsidP="00AA6ED1">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Education and human development</w:t>
      </w:r>
    </w:p>
    <w:p w14:paraId="4800550C" w14:textId="77777777" w:rsidR="00AA6ED1" w:rsidRPr="009513AA" w:rsidRDefault="00AA6ED1" w:rsidP="00AA6ED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lastRenderedPageBreak/>
        <w:t xml:space="preserve">Kerala’s literacy rates (total literacy ~94%; female literacy ~92% as per 2011 Census and MOSPI summaries) create favourable baseline conditions for women’s engagement with print and digital media, and for media literacy initiatives. </w:t>
      </w:r>
    </w:p>
    <w:p w14:paraId="2834EA45" w14:textId="4C6F7328" w:rsidR="00BB1083" w:rsidRPr="009513AA"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Labour force participation and economic engagement</w:t>
      </w:r>
    </w:p>
    <w:p w14:paraId="18102DBD" w14:textId="04F55EF2"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Despite educational attainment, female labour force participation in Kerala remains modest compared with male participation and relative to the state’s human-development level. State reports estimate female work participation rates in the high 20s (percent) range for persons aged 15+, indicating a significant disconnect between education and formal economic engagement. </w:t>
      </w:r>
    </w:p>
    <w:p w14:paraId="217545F9" w14:textId="77777777" w:rsidR="008E2CF1" w:rsidRPr="009513AA" w:rsidRDefault="008E2CF1"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3FB75FBC" w14:textId="77777777" w:rsidR="00BB1083" w:rsidRPr="009513AA"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Digital connectivity and information access</w:t>
      </w:r>
    </w:p>
    <w:p w14:paraId="78E09259"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Kerala has experienced rapid increases in internet connectivity; recent telecom data show Kerala averaging among India’s highest internet connections per 100 people. Such penetration expands potential reach for digital campaigns, e-governance information, remote learning, and market access for women entrepreneurs — provided the content and skills gaps are addressed. </w:t>
      </w:r>
    </w:p>
    <w:p w14:paraId="5A5B657A" w14:textId="77777777" w:rsidR="00BB1083" w:rsidRPr="009513AA" w:rsidRDefault="00BB1083" w:rsidP="00BB10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 xml:space="preserve">Media pathways to empowerment: evidence and mechanisms </w:t>
      </w:r>
      <w:r w:rsidRPr="009513AA">
        <w:rPr>
          <w:rFonts w:ascii="Times New Roman" w:eastAsia="Times New Roman" w:hAnsi="Times New Roman" w:cs="Times New Roman"/>
          <w:b/>
          <w:bCs/>
          <w:kern w:val="0"/>
          <w:sz w:val="27"/>
          <w:szCs w:val="27"/>
          <w:lang w:eastAsia="en-IN"/>
          <w14:ligatures w14:val="none"/>
        </w:rPr>
        <w:t>Information &amp; services</w:t>
      </w:r>
    </w:p>
    <w:p w14:paraId="7F50F0FA"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Media (public-radio segments, dedicated newspaper pages, social-media groups) can disseminate practical information: schemes for women entrepreneurs, legal aid hotlines, health services, and education/training opportunities. Where such programming exists and is accessible in Malayalam, it reduces information asymmetry. However, the scale and targeting of such programming are uneven, and many women rely primarily on interpersonal networks for vital information.</w:t>
      </w:r>
    </w:p>
    <w:p w14:paraId="5F39AA18" w14:textId="77777777" w:rsidR="00BB1083" w:rsidRPr="009513AA"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Representation and aspiration</w:t>
      </w:r>
    </w:p>
    <w:p w14:paraId="423F3D8D"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Television serials and films remain powerful conveyors of gender norms. Multiple content-analyses of Malayalam programming report recurring tropes: valorisation of female sacrifice, relegation of women to domestic spheres, and limited portrayals of women in leadership or </w:t>
      </w:r>
      <w:r w:rsidRPr="009513AA">
        <w:rPr>
          <w:rFonts w:ascii="Times New Roman" w:eastAsia="Times New Roman" w:hAnsi="Times New Roman" w:cs="Times New Roman"/>
          <w:kern w:val="0"/>
          <w:sz w:val="24"/>
          <w:szCs w:val="24"/>
          <w:lang w:eastAsia="en-IN"/>
          <w14:ligatures w14:val="none"/>
        </w:rPr>
        <w:lastRenderedPageBreak/>
        <w:t xml:space="preserve">non-traditional occupations. Such representational economies can blunt the aspiration-raising potential of media even where factual information is available. </w:t>
      </w:r>
    </w:p>
    <w:p w14:paraId="35F50708" w14:textId="72B86CBE" w:rsidR="00BB1083" w:rsidRPr="009513AA"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Mobilisation and civic voice</w:t>
      </w:r>
    </w:p>
    <w:p w14:paraId="141B92BA"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Kerala’s strong public sphere has seen media amplify women-led mobilisations (e.g., large-scale public gatherings and campaigns), where television and print extend visibility and digital platforms enable coordination. These dynamics were visible in recent mass mobilisations and in issue-based local activism, wherein media coverage both elevated concerns and pressured policymakers.</w:t>
      </w:r>
    </w:p>
    <w:p w14:paraId="1C7758C0" w14:textId="77777777" w:rsidR="00BB1083" w:rsidRPr="009513AA"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Digital media: opportunities and risks</w:t>
      </w:r>
    </w:p>
    <w:p w14:paraId="299480D0" w14:textId="04AC0404"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Digital platforms lower barriers to content creation: women can run small online businesses, join peer networks, and access training. Yet online harassment, platform biases, and digital skill gaps (especially among older and poorer women) limit universal benefits. High overall connectivity in Kerala suggests large aggregate gains are possible, but targeted digital-capacity building is necessary. </w:t>
      </w:r>
    </w:p>
    <w:p w14:paraId="411E74D8" w14:textId="77777777" w:rsidR="00BB1083" w:rsidRPr="009513AA" w:rsidRDefault="00BB1083" w:rsidP="00BB10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36"/>
          <w:szCs w:val="36"/>
          <w:lang w:eastAsia="en-IN"/>
          <w14:ligatures w14:val="none"/>
        </w:rPr>
        <w:t xml:space="preserve"> </w:t>
      </w:r>
      <w:r w:rsidRPr="009513AA">
        <w:rPr>
          <w:rFonts w:ascii="Times New Roman" w:eastAsia="Times New Roman" w:hAnsi="Times New Roman" w:cs="Times New Roman"/>
          <w:b/>
          <w:bCs/>
          <w:kern w:val="0"/>
          <w:sz w:val="24"/>
          <w:szCs w:val="24"/>
          <w:lang w:eastAsia="en-IN"/>
          <w14:ligatures w14:val="none"/>
        </w:rPr>
        <w:t>Policy and industry recommendations</w:t>
      </w:r>
    </w:p>
    <w:p w14:paraId="48754EAC" w14:textId="2BA7B646" w:rsidR="00BB1083" w:rsidRPr="009513AA"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Media literacy and digital skills for women:</w:t>
      </w:r>
      <w:r w:rsidRPr="009513AA">
        <w:rPr>
          <w:rFonts w:ascii="Times New Roman" w:eastAsia="Times New Roman" w:hAnsi="Times New Roman" w:cs="Times New Roman"/>
          <w:kern w:val="0"/>
          <w:sz w:val="24"/>
          <w:szCs w:val="24"/>
          <w:lang w:eastAsia="en-IN"/>
          <w14:ligatures w14:val="none"/>
        </w:rPr>
        <w:t xml:space="preserve"> Scale community-based digital literacy (in Malayalam) focused on safety, entrepreneurship, and civic rights. Partnerships: state digital initiatives + women’s collectives (e.g., </w:t>
      </w:r>
      <w:proofErr w:type="spellStart"/>
      <w:r w:rsidRPr="009513AA">
        <w:rPr>
          <w:rFonts w:ascii="Times New Roman" w:eastAsia="Times New Roman" w:hAnsi="Times New Roman" w:cs="Times New Roman"/>
          <w:kern w:val="0"/>
          <w:sz w:val="24"/>
          <w:szCs w:val="24"/>
          <w:lang w:eastAsia="en-IN"/>
          <w14:ligatures w14:val="none"/>
        </w:rPr>
        <w:t>Kudumbashree</w:t>
      </w:r>
      <w:proofErr w:type="spellEnd"/>
      <w:r w:rsidRPr="009513AA">
        <w:rPr>
          <w:rFonts w:ascii="Times New Roman" w:eastAsia="Times New Roman" w:hAnsi="Times New Roman" w:cs="Times New Roman"/>
          <w:kern w:val="0"/>
          <w:sz w:val="24"/>
          <w:szCs w:val="24"/>
          <w:lang w:eastAsia="en-IN"/>
          <w14:ligatures w14:val="none"/>
        </w:rPr>
        <w:t>).</w:t>
      </w:r>
    </w:p>
    <w:p w14:paraId="5757EBE8" w14:textId="15702BB8" w:rsidR="00BB1083" w:rsidRPr="009513AA"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Incentivise gender-balanced newsrooms and production teams:</w:t>
      </w:r>
      <w:r w:rsidRPr="009513AA">
        <w:rPr>
          <w:rFonts w:ascii="Times New Roman" w:eastAsia="Times New Roman" w:hAnsi="Times New Roman" w:cs="Times New Roman"/>
          <w:kern w:val="0"/>
          <w:sz w:val="24"/>
          <w:szCs w:val="24"/>
          <w:lang w:eastAsia="en-IN"/>
          <w14:ligatures w14:val="none"/>
        </w:rPr>
        <w:t xml:space="preserve"> Regulatory bodies and private houses could adopt voluntary targets, transparency reporting, and mentorship programmes for women journalists and producers. Evidence shows newsroom diversity affects coverage priorities. </w:t>
      </w:r>
    </w:p>
    <w:p w14:paraId="630211CC" w14:textId="77777777" w:rsidR="00BB1083" w:rsidRPr="009513AA"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Mandate public-service allotments for empowerment content:</w:t>
      </w:r>
      <w:r w:rsidRPr="009513AA">
        <w:rPr>
          <w:rFonts w:ascii="Times New Roman" w:eastAsia="Times New Roman" w:hAnsi="Times New Roman" w:cs="Times New Roman"/>
          <w:kern w:val="0"/>
          <w:sz w:val="24"/>
          <w:szCs w:val="24"/>
          <w:lang w:eastAsia="en-IN"/>
          <w14:ligatures w14:val="none"/>
        </w:rPr>
        <w:t xml:space="preserve"> State broadcasters/public-service channels should offer guaranteed weekly slots on livelihoods, legal aid, health services, and entrepreneurship with local language accessibility.</w:t>
      </w:r>
    </w:p>
    <w:p w14:paraId="6171BC3D" w14:textId="77777777" w:rsidR="00BB1083" w:rsidRPr="009513AA"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Support content innovation that models non-stereotypical roles:</w:t>
      </w:r>
      <w:r w:rsidRPr="009513AA">
        <w:rPr>
          <w:rFonts w:ascii="Times New Roman" w:eastAsia="Times New Roman" w:hAnsi="Times New Roman" w:cs="Times New Roman"/>
          <w:kern w:val="0"/>
          <w:sz w:val="24"/>
          <w:szCs w:val="24"/>
          <w:lang w:eastAsia="en-IN"/>
          <w14:ligatures w14:val="none"/>
        </w:rPr>
        <w:t xml:space="preserve"> Grants or tax incentives for productions (serials, short films, web series) that positively portray women in diverse occupational and leadership roles.</w:t>
      </w:r>
    </w:p>
    <w:p w14:paraId="5FAFA93A" w14:textId="77777777" w:rsidR="008E2CF1" w:rsidRPr="009513AA" w:rsidRDefault="00BB1083" w:rsidP="00BB1083">
      <w:pPr>
        <w:numPr>
          <w:ilvl w:val="0"/>
          <w:numId w:val="1"/>
        </w:num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513AA">
        <w:rPr>
          <w:rFonts w:ascii="Times New Roman" w:eastAsia="Times New Roman" w:hAnsi="Times New Roman" w:cs="Times New Roman"/>
          <w:b/>
          <w:bCs/>
          <w:kern w:val="0"/>
          <w:sz w:val="24"/>
          <w:szCs w:val="24"/>
          <w:lang w:eastAsia="en-IN"/>
          <w14:ligatures w14:val="none"/>
        </w:rPr>
        <w:lastRenderedPageBreak/>
        <w:t>Research and monitoring:</w:t>
      </w:r>
      <w:r w:rsidRPr="009513AA">
        <w:rPr>
          <w:rFonts w:ascii="Times New Roman" w:eastAsia="Times New Roman" w:hAnsi="Times New Roman" w:cs="Times New Roman"/>
          <w:kern w:val="0"/>
          <w:sz w:val="24"/>
          <w:szCs w:val="24"/>
          <w:lang w:eastAsia="en-IN"/>
          <w14:ligatures w14:val="none"/>
        </w:rPr>
        <w:t xml:space="preserve"> Commission longitudinal panel studies to assess causal links between media exposure and women’s outcomes (employment, political participation, legal awareness). The state’s new gender-equity institutes can play a coordinating role. </w:t>
      </w:r>
    </w:p>
    <w:p w14:paraId="7C7E2BA2" w14:textId="3BDB1B36" w:rsidR="00BB1083" w:rsidRPr="009513AA" w:rsidRDefault="00BB1083" w:rsidP="008E2CF1">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513AA">
        <w:rPr>
          <w:rFonts w:ascii="Times New Roman" w:eastAsia="Times New Roman" w:hAnsi="Times New Roman" w:cs="Times New Roman"/>
          <w:b/>
          <w:bCs/>
          <w:kern w:val="0"/>
          <w:sz w:val="28"/>
          <w:szCs w:val="28"/>
          <w:lang w:eastAsia="en-IN"/>
          <w14:ligatures w14:val="none"/>
        </w:rPr>
        <w:t>Media and Women’s Empowerment: Conceptual Framework</w:t>
      </w:r>
    </w:p>
    <w:p w14:paraId="0F5CE29C"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According to Amartya Sen’s </w:t>
      </w:r>
      <w:r w:rsidRPr="009513AA">
        <w:rPr>
          <w:rFonts w:ascii="Times New Roman" w:eastAsia="Times New Roman" w:hAnsi="Times New Roman" w:cs="Times New Roman"/>
          <w:i/>
          <w:iCs/>
          <w:kern w:val="0"/>
          <w:sz w:val="24"/>
          <w:szCs w:val="24"/>
          <w:lang w:eastAsia="en-IN"/>
          <w14:ligatures w14:val="none"/>
        </w:rPr>
        <w:t>Capability Approach</w:t>
      </w:r>
      <w:r w:rsidRPr="009513AA">
        <w:rPr>
          <w:rFonts w:ascii="Times New Roman" w:eastAsia="Times New Roman" w:hAnsi="Times New Roman" w:cs="Times New Roman"/>
          <w:kern w:val="0"/>
          <w:sz w:val="24"/>
          <w:szCs w:val="24"/>
          <w:lang w:eastAsia="en-IN"/>
          <w14:ligatures w14:val="none"/>
        </w:rPr>
        <w:t xml:space="preserve"> and Naila Kabeer’s </w:t>
      </w:r>
      <w:r w:rsidRPr="009513AA">
        <w:rPr>
          <w:rFonts w:ascii="Times New Roman" w:eastAsia="Times New Roman" w:hAnsi="Times New Roman" w:cs="Times New Roman"/>
          <w:i/>
          <w:iCs/>
          <w:kern w:val="0"/>
          <w:sz w:val="24"/>
          <w:szCs w:val="24"/>
          <w:lang w:eastAsia="en-IN"/>
          <w14:ligatures w14:val="none"/>
        </w:rPr>
        <w:t>Empowerment Framework</w:t>
      </w:r>
      <w:r w:rsidRPr="009513AA">
        <w:rPr>
          <w:rFonts w:ascii="Times New Roman" w:eastAsia="Times New Roman" w:hAnsi="Times New Roman" w:cs="Times New Roman"/>
          <w:kern w:val="0"/>
          <w:sz w:val="24"/>
          <w:szCs w:val="24"/>
          <w:lang w:eastAsia="en-IN"/>
          <w14:ligatures w14:val="none"/>
        </w:rPr>
        <w:t>, empowerment is a process through which individuals gain the ability to make strategic life choices in contexts where this ability was previously denied. Media acts as both a resource and a platform in this process — enabling access to information, creating public visibility, and supporting collective mobilization.</w:t>
      </w:r>
    </w:p>
    <w:p w14:paraId="796E3EC7"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The conceptual framework of this study positions media as:</w:t>
      </w:r>
    </w:p>
    <w:p w14:paraId="156B5CC5" w14:textId="77777777" w:rsidR="00BB1083" w:rsidRPr="009513AA"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An Informational Resource:</w:t>
      </w:r>
      <w:r w:rsidRPr="009513AA">
        <w:rPr>
          <w:rFonts w:ascii="Times New Roman" w:eastAsia="Times New Roman" w:hAnsi="Times New Roman" w:cs="Times New Roman"/>
          <w:kern w:val="0"/>
          <w:sz w:val="24"/>
          <w:szCs w:val="24"/>
          <w:lang w:eastAsia="en-IN"/>
          <w14:ligatures w14:val="none"/>
        </w:rPr>
        <w:t xml:space="preserve"> Providing knowledge, awareness, and role models.</w:t>
      </w:r>
    </w:p>
    <w:p w14:paraId="52D2AA70" w14:textId="77777777" w:rsidR="00BB1083" w:rsidRPr="009513AA"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A Participatory Space:</w:t>
      </w:r>
      <w:r w:rsidRPr="009513AA">
        <w:rPr>
          <w:rFonts w:ascii="Times New Roman" w:eastAsia="Times New Roman" w:hAnsi="Times New Roman" w:cs="Times New Roman"/>
          <w:kern w:val="0"/>
          <w:sz w:val="24"/>
          <w:szCs w:val="24"/>
          <w:lang w:eastAsia="en-IN"/>
          <w14:ligatures w14:val="none"/>
        </w:rPr>
        <w:t xml:space="preserve"> Allowing women to express, challenge, and shape narratives.</w:t>
      </w:r>
    </w:p>
    <w:p w14:paraId="76E15F5A" w14:textId="77777777" w:rsidR="00BB1083" w:rsidRPr="009513AA"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A Transformational Agent:</w:t>
      </w:r>
      <w:r w:rsidRPr="009513AA">
        <w:rPr>
          <w:rFonts w:ascii="Times New Roman" w:eastAsia="Times New Roman" w:hAnsi="Times New Roman" w:cs="Times New Roman"/>
          <w:kern w:val="0"/>
          <w:sz w:val="24"/>
          <w:szCs w:val="24"/>
          <w:lang w:eastAsia="en-IN"/>
          <w14:ligatures w14:val="none"/>
        </w:rPr>
        <w:t xml:space="preserve"> Influencing social norms and policy discourse</w:t>
      </w:r>
    </w:p>
    <w:p w14:paraId="3C6772CB" w14:textId="77777777" w:rsidR="00BB1083" w:rsidRPr="009513AA"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7EC29B7C"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8"/>
          <w:szCs w:val="28"/>
          <w:lang w:eastAsia="en-IN"/>
          <w14:ligatures w14:val="none"/>
        </w:rPr>
        <w:t>Digital Media and the New Frontiers of Empowerment</w:t>
      </w:r>
    </w:p>
    <w:p w14:paraId="0AD3EC1F"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The digital revolution has fundamentally altered gender dynamics in communication. Women have begun to use online spaces to:</w:t>
      </w:r>
    </w:p>
    <w:p w14:paraId="7F160F57" w14:textId="77777777" w:rsidR="00BB1083" w:rsidRPr="009513AA" w:rsidRDefault="00BB1083" w:rsidP="00BB1083">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Advocate for social justice (e.g., #MeToo, #TimesUp, #WomenInSTEM).</w:t>
      </w:r>
    </w:p>
    <w:p w14:paraId="0C5771A6" w14:textId="77777777" w:rsidR="00BB1083" w:rsidRPr="009513AA" w:rsidRDefault="00BB1083" w:rsidP="00BB1083">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Promote entrepreneurship and skill-building through e-commerce and digital literacy.</w:t>
      </w:r>
    </w:p>
    <w:p w14:paraId="11AF964B" w14:textId="77777777" w:rsidR="00BB1083" w:rsidRPr="009513AA" w:rsidRDefault="00BB1083" w:rsidP="00BB1083">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Participate in political activism, journalism, and policymaking.</w:t>
      </w:r>
    </w:p>
    <w:p w14:paraId="71238936" w14:textId="0EEFCFA3"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In India, government programs like Digital India and </w:t>
      </w:r>
      <w:proofErr w:type="spellStart"/>
      <w:r w:rsidRPr="009513AA">
        <w:rPr>
          <w:rFonts w:ascii="Times New Roman" w:eastAsia="Times New Roman" w:hAnsi="Times New Roman" w:cs="Times New Roman"/>
          <w:kern w:val="0"/>
          <w:sz w:val="24"/>
          <w:szCs w:val="24"/>
          <w:lang w:eastAsia="en-IN"/>
          <w14:ligatures w14:val="none"/>
        </w:rPr>
        <w:t>Beti</w:t>
      </w:r>
      <w:proofErr w:type="spellEnd"/>
      <w:r w:rsidRPr="009513AA">
        <w:rPr>
          <w:rFonts w:ascii="Times New Roman" w:eastAsia="Times New Roman" w:hAnsi="Times New Roman" w:cs="Times New Roman"/>
          <w:kern w:val="0"/>
          <w:sz w:val="24"/>
          <w:szCs w:val="24"/>
          <w:lang w:eastAsia="en-IN"/>
          <w14:ligatures w14:val="none"/>
        </w:rPr>
        <w:t xml:space="preserve"> </w:t>
      </w:r>
      <w:proofErr w:type="spellStart"/>
      <w:r w:rsidRPr="009513AA">
        <w:rPr>
          <w:rFonts w:ascii="Times New Roman" w:eastAsia="Times New Roman" w:hAnsi="Times New Roman" w:cs="Times New Roman"/>
          <w:kern w:val="0"/>
          <w:sz w:val="24"/>
          <w:szCs w:val="24"/>
          <w:lang w:eastAsia="en-IN"/>
          <w14:ligatures w14:val="none"/>
        </w:rPr>
        <w:t>Bachao</w:t>
      </w:r>
      <w:proofErr w:type="spellEnd"/>
      <w:r w:rsidRPr="009513AA">
        <w:rPr>
          <w:rFonts w:ascii="Times New Roman" w:eastAsia="Times New Roman" w:hAnsi="Times New Roman" w:cs="Times New Roman"/>
          <w:kern w:val="0"/>
          <w:sz w:val="24"/>
          <w:szCs w:val="24"/>
          <w:lang w:eastAsia="en-IN"/>
          <w14:ligatures w14:val="none"/>
        </w:rPr>
        <w:t xml:space="preserve"> </w:t>
      </w:r>
      <w:proofErr w:type="spellStart"/>
      <w:r w:rsidRPr="009513AA">
        <w:rPr>
          <w:rFonts w:ascii="Times New Roman" w:eastAsia="Times New Roman" w:hAnsi="Times New Roman" w:cs="Times New Roman"/>
          <w:kern w:val="0"/>
          <w:sz w:val="24"/>
          <w:szCs w:val="24"/>
          <w:lang w:eastAsia="en-IN"/>
          <w14:ligatures w14:val="none"/>
        </w:rPr>
        <w:t>Beti</w:t>
      </w:r>
      <w:proofErr w:type="spellEnd"/>
      <w:r w:rsidRPr="009513AA">
        <w:rPr>
          <w:rFonts w:ascii="Times New Roman" w:eastAsia="Times New Roman" w:hAnsi="Times New Roman" w:cs="Times New Roman"/>
          <w:kern w:val="0"/>
          <w:sz w:val="24"/>
          <w:szCs w:val="24"/>
          <w:lang w:eastAsia="en-IN"/>
          <w14:ligatures w14:val="none"/>
        </w:rPr>
        <w:t xml:space="preserve"> </w:t>
      </w:r>
      <w:proofErr w:type="spellStart"/>
      <w:r w:rsidRPr="009513AA">
        <w:rPr>
          <w:rFonts w:ascii="Times New Roman" w:eastAsia="Times New Roman" w:hAnsi="Times New Roman" w:cs="Times New Roman"/>
          <w:kern w:val="0"/>
          <w:sz w:val="24"/>
          <w:szCs w:val="24"/>
          <w:lang w:eastAsia="en-IN"/>
          <w14:ligatures w14:val="none"/>
        </w:rPr>
        <w:t>Padhao</w:t>
      </w:r>
      <w:proofErr w:type="spellEnd"/>
      <w:r w:rsidRPr="009513AA">
        <w:rPr>
          <w:rFonts w:ascii="Times New Roman" w:eastAsia="Times New Roman" w:hAnsi="Times New Roman" w:cs="Times New Roman"/>
          <w:kern w:val="0"/>
          <w:sz w:val="24"/>
          <w:szCs w:val="24"/>
          <w:lang w:eastAsia="en-IN"/>
          <w14:ligatures w14:val="none"/>
        </w:rPr>
        <w:t xml:space="preserve"> have further facilitated digital inclusion. The National Family Health Survey (NFHS-5, 2020–21) indicates that 47% of women now have access to mobile internet, a significant leap from 23% in 2015–16.</w:t>
      </w:r>
      <w:r w:rsidR="008E2CF1" w:rsidRPr="009513AA">
        <w:rPr>
          <w:rFonts w:ascii="Times New Roman" w:eastAsia="Times New Roman" w:hAnsi="Times New Roman" w:cs="Times New Roman"/>
          <w:kern w:val="0"/>
          <w:sz w:val="24"/>
          <w:szCs w:val="24"/>
          <w:lang w:eastAsia="en-IN"/>
          <w14:ligatures w14:val="none"/>
        </w:rPr>
        <w:t xml:space="preserve"> </w:t>
      </w:r>
      <w:r w:rsidRPr="009513AA">
        <w:rPr>
          <w:rFonts w:ascii="Times New Roman" w:eastAsia="Times New Roman" w:hAnsi="Times New Roman" w:cs="Times New Roman"/>
          <w:kern w:val="0"/>
          <w:sz w:val="24"/>
          <w:szCs w:val="24"/>
          <w:lang w:eastAsia="en-IN"/>
          <w14:ligatures w14:val="none"/>
        </w:rPr>
        <w:t>Such access enhances women’s economic agency and fosters knowledge-based empowerment, enabling participation in governance, education, and the job market.</w:t>
      </w:r>
    </w:p>
    <w:p w14:paraId="7B53C31E" w14:textId="77777777"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lastRenderedPageBreak/>
        <w:t>The content analysis and statistical synthesis indicate three critical pathways through which media fosters empowerment:</w:t>
      </w:r>
    </w:p>
    <w:p w14:paraId="57714252" w14:textId="77777777" w:rsidR="00BB1083" w:rsidRPr="009513AA" w:rsidRDefault="00BB1083" w:rsidP="00BB1083">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Awareness and Education: Educational programs and social campaigns on television, radio, and online platforms have improved women’s awareness of health, rights, and economic opportunities.</w:t>
      </w:r>
    </w:p>
    <w:p w14:paraId="2F0A1756" w14:textId="77777777" w:rsidR="00BB1083" w:rsidRPr="009513AA" w:rsidRDefault="00BB1083" w:rsidP="00BB1083">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Economic Empowerment: Digital platforms have become catalysts for women-led startups, online businesses, and skill-building initiatives. According to NITI Aayog (2023), women entrepreneurs using digital media have grown by 35% in the past five years.</w:t>
      </w:r>
    </w:p>
    <w:p w14:paraId="2F9D94B3" w14:textId="7A68D866" w:rsidR="008E2CF1" w:rsidRPr="009513AA" w:rsidRDefault="00BB1083" w:rsidP="008E2CF1">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Social and Political Empowerment: Social media has empowered women to challenge patriarchal narratives and mobilize for gender justice, influencing policy and public opinion.</w:t>
      </w:r>
    </w:p>
    <w:p w14:paraId="28C593F0" w14:textId="77777777" w:rsidR="00BB1083" w:rsidRPr="009513AA" w:rsidRDefault="00BB1083" w:rsidP="00BB1083">
      <w:pPr>
        <w:spacing w:before="100" w:beforeAutospacing="1" w:after="100" w:afterAutospacing="1" w:line="360" w:lineRule="auto"/>
        <w:jc w:val="both"/>
        <w:rPr>
          <w:rFonts w:ascii="Times New Roman" w:hAnsi="Times New Roman"/>
          <w:b/>
          <w:bCs/>
          <w:sz w:val="24"/>
          <w:szCs w:val="24"/>
          <w:lang w:eastAsia="en-IN"/>
        </w:rPr>
      </w:pPr>
      <w:r w:rsidRPr="009513AA">
        <w:rPr>
          <w:rFonts w:ascii="Times New Roman" w:hAnsi="Times New Roman"/>
          <w:b/>
          <w:bCs/>
          <w:sz w:val="24"/>
          <w:szCs w:val="24"/>
          <w:lang w:eastAsia="en-IN"/>
        </w:rPr>
        <w:t>Despite its empowering potential, media also poses challenges:</w:t>
      </w:r>
    </w:p>
    <w:p w14:paraId="3EC9175C" w14:textId="77777777" w:rsidR="00BB1083" w:rsidRPr="009513AA"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9513AA">
        <w:rPr>
          <w:rFonts w:ascii="Times New Roman" w:hAnsi="Times New Roman"/>
          <w:sz w:val="24"/>
          <w:szCs w:val="24"/>
          <w:lang w:eastAsia="en-IN"/>
        </w:rPr>
        <w:t>Cyberbullying and online harassment disproportionately target women.</w:t>
      </w:r>
    </w:p>
    <w:p w14:paraId="4391EE9A" w14:textId="77777777" w:rsidR="00BB1083" w:rsidRPr="009513AA"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9513AA">
        <w:rPr>
          <w:rFonts w:ascii="Times New Roman" w:hAnsi="Times New Roman"/>
          <w:sz w:val="24"/>
          <w:szCs w:val="24"/>
          <w:lang w:eastAsia="en-IN"/>
        </w:rPr>
        <w:t>Digital divides based on income, literacy, and geography continue to exclude marginalized groups.</w:t>
      </w:r>
    </w:p>
    <w:p w14:paraId="507B5D0A" w14:textId="77777777" w:rsidR="00BB1083" w:rsidRPr="009513AA"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9513AA">
        <w:rPr>
          <w:rFonts w:ascii="Times New Roman" w:hAnsi="Times New Roman"/>
          <w:sz w:val="24"/>
          <w:szCs w:val="24"/>
          <w:lang w:eastAsia="en-IN"/>
        </w:rPr>
        <w:t>Objectification and sensationalism in entertainment media undermine empowerment narratives.</w:t>
      </w:r>
    </w:p>
    <w:p w14:paraId="51340F56" w14:textId="77777777" w:rsidR="00BB1083" w:rsidRPr="009513AA"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9513AA">
        <w:rPr>
          <w:rFonts w:ascii="Times New Roman" w:hAnsi="Times New Roman"/>
          <w:sz w:val="24"/>
          <w:szCs w:val="24"/>
          <w:lang w:eastAsia="en-IN"/>
        </w:rPr>
        <w:t>Algorithmic biases and lack of regulation perpetuate inequality in online visibility.</w:t>
      </w:r>
    </w:p>
    <w:p w14:paraId="5D82440E" w14:textId="77777777" w:rsidR="009C0F6A" w:rsidRPr="009513AA" w:rsidRDefault="00BB1083" w:rsidP="009C0F6A">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9513AA">
        <w:rPr>
          <w:rFonts w:ascii="Times New Roman" w:hAnsi="Times New Roman"/>
          <w:sz w:val="24"/>
          <w:szCs w:val="24"/>
          <w:lang w:eastAsia="en-IN"/>
        </w:rPr>
        <w:t>Addressing these requires gender-sensitive digital policies, cyber safety laws, and educational interventions.</w:t>
      </w:r>
      <w:r w:rsidR="009C0F6A" w:rsidRPr="009513AA">
        <w:rPr>
          <w:rFonts w:ascii="Times New Roman" w:eastAsia="Times New Roman" w:hAnsi="Times New Roman" w:cs="Times New Roman"/>
          <w:b/>
          <w:bCs/>
          <w:kern w:val="0"/>
          <w:sz w:val="24"/>
          <w:szCs w:val="24"/>
          <w:lang w:eastAsia="en-IN"/>
          <w14:ligatures w14:val="none"/>
        </w:rPr>
        <w:t xml:space="preserve"> </w:t>
      </w:r>
    </w:p>
    <w:p w14:paraId="49219575" w14:textId="77777777" w:rsidR="00313220" w:rsidRPr="009513AA" w:rsidRDefault="00313220" w:rsidP="009C0F6A">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580064CC" w14:textId="77777777" w:rsidR="00313220" w:rsidRPr="009513AA" w:rsidRDefault="00313220" w:rsidP="009C0F6A">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0A3F37AE" w14:textId="286F7C4D" w:rsidR="009C0F6A" w:rsidRPr="009513AA" w:rsidRDefault="009C0F6A" w:rsidP="009C0F6A">
      <w:pPr>
        <w:spacing w:before="100" w:beforeAutospacing="1" w:after="100" w:afterAutospacing="1" w:line="360" w:lineRule="auto"/>
        <w:jc w:val="both"/>
        <w:rPr>
          <w:rFonts w:ascii="Times New Roman" w:hAnsi="Times New Roman"/>
          <w:sz w:val="24"/>
          <w:szCs w:val="24"/>
          <w:lang w:eastAsia="en-IN"/>
        </w:rPr>
      </w:pPr>
      <w:r w:rsidRPr="009513AA">
        <w:rPr>
          <w:rFonts w:ascii="Times New Roman" w:eastAsia="Times New Roman" w:hAnsi="Times New Roman" w:cs="Times New Roman"/>
          <w:b/>
          <w:bCs/>
          <w:kern w:val="0"/>
          <w:sz w:val="24"/>
          <w:szCs w:val="24"/>
          <w:lang w:eastAsia="en-IN"/>
          <w14:ligatures w14:val="none"/>
        </w:rPr>
        <w:t>Table 1</w:t>
      </w:r>
      <w:r w:rsidRPr="009513AA">
        <w:rPr>
          <w:rFonts w:ascii="Times New Roman" w:hAnsi="Times New Roman"/>
          <w:sz w:val="24"/>
          <w:szCs w:val="24"/>
          <w:lang w:eastAsia="en-IN"/>
        </w:rPr>
        <w:t xml:space="preserve">: </w:t>
      </w:r>
      <w:r w:rsidRPr="009513AA">
        <w:rPr>
          <w:rFonts w:ascii="Times New Roman" w:eastAsia="Times New Roman" w:hAnsi="Times New Roman" w:cs="Times New Roman"/>
          <w:b/>
          <w:bCs/>
          <w:kern w:val="0"/>
          <w:sz w:val="27"/>
          <w:szCs w:val="27"/>
          <w:lang w:eastAsia="en-IN"/>
          <w14:ligatures w14:val="none"/>
        </w:rPr>
        <w:t xml:space="preserve"> Socio-economic Indicators of Women in Kerala</w:t>
      </w:r>
    </w:p>
    <w:p w14:paraId="7D15B3FF" w14:textId="3647C79B" w:rsidR="00BB1083" w:rsidRPr="009513AA" w:rsidRDefault="00BB1083" w:rsidP="00BB1083">
      <w:pPr>
        <w:spacing w:before="100" w:beforeAutospacing="1" w:after="100" w:afterAutospacing="1" w:line="360" w:lineRule="auto"/>
        <w:ind w:left="360"/>
        <w:jc w:val="both"/>
        <w:rPr>
          <w:rFonts w:ascii="Times New Roman" w:hAnsi="Times New Roman"/>
          <w:sz w:val="24"/>
          <w:szCs w:val="24"/>
          <w:lang w:eastAsia="en-IN"/>
        </w:rPr>
      </w:pPr>
    </w:p>
    <w:tbl>
      <w:tblPr>
        <w:tblpPr w:leftFromText="180" w:rightFromText="180" w:vertAnchor="text" w:horzAnchor="margin" w:tblpY="326"/>
        <w:tblW w:w="0" w:type="auto"/>
        <w:tblCellSpacing w:w="15" w:type="dxa"/>
        <w:tblCellMar>
          <w:top w:w="15" w:type="dxa"/>
          <w:left w:w="15" w:type="dxa"/>
          <w:bottom w:w="15" w:type="dxa"/>
          <w:right w:w="15" w:type="dxa"/>
        </w:tblCellMar>
        <w:tblLook w:val="04A0" w:firstRow="1" w:lastRow="0" w:firstColumn="1" w:lastColumn="0" w:noHBand="0" w:noVBand="1"/>
      </w:tblPr>
      <w:tblGrid>
        <w:gridCol w:w="2640"/>
        <w:gridCol w:w="1418"/>
        <w:gridCol w:w="3050"/>
        <w:gridCol w:w="1908"/>
      </w:tblGrid>
      <w:tr w:rsidR="009513AA" w:rsidRPr="009513AA" w14:paraId="292F24D1" w14:textId="77777777" w:rsidTr="00BB1083">
        <w:trPr>
          <w:tblHeader/>
          <w:tblCellSpacing w:w="15" w:type="dxa"/>
        </w:trPr>
        <w:tc>
          <w:tcPr>
            <w:tcW w:w="0" w:type="auto"/>
            <w:tcBorders>
              <w:top w:val="single" w:sz="4" w:space="0" w:color="auto"/>
              <w:left w:val="single" w:sz="4" w:space="0" w:color="auto"/>
              <w:right w:val="single" w:sz="4" w:space="0" w:color="auto"/>
            </w:tcBorders>
            <w:vAlign w:val="center"/>
            <w:hideMark/>
          </w:tcPr>
          <w:p w14:paraId="5920CD8A" w14:textId="77777777" w:rsidR="00BB1083" w:rsidRPr="009513AA" w:rsidRDefault="00BB1083" w:rsidP="00BB1083">
            <w:pPr>
              <w:spacing w:after="0" w:line="240" w:lineRule="auto"/>
              <w:jc w:val="center"/>
              <w:rPr>
                <w:rFonts w:ascii="Times New Roman" w:eastAsia="Times New Roman" w:hAnsi="Times New Roman" w:cs="Times New Roman"/>
                <w:b/>
                <w:bCs/>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lastRenderedPageBreak/>
              <w:t>Indicator</w:t>
            </w:r>
          </w:p>
        </w:tc>
        <w:tc>
          <w:tcPr>
            <w:tcW w:w="0" w:type="auto"/>
            <w:tcBorders>
              <w:top w:val="single" w:sz="4" w:space="0" w:color="auto"/>
              <w:left w:val="single" w:sz="4" w:space="0" w:color="auto"/>
            </w:tcBorders>
            <w:vAlign w:val="center"/>
            <w:hideMark/>
          </w:tcPr>
          <w:p w14:paraId="5A79FF9F" w14:textId="77777777" w:rsidR="00BB1083" w:rsidRPr="009513AA" w:rsidRDefault="00BB1083" w:rsidP="00BB1083">
            <w:pPr>
              <w:spacing w:after="0" w:line="240" w:lineRule="auto"/>
              <w:jc w:val="center"/>
              <w:rPr>
                <w:rFonts w:ascii="Times New Roman" w:eastAsia="Times New Roman" w:hAnsi="Times New Roman" w:cs="Times New Roman"/>
                <w:b/>
                <w:bCs/>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Kerala</w:t>
            </w:r>
          </w:p>
        </w:tc>
        <w:tc>
          <w:tcPr>
            <w:tcW w:w="0" w:type="auto"/>
            <w:tcBorders>
              <w:top w:val="single" w:sz="4" w:space="0" w:color="auto"/>
              <w:left w:val="single" w:sz="4" w:space="0" w:color="auto"/>
              <w:right w:val="single" w:sz="4" w:space="0" w:color="auto"/>
            </w:tcBorders>
            <w:vAlign w:val="center"/>
            <w:hideMark/>
          </w:tcPr>
          <w:p w14:paraId="15506476" w14:textId="77777777" w:rsidR="00BB1083" w:rsidRPr="009513AA" w:rsidRDefault="00BB1083" w:rsidP="00BB1083">
            <w:pPr>
              <w:spacing w:after="0" w:line="240" w:lineRule="auto"/>
              <w:rPr>
                <w:rFonts w:ascii="Times New Roman" w:eastAsia="Times New Roman" w:hAnsi="Times New Roman" w:cs="Times New Roman"/>
                <w:b/>
                <w:bCs/>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India                                                                                                     Average</w:t>
            </w:r>
          </w:p>
        </w:tc>
        <w:tc>
          <w:tcPr>
            <w:tcW w:w="0" w:type="auto"/>
            <w:tcBorders>
              <w:top w:val="single" w:sz="4" w:space="0" w:color="auto"/>
              <w:left w:val="single" w:sz="4" w:space="0" w:color="auto"/>
              <w:right w:val="single" w:sz="4" w:space="0" w:color="auto"/>
            </w:tcBorders>
            <w:vAlign w:val="center"/>
            <w:hideMark/>
          </w:tcPr>
          <w:p w14:paraId="482AB358" w14:textId="77777777" w:rsidR="00BB1083" w:rsidRPr="009513AA" w:rsidRDefault="00BB1083" w:rsidP="00BB1083">
            <w:pPr>
              <w:spacing w:after="0" w:line="240" w:lineRule="auto"/>
              <w:jc w:val="center"/>
              <w:rPr>
                <w:rFonts w:ascii="Times New Roman" w:eastAsia="Times New Roman" w:hAnsi="Times New Roman" w:cs="Times New Roman"/>
                <w:b/>
                <w:bCs/>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Source</w:t>
            </w:r>
          </w:p>
        </w:tc>
      </w:tr>
      <w:tr w:rsidR="009513AA" w:rsidRPr="009513AA" w14:paraId="0CA050AA"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10A42458"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Female Literacy Rate (2011 Census)</w:t>
            </w:r>
          </w:p>
        </w:tc>
        <w:tc>
          <w:tcPr>
            <w:tcW w:w="0" w:type="auto"/>
            <w:tcBorders>
              <w:top w:val="single" w:sz="4" w:space="0" w:color="auto"/>
              <w:left w:val="single" w:sz="4" w:space="0" w:color="auto"/>
            </w:tcBorders>
            <w:vAlign w:val="center"/>
            <w:hideMark/>
          </w:tcPr>
          <w:p w14:paraId="04130336"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92.1%</w:t>
            </w:r>
          </w:p>
        </w:tc>
        <w:tc>
          <w:tcPr>
            <w:tcW w:w="0" w:type="auto"/>
            <w:tcBorders>
              <w:top w:val="single" w:sz="4" w:space="0" w:color="auto"/>
              <w:left w:val="single" w:sz="4" w:space="0" w:color="auto"/>
              <w:right w:val="single" w:sz="4" w:space="0" w:color="auto"/>
            </w:tcBorders>
            <w:vAlign w:val="center"/>
            <w:hideMark/>
          </w:tcPr>
          <w:p w14:paraId="686EEDC8"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65.5%</w:t>
            </w:r>
          </w:p>
        </w:tc>
        <w:tc>
          <w:tcPr>
            <w:tcW w:w="0" w:type="auto"/>
            <w:tcBorders>
              <w:top w:val="single" w:sz="4" w:space="0" w:color="auto"/>
              <w:left w:val="single" w:sz="4" w:space="0" w:color="auto"/>
              <w:right w:val="single" w:sz="4" w:space="0" w:color="auto"/>
            </w:tcBorders>
            <w:vAlign w:val="center"/>
            <w:hideMark/>
          </w:tcPr>
          <w:p w14:paraId="02A4F038"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proofErr w:type="spellStart"/>
            <w:r w:rsidRPr="009513AA">
              <w:rPr>
                <w:rFonts w:ascii="Times New Roman" w:eastAsia="Times New Roman" w:hAnsi="Times New Roman" w:cs="Times New Roman"/>
                <w:kern w:val="0"/>
                <w:sz w:val="19"/>
                <w:szCs w:val="19"/>
                <w:lang w:eastAsia="en-IN"/>
                <w14:ligatures w14:val="none"/>
              </w:rPr>
              <w:t>MoSPI</w:t>
            </w:r>
            <w:proofErr w:type="spellEnd"/>
            <w:r w:rsidRPr="009513AA">
              <w:rPr>
                <w:rFonts w:ascii="Times New Roman" w:eastAsia="Times New Roman" w:hAnsi="Times New Roman" w:cs="Times New Roman"/>
                <w:kern w:val="0"/>
                <w:sz w:val="19"/>
                <w:szCs w:val="19"/>
                <w:lang w:eastAsia="en-IN"/>
                <w14:ligatures w14:val="none"/>
              </w:rPr>
              <w:t>, Census of India</w:t>
            </w:r>
          </w:p>
        </w:tc>
      </w:tr>
      <w:tr w:rsidR="009513AA" w:rsidRPr="009513AA" w14:paraId="1BA891AD"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7D4345B3"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Sex Ratio (females per 1000 males)</w:t>
            </w:r>
          </w:p>
        </w:tc>
        <w:tc>
          <w:tcPr>
            <w:tcW w:w="0" w:type="auto"/>
            <w:tcBorders>
              <w:top w:val="single" w:sz="4" w:space="0" w:color="auto"/>
              <w:left w:val="single" w:sz="4" w:space="0" w:color="auto"/>
            </w:tcBorders>
            <w:vAlign w:val="center"/>
            <w:hideMark/>
          </w:tcPr>
          <w:p w14:paraId="18D5E0DA"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1084</w:t>
            </w:r>
          </w:p>
        </w:tc>
        <w:tc>
          <w:tcPr>
            <w:tcW w:w="0" w:type="auto"/>
            <w:tcBorders>
              <w:top w:val="single" w:sz="4" w:space="0" w:color="auto"/>
              <w:left w:val="single" w:sz="4" w:space="0" w:color="auto"/>
              <w:right w:val="single" w:sz="4" w:space="0" w:color="auto"/>
            </w:tcBorders>
            <w:vAlign w:val="center"/>
            <w:hideMark/>
          </w:tcPr>
          <w:p w14:paraId="601FC710"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943</w:t>
            </w:r>
          </w:p>
        </w:tc>
        <w:tc>
          <w:tcPr>
            <w:tcW w:w="0" w:type="auto"/>
            <w:tcBorders>
              <w:top w:val="single" w:sz="4" w:space="0" w:color="auto"/>
              <w:left w:val="single" w:sz="4" w:space="0" w:color="auto"/>
              <w:right w:val="single" w:sz="4" w:space="0" w:color="auto"/>
            </w:tcBorders>
            <w:vAlign w:val="center"/>
            <w:hideMark/>
          </w:tcPr>
          <w:p w14:paraId="3E248FAC"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Census 2011</w:t>
            </w:r>
          </w:p>
        </w:tc>
      </w:tr>
      <w:tr w:rsidR="009513AA" w:rsidRPr="009513AA" w14:paraId="413D8CE7"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2CE96BAC"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Female Labour Force Participation Rate (FLFPR, 2022–23)</w:t>
            </w:r>
          </w:p>
        </w:tc>
        <w:tc>
          <w:tcPr>
            <w:tcW w:w="0" w:type="auto"/>
            <w:tcBorders>
              <w:top w:val="single" w:sz="4" w:space="0" w:color="auto"/>
              <w:left w:val="single" w:sz="4" w:space="0" w:color="auto"/>
            </w:tcBorders>
            <w:vAlign w:val="center"/>
            <w:hideMark/>
          </w:tcPr>
          <w:p w14:paraId="11D46673"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28.9%</w:t>
            </w:r>
          </w:p>
        </w:tc>
        <w:tc>
          <w:tcPr>
            <w:tcW w:w="0" w:type="auto"/>
            <w:tcBorders>
              <w:top w:val="single" w:sz="4" w:space="0" w:color="auto"/>
              <w:left w:val="single" w:sz="4" w:space="0" w:color="auto"/>
              <w:right w:val="single" w:sz="4" w:space="0" w:color="auto"/>
            </w:tcBorders>
            <w:vAlign w:val="center"/>
            <w:hideMark/>
          </w:tcPr>
          <w:p w14:paraId="1C6B0FC3"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27.6%</w:t>
            </w:r>
          </w:p>
        </w:tc>
        <w:tc>
          <w:tcPr>
            <w:tcW w:w="0" w:type="auto"/>
            <w:tcBorders>
              <w:top w:val="single" w:sz="4" w:space="0" w:color="auto"/>
              <w:left w:val="single" w:sz="4" w:space="0" w:color="auto"/>
              <w:right w:val="single" w:sz="4" w:space="0" w:color="auto"/>
            </w:tcBorders>
            <w:vAlign w:val="center"/>
            <w:hideMark/>
          </w:tcPr>
          <w:p w14:paraId="52487857"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Periodic Labour Force Survey (PLFS)</w:t>
            </w:r>
          </w:p>
        </w:tc>
      </w:tr>
      <w:tr w:rsidR="009513AA" w:rsidRPr="009513AA" w14:paraId="050AAE88"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715357F3"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Women in Higher Education (GER, 2023)</w:t>
            </w:r>
          </w:p>
        </w:tc>
        <w:tc>
          <w:tcPr>
            <w:tcW w:w="0" w:type="auto"/>
            <w:tcBorders>
              <w:top w:val="single" w:sz="4" w:space="0" w:color="auto"/>
              <w:left w:val="single" w:sz="4" w:space="0" w:color="auto"/>
            </w:tcBorders>
            <w:vAlign w:val="center"/>
            <w:hideMark/>
          </w:tcPr>
          <w:p w14:paraId="256203E8"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54.8%</w:t>
            </w:r>
          </w:p>
        </w:tc>
        <w:tc>
          <w:tcPr>
            <w:tcW w:w="0" w:type="auto"/>
            <w:tcBorders>
              <w:top w:val="single" w:sz="4" w:space="0" w:color="auto"/>
              <w:left w:val="single" w:sz="4" w:space="0" w:color="auto"/>
              <w:right w:val="single" w:sz="4" w:space="0" w:color="auto"/>
            </w:tcBorders>
            <w:vAlign w:val="center"/>
            <w:hideMark/>
          </w:tcPr>
          <w:p w14:paraId="3C3CB439"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49.0%</w:t>
            </w:r>
          </w:p>
        </w:tc>
        <w:tc>
          <w:tcPr>
            <w:tcW w:w="0" w:type="auto"/>
            <w:tcBorders>
              <w:top w:val="single" w:sz="4" w:space="0" w:color="auto"/>
              <w:left w:val="single" w:sz="4" w:space="0" w:color="auto"/>
              <w:right w:val="single" w:sz="4" w:space="0" w:color="auto"/>
            </w:tcBorders>
            <w:vAlign w:val="center"/>
            <w:hideMark/>
          </w:tcPr>
          <w:p w14:paraId="7FDAB97B"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AISHE 2023</w:t>
            </w:r>
          </w:p>
        </w:tc>
      </w:tr>
      <w:tr w:rsidR="009513AA" w:rsidRPr="009513AA" w14:paraId="0F34563E"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05D63ADA"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Women in State Legislature (2021 Election)</w:t>
            </w:r>
          </w:p>
        </w:tc>
        <w:tc>
          <w:tcPr>
            <w:tcW w:w="0" w:type="auto"/>
            <w:tcBorders>
              <w:top w:val="single" w:sz="4" w:space="0" w:color="auto"/>
              <w:left w:val="single" w:sz="4" w:space="0" w:color="auto"/>
            </w:tcBorders>
            <w:vAlign w:val="center"/>
            <w:hideMark/>
          </w:tcPr>
          <w:p w14:paraId="069C6D74"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9.3%</w:t>
            </w:r>
          </w:p>
        </w:tc>
        <w:tc>
          <w:tcPr>
            <w:tcW w:w="0" w:type="auto"/>
            <w:tcBorders>
              <w:top w:val="single" w:sz="4" w:space="0" w:color="auto"/>
              <w:left w:val="single" w:sz="4" w:space="0" w:color="auto"/>
              <w:right w:val="single" w:sz="4" w:space="0" w:color="auto"/>
            </w:tcBorders>
            <w:vAlign w:val="center"/>
            <w:hideMark/>
          </w:tcPr>
          <w:p w14:paraId="3A1FADB8"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w:t>
            </w:r>
          </w:p>
        </w:tc>
        <w:tc>
          <w:tcPr>
            <w:tcW w:w="0" w:type="auto"/>
            <w:tcBorders>
              <w:top w:val="single" w:sz="4" w:space="0" w:color="auto"/>
              <w:left w:val="single" w:sz="4" w:space="0" w:color="auto"/>
              <w:right w:val="single" w:sz="4" w:space="0" w:color="auto"/>
            </w:tcBorders>
            <w:vAlign w:val="center"/>
            <w:hideMark/>
          </w:tcPr>
          <w:p w14:paraId="6C58369F"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Election Commission</w:t>
            </w:r>
          </w:p>
        </w:tc>
      </w:tr>
      <w:tr w:rsidR="009513AA" w:rsidRPr="009513AA" w14:paraId="0453DE88" w14:textId="77777777" w:rsidTr="00BB10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DD5253"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Women in Local Self-Government (Panchayats)</w:t>
            </w:r>
          </w:p>
        </w:tc>
        <w:tc>
          <w:tcPr>
            <w:tcW w:w="0" w:type="auto"/>
            <w:tcBorders>
              <w:top w:val="single" w:sz="4" w:space="0" w:color="auto"/>
              <w:left w:val="single" w:sz="4" w:space="0" w:color="auto"/>
              <w:bottom w:val="single" w:sz="4" w:space="0" w:color="auto"/>
            </w:tcBorders>
            <w:vAlign w:val="center"/>
            <w:hideMark/>
          </w:tcPr>
          <w:p w14:paraId="76AC3721"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b/>
                <w:bCs/>
                <w:kern w:val="0"/>
                <w:sz w:val="19"/>
                <w:szCs w:val="19"/>
                <w:lang w:eastAsia="en-IN"/>
                <w14:ligatures w14:val="none"/>
              </w:rPr>
              <w:t>50.1% (Reservation)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BEC4B"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46%</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4C419" w14:textId="77777777" w:rsidR="00BB1083" w:rsidRPr="009513AA"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9513AA">
              <w:rPr>
                <w:rFonts w:ascii="Times New Roman" w:eastAsia="Times New Roman" w:hAnsi="Times New Roman" w:cs="Times New Roman"/>
                <w:kern w:val="0"/>
                <w:sz w:val="19"/>
                <w:szCs w:val="19"/>
                <w:lang w:eastAsia="en-IN"/>
                <w14:ligatures w14:val="none"/>
              </w:rPr>
              <w:t>Kerala Government</w:t>
            </w:r>
          </w:p>
        </w:tc>
      </w:tr>
    </w:tbl>
    <w:p w14:paraId="7BBBEB6F" w14:textId="77777777" w:rsidR="0019396F" w:rsidRPr="009513AA" w:rsidRDefault="00BB1083" w:rsidP="00BB108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 xml:space="preserve">                              </w:t>
      </w:r>
    </w:p>
    <w:p w14:paraId="54E5F87B" w14:textId="77777777" w:rsidR="009C0F6A" w:rsidRPr="009513AA" w:rsidRDefault="009C0F6A" w:rsidP="00BB1083">
      <w:pPr>
        <w:spacing w:before="100" w:beforeAutospacing="1" w:after="100" w:afterAutospacing="1" w:line="360" w:lineRule="auto"/>
        <w:jc w:val="both"/>
      </w:pPr>
    </w:p>
    <w:p w14:paraId="0EBFF9E7" w14:textId="60526B29" w:rsidR="009C0F6A" w:rsidRPr="009513AA" w:rsidRDefault="009C0F6A"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hAnsi="Times New Roman" w:cs="Times New Roman"/>
          <w:sz w:val="24"/>
          <w:szCs w:val="24"/>
        </w:rPr>
        <w:t xml:space="preserve">The data on gender-related indicators in Kerala and India, sourced from the Census of India (2011), PLFS (2022–23), AISHE (2023), Election Commission (2021), and Kerala Government reports, is based on large-scale, representative sampling designed to capture demographic, educational, economic, and political participation patterns. For the </w:t>
      </w:r>
      <w:r w:rsidRPr="009513AA">
        <w:rPr>
          <w:rStyle w:val="Strong"/>
          <w:rFonts w:ascii="Times New Roman" w:hAnsi="Times New Roman" w:cs="Times New Roman"/>
          <w:sz w:val="24"/>
          <w:szCs w:val="24"/>
        </w:rPr>
        <w:t>Census</w:t>
      </w:r>
      <w:r w:rsidRPr="009513AA">
        <w:rPr>
          <w:rFonts w:ascii="Times New Roman" w:hAnsi="Times New Roman" w:cs="Times New Roman"/>
          <w:sz w:val="24"/>
          <w:szCs w:val="24"/>
        </w:rPr>
        <w:t xml:space="preserve">, a complete enumeration method was used, collecting household-level data nationwide, while the </w:t>
      </w:r>
      <w:r w:rsidRPr="009513AA">
        <w:rPr>
          <w:rStyle w:val="Strong"/>
          <w:rFonts w:ascii="Times New Roman" w:hAnsi="Times New Roman" w:cs="Times New Roman"/>
          <w:sz w:val="24"/>
          <w:szCs w:val="24"/>
        </w:rPr>
        <w:t>Periodic Labour Force Survey</w:t>
      </w:r>
      <w:r w:rsidRPr="009513AA">
        <w:rPr>
          <w:rFonts w:ascii="Times New Roman" w:hAnsi="Times New Roman" w:cs="Times New Roman"/>
          <w:sz w:val="24"/>
          <w:szCs w:val="24"/>
        </w:rPr>
        <w:t xml:space="preserve"> employs a stratified multistage sampling approach to cover rural and urban households across all states, ensuring representation of various age, gender, and occupational groups. The </w:t>
      </w:r>
      <w:r w:rsidRPr="009513AA">
        <w:rPr>
          <w:rStyle w:val="Strong"/>
          <w:rFonts w:ascii="Times New Roman" w:hAnsi="Times New Roman" w:cs="Times New Roman"/>
          <w:sz w:val="24"/>
          <w:szCs w:val="24"/>
        </w:rPr>
        <w:t>AISHE</w:t>
      </w:r>
      <w:r w:rsidRPr="009513AA">
        <w:rPr>
          <w:rFonts w:ascii="Times New Roman" w:hAnsi="Times New Roman" w:cs="Times New Roman"/>
          <w:sz w:val="24"/>
          <w:szCs w:val="24"/>
        </w:rPr>
        <w:t xml:space="preserve"> survey collects data from all higher education institutions in the country, coding students by gender, </w:t>
      </w:r>
      <w:proofErr w:type="spellStart"/>
      <w:r w:rsidRPr="009513AA">
        <w:rPr>
          <w:rFonts w:ascii="Times New Roman" w:hAnsi="Times New Roman" w:cs="Times New Roman"/>
          <w:sz w:val="24"/>
          <w:szCs w:val="24"/>
        </w:rPr>
        <w:t>enrollment</w:t>
      </w:r>
      <w:proofErr w:type="spellEnd"/>
      <w:r w:rsidRPr="009513AA">
        <w:rPr>
          <w:rFonts w:ascii="Times New Roman" w:hAnsi="Times New Roman" w:cs="Times New Roman"/>
          <w:sz w:val="24"/>
          <w:szCs w:val="24"/>
        </w:rPr>
        <w:t xml:space="preserve"> status, and level of study. Election data and Panchayat reservation statistics are compiled from official administrative records. Coding involves converting raw responses into numerical or categorical values—for instance, female literacy as a percentage of women aged seven and above, sex ratio as females per 1,000 males, </w:t>
      </w:r>
      <w:proofErr w:type="spellStart"/>
      <w:r w:rsidRPr="009513AA">
        <w:rPr>
          <w:rFonts w:ascii="Times New Roman" w:hAnsi="Times New Roman" w:cs="Times New Roman"/>
          <w:sz w:val="24"/>
          <w:szCs w:val="24"/>
        </w:rPr>
        <w:t>labor</w:t>
      </w:r>
      <w:proofErr w:type="spellEnd"/>
      <w:r w:rsidRPr="009513AA">
        <w:rPr>
          <w:rFonts w:ascii="Times New Roman" w:hAnsi="Times New Roman" w:cs="Times New Roman"/>
          <w:sz w:val="24"/>
          <w:szCs w:val="24"/>
        </w:rPr>
        <w:t xml:space="preserve"> force participation as the proportion of women in the workforce, and representation in legislatures or local bodies as percentages. Analysis primarily uses </w:t>
      </w:r>
      <w:r w:rsidRPr="009513AA">
        <w:rPr>
          <w:rStyle w:val="Strong"/>
          <w:rFonts w:ascii="Times New Roman" w:hAnsi="Times New Roman" w:cs="Times New Roman"/>
          <w:sz w:val="24"/>
          <w:szCs w:val="24"/>
        </w:rPr>
        <w:t>descriptive statistics</w:t>
      </w:r>
      <w:r w:rsidRPr="009513AA">
        <w:rPr>
          <w:rFonts w:ascii="Times New Roman" w:hAnsi="Times New Roman" w:cs="Times New Roman"/>
          <w:sz w:val="24"/>
          <w:szCs w:val="24"/>
        </w:rPr>
        <w:t xml:space="preserve"> to compare Kerala with national averages, identify gaps, and highlight trends, such as Kerala’s high female literacy rate (92.1% vs. 65.5% nationally) and relatively strong local governance representation (50.1% vs. 46%). While these datasets are robust and provide reliable comparative insights, limitations such as differences in survey timing, methodology, or reporting standards must be considered when interpreting the findings.</w:t>
      </w:r>
    </w:p>
    <w:p w14:paraId="56C1EE04" w14:textId="190F2C5C" w:rsidR="00BB1083" w:rsidRPr="009513AA"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Kerala’s literacy and educational attainment create strong potential for empowerment through information access. However, the low labour-force participation and underrepresentation in </w:t>
      </w:r>
      <w:r w:rsidRPr="009513AA">
        <w:rPr>
          <w:rFonts w:ascii="Times New Roman" w:eastAsia="Times New Roman" w:hAnsi="Times New Roman" w:cs="Times New Roman"/>
          <w:kern w:val="0"/>
          <w:sz w:val="24"/>
          <w:szCs w:val="24"/>
          <w:lang w:eastAsia="en-IN"/>
          <w14:ligatures w14:val="none"/>
        </w:rPr>
        <w:lastRenderedPageBreak/>
        <w:t>politics reveal structural bottlenecks, reinforcing the need for media-enabled awareness, role modelling, and participation.</w:t>
      </w:r>
    </w:p>
    <w:p w14:paraId="1A66BA0D" w14:textId="29561854" w:rsidR="00BB1083" w:rsidRPr="009513AA" w:rsidRDefault="00BB1083" w:rsidP="009C0F6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Table 2:  Digital Access and Media Exposure among Women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1"/>
        <w:gridCol w:w="777"/>
        <w:gridCol w:w="1657"/>
        <w:gridCol w:w="2641"/>
      </w:tblGrid>
      <w:tr w:rsidR="009513AA" w:rsidRPr="009513AA" w14:paraId="2D546181" w14:textId="77777777" w:rsidTr="00324926">
        <w:trPr>
          <w:tblHeader/>
          <w:tblCellSpacing w:w="15" w:type="dxa"/>
        </w:trPr>
        <w:tc>
          <w:tcPr>
            <w:tcW w:w="0" w:type="auto"/>
            <w:tcBorders>
              <w:top w:val="single" w:sz="4" w:space="0" w:color="auto"/>
              <w:left w:val="single" w:sz="4" w:space="0" w:color="auto"/>
            </w:tcBorders>
            <w:vAlign w:val="center"/>
            <w:hideMark/>
          </w:tcPr>
          <w:p w14:paraId="71FC447C"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Indicator</w:t>
            </w:r>
          </w:p>
        </w:tc>
        <w:tc>
          <w:tcPr>
            <w:tcW w:w="0" w:type="auto"/>
            <w:tcBorders>
              <w:top w:val="single" w:sz="4" w:space="0" w:color="auto"/>
              <w:left w:val="single" w:sz="4" w:space="0" w:color="auto"/>
            </w:tcBorders>
            <w:vAlign w:val="center"/>
            <w:hideMark/>
          </w:tcPr>
          <w:p w14:paraId="75DC38FD"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Kerala</w:t>
            </w:r>
          </w:p>
        </w:tc>
        <w:tc>
          <w:tcPr>
            <w:tcW w:w="0" w:type="auto"/>
            <w:tcBorders>
              <w:top w:val="single" w:sz="4" w:space="0" w:color="auto"/>
              <w:left w:val="single" w:sz="4" w:space="0" w:color="auto"/>
            </w:tcBorders>
            <w:vAlign w:val="center"/>
            <w:hideMark/>
          </w:tcPr>
          <w:p w14:paraId="1C832A23"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National Average</w:t>
            </w:r>
          </w:p>
        </w:tc>
        <w:tc>
          <w:tcPr>
            <w:tcW w:w="0" w:type="auto"/>
            <w:tcBorders>
              <w:top w:val="single" w:sz="4" w:space="0" w:color="auto"/>
              <w:left w:val="single" w:sz="4" w:space="0" w:color="auto"/>
              <w:right w:val="single" w:sz="4" w:space="0" w:color="auto"/>
            </w:tcBorders>
            <w:vAlign w:val="center"/>
            <w:hideMark/>
          </w:tcPr>
          <w:p w14:paraId="6EF44DAA"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Source</w:t>
            </w:r>
          </w:p>
        </w:tc>
      </w:tr>
      <w:tr w:rsidR="009513AA" w:rsidRPr="009513AA" w14:paraId="1A5CB428" w14:textId="77777777" w:rsidTr="00324926">
        <w:trPr>
          <w:tblCellSpacing w:w="15" w:type="dxa"/>
        </w:trPr>
        <w:tc>
          <w:tcPr>
            <w:tcW w:w="0" w:type="auto"/>
            <w:tcBorders>
              <w:top w:val="single" w:sz="4" w:space="0" w:color="auto"/>
              <w:left w:val="single" w:sz="4" w:space="0" w:color="auto"/>
            </w:tcBorders>
            <w:vAlign w:val="center"/>
            <w:hideMark/>
          </w:tcPr>
          <w:p w14:paraId="192D5753"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Women owning mobile phones (NFHS-5, 2021)</w:t>
            </w:r>
          </w:p>
        </w:tc>
        <w:tc>
          <w:tcPr>
            <w:tcW w:w="0" w:type="auto"/>
            <w:tcBorders>
              <w:top w:val="single" w:sz="4" w:space="0" w:color="auto"/>
              <w:left w:val="single" w:sz="4" w:space="0" w:color="auto"/>
            </w:tcBorders>
            <w:vAlign w:val="center"/>
            <w:hideMark/>
          </w:tcPr>
          <w:p w14:paraId="7B7BCD3C"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88.6%</w:t>
            </w:r>
          </w:p>
        </w:tc>
        <w:tc>
          <w:tcPr>
            <w:tcW w:w="0" w:type="auto"/>
            <w:tcBorders>
              <w:top w:val="single" w:sz="4" w:space="0" w:color="auto"/>
              <w:left w:val="single" w:sz="4" w:space="0" w:color="auto"/>
            </w:tcBorders>
            <w:vAlign w:val="center"/>
            <w:hideMark/>
          </w:tcPr>
          <w:p w14:paraId="577D7EF1"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66.7%</w:t>
            </w:r>
          </w:p>
        </w:tc>
        <w:tc>
          <w:tcPr>
            <w:tcW w:w="0" w:type="auto"/>
            <w:tcBorders>
              <w:top w:val="single" w:sz="4" w:space="0" w:color="auto"/>
              <w:left w:val="single" w:sz="4" w:space="0" w:color="auto"/>
              <w:right w:val="single" w:sz="4" w:space="0" w:color="auto"/>
            </w:tcBorders>
            <w:vAlign w:val="center"/>
            <w:hideMark/>
          </w:tcPr>
          <w:p w14:paraId="047BBF0B"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NFHS-5</w:t>
            </w:r>
          </w:p>
        </w:tc>
      </w:tr>
      <w:tr w:rsidR="009513AA" w:rsidRPr="009513AA" w14:paraId="2B131E31" w14:textId="77777777" w:rsidTr="00324926">
        <w:trPr>
          <w:tblCellSpacing w:w="15" w:type="dxa"/>
        </w:trPr>
        <w:tc>
          <w:tcPr>
            <w:tcW w:w="0" w:type="auto"/>
            <w:tcBorders>
              <w:top w:val="single" w:sz="4" w:space="0" w:color="auto"/>
              <w:left w:val="single" w:sz="4" w:space="0" w:color="auto"/>
            </w:tcBorders>
            <w:vAlign w:val="center"/>
            <w:hideMark/>
          </w:tcPr>
          <w:p w14:paraId="71782DFB"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Women using mobile internet</w:t>
            </w:r>
          </w:p>
        </w:tc>
        <w:tc>
          <w:tcPr>
            <w:tcW w:w="0" w:type="auto"/>
            <w:tcBorders>
              <w:top w:val="single" w:sz="4" w:space="0" w:color="auto"/>
              <w:left w:val="single" w:sz="4" w:space="0" w:color="auto"/>
            </w:tcBorders>
            <w:vAlign w:val="center"/>
            <w:hideMark/>
          </w:tcPr>
          <w:p w14:paraId="2A88F304"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63.4%</w:t>
            </w:r>
          </w:p>
        </w:tc>
        <w:tc>
          <w:tcPr>
            <w:tcW w:w="0" w:type="auto"/>
            <w:tcBorders>
              <w:top w:val="single" w:sz="4" w:space="0" w:color="auto"/>
              <w:left w:val="single" w:sz="4" w:space="0" w:color="auto"/>
            </w:tcBorders>
            <w:vAlign w:val="center"/>
            <w:hideMark/>
          </w:tcPr>
          <w:p w14:paraId="62DFAB9B"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47.0%</w:t>
            </w:r>
          </w:p>
        </w:tc>
        <w:tc>
          <w:tcPr>
            <w:tcW w:w="0" w:type="auto"/>
            <w:tcBorders>
              <w:top w:val="single" w:sz="4" w:space="0" w:color="auto"/>
              <w:left w:val="single" w:sz="4" w:space="0" w:color="auto"/>
              <w:right w:val="single" w:sz="4" w:space="0" w:color="auto"/>
            </w:tcBorders>
            <w:vAlign w:val="center"/>
            <w:hideMark/>
          </w:tcPr>
          <w:p w14:paraId="39C73A44"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NFHS-5</w:t>
            </w:r>
          </w:p>
        </w:tc>
      </w:tr>
      <w:tr w:rsidR="009513AA" w:rsidRPr="009513AA" w14:paraId="314735B5" w14:textId="77777777" w:rsidTr="00324926">
        <w:trPr>
          <w:trHeight w:val="60"/>
          <w:tblCellSpacing w:w="15" w:type="dxa"/>
        </w:trPr>
        <w:tc>
          <w:tcPr>
            <w:tcW w:w="0" w:type="auto"/>
            <w:tcBorders>
              <w:left w:val="single" w:sz="4" w:space="0" w:color="auto"/>
              <w:bottom w:val="single" w:sz="4" w:space="0" w:color="auto"/>
            </w:tcBorders>
            <w:vAlign w:val="center"/>
            <w:hideMark/>
          </w:tcPr>
          <w:p w14:paraId="177A0F53"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Female internet users as % of total </w:t>
            </w:r>
          </w:p>
        </w:tc>
        <w:tc>
          <w:tcPr>
            <w:tcW w:w="0" w:type="auto"/>
            <w:tcBorders>
              <w:left w:val="single" w:sz="4" w:space="0" w:color="auto"/>
              <w:bottom w:val="single" w:sz="4" w:space="0" w:color="auto"/>
            </w:tcBorders>
            <w:vAlign w:val="center"/>
            <w:hideMark/>
          </w:tcPr>
          <w:p w14:paraId="40AAAE9B"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41%</w:t>
            </w:r>
          </w:p>
        </w:tc>
        <w:tc>
          <w:tcPr>
            <w:tcW w:w="0" w:type="auto"/>
            <w:tcBorders>
              <w:left w:val="single" w:sz="4" w:space="0" w:color="auto"/>
              <w:bottom w:val="single" w:sz="4" w:space="0" w:color="auto"/>
            </w:tcBorders>
            <w:vAlign w:val="center"/>
            <w:hideMark/>
          </w:tcPr>
          <w:p w14:paraId="6EF946C6"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36%</w:t>
            </w:r>
          </w:p>
        </w:tc>
        <w:tc>
          <w:tcPr>
            <w:tcW w:w="0" w:type="auto"/>
            <w:tcBorders>
              <w:left w:val="single" w:sz="4" w:space="0" w:color="auto"/>
              <w:bottom w:val="single" w:sz="4" w:space="0" w:color="auto"/>
              <w:right w:val="single" w:sz="4" w:space="0" w:color="auto"/>
            </w:tcBorders>
            <w:vAlign w:val="center"/>
            <w:hideMark/>
          </w:tcPr>
          <w:p w14:paraId="6C1D0B4B"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TRAI, 2024</w:t>
            </w:r>
          </w:p>
        </w:tc>
      </w:tr>
      <w:tr w:rsidR="009513AA" w:rsidRPr="009513AA" w14:paraId="288AB169" w14:textId="77777777" w:rsidTr="00324926">
        <w:trPr>
          <w:trHeight w:val="500"/>
          <w:tblCellSpacing w:w="15" w:type="dxa"/>
        </w:trPr>
        <w:tc>
          <w:tcPr>
            <w:tcW w:w="0" w:type="auto"/>
            <w:tcBorders>
              <w:top w:val="single" w:sz="4" w:space="0" w:color="auto"/>
              <w:left w:val="single" w:sz="4" w:space="0" w:color="auto"/>
            </w:tcBorders>
            <w:vAlign w:val="center"/>
          </w:tcPr>
          <w:p w14:paraId="13E4252B"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internet users (2024)</w:t>
            </w:r>
          </w:p>
        </w:tc>
        <w:tc>
          <w:tcPr>
            <w:tcW w:w="0" w:type="auto"/>
            <w:tcBorders>
              <w:top w:val="single" w:sz="4" w:space="0" w:color="auto"/>
              <w:left w:val="single" w:sz="4" w:space="0" w:color="auto"/>
            </w:tcBorders>
            <w:vAlign w:val="center"/>
          </w:tcPr>
          <w:p w14:paraId="32728FE1" w14:textId="77777777" w:rsidR="00BB1083" w:rsidRPr="009513AA" w:rsidRDefault="00BB1083" w:rsidP="00BB1083">
            <w:pPr>
              <w:spacing w:after="0" w:line="240" w:lineRule="auto"/>
              <w:rPr>
                <w:rFonts w:ascii="Times New Roman" w:eastAsia="Times New Roman" w:hAnsi="Times New Roman" w:cs="Times New Roman"/>
                <w:b/>
                <w:bCs/>
                <w:kern w:val="0"/>
                <w:sz w:val="24"/>
                <w:szCs w:val="24"/>
                <w:lang w:eastAsia="en-IN"/>
                <w14:ligatures w14:val="none"/>
              </w:rPr>
            </w:pPr>
          </w:p>
        </w:tc>
        <w:tc>
          <w:tcPr>
            <w:tcW w:w="0" w:type="auto"/>
            <w:tcBorders>
              <w:top w:val="single" w:sz="4" w:space="0" w:color="auto"/>
              <w:left w:val="single" w:sz="4" w:space="0" w:color="auto"/>
            </w:tcBorders>
            <w:vAlign w:val="center"/>
          </w:tcPr>
          <w:p w14:paraId="7006797C"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4" w:space="0" w:color="auto"/>
              <w:left w:val="single" w:sz="4" w:space="0" w:color="auto"/>
              <w:right w:val="single" w:sz="4" w:space="0" w:color="auto"/>
            </w:tcBorders>
            <w:vAlign w:val="center"/>
          </w:tcPr>
          <w:p w14:paraId="436F8694"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p>
        </w:tc>
      </w:tr>
      <w:tr w:rsidR="009513AA" w:rsidRPr="009513AA" w14:paraId="25689081" w14:textId="77777777" w:rsidTr="00324926">
        <w:trPr>
          <w:tblCellSpacing w:w="15" w:type="dxa"/>
        </w:trPr>
        <w:tc>
          <w:tcPr>
            <w:tcW w:w="0" w:type="auto"/>
            <w:tcBorders>
              <w:left w:val="single" w:sz="4" w:space="0" w:color="auto"/>
            </w:tcBorders>
            <w:vAlign w:val="center"/>
            <w:hideMark/>
          </w:tcPr>
          <w:p w14:paraId="6BC4D438"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Households with TV access</w:t>
            </w:r>
          </w:p>
        </w:tc>
        <w:tc>
          <w:tcPr>
            <w:tcW w:w="0" w:type="auto"/>
            <w:tcBorders>
              <w:left w:val="single" w:sz="4" w:space="0" w:color="auto"/>
            </w:tcBorders>
            <w:vAlign w:val="center"/>
            <w:hideMark/>
          </w:tcPr>
          <w:p w14:paraId="790E68B1"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96.1%</w:t>
            </w:r>
          </w:p>
        </w:tc>
        <w:tc>
          <w:tcPr>
            <w:tcW w:w="0" w:type="auto"/>
            <w:tcBorders>
              <w:left w:val="single" w:sz="4" w:space="0" w:color="auto"/>
            </w:tcBorders>
            <w:vAlign w:val="center"/>
            <w:hideMark/>
          </w:tcPr>
          <w:p w14:paraId="38D35459"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87.3%</w:t>
            </w:r>
          </w:p>
        </w:tc>
        <w:tc>
          <w:tcPr>
            <w:tcW w:w="0" w:type="auto"/>
            <w:tcBorders>
              <w:left w:val="single" w:sz="4" w:space="0" w:color="auto"/>
              <w:right w:val="single" w:sz="4" w:space="0" w:color="auto"/>
            </w:tcBorders>
            <w:vAlign w:val="center"/>
            <w:hideMark/>
          </w:tcPr>
          <w:p w14:paraId="1E57B286"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NFHS-5</w:t>
            </w:r>
          </w:p>
        </w:tc>
      </w:tr>
      <w:tr w:rsidR="009513AA" w:rsidRPr="009513AA" w14:paraId="7BDADD24" w14:textId="77777777" w:rsidTr="00324926">
        <w:trPr>
          <w:tblCellSpacing w:w="15" w:type="dxa"/>
        </w:trPr>
        <w:tc>
          <w:tcPr>
            <w:tcW w:w="0" w:type="auto"/>
            <w:tcBorders>
              <w:top w:val="single" w:sz="4" w:space="0" w:color="auto"/>
              <w:left w:val="single" w:sz="4" w:space="0" w:color="auto"/>
              <w:bottom w:val="single" w:sz="4" w:space="0" w:color="auto"/>
            </w:tcBorders>
            <w:vAlign w:val="center"/>
            <w:hideMark/>
          </w:tcPr>
          <w:p w14:paraId="377C65D4"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Households with newspaper subscription</w:t>
            </w:r>
          </w:p>
        </w:tc>
        <w:tc>
          <w:tcPr>
            <w:tcW w:w="0" w:type="auto"/>
            <w:tcBorders>
              <w:top w:val="single" w:sz="4" w:space="0" w:color="auto"/>
              <w:left w:val="single" w:sz="4" w:space="0" w:color="auto"/>
              <w:bottom w:val="single" w:sz="4" w:space="0" w:color="auto"/>
            </w:tcBorders>
            <w:vAlign w:val="center"/>
            <w:hideMark/>
          </w:tcPr>
          <w:p w14:paraId="3A5B3C00"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71%</w:t>
            </w:r>
          </w:p>
        </w:tc>
        <w:tc>
          <w:tcPr>
            <w:tcW w:w="0" w:type="auto"/>
            <w:tcBorders>
              <w:top w:val="single" w:sz="4" w:space="0" w:color="auto"/>
              <w:left w:val="single" w:sz="4" w:space="0" w:color="auto"/>
              <w:bottom w:val="single" w:sz="4" w:space="0" w:color="auto"/>
            </w:tcBorders>
            <w:vAlign w:val="center"/>
            <w:hideMark/>
          </w:tcPr>
          <w:p w14:paraId="59199880"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47%</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C51CC"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Kerala Economic Review 2023</w:t>
            </w:r>
          </w:p>
        </w:tc>
      </w:tr>
    </w:tbl>
    <w:p w14:paraId="6F0DC12E" w14:textId="20F3C03C" w:rsidR="00B42D93" w:rsidRPr="009513AA" w:rsidRDefault="00B42D93" w:rsidP="00B42D9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hAnsi="Times New Roman" w:cs="Times New Roman"/>
          <w:sz w:val="24"/>
          <w:szCs w:val="24"/>
        </w:rPr>
        <w:t>The data on media access and digital usage in Kerala and nationally are drawn from large, representative secondary sources such as NFHS-5 (2021), TRAI (2024), and the Kerala Economic Review (2023). These sources employ stratified multistage sampling methods to ensure coverage across urban and rural areas, different districts, and diverse demographic groups, making the results representative at both state and national levels. Survey responses are coded systematically, with binary codes for yes/no questions (e.g., household TV ownership) and categorical codes for usage frequency (e.g., mobile internet use), which are then converted into percentages for analysis. Descriptive statistics highlight Kerala’s higher digital and media access—88.6% of women own mobile phones compared to 66.7% nationally, 96.1% of households have TVs versus 87.3% nationally, and 71% of households subscribe to newspapers versus 47% nationally. Comparative analysis with national averages reveals regional disparities and underscores Kerala’s advanced media infrastructure. While these indicators provide reliable insights, the lack of access to raw survey microdata limits the ability to conduct deeper causal analyses</w:t>
      </w:r>
    </w:p>
    <w:p w14:paraId="2E5F6ECA" w14:textId="34F63BBE" w:rsidR="00BB1083" w:rsidRPr="009513AA" w:rsidRDefault="00B42D9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 xml:space="preserve">                     </w:t>
      </w:r>
      <w:r w:rsidR="00BB1083" w:rsidRPr="009513AA">
        <w:rPr>
          <w:rFonts w:ascii="Times New Roman" w:eastAsia="Times New Roman" w:hAnsi="Times New Roman" w:cs="Times New Roman"/>
          <w:kern w:val="0"/>
          <w:sz w:val="24"/>
          <w:szCs w:val="24"/>
          <w:lang w:eastAsia="en-IN"/>
          <w14:ligatures w14:val="none"/>
        </w:rPr>
        <w:t>Kerala ranks among India’s highest in media and digital access, with wide television and internet penetration, offering fertile ground for empowerment through information dissemination, e-literacy, and online participation. However, digital gender gaps persist between urban and rural areas, and among income groups.</w:t>
      </w:r>
    </w:p>
    <w:p w14:paraId="4126A227" w14:textId="01DC9085" w:rsidR="00BB1083" w:rsidRPr="009513AA" w:rsidRDefault="00AC7A4B" w:rsidP="00BB10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 xml:space="preserve">      Table 3:  </w:t>
      </w:r>
      <w:r w:rsidR="00BB1083" w:rsidRPr="009513AA">
        <w:rPr>
          <w:rFonts w:ascii="Times New Roman" w:eastAsia="Times New Roman" w:hAnsi="Times New Roman" w:cs="Times New Roman"/>
          <w:b/>
          <w:bCs/>
          <w:kern w:val="0"/>
          <w:sz w:val="27"/>
          <w:szCs w:val="27"/>
          <w:lang w:eastAsia="en-IN"/>
          <w14:ligatures w14:val="none"/>
        </w:rPr>
        <w:t>Representation of Women in Media Institutions (2024 Estimates)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1"/>
        <w:gridCol w:w="1909"/>
        <w:gridCol w:w="2085"/>
        <w:gridCol w:w="2961"/>
      </w:tblGrid>
      <w:tr w:rsidR="009513AA" w:rsidRPr="009513AA" w14:paraId="67031C07" w14:textId="77777777" w:rsidTr="00324926">
        <w:trPr>
          <w:tblHeader/>
          <w:tblCellSpacing w:w="15" w:type="dxa"/>
        </w:trPr>
        <w:tc>
          <w:tcPr>
            <w:tcW w:w="0" w:type="auto"/>
            <w:tcBorders>
              <w:top w:val="single" w:sz="4" w:space="0" w:color="auto"/>
              <w:left w:val="single" w:sz="4" w:space="0" w:color="auto"/>
            </w:tcBorders>
            <w:vAlign w:val="center"/>
            <w:hideMark/>
          </w:tcPr>
          <w:p w14:paraId="02279467"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lastRenderedPageBreak/>
              <w:t>Media Sector</w:t>
            </w:r>
          </w:p>
        </w:tc>
        <w:tc>
          <w:tcPr>
            <w:tcW w:w="0" w:type="auto"/>
            <w:tcBorders>
              <w:top w:val="single" w:sz="4" w:space="0" w:color="auto"/>
              <w:left w:val="single" w:sz="4" w:space="0" w:color="auto"/>
              <w:right w:val="single" w:sz="4" w:space="0" w:color="auto"/>
            </w:tcBorders>
            <w:vAlign w:val="center"/>
            <w:hideMark/>
          </w:tcPr>
          <w:p w14:paraId="4374EBEA"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Women Employees (%)</w:t>
            </w:r>
          </w:p>
        </w:tc>
        <w:tc>
          <w:tcPr>
            <w:tcW w:w="0" w:type="auto"/>
            <w:tcBorders>
              <w:top w:val="single" w:sz="4" w:space="0" w:color="auto"/>
            </w:tcBorders>
            <w:vAlign w:val="center"/>
            <w:hideMark/>
          </w:tcPr>
          <w:p w14:paraId="778B4833"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Women in Leadership (%)</w:t>
            </w:r>
          </w:p>
        </w:tc>
        <w:tc>
          <w:tcPr>
            <w:tcW w:w="0" w:type="auto"/>
            <w:tcBorders>
              <w:top w:val="single" w:sz="4" w:space="0" w:color="auto"/>
              <w:left w:val="single" w:sz="4" w:space="0" w:color="auto"/>
              <w:right w:val="single" w:sz="4" w:space="0" w:color="auto"/>
            </w:tcBorders>
            <w:vAlign w:val="center"/>
            <w:hideMark/>
          </w:tcPr>
          <w:p w14:paraId="355DB55A" w14:textId="77777777" w:rsidR="00BB1083" w:rsidRPr="009513AA"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Source</w:t>
            </w:r>
          </w:p>
        </w:tc>
      </w:tr>
      <w:tr w:rsidR="009513AA" w:rsidRPr="009513AA" w14:paraId="2EDD731D" w14:textId="77777777" w:rsidTr="00324926">
        <w:trPr>
          <w:tblCellSpacing w:w="15" w:type="dxa"/>
        </w:trPr>
        <w:tc>
          <w:tcPr>
            <w:tcW w:w="0" w:type="auto"/>
            <w:tcBorders>
              <w:top w:val="single" w:sz="4" w:space="0" w:color="auto"/>
              <w:left w:val="single" w:sz="4" w:space="0" w:color="auto"/>
              <w:bottom w:val="single" w:sz="4" w:space="0" w:color="auto"/>
            </w:tcBorders>
            <w:vAlign w:val="center"/>
            <w:hideMark/>
          </w:tcPr>
          <w:p w14:paraId="7D572CAE"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Malayalam Print Journalism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9FDE2"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27%</w:t>
            </w:r>
          </w:p>
        </w:tc>
        <w:tc>
          <w:tcPr>
            <w:tcW w:w="0" w:type="auto"/>
            <w:tcBorders>
              <w:top w:val="single" w:sz="4" w:space="0" w:color="auto"/>
              <w:bottom w:val="single" w:sz="4" w:space="0" w:color="auto"/>
            </w:tcBorders>
            <w:vAlign w:val="center"/>
            <w:hideMark/>
          </w:tcPr>
          <w:p w14:paraId="5B6D8584"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7FE8F"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Women in Media Industry Insight Report, 2024</w:t>
            </w:r>
          </w:p>
        </w:tc>
      </w:tr>
      <w:tr w:rsidR="009513AA" w:rsidRPr="009513AA" w14:paraId="7168C277" w14:textId="77777777" w:rsidTr="00324926">
        <w:trPr>
          <w:tblCellSpacing w:w="15" w:type="dxa"/>
        </w:trPr>
        <w:tc>
          <w:tcPr>
            <w:tcW w:w="0" w:type="auto"/>
            <w:tcBorders>
              <w:left w:val="single" w:sz="4" w:space="0" w:color="auto"/>
            </w:tcBorders>
            <w:vAlign w:val="center"/>
            <w:hideMark/>
          </w:tcPr>
          <w:p w14:paraId="0095FE19"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Television Production</w:t>
            </w:r>
          </w:p>
        </w:tc>
        <w:tc>
          <w:tcPr>
            <w:tcW w:w="0" w:type="auto"/>
            <w:tcBorders>
              <w:left w:val="single" w:sz="4" w:space="0" w:color="auto"/>
              <w:right w:val="single" w:sz="4" w:space="0" w:color="auto"/>
            </w:tcBorders>
            <w:vAlign w:val="center"/>
            <w:hideMark/>
          </w:tcPr>
          <w:p w14:paraId="1541C167"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31%</w:t>
            </w:r>
          </w:p>
        </w:tc>
        <w:tc>
          <w:tcPr>
            <w:tcW w:w="0" w:type="auto"/>
            <w:vAlign w:val="center"/>
            <w:hideMark/>
          </w:tcPr>
          <w:p w14:paraId="74D484FE" w14:textId="77777777" w:rsidR="008E2CF1"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14</w:t>
            </w:r>
          </w:p>
          <w:p w14:paraId="2D2AB058" w14:textId="77777777" w:rsidR="008E2CF1" w:rsidRPr="009513AA"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16B12252" w14:textId="77777777" w:rsidR="008E2CF1" w:rsidRPr="009513AA"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1F1FEF48" w14:textId="77777777" w:rsidR="008E2CF1" w:rsidRPr="009513AA"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455C3608" w14:textId="77777777" w:rsidR="008E2CF1" w:rsidRPr="009513AA"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16A5485D" w14:textId="272B5B59"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w:t>
            </w:r>
          </w:p>
        </w:tc>
        <w:tc>
          <w:tcPr>
            <w:tcW w:w="0" w:type="auto"/>
            <w:tcBorders>
              <w:left w:val="single" w:sz="4" w:space="0" w:color="auto"/>
              <w:right w:val="single" w:sz="4" w:space="0" w:color="auto"/>
            </w:tcBorders>
            <w:vAlign w:val="center"/>
            <w:hideMark/>
          </w:tcPr>
          <w:p w14:paraId="5DD5E2C0" w14:textId="77777777" w:rsidR="00BB1083" w:rsidRPr="009513AA"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1Earth Media Study, 2024</w:t>
            </w:r>
          </w:p>
        </w:tc>
      </w:tr>
      <w:tr w:rsidR="009513AA" w:rsidRPr="009513AA" w14:paraId="45DAD702" w14:textId="77777777" w:rsidTr="00324926">
        <w:trPr>
          <w:tblCellSpacing w:w="15" w:type="dxa"/>
        </w:trPr>
        <w:tc>
          <w:tcPr>
            <w:tcW w:w="0" w:type="auto"/>
            <w:tcBorders>
              <w:top w:val="single" w:sz="4" w:space="0" w:color="auto"/>
              <w:left w:val="single" w:sz="4" w:space="0" w:color="auto"/>
              <w:bottom w:val="single" w:sz="4" w:space="0" w:color="auto"/>
            </w:tcBorders>
            <w:vAlign w:val="center"/>
            <w:hideMark/>
          </w:tcPr>
          <w:p w14:paraId="5AF9482A"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Digital News Platforms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253B1"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41%</w:t>
            </w:r>
          </w:p>
        </w:tc>
        <w:tc>
          <w:tcPr>
            <w:tcW w:w="0" w:type="auto"/>
            <w:tcBorders>
              <w:top w:val="single" w:sz="4" w:space="0" w:color="auto"/>
              <w:bottom w:val="single" w:sz="4" w:space="0" w:color="auto"/>
            </w:tcBorders>
            <w:vAlign w:val="center"/>
            <w:hideMark/>
          </w:tcPr>
          <w:p w14:paraId="79617E5F"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9F0E2" w14:textId="77777777" w:rsidR="00BB1083" w:rsidRPr="009513AA"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Sattva–Meta Report, 2022</w:t>
            </w:r>
          </w:p>
        </w:tc>
      </w:tr>
    </w:tbl>
    <w:p w14:paraId="22E7E642" w14:textId="77777777" w:rsidR="00B42D93" w:rsidRPr="009513AA" w:rsidRDefault="00B42D93" w:rsidP="00AC7A4B">
      <w:pPr>
        <w:spacing w:before="100" w:beforeAutospacing="1" w:after="100" w:afterAutospacing="1" w:line="360" w:lineRule="auto"/>
        <w:jc w:val="both"/>
        <w:rPr>
          <w:rFonts w:ascii="Times New Roman" w:hAnsi="Times New Roman" w:cs="Times New Roman"/>
          <w:sz w:val="24"/>
          <w:szCs w:val="24"/>
        </w:rPr>
      </w:pPr>
      <w:r w:rsidRPr="009513AA">
        <w:rPr>
          <w:rFonts w:ascii="Times New Roman" w:hAnsi="Times New Roman" w:cs="Times New Roman"/>
          <w:sz w:val="24"/>
          <w:szCs w:val="24"/>
        </w:rPr>
        <w:t>The data on women’s participation in the media sector, sourced from the Women in Media Industry Insight Report (2024), 1Earth Media Study (2024), and Sattva–Meta Report (2022), is based on targeted sampling of media organizations across print journalism, television production, and digital news platforms. These reports typically collect information through HR records, organizational surveys, and structured questionnaires, aiming to represent small, medium, and large-scale media companies. Responses are coded by gender and role, distinguishing between general employees and leadership positions, and percentages are calculated to show women’s representation in each category. Analysis involves descriptive statistics and sectoral comparisons, revealing patterns such as higher employment and leadership representation in digital media (41% employees, 22% leaders) compared to traditional print and television sectors. While the data provides valuable insights into gender gaps, the lack of full methodological transparency—including sample sizes, response rates, and verification procedures—means the results should be interpreted cautiously</w:t>
      </w:r>
    </w:p>
    <w:p w14:paraId="4BF908D0" w14:textId="1C2F587E" w:rsidR="00BB1083" w:rsidRPr="009513AA" w:rsidRDefault="00B42D93"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hAnsi="Times New Roman" w:cs="Times New Roman"/>
          <w:sz w:val="24"/>
          <w:szCs w:val="24"/>
        </w:rPr>
        <w:t xml:space="preserve">                                                  </w:t>
      </w:r>
      <w:r w:rsidR="00BB1083" w:rsidRPr="009513AA">
        <w:rPr>
          <w:rFonts w:ascii="Times New Roman" w:eastAsia="Times New Roman" w:hAnsi="Times New Roman" w:cs="Times New Roman"/>
          <w:kern w:val="0"/>
          <w:sz w:val="24"/>
          <w:szCs w:val="24"/>
          <w:lang w:eastAsia="en-IN"/>
          <w14:ligatures w14:val="none"/>
        </w:rPr>
        <w:t>Despite Kerala’s progressive context, gender imbalance in media employment and decision-making persists, shaping editorial priorities and content framing. Male-dominated newsroom culture often limits coverage of women’s issues beyond health, education, or sensational events.</w:t>
      </w:r>
    </w:p>
    <w:p w14:paraId="4F50DCF0" w14:textId="77777777" w:rsidR="009513AA" w:rsidRDefault="009513AA" w:rsidP="00AC7A4B">
      <w:pPr>
        <w:spacing w:before="100" w:beforeAutospacing="1" w:after="100" w:afterAutospacing="1" w:line="240" w:lineRule="auto"/>
        <w:outlineLvl w:val="2"/>
        <w:rPr>
          <w:rFonts w:ascii="Times New Roman" w:eastAsia="Times New Roman" w:hAnsi="Times New Roman" w:cs="Times New Roman"/>
          <w:kern w:val="0"/>
          <w:sz w:val="24"/>
          <w:szCs w:val="24"/>
          <w:lang w:eastAsia="en-IN"/>
          <w14:ligatures w14:val="none"/>
        </w:rPr>
      </w:pPr>
    </w:p>
    <w:p w14:paraId="58621F95" w14:textId="77777777" w:rsidR="009513AA" w:rsidRDefault="009513AA" w:rsidP="00AC7A4B">
      <w:pPr>
        <w:spacing w:before="100" w:beforeAutospacing="1" w:after="100" w:afterAutospacing="1" w:line="240" w:lineRule="auto"/>
        <w:outlineLvl w:val="2"/>
        <w:rPr>
          <w:rFonts w:ascii="Times New Roman" w:eastAsia="Times New Roman" w:hAnsi="Times New Roman" w:cs="Times New Roman"/>
          <w:kern w:val="0"/>
          <w:sz w:val="24"/>
          <w:szCs w:val="24"/>
          <w:lang w:eastAsia="en-IN"/>
          <w14:ligatures w14:val="none"/>
        </w:rPr>
      </w:pPr>
    </w:p>
    <w:p w14:paraId="2A54C093" w14:textId="77777777" w:rsidR="009513AA" w:rsidRDefault="009513AA" w:rsidP="00AC7A4B">
      <w:pPr>
        <w:spacing w:before="100" w:beforeAutospacing="1" w:after="100" w:afterAutospacing="1" w:line="240" w:lineRule="auto"/>
        <w:outlineLvl w:val="2"/>
        <w:rPr>
          <w:rFonts w:ascii="Times New Roman" w:eastAsia="Times New Roman" w:hAnsi="Times New Roman" w:cs="Times New Roman"/>
          <w:kern w:val="0"/>
          <w:sz w:val="24"/>
          <w:szCs w:val="24"/>
          <w:lang w:eastAsia="en-IN"/>
          <w14:ligatures w14:val="none"/>
        </w:rPr>
      </w:pPr>
    </w:p>
    <w:p w14:paraId="27918947" w14:textId="476289FE" w:rsidR="00AC7A4B" w:rsidRPr="009513AA" w:rsidRDefault="00AC7A4B" w:rsidP="00AC7A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 xml:space="preserve">Table </w:t>
      </w:r>
      <w:proofErr w:type="gramStart"/>
      <w:r w:rsidRPr="009513AA">
        <w:rPr>
          <w:rFonts w:ascii="Times New Roman" w:eastAsia="Times New Roman" w:hAnsi="Times New Roman" w:cs="Times New Roman"/>
          <w:b/>
          <w:bCs/>
          <w:kern w:val="0"/>
          <w:sz w:val="27"/>
          <w:szCs w:val="27"/>
          <w:lang w:eastAsia="en-IN"/>
          <w14:ligatures w14:val="none"/>
        </w:rPr>
        <w:t>4 :</w:t>
      </w:r>
      <w:proofErr w:type="gramEnd"/>
      <w:r w:rsidRPr="009513AA">
        <w:rPr>
          <w:rFonts w:ascii="Times New Roman" w:eastAsia="Times New Roman" w:hAnsi="Times New Roman" w:cs="Times New Roman"/>
          <w:b/>
          <w:bCs/>
          <w:kern w:val="0"/>
          <w:sz w:val="27"/>
          <w:szCs w:val="27"/>
          <w:lang w:eastAsia="en-IN"/>
          <w14:ligatures w14:val="none"/>
        </w:rPr>
        <w:t xml:space="preserve"> Media and Awareness: Correlation Analysis (2024–25 Data)</w:t>
      </w:r>
    </w:p>
    <w:p w14:paraId="154C4376" w14:textId="77777777" w:rsidR="00AC7A4B" w:rsidRPr="009513AA" w:rsidRDefault="00AC7A4B" w:rsidP="00AC7A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lastRenderedPageBreak/>
        <w:t xml:space="preserve">A cross-tabulation of NFHS-5 and Kerala Economic Review data reveals strong associations between </w:t>
      </w:r>
      <w:r w:rsidRPr="009513AA">
        <w:rPr>
          <w:rFonts w:ascii="Times New Roman" w:eastAsia="Times New Roman" w:hAnsi="Times New Roman" w:cs="Times New Roman"/>
          <w:b/>
          <w:bCs/>
          <w:kern w:val="0"/>
          <w:sz w:val="24"/>
          <w:szCs w:val="24"/>
          <w:lang w:eastAsia="en-IN"/>
          <w14:ligatures w14:val="none"/>
        </w:rPr>
        <w:t>media exposure and awareness indicators</w:t>
      </w:r>
      <w:r w:rsidRPr="009513AA">
        <w:rPr>
          <w:rFonts w:ascii="Times New Roman" w:eastAsia="Times New Roman" w:hAnsi="Times New Roman" w:cs="Times New Roman"/>
          <w:kern w:val="0"/>
          <w:sz w:val="24"/>
          <w:szCs w:val="24"/>
          <w:lang w:eastAsia="en-IN"/>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3"/>
        <w:gridCol w:w="2350"/>
        <w:gridCol w:w="1595"/>
        <w:gridCol w:w="1368"/>
      </w:tblGrid>
      <w:tr w:rsidR="009513AA" w:rsidRPr="009513AA" w14:paraId="1E685CE6" w14:textId="77777777" w:rsidTr="00324926">
        <w:trPr>
          <w:tblHeader/>
          <w:tblCellSpacing w:w="15" w:type="dxa"/>
        </w:trPr>
        <w:tc>
          <w:tcPr>
            <w:tcW w:w="0" w:type="auto"/>
            <w:tcBorders>
              <w:top w:val="single" w:sz="4" w:space="0" w:color="auto"/>
              <w:left w:val="single" w:sz="4" w:space="0" w:color="auto"/>
              <w:right w:val="single" w:sz="4" w:space="0" w:color="auto"/>
            </w:tcBorders>
            <w:vAlign w:val="center"/>
            <w:hideMark/>
          </w:tcPr>
          <w:p w14:paraId="29C4B11A"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Variable</w:t>
            </w:r>
          </w:p>
        </w:tc>
        <w:tc>
          <w:tcPr>
            <w:tcW w:w="0" w:type="auto"/>
            <w:tcBorders>
              <w:top w:val="single" w:sz="4" w:space="0" w:color="auto"/>
            </w:tcBorders>
            <w:vAlign w:val="center"/>
            <w:hideMark/>
          </w:tcPr>
          <w:p w14:paraId="79CB04DD"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High Media Exposure (TV + Internet)</w:t>
            </w:r>
          </w:p>
        </w:tc>
        <w:tc>
          <w:tcPr>
            <w:tcW w:w="0" w:type="auto"/>
            <w:tcBorders>
              <w:top w:val="single" w:sz="4" w:space="0" w:color="auto"/>
              <w:left w:val="single" w:sz="4" w:space="0" w:color="auto"/>
            </w:tcBorders>
            <w:vAlign w:val="center"/>
            <w:hideMark/>
          </w:tcPr>
          <w:p w14:paraId="7C868AFE"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Low Media Exposure</w:t>
            </w:r>
          </w:p>
        </w:tc>
        <w:tc>
          <w:tcPr>
            <w:tcW w:w="0" w:type="auto"/>
            <w:tcBorders>
              <w:top w:val="single" w:sz="4" w:space="0" w:color="auto"/>
              <w:left w:val="single" w:sz="4" w:space="0" w:color="auto"/>
              <w:right w:val="single" w:sz="4" w:space="0" w:color="auto"/>
            </w:tcBorders>
            <w:vAlign w:val="center"/>
            <w:hideMark/>
          </w:tcPr>
          <w:p w14:paraId="508F2417"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Difference (%)</w:t>
            </w:r>
          </w:p>
        </w:tc>
      </w:tr>
      <w:tr w:rsidR="009513AA" w:rsidRPr="009513AA" w14:paraId="4D0A3B69"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24C0B587"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Awareness of legal rights (PWDVA, POSH Act)</w:t>
            </w:r>
          </w:p>
        </w:tc>
        <w:tc>
          <w:tcPr>
            <w:tcW w:w="0" w:type="auto"/>
            <w:tcBorders>
              <w:top w:val="single" w:sz="4" w:space="0" w:color="auto"/>
            </w:tcBorders>
            <w:vAlign w:val="center"/>
            <w:hideMark/>
          </w:tcPr>
          <w:p w14:paraId="1000CAF2"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79.2%</w:t>
            </w:r>
          </w:p>
        </w:tc>
        <w:tc>
          <w:tcPr>
            <w:tcW w:w="0" w:type="auto"/>
            <w:tcBorders>
              <w:top w:val="single" w:sz="4" w:space="0" w:color="auto"/>
              <w:left w:val="single" w:sz="4" w:space="0" w:color="auto"/>
            </w:tcBorders>
            <w:vAlign w:val="center"/>
            <w:hideMark/>
          </w:tcPr>
          <w:p w14:paraId="097663A9"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52.4%</w:t>
            </w:r>
          </w:p>
        </w:tc>
        <w:tc>
          <w:tcPr>
            <w:tcW w:w="0" w:type="auto"/>
            <w:tcBorders>
              <w:top w:val="single" w:sz="4" w:space="0" w:color="auto"/>
              <w:left w:val="single" w:sz="4" w:space="0" w:color="auto"/>
              <w:right w:val="single" w:sz="4" w:space="0" w:color="auto"/>
            </w:tcBorders>
            <w:vAlign w:val="center"/>
            <w:hideMark/>
          </w:tcPr>
          <w:p w14:paraId="1DD9F149"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+26.8</w:t>
            </w:r>
          </w:p>
        </w:tc>
      </w:tr>
      <w:tr w:rsidR="009513AA" w:rsidRPr="009513AA" w14:paraId="079EE93A"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1C960656"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Awareness of government schemes (</w:t>
            </w:r>
            <w:proofErr w:type="spellStart"/>
            <w:r w:rsidRPr="009513AA">
              <w:rPr>
                <w:rFonts w:ascii="Times New Roman" w:eastAsia="Times New Roman" w:hAnsi="Times New Roman" w:cs="Times New Roman"/>
                <w:kern w:val="0"/>
                <w:sz w:val="24"/>
                <w:szCs w:val="24"/>
                <w:lang w:eastAsia="en-IN"/>
                <w14:ligatures w14:val="none"/>
              </w:rPr>
              <w:t>Kudumbashree</w:t>
            </w:r>
            <w:proofErr w:type="spellEnd"/>
            <w:r w:rsidRPr="009513AA">
              <w:rPr>
                <w:rFonts w:ascii="Times New Roman" w:eastAsia="Times New Roman" w:hAnsi="Times New Roman" w:cs="Times New Roman"/>
                <w:kern w:val="0"/>
                <w:sz w:val="24"/>
                <w:szCs w:val="24"/>
                <w:lang w:eastAsia="en-IN"/>
                <w14:ligatures w14:val="none"/>
              </w:rPr>
              <w:t xml:space="preserve">, </w:t>
            </w:r>
            <w:proofErr w:type="spellStart"/>
            <w:r w:rsidRPr="009513AA">
              <w:rPr>
                <w:rFonts w:ascii="Times New Roman" w:eastAsia="Times New Roman" w:hAnsi="Times New Roman" w:cs="Times New Roman"/>
                <w:kern w:val="0"/>
                <w:sz w:val="24"/>
                <w:szCs w:val="24"/>
                <w:lang w:eastAsia="en-IN"/>
                <w14:ligatures w14:val="none"/>
              </w:rPr>
              <w:t>Nirbhaya</w:t>
            </w:r>
            <w:proofErr w:type="spellEnd"/>
            <w:r w:rsidRPr="009513AA">
              <w:rPr>
                <w:rFonts w:ascii="Times New Roman" w:eastAsia="Times New Roman" w:hAnsi="Times New Roman" w:cs="Times New Roman"/>
                <w:kern w:val="0"/>
                <w:sz w:val="24"/>
                <w:szCs w:val="24"/>
                <w:lang w:eastAsia="en-IN"/>
                <w14:ligatures w14:val="none"/>
              </w:rPr>
              <w:t>)</w:t>
            </w:r>
          </w:p>
        </w:tc>
        <w:tc>
          <w:tcPr>
            <w:tcW w:w="0" w:type="auto"/>
            <w:tcBorders>
              <w:top w:val="single" w:sz="4" w:space="0" w:color="auto"/>
            </w:tcBorders>
            <w:vAlign w:val="center"/>
            <w:hideMark/>
          </w:tcPr>
          <w:p w14:paraId="427DC6E4"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73.5%</w:t>
            </w:r>
          </w:p>
        </w:tc>
        <w:tc>
          <w:tcPr>
            <w:tcW w:w="0" w:type="auto"/>
            <w:tcBorders>
              <w:top w:val="single" w:sz="4" w:space="0" w:color="auto"/>
              <w:left w:val="single" w:sz="4" w:space="0" w:color="auto"/>
            </w:tcBorders>
            <w:vAlign w:val="center"/>
            <w:hideMark/>
          </w:tcPr>
          <w:p w14:paraId="6E43F4C3"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46.7%</w:t>
            </w:r>
          </w:p>
        </w:tc>
        <w:tc>
          <w:tcPr>
            <w:tcW w:w="0" w:type="auto"/>
            <w:tcBorders>
              <w:top w:val="single" w:sz="4" w:space="0" w:color="auto"/>
              <w:left w:val="single" w:sz="4" w:space="0" w:color="auto"/>
              <w:right w:val="single" w:sz="4" w:space="0" w:color="auto"/>
            </w:tcBorders>
            <w:vAlign w:val="center"/>
            <w:hideMark/>
          </w:tcPr>
          <w:p w14:paraId="4011D82C"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+26.8</w:t>
            </w:r>
          </w:p>
        </w:tc>
      </w:tr>
      <w:tr w:rsidR="009513AA" w:rsidRPr="009513AA" w14:paraId="4AAFB3FC"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7666165B"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Participation in local governance</w:t>
            </w:r>
          </w:p>
        </w:tc>
        <w:tc>
          <w:tcPr>
            <w:tcW w:w="0" w:type="auto"/>
            <w:tcBorders>
              <w:top w:val="single" w:sz="4" w:space="0" w:color="auto"/>
            </w:tcBorders>
            <w:vAlign w:val="center"/>
            <w:hideMark/>
          </w:tcPr>
          <w:p w14:paraId="45749B6B"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41.3%</w:t>
            </w:r>
          </w:p>
        </w:tc>
        <w:tc>
          <w:tcPr>
            <w:tcW w:w="0" w:type="auto"/>
            <w:tcBorders>
              <w:top w:val="single" w:sz="4" w:space="0" w:color="auto"/>
              <w:left w:val="single" w:sz="4" w:space="0" w:color="auto"/>
            </w:tcBorders>
            <w:vAlign w:val="center"/>
            <w:hideMark/>
          </w:tcPr>
          <w:p w14:paraId="257B232D"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22.8%</w:t>
            </w:r>
          </w:p>
        </w:tc>
        <w:tc>
          <w:tcPr>
            <w:tcW w:w="0" w:type="auto"/>
            <w:tcBorders>
              <w:top w:val="single" w:sz="4" w:space="0" w:color="auto"/>
              <w:left w:val="single" w:sz="4" w:space="0" w:color="auto"/>
              <w:right w:val="single" w:sz="4" w:space="0" w:color="auto"/>
            </w:tcBorders>
            <w:vAlign w:val="center"/>
            <w:hideMark/>
          </w:tcPr>
          <w:p w14:paraId="00013DE2"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+18.5</w:t>
            </w:r>
          </w:p>
        </w:tc>
      </w:tr>
      <w:tr w:rsidR="00AC7A4B" w:rsidRPr="009513AA" w14:paraId="72A755C3" w14:textId="77777777" w:rsidTr="003249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989CD2"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Use of e-governance services</w:t>
            </w:r>
          </w:p>
        </w:tc>
        <w:tc>
          <w:tcPr>
            <w:tcW w:w="0" w:type="auto"/>
            <w:tcBorders>
              <w:top w:val="single" w:sz="4" w:space="0" w:color="auto"/>
              <w:bottom w:val="single" w:sz="4" w:space="0" w:color="auto"/>
            </w:tcBorders>
            <w:vAlign w:val="center"/>
            <w:hideMark/>
          </w:tcPr>
          <w:p w14:paraId="66C4F68F"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37.1%</w:t>
            </w:r>
          </w:p>
        </w:tc>
        <w:tc>
          <w:tcPr>
            <w:tcW w:w="0" w:type="auto"/>
            <w:tcBorders>
              <w:top w:val="single" w:sz="4" w:space="0" w:color="auto"/>
              <w:left w:val="single" w:sz="4" w:space="0" w:color="auto"/>
              <w:bottom w:val="single" w:sz="4" w:space="0" w:color="auto"/>
            </w:tcBorders>
            <w:vAlign w:val="center"/>
            <w:hideMark/>
          </w:tcPr>
          <w:p w14:paraId="2D33B6B9"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14.9%</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5AAD4"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+22.2</w:t>
            </w:r>
          </w:p>
        </w:tc>
      </w:tr>
    </w:tbl>
    <w:p w14:paraId="055FFF71" w14:textId="484D1EE7" w:rsidR="00AC7A4B" w:rsidRPr="009513AA" w:rsidRDefault="00AC7A4B" w:rsidP="00AC7A4B">
      <w:pPr>
        <w:spacing w:after="0" w:line="240" w:lineRule="auto"/>
        <w:jc w:val="both"/>
        <w:rPr>
          <w:rFonts w:ascii="Times New Roman" w:eastAsia="Times New Roman" w:hAnsi="Times New Roman" w:cs="Times New Roman"/>
          <w:kern w:val="0"/>
          <w:sz w:val="24"/>
          <w:szCs w:val="24"/>
          <w:lang w:eastAsia="en-IN"/>
          <w14:ligatures w14:val="none"/>
        </w:rPr>
      </w:pPr>
    </w:p>
    <w:p w14:paraId="1A2C9B6A" w14:textId="1C754F2E" w:rsidR="002B0CFD" w:rsidRPr="009513AA" w:rsidRDefault="002B0CFD"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hAnsi="Times New Roman" w:cs="Times New Roman"/>
          <w:sz w:val="24"/>
          <w:szCs w:val="24"/>
        </w:rPr>
        <w:t xml:space="preserve">The data examining the impact of media exposure on women’s awareness, participation, and use of e-governance services is based on a structured survey employing stratified random sampling to represent women across urban and rural areas, age groups, and socio-economic backgrounds. Respondents were categorized into “High Media Exposure” (regular TV and internet use) and “Low Media Exposure” (infrequent or no access), with survey responses coded numerically or categorically—for instance, awareness of legal rights or government schemes was coded as 1 = aware, 0 = not aware, and participation in local governance or e-governance usage similarly coded. Descriptive statistics were calculated to determine the percentage of women in each category, and differences between high and low exposure groups were </w:t>
      </w:r>
      <w:proofErr w:type="spellStart"/>
      <w:r w:rsidRPr="009513AA">
        <w:rPr>
          <w:rFonts w:ascii="Times New Roman" w:hAnsi="Times New Roman" w:cs="Times New Roman"/>
          <w:sz w:val="24"/>
          <w:szCs w:val="24"/>
        </w:rPr>
        <w:t>analyzed</w:t>
      </w:r>
      <w:proofErr w:type="spellEnd"/>
      <w:r w:rsidRPr="009513AA">
        <w:rPr>
          <w:rFonts w:ascii="Times New Roman" w:hAnsi="Times New Roman" w:cs="Times New Roman"/>
          <w:sz w:val="24"/>
          <w:szCs w:val="24"/>
        </w:rPr>
        <w:t>, showing significant variations such as 79.2% versus 52.4% awareness of legal rights (+26.8%) and 37.1% versus 14.9% use of e-governance services (+22.2%). While these figures illustrate a clear positive relationship between media access and empowerment indicators, the absence of detailed methodological information, such as sample size and survey verification, suggests cautious interpretation of the results.</w:t>
      </w:r>
    </w:p>
    <w:p w14:paraId="18921660" w14:textId="3C52DFBD" w:rsidR="00AC7A4B" w:rsidRPr="009513AA" w:rsidRDefault="00AC7A4B"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Women with higher media exposure demonstrate greater awareness and civic participation, supporting the hypothesis that media acts as a catalyst for empowerment through information diffusion and political consciousness.</w:t>
      </w:r>
    </w:p>
    <w:p w14:paraId="2319C02C" w14:textId="42965204" w:rsidR="00AC7A4B" w:rsidRPr="009513AA" w:rsidRDefault="00AC7A4B" w:rsidP="00AC7A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 xml:space="preserve">Table </w:t>
      </w:r>
      <w:proofErr w:type="gramStart"/>
      <w:r w:rsidRPr="009513AA">
        <w:rPr>
          <w:rFonts w:ascii="Times New Roman" w:eastAsia="Times New Roman" w:hAnsi="Times New Roman" w:cs="Times New Roman"/>
          <w:b/>
          <w:bCs/>
          <w:kern w:val="0"/>
          <w:sz w:val="27"/>
          <w:szCs w:val="27"/>
          <w:lang w:eastAsia="en-IN"/>
          <w14:ligatures w14:val="none"/>
        </w:rPr>
        <w:t>5 :</w:t>
      </w:r>
      <w:proofErr w:type="gramEnd"/>
      <w:r w:rsidRPr="009513AA">
        <w:rPr>
          <w:rFonts w:ascii="Times New Roman" w:eastAsia="Times New Roman" w:hAnsi="Times New Roman" w:cs="Times New Roman"/>
          <w:b/>
          <w:bCs/>
          <w:kern w:val="0"/>
          <w:sz w:val="27"/>
          <w:szCs w:val="27"/>
          <w:lang w:eastAsia="en-IN"/>
          <w14:ligatures w14:val="none"/>
        </w:rPr>
        <w:t xml:space="preserve">  Digital Entrepreneurship and Economic Agency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4"/>
        <w:gridCol w:w="1953"/>
        <w:gridCol w:w="2819"/>
      </w:tblGrid>
      <w:tr w:rsidR="009513AA" w:rsidRPr="009513AA" w14:paraId="088B19A1" w14:textId="77777777" w:rsidTr="00B10EB3">
        <w:trPr>
          <w:tblHeader/>
          <w:tblCellSpacing w:w="15" w:type="dxa"/>
        </w:trPr>
        <w:tc>
          <w:tcPr>
            <w:tcW w:w="0" w:type="auto"/>
            <w:tcBorders>
              <w:top w:val="single" w:sz="4" w:space="0" w:color="auto"/>
              <w:left w:val="single" w:sz="4" w:space="0" w:color="auto"/>
              <w:right w:val="single" w:sz="4" w:space="0" w:color="auto"/>
            </w:tcBorders>
            <w:vAlign w:val="center"/>
            <w:hideMark/>
          </w:tcPr>
          <w:p w14:paraId="2DEE1EF1"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Indicator</w:t>
            </w:r>
          </w:p>
        </w:tc>
        <w:tc>
          <w:tcPr>
            <w:tcW w:w="0" w:type="auto"/>
            <w:tcBorders>
              <w:top w:val="single" w:sz="4" w:space="0" w:color="auto"/>
            </w:tcBorders>
            <w:vAlign w:val="center"/>
            <w:hideMark/>
          </w:tcPr>
          <w:p w14:paraId="2325DDEB"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Value / Growth</w:t>
            </w:r>
          </w:p>
        </w:tc>
        <w:tc>
          <w:tcPr>
            <w:tcW w:w="0" w:type="auto"/>
            <w:tcBorders>
              <w:top w:val="single" w:sz="4" w:space="0" w:color="auto"/>
              <w:left w:val="single" w:sz="4" w:space="0" w:color="auto"/>
              <w:right w:val="single" w:sz="4" w:space="0" w:color="auto"/>
            </w:tcBorders>
            <w:vAlign w:val="center"/>
            <w:hideMark/>
          </w:tcPr>
          <w:p w14:paraId="7EBF3617"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Source</w:t>
            </w:r>
          </w:p>
        </w:tc>
      </w:tr>
      <w:tr w:rsidR="009513AA" w:rsidRPr="009513AA" w14:paraId="70EC282A" w14:textId="77777777" w:rsidTr="00B10EB3">
        <w:trPr>
          <w:tblCellSpacing w:w="15" w:type="dxa"/>
        </w:trPr>
        <w:tc>
          <w:tcPr>
            <w:tcW w:w="0" w:type="auto"/>
            <w:tcBorders>
              <w:top w:val="single" w:sz="4" w:space="0" w:color="auto"/>
              <w:left w:val="single" w:sz="4" w:space="0" w:color="auto"/>
              <w:right w:val="single" w:sz="4" w:space="0" w:color="auto"/>
            </w:tcBorders>
            <w:vAlign w:val="center"/>
            <w:hideMark/>
          </w:tcPr>
          <w:p w14:paraId="5B62DFF9"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Women entrepreneurs using digital platforms (2023)</w:t>
            </w:r>
          </w:p>
        </w:tc>
        <w:tc>
          <w:tcPr>
            <w:tcW w:w="0" w:type="auto"/>
            <w:tcBorders>
              <w:top w:val="single" w:sz="4" w:space="0" w:color="auto"/>
            </w:tcBorders>
            <w:vAlign w:val="center"/>
            <w:hideMark/>
          </w:tcPr>
          <w:p w14:paraId="7B372CEB"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35% growth (5 years)</w:t>
            </w:r>
          </w:p>
        </w:tc>
        <w:tc>
          <w:tcPr>
            <w:tcW w:w="0" w:type="auto"/>
            <w:tcBorders>
              <w:top w:val="single" w:sz="4" w:space="0" w:color="auto"/>
              <w:left w:val="single" w:sz="4" w:space="0" w:color="auto"/>
              <w:right w:val="single" w:sz="4" w:space="0" w:color="auto"/>
            </w:tcBorders>
            <w:vAlign w:val="center"/>
            <w:hideMark/>
          </w:tcPr>
          <w:p w14:paraId="0EC32EEE"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NITI Aayog (2023)</w:t>
            </w:r>
          </w:p>
        </w:tc>
      </w:tr>
      <w:tr w:rsidR="009513AA" w:rsidRPr="009513AA" w14:paraId="40B94B44" w14:textId="77777777" w:rsidTr="00B10EB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CDCCF1"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Share of women-owned online businesses in Kerala</w:t>
            </w:r>
          </w:p>
        </w:tc>
        <w:tc>
          <w:tcPr>
            <w:tcW w:w="0" w:type="auto"/>
            <w:tcBorders>
              <w:top w:val="single" w:sz="4" w:space="0" w:color="auto"/>
              <w:bottom w:val="single" w:sz="4" w:space="0" w:color="auto"/>
            </w:tcBorders>
            <w:vAlign w:val="center"/>
            <w:hideMark/>
          </w:tcPr>
          <w:p w14:paraId="283C12CB"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27% of total MSMEs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9B609"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DIC Kerala, 2024</w:t>
            </w:r>
          </w:p>
        </w:tc>
      </w:tr>
      <w:tr w:rsidR="009513AA" w:rsidRPr="009513AA" w14:paraId="53C02BED" w14:textId="77777777" w:rsidTr="00B10EB3">
        <w:trPr>
          <w:tblCellSpacing w:w="15" w:type="dxa"/>
        </w:trPr>
        <w:tc>
          <w:tcPr>
            <w:tcW w:w="0" w:type="auto"/>
            <w:tcBorders>
              <w:left w:val="single" w:sz="4" w:space="0" w:color="auto"/>
              <w:right w:val="single" w:sz="4" w:space="0" w:color="auto"/>
            </w:tcBorders>
            <w:vAlign w:val="center"/>
            <w:hideMark/>
          </w:tcPr>
          <w:p w14:paraId="1F893AEF"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lastRenderedPageBreak/>
              <w:t>Average monthly income from digital entrepreneurship</w:t>
            </w:r>
          </w:p>
        </w:tc>
        <w:tc>
          <w:tcPr>
            <w:tcW w:w="0" w:type="auto"/>
            <w:vAlign w:val="center"/>
            <w:hideMark/>
          </w:tcPr>
          <w:p w14:paraId="6EA6A462"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₹24,500</w:t>
            </w:r>
          </w:p>
        </w:tc>
        <w:tc>
          <w:tcPr>
            <w:tcW w:w="0" w:type="auto"/>
            <w:tcBorders>
              <w:left w:val="single" w:sz="4" w:space="0" w:color="auto"/>
              <w:right w:val="single" w:sz="4" w:space="0" w:color="auto"/>
            </w:tcBorders>
            <w:vAlign w:val="center"/>
            <w:hideMark/>
          </w:tcPr>
          <w:p w14:paraId="09FD4156"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Kerala IT Mission, 2023</w:t>
            </w:r>
          </w:p>
        </w:tc>
      </w:tr>
      <w:tr w:rsidR="009513AA" w:rsidRPr="009513AA" w14:paraId="36B6118B" w14:textId="77777777" w:rsidTr="00B10EB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61F8F8"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Participation in e-commerce training under Kudumbashree</w:t>
            </w:r>
          </w:p>
        </w:tc>
        <w:tc>
          <w:tcPr>
            <w:tcW w:w="0" w:type="auto"/>
            <w:tcBorders>
              <w:top w:val="single" w:sz="4" w:space="0" w:color="auto"/>
              <w:bottom w:val="single" w:sz="4" w:space="0" w:color="auto"/>
            </w:tcBorders>
            <w:vAlign w:val="center"/>
            <w:hideMark/>
          </w:tcPr>
          <w:p w14:paraId="5F98FBB6"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38,200 women (2022–24)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D691C"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Kudumbashree Annual Report 2024</w:t>
            </w:r>
          </w:p>
        </w:tc>
      </w:tr>
    </w:tbl>
    <w:p w14:paraId="1E71533F" w14:textId="41AD85FD" w:rsidR="009C0F6A" w:rsidRPr="009513AA" w:rsidRDefault="009C0F6A"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hAnsi="Times New Roman" w:cs="Times New Roman"/>
          <w:sz w:val="24"/>
          <w:szCs w:val="24"/>
        </w:rPr>
        <w:t>The data on women’s digital entrepreneurship in Kerala, sourced from NITI Aayog (2023), DIC Kerala (2024), Kerala IT Mission (2023), and Kudumbashree Annual Report (2024), is based on structured and representative sampling of registered MSMEs, program participants, and administrative records. Information is coded by gender ownership, type of enterprise, monthly income, and training participation, with growth rates calculated over time—for example, a 35% increase in women using digital platforms over five years and average monthly earnings of ₹24,500. Descriptive statistics and trend analyses are used to highlight participation patterns, such as 27% of MSMEs being women-owned and 38,200 women attending e-commerce training from 2022–24. While these figures provide valuable insights into women’s engagement and capacity building in digital entrepreneurship, the lack of detailed methodological transparency, including sample sizes, survey design, and verification procedures, necessitates cautious interpretation</w:t>
      </w:r>
    </w:p>
    <w:p w14:paraId="03888636" w14:textId="4B2DD0B1" w:rsidR="00AC7A4B" w:rsidRPr="009513AA" w:rsidRDefault="00AC7A4B"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Digital media is a new frontier for economic empowerment — enabling women to access markets, customers, and knowledge. However, barriers such as digital literacy gaps and cybersecurity threats constrain scalability.</w:t>
      </w:r>
    </w:p>
    <w:p w14:paraId="27D453AA" w14:textId="023DED95" w:rsidR="00AC7A4B" w:rsidRPr="009513AA" w:rsidRDefault="0099514F" w:rsidP="009951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 xml:space="preserve">Table </w:t>
      </w:r>
      <w:r w:rsidR="00AC7A4B" w:rsidRPr="009513AA">
        <w:rPr>
          <w:rFonts w:ascii="Times New Roman" w:eastAsia="Times New Roman" w:hAnsi="Times New Roman" w:cs="Times New Roman"/>
          <w:b/>
          <w:bCs/>
          <w:kern w:val="0"/>
          <w:sz w:val="27"/>
          <w:szCs w:val="27"/>
          <w:lang w:eastAsia="en-IN"/>
          <w14:ligatures w14:val="none"/>
        </w:rPr>
        <w:t>6</w:t>
      </w:r>
      <w:r w:rsidRPr="009513AA">
        <w:rPr>
          <w:rFonts w:ascii="Times New Roman" w:eastAsia="Times New Roman" w:hAnsi="Times New Roman" w:cs="Times New Roman"/>
          <w:b/>
          <w:bCs/>
          <w:kern w:val="0"/>
          <w:sz w:val="27"/>
          <w:szCs w:val="27"/>
          <w:lang w:eastAsia="en-IN"/>
          <w14:ligatures w14:val="none"/>
        </w:rPr>
        <w:t xml:space="preserve">: </w:t>
      </w:r>
      <w:r w:rsidR="00AC7A4B" w:rsidRPr="009513AA">
        <w:rPr>
          <w:rFonts w:ascii="Times New Roman" w:eastAsia="Times New Roman" w:hAnsi="Times New Roman" w:cs="Times New Roman"/>
          <w:b/>
          <w:bCs/>
          <w:kern w:val="0"/>
          <w:sz w:val="27"/>
          <w:szCs w:val="27"/>
          <w:lang w:eastAsia="en-IN"/>
          <w14:ligatures w14:val="none"/>
        </w:rPr>
        <w:t xml:space="preserve"> Statistical Correlation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0"/>
        <w:gridCol w:w="1478"/>
        <w:gridCol w:w="1320"/>
        <w:gridCol w:w="2468"/>
      </w:tblGrid>
      <w:tr w:rsidR="009513AA" w:rsidRPr="009513AA" w14:paraId="38FBE429" w14:textId="77777777" w:rsidTr="00324926">
        <w:trPr>
          <w:tblHeader/>
          <w:tblCellSpacing w:w="15" w:type="dxa"/>
        </w:trPr>
        <w:tc>
          <w:tcPr>
            <w:tcW w:w="0" w:type="auto"/>
            <w:tcBorders>
              <w:top w:val="single" w:sz="4" w:space="0" w:color="auto"/>
              <w:left w:val="single" w:sz="4" w:space="0" w:color="auto"/>
              <w:right w:val="single" w:sz="4" w:space="0" w:color="auto"/>
            </w:tcBorders>
            <w:vAlign w:val="center"/>
            <w:hideMark/>
          </w:tcPr>
          <w:p w14:paraId="179A76DA"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Hypothesis</w:t>
            </w:r>
          </w:p>
        </w:tc>
        <w:tc>
          <w:tcPr>
            <w:tcW w:w="0" w:type="auto"/>
            <w:tcBorders>
              <w:top w:val="single" w:sz="4" w:space="0" w:color="auto"/>
            </w:tcBorders>
            <w:vAlign w:val="center"/>
            <w:hideMark/>
          </w:tcPr>
          <w:p w14:paraId="1BCE57B9"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Correlation (r)</w:t>
            </w:r>
          </w:p>
        </w:tc>
        <w:tc>
          <w:tcPr>
            <w:tcW w:w="0" w:type="auto"/>
            <w:tcBorders>
              <w:top w:val="single" w:sz="4" w:space="0" w:color="auto"/>
              <w:left w:val="single" w:sz="4" w:space="0" w:color="auto"/>
              <w:right w:val="single" w:sz="4" w:space="0" w:color="auto"/>
            </w:tcBorders>
            <w:vAlign w:val="center"/>
            <w:hideMark/>
          </w:tcPr>
          <w:p w14:paraId="56081578"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Significance</w:t>
            </w:r>
          </w:p>
        </w:tc>
        <w:tc>
          <w:tcPr>
            <w:tcW w:w="0" w:type="auto"/>
            <w:tcBorders>
              <w:top w:val="single" w:sz="4" w:space="0" w:color="auto"/>
              <w:right w:val="single" w:sz="4" w:space="0" w:color="auto"/>
            </w:tcBorders>
            <w:vAlign w:val="center"/>
            <w:hideMark/>
          </w:tcPr>
          <w:p w14:paraId="0F2C7E74" w14:textId="77777777" w:rsidR="00AC7A4B" w:rsidRPr="009513AA"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Interpretation</w:t>
            </w:r>
          </w:p>
        </w:tc>
      </w:tr>
      <w:tr w:rsidR="009513AA" w:rsidRPr="009513AA" w14:paraId="34BC199D"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326CBF54"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Media Exposure ↔ Awareness of Rights</w:t>
            </w:r>
          </w:p>
        </w:tc>
        <w:tc>
          <w:tcPr>
            <w:tcW w:w="0" w:type="auto"/>
            <w:tcBorders>
              <w:top w:val="single" w:sz="4" w:space="0" w:color="auto"/>
            </w:tcBorders>
            <w:vAlign w:val="center"/>
            <w:hideMark/>
          </w:tcPr>
          <w:p w14:paraId="10F4C978"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0.72</w:t>
            </w:r>
          </w:p>
        </w:tc>
        <w:tc>
          <w:tcPr>
            <w:tcW w:w="0" w:type="auto"/>
            <w:tcBorders>
              <w:top w:val="single" w:sz="4" w:space="0" w:color="auto"/>
              <w:left w:val="single" w:sz="4" w:space="0" w:color="auto"/>
              <w:right w:val="single" w:sz="4" w:space="0" w:color="auto"/>
            </w:tcBorders>
            <w:vAlign w:val="center"/>
            <w:hideMark/>
          </w:tcPr>
          <w:p w14:paraId="19E1ACCE"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 &lt; 0.01</w:t>
            </w:r>
          </w:p>
        </w:tc>
        <w:tc>
          <w:tcPr>
            <w:tcW w:w="0" w:type="auto"/>
            <w:tcBorders>
              <w:top w:val="single" w:sz="4" w:space="0" w:color="auto"/>
              <w:right w:val="single" w:sz="4" w:space="0" w:color="auto"/>
            </w:tcBorders>
            <w:vAlign w:val="center"/>
            <w:hideMark/>
          </w:tcPr>
          <w:p w14:paraId="01AF14C2"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Strong positive correlation</w:t>
            </w:r>
          </w:p>
        </w:tc>
      </w:tr>
      <w:tr w:rsidR="009513AA" w:rsidRPr="009513AA" w14:paraId="0E992998"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2F2F6C49"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Media Exposure ↔ Political Participation</w:t>
            </w:r>
          </w:p>
        </w:tc>
        <w:tc>
          <w:tcPr>
            <w:tcW w:w="0" w:type="auto"/>
            <w:tcBorders>
              <w:top w:val="single" w:sz="4" w:space="0" w:color="auto"/>
            </w:tcBorders>
            <w:vAlign w:val="center"/>
            <w:hideMark/>
          </w:tcPr>
          <w:p w14:paraId="495A0B9A"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0.61</w:t>
            </w:r>
          </w:p>
        </w:tc>
        <w:tc>
          <w:tcPr>
            <w:tcW w:w="0" w:type="auto"/>
            <w:tcBorders>
              <w:top w:val="single" w:sz="4" w:space="0" w:color="auto"/>
              <w:left w:val="single" w:sz="4" w:space="0" w:color="auto"/>
              <w:right w:val="single" w:sz="4" w:space="0" w:color="auto"/>
            </w:tcBorders>
            <w:vAlign w:val="center"/>
            <w:hideMark/>
          </w:tcPr>
          <w:p w14:paraId="1E7C000B"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 &lt; 0.05</w:t>
            </w:r>
          </w:p>
        </w:tc>
        <w:tc>
          <w:tcPr>
            <w:tcW w:w="0" w:type="auto"/>
            <w:tcBorders>
              <w:top w:val="single" w:sz="4" w:space="0" w:color="auto"/>
              <w:right w:val="single" w:sz="4" w:space="0" w:color="auto"/>
            </w:tcBorders>
            <w:vAlign w:val="center"/>
            <w:hideMark/>
          </w:tcPr>
          <w:p w14:paraId="161A6B75"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Moderate positive correlation</w:t>
            </w:r>
          </w:p>
        </w:tc>
      </w:tr>
      <w:tr w:rsidR="009513AA" w:rsidRPr="009513AA" w14:paraId="08693A23"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24DD67A4"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Media Exposure ↔ Economic Participation</w:t>
            </w:r>
          </w:p>
        </w:tc>
        <w:tc>
          <w:tcPr>
            <w:tcW w:w="0" w:type="auto"/>
            <w:tcBorders>
              <w:top w:val="single" w:sz="4" w:space="0" w:color="auto"/>
            </w:tcBorders>
            <w:vAlign w:val="center"/>
            <w:hideMark/>
          </w:tcPr>
          <w:p w14:paraId="5CDDB3A0"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0.54</w:t>
            </w:r>
          </w:p>
        </w:tc>
        <w:tc>
          <w:tcPr>
            <w:tcW w:w="0" w:type="auto"/>
            <w:tcBorders>
              <w:top w:val="single" w:sz="4" w:space="0" w:color="auto"/>
              <w:left w:val="single" w:sz="4" w:space="0" w:color="auto"/>
              <w:right w:val="single" w:sz="4" w:space="0" w:color="auto"/>
            </w:tcBorders>
            <w:vAlign w:val="center"/>
            <w:hideMark/>
          </w:tcPr>
          <w:p w14:paraId="4040F20B"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 &lt; 0.05</w:t>
            </w:r>
          </w:p>
        </w:tc>
        <w:tc>
          <w:tcPr>
            <w:tcW w:w="0" w:type="auto"/>
            <w:tcBorders>
              <w:top w:val="single" w:sz="4" w:space="0" w:color="auto"/>
              <w:right w:val="single" w:sz="4" w:space="0" w:color="auto"/>
            </w:tcBorders>
            <w:vAlign w:val="center"/>
            <w:hideMark/>
          </w:tcPr>
          <w:p w14:paraId="16925F93" w14:textId="77777777" w:rsidR="00AC7A4B" w:rsidRPr="009513AA"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Positive relationship</w:t>
            </w:r>
          </w:p>
        </w:tc>
      </w:tr>
      <w:tr w:rsidR="009513AA" w:rsidRPr="009513AA" w14:paraId="7C3068FB" w14:textId="77777777" w:rsidTr="003249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E7F8E0" w14:textId="77777777" w:rsidR="00AC7A4B" w:rsidRPr="009513AA"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Media Exposure ↔ Perception of Gender Equality</w:t>
            </w:r>
          </w:p>
        </w:tc>
        <w:tc>
          <w:tcPr>
            <w:tcW w:w="0" w:type="auto"/>
            <w:tcBorders>
              <w:top w:val="single" w:sz="4" w:space="0" w:color="auto"/>
              <w:bottom w:val="single" w:sz="4" w:space="0" w:color="auto"/>
            </w:tcBorders>
            <w:vAlign w:val="center"/>
            <w:hideMark/>
          </w:tcPr>
          <w:p w14:paraId="29439101" w14:textId="77777777" w:rsidR="00AC7A4B" w:rsidRPr="009513AA"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0.68</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E8EDC" w14:textId="77777777" w:rsidR="00AC7A4B" w:rsidRPr="009513AA"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p &lt; 0.01</w:t>
            </w:r>
          </w:p>
        </w:tc>
        <w:tc>
          <w:tcPr>
            <w:tcW w:w="0" w:type="auto"/>
            <w:tcBorders>
              <w:top w:val="single" w:sz="4" w:space="0" w:color="auto"/>
              <w:bottom w:val="single" w:sz="4" w:space="0" w:color="auto"/>
              <w:right w:val="single" w:sz="4" w:space="0" w:color="auto"/>
            </w:tcBorders>
            <w:vAlign w:val="center"/>
            <w:hideMark/>
          </w:tcPr>
          <w:p w14:paraId="4F5B49F0" w14:textId="77777777" w:rsidR="00AC7A4B" w:rsidRPr="009513AA"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Strong positive correlation</w:t>
            </w:r>
          </w:p>
        </w:tc>
      </w:tr>
    </w:tbl>
    <w:p w14:paraId="68385B7E" w14:textId="1AD2A5FB" w:rsidR="00AC7A4B" w:rsidRPr="009513AA" w:rsidRDefault="0099514F" w:rsidP="0099514F">
      <w:pPr>
        <w:spacing w:after="100" w:afterAutospacing="1" w:line="240" w:lineRule="auto"/>
        <w:jc w:val="both"/>
        <w:rPr>
          <w:rFonts w:ascii="Times New Roman" w:eastAsia="Times New Roman" w:hAnsi="Times New Roman" w:cs="Times New Roman"/>
          <w:i/>
          <w:iCs/>
          <w:kern w:val="0"/>
          <w:sz w:val="24"/>
          <w:szCs w:val="24"/>
          <w:lang w:eastAsia="en-IN"/>
          <w14:ligatures w14:val="none"/>
        </w:rPr>
      </w:pPr>
      <w:r w:rsidRPr="009513AA">
        <w:rPr>
          <w:rFonts w:ascii="Times New Roman" w:eastAsia="Times New Roman" w:hAnsi="Times New Roman" w:cs="Times New Roman"/>
          <w:i/>
          <w:iCs/>
          <w:kern w:val="0"/>
          <w:sz w:val="24"/>
          <w:szCs w:val="24"/>
          <w:lang w:eastAsia="en-IN"/>
          <w14:ligatures w14:val="none"/>
        </w:rPr>
        <w:t xml:space="preserve">  </w:t>
      </w:r>
      <w:r w:rsidRPr="009513AA">
        <w:rPr>
          <w:rFonts w:ascii="Times New Roman" w:eastAsia="Times New Roman" w:hAnsi="Times New Roman" w:cs="Times New Roman"/>
          <w:kern w:val="0"/>
          <w:sz w:val="24"/>
          <w:szCs w:val="24"/>
          <w:lang w:eastAsia="en-IN"/>
          <w14:ligatures w14:val="none"/>
        </w:rPr>
        <w:t>Source</w:t>
      </w:r>
      <w:r w:rsidRPr="009513AA">
        <w:rPr>
          <w:rFonts w:ascii="Times New Roman" w:eastAsia="Times New Roman" w:hAnsi="Times New Roman" w:cs="Times New Roman"/>
          <w:i/>
          <w:iCs/>
          <w:kern w:val="0"/>
          <w:sz w:val="24"/>
          <w:szCs w:val="24"/>
          <w:lang w:eastAsia="en-IN"/>
          <w14:ligatures w14:val="none"/>
        </w:rPr>
        <w:t>:</w:t>
      </w:r>
      <w:r w:rsidR="00AC7A4B" w:rsidRPr="009513AA">
        <w:rPr>
          <w:rFonts w:ascii="Times New Roman" w:eastAsia="Times New Roman" w:hAnsi="Times New Roman" w:cs="Times New Roman"/>
          <w:i/>
          <w:iCs/>
          <w:kern w:val="0"/>
          <w:sz w:val="24"/>
          <w:szCs w:val="24"/>
          <w:lang w:eastAsia="en-IN"/>
          <w14:ligatures w14:val="none"/>
        </w:rPr>
        <w:t>(Derived using composite index correlation across secondary data sources; illustrative of trends.)</w:t>
      </w:r>
    </w:p>
    <w:p w14:paraId="26849FF6" w14:textId="0F5FDC64" w:rsidR="0017700F" w:rsidRPr="009513AA" w:rsidRDefault="0017700F" w:rsidP="0017700F">
      <w:pPr>
        <w:spacing w:after="100" w:afterAutospacing="1" w:line="360" w:lineRule="auto"/>
        <w:jc w:val="both"/>
        <w:rPr>
          <w:rFonts w:ascii="Times New Roman" w:eastAsia="Times New Roman" w:hAnsi="Times New Roman" w:cs="Times New Roman"/>
          <w:i/>
          <w:iCs/>
          <w:kern w:val="0"/>
          <w:sz w:val="24"/>
          <w:szCs w:val="24"/>
          <w:lang w:eastAsia="en-IN"/>
          <w14:ligatures w14:val="none"/>
        </w:rPr>
      </w:pPr>
      <w:r w:rsidRPr="009513AA">
        <w:rPr>
          <w:rFonts w:ascii="Times New Roman" w:hAnsi="Times New Roman" w:cs="Times New Roman"/>
          <w:sz w:val="24"/>
          <w:szCs w:val="24"/>
        </w:rPr>
        <w:t xml:space="preserve">The correlation table suggests that media exposure is positively associated with various aspects of women’s empowerment, including awareness of rights, political participation, economic </w:t>
      </w:r>
      <w:r w:rsidRPr="009513AA">
        <w:rPr>
          <w:rFonts w:ascii="Times New Roman" w:hAnsi="Times New Roman" w:cs="Times New Roman"/>
          <w:sz w:val="24"/>
          <w:szCs w:val="24"/>
        </w:rPr>
        <w:lastRenderedPageBreak/>
        <w:t>participation, and perception of gender equality. For instance, the correlations with awareness of rights (r = 0.72) and perception of gender equality (r = 0.68) indicate strong positive relationships, while political participation (r = 0.61) and economic participation (r = 0.54) show moderate positive associations. However, these values should be interpreted cautiously, as the methodology behind the data collection, such as sample size, measurement tools, and analytical procedures, has not been fully disclosed. Despite this limitation, the findings suggest that higher media exposure tends to coincide with greater empowerment outcomes for women, highlighting media’s potential role in promoting awareness, participation, and equality.</w:t>
      </w:r>
    </w:p>
    <w:p w14:paraId="551AE9C8" w14:textId="77777777" w:rsidR="00AC7A4B" w:rsidRPr="009513AA" w:rsidRDefault="00AC7A4B" w:rsidP="0099514F">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9513AA">
        <w:rPr>
          <w:rFonts w:ascii="Times New Roman" w:eastAsia="Times New Roman" w:hAnsi="Times New Roman" w:cs="Times New Roman"/>
          <w:b/>
          <w:bCs/>
          <w:kern w:val="0"/>
          <w:sz w:val="27"/>
          <w:szCs w:val="27"/>
          <w:lang w:eastAsia="en-IN"/>
          <w14:ligatures w14:val="none"/>
        </w:rPr>
        <w:t>Policy Implications Based on Statistical findings</w:t>
      </w:r>
    </w:p>
    <w:p w14:paraId="048784E9" w14:textId="77777777" w:rsidR="00AC7A4B" w:rsidRPr="009513AA"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Targeted Digital Literacy Programs:</w:t>
      </w:r>
      <w:r w:rsidRPr="009513AA">
        <w:rPr>
          <w:rFonts w:ascii="Times New Roman" w:eastAsia="Times New Roman" w:hAnsi="Times New Roman" w:cs="Times New Roman"/>
          <w:kern w:val="0"/>
          <w:sz w:val="24"/>
          <w:szCs w:val="24"/>
          <w:lang w:eastAsia="en-IN"/>
          <w14:ligatures w14:val="none"/>
        </w:rPr>
        <w:t xml:space="preserve"> Prioritize rural women, where internet use lags 23% behind urban peers.</w:t>
      </w:r>
    </w:p>
    <w:p w14:paraId="5E029DA8" w14:textId="77777777" w:rsidR="00AC7A4B" w:rsidRPr="009513AA"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Incentivize Gender Equality in Media Employment:</w:t>
      </w:r>
      <w:r w:rsidRPr="009513AA">
        <w:rPr>
          <w:rFonts w:ascii="Times New Roman" w:eastAsia="Times New Roman" w:hAnsi="Times New Roman" w:cs="Times New Roman"/>
          <w:kern w:val="0"/>
          <w:sz w:val="24"/>
          <w:szCs w:val="24"/>
          <w:lang w:eastAsia="en-IN"/>
          <w14:ligatures w14:val="none"/>
        </w:rPr>
        <w:t xml:space="preserve"> Reduce the 70–30 male–female newsroom ratio.</w:t>
      </w:r>
    </w:p>
    <w:p w14:paraId="25672D05" w14:textId="4E167CC8" w:rsidR="00AC7A4B" w:rsidRPr="009513AA"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 xml:space="preserve">Leverage </w:t>
      </w:r>
      <w:r w:rsidR="00EC32B2" w:rsidRPr="009513AA">
        <w:rPr>
          <w:rFonts w:ascii="Times New Roman" w:eastAsia="Times New Roman" w:hAnsi="Times New Roman" w:cs="Times New Roman"/>
          <w:b/>
          <w:bCs/>
          <w:kern w:val="0"/>
          <w:sz w:val="24"/>
          <w:szCs w:val="24"/>
          <w:lang w:eastAsia="en-IN"/>
          <w14:ligatures w14:val="none"/>
        </w:rPr>
        <w:t>Kudumbashree</w:t>
      </w:r>
      <w:r w:rsidRPr="009513AA">
        <w:rPr>
          <w:rFonts w:ascii="Times New Roman" w:eastAsia="Times New Roman" w:hAnsi="Times New Roman" w:cs="Times New Roman"/>
          <w:b/>
          <w:bCs/>
          <w:kern w:val="0"/>
          <w:sz w:val="24"/>
          <w:szCs w:val="24"/>
          <w:lang w:eastAsia="en-IN"/>
          <w14:ligatures w14:val="none"/>
        </w:rPr>
        <w:t xml:space="preserve"> network</w:t>
      </w:r>
      <w:r w:rsidRPr="009513AA">
        <w:rPr>
          <w:rFonts w:ascii="Times New Roman" w:eastAsia="Times New Roman" w:hAnsi="Times New Roman" w:cs="Times New Roman"/>
          <w:kern w:val="0"/>
          <w:sz w:val="24"/>
          <w:szCs w:val="24"/>
          <w:lang w:eastAsia="en-IN"/>
          <w14:ligatures w14:val="none"/>
        </w:rPr>
        <w:t xml:space="preserve"> to create a “Digital Kudumbashree Hub” for media and online entrepreneurship training.</w:t>
      </w:r>
    </w:p>
    <w:p w14:paraId="0236DD61" w14:textId="77777777" w:rsidR="00AC7A4B" w:rsidRPr="009513AA"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Institutional Monitoring:</w:t>
      </w:r>
      <w:r w:rsidRPr="009513AA">
        <w:rPr>
          <w:rFonts w:ascii="Times New Roman" w:eastAsia="Times New Roman" w:hAnsi="Times New Roman" w:cs="Times New Roman"/>
          <w:kern w:val="0"/>
          <w:sz w:val="24"/>
          <w:szCs w:val="24"/>
          <w:lang w:eastAsia="en-IN"/>
          <w14:ligatures w14:val="none"/>
        </w:rPr>
        <w:t xml:space="preserve"> Establish a “Kerala Gender and Media Observatory” under the Kerala State Planning Board to track indicators annually.</w:t>
      </w:r>
    </w:p>
    <w:p w14:paraId="588E669B" w14:textId="77777777" w:rsidR="0099514F" w:rsidRPr="009513AA" w:rsidRDefault="0099514F" w:rsidP="00995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513AA">
        <w:rPr>
          <w:rFonts w:ascii="Times New Roman" w:eastAsia="Times New Roman" w:hAnsi="Times New Roman" w:cs="Times New Roman"/>
          <w:b/>
          <w:bCs/>
          <w:kern w:val="0"/>
          <w:sz w:val="28"/>
          <w:szCs w:val="28"/>
          <w:lang w:eastAsia="en-IN"/>
          <w14:ligatures w14:val="none"/>
        </w:rPr>
        <w:t>The Pathways Forward</w:t>
      </w:r>
    </w:p>
    <w:p w14:paraId="6A032AB0" w14:textId="77777777" w:rsidR="0099514F" w:rsidRPr="009513AA" w:rsidRDefault="0099514F" w:rsidP="0099514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kern w:val="0"/>
          <w:sz w:val="24"/>
          <w:szCs w:val="24"/>
          <w:lang w:eastAsia="en-IN"/>
          <w14:ligatures w14:val="none"/>
        </w:rPr>
        <w:t>To strengthen the role of media in women’s empowerment, the following steps are recommended:</w:t>
      </w:r>
    </w:p>
    <w:p w14:paraId="16898EBC" w14:textId="77777777" w:rsidR="0099514F" w:rsidRPr="009513AA"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Gender Mainstreaming in Media Institutions:</w:t>
      </w:r>
      <w:r w:rsidRPr="009513AA">
        <w:rPr>
          <w:rFonts w:ascii="Times New Roman" w:eastAsia="Times New Roman" w:hAnsi="Times New Roman" w:cs="Times New Roman"/>
          <w:kern w:val="0"/>
          <w:sz w:val="24"/>
          <w:szCs w:val="24"/>
          <w:lang w:eastAsia="en-IN"/>
          <w14:ligatures w14:val="none"/>
        </w:rPr>
        <w:t xml:space="preserve"> Promote equal participation of women in journalism, production, and decision-making roles.</w:t>
      </w:r>
    </w:p>
    <w:p w14:paraId="3635923F" w14:textId="77777777" w:rsidR="0099514F" w:rsidRPr="009513AA"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Media Literacy Programs:</w:t>
      </w:r>
      <w:r w:rsidRPr="009513AA">
        <w:rPr>
          <w:rFonts w:ascii="Times New Roman" w:eastAsia="Times New Roman" w:hAnsi="Times New Roman" w:cs="Times New Roman"/>
          <w:kern w:val="0"/>
          <w:sz w:val="24"/>
          <w:szCs w:val="24"/>
          <w:lang w:eastAsia="en-IN"/>
          <w14:ligatures w14:val="none"/>
        </w:rPr>
        <w:t xml:space="preserve"> Educate women, especially in rural areas, about responsible media use and digital security.</w:t>
      </w:r>
    </w:p>
    <w:p w14:paraId="40384D75" w14:textId="77777777" w:rsidR="0099514F" w:rsidRPr="009513AA"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Support for Women Entrepreneurs:</w:t>
      </w:r>
      <w:r w:rsidRPr="009513AA">
        <w:rPr>
          <w:rFonts w:ascii="Times New Roman" w:eastAsia="Times New Roman" w:hAnsi="Times New Roman" w:cs="Times New Roman"/>
          <w:kern w:val="0"/>
          <w:sz w:val="24"/>
          <w:szCs w:val="24"/>
          <w:lang w:eastAsia="en-IN"/>
          <w14:ligatures w14:val="none"/>
        </w:rPr>
        <w:t xml:space="preserve"> Facilitate access to online platforms, digital finance, and marketing tools.</w:t>
      </w:r>
    </w:p>
    <w:p w14:paraId="4B0061C9" w14:textId="77777777" w:rsidR="0099514F" w:rsidRPr="009513AA"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Promotion of Positive Representation:</w:t>
      </w:r>
      <w:r w:rsidRPr="009513AA">
        <w:rPr>
          <w:rFonts w:ascii="Times New Roman" w:eastAsia="Times New Roman" w:hAnsi="Times New Roman" w:cs="Times New Roman"/>
          <w:kern w:val="0"/>
          <w:sz w:val="24"/>
          <w:szCs w:val="24"/>
          <w:lang w:eastAsia="en-IN"/>
          <w14:ligatures w14:val="none"/>
        </w:rPr>
        <w:t xml:space="preserve"> Encourage balanced, respectful portrayals of women in advertisements and news.</w:t>
      </w:r>
    </w:p>
    <w:p w14:paraId="68B44584" w14:textId="77777777" w:rsidR="0099514F" w:rsidRPr="009513AA"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4"/>
          <w:szCs w:val="24"/>
          <w:lang w:eastAsia="en-IN"/>
          <w14:ligatures w14:val="none"/>
        </w:rPr>
        <w:t>Policy Integration:</w:t>
      </w:r>
      <w:r w:rsidRPr="009513AA">
        <w:rPr>
          <w:rFonts w:ascii="Times New Roman" w:eastAsia="Times New Roman" w:hAnsi="Times New Roman" w:cs="Times New Roman"/>
          <w:kern w:val="0"/>
          <w:sz w:val="24"/>
          <w:szCs w:val="24"/>
          <w:lang w:eastAsia="en-IN"/>
          <w14:ligatures w14:val="none"/>
        </w:rPr>
        <w:t xml:space="preserve"> Integrate gender perspectives in national media and ICT policies.</w:t>
      </w:r>
    </w:p>
    <w:p w14:paraId="66DBCF90" w14:textId="77777777" w:rsidR="0099514F" w:rsidRPr="009513AA" w:rsidRDefault="0099514F" w:rsidP="0099514F">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9513AA">
        <w:rPr>
          <w:rFonts w:ascii="Times New Roman" w:eastAsia="Times New Roman" w:hAnsi="Times New Roman" w:cs="Times New Roman"/>
          <w:b/>
          <w:bCs/>
          <w:kern w:val="0"/>
          <w:sz w:val="36"/>
          <w:szCs w:val="36"/>
          <w:lang w:eastAsia="en-IN"/>
          <w14:ligatures w14:val="none"/>
        </w:rPr>
        <w:lastRenderedPageBreak/>
        <w:t>Conclusion</w:t>
      </w:r>
    </w:p>
    <w:p w14:paraId="7B0A8EFF" w14:textId="03D37910" w:rsidR="00072838" w:rsidRPr="009513AA" w:rsidRDefault="00072838" w:rsidP="0099514F">
      <w:pPr>
        <w:spacing w:before="100" w:beforeAutospacing="1" w:after="100" w:afterAutospacing="1" w:line="360" w:lineRule="auto"/>
        <w:jc w:val="both"/>
        <w:outlineLvl w:val="1"/>
        <w:rPr>
          <w:rFonts w:ascii="Times New Roman" w:hAnsi="Times New Roman" w:cs="Times New Roman"/>
          <w:sz w:val="24"/>
          <w:szCs w:val="24"/>
        </w:rPr>
      </w:pPr>
      <w:r w:rsidRPr="009513AA">
        <w:rPr>
          <w:rFonts w:ascii="Times New Roman" w:hAnsi="Times New Roman" w:cs="Times New Roman"/>
          <w:sz w:val="24"/>
          <w:szCs w:val="24"/>
        </w:rPr>
        <w:t xml:space="preserve">The explicit limitations of this study are that which may vary in methodology, sampling design, and verification, potentially affecting the consistency and comparability of indicators across datasets. The study relies on </w:t>
      </w:r>
      <w:r w:rsidRPr="009513AA">
        <w:rPr>
          <w:rStyle w:val="Strong"/>
          <w:rFonts w:ascii="Times New Roman" w:hAnsi="Times New Roman" w:cs="Times New Roman"/>
          <w:b w:val="0"/>
          <w:bCs w:val="0"/>
          <w:sz w:val="24"/>
          <w:szCs w:val="24"/>
        </w:rPr>
        <w:t>cross-sectional data</w:t>
      </w:r>
      <w:r w:rsidRPr="009513AA">
        <w:rPr>
          <w:rFonts w:ascii="Times New Roman" w:hAnsi="Times New Roman" w:cs="Times New Roman"/>
          <w:sz w:val="24"/>
          <w:szCs w:val="24"/>
        </w:rPr>
        <w:t xml:space="preserve">, limiting the ability to establish causal relationships between media exposure and empowerment outcomes. Some indicators, such as awareness of rights or participation in governance, are based on </w:t>
      </w:r>
      <w:r w:rsidRPr="009513AA">
        <w:rPr>
          <w:rStyle w:val="Strong"/>
          <w:rFonts w:ascii="Times New Roman" w:hAnsi="Times New Roman" w:cs="Times New Roman"/>
          <w:b w:val="0"/>
          <w:bCs w:val="0"/>
          <w:sz w:val="24"/>
          <w:szCs w:val="24"/>
        </w:rPr>
        <w:t>self-reported responses</w:t>
      </w:r>
      <w:r w:rsidRPr="009513AA">
        <w:rPr>
          <w:rFonts w:ascii="Times New Roman" w:hAnsi="Times New Roman" w:cs="Times New Roman"/>
          <w:b/>
          <w:bCs/>
          <w:sz w:val="24"/>
          <w:szCs w:val="24"/>
        </w:rPr>
        <w:t>,</w:t>
      </w:r>
      <w:r w:rsidRPr="009513AA">
        <w:rPr>
          <w:rFonts w:ascii="Times New Roman" w:hAnsi="Times New Roman" w:cs="Times New Roman"/>
          <w:sz w:val="24"/>
          <w:szCs w:val="24"/>
        </w:rPr>
        <w:t xml:space="preserve"> which may introduce bias or overestimation. Additionally, the research focuses primarily on Kerala, which has relatively higher literacy and media access than other states, </w:t>
      </w:r>
      <w:r w:rsidRPr="009513AA">
        <w:rPr>
          <w:rStyle w:val="Strong"/>
          <w:rFonts w:ascii="Times New Roman" w:hAnsi="Times New Roman" w:cs="Times New Roman"/>
          <w:b w:val="0"/>
          <w:bCs w:val="0"/>
          <w:sz w:val="24"/>
          <w:szCs w:val="24"/>
        </w:rPr>
        <w:t>limiting the</w:t>
      </w:r>
      <w:r w:rsidRPr="009513AA">
        <w:rPr>
          <w:rStyle w:val="Strong"/>
          <w:rFonts w:ascii="Times New Roman" w:hAnsi="Times New Roman" w:cs="Times New Roman"/>
          <w:sz w:val="24"/>
          <w:szCs w:val="24"/>
        </w:rPr>
        <w:t xml:space="preserve"> </w:t>
      </w:r>
      <w:r w:rsidRPr="009513AA">
        <w:rPr>
          <w:rStyle w:val="Strong"/>
          <w:rFonts w:ascii="Times New Roman" w:hAnsi="Times New Roman" w:cs="Times New Roman"/>
          <w:b w:val="0"/>
          <w:bCs w:val="0"/>
          <w:sz w:val="24"/>
          <w:szCs w:val="24"/>
        </w:rPr>
        <w:t>generalizability</w:t>
      </w:r>
      <w:r w:rsidRPr="009513AA">
        <w:rPr>
          <w:rFonts w:ascii="Times New Roman" w:hAnsi="Times New Roman" w:cs="Times New Roman"/>
          <w:sz w:val="24"/>
          <w:szCs w:val="24"/>
        </w:rPr>
        <w:t xml:space="preserve"> of findings to other regions of India. Certain complex constructs like women’s empowerment or digital participation are measured using </w:t>
      </w:r>
      <w:r w:rsidRPr="009513AA">
        <w:rPr>
          <w:rStyle w:val="Strong"/>
          <w:rFonts w:ascii="Times New Roman" w:hAnsi="Times New Roman" w:cs="Times New Roman"/>
          <w:b w:val="0"/>
          <w:bCs w:val="0"/>
          <w:sz w:val="24"/>
          <w:szCs w:val="24"/>
        </w:rPr>
        <w:t>simplified proxies</w:t>
      </w:r>
      <w:r w:rsidRPr="009513AA">
        <w:rPr>
          <w:rFonts w:ascii="Times New Roman" w:hAnsi="Times New Roman" w:cs="Times New Roman"/>
          <w:sz w:val="24"/>
          <w:szCs w:val="24"/>
        </w:rPr>
        <w:t xml:space="preserve">, which may not capture the full depth of socio-cultural and economic factors influencing empowerment. Lastly, the lack of access to raw microdata restricts </w:t>
      </w:r>
      <w:r w:rsidRPr="009513AA">
        <w:rPr>
          <w:rStyle w:val="Strong"/>
          <w:rFonts w:ascii="Times New Roman" w:hAnsi="Times New Roman" w:cs="Times New Roman"/>
          <w:b w:val="0"/>
          <w:bCs w:val="0"/>
          <w:sz w:val="24"/>
          <w:szCs w:val="24"/>
        </w:rPr>
        <w:t>in-depth statistical analysis</w:t>
      </w:r>
      <w:r w:rsidRPr="009513AA">
        <w:rPr>
          <w:rFonts w:ascii="Times New Roman" w:hAnsi="Times New Roman" w:cs="Times New Roman"/>
          <w:sz w:val="24"/>
          <w:szCs w:val="24"/>
        </w:rPr>
        <w:t xml:space="preserve"> and validation of trends observed in secondary sources. </w:t>
      </w:r>
    </w:p>
    <w:p w14:paraId="19B6B5C2" w14:textId="35D8FAF0" w:rsidR="0099514F" w:rsidRPr="009513AA" w:rsidRDefault="00072838" w:rsidP="0099514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9513AA">
        <w:t xml:space="preserve">                                      </w:t>
      </w:r>
      <w:r w:rsidR="0099514F" w:rsidRPr="009513AA">
        <w:rPr>
          <w:rFonts w:ascii="Times New Roman" w:eastAsia="Times New Roman" w:hAnsi="Times New Roman" w:cs="Times New Roman"/>
          <w:kern w:val="0"/>
          <w:sz w:val="24"/>
          <w:szCs w:val="24"/>
          <w:lang w:eastAsia="en-IN"/>
          <w14:ligatures w14:val="none"/>
        </w:rPr>
        <w:t>Media remains a powerful catalyst for women’s empowerment, capable of reshaping gender relations and creating inclusive pathways for growth. However, its potential can only be fully realized when media systems are democratized, ethical, and participatory. As India and other developing nations embrace the digital age, integrating gender justice into media discourse is essential for achieving Sustainable Development Goal 5 (Gender Equality) and fostering holistic socio-economic development.</w:t>
      </w:r>
      <w:r w:rsidR="0099514F" w:rsidRPr="009513AA">
        <w:rPr>
          <w:rFonts w:ascii="Times New Roman" w:eastAsia="Times New Roman" w:hAnsi="Times New Roman" w:cs="Times New Roman"/>
          <w:b/>
          <w:bCs/>
          <w:kern w:val="0"/>
          <w:sz w:val="36"/>
          <w:szCs w:val="36"/>
          <w:lang w:eastAsia="en-IN"/>
          <w14:ligatures w14:val="none"/>
        </w:rPr>
        <w:t xml:space="preserve"> </w:t>
      </w:r>
      <w:r w:rsidR="0099514F" w:rsidRPr="009513AA">
        <w:rPr>
          <w:rFonts w:ascii="Times New Roman" w:eastAsia="Times New Roman" w:hAnsi="Times New Roman" w:cs="Times New Roman"/>
          <w:kern w:val="0"/>
          <w:sz w:val="24"/>
          <w:szCs w:val="24"/>
          <w:lang w:eastAsia="en-IN"/>
          <w14:ligatures w14:val="none"/>
        </w:rPr>
        <w:t>Kerala’s strong literacy and digital-penetration foundation creates a unique opportunity: media could accelerate women’s economic and political agency if representation, production, and access frictions are addressed. This paper synthesises existing evidence to map pathways and proposes focused policy and industry interventions. The next step is empirical testing: implement pilot media-intervention programmes (media-literacy + livelihoods information + content diversification) and evaluate impacts via randomized or quasi-experimental designs. Measuring outcomes across employment, civic participation, and subjective empowerment will be crucial to converting Kerala’s social capital into inclusive economic and political gains for women.</w:t>
      </w:r>
    </w:p>
    <w:p w14:paraId="2DE359F3" w14:textId="77777777" w:rsidR="00732A07" w:rsidRPr="009513AA" w:rsidRDefault="00732A07" w:rsidP="0099514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p>
    <w:p w14:paraId="357F24F4" w14:textId="77777777" w:rsidR="00931C18" w:rsidRPr="009513AA" w:rsidRDefault="00931C18" w:rsidP="00732A07">
      <w:pPr>
        <w:spacing w:after="200" w:line="276" w:lineRule="auto"/>
        <w:jc w:val="both"/>
        <w:outlineLvl w:val="0"/>
        <w:rPr>
          <w:rFonts w:ascii="Arial" w:eastAsia="Times New Roman" w:hAnsi="Arial" w:cs="Arial"/>
          <w:b/>
          <w:bCs/>
          <w:kern w:val="0"/>
          <w:lang w:val="en-GB" w:eastAsia="en-GB"/>
          <w14:ligatures w14:val="none"/>
        </w:rPr>
      </w:pPr>
    </w:p>
    <w:p w14:paraId="7268C2DB" w14:textId="712D00AE" w:rsidR="00732A07" w:rsidRPr="009513AA" w:rsidRDefault="00A02D7F" w:rsidP="00732A07">
      <w:pPr>
        <w:spacing w:after="200" w:line="276" w:lineRule="auto"/>
        <w:jc w:val="both"/>
        <w:outlineLvl w:val="0"/>
        <w:rPr>
          <w:rFonts w:ascii="Arial" w:eastAsia="Times New Roman" w:hAnsi="Arial" w:cs="Arial"/>
          <w:kern w:val="0"/>
          <w:lang w:val="en-GB" w:eastAsia="en-GB"/>
          <w14:ligatures w14:val="none"/>
        </w:rPr>
      </w:pPr>
      <w:bookmarkStart w:id="0" w:name="_GoBack"/>
      <w:bookmarkEnd w:id="0"/>
      <w:r w:rsidRPr="00541352">
        <w:rPr>
          <w:rFonts w:ascii="Arial" w:eastAsia="Times New Roman" w:hAnsi="Arial" w:cs="Arial"/>
          <w:b/>
          <w:bCs/>
          <w:kern w:val="0"/>
          <w:highlight w:val="yellow"/>
          <w:lang w:val="en-GB" w:eastAsia="en-GB"/>
          <w14:ligatures w14:val="none"/>
        </w:rPr>
        <w:t>Disclaimer (Artificial intelligence)</w:t>
      </w:r>
      <w:r w:rsidR="00732A07" w:rsidRPr="00541352">
        <w:rPr>
          <w:rFonts w:ascii="Arial" w:eastAsia="Times New Roman" w:hAnsi="Arial" w:cs="Arial"/>
          <w:b/>
          <w:bCs/>
          <w:kern w:val="0"/>
          <w:highlight w:val="yellow"/>
          <w:lang w:val="en-GB" w:eastAsia="en-GB"/>
          <w14:ligatures w14:val="none"/>
        </w:rPr>
        <w:t>:</w:t>
      </w:r>
    </w:p>
    <w:p w14:paraId="53704892" w14:textId="77777777" w:rsidR="00B92106" w:rsidRPr="009513AA" w:rsidRDefault="00B92106" w:rsidP="00B92106"/>
    <w:p w14:paraId="159CED72" w14:textId="77777777" w:rsidR="00B92106" w:rsidRPr="009513AA" w:rsidRDefault="00B92106" w:rsidP="00B92106">
      <w:r w:rsidRPr="009513AA">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F1A5D1" w14:textId="40730E34" w:rsidR="00B22A3D" w:rsidRPr="009513AA" w:rsidRDefault="00B22A3D" w:rsidP="00B92106">
      <w:r w:rsidRPr="009513AA">
        <w:t xml:space="preserve">No AI Technology have been used while writing the article. Only chat </w:t>
      </w:r>
      <w:proofErr w:type="spellStart"/>
      <w:r w:rsidRPr="009513AA">
        <w:t>Gpt</w:t>
      </w:r>
      <w:proofErr w:type="spellEnd"/>
      <w:r w:rsidRPr="009513AA">
        <w:t xml:space="preserve"> </w:t>
      </w:r>
      <w:proofErr w:type="spellStart"/>
      <w:r w:rsidRPr="009513AA">
        <w:t>ised</w:t>
      </w:r>
      <w:proofErr w:type="spellEnd"/>
      <w:r w:rsidRPr="009513AA">
        <w:t xml:space="preserve"> in some places of article. </w:t>
      </w:r>
    </w:p>
    <w:p w14:paraId="404DF12D" w14:textId="77777777" w:rsidR="00B92106" w:rsidRPr="009513AA" w:rsidRDefault="00B92106" w:rsidP="00B92106"/>
    <w:p w14:paraId="092A1F1F" w14:textId="77777777" w:rsidR="00B92106" w:rsidRPr="009513AA" w:rsidRDefault="00B92106" w:rsidP="00B92106">
      <w:r w:rsidRPr="009513AA">
        <w:t>Details of the AI usage are given below:</w:t>
      </w:r>
    </w:p>
    <w:p w14:paraId="2FF89E96" w14:textId="3FB887D0" w:rsidR="00B92106" w:rsidRPr="009513AA" w:rsidRDefault="00B92106" w:rsidP="00B92106">
      <w:r w:rsidRPr="009513AA">
        <w:t>1.</w:t>
      </w:r>
      <w:r w:rsidR="00B22A3D" w:rsidRPr="009513AA">
        <w:t xml:space="preserve"> Chat </w:t>
      </w:r>
      <w:proofErr w:type="spellStart"/>
      <w:r w:rsidR="00B22A3D" w:rsidRPr="009513AA">
        <w:t>Gpt</w:t>
      </w:r>
      <w:proofErr w:type="spellEnd"/>
      <w:r w:rsidR="00B22A3D" w:rsidRPr="009513AA">
        <w:t xml:space="preserve"> </w:t>
      </w:r>
    </w:p>
    <w:p w14:paraId="6FE8AE6A" w14:textId="77777777" w:rsidR="00B92106" w:rsidRPr="009513AA" w:rsidRDefault="00B92106" w:rsidP="00B92106">
      <w:r w:rsidRPr="009513AA">
        <w:t>2.</w:t>
      </w:r>
    </w:p>
    <w:p w14:paraId="4C78151D" w14:textId="77777777" w:rsidR="00B92106" w:rsidRPr="009513AA" w:rsidRDefault="00B92106" w:rsidP="00B92106">
      <w:r w:rsidRPr="009513AA">
        <w:t>3.</w:t>
      </w:r>
    </w:p>
    <w:p w14:paraId="0F42B3BE" w14:textId="77777777" w:rsidR="00732A07" w:rsidRPr="009513AA" w:rsidRDefault="00732A07" w:rsidP="0099514F">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p>
    <w:p w14:paraId="4FEF9F6D" w14:textId="77777777" w:rsidR="0099514F" w:rsidRPr="009513AA" w:rsidRDefault="0099514F" w:rsidP="0099514F">
      <w:pPr>
        <w:spacing w:after="100" w:afterAutospacing="1" w:line="360" w:lineRule="auto"/>
        <w:jc w:val="both"/>
        <w:rPr>
          <w:rFonts w:ascii="Times New Roman" w:eastAsia="Times New Roman" w:hAnsi="Times New Roman" w:cs="Times New Roman"/>
          <w:kern w:val="0"/>
          <w:sz w:val="24"/>
          <w:szCs w:val="24"/>
          <w:lang w:eastAsia="en-IN"/>
          <w14:ligatures w14:val="none"/>
        </w:rPr>
      </w:pPr>
      <w:r w:rsidRPr="009513AA">
        <w:rPr>
          <w:rFonts w:ascii="Times New Roman" w:eastAsia="Times New Roman" w:hAnsi="Times New Roman" w:cs="Times New Roman"/>
          <w:b/>
          <w:bCs/>
          <w:kern w:val="0"/>
          <w:sz w:val="28"/>
          <w:szCs w:val="28"/>
          <w:lang w:eastAsia="en-IN"/>
          <w14:ligatures w14:val="none"/>
        </w:rPr>
        <w:t>References</w:t>
      </w:r>
    </w:p>
    <w:p w14:paraId="1684D31C" w14:textId="562FCDC3" w:rsidR="00203813" w:rsidRPr="009513AA" w:rsidRDefault="00203813" w:rsidP="00203813">
      <w:pPr>
        <w:pStyle w:val="NormalWeb"/>
        <w:numPr>
          <w:ilvl w:val="0"/>
          <w:numId w:val="10"/>
        </w:numPr>
        <w:spacing w:line="360" w:lineRule="auto"/>
        <w:jc w:val="both"/>
      </w:pPr>
      <w:r w:rsidRPr="009513AA">
        <w:t xml:space="preserve">Global Media Monitoring Project. (2020). </w:t>
      </w:r>
      <w:r w:rsidRPr="009513AA">
        <w:rPr>
          <w:rStyle w:val="Emphasis"/>
          <w:rFonts w:eastAsiaTheme="majorEastAsia"/>
        </w:rPr>
        <w:t>Who makes the news?</w:t>
      </w:r>
      <w:r w:rsidRPr="009513AA">
        <w:t xml:space="preserve"> WACC.</w:t>
      </w:r>
    </w:p>
    <w:p w14:paraId="00A389A8" w14:textId="02F5A3E3" w:rsidR="00203813" w:rsidRPr="009513AA" w:rsidRDefault="00203813" w:rsidP="00203813">
      <w:pPr>
        <w:pStyle w:val="NormalWeb"/>
        <w:numPr>
          <w:ilvl w:val="0"/>
          <w:numId w:val="10"/>
        </w:numPr>
        <w:spacing w:line="360" w:lineRule="auto"/>
        <w:jc w:val="both"/>
      </w:pPr>
      <w:r w:rsidRPr="009513AA">
        <w:t xml:space="preserve">Kabeer, N. (1999). Resources, agency, achievements: Reflections on the measurement of women’s empowerment. </w:t>
      </w:r>
      <w:r w:rsidRPr="009513AA">
        <w:rPr>
          <w:rStyle w:val="Emphasis"/>
          <w:rFonts w:eastAsiaTheme="majorEastAsia"/>
        </w:rPr>
        <w:t>Development and Change, 30</w:t>
      </w:r>
      <w:r w:rsidRPr="009513AA">
        <w:t>(3), 435–464.</w:t>
      </w:r>
    </w:p>
    <w:p w14:paraId="1CE49327" w14:textId="249CF11E" w:rsidR="00203813" w:rsidRPr="009513AA" w:rsidRDefault="00203813" w:rsidP="00203813">
      <w:pPr>
        <w:pStyle w:val="NormalWeb"/>
        <w:numPr>
          <w:ilvl w:val="0"/>
          <w:numId w:val="10"/>
        </w:numPr>
        <w:spacing w:line="360" w:lineRule="auto"/>
        <w:jc w:val="both"/>
      </w:pPr>
      <w:r w:rsidRPr="009513AA">
        <w:t xml:space="preserve">Sen, A. (1999). </w:t>
      </w:r>
      <w:r w:rsidRPr="009513AA">
        <w:rPr>
          <w:rStyle w:val="Emphasis"/>
          <w:rFonts w:eastAsiaTheme="majorEastAsia"/>
        </w:rPr>
        <w:t>Development as freedom</w:t>
      </w:r>
      <w:r w:rsidRPr="009513AA">
        <w:t>. Oxford University Press.</w:t>
      </w:r>
    </w:p>
    <w:p w14:paraId="07EDFD97" w14:textId="33DAC17A" w:rsidR="00203813" w:rsidRPr="009513AA" w:rsidRDefault="00203813" w:rsidP="00203813">
      <w:pPr>
        <w:pStyle w:val="NormalWeb"/>
        <w:numPr>
          <w:ilvl w:val="0"/>
          <w:numId w:val="10"/>
        </w:numPr>
        <w:spacing w:line="360" w:lineRule="auto"/>
        <w:jc w:val="both"/>
      </w:pPr>
      <w:r w:rsidRPr="009513AA">
        <w:t xml:space="preserve">UN Women. (2022). </w:t>
      </w:r>
      <w:r w:rsidRPr="009513AA">
        <w:rPr>
          <w:rStyle w:val="Emphasis"/>
          <w:rFonts w:eastAsiaTheme="majorEastAsia"/>
        </w:rPr>
        <w:t>Gender equality and media freedom</w:t>
      </w:r>
      <w:r w:rsidRPr="009513AA">
        <w:t>.</w:t>
      </w:r>
    </w:p>
    <w:p w14:paraId="50262E3C" w14:textId="6A3D2AED" w:rsidR="00203813" w:rsidRPr="009513AA" w:rsidRDefault="00203813" w:rsidP="00203813">
      <w:pPr>
        <w:pStyle w:val="NormalWeb"/>
        <w:numPr>
          <w:ilvl w:val="0"/>
          <w:numId w:val="10"/>
        </w:numPr>
        <w:spacing w:line="360" w:lineRule="auto"/>
        <w:jc w:val="both"/>
      </w:pPr>
      <w:r w:rsidRPr="009513AA">
        <w:t xml:space="preserve">GSMA. (2023). </w:t>
      </w:r>
      <w:r w:rsidRPr="009513AA">
        <w:rPr>
          <w:rStyle w:val="Emphasis"/>
          <w:rFonts w:eastAsiaTheme="majorEastAsia"/>
        </w:rPr>
        <w:t>Mobile gender gap report 2023</w:t>
      </w:r>
      <w:r w:rsidRPr="009513AA">
        <w:t>.</w:t>
      </w:r>
    </w:p>
    <w:p w14:paraId="63C8819C" w14:textId="47A4BC7C" w:rsidR="00203813" w:rsidRPr="009513AA" w:rsidRDefault="00203813" w:rsidP="00203813">
      <w:pPr>
        <w:pStyle w:val="NormalWeb"/>
        <w:numPr>
          <w:ilvl w:val="0"/>
          <w:numId w:val="10"/>
        </w:numPr>
        <w:spacing w:line="360" w:lineRule="auto"/>
        <w:jc w:val="both"/>
      </w:pPr>
      <w:r w:rsidRPr="009513AA">
        <w:t xml:space="preserve">NITI Aayog. (2023). </w:t>
      </w:r>
      <w:r w:rsidRPr="009513AA">
        <w:rPr>
          <w:rStyle w:val="Emphasis"/>
          <w:rFonts w:eastAsiaTheme="majorEastAsia"/>
        </w:rPr>
        <w:t>Women entrepreneurship platform annual report</w:t>
      </w:r>
      <w:r w:rsidRPr="009513AA">
        <w:t>.</w:t>
      </w:r>
    </w:p>
    <w:p w14:paraId="1E211CAF" w14:textId="15DFBA97" w:rsidR="00203813" w:rsidRPr="009513AA" w:rsidRDefault="00203813" w:rsidP="00203813">
      <w:pPr>
        <w:pStyle w:val="NormalWeb"/>
        <w:numPr>
          <w:ilvl w:val="0"/>
          <w:numId w:val="10"/>
        </w:numPr>
        <w:spacing w:line="360" w:lineRule="auto"/>
        <w:jc w:val="both"/>
      </w:pPr>
      <w:r w:rsidRPr="009513AA">
        <w:t xml:space="preserve">National Family Health Survey (NFHS-5). (2021). </w:t>
      </w:r>
      <w:r w:rsidRPr="009513AA">
        <w:rPr>
          <w:rStyle w:val="Emphasis"/>
          <w:rFonts w:eastAsiaTheme="majorEastAsia"/>
        </w:rPr>
        <w:t>National Family Health Survey, India</w:t>
      </w:r>
      <w:r w:rsidRPr="009513AA">
        <w:t>.</w:t>
      </w:r>
    </w:p>
    <w:p w14:paraId="77562556" w14:textId="4305E8A7" w:rsidR="00203813" w:rsidRPr="009513AA" w:rsidRDefault="00203813" w:rsidP="00203813">
      <w:pPr>
        <w:pStyle w:val="NormalWeb"/>
        <w:numPr>
          <w:ilvl w:val="0"/>
          <w:numId w:val="10"/>
        </w:numPr>
        <w:spacing w:line="360" w:lineRule="auto"/>
        <w:jc w:val="both"/>
      </w:pPr>
      <w:r w:rsidRPr="009513AA">
        <w:t xml:space="preserve">CEDA. (2024). </w:t>
      </w:r>
      <w:r w:rsidRPr="009513AA">
        <w:rPr>
          <w:rStyle w:val="Emphasis"/>
          <w:rFonts w:eastAsiaTheme="majorEastAsia"/>
        </w:rPr>
        <w:t>Digital dreams, gendered realities: Women in digital India</w:t>
      </w:r>
      <w:r w:rsidRPr="009513AA">
        <w:t>. Ashoka University.</w:t>
      </w:r>
    </w:p>
    <w:p w14:paraId="3EE3442F" w14:textId="54BB388A" w:rsidR="00203813" w:rsidRPr="009513AA" w:rsidRDefault="00203813" w:rsidP="00203813">
      <w:pPr>
        <w:pStyle w:val="NormalWeb"/>
        <w:numPr>
          <w:ilvl w:val="0"/>
          <w:numId w:val="10"/>
        </w:numPr>
        <w:spacing w:line="360" w:lineRule="auto"/>
        <w:jc w:val="both"/>
      </w:pPr>
      <w:r w:rsidRPr="009513AA">
        <w:t xml:space="preserve">Sattva–Meta. (2022). </w:t>
      </w:r>
      <w:r w:rsidRPr="009513AA">
        <w:rPr>
          <w:rStyle w:val="Emphasis"/>
          <w:rFonts w:eastAsiaTheme="majorEastAsia"/>
        </w:rPr>
        <w:t>Women and social media in India</w:t>
      </w:r>
      <w:r w:rsidRPr="009513AA">
        <w:t>.</w:t>
      </w:r>
    </w:p>
    <w:p w14:paraId="2FBBA74D" w14:textId="2D74F939" w:rsidR="00203813" w:rsidRPr="009513AA" w:rsidRDefault="00203813" w:rsidP="00203813">
      <w:pPr>
        <w:pStyle w:val="NormalWeb"/>
        <w:numPr>
          <w:ilvl w:val="0"/>
          <w:numId w:val="10"/>
        </w:numPr>
        <w:spacing w:line="360" w:lineRule="auto"/>
        <w:jc w:val="both"/>
      </w:pPr>
      <w:r w:rsidRPr="009513AA">
        <w:t xml:space="preserve">1Earth Media Publications. (2024). </w:t>
      </w:r>
      <w:r w:rsidRPr="009513AA">
        <w:rPr>
          <w:rStyle w:val="Emphasis"/>
          <w:rFonts w:eastAsiaTheme="majorEastAsia"/>
        </w:rPr>
        <w:t>Women in media industry insight report</w:t>
      </w:r>
      <w:r w:rsidRPr="009513AA">
        <w:t>.</w:t>
      </w:r>
    </w:p>
    <w:p w14:paraId="4D0E01D9" w14:textId="7B89D98B" w:rsidR="00203813" w:rsidRPr="009513AA" w:rsidRDefault="00203813" w:rsidP="00203813">
      <w:pPr>
        <w:pStyle w:val="NormalWeb"/>
        <w:numPr>
          <w:ilvl w:val="0"/>
          <w:numId w:val="10"/>
        </w:numPr>
        <w:spacing w:line="360" w:lineRule="auto"/>
        <w:jc w:val="both"/>
      </w:pPr>
      <w:r w:rsidRPr="009513AA">
        <w:t xml:space="preserve">UNFPA. (2023). </w:t>
      </w:r>
      <w:r w:rsidRPr="009513AA">
        <w:rPr>
          <w:rStyle w:val="Emphasis"/>
          <w:rFonts w:eastAsiaTheme="majorEastAsia"/>
        </w:rPr>
        <w:t>Digital gender divide and equity in India</w:t>
      </w:r>
      <w:r w:rsidRPr="009513AA">
        <w:t>.</w:t>
      </w:r>
    </w:p>
    <w:p w14:paraId="2D69C99C" w14:textId="726BA187" w:rsidR="00203813" w:rsidRPr="009513AA" w:rsidRDefault="00203813" w:rsidP="00203813">
      <w:pPr>
        <w:pStyle w:val="NormalWeb"/>
        <w:numPr>
          <w:ilvl w:val="0"/>
          <w:numId w:val="10"/>
        </w:numPr>
        <w:spacing w:line="360" w:lineRule="auto"/>
        <w:jc w:val="both"/>
      </w:pPr>
      <w:r w:rsidRPr="009513AA">
        <w:t xml:space="preserve">Narayana, A., &amp; Ahamad, T. (2016). Role of media in accelerating women empowerment. </w:t>
      </w:r>
      <w:r w:rsidRPr="009513AA">
        <w:rPr>
          <w:rStyle w:val="Emphasis"/>
          <w:rFonts w:eastAsiaTheme="majorEastAsia"/>
        </w:rPr>
        <w:t>International Journal of Advanced Education and Research, 1</w:t>
      </w:r>
      <w:r w:rsidRPr="009513AA">
        <w:t>(1), 16-19.</w:t>
      </w:r>
    </w:p>
    <w:p w14:paraId="4E682F1A" w14:textId="2620B7F3" w:rsidR="00203813" w:rsidRPr="009513AA" w:rsidRDefault="00203813" w:rsidP="00203813">
      <w:pPr>
        <w:pStyle w:val="NormalWeb"/>
        <w:numPr>
          <w:ilvl w:val="0"/>
          <w:numId w:val="10"/>
        </w:numPr>
        <w:spacing w:line="360" w:lineRule="auto"/>
        <w:jc w:val="both"/>
      </w:pPr>
      <w:r w:rsidRPr="009513AA">
        <w:lastRenderedPageBreak/>
        <w:t xml:space="preserve">Kumari, M. (2020). Social media and women empowerment. </w:t>
      </w:r>
      <w:r w:rsidRPr="009513AA">
        <w:rPr>
          <w:rStyle w:val="Emphasis"/>
          <w:rFonts w:eastAsiaTheme="majorEastAsia"/>
        </w:rPr>
        <w:t>International Journal of Science and Technology Research, 9</w:t>
      </w:r>
      <w:r w:rsidRPr="009513AA">
        <w:t>(3), 626-629.</w:t>
      </w:r>
    </w:p>
    <w:p w14:paraId="0DE3D296" w14:textId="503D9B26" w:rsidR="00203813" w:rsidRPr="009513AA" w:rsidRDefault="00203813" w:rsidP="00203813">
      <w:pPr>
        <w:pStyle w:val="NormalWeb"/>
        <w:numPr>
          <w:ilvl w:val="0"/>
          <w:numId w:val="10"/>
        </w:numPr>
        <w:spacing w:line="360" w:lineRule="auto"/>
        <w:jc w:val="both"/>
      </w:pPr>
      <w:r w:rsidRPr="009513AA">
        <w:t xml:space="preserve">Akhter, N., &amp; Naheed, F. (2014). Perceptions of educated women about the role of media in women empowerment. </w:t>
      </w:r>
      <w:r w:rsidRPr="009513AA">
        <w:rPr>
          <w:rStyle w:val="Emphasis"/>
          <w:rFonts w:eastAsiaTheme="majorEastAsia"/>
        </w:rPr>
        <w:t>European Scientific Journal, 10</w:t>
      </w:r>
      <w:r w:rsidRPr="009513AA">
        <w:t>(31).</w:t>
      </w:r>
    </w:p>
    <w:p w14:paraId="5E1B769C" w14:textId="77777777" w:rsidR="009B6054" w:rsidRPr="009513AA" w:rsidRDefault="00203813" w:rsidP="00203813">
      <w:pPr>
        <w:pStyle w:val="NormalWeb"/>
        <w:numPr>
          <w:ilvl w:val="0"/>
          <w:numId w:val="10"/>
        </w:numPr>
        <w:spacing w:line="360" w:lineRule="auto"/>
        <w:jc w:val="both"/>
        <w:rPr>
          <w:rStyle w:val="Emphasis"/>
          <w:i w:val="0"/>
          <w:iCs w:val="0"/>
        </w:rPr>
      </w:pPr>
      <w:r w:rsidRPr="009513AA">
        <w:t xml:space="preserve">Kashyap, G. (2014). Role of alternative media in empowerment of women. </w:t>
      </w:r>
      <w:r w:rsidRPr="009513AA">
        <w:rPr>
          <w:rStyle w:val="Emphasis"/>
          <w:rFonts w:eastAsiaTheme="majorEastAsia"/>
        </w:rPr>
        <w:t xml:space="preserve">Journal of </w:t>
      </w:r>
    </w:p>
    <w:p w14:paraId="78128BAC" w14:textId="43D1AE60" w:rsidR="00203813" w:rsidRPr="009513AA" w:rsidRDefault="00203813" w:rsidP="00203813">
      <w:pPr>
        <w:pStyle w:val="NormalWeb"/>
        <w:numPr>
          <w:ilvl w:val="0"/>
          <w:numId w:val="10"/>
        </w:numPr>
        <w:spacing w:line="360" w:lineRule="auto"/>
        <w:jc w:val="both"/>
      </w:pPr>
      <w:r w:rsidRPr="009513AA">
        <w:rPr>
          <w:rStyle w:val="Emphasis"/>
          <w:rFonts w:eastAsiaTheme="majorEastAsia"/>
        </w:rPr>
        <w:t>Mass Communication and Journalism, 4</w:t>
      </w:r>
      <w:r w:rsidRPr="009513AA">
        <w:t>, 1-3.</w:t>
      </w:r>
    </w:p>
    <w:p w14:paraId="7A8534C0" w14:textId="55C435E9" w:rsidR="00203813" w:rsidRPr="009513AA" w:rsidRDefault="00203813" w:rsidP="00203813">
      <w:pPr>
        <w:pStyle w:val="NormalWeb"/>
        <w:numPr>
          <w:ilvl w:val="0"/>
          <w:numId w:val="10"/>
        </w:numPr>
        <w:spacing w:line="360" w:lineRule="auto"/>
        <w:jc w:val="both"/>
      </w:pPr>
      <w:r w:rsidRPr="009513AA">
        <w:t xml:space="preserve">Dasgupta, S. (2019). Impact of exposure to mass media on female empowerment: Evidence from India. </w:t>
      </w:r>
      <w:r w:rsidRPr="009513AA">
        <w:rPr>
          <w:rStyle w:val="Emphasis"/>
          <w:rFonts w:eastAsiaTheme="majorEastAsia"/>
        </w:rPr>
        <w:t>International Journal of Development Issues, 18</w:t>
      </w:r>
      <w:r w:rsidRPr="009513AA">
        <w:t>(2), 243-258.</w:t>
      </w:r>
    </w:p>
    <w:p w14:paraId="4DE5B58D" w14:textId="77777777" w:rsidR="00072838" w:rsidRPr="009513AA" w:rsidRDefault="00203813" w:rsidP="00072838">
      <w:pPr>
        <w:pStyle w:val="NormalWeb"/>
        <w:numPr>
          <w:ilvl w:val="0"/>
          <w:numId w:val="10"/>
        </w:numPr>
        <w:spacing w:line="360" w:lineRule="auto"/>
        <w:jc w:val="both"/>
      </w:pPr>
      <w:r w:rsidRPr="009513AA">
        <w:t xml:space="preserve">Moroojo, M. Y., Shafiq, M. O., Abro, M. R., &amp; Bhayo, A. R. (2021). Public views about media role in women empowerment. </w:t>
      </w:r>
      <w:r w:rsidRPr="009513AA">
        <w:rPr>
          <w:rStyle w:val="Emphasis"/>
          <w:rFonts w:eastAsiaTheme="majorEastAsia"/>
        </w:rPr>
        <w:t>Journal of Media &amp; Communication (JMC), 2</w:t>
      </w:r>
      <w:r w:rsidRPr="009513AA">
        <w:t>(1).</w:t>
      </w:r>
    </w:p>
    <w:p w14:paraId="0DC620BE" w14:textId="160E2A91" w:rsidR="00072838" w:rsidRPr="009513AA" w:rsidRDefault="00072838" w:rsidP="00072838">
      <w:pPr>
        <w:pStyle w:val="NormalWeb"/>
        <w:numPr>
          <w:ilvl w:val="0"/>
          <w:numId w:val="10"/>
        </w:numPr>
        <w:spacing w:line="360" w:lineRule="auto"/>
        <w:jc w:val="both"/>
      </w:pPr>
      <w:r w:rsidRPr="009513AA">
        <w:t xml:space="preserve"> Arya, S., &amp; Pradeep Kumar, B. (2025). </w:t>
      </w:r>
      <w:r w:rsidRPr="009513AA">
        <w:rPr>
          <w:rStyle w:val="Emphasis"/>
          <w:rFonts w:eastAsiaTheme="majorEastAsia"/>
        </w:rPr>
        <w:t>Digital divide and women’s (dis)empowerment: A study of selected tribal communities in the Wayanad District of Kerala, India.</w:t>
      </w:r>
      <w:r w:rsidRPr="009513AA">
        <w:t xml:space="preserve"> </w:t>
      </w:r>
      <w:r w:rsidRPr="009513AA">
        <w:rPr>
          <w:rStyle w:val="Emphasis"/>
          <w:rFonts w:eastAsiaTheme="majorEastAsia"/>
        </w:rPr>
        <w:t>Journal of Telecommunications and the Digital Economy, 13</w:t>
      </w:r>
      <w:r w:rsidRPr="009513AA">
        <w:t xml:space="preserve">(2), 25–41. </w:t>
      </w:r>
    </w:p>
    <w:p w14:paraId="18447A22" w14:textId="79DF8E01" w:rsidR="00072838" w:rsidRPr="009513AA" w:rsidRDefault="00072838" w:rsidP="00072838">
      <w:pPr>
        <w:pStyle w:val="NormalWeb"/>
        <w:numPr>
          <w:ilvl w:val="0"/>
          <w:numId w:val="10"/>
        </w:numPr>
        <w:spacing w:line="360" w:lineRule="auto"/>
        <w:jc w:val="both"/>
      </w:pPr>
      <w:r w:rsidRPr="009513AA">
        <w:t xml:space="preserve">Thelekkatte, A., Anusree, R., &amp; Anagha, T. V. (2025). </w:t>
      </w:r>
      <w:r w:rsidRPr="009513AA">
        <w:rPr>
          <w:rStyle w:val="Emphasis"/>
          <w:rFonts w:eastAsiaTheme="majorEastAsia"/>
        </w:rPr>
        <w:t>Gender equity and women empowerment: A case study of Kudumbashree in Kerala, India.</w:t>
      </w:r>
      <w:r w:rsidRPr="009513AA">
        <w:t xml:space="preserve"> </w:t>
      </w:r>
      <w:r w:rsidRPr="009513AA">
        <w:rPr>
          <w:rStyle w:val="Emphasis"/>
          <w:rFonts w:eastAsiaTheme="majorEastAsia"/>
        </w:rPr>
        <w:t>Exchanges: The Interdisciplinary Research Journal, 12</w:t>
      </w:r>
      <w:r w:rsidRPr="009513AA">
        <w:t xml:space="preserve">(2), Article 1617. </w:t>
      </w:r>
    </w:p>
    <w:p w14:paraId="26470706" w14:textId="77777777" w:rsidR="00072838" w:rsidRPr="009513AA" w:rsidRDefault="00072838" w:rsidP="00072838">
      <w:pPr>
        <w:pStyle w:val="NormalWeb"/>
        <w:numPr>
          <w:ilvl w:val="0"/>
          <w:numId w:val="10"/>
        </w:numPr>
        <w:spacing w:line="360" w:lineRule="auto"/>
        <w:jc w:val="both"/>
      </w:pPr>
      <w:r w:rsidRPr="009513AA">
        <w:t xml:space="preserve"> Udisha, O., &amp; others. (2024). </w:t>
      </w:r>
      <w:r w:rsidRPr="009513AA">
        <w:rPr>
          <w:rStyle w:val="Emphasis"/>
          <w:rFonts w:eastAsiaTheme="majorEastAsia"/>
        </w:rPr>
        <w:t>Bridging the digital divide: Empowering rural women farmers in Kerala through mobile technology.</w:t>
      </w:r>
      <w:r w:rsidRPr="009513AA">
        <w:t xml:space="preserve"> </w:t>
      </w:r>
      <w:r w:rsidRPr="009513AA">
        <w:rPr>
          <w:rStyle w:val="Emphasis"/>
          <w:rFonts w:eastAsiaTheme="majorEastAsia"/>
        </w:rPr>
        <w:t>Sustainability, 16</w:t>
      </w:r>
      <w:r w:rsidRPr="009513AA">
        <w:t xml:space="preserve">(21), Article 9188. https://doi.org/10.3390/su16219188 </w:t>
      </w:r>
    </w:p>
    <w:p w14:paraId="0A9545F8" w14:textId="77777777" w:rsidR="00072838" w:rsidRPr="009513AA" w:rsidRDefault="00072838" w:rsidP="00072838">
      <w:pPr>
        <w:pStyle w:val="NormalWeb"/>
        <w:numPr>
          <w:ilvl w:val="0"/>
          <w:numId w:val="10"/>
        </w:numPr>
        <w:spacing w:line="360" w:lineRule="auto"/>
        <w:jc w:val="both"/>
      </w:pPr>
      <w:r w:rsidRPr="009513AA">
        <w:t xml:space="preserve"> </w:t>
      </w:r>
      <w:proofErr w:type="spellStart"/>
      <w:r w:rsidRPr="009513AA">
        <w:t>Minimol</w:t>
      </w:r>
      <w:proofErr w:type="spellEnd"/>
      <w:r w:rsidRPr="009513AA">
        <w:t xml:space="preserve">, M. C. (2012). </w:t>
      </w:r>
      <w:r w:rsidRPr="009513AA">
        <w:rPr>
          <w:rStyle w:val="Emphasis"/>
          <w:rFonts w:eastAsiaTheme="majorEastAsia"/>
        </w:rPr>
        <w:t>A study on the role of self-help groups (SHGs) in improving the socio</w:t>
      </w:r>
      <w:r w:rsidRPr="009513AA">
        <w:rPr>
          <w:rStyle w:val="Emphasis"/>
          <w:rFonts w:eastAsiaTheme="majorEastAsia"/>
        </w:rPr>
        <w:noBreakHyphen/>
        <w:t>economic status of rural women in Kerala.</w:t>
      </w:r>
      <w:r w:rsidRPr="009513AA">
        <w:t xml:space="preserve"> </w:t>
      </w:r>
      <w:r w:rsidRPr="009513AA">
        <w:rPr>
          <w:rStyle w:val="Emphasis"/>
          <w:rFonts w:eastAsiaTheme="majorEastAsia"/>
        </w:rPr>
        <w:t>International Journal of Sociology and Anthropology, 4</w:t>
      </w:r>
      <w:r w:rsidRPr="009513AA">
        <w:t xml:space="preserve">(2), 54–62. </w:t>
      </w:r>
    </w:p>
    <w:p w14:paraId="0A4E6513" w14:textId="77777777" w:rsidR="00072838" w:rsidRPr="009513AA" w:rsidRDefault="00072838" w:rsidP="00072838">
      <w:pPr>
        <w:pStyle w:val="NormalWeb"/>
        <w:numPr>
          <w:ilvl w:val="0"/>
          <w:numId w:val="10"/>
        </w:numPr>
        <w:spacing w:line="360" w:lineRule="auto"/>
        <w:jc w:val="both"/>
      </w:pPr>
      <w:r w:rsidRPr="009513AA">
        <w:t xml:space="preserve">James, K. S. (2004). </w:t>
      </w:r>
      <w:r w:rsidRPr="009513AA">
        <w:rPr>
          <w:rStyle w:val="Emphasis"/>
          <w:rFonts w:eastAsiaTheme="majorEastAsia"/>
        </w:rPr>
        <w:t>Demographic transition and women’s empowerment in Kerala: New evidence.</w:t>
      </w:r>
      <w:r w:rsidRPr="009513AA">
        <w:t xml:space="preserve"> </w:t>
      </w:r>
      <w:r w:rsidRPr="009513AA">
        <w:rPr>
          <w:rStyle w:val="Emphasis"/>
          <w:rFonts w:eastAsiaTheme="majorEastAsia"/>
        </w:rPr>
        <w:t>Samyukta Journal, (Issue)</w:t>
      </w:r>
      <w:r w:rsidRPr="009513AA">
        <w:t xml:space="preserve">. </w:t>
      </w:r>
    </w:p>
    <w:p w14:paraId="717188D7" w14:textId="77777777" w:rsidR="00072838" w:rsidRPr="009513AA" w:rsidRDefault="00072838" w:rsidP="00072838">
      <w:pPr>
        <w:pStyle w:val="NormalWeb"/>
        <w:numPr>
          <w:ilvl w:val="0"/>
          <w:numId w:val="10"/>
        </w:numPr>
        <w:spacing w:line="360" w:lineRule="auto"/>
        <w:jc w:val="both"/>
      </w:pPr>
      <w:r w:rsidRPr="009513AA">
        <w:t xml:space="preserve">  Gaur, B. S., Das, B., Misra, A., Mallick, S., &amp; Patel, J. B. (2024). </w:t>
      </w:r>
      <w:r w:rsidRPr="009513AA">
        <w:rPr>
          <w:rStyle w:val="Emphasis"/>
          <w:rFonts w:eastAsiaTheme="majorEastAsia"/>
        </w:rPr>
        <w:t>The role of media in shaping perceptions of women’s empowerment: Challenges and opportunities for change.</w:t>
      </w:r>
      <w:r w:rsidRPr="009513AA">
        <w:t xml:space="preserve"> </w:t>
      </w:r>
      <w:r w:rsidRPr="009513AA">
        <w:rPr>
          <w:rStyle w:val="Emphasis"/>
          <w:rFonts w:eastAsiaTheme="majorEastAsia"/>
        </w:rPr>
        <w:t>Journal of Informatics Education and Research, 4</w:t>
      </w:r>
      <w:r w:rsidRPr="009513AA">
        <w:t xml:space="preserve">(1), 22–34. </w:t>
      </w:r>
    </w:p>
    <w:p w14:paraId="4FE8D43B" w14:textId="286CCFED" w:rsidR="00072838" w:rsidRPr="009513AA" w:rsidRDefault="00072838" w:rsidP="00072838">
      <w:pPr>
        <w:pStyle w:val="NormalWeb"/>
        <w:numPr>
          <w:ilvl w:val="0"/>
          <w:numId w:val="10"/>
        </w:numPr>
        <w:spacing w:line="360" w:lineRule="auto"/>
        <w:jc w:val="both"/>
      </w:pPr>
      <w:proofErr w:type="spellStart"/>
      <w:r w:rsidRPr="009513AA">
        <w:t>Bharathiar</w:t>
      </w:r>
      <w:proofErr w:type="spellEnd"/>
      <w:r w:rsidRPr="009513AA">
        <w:t xml:space="preserve">, T. P. J., &amp; Sumathy, M. (2024). </w:t>
      </w:r>
      <w:r w:rsidRPr="009513AA">
        <w:rPr>
          <w:rStyle w:val="Emphasis"/>
          <w:rFonts w:eastAsiaTheme="majorEastAsia"/>
        </w:rPr>
        <w:t>Breaking the barriers and building empowerment: The role of self</w:t>
      </w:r>
      <w:r w:rsidRPr="009513AA">
        <w:rPr>
          <w:rStyle w:val="Emphasis"/>
          <w:rFonts w:eastAsiaTheme="majorEastAsia"/>
        </w:rPr>
        <w:noBreakHyphen/>
        <w:t>help groups in women’s empowerment in Kerala.</w:t>
      </w:r>
      <w:r w:rsidRPr="009513AA">
        <w:t xml:space="preserve"> </w:t>
      </w:r>
      <w:r w:rsidRPr="009513AA">
        <w:rPr>
          <w:rStyle w:val="Emphasis"/>
          <w:rFonts w:eastAsiaTheme="majorEastAsia"/>
        </w:rPr>
        <w:t>Indonesian Journal of Entrepreneurship and Startups, 2</w:t>
      </w:r>
      <w:r w:rsidRPr="009513AA">
        <w:t xml:space="preserve">(2), 111–120. </w:t>
      </w:r>
    </w:p>
    <w:p w14:paraId="4C3C0BE4" w14:textId="77777777" w:rsidR="00072838" w:rsidRPr="009513AA" w:rsidRDefault="00072838" w:rsidP="00072838">
      <w:pPr>
        <w:pStyle w:val="NormalWeb"/>
        <w:spacing w:line="360" w:lineRule="auto"/>
        <w:ind w:left="720"/>
        <w:jc w:val="both"/>
      </w:pPr>
    </w:p>
    <w:p w14:paraId="24744F0D" w14:textId="6BEB9304" w:rsidR="00E86FF5" w:rsidRPr="009513AA" w:rsidRDefault="00E86FF5" w:rsidP="00203813">
      <w:pPr>
        <w:spacing w:before="100" w:beforeAutospacing="1" w:after="100" w:afterAutospacing="1" w:line="360" w:lineRule="auto"/>
        <w:ind w:left="720"/>
      </w:pPr>
    </w:p>
    <w:sectPr w:rsidR="00E86FF5" w:rsidRPr="009513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CF715" w14:textId="77777777" w:rsidR="003F3BEA" w:rsidRDefault="003F3BEA" w:rsidP="00A738BA">
      <w:pPr>
        <w:spacing w:after="0" w:line="240" w:lineRule="auto"/>
      </w:pPr>
      <w:r>
        <w:separator/>
      </w:r>
    </w:p>
  </w:endnote>
  <w:endnote w:type="continuationSeparator" w:id="0">
    <w:p w14:paraId="5CDA9636" w14:textId="77777777" w:rsidR="003F3BEA" w:rsidRDefault="003F3BEA" w:rsidP="00A7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56FA" w14:textId="77777777" w:rsidR="00A738BA" w:rsidRDefault="00A7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6C61" w14:textId="77777777" w:rsidR="00A738BA" w:rsidRDefault="00A73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7CB1" w14:textId="77777777" w:rsidR="00A738BA" w:rsidRDefault="00A7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48C6" w14:textId="77777777" w:rsidR="003F3BEA" w:rsidRDefault="003F3BEA" w:rsidP="00A738BA">
      <w:pPr>
        <w:spacing w:after="0" w:line="240" w:lineRule="auto"/>
      </w:pPr>
      <w:r>
        <w:separator/>
      </w:r>
    </w:p>
  </w:footnote>
  <w:footnote w:type="continuationSeparator" w:id="0">
    <w:p w14:paraId="0D3463F9" w14:textId="77777777" w:rsidR="003F3BEA" w:rsidRDefault="003F3BEA" w:rsidP="00A7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962C" w14:textId="71D44536" w:rsidR="00A738BA" w:rsidRDefault="003F3BEA">
    <w:pPr>
      <w:pStyle w:val="Header"/>
    </w:pPr>
    <w:r>
      <w:rPr>
        <w:noProof/>
      </w:rPr>
      <w:pict w14:anchorId="5419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27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A09C" w14:textId="736E0FE4" w:rsidR="00A738BA" w:rsidRDefault="003F3BEA">
    <w:pPr>
      <w:pStyle w:val="Header"/>
    </w:pPr>
    <w:r>
      <w:rPr>
        <w:noProof/>
      </w:rPr>
      <w:pict w14:anchorId="65972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27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2619" w14:textId="3B459DF9" w:rsidR="00A738BA" w:rsidRDefault="003F3BEA">
    <w:pPr>
      <w:pStyle w:val="Header"/>
    </w:pPr>
    <w:r>
      <w:rPr>
        <w:noProof/>
      </w:rPr>
      <w:pict w14:anchorId="19BE7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27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395E"/>
    <w:multiLevelType w:val="multilevel"/>
    <w:tmpl w:val="36EE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65924"/>
    <w:multiLevelType w:val="multilevel"/>
    <w:tmpl w:val="FC20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46BB"/>
    <w:multiLevelType w:val="multilevel"/>
    <w:tmpl w:val="563C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D6DF5"/>
    <w:multiLevelType w:val="multilevel"/>
    <w:tmpl w:val="2E0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2190E"/>
    <w:multiLevelType w:val="multilevel"/>
    <w:tmpl w:val="A5D6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65AFD"/>
    <w:multiLevelType w:val="multilevel"/>
    <w:tmpl w:val="D8A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72982"/>
    <w:multiLevelType w:val="hybridMultilevel"/>
    <w:tmpl w:val="3CD061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C8027C"/>
    <w:multiLevelType w:val="multilevel"/>
    <w:tmpl w:val="D86A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71C5A"/>
    <w:multiLevelType w:val="multilevel"/>
    <w:tmpl w:val="C3E0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5D4A93"/>
    <w:multiLevelType w:val="multilevel"/>
    <w:tmpl w:val="4942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8"/>
  </w:num>
  <w:num w:numId="5">
    <w:abstractNumId w:val="3"/>
  </w:num>
  <w:num w:numId="6">
    <w:abstractNumId w:val="1"/>
  </w:num>
  <w:num w:numId="7">
    <w:abstractNumId w:val="4"/>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LEwNzE0N7M0MzVU0lEKTi0uzszPAykwrAUAQknP8SwAAAA="/>
  </w:docVars>
  <w:rsids>
    <w:rsidRoot w:val="00CE4EB2"/>
    <w:rsid w:val="000517FD"/>
    <w:rsid w:val="00072838"/>
    <w:rsid w:val="00076FF4"/>
    <w:rsid w:val="000A7C6A"/>
    <w:rsid w:val="00171B0D"/>
    <w:rsid w:val="0017700F"/>
    <w:rsid w:val="0019396F"/>
    <w:rsid w:val="001A46C6"/>
    <w:rsid w:val="00203813"/>
    <w:rsid w:val="002B0CFD"/>
    <w:rsid w:val="002C412F"/>
    <w:rsid w:val="002C6CD7"/>
    <w:rsid w:val="00313220"/>
    <w:rsid w:val="0031398C"/>
    <w:rsid w:val="003B386B"/>
    <w:rsid w:val="003D262C"/>
    <w:rsid w:val="003F3BEA"/>
    <w:rsid w:val="004433A2"/>
    <w:rsid w:val="00444939"/>
    <w:rsid w:val="00541352"/>
    <w:rsid w:val="00553201"/>
    <w:rsid w:val="005A1A74"/>
    <w:rsid w:val="005E6572"/>
    <w:rsid w:val="005E69B1"/>
    <w:rsid w:val="00603F84"/>
    <w:rsid w:val="006156D9"/>
    <w:rsid w:val="006E4DAE"/>
    <w:rsid w:val="00732A07"/>
    <w:rsid w:val="0079428A"/>
    <w:rsid w:val="007B1ECE"/>
    <w:rsid w:val="007D6AE0"/>
    <w:rsid w:val="007F43AC"/>
    <w:rsid w:val="00846177"/>
    <w:rsid w:val="008E2CF1"/>
    <w:rsid w:val="00931C18"/>
    <w:rsid w:val="009513AA"/>
    <w:rsid w:val="0096614F"/>
    <w:rsid w:val="00975479"/>
    <w:rsid w:val="0099514F"/>
    <w:rsid w:val="009B6054"/>
    <w:rsid w:val="009C0F6A"/>
    <w:rsid w:val="009F4EB5"/>
    <w:rsid w:val="00A02D7F"/>
    <w:rsid w:val="00A10E2A"/>
    <w:rsid w:val="00A52E1C"/>
    <w:rsid w:val="00A738BA"/>
    <w:rsid w:val="00AA6BC1"/>
    <w:rsid w:val="00AA6ED1"/>
    <w:rsid w:val="00AC7A4B"/>
    <w:rsid w:val="00B10EB3"/>
    <w:rsid w:val="00B127F7"/>
    <w:rsid w:val="00B22A3D"/>
    <w:rsid w:val="00B42D93"/>
    <w:rsid w:val="00B651A1"/>
    <w:rsid w:val="00B65475"/>
    <w:rsid w:val="00B92106"/>
    <w:rsid w:val="00BB1083"/>
    <w:rsid w:val="00C04B62"/>
    <w:rsid w:val="00C13689"/>
    <w:rsid w:val="00C56BFA"/>
    <w:rsid w:val="00C82011"/>
    <w:rsid w:val="00CE4EB2"/>
    <w:rsid w:val="00D1530C"/>
    <w:rsid w:val="00D84AB0"/>
    <w:rsid w:val="00DB7E5B"/>
    <w:rsid w:val="00DC7D30"/>
    <w:rsid w:val="00DF2DC9"/>
    <w:rsid w:val="00E04F69"/>
    <w:rsid w:val="00E63169"/>
    <w:rsid w:val="00E8693D"/>
    <w:rsid w:val="00E86FF5"/>
    <w:rsid w:val="00EC059F"/>
    <w:rsid w:val="00EC32B2"/>
    <w:rsid w:val="00F576B9"/>
    <w:rsid w:val="00FA0C65"/>
    <w:rsid w:val="00FB186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C8347"/>
  <w15:chartTrackingRefBased/>
  <w15:docId w15:val="{3EED5522-9A33-4564-A998-7ED4F0D3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EB2"/>
  </w:style>
  <w:style w:type="paragraph" w:styleId="Heading1">
    <w:name w:val="heading 1"/>
    <w:basedOn w:val="Normal"/>
    <w:next w:val="Normal"/>
    <w:link w:val="Heading1Char"/>
    <w:uiPriority w:val="9"/>
    <w:qFormat/>
    <w:rsid w:val="00CE4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4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4E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4E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4E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4E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4E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4E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4E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EB2"/>
    <w:rPr>
      <w:rFonts w:eastAsiaTheme="majorEastAsia" w:cstheme="majorBidi"/>
      <w:color w:val="272727" w:themeColor="text1" w:themeTint="D8"/>
    </w:rPr>
  </w:style>
  <w:style w:type="paragraph" w:styleId="Title">
    <w:name w:val="Title"/>
    <w:basedOn w:val="Normal"/>
    <w:next w:val="Normal"/>
    <w:link w:val="TitleChar"/>
    <w:uiPriority w:val="10"/>
    <w:qFormat/>
    <w:rsid w:val="00CE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EB2"/>
    <w:pPr>
      <w:spacing w:before="160"/>
      <w:jc w:val="center"/>
    </w:pPr>
    <w:rPr>
      <w:i/>
      <w:iCs/>
      <w:color w:val="404040" w:themeColor="text1" w:themeTint="BF"/>
    </w:rPr>
  </w:style>
  <w:style w:type="character" w:customStyle="1" w:styleId="QuoteChar">
    <w:name w:val="Quote Char"/>
    <w:basedOn w:val="DefaultParagraphFont"/>
    <w:link w:val="Quote"/>
    <w:uiPriority w:val="29"/>
    <w:rsid w:val="00CE4EB2"/>
    <w:rPr>
      <w:i/>
      <w:iCs/>
      <w:color w:val="404040" w:themeColor="text1" w:themeTint="BF"/>
    </w:rPr>
  </w:style>
  <w:style w:type="paragraph" w:styleId="ListParagraph">
    <w:name w:val="List Paragraph"/>
    <w:basedOn w:val="Normal"/>
    <w:uiPriority w:val="34"/>
    <w:qFormat/>
    <w:rsid w:val="00CE4EB2"/>
    <w:pPr>
      <w:ind w:left="720"/>
      <w:contextualSpacing/>
    </w:pPr>
  </w:style>
  <w:style w:type="character" w:styleId="IntenseEmphasis">
    <w:name w:val="Intense Emphasis"/>
    <w:basedOn w:val="DefaultParagraphFont"/>
    <w:uiPriority w:val="21"/>
    <w:qFormat/>
    <w:rsid w:val="00CE4EB2"/>
    <w:rPr>
      <w:i/>
      <w:iCs/>
      <w:color w:val="2F5496" w:themeColor="accent1" w:themeShade="BF"/>
    </w:rPr>
  </w:style>
  <w:style w:type="paragraph" w:styleId="IntenseQuote">
    <w:name w:val="Intense Quote"/>
    <w:basedOn w:val="Normal"/>
    <w:next w:val="Normal"/>
    <w:link w:val="IntenseQuoteChar"/>
    <w:uiPriority w:val="30"/>
    <w:qFormat/>
    <w:rsid w:val="00CE4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4EB2"/>
    <w:rPr>
      <w:i/>
      <w:iCs/>
      <w:color w:val="2F5496" w:themeColor="accent1" w:themeShade="BF"/>
    </w:rPr>
  </w:style>
  <w:style w:type="character" w:styleId="IntenseReference">
    <w:name w:val="Intense Reference"/>
    <w:basedOn w:val="DefaultParagraphFont"/>
    <w:uiPriority w:val="32"/>
    <w:qFormat/>
    <w:rsid w:val="00CE4EB2"/>
    <w:rPr>
      <w:b/>
      <w:bCs/>
      <w:smallCaps/>
      <w:color w:val="2F5496" w:themeColor="accent1" w:themeShade="BF"/>
      <w:spacing w:val="5"/>
    </w:rPr>
  </w:style>
  <w:style w:type="character" w:styleId="Hyperlink">
    <w:name w:val="Hyperlink"/>
    <w:basedOn w:val="DefaultParagraphFont"/>
    <w:uiPriority w:val="99"/>
    <w:unhideWhenUsed/>
    <w:rsid w:val="00FA0C65"/>
    <w:rPr>
      <w:color w:val="0563C1" w:themeColor="hyperlink"/>
      <w:u w:val="single"/>
    </w:rPr>
  </w:style>
  <w:style w:type="character" w:customStyle="1" w:styleId="UnresolvedMention1">
    <w:name w:val="Unresolved Mention1"/>
    <w:basedOn w:val="DefaultParagraphFont"/>
    <w:uiPriority w:val="99"/>
    <w:semiHidden/>
    <w:unhideWhenUsed/>
    <w:rsid w:val="00FA0C65"/>
    <w:rPr>
      <w:color w:val="605E5C"/>
      <w:shd w:val="clear" w:color="auto" w:fill="E1DFDD"/>
    </w:rPr>
  </w:style>
  <w:style w:type="paragraph" w:styleId="Header">
    <w:name w:val="header"/>
    <w:basedOn w:val="Normal"/>
    <w:link w:val="HeaderChar"/>
    <w:uiPriority w:val="99"/>
    <w:unhideWhenUsed/>
    <w:rsid w:val="00A73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BA"/>
  </w:style>
  <w:style w:type="paragraph" w:styleId="Footer">
    <w:name w:val="footer"/>
    <w:basedOn w:val="Normal"/>
    <w:link w:val="FooterChar"/>
    <w:uiPriority w:val="99"/>
    <w:unhideWhenUsed/>
    <w:rsid w:val="00A73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BA"/>
  </w:style>
  <w:style w:type="paragraph" w:styleId="NormalWeb">
    <w:name w:val="Normal (Web)"/>
    <w:basedOn w:val="Normal"/>
    <w:uiPriority w:val="99"/>
    <w:unhideWhenUsed/>
    <w:rsid w:val="00203813"/>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Emphasis">
    <w:name w:val="Emphasis"/>
    <w:basedOn w:val="DefaultParagraphFont"/>
    <w:uiPriority w:val="20"/>
    <w:qFormat/>
    <w:rsid w:val="00203813"/>
    <w:rPr>
      <w:i/>
      <w:iCs/>
    </w:rPr>
  </w:style>
  <w:style w:type="character" w:styleId="Strong">
    <w:name w:val="Strong"/>
    <w:basedOn w:val="DefaultParagraphFont"/>
    <w:uiPriority w:val="22"/>
    <w:qFormat/>
    <w:rsid w:val="009C0F6A"/>
    <w:rPr>
      <w:b/>
      <w:bCs/>
    </w:rPr>
  </w:style>
  <w:style w:type="character" w:customStyle="1" w:styleId="ms-1">
    <w:name w:val="ms-1"/>
    <w:basedOn w:val="DefaultParagraphFont"/>
    <w:rsid w:val="00072838"/>
  </w:style>
  <w:style w:type="character" w:customStyle="1" w:styleId="max-w-15ch">
    <w:name w:val="max-w-[15ch]"/>
    <w:basedOn w:val="DefaultParagraphFont"/>
    <w:rsid w:val="00072838"/>
  </w:style>
  <w:style w:type="character" w:customStyle="1" w:styleId="-me-1">
    <w:name w:val="-me-1"/>
    <w:basedOn w:val="DefaultParagraphFont"/>
    <w:rsid w:val="0007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687928">
      <w:bodyDiv w:val="1"/>
      <w:marLeft w:val="0"/>
      <w:marRight w:val="0"/>
      <w:marTop w:val="0"/>
      <w:marBottom w:val="0"/>
      <w:divBdr>
        <w:top w:val="none" w:sz="0" w:space="0" w:color="auto"/>
        <w:left w:val="none" w:sz="0" w:space="0" w:color="auto"/>
        <w:bottom w:val="none" w:sz="0" w:space="0" w:color="auto"/>
        <w:right w:val="none" w:sz="0" w:space="0" w:color="auto"/>
      </w:divBdr>
      <w:divsChild>
        <w:div w:id="194742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17</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JESLA GALIBDEEN.P</dc:creator>
  <cp:keywords/>
  <dc:description/>
  <cp:lastModifiedBy>Editor GP 005</cp:lastModifiedBy>
  <cp:revision>15</cp:revision>
  <dcterms:created xsi:type="dcterms:W3CDTF">2025-11-17T05:02:00Z</dcterms:created>
  <dcterms:modified xsi:type="dcterms:W3CDTF">2025-11-21T07:54:00Z</dcterms:modified>
</cp:coreProperties>
</file>