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2D3E" w14:textId="77777777" w:rsidR="005134AC" w:rsidRDefault="009A4237">
      <w:pPr>
        <w:pStyle w:val="Title"/>
        <w:spacing w:after="0"/>
        <w:jc w:val="both"/>
        <w:rPr>
          <w:rFonts w:ascii="Arial" w:hAnsi="Arial" w:cs="Arial"/>
          <w:u w:val="single"/>
        </w:rPr>
      </w:pPr>
      <w:r>
        <w:rPr>
          <w:rFonts w:ascii="Arial" w:hAnsi="Arial" w:cs="Arial"/>
          <w:u w:val="single"/>
        </w:rPr>
        <w:t>Original Research Article</w:t>
      </w:r>
    </w:p>
    <w:p w14:paraId="6B0B2D3F" w14:textId="77777777" w:rsidR="005134AC" w:rsidRDefault="005134AC">
      <w:pPr>
        <w:pStyle w:val="Title"/>
        <w:spacing w:after="0"/>
        <w:jc w:val="both"/>
        <w:rPr>
          <w:rFonts w:ascii="Arial" w:hAnsi="Arial" w:cs="Arial"/>
        </w:rPr>
      </w:pPr>
    </w:p>
    <w:p w14:paraId="6B0B2D40" w14:textId="3AB00EA3" w:rsidR="005134AC" w:rsidRDefault="0081219B">
      <w:pPr>
        <w:pStyle w:val="Author"/>
        <w:spacing w:line="240" w:lineRule="auto"/>
        <w:jc w:val="left"/>
        <w:rPr>
          <w:rFonts w:ascii="Arial" w:hAnsi="Arial" w:cs="Arial"/>
          <w:bCs/>
          <w:iCs/>
          <w:kern w:val="28"/>
          <w:sz w:val="36"/>
        </w:rPr>
      </w:pPr>
      <w:r>
        <w:rPr>
          <w:rFonts w:ascii="Arial" w:hAnsi="Arial" w:cs="Arial"/>
          <w:bCs/>
          <w:iCs/>
          <w:kern w:val="28"/>
          <w:sz w:val="36"/>
        </w:rPr>
        <w:t xml:space="preserve">DEBT, GROWTH </w:t>
      </w:r>
      <w:r w:rsidR="00730E8F">
        <w:rPr>
          <w:rFonts w:ascii="Arial" w:hAnsi="Arial" w:cs="Arial"/>
          <w:bCs/>
          <w:iCs/>
          <w:kern w:val="28"/>
          <w:sz w:val="36"/>
        </w:rPr>
        <w:t xml:space="preserve">AND </w:t>
      </w:r>
      <w:r w:rsidR="009A4237">
        <w:rPr>
          <w:rFonts w:ascii="Arial" w:hAnsi="Arial" w:cs="Arial"/>
          <w:bCs/>
          <w:iCs/>
          <w:kern w:val="28"/>
          <w:sz w:val="36"/>
        </w:rPr>
        <w:t>THE DOMAR GAP: IS KERALA’S PUBLIC DEBT SUSTAINABLE?</w:t>
      </w:r>
    </w:p>
    <w:p w14:paraId="6B0B2D41" w14:textId="77777777" w:rsidR="005134AC" w:rsidRDefault="005134AC">
      <w:pPr>
        <w:pStyle w:val="Author"/>
        <w:spacing w:line="240" w:lineRule="auto"/>
        <w:jc w:val="left"/>
        <w:rPr>
          <w:rFonts w:ascii="Arial" w:hAnsi="Arial" w:cs="Arial"/>
          <w:sz w:val="36"/>
        </w:rPr>
      </w:pPr>
    </w:p>
    <w:p w14:paraId="6B0B2D42" w14:textId="77777777" w:rsidR="005134AC" w:rsidRDefault="005134AC">
      <w:pPr>
        <w:pStyle w:val="Affiliation"/>
        <w:spacing w:after="0" w:line="240" w:lineRule="auto"/>
        <w:rPr>
          <w:rFonts w:ascii="Arial" w:hAnsi="Arial" w:cs="Arial"/>
          <w:i/>
        </w:rPr>
      </w:pPr>
    </w:p>
    <w:p w14:paraId="6B0B2D43" w14:textId="77777777" w:rsidR="005134AC" w:rsidRDefault="005134AC">
      <w:pPr>
        <w:pStyle w:val="Affiliation"/>
        <w:spacing w:after="0" w:line="240" w:lineRule="auto"/>
        <w:jc w:val="both"/>
        <w:rPr>
          <w:rFonts w:ascii="Arial" w:hAnsi="Arial" w:cs="Arial"/>
        </w:rPr>
      </w:pPr>
    </w:p>
    <w:p w14:paraId="6B0B2D44" w14:textId="77777777" w:rsidR="005134AC" w:rsidRDefault="009A4237">
      <w:pPr>
        <w:pStyle w:val="Copyright"/>
        <w:spacing w:after="0" w:line="240" w:lineRule="auto"/>
        <w:jc w:val="both"/>
        <w:rPr>
          <w:rFonts w:ascii="Arial" w:hAnsi="Arial" w:cs="Arial"/>
        </w:rPr>
        <w:sectPr w:rsidR="005134A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B0B2F35" wp14:editId="6B0B2F36">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0D5A8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B0B2D45" w14:textId="77777777" w:rsidR="005134AC" w:rsidRDefault="009A4237">
      <w:pPr>
        <w:pStyle w:val="AbstHead"/>
        <w:spacing w:after="0"/>
        <w:jc w:val="center"/>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134AC" w14:paraId="6B0B2D53" w14:textId="77777777">
        <w:tc>
          <w:tcPr>
            <w:tcW w:w="9576" w:type="dxa"/>
            <w:shd w:val="clear" w:color="auto" w:fill="F2F2F2"/>
          </w:tcPr>
          <w:p w14:paraId="6B0B2D46"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Aim</w:t>
            </w:r>
          </w:p>
          <w:p w14:paraId="6B0B2D47"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The study aims to assess the sustainability of Kerala’s public debt during the period 2019–20 to 2023–24 by examining key fiscal indicators and applying the </w:t>
            </w:r>
            <w:proofErr w:type="spellStart"/>
            <w:r>
              <w:rPr>
                <w:rFonts w:ascii="Arial" w:eastAsia="Calibri" w:hAnsi="Arial" w:cs="Arial"/>
                <w:szCs w:val="22"/>
              </w:rPr>
              <w:t>Domar</w:t>
            </w:r>
            <w:proofErr w:type="spellEnd"/>
            <w:r>
              <w:rPr>
                <w:rFonts w:ascii="Arial" w:eastAsia="Calibri" w:hAnsi="Arial" w:cs="Arial"/>
                <w:szCs w:val="22"/>
              </w:rPr>
              <w:t xml:space="preserve"> framework to understand whether the state’s debt trajectory aligns with sustainable fiscal practices.</w:t>
            </w:r>
          </w:p>
          <w:p w14:paraId="6B0B2D48"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Study Design</w:t>
            </w:r>
          </w:p>
          <w:p w14:paraId="6B0B2D49"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This is a descriptive and analytical study that </w:t>
            </w:r>
            <w:proofErr w:type="spellStart"/>
            <w:r>
              <w:rPr>
                <w:rFonts w:ascii="Arial" w:eastAsia="Calibri" w:hAnsi="Arial" w:cs="Arial"/>
                <w:szCs w:val="22"/>
              </w:rPr>
              <w:t>utilises</w:t>
            </w:r>
            <w:proofErr w:type="spellEnd"/>
            <w:r>
              <w:rPr>
                <w:rFonts w:ascii="Arial" w:eastAsia="Calibri" w:hAnsi="Arial" w:cs="Arial"/>
                <w:szCs w:val="22"/>
              </w:rPr>
              <w:t xml:space="preserve"> secondary fiscal data to evaluate trends in Kerala’s debt indicators and interpret their sustainability in relation to the state's economic performance.</w:t>
            </w:r>
          </w:p>
          <w:p w14:paraId="6B0B2D4A"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Place and Duration of Study</w:t>
            </w:r>
          </w:p>
          <w:p w14:paraId="6B0B2D4B"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The study focuses on the state of </w:t>
            </w:r>
            <w:r>
              <w:rPr>
                <w:rFonts w:ascii="Arial" w:eastAsia="Calibri" w:hAnsi="Arial" w:cs="Arial"/>
                <w:b/>
                <w:bCs/>
                <w:szCs w:val="22"/>
              </w:rPr>
              <w:t>Kerala, India</w:t>
            </w:r>
            <w:r>
              <w:rPr>
                <w:rFonts w:ascii="Arial" w:eastAsia="Calibri" w:hAnsi="Arial" w:cs="Arial"/>
                <w:szCs w:val="22"/>
              </w:rPr>
              <w:t xml:space="preserve">, covering the period </w:t>
            </w:r>
            <w:r>
              <w:rPr>
                <w:rFonts w:ascii="Arial" w:eastAsia="Calibri" w:hAnsi="Arial" w:cs="Arial"/>
                <w:b/>
                <w:bCs/>
                <w:szCs w:val="22"/>
              </w:rPr>
              <w:t>2019–20 to 2023–24</w:t>
            </w:r>
            <w:r>
              <w:rPr>
                <w:rFonts w:ascii="Arial" w:eastAsia="Calibri" w:hAnsi="Arial" w:cs="Arial"/>
                <w:szCs w:val="22"/>
              </w:rPr>
              <w:t>, including the phase before, during, and after the COVID-19 pandemic.</w:t>
            </w:r>
          </w:p>
          <w:p w14:paraId="6B0B2D4C"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Methodology</w:t>
            </w:r>
          </w:p>
          <w:p w14:paraId="6B0B2D4D"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The analysis incorporates fiscal indicators such as overall public liabilities, per capita debt burden, effective interest rate on debt, inflation rate, and real Gross State Domestic Product (GSDP) growth rate. These variables were used to compute the </w:t>
            </w:r>
            <w:proofErr w:type="spellStart"/>
            <w:r>
              <w:rPr>
                <w:rFonts w:ascii="Arial" w:eastAsia="Calibri" w:hAnsi="Arial" w:cs="Arial"/>
                <w:b/>
                <w:bCs/>
                <w:szCs w:val="22"/>
              </w:rPr>
              <w:t>Domar</w:t>
            </w:r>
            <w:proofErr w:type="spellEnd"/>
            <w:r>
              <w:rPr>
                <w:rFonts w:ascii="Arial" w:eastAsia="Calibri" w:hAnsi="Arial" w:cs="Arial"/>
                <w:b/>
                <w:bCs/>
                <w:szCs w:val="22"/>
              </w:rPr>
              <w:t xml:space="preserve"> Gap</w:t>
            </w:r>
            <w:r>
              <w:rPr>
                <w:rFonts w:ascii="Arial" w:eastAsia="Calibri" w:hAnsi="Arial" w:cs="Arial"/>
                <w:szCs w:val="22"/>
              </w:rPr>
              <w:t xml:space="preserve">, defined as the difference between the real cost of debt and real economic growth. The </w:t>
            </w:r>
            <w:proofErr w:type="spellStart"/>
            <w:r>
              <w:rPr>
                <w:rFonts w:ascii="Arial" w:eastAsia="Calibri" w:hAnsi="Arial" w:cs="Arial"/>
                <w:szCs w:val="22"/>
              </w:rPr>
              <w:t>Domar</w:t>
            </w:r>
            <w:proofErr w:type="spellEnd"/>
            <w:r>
              <w:rPr>
                <w:rFonts w:ascii="Arial" w:eastAsia="Calibri" w:hAnsi="Arial" w:cs="Arial"/>
                <w:szCs w:val="22"/>
              </w:rPr>
              <w:t xml:space="preserve"> framework was applied to determine whether Kerala’s debt stock tends toward sustainability, focusing on whether the growth rate consistently exceeds the real interest burden. The state’s performance was also compared with the all-state average to </w:t>
            </w:r>
            <w:proofErr w:type="spellStart"/>
            <w:r>
              <w:rPr>
                <w:rFonts w:ascii="Arial" w:eastAsia="Calibri" w:hAnsi="Arial" w:cs="Arial"/>
                <w:szCs w:val="22"/>
              </w:rPr>
              <w:t>contextualise</w:t>
            </w:r>
            <w:proofErr w:type="spellEnd"/>
            <w:r>
              <w:rPr>
                <w:rFonts w:ascii="Arial" w:eastAsia="Calibri" w:hAnsi="Arial" w:cs="Arial"/>
                <w:szCs w:val="22"/>
              </w:rPr>
              <w:t xml:space="preserve"> Kerala’s fiscal position.</w:t>
            </w:r>
          </w:p>
          <w:p w14:paraId="6B0B2D4E"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Results</w:t>
            </w:r>
          </w:p>
          <w:p w14:paraId="6B0B2D4F"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The findings indicate a significant rise in Kerala’s public debt and per capita liabilities, especially during the pandemic years, resulting in increased fiscal pressure. The </w:t>
            </w:r>
            <w:proofErr w:type="spellStart"/>
            <w:r>
              <w:rPr>
                <w:rFonts w:ascii="Arial" w:eastAsia="Calibri" w:hAnsi="Arial" w:cs="Arial"/>
                <w:szCs w:val="22"/>
              </w:rPr>
              <w:t>Domar</w:t>
            </w:r>
            <w:proofErr w:type="spellEnd"/>
            <w:r>
              <w:rPr>
                <w:rFonts w:ascii="Arial" w:eastAsia="Calibri" w:hAnsi="Arial" w:cs="Arial"/>
                <w:szCs w:val="22"/>
              </w:rPr>
              <w:t xml:space="preserve"> analysis shows </w:t>
            </w:r>
            <w:r>
              <w:rPr>
                <w:rFonts w:ascii="Arial" w:eastAsia="Calibri" w:hAnsi="Arial" w:cs="Arial"/>
                <w:b/>
                <w:bCs/>
                <w:szCs w:val="22"/>
              </w:rPr>
              <w:t>unsustainable debt dynamics in 2019–20 and 2020–21</w:t>
            </w:r>
            <w:r>
              <w:rPr>
                <w:rFonts w:ascii="Arial" w:eastAsia="Calibri" w:hAnsi="Arial" w:cs="Arial"/>
                <w:szCs w:val="22"/>
              </w:rPr>
              <w:t xml:space="preserve">, when real economic growth fell below the real interest rate on debt. However, a </w:t>
            </w:r>
            <w:r>
              <w:rPr>
                <w:rFonts w:ascii="Arial" w:eastAsia="Calibri" w:hAnsi="Arial" w:cs="Arial"/>
                <w:b/>
                <w:bCs/>
                <w:szCs w:val="22"/>
              </w:rPr>
              <w:t>positive turnaround occurred from 2021–22 onward</w:t>
            </w:r>
            <w:r>
              <w:rPr>
                <w:rFonts w:ascii="Arial" w:eastAsia="Calibri" w:hAnsi="Arial" w:cs="Arial"/>
                <w:szCs w:val="22"/>
              </w:rPr>
              <w:t xml:space="preserve">, as economic growth rebounded and the </w:t>
            </w:r>
            <w:proofErr w:type="spellStart"/>
            <w:r>
              <w:rPr>
                <w:rFonts w:ascii="Arial" w:eastAsia="Calibri" w:hAnsi="Arial" w:cs="Arial"/>
                <w:szCs w:val="22"/>
              </w:rPr>
              <w:t>Domar</w:t>
            </w:r>
            <w:proofErr w:type="spellEnd"/>
            <w:r>
              <w:rPr>
                <w:rFonts w:ascii="Arial" w:eastAsia="Calibri" w:hAnsi="Arial" w:cs="Arial"/>
                <w:szCs w:val="22"/>
              </w:rPr>
              <w:t xml:space="preserve"> Gap shifted into </w:t>
            </w:r>
            <w:proofErr w:type="spellStart"/>
            <w:r>
              <w:rPr>
                <w:rFonts w:ascii="Arial" w:eastAsia="Calibri" w:hAnsi="Arial" w:cs="Arial"/>
                <w:szCs w:val="22"/>
              </w:rPr>
              <w:t>favourable</w:t>
            </w:r>
            <w:proofErr w:type="spellEnd"/>
            <w:r>
              <w:rPr>
                <w:rFonts w:ascii="Arial" w:eastAsia="Calibri" w:hAnsi="Arial" w:cs="Arial"/>
                <w:szCs w:val="22"/>
              </w:rPr>
              <w:t xml:space="preserve"> territory. Despite this improvement, Kerala’s debt indicators remain weaker than the all-state average, highlighting the need for ongoing fiscal discipline.</w:t>
            </w:r>
          </w:p>
          <w:p w14:paraId="6B0B2D50" w14:textId="77777777" w:rsidR="005134AC" w:rsidRDefault="009A4237">
            <w:pPr>
              <w:pStyle w:val="Body"/>
              <w:spacing w:after="0"/>
              <w:rPr>
                <w:rFonts w:ascii="Arial" w:eastAsia="Calibri" w:hAnsi="Arial" w:cs="Arial"/>
                <w:b/>
                <w:bCs/>
                <w:szCs w:val="22"/>
              </w:rPr>
            </w:pPr>
            <w:r>
              <w:rPr>
                <w:rFonts w:ascii="Arial" w:eastAsia="Calibri" w:hAnsi="Arial" w:cs="Arial"/>
                <w:b/>
                <w:bCs/>
                <w:szCs w:val="22"/>
              </w:rPr>
              <w:t>Conclusion</w:t>
            </w:r>
          </w:p>
          <w:p w14:paraId="6B0B2D51" w14:textId="77777777" w:rsidR="005134AC" w:rsidRDefault="009A4237">
            <w:pPr>
              <w:pStyle w:val="Body"/>
              <w:spacing w:after="0"/>
              <w:rPr>
                <w:rFonts w:ascii="Arial" w:eastAsia="Calibri" w:hAnsi="Arial" w:cs="Arial"/>
                <w:szCs w:val="22"/>
              </w:rPr>
            </w:pPr>
            <w:r>
              <w:rPr>
                <w:rFonts w:ascii="Arial" w:eastAsia="Calibri" w:hAnsi="Arial" w:cs="Arial"/>
                <w:szCs w:val="22"/>
              </w:rPr>
              <w:t xml:space="preserve">The study concludes that while Kerala’s debt position has improved in recent years, long-term sustainability depends on maintaining economic growth consistently above the real cost of debt and ensuring prudent borrowing practices. Balancing developmental needs with fiscal consolidation remains essential. Consistent with the theoretical insights of </w:t>
            </w:r>
            <w:proofErr w:type="spellStart"/>
            <w:r>
              <w:rPr>
                <w:rFonts w:ascii="Arial" w:eastAsia="Calibri" w:hAnsi="Arial" w:cs="Arial"/>
                <w:szCs w:val="22"/>
              </w:rPr>
              <w:t>Domar</w:t>
            </w:r>
            <w:proofErr w:type="spellEnd"/>
            <w:r>
              <w:rPr>
                <w:rFonts w:ascii="Arial" w:eastAsia="Calibri" w:hAnsi="Arial" w:cs="Arial"/>
                <w:szCs w:val="22"/>
              </w:rPr>
              <w:t xml:space="preserve"> (1944) and Yoshino and Miyamoto (2020), sound debt sustainability for Kerala requires growth-led debt management and disciplined fiscal planning.</w:t>
            </w:r>
          </w:p>
          <w:p w14:paraId="6B0B2D52" w14:textId="77777777" w:rsidR="005134AC" w:rsidRDefault="005134AC">
            <w:pPr>
              <w:pStyle w:val="Body"/>
              <w:spacing w:after="0"/>
              <w:rPr>
                <w:rFonts w:ascii="Arial" w:eastAsia="Calibri" w:hAnsi="Arial" w:cs="Arial"/>
                <w:szCs w:val="22"/>
              </w:rPr>
            </w:pPr>
          </w:p>
        </w:tc>
      </w:tr>
    </w:tbl>
    <w:p w14:paraId="6B0B2D54" w14:textId="74EC2978" w:rsidR="005134AC" w:rsidRDefault="009A4237">
      <w:pPr>
        <w:pStyle w:val="Body"/>
        <w:rPr>
          <w:rFonts w:ascii="Arial" w:hAnsi="Arial" w:cs="Arial"/>
          <w:i/>
        </w:rPr>
      </w:pPr>
      <w:r>
        <w:rPr>
          <w:rFonts w:ascii="Arial" w:hAnsi="Arial" w:cs="Arial"/>
          <w:i/>
        </w:rPr>
        <w:t xml:space="preserve">Keywords: Public Debt Sustainability, </w:t>
      </w:r>
      <w:proofErr w:type="spellStart"/>
      <w:r>
        <w:rPr>
          <w:rFonts w:ascii="Arial" w:hAnsi="Arial" w:cs="Arial"/>
          <w:i/>
        </w:rPr>
        <w:t>Domar</w:t>
      </w:r>
      <w:proofErr w:type="spellEnd"/>
      <w:r>
        <w:rPr>
          <w:rFonts w:ascii="Arial" w:hAnsi="Arial" w:cs="Arial"/>
          <w:i/>
        </w:rPr>
        <w:t xml:space="preserve"> Gap, Fiscal Management</w:t>
      </w:r>
      <w:r w:rsidR="00FC3FFE">
        <w:rPr>
          <w:rFonts w:ascii="Arial" w:hAnsi="Arial" w:cs="Arial"/>
          <w:i/>
        </w:rPr>
        <w:t>,</w:t>
      </w:r>
      <w:r>
        <w:rPr>
          <w:rFonts w:ascii="Arial" w:hAnsi="Arial" w:cs="Arial"/>
          <w:i/>
        </w:rPr>
        <w:t xml:space="preserve"> Kerala Economy</w:t>
      </w:r>
    </w:p>
    <w:p w14:paraId="6B0B2D55" w14:textId="77777777" w:rsidR="005134AC" w:rsidRDefault="005134AC">
      <w:pPr>
        <w:pStyle w:val="Body"/>
        <w:spacing w:after="0"/>
        <w:rPr>
          <w:rFonts w:ascii="Arial" w:hAnsi="Arial" w:cs="Arial"/>
          <w:i/>
        </w:rPr>
      </w:pPr>
    </w:p>
    <w:p w14:paraId="6B0B2D56" w14:textId="77777777" w:rsidR="005134AC" w:rsidRDefault="009A4237">
      <w:pPr>
        <w:pStyle w:val="AbstHead"/>
        <w:spacing w:after="0"/>
        <w:jc w:val="both"/>
        <w:rPr>
          <w:rFonts w:ascii="Arial" w:hAnsi="Arial" w:cs="Arial"/>
        </w:rPr>
      </w:pPr>
      <w:r>
        <w:rPr>
          <w:rFonts w:ascii="Arial" w:hAnsi="Arial" w:cs="Arial"/>
        </w:rPr>
        <w:lastRenderedPageBreak/>
        <w:t xml:space="preserve">1. INTRODUCTION </w:t>
      </w:r>
    </w:p>
    <w:p w14:paraId="6B0B2D57" w14:textId="6AF16ED2" w:rsidR="005134AC" w:rsidRDefault="009A4237">
      <w:pPr>
        <w:pStyle w:val="Body"/>
        <w:spacing w:after="0"/>
        <w:rPr>
          <w:rFonts w:ascii="Arial" w:hAnsi="Arial" w:cs="Arial"/>
        </w:rPr>
      </w:pPr>
      <w:r>
        <w:rPr>
          <w:rFonts w:ascii="Arial" w:hAnsi="Arial" w:cs="Arial"/>
        </w:rPr>
        <w:t xml:space="preserve">Debt sustainability is a key topic in public finance, deeply rooted in the work of </w:t>
      </w:r>
      <w:proofErr w:type="spellStart"/>
      <w:r>
        <w:rPr>
          <w:rFonts w:ascii="Arial" w:hAnsi="Arial" w:cs="Arial"/>
        </w:rPr>
        <w:t>Evsey</w:t>
      </w:r>
      <w:proofErr w:type="spellEnd"/>
      <w:r>
        <w:rPr>
          <w:rFonts w:ascii="Arial" w:hAnsi="Arial" w:cs="Arial"/>
        </w:rPr>
        <w:t xml:space="preserve"> </w:t>
      </w:r>
      <w:proofErr w:type="spellStart"/>
      <w:r>
        <w:rPr>
          <w:rFonts w:ascii="Arial" w:hAnsi="Arial" w:cs="Arial"/>
        </w:rPr>
        <w:t>Domar</w:t>
      </w:r>
      <w:proofErr w:type="spellEnd"/>
      <w:r>
        <w:rPr>
          <w:rFonts w:ascii="Arial" w:hAnsi="Arial" w:cs="Arial"/>
        </w:rPr>
        <w:t xml:space="preserve"> and later economists who examined how governments manage borrowings over time. </w:t>
      </w:r>
      <w:proofErr w:type="spellStart"/>
      <w:r>
        <w:rPr>
          <w:rFonts w:ascii="Arial" w:hAnsi="Arial" w:cs="Arial"/>
        </w:rPr>
        <w:t>Domar’s</w:t>
      </w:r>
      <w:proofErr w:type="spellEnd"/>
      <w:r>
        <w:rPr>
          <w:rFonts w:ascii="Arial" w:hAnsi="Arial" w:cs="Arial"/>
        </w:rPr>
        <w:t xml:space="preserve"> central concern was whether persistent government deficits would inevitably lead to an unmanageable debt burden. He established that fiscal health does not solely depend on reducing deficits but fundamentally on the relationship between how fast an economy grows and the interest rate the government must pay on its debt. If economic growth consistently keeps ahead of debt costs, the government’s debt-to-GDP ratio will eventually </w:t>
      </w:r>
      <w:proofErr w:type="spellStart"/>
      <w:r>
        <w:rPr>
          <w:rFonts w:ascii="Arial" w:hAnsi="Arial" w:cs="Arial"/>
        </w:rPr>
        <w:t>stabilise</w:t>
      </w:r>
      <w:proofErr w:type="spellEnd"/>
      <w:r>
        <w:rPr>
          <w:rFonts w:ascii="Arial" w:hAnsi="Arial" w:cs="Arial"/>
        </w:rPr>
        <w:t xml:space="preserve">, even when small deficits continue. This insight shifted attention from short-term fiscal balances to the long-term interplay between growth, interest rates, and fiscal </w:t>
      </w:r>
      <w:proofErr w:type="spellStart"/>
      <w:r>
        <w:rPr>
          <w:rFonts w:ascii="Arial" w:hAnsi="Arial" w:cs="Arial"/>
        </w:rPr>
        <w:t>discipline.</w:t>
      </w:r>
      <w:r w:rsidR="003F1B3E" w:rsidRPr="005D5424">
        <w:rPr>
          <w:rFonts w:ascii="Arial" w:hAnsi="Arial" w:cs="Arial"/>
          <w:highlight w:val="yellow"/>
        </w:rPr>
        <w:t>Over</w:t>
      </w:r>
      <w:proofErr w:type="spellEnd"/>
      <w:r w:rsidR="003F1B3E" w:rsidRPr="005D5424">
        <w:rPr>
          <w:rFonts w:ascii="Arial" w:hAnsi="Arial" w:cs="Arial"/>
          <w:highlight w:val="yellow"/>
        </w:rPr>
        <w:t xml:space="preserve"> time, debt sustainability theory has expanded to include the ways that budgetary rules, global economic shocks, and government structures can influence outcomes.</w:t>
      </w:r>
    </w:p>
    <w:p w14:paraId="6B0B2D58" w14:textId="77777777" w:rsidR="005134AC" w:rsidRDefault="005134AC">
      <w:pPr>
        <w:pStyle w:val="Body"/>
        <w:spacing w:after="0"/>
        <w:rPr>
          <w:rFonts w:ascii="Arial" w:hAnsi="Arial" w:cs="Arial"/>
        </w:rPr>
      </w:pPr>
    </w:p>
    <w:p w14:paraId="6B0B2D59" w14:textId="235F036E" w:rsidR="005134AC" w:rsidRDefault="009A4237">
      <w:pPr>
        <w:pStyle w:val="Body"/>
        <w:spacing w:after="0"/>
        <w:rPr>
          <w:rFonts w:ascii="Arial" w:hAnsi="Arial" w:cs="Arial"/>
        </w:rPr>
      </w:pPr>
      <w:r>
        <w:rPr>
          <w:rFonts w:ascii="Arial" w:hAnsi="Arial" w:cs="Arial"/>
        </w:rPr>
        <w:t xml:space="preserve">Modern literature also </w:t>
      </w:r>
      <w:proofErr w:type="spellStart"/>
      <w:r>
        <w:rPr>
          <w:rFonts w:ascii="Arial" w:hAnsi="Arial" w:cs="Arial"/>
        </w:rPr>
        <w:t>emphasises</w:t>
      </w:r>
      <w:proofErr w:type="spellEnd"/>
      <w:r>
        <w:rPr>
          <w:rFonts w:ascii="Arial" w:hAnsi="Arial" w:cs="Arial"/>
        </w:rPr>
        <w:t xml:space="preserve"> the unique challenges for regional governments within federal systems—like Kerala—since their borrowing powers and repayment capacity are shaped by their revenue sources, expenditure mandates, and intergovernmental fiscal transfers from the central government. Kerala’s fiscal framework, which includes a heavy commitment to social sector spending and limited scope for direct tax </w:t>
      </w:r>
      <w:proofErr w:type="spellStart"/>
      <w:r>
        <w:rPr>
          <w:rFonts w:ascii="Arial" w:hAnsi="Arial" w:cs="Arial"/>
        </w:rPr>
        <w:t>mobilisation</w:t>
      </w:r>
      <w:proofErr w:type="spellEnd"/>
      <w:r>
        <w:rPr>
          <w:rFonts w:ascii="Arial" w:hAnsi="Arial" w:cs="Arial"/>
        </w:rPr>
        <w:t>, means that conventional benchmarks for debt sustainability often require adaptation to the local context. Scholars stress that a careful analysis of sustainability for a state like Kerala must look beyond headline debt numbers to factors such as primary deficits, demographic pressures, and the capacity to absorb external shocks without endangering development (</w:t>
      </w:r>
      <w:proofErr w:type="spellStart"/>
      <w:r>
        <w:rPr>
          <w:rFonts w:ascii="Arial" w:hAnsi="Arial" w:cs="Arial"/>
        </w:rPr>
        <w:t>Renjith</w:t>
      </w:r>
      <w:proofErr w:type="spellEnd"/>
      <w:r>
        <w:rPr>
          <w:rFonts w:ascii="Arial" w:hAnsi="Arial" w:cs="Arial"/>
        </w:rPr>
        <w:t xml:space="preserve"> &amp; Joseph, 2024; Nair, S. R., &amp; </w:t>
      </w:r>
      <w:proofErr w:type="spellStart"/>
      <w:r>
        <w:rPr>
          <w:rFonts w:ascii="Arial" w:hAnsi="Arial" w:cs="Arial"/>
        </w:rPr>
        <w:t>Sensarma</w:t>
      </w:r>
      <w:proofErr w:type="spellEnd"/>
      <w:r>
        <w:rPr>
          <w:rFonts w:ascii="Arial" w:hAnsi="Arial" w:cs="Arial"/>
        </w:rPr>
        <w:t xml:space="preserve">, R., 2017; Kurian &amp; </w:t>
      </w:r>
      <w:proofErr w:type="spellStart"/>
      <w:r>
        <w:rPr>
          <w:rFonts w:ascii="Arial" w:hAnsi="Arial" w:cs="Arial"/>
        </w:rPr>
        <w:t>Muraleedharan</w:t>
      </w:r>
      <w:proofErr w:type="spellEnd"/>
      <w:r>
        <w:rPr>
          <w:rFonts w:ascii="Arial" w:hAnsi="Arial" w:cs="Arial"/>
        </w:rPr>
        <w:t>, 2024).</w:t>
      </w:r>
    </w:p>
    <w:p w14:paraId="6B0B2D5A" w14:textId="77777777" w:rsidR="005134AC" w:rsidRDefault="005134AC">
      <w:pPr>
        <w:pStyle w:val="Body"/>
        <w:spacing w:after="0"/>
        <w:rPr>
          <w:rFonts w:ascii="Arial" w:hAnsi="Arial" w:cs="Arial"/>
        </w:rPr>
      </w:pPr>
    </w:p>
    <w:p w14:paraId="6B0B2D5B" w14:textId="77777777" w:rsidR="005134AC" w:rsidRDefault="009A4237">
      <w:pPr>
        <w:jc w:val="both"/>
        <w:rPr>
          <w:rFonts w:ascii="Arial" w:hAnsi="Arial" w:cs="Arial"/>
          <w:highlight w:val="yellow"/>
        </w:rPr>
      </w:pPr>
      <w:r>
        <w:rPr>
          <w:rFonts w:ascii="Arial" w:hAnsi="Arial" w:cs="Arial"/>
          <w:highlight w:val="yellow"/>
        </w:rPr>
        <w:t xml:space="preserve">An empirical study by Bal et al. examines the sustainability of public debt across Indian states, </w:t>
      </w:r>
      <w:proofErr w:type="spellStart"/>
      <w:r>
        <w:rPr>
          <w:rFonts w:ascii="Arial" w:hAnsi="Arial" w:cs="Arial"/>
          <w:highlight w:val="yellow"/>
        </w:rPr>
        <w:t>categorised</w:t>
      </w:r>
      <w:proofErr w:type="spellEnd"/>
      <w:r>
        <w:rPr>
          <w:rFonts w:ascii="Arial" w:hAnsi="Arial" w:cs="Arial"/>
          <w:highlight w:val="yellow"/>
        </w:rPr>
        <w:t xml:space="preserve"> into the southeast, northwest, and northeast regions, using data from 2011 to 2020. The analysis employs both the </w:t>
      </w:r>
      <w:proofErr w:type="spellStart"/>
      <w:r>
        <w:rPr>
          <w:rFonts w:ascii="Arial" w:hAnsi="Arial" w:cs="Arial"/>
          <w:highlight w:val="yellow"/>
        </w:rPr>
        <w:t>Domar</w:t>
      </w:r>
      <w:proofErr w:type="spellEnd"/>
      <w:r>
        <w:rPr>
          <w:rFonts w:ascii="Arial" w:hAnsi="Arial" w:cs="Arial"/>
          <w:highlight w:val="yellow"/>
        </w:rPr>
        <w:t xml:space="preserve"> debt sustainability condition and a Panel Vector Autoregression (PVAR) framework. Although the </w:t>
      </w:r>
      <w:proofErr w:type="spellStart"/>
      <w:r>
        <w:rPr>
          <w:rFonts w:ascii="Arial" w:hAnsi="Arial" w:cs="Arial"/>
          <w:highlight w:val="yellow"/>
        </w:rPr>
        <w:t>Domar</w:t>
      </w:r>
      <w:proofErr w:type="spellEnd"/>
      <w:r>
        <w:rPr>
          <w:rFonts w:ascii="Arial" w:hAnsi="Arial" w:cs="Arial"/>
          <w:highlight w:val="yellow"/>
        </w:rPr>
        <w:t xml:space="preserve"> condition indicates sustainable debt levels in all regions, the authors note that this criterion is narrow and may not fully capture fiscal risks. In contrast, the PVAR results reveal that debt is sustainable only in the southeast region, while the northwest and northeast show signs of unsustainable debt accumulation. The article concludes by </w:t>
      </w:r>
      <w:proofErr w:type="spellStart"/>
      <w:r>
        <w:rPr>
          <w:rFonts w:ascii="Arial" w:hAnsi="Arial" w:cs="Arial"/>
          <w:highlight w:val="yellow"/>
        </w:rPr>
        <w:t>emphasising</w:t>
      </w:r>
      <w:proofErr w:type="spellEnd"/>
      <w:r>
        <w:rPr>
          <w:rFonts w:ascii="Arial" w:hAnsi="Arial" w:cs="Arial"/>
          <w:highlight w:val="yellow"/>
        </w:rPr>
        <w:t xml:space="preserve"> the need for stronger fiscal discipline, widening the revenue base, curbing non-essential expenditure, and </w:t>
      </w:r>
      <w:proofErr w:type="spellStart"/>
      <w:r>
        <w:rPr>
          <w:rFonts w:ascii="Arial" w:hAnsi="Arial" w:cs="Arial"/>
          <w:highlight w:val="yellow"/>
        </w:rPr>
        <w:t>prioritising</w:t>
      </w:r>
      <w:proofErr w:type="spellEnd"/>
      <w:r>
        <w:rPr>
          <w:rFonts w:ascii="Arial" w:hAnsi="Arial" w:cs="Arial"/>
          <w:highlight w:val="yellow"/>
        </w:rPr>
        <w:t xml:space="preserve"> capital over revenue spending. It recommends that policymakers adopt effective debt management strategies and long-term fiscal corrections to avoid imposing a debt burden on future generations </w:t>
      </w:r>
      <w:r>
        <w:rPr>
          <w:rFonts w:ascii="Arial" w:hAnsi="Arial"/>
          <w:highlight w:val="yellow"/>
        </w:rPr>
        <w:t xml:space="preserve">(Bal, </w:t>
      </w:r>
      <w:proofErr w:type="spellStart"/>
      <w:r>
        <w:rPr>
          <w:rFonts w:ascii="Arial" w:hAnsi="Arial"/>
          <w:highlight w:val="yellow"/>
        </w:rPr>
        <w:t>Sucharita</w:t>
      </w:r>
      <w:proofErr w:type="spellEnd"/>
      <w:r>
        <w:rPr>
          <w:rFonts w:ascii="Arial" w:hAnsi="Arial"/>
          <w:highlight w:val="yellow"/>
        </w:rPr>
        <w:t xml:space="preserve">, </w:t>
      </w:r>
      <w:proofErr w:type="spellStart"/>
      <w:r>
        <w:rPr>
          <w:rFonts w:ascii="Arial" w:hAnsi="Arial"/>
          <w:highlight w:val="yellow"/>
        </w:rPr>
        <w:t>Sethi</w:t>
      </w:r>
      <w:proofErr w:type="spellEnd"/>
      <w:r>
        <w:rPr>
          <w:rFonts w:ascii="Arial" w:hAnsi="Arial"/>
          <w:highlight w:val="yellow"/>
        </w:rPr>
        <w:t xml:space="preserve">, &amp; </w:t>
      </w:r>
      <w:proofErr w:type="spellStart"/>
      <w:r>
        <w:rPr>
          <w:rFonts w:ascii="Arial" w:hAnsi="Arial"/>
          <w:highlight w:val="yellow"/>
        </w:rPr>
        <w:t>Mohanty</w:t>
      </w:r>
      <w:proofErr w:type="spellEnd"/>
      <w:r>
        <w:rPr>
          <w:rFonts w:ascii="Arial" w:hAnsi="Arial"/>
          <w:highlight w:val="yellow"/>
        </w:rPr>
        <w:t>, 2025</w:t>
      </w:r>
      <w:proofErr w:type="gramStart"/>
      <w:r>
        <w:rPr>
          <w:rFonts w:ascii="Arial" w:hAnsi="Arial"/>
          <w:highlight w:val="yellow"/>
        </w:rPr>
        <w:t>)</w:t>
      </w:r>
      <w:r>
        <w:rPr>
          <w:rFonts w:ascii="Arial" w:hAnsi="Arial" w:cs="Arial"/>
          <w:highlight w:val="yellow"/>
        </w:rPr>
        <w:t xml:space="preserve"> .</w:t>
      </w:r>
      <w:proofErr w:type="gramEnd"/>
      <w:r>
        <w:rPr>
          <w:rFonts w:ascii="Arial" w:hAnsi="Arial" w:cs="Arial"/>
          <w:highlight w:val="yellow"/>
        </w:rPr>
        <w:t xml:space="preserve"> </w:t>
      </w:r>
    </w:p>
    <w:p w14:paraId="6B0B2D5C" w14:textId="77777777" w:rsidR="005134AC" w:rsidRDefault="005134AC">
      <w:pPr>
        <w:pStyle w:val="Body"/>
        <w:spacing w:after="0"/>
        <w:rPr>
          <w:rFonts w:ascii="Arial" w:hAnsi="Arial" w:cs="Arial"/>
        </w:rPr>
      </w:pPr>
    </w:p>
    <w:p w14:paraId="6B0B2D5D" w14:textId="19853F0C" w:rsidR="005134AC" w:rsidRDefault="005714AB">
      <w:pPr>
        <w:pStyle w:val="Body"/>
        <w:spacing w:after="0"/>
        <w:rPr>
          <w:rFonts w:ascii="Arial" w:hAnsi="Arial" w:cs="Arial"/>
        </w:rPr>
      </w:pPr>
      <w:r w:rsidRPr="00B263A7">
        <w:rPr>
          <w:rFonts w:ascii="Arial" w:hAnsi="Arial" w:cs="Arial"/>
          <w:highlight w:val="yellow"/>
        </w:rPr>
        <w:t>Within this broader context</w:t>
      </w:r>
      <w:r w:rsidR="00B263A7">
        <w:rPr>
          <w:rFonts w:ascii="Arial" w:hAnsi="Arial" w:cs="Arial"/>
        </w:rPr>
        <w:t xml:space="preserve"> t</w:t>
      </w:r>
      <w:r>
        <w:rPr>
          <w:rFonts w:ascii="Arial" w:hAnsi="Arial" w:cs="Arial"/>
        </w:rPr>
        <w:t xml:space="preserve">he empirical research on Kerala’s public debt sustainability gives a nuanced picture, shaped by historical trends and recent policy responses. Over the past two decades, Kerala’s debt burden has often exceeded commonly accepted thresholds for Indian states, with a rising proportion owed through internal liabilities such as provident funds and local bonds. These trends have raised concerns that long-term demographic shifts—particularly an ageing population and increased welfare commitments—may make it harder for the state to meet its repayment obligations (Government of Kerala, 2023; Nair &amp; </w:t>
      </w:r>
      <w:proofErr w:type="spellStart"/>
      <w:r>
        <w:rPr>
          <w:rFonts w:ascii="Arial" w:hAnsi="Arial" w:cs="Arial"/>
        </w:rPr>
        <w:t>Sensarma</w:t>
      </w:r>
      <w:proofErr w:type="spellEnd"/>
      <w:r>
        <w:rPr>
          <w:rFonts w:ascii="Arial" w:hAnsi="Arial" w:cs="Arial"/>
        </w:rPr>
        <w:t>, 2017).</w:t>
      </w:r>
    </w:p>
    <w:p w14:paraId="6B0B2D5E" w14:textId="77777777" w:rsidR="005134AC" w:rsidRDefault="005134AC">
      <w:pPr>
        <w:pStyle w:val="Body"/>
        <w:spacing w:after="0"/>
        <w:rPr>
          <w:rFonts w:ascii="Arial" w:hAnsi="Arial" w:cs="Arial"/>
        </w:rPr>
      </w:pPr>
    </w:p>
    <w:p w14:paraId="7DE1D491" w14:textId="77777777" w:rsidR="00CE6BF5" w:rsidRPr="00CE6BF5" w:rsidRDefault="00CE6BF5" w:rsidP="00CE6BF5">
      <w:pPr>
        <w:pStyle w:val="Body"/>
        <w:spacing w:after="0"/>
        <w:rPr>
          <w:rFonts w:ascii="Arial" w:hAnsi="Arial" w:cs="Arial"/>
        </w:rPr>
      </w:pPr>
      <w:r w:rsidRPr="00CE6BF5">
        <w:rPr>
          <w:rFonts w:ascii="Arial" w:hAnsi="Arial" w:cs="Arial"/>
        </w:rPr>
        <w:t xml:space="preserve">Following the COVID-19 pandemic, Kerala, like many Indian states, experienced a sharp increase in the debt-to-GSDP ratio. The state’s debt peaked near 40% in 2020–21, driven by expanded health and welfare spending, but recent fiscal consolidation has led to notable improvements. Latest fiscal documents and independent studies now report a debt-to-GSDP ratio down to 34.2% by 2023–24 and forecast a further reduction to 33.8% in 2025–26, indicating a gradual return to sustainability (GIFT, 2025; </w:t>
      </w:r>
      <w:proofErr w:type="spellStart"/>
      <w:r w:rsidRPr="00CE6BF5">
        <w:rPr>
          <w:rFonts w:ascii="Arial" w:hAnsi="Arial" w:cs="Arial"/>
        </w:rPr>
        <w:t>Renjith</w:t>
      </w:r>
      <w:proofErr w:type="spellEnd"/>
      <w:r w:rsidRPr="00CE6BF5">
        <w:rPr>
          <w:rFonts w:ascii="Arial" w:hAnsi="Arial" w:cs="Arial"/>
        </w:rPr>
        <w:t xml:space="preserve"> &amp; Joseph, 2024). </w:t>
      </w:r>
      <w:r w:rsidRPr="00CE6BF5">
        <w:rPr>
          <w:rFonts w:ascii="Arial" w:hAnsi="Arial" w:cs="Arial"/>
        </w:rPr>
        <w:lastRenderedPageBreak/>
        <w:t xml:space="preserve">Comparative reviews show Kerala’s pace of debt reduction </w:t>
      </w:r>
      <w:r w:rsidRPr="00CE6BF5">
        <w:rPr>
          <w:rFonts w:ascii="Arial" w:hAnsi="Arial" w:cs="Arial"/>
          <w:highlight w:val="yellow"/>
        </w:rPr>
        <w:t>is</w:t>
      </w:r>
      <w:r w:rsidRPr="00CE6BF5">
        <w:rPr>
          <w:rFonts w:ascii="Arial" w:hAnsi="Arial" w:cs="Arial"/>
        </w:rPr>
        <w:t xml:space="preserve"> faster than several similar states, thanks to higher revenue </w:t>
      </w:r>
      <w:proofErr w:type="spellStart"/>
      <w:r w:rsidRPr="00CE6BF5">
        <w:rPr>
          <w:rFonts w:ascii="Arial" w:hAnsi="Arial" w:cs="Arial"/>
        </w:rPr>
        <w:t>mobilisation</w:t>
      </w:r>
      <w:proofErr w:type="spellEnd"/>
      <w:r w:rsidRPr="00CE6BF5">
        <w:rPr>
          <w:rFonts w:ascii="Arial" w:hAnsi="Arial" w:cs="Arial"/>
        </w:rPr>
        <w:t xml:space="preserve"> and prudent expenditure management.</w:t>
      </w:r>
    </w:p>
    <w:p w14:paraId="6B0B2D60" w14:textId="77777777" w:rsidR="005134AC" w:rsidRDefault="005134AC">
      <w:pPr>
        <w:pStyle w:val="Body"/>
        <w:spacing w:after="0"/>
        <w:rPr>
          <w:rFonts w:ascii="Arial" w:hAnsi="Arial" w:cs="Arial"/>
        </w:rPr>
      </w:pPr>
    </w:p>
    <w:p w14:paraId="6B0B2D61" w14:textId="54925346" w:rsidR="005134AC" w:rsidRDefault="009A4237">
      <w:pPr>
        <w:pStyle w:val="Body"/>
        <w:spacing w:after="0"/>
        <w:rPr>
          <w:rFonts w:ascii="Arial" w:hAnsi="Arial" w:cs="Arial"/>
        </w:rPr>
      </w:pPr>
      <w:r>
        <w:rPr>
          <w:rFonts w:ascii="Arial" w:hAnsi="Arial" w:cs="Arial"/>
        </w:rPr>
        <w:t>Advanced empirical analyses—including autoregressive distributed lag (ARDL) modelling and threshold regression—reveal that Kerala’s debt positively influences economic growth up to a certain point (estimated around 27.8% of GSDP). When debt exceeds this threshold, the growth impact turns negative, highlighting the importance of strict borrowing discipline above a certain level (</w:t>
      </w:r>
      <w:proofErr w:type="spellStart"/>
      <w:r>
        <w:rPr>
          <w:rFonts w:ascii="Arial" w:hAnsi="Arial" w:cs="Arial"/>
        </w:rPr>
        <w:t>Renjith</w:t>
      </w:r>
      <w:proofErr w:type="spellEnd"/>
      <w:r>
        <w:rPr>
          <w:rFonts w:ascii="Arial" w:hAnsi="Arial" w:cs="Arial"/>
        </w:rPr>
        <w:t xml:space="preserve"> &amp; Joseph, 2024; Joseph &amp; Kumar, 2024). Recent research by key Kerala</w:t>
      </w:r>
      <w:r w:rsidR="008F2A1D">
        <w:rPr>
          <w:rFonts w:ascii="Arial" w:hAnsi="Arial" w:cs="Arial"/>
        </w:rPr>
        <w:t xml:space="preserve"> </w:t>
      </w:r>
      <w:r>
        <w:rPr>
          <w:rFonts w:ascii="Arial" w:hAnsi="Arial" w:cs="Arial"/>
        </w:rPr>
        <w:t xml:space="preserve">institutions suggests that, with continued fiscal prudence and careful management of off-budget borrowing, the state can maintain debt at sustainable levels even while pursuing ambitious welfare and development </w:t>
      </w:r>
      <w:proofErr w:type="spellStart"/>
      <w:r>
        <w:rPr>
          <w:rFonts w:ascii="Arial" w:hAnsi="Arial" w:cs="Arial"/>
        </w:rPr>
        <w:t>programmes</w:t>
      </w:r>
      <w:proofErr w:type="spellEnd"/>
      <w:r>
        <w:rPr>
          <w:rFonts w:ascii="Arial" w:hAnsi="Arial" w:cs="Arial"/>
        </w:rPr>
        <w:t>.</w:t>
      </w:r>
    </w:p>
    <w:p w14:paraId="6B0B2D62" w14:textId="77777777" w:rsidR="005134AC" w:rsidRDefault="005134AC">
      <w:pPr>
        <w:pStyle w:val="Body"/>
        <w:spacing w:after="0"/>
        <w:rPr>
          <w:rFonts w:ascii="Arial" w:hAnsi="Arial" w:cs="Arial"/>
        </w:rPr>
      </w:pPr>
    </w:p>
    <w:p w14:paraId="6B0B2D63" w14:textId="77777777" w:rsidR="005134AC" w:rsidRDefault="009A4237">
      <w:pPr>
        <w:pStyle w:val="Body"/>
        <w:spacing w:after="0"/>
        <w:rPr>
          <w:rFonts w:ascii="Arial" w:hAnsi="Arial" w:cs="Arial"/>
        </w:rPr>
      </w:pPr>
      <w:r w:rsidRPr="00E24BE5">
        <w:rPr>
          <w:rFonts w:ascii="Arial" w:hAnsi="Arial"/>
          <w:highlight w:val="yellow"/>
        </w:rPr>
        <w:t>Using policy response models, p-spline estimation, and threshold regression, it finds that fiscal deficits above 3% increase development expenditure and identifies a sustainable debt-GSDP threshold of 27.9%, below the current 36.69%. Debt supports growth up to this point but hinders it beyond, with projections showing the threshold could be reached by 2032 through 12% nominal growth and a 3% deficit. The study underscores the need for differentiated, state-specific fiscal policies to reinforce federal fiscal balance (</w:t>
      </w:r>
      <w:proofErr w:type="spellStart"/>
      <w:r w:rsidRPr="00E24BE5">
        <w:rPr>
          <w:rFonts w:ascii="Arial" w:hAnsi="Arial"/>
          <w:highlight w:val="yellow"/>
        </w:rPr>
        <w:t>Renjith</w:t>
      </w:r>
      <w:proofErr w:type="spellEnd"/>
      <w:r w:rsidRPr="00E24BE5">
        <w:rPr>
          <w:rFonts w:ascii="Arial" w:hAnsi="Arial"/>
          <w:highlight w:val="yellow"/>
        </w:rPr>
        <w:t xml:space="preserve"> &amp; Antony, 2025).</w:t>
      </w:r>
    </w:p>
    <w:p w14:paraId="6B0B2D64" w14:textId="77777777" w:rsidR="005134AC" w:rsidRDefault="005134AC">
      <w:pPr>
        <w:pStyle w:val="Body"/>
        <w:spacing w:after="0"/>
        <w:rPr>
          <w:rFonts w:ascii="Arial" w:hAnsi="Arial" w:cs="Arial"/>
        </w:rPr>
      </w:pPr>
    </w:p>
    <w:p w14:paraId="6B0B2D65" w14:textId="77777777" w:rsidR="005134AC" w:rsidRDefault="009A4237">
      <w:pPr>
        <w:pStyle w:val="Body"/>
        <w:spacing w:after="0"/>
        <w:rPr>
          <w:rFonts w:ascii="Arial" w:hAnsi="Arial" w:cs="Arial"/>
        </w:rPr>
      </w:pPr>
      <w:r>
        <w:rPr>
          <w:rFonts w:ascii="Arial" w:hAnsi="Arial" w:cs="Arial"/>
        </w:rPr>
        <w:t xml:space="preserve">To </w:t>
      </w:r>
      <w:proofErr w:type="spellStart"/>
      <w:r>
        <w:rPr>
          <w:rFonts w:ascii="Arial" w:hAnsi="Arial" w:cs="Arial"/>
        </w:rPr>
        <w:t>summarise</w:t>
      </w:r>
      <w:proofErr w:type="spellEnd"/>
      <w:r>
        <w:rPr>
          <w:rFonts w:ascii="Arial" w:hAnsi="Arial" w:cs="Arial"/>
        </w:rPr>
        <w:t>, the empirical evidence suggests that Kerala’s debt position—though challenging in the early 2020s—shows signs of improvement, provided the state continues to consolidate revenue streams, restrict non-productive borrowing, and adapt fiscal strategies to emerging demographic and economic realities (</w:t>
      </w:r>
      <w:proofErr w:type="spellStart"/>
      <w:r>
        <w:rPr>
          <w:rFonts w:ascii="Arial" w:hAnsi="Arial" w:cs="Arial"/>
        </w:rPr>
        <w:t>Renjith</w:t>
      </w:r>
      <w:proofErr w:type="spellEnd"/>
      <w:r>
        <w:rPr>
          <w:rFonts w:ascii="Arial" w:hAnsi="Arial" w:cs="Arial"/>
        </w:rPr>
        <w:t xml:space="preserve"> &amp; Joseph, 2024; GIFT, 2025).</w:t>
      </w:r>
    </w:p>
    <w:p w14:paraId="6B0B2D66" w14:textId="77777777" w:rsidR="005134AC" w:rsidRDefault="005134AC">
      <w:pPr>
        <w:pStyle w:val="Body"/>
        <w:spacing w:after="0"/>
        <w:rPr>
          <w:rFonts w:ascii="Arial" w:hAnsi="Arial" w:cs="Arial"/>
        </w:rPr>
      </w:pPr>
    </w:p>
    <w:p w14:paraId="6B0B2D67" w14:textId="77777777" w:rsidR="005134AC" w:rsidRDefault="009A4237">
      <w:pPr>
        <w:pStyle w:val="AbstHead"/>
        <w:spacing w:after="0"/>
        <w:jc w:val="both"/>
        <w:rPr>
          <w:rFonts w:ascii="Arial" w:hAnsi="Arial" w:cs="Arial"/>
        </w:rPr>
      </w:pPr>
      <w:r>
        <w:rPr>
          <w:rFonts w:ascii="Arial" w:hAnsi="Arial" w:cs="Arial"/>
        </w:rPr>
        <w:t xml:space="preserve">2. material and methods </w:t>
      </w:r>
    </w:p>
    <w:p w14:paraId="6B0B2D68" w14:textId="77777777" w:rsidR="005134AC" w:rsidRDefault="005134AC">
      <w:pPr>
        <w:pStyle w:val="AbstHead"/>
        <w:spacing w:after="0"/>
        <w:jc w:val="both"/>
        <w:rPr>
          <w:rFonts w:ascii="Arial" w:hAnsi="Arial" w:cs="Arial"/>
        </w:rPr>
      </w:pPr>
    </w:p>
    <w:p w14:paraId="6B0B2D69" w14:textId="77777777" w:rsidR="005134AC" w:rsidRDefault="009A4237">
      <w:pPr>
        <w:pStyle w:val="AbstHead"/>
        <w:spacing w:after="0"/>
        <w:jc w:val="both"/>
        <w:rPr>
          <w:rFonts w:ascii="Arial" w:hAnsi="Arial" w:cs="Arial"/>
          <w:szCs w:val="22"/>
        </w:rPr>
      </w:pPr>
      <w:r>
        <w:rPr>
          <w:rFonts w:ascii="Arial" w:hAnsi="Arial" w:cs="Arial"/>
          <w:szCs w:val="22"/>
        </w:rPr>
        <w:t xml:space="preserve">2.1 </w:t>
      </w:r>
      <w:r>
        <w:rPr>
          <w:rFonts w:ascii="Arial" w:hAnsi="Arial" w:cs="Arial"/>
          <w:caps w:val="0"/>
          <w:szCs w:val="22"/>
        </w:rPr>
        <w:t>Research Problem</w:t>
      </w:r>
    </w:p>
    <w:p w14:paraId="6B0B2D6A" w14:textId="77777777" w:rsidR="005134AC" w:rsidRDefault="009A4237">
      <w:pPr>
        <w:pStyle w:val="Body"/>
        <w:spacing w:after="0"/>
        <w:rPr>
          <w:rFonts w:ascii="Arial" w:hAnsi="Arial" w:cs="Arial"/>
        </w:rPr>
      </w:pPr>
      <w:r>
        <w:rPr>
          <w:rFonts w:ascii="Arial" w:hAnsi="Arial" w:cs="Arial"/>
        </w:rPr>
        <w:t xml:space="preserve">Kerala’s public debt has expanded rapidly over the past decade, driven by persistent revenue deficits, large committed expenditures, and off-budget borrowings through agencies such as the Kerala Infrastructure Investment Fund Board (KIIFB). While the state argues that its borrowings finance productive infrastructure and social investment, fiscal analysts and the Comptroller and Auditor General (CAG) have warned of growing stress, as interest payments and debt servicing absorb a rising share of revenue. Against this backdrop, assessing the sustainability of Kerala’s public debt in comparison with other Indian states becomes crucial. The study employs the </w:t>
      </w:r>
      <w:proofErr w:type="spellStart"/>
      <w:r>
        <w:rPr>
          <w:rFonts w:ascii="Arial" w:hAnsi="Arial" w:cs="Arial"/>
        </w:rPr>
        <w:t>Domar</w:t>
      </w:r>
      <w:proofErr w:type="spellEnd"/>
      <w:r>
        <w:rPr>
          <w:rFonts w:ascii="Arial" w:hAnsi="Arial" w:cs="Arial"/>
        </w:rPr>
        <w:t xml:space="preserve"> criterion, which examines whether the nominal growth rate of the economy exceeds the growth rate of public debt. A positive </w:t>
      </w:r>
      <w:proofErr w:type="spellStart"/>
      <w:r>
        <w:rPr>
          <w:rFonts w:ascii="Arial" w:hAnsi="Arial" w:cs="Arial"/>
        </w:rPr>
        <w:t>Domar</w:t>
      </w:r>
      <w:proofErr w:type="spellEnd"/>
      <w:r>
        <w:rPr>
          <w:rFonts w:ascii="Arial" w:hAnsi="Arial" w:cs="Arial"/>
        </w:rPr>
        <w:t xml:space="preserve"> gap implies that the economy is growing faster than debt, ensuring sustainability, while a negative gap signals fiscal vulnerability.</w:t>
      </w:r>
    </w:p>
    <w:p w14:paraId="6B0B2D6B" w14:textId="77777777" w:rsidR="005134AC" w:rsidRDefault="005134AC">
      <w:pPr>
        <w:pStyle w:val="Body"/>
        <w:spacing w:after="0"/>
        <w:rPr>
          <w:rFonts w:ascii="Arial" w:hAnsi="Arial" w:cs="Arial"/>
        </w:rPr>
      </w:pPr>
    </w:p>
    <w:p w14:paraId="6B0B2D6C" w14:textId="77777777" w:rsidR="005134AC" w:rsidRDefault="009A4237">
      <w:pPr>
        <w:pStyle w:val="Body"/>
        <w:spacing w:after="0"/>
        <w:rPr>
          <w:rFonts w:ascii="Arial" w:hAnsi="Arial" w:cs="Arial"/>
        </w:rPr>
      </w:pPr>
      <w:r>
        <w:rPr>
          <w:rFonts w:ascii="Arial" w:hAnsi="Arial" w:cs="Arial"/>
        </w:rPr>
        <w:t xml:space="preserve">Using data from the Reserve Bank of India’s </w:t>
      </w:r>
      <w:r>
        <w:rPr>
          <w:rFonts w:ascii="Arial" w:hAnsi="Arial" w:cs="Arial"/>
          <w:i/>
          <w:iCs/>
        </w:rPr>
        <w:t>State Finances: A Study of Budgets</w:t>
      </w:r>
      <w:r>
        <w:rPr>
          <w:rFonts w:ascii="Arial" w:hAnsi="Arial" w:cs="Arial"/>
        </w:rPr>
        <w:t xml:space="preserve"> and </w:t>
      </w:r>
      <w:r>
        <w:rPr>
          <w:rFonts w:ascii="Arial" w:hAnsi="Arial" w:cs="Arial"/>
          <w:i/>
          <w:iCs/>
        </w:rPr>
        <w:t>Handbook of Statistics on Indian States</w:t>
      </w:r>
      <w:r>
        <w:rPr>
          <w:rFonts w:ascii="Arial" w:hAnsi="Arial" w:cs="Arial"/>
        </w:rPr>
        <w:t xml:space="preserve">, along with CAG and PRS India reports, the research will estimate Kerala’s </w:t>
      </w:r>
      <w:proofErr w:type="spellStart"/>
      <w:r>
        <w:rPr>
          <w:rFonts w:ascii="Arial" w:hAnsi="Arial" w:cs="Arial"/>
        </w:rPr>
        <w:t>Domar</w:t>
      </w:r>
      <w:proofErr w:type="spellEnd"/>
      <w:r>
        <w:rPr>
          <w:rFonts w:ascii="Arial" w:hAnsi="Arial" w:cs="Arial"/>
        </w:rPr>
        <w:t xml:space="preserve"> gap and compare it with the all-states average for 2018–19 to 2023–24. The analysis will decompose Kerala’s debt growth into contributions from primary deficits, interest payments, and off-budget liabilities, and contrast these with states showing better fiscal performance. The study also links the </w:t>
      </w:r>
      <w:proofErr w:type="spellStart"/>
      <w:r>
        <w:rPr>
          <w:rFonts w:ascii="Arial" w:hAnsi="Arial" w:cs="Arial"/>
        </w:rPr>
        <w:t>Domar</w:t>
      </w:r>
      <w:proofErr w:type="spellEnd"/>
      <w:r>
        <w:rPr>
          <w:rFonts w:ascii="Arial" w:hAnsi="Arial" w:cs="Arial"/>
        </w:rPr>
        <w:t xml:space="preserve"> framework with the interest–growth differential (r–g) to identify the primary surplus required for debt </w:t>
      </w:r>
      <w:proofErr w:type="spellStart"/>
      <w:r>
        <w:rPr>
          <w:rFonts w:ascii="Arial" w:hAnsi="Arial" w:cs="Arial"/>
        </w:rPr>
        <w:t>stabilisation</w:t>
      </w:r>
      <w:proofErr w:type="spellEnd"/>
      <w:r>
        <w:rPr>
          <w:rFonts w:ascii="Arial" w:hAnsi="Arial" w:cs="Arial"/>
        </w:rPr>
        <w:t>. By quantifying Kerala’s relative position and identifying structural drivers of its debt accumulation, this article seeks to determine whether Kerala’s fiscal trajectory remains sustainable under current growth and borrowing patterns. The findings will contribute to policy debates on fiscal discipline, off-budget transparency, and the design of future FRBM targets for Indian states.</w:t>
      </w:r>
    </w:p>
    <w:p w14:paraId="6B0B2D6D" w14:textId="77777777" w:rsidR="005134AC" w:rsidRDefault="005134AC">
      <w:pPr>
        <w:pStyle w:val="Body"/>
        <w:spacing w:after="0"/>
        <w:rPr>
          <w:rFonts w:ascii="Arial" w:hAnsi="Arial" w:cs="Arial"/>
        </w:rPr>
      </w:pPr>
    </w:p>
    <w:p w14:paraId="6B0B2D6E" w14:textId="77777777" w:rsidR="005134AC" w:rsidRDefault="009A4237">
      <w:pPr>
        <w:pStyle w:val="Body"/>
        <w:spacing w:after="0"/>
        <w:rPr>
          <w:rFonts w:ascii="Arial" w:hAnsi="Arial" w:cs="Arial"/>
          <w:b/>
          <w:bCs/>
          <w:sz w:val="22"/>
          <w:szCs w:val="22"/>
        </w:rPr>
      </w:pPr>
      <w:r>
        <w:rPr>
          <w:rFonts w:ascii="Arial" w:hAnsi="Arial" w:cs="Arial"/>
          <w:b/>
          <w:bCs/>
          <w:sz w:val="22"/>
          <w:szCs w:val="22"/>
        </w:rPr>
        <w:lastRenderedPageBreak/>
        <w:t>2.2 Objectives of the Study</w:t>
      </w:r>
    </w:p>
    <w:p w14:paraId="6B0B2D6F" w14:textId="77777777" w:rsidR="005134AC" w:rsidRDefault="009A4237">
      <w:pPr>
        <w:pStyle w:val="Body"/>
        <w:numPr>
          <w:ilvl w:val="0"/>
          <w:numId w:val="2"/>
        </w:numPr>
        <w:spacing w:after="0"/>
        <w:rPr>
          <w:rFonts w:ascii="Arial" w:hAnsi="Arial" w:cs="Arial"/>
        </w:rPr>
      </w:pPr>
      <w:r>
        <w:rPr>
          <w:rFonts w:ascii="Arial" w:hAnsi="Arial" w:cs="Arial"/>
        </w:rPr>
        <w:t xml:space="preserve">To examine the sustainability of Kerala’s public debt using the </w:t>
      </w:r>
      <w:proofErr w:type="spellStart"/>
      <w:r>
        <w:rPr>
          <w:rFonts w:ascii="Arial" w:hAnsi="Arial" w:cs="Arial"/>
        </w:rPr>
        <w:t>Domar</w:t>
      </w:r>
      <w:proofErr w:type="spellEnd"/>
      <w:r>
        <w:rPr>
          <w:rFonts w:ascii="Arial" w:hAnsi="Arial" w:cs="Arial"/>
        </w:rPr>
        <w:t xml:space="preserve"> criterion and to compare its </w:t>
      </w:r>
      <w:proofErr w:type="spellStart"/>
      <w:r>
        <w:rPr>
          <w:rFonts w:ascii="Arial" w:hAnsi="Arial" w:cs="Arial"/>
        </w:rPr>
        <w:t>Domar</w:t>
      </w:r>
      <w:proofErr w:type="spellEnd"/>
      <w:r>
        <w:rPr>
          <w:rFonts w:ascii="Arial" w:hAnsi="Arial" w:cs="Arial"/>
        </w:rPr>
        <w:t xml:space="preserve"> gap with that of other Indian states.</w:t>
      </w:r>
    </w:p>
    <w:p w14:paraId="6B0B2D70" w14:textId="77777777" w:rsidR="005134AC" w:rsidRDefault="009A4237">
      <w:pPr>
        <w:pStyle w:val="Body"/>
        <w:numPr>
          <w:ilvl w:val="0"/>
          <w:numId w:val="2"/>
        </w:numPr>
        <w:spacing w:after="0"/>
        <w:rPr>
          <w:rFonts w:ascii="Arial" w:hAnsi="Arial" w:cs="Arial"/>
        </w:rPr>
      </w:pPr>
      <w:r>
        <w:rPr>
          <w:rFonts w:ascii="Arial" w:hAnsi="Arial" w:cs="Arial"/>
        </w:rPr>
        <w:t>To identify the key factors influencing Kerala’s debt sustainability, such as economic growth rate, interest burden, primary deficit, and off-budget borrowings.</w:t>
      </w:r>
    </w:p>
    <w:p w14:paraId="6B0B2D71" w14:textId="77777777" w:rsidR="005134AC" w:rsidRDefault="005134AC">
      <w:pPr>
        <w:pStyle w:val="Body"/>
        <w:spacing w:after="0"/>
        <w:ind w:left="720"/>
        <w:rPr>
          <w:rFonts w:ascii="Arial" w:hAnsi="Arial" w:cs="Arial"/>
        </w:rPr>
      </w:pPr>
    </w:p>
    <w:p w14:paraId="6B0B2D72" w14:textId="77777777" w:rsidR="005134AC" w:rsidRDefault="005134AC">
      <w:pPr>
        <w:pStyle w:val="Body"/>
        <w:spacing w:after="0"/>
        <w:rPr>
          <w:rFonts w:ascii="Arial" w:hAnsi="Arial" w:cs="Arial"/>
          <w:b/>
          <w:bCs/>
          <w:sz w:val="22"/>
          <w:szCs w:val="22"/>
        </w:rPr>
      </w:pPr>
    </w:p>
    <w:p w14:paraId="6B0B2D73" w14:textId="77777777" w:rsidR="005134AC" w:rsidRDefault="009A4237">
      <w:pPr>
        <w:pStyle w:val="Body"/>
        <w:spacing w:after="0"/>
        <w:rPr>
          <w:rFonts w:ascii="Arial" w:hAnsi="Arial" w:cs="Arial"/>
        </w:rPr>
      </w:pPr>
      <w:r>
        <w:rPr>
          <w:rFonts w:ascii="Arial" w:hAnsi="Arial" w:cs="Arial"/>
        </w:rPr>
        <w:t xml:space="preserve">The study on Kerala’s debt sustainability adopts a descriptive and analytical research design, utilizing secondary data drawn from credible official sources such as the </w:t>
      </w:r>
      <w:r>
        <w:rPr>
          <w:rFonts w:ascii="Arial" w:hAnsi="Arial" w:cs="Arial"/>
          <w:i/>
          <w:iCs/>
        </w:rPr>
        <w:t>Reserve Bank of India’s State Finances: A Study of Budgets</w:t>
      </w:r>
      <w:r>
        <w:rPr>
          <w:rFonts w:ascii="Arial" w:hAnsi="Arial" w:cs="Arial"/>
        </w:rPr>
        <w:t xml:space="preserve">, </w:t>
      </w:r>
      <w:r>
        <w:rPr>
          <w:rFonts w:ascii="Arial" w:hAnsi="Arial" w:cs="Arial"/>
          <w:i/>
          <w:iCs/>
        </w:rPr>
        <w:t>Handbook of Statistics on Indian States</w:t>
      </w:r>
      <w:r>
        <w:rPr>
          <w:rFonts w:ascii="Arial" w:hAnsi="Arial" w:cs="Arial"/>
        </w:rPr>
        <w:t xml:space="preserve">, </w:t>
      </w:r>
      <w:r>
        <w:rPr>
          <w:rFonts w:ascii="Arial" w:hAnsi="Arial" w:cs="Arial"/>
          <w:i/>
          <w:iCs/>
        </w:rPr>
        <w:t>Kerala Budget Documents</w:t>
      </w:r>
      <w:r>
        <w:rPr>
          <w:rFonts w:ascii="Arial" w:hAnsi="Arial" w:cs="Arial"/>
        </w:rPr>
        <w:t xml:space="preserve">, </w:t>
      </w:r>
      <w:r>
        <w:rPr>
          <w:rFonts w:ascii="Arial" w:hAnsi="Arial" w:cs="Arial"/>
          <w:i/>
          <w:iCs/>
        </w:rPr>
        <w:t>Economic Reviews</w:t>
      </w:r>
      <w:r>
        <w:rPr>
          <w:rFonts w:ascii="Arial" w:hAnsi="Arial" w:cs="Arial"/>
        </w:rPr>
        <w:t xml:space="preserve">, </w:t>
      </w:r>
      <w:r>
        <w:rPr>
          <w:rFonts w:ascii="Arial" w:hAnsi="Arial" w:cs="Arial"/>
          <w:i/>
          <w:iCs/>
        </w:rPr>
        <w:t>Comptroller and Auditor General (CAG) Reports</w:t>
      </w:r>
      <w:r>
        <w:rPr>
          <w:rFonts w:ascii="Arial" w:hAnsi="Arial" w:cs="Arial"/>
        </w:rPr>
        <w:t xml:space="preserve">, </w:t>
      </w:r>
      <w:r>
        <w:rPr>
          <w:rFonts w:ascii="Arial" w:hAnsi="Arial" w:cs="Arial"/>
          <w:i/>
          <w:iCs/>
        </w:rPr>
        <w:t>PRS Legislative Research’s State of State Finances 2022–23</w:t>
      </w:r>
      <w:r>
        <w:rPr>
          <w:rFonts w:ascii="Arial" w:hAnsi="Arial" w:cs="Arial"/>
        </w:rPr>
        <w:t xml:space="preserve">, and publications of the </w:t>
      </w:r>
      <w:r>
        <w:rPr>
          <w:rFonts w:ascii="Arial" w:hAnsi="Arial" w:cs="Arial"/>
          <w:i/>
          <w:iCs/>
        </w:rPr>
        <w:t>State Planning Board</w:t>
      </w:r>
      <w:r>
        <w:rPr>
          <w:rFonts w:ascii="Arial" w:hAnsi="Arial" w:cs="Arial"/>
        </w:rPr>
        <w:t xml:space="preserve"> and </w:t>
      </w:r>
      <w:r>
        <w:rPr>
          <w:rFonts w:ascii="Arial" w:hAnsi="Arial" w:cs="Arial"/>
          <w:i/>
          <w:iCs/>
        </w:rPr>
        <w:t>KIIFB</w:t>
      </w:r>
      <w:r>
        <w:rPr>
          <w:rFonts w:ascii="Arial" w:hAnsi="Arial" w:cs="Arial"/>
        </w:rPr>
        <w:t xml:space="preserve">. The analysis spans the period 2019–20 to 2023–24, covering both pre- and post-pandemic fiscal phases to capture variations in Kerala’s debt profile and fiscal responses to economic shocks. The research is anchored in the </w:t>
      </w:r>
      <w:proofErr w:type="spellStart"/>
      <w:r>
        <w:rPr>
          <w:rFonts w:ascii="Arial" w:hAnsi="Arial" w:cs="Arial"/>
        </w:rPr>
        <w:t>Domar</w:t>
      </w:r>
      <w:proofErr w:type="spellEnd"/>
      <w:r>
        <w:rPr>
          <w:rFonts w:ascii="Arial" w:hAnsi="Arial" w:cs="Arial"/>
        </w:rPr>
        <w:t xml:space="preserve"> framework (</w:t>
      </w:r>
      <w:proofErr w:type="spellStart"/>
      <w:r>
        <w:rPr>
          <w:rFonts w:ascii="Arial" w:hAnsi="Arial" w:cs="Arial"/>
        </w:rPr>
        <w:t>Domar</w:t>
      </w:r>
      <w:proofErr w:type="spellEnd"/>
      <w:r>
        <w:rPr>
          <w:rFonts w:ascii="Arial" w:hAnsi="Arial" w:cs="Arial"/>
        </w:rPr>
        <w:t xml:space="preserve">, 1944), which evaluates public debt sustainability by </w:t>
      </w:r>
      <w:proofErr w:type="spellStart"/>
      <w:r>
        <w:rPr>
          <w:rFonts w:ascii="Arial" w:hAnsi="Arial" w:cs="Arial"/>
        </w:rPr>
        <w:t>analysing</w:t>
      </w:r>
      <w:proofErr w:type="spellEnd"/>
      <w:r>
        <w:rPr>
          <w:rFonts w:ascii="Arial" w:hAnsi="Arial" w:cs="Arial"/>
        </w:rPr>
        <w:t xml:space="preserve"> the relationship between the real growth rate of Gross State Domestic Product (GSDP) and the real effective interest rate on public debt. Under this approach, debt is considered sustainable when the growth rate exceeds the interest rate, ensuring that the debt-to-GSDP ratio remains stable or declines over time.</w:t>
      </w:r>
    </w:p>
    <w:p w14:paraId="6B0B2D74" w14:textId="77777777" w:rsidR="005134AC" w:rsidRDefault="009A4237">
      <w:pPr>
        <w:pStyle w:val="Body"/>
        <w:spacing w:after="0"/>
        <w:rPr>
          <w:rFonts w:ascii="Arial" w:hAnsi="Arial" w:cs="Arial"/>
        </w:rPr>
      </w:pPr>
      <w:r>
        <w:rPr>
          <w:rFonts w:ascii="Arial" w:hAnsi="Arial" w:cs="Arial"/>
        </w:rPr>
        <w:t xml:space="preserve">The analytical process involves three key stages. First, relevant indicators such as the </w:t>
      </w:r>
      <w:proofErr w:type="spellStart"/>
      <w:r>
        <w:rPr>
          <w:rFonts w:ascii="Arial" w:hAnsi="Arial" w:cs="Arial"/>
        </w:rPr>
        <w:t>Domar</w:t>
      </w:r>
      <w:proofErr w:type="spellEnd"/>
      <w:r>
        <w:rPr>
          <w:rFonts w:ascii="Arial" w:hAnsi="Arial" w:cs="Arial"/>
        </w:rPr>
        <w:t xml:space="preserve"> gap, debt-to-GSDP ratio, per capita debt, effective interest rate, and inflation were computed using consistent and comparable datasets. Second, a comparative and trend analysis was undertaken to evaluate Kerala’s fiscal position relative to the all-state average and to identify the best- and worst-performing states in terms of debt sustainability. Finally, the results were interpreted in light of theoretical sustainability conditions to assess the stability of Kerala’s debt trajectory. By combining empirical computation with comparative benchmarking and theoretical interpretation, this methodology provides a comprehensive framework for assessing Kerala’s fiscal sustainability and understanding the structural patterns underlying its debt dynamics.</w:t>
      </w:r>
    </w:p>
    <w:p w14:paraId="6B0B2D75" w14:textId="77777777" w:rsidR="005134AC" w:rsidRDefault="005134AC">
      <w:pPr>
        <w:pStyle w:val="Body"/>
        <w:spacing w:after="0"/>
        <w:rPr>
          <w:rFonts w:ascii="Arial" w:hAnsi="Arial" w:cs="Arial"/>
          <w:b/>
          <w:caps/>
          <w:sz w:val="22"/>
        </w:rPr>
      </w:pPr>
    </w:p>
    <w:p w14:paraId="6B0B2D76" w14:textId="77777777" w:rsidR="005134AC" w:rsidRDefault="009A4237">
      <w:pPr>
        <w:pStyle w:val="Head1"/>
        <w:spacing w:after="0"/>
        <w:jc w:val="both"/>
        <w:rPr>
          <w:rFonts w:ascii="Arial" w:hAnsi="Arial" w:cs="Arial"/>
        </w:rPr>
      </w:pPr>
      <w:r>
        <w:rPr>
          <w:rFonts w:ascii="Arial" w:hAnsi="Arial" w:cs="Arial"/>
        </w:rPr>
        <w:t>3. results and discussion</w:t>
      </w:r>
    </w:p>
    <w:p w14:paraId="6B0B2D77" w14:textId="77777777" w:rsidR="005134AC" w:rsidRDefault="005134AC">
      <w:pPr>
        <w:pStyle w:val="Head1"/>
        <w:spacing w:after="0"/>
        <w:jc w:val="both"/>
        <w:rPr>
          <w:rFonts w:ascii="Arial" w:hAnsi="Arial" w:cs="Arial"/>
        </w:rPr>
      </w:pPr>
    </w:p>
    <w:p w14:paraId="6B0B2D78" w14:textId="77777777" w:rsidR="005134AC" w:rsidRDefault="009A4237">
      <w:pPr>
        <w:pStyle w:val="Body"/>
        <w:spacing w:after="0"/>
        <w:rPr>
          <w:rFonts w:ascii="Arial" w:hAnsi="Arial" w:cs="Arial"/>
          <w:b/>
          <w:bCs/>
          <w:sz w:val="22"/>
          <w:szCs w:val="22"/>
        </w:rPr>
      </w:pPr>
      <w:r>
        <w:rPr>
          <w:rFonts w:ascii="Arial" w:hAnsi="Arial" w:cs="Arial"/>
          <w:b/>
          <w:bCs/>
          <w:sz w:val="22"/>
          <w:szCs w:val="22"/>
        </w:rPr>
        <w:t>3.1 Kerala’s Debt Dynamics</w:t>
      </w:r>
    </w:p>
    <w:p w14:paraId="6B0B2D79" w14:textId="77777777" w:rsidR="005134AC" w:rsidRDefault="009A4237">
      <w:pPr>
        <w:pStyle w:val="Body"/>
        <w:spacing w:after="0"/>
        <w:rPr>
          <w:rFonts w:ascii="Arial" w:hAnsi="Arial" w:cs="Arial"/>
        </w:rPr>
      </w:pPr>
      <w:r>
        <w:rPr>
          <w:rFonts w:ascii="Arial" w:hAnsi="Arial" w:cs="Arial"/>
        </w:rPr>
        <w:t>Table 1 presents the Debt Profile of the State of Kerala over the five-year period from 2019–20 to 2023–24, highlighting key indicators that determine the state’s public debt position and debt sustainability. The data includes figures for Public Debt, Public Account Liabilities, Off-Budget Borrowings, Overall Liabilities, and Gross State Domestic Product (GSDP), along with the ratio of Overall Liabilities to GSDP. Together, these indicators provide a comprehensive view of Kerala’s debt accumulation trends, the composition of its liabilities, and its debt burden relative to the size of the state economy.</w:t>
      </w:r>
    </w:p>
    <w:p w14:paraId="6B0B2D7A" w14:textId="77777777" w:rsidR="005134AC" w:rsidRDefault="005134AC">
      <w:pPr>
        <w:pStyle w:val="Body"/>
        <w:spacing w:after="0"/>
        <w:rPr>
          <w:rFonts w:ascii="Arial" w:hAnsi="Arial" w:cs="Arial"/>
        </w:rPr>
      </w:pPr>
    </w:p>
    <w:p w14:paraId="6B0B2D7B" w14:textId="77777777" w:rsidR="005134AC" w:rsidRDefault="009A4237">
      <w:pPr>
        <w:pStyle w:val="Body"/>
        <w:spacing w:after="0"/>
        <w:jc w:val="center"/>
        <w:rPr>
          <w:rFonts w:ascii="Arial" w:hAnsi="Arial" w:cs="Arial"/>
          <w:b/>
          <w:bCs/>
        </w:rPr>
      </w:pPr>
      <w:r>
        <w:rPr>
          <w:rFonts w:ascii="Arial" w:hAnsi="Arial" w:cs="Arial"/>
          <w:b/>
          <w:bCs/>
        </w:rPr>
        <w:t>Table 1: Public Debt Profile of Kerala during 2019-20 to 2023-24 (₹ Crores)</w:t>
      </w:r>
    </w:p>
    <w:tbl>
      <w:tblPr>
        <w:tblW w:w="8810" w:type="dxa"/>
        <w:jc w:val="center"/>
        <w:tblLook w:val="04A0" w:firstRow="1" w:lastRow="0" w:firstColumn="1" w:lastColumn="0" w:noHBand="0" w:noVBand="1"/>
      </w:tblPr>
      <w:tblGrid>
        <w:gridCol w:w="559"/>
        <w:gridCol w:w="2480"/>
        <w:gridCol w:w="1105"/>
        <w:gridCol w:w="1105"/>
        <w:gridCol w:w="1105"/>
        <w:gridCol w:w="1213"/>
        <w:gridCol w:w="1243"/>
      </w:tblGrid>
      <w:tr w:rsidR="005134AC" w14:paraId="6B0B2D83" w14:textId="77777777">
        <w:trPr>
          <w:trHeight w:val="283"/>
          <w:jc w:val="center"/>
        </w:trPr>
        <w:tc>
          <w:tcPr>
            <w:tcW w:w="559" w:type="dxa"/>
            <w:tcBorders>
              <w:top w:val="single" w:sz="4" w:space="0" w:color="auto"/>
              <w:bottom w:val="single" w:sz="4" w:space="0" w:color="auto"/>
            </w:tcBorders>
            <w:noWrap/>
            <w:vAlign w:val="bottom"/>
          </w:tcPr>
          <w:p w14:paraId="6B0B2D7C" w14:textId="77777777" w:rsidR="005134AC" w:rsidRDefault="009A4237">
            <w:pPr>
              <w:pStyle w:val="Body"/>
              <w:jc w:val="center"/>
              <w:rPr>
                <w:rFonts w:ascii="Arial" w:hAnsi="Arial" w:cs="Arial"/>
                <w:b/>
                <w:bCs/>
                <w:sz w:val="18"/>
                <w:szCs w:val="18"/>
              </w:rPr>
            </w:pPr>
            <w:r>
              <w:rPr>
                <w:rFonts w:ascii="Arial" w:hAnsi="Arial" w:cs="Arial"/>
                <w:b/>
                <w:bCs/>
                <w:sz w:val="18"/>
                <w:szCs w:val="18"/>
              </w:rPr>
              <w:t>SL No</w:t>
            </w:r>
          </w:p>
        </w:tc>
        <w:tc>
          <w:tcPr>
            <w:tcW w:w="2480" w:type="dxa"/>
            <w:tcBorders>
              <w:top w:val="single" w:sz="4" w:space="0" w:color="auto"/>
              <w:bottom w:val="single" w:sz="4" w:space="0" w:color="auto"/>
            </w:tcBorders>
            <w:noWrap/>
            <w:vAlign w:val="bottom"/>
          </w:tcPr>
          <w:p w14:paraId="6B0B2D7D" w14:textId="77777777" w:rsidR="005134AC" w:rsidRDefault="009A4237">
            <w:pPr>
              <w:pStyle w:val="Body"/>
              <w:jc w:val="center"/>
              <w:rPr>
                <w:rFonts w:ascii="Arial" w:hAnsi="Arial" w:cs="Arial"/>
                <w:b/>
                <w:bCs/>
                <w:sz w:val="18"/>
                <w:szCs w:val="18"/>
              </w:rPr>
            </w:pPr>
            <w:r>
              <w:rPr>
                <w:rFonts w:ascii="Arial" w:hAnsi="Arial" w:cs="Arial"/>
                <w:b/>
                <w:bCs/>
                <w:sz w:val="18"/>
                <w:szCs w:val="18"/>
              </w:rPr>
              <w:t>Debt Sustainability Indicators</w:t>
            </w:r>
          </w:p>
        </w:tc>
        <w:tc>
          <w:tcPr>
            <w:tcW w:w="1105" w:type="dxa"/>
            <w:tcBorders>
              <w:top w:val="single" w:sz="4" w:space="0" w:color="auto"/>
              <w:bottom w:val="single" w:sz="4" w:space="0" w:color="auto"/>
            </w:tcBorders>
            <w:noWrap/>
            <w:vAlign w:val="bottom"/>
          </w:tcPr>
          <w:p w14:paraId="6B0B2D7E" w14:textId="77777777" w:rsidR="005134AC" w:rsidRDefault="009A4237">
            <w:pPr>
              <w:pStyle w:val="Body"/>
              <w:jc w:val="center"/>
              <w:rPr>
                <w:rFonts w:ascii="Arial" w:hAnsi="Arial" w:cs="Arial"/>
                <w:b/>
                <w:bCs/>
                <w:sz w:val="18"/>
                <w:szCs w:val="18"/>
              </w:rPr>
            </w:pPr>
            <w:r>
              <w:rPr>
                <w:rFonts w:ascii="Arial" w:hAnsi="Arial" w:cs="Arial"/>
                <w:b/>
                <w:bCs/>
                <w:sz w:val="18"/>
                <w:szCs w:val="18"/>
              </w:rPr>
              <w:t>2019-20</w:t>
            </w:r>
          </w:p>
        </w:tc>
        <w:tc>
          <w:tcPr>
            <w:tcW w:w="1105" w:type="dxa"/>
            <w:tcBorders>
              <w:top w:val="single" w:sz="4" w:space="0" w:color="auto"/>
              <w:bottom w:val="single" w:sz="4" w:space="0" w:color="auto"/>
            </w:tcBorders>
            <w:noWrap/>
            <w:vAlign w:val="bottom"/>
          </w:tcPr>
          <w:p w14:paraId="6B0B2D7F" w14:textId="77777777" w:rsidR="005134AC" w:rsidRDefault="009A4237">
            <w:pPr>
              <w:pStyle w:val="Body"/>
              <w:jc w:val="center"/>
              <w:rPr>
                <w:rFonts w:ascii="Arial" w:hAnsi="Arial" w:cs="Arial"/>
                <w:b/>
                <w:bCs/>
                <w:sz w:val="18"/>
                <w:szCs w:val="18"/>
              </w:rPr>
            </w:pPr>
            <w:r>
              <w:rPr>
                <w:rFonts w:ascii="Arial" w:hAnsi="Arial" w:cs="Arial"/>
                <w:b/>
                <w:bCs/>
                <w:sz w:val="18"/>
                <w:szCs w:val="18"/>
              </w:rPr>
              <w:t>2020-21</w:t>
            </w:r>
          </w:p>
        </w:tc>
        <w:tc>
          <w:tcPr>
            <w:tcW w:w="1105" w:type="dxa"/>
            <w:tcBorders>
              <w:top w:val="single" w:sz="4" w:space="0" w:color="auto"/>
              <w:bottom w:val="single" w:sz="4" w:space="0" w:color="auto"/>
            </w:tcBorders>
            <w:noWrap/>
            <w:vAlign w:val="bottom"/>
          </w:tcPr>
          <w:p w14:paraId="6B0B2D80" w14:textId="77777777" w:rsidR="005134AC" w:rsidRDefault="009A4237">
            <w:pPr>
              <w:pStyle w:val="Body"/>
              <w:jc w:val="center"/>
              <w:rPr>
                <w:rFonts w:ascii="Arial" w:hAnsi="Arial" w:cs="Arial"/>
                <w:b/>
                <w:bCs/>
                <w:sz w:val="18"/>
                <w:szCs w:val="18"/>
              </w:rPr>
            </w:pPr>
            <w:r>
              <w:rPr>
                <w:rFonts w:ascii="Arial" w:hAnsi="Arial" w:cs="Arial"/>
                <w:b/>
                <w:bCs/>
                <w:sz w:val="18"/>
                <w:szCs w:val="18"/>
              </w:rPr>
              <w:t>2021-22</w:t>
            </w:r>
          </w:p>
        </w:tc>
        <w:tc>
          <w:tcPr>
            <w:tcW w:w="1213" w:type="dxa"/>
            <w:tcBorders>
              <w:top w:val="single" w:sz="4" w:space="0" w:color="auto"/>
              <w:bottom w:val="single" w:sz="4" w:space="0" w:color="auto"/>
            </w:tcBorders>
            <w:noWrap/>
            <w:vAlign w:val="bottom"/>
          </w:tcPr>
          <w:p w14:paraId="6B0B2D81" w14:textId="77777777" w:rsidR="005134AC" w:rsidRDefault="009A4237">
            <w:pPr>
              <w:pStyle w:val="Body"/>
              <w:jc w:val="center"/>
              <w:rPr>
                <w:rFonts w:ascii="Arial" w:hAnsi="Arial" w:cs="Arial"/>
                <w:b/>
                <w:bCs/>
                <w:sz w:val="18"/>
                <w:szCs w:val="18"/>
              </w:rPr>
            </w:pPr>
            <w:r>
              <w:rPr>
                <w:rFonts w:ascii="Arial" w:hAnsi="Arial" w:cs="Arial"/>
                <w:b/>
                <w:bCs/>
                <w:sz w:val="18"/>
                <w:szCs w:val="18"/>
              </w:rPr>
              <w:t>2022-23</w:t>
            </w:r>
          </w:p>
        </w:tc>
        <w:tc>
          <w:tcPr>
            <w:tcW w:w="1243" w:type="dxa"/>
            <w:tcBorders>
              <w:top w:val="single" w:sz="4" w:space="0" w:color="auto"/>
              <w:bottom w:val="single" w:sz="4" w:space="0" w:color="auto"/>
            </w:tcBorders>
            <w:noWrap/>
            <w:vAlign w:val="bottom"/>
          </w:tcPr>
          <w:p w14:paraId="6B0B2D82" w14:textId="77777777" w:rsidR="005134AC" w:rsidRDefault="009A4237">
            <w:pPr>
              <w:pStyle w:val="Body"/>
              <w:jc w:val="center"/>
              <w:rPr>
                <w:rFonts w:ascii="Arial" w:hAnsi="Arial" w:cs="Arial"/>
                <w:b/>
                <w:bCs/>
                <w:sz w:val="18"/>
                <w:szCs w:val="18"/>
              </w:rPr>
            </w:pPr>
            <w:r>
              <w:rPr>
                <w:rFonts w:ascii="Arial" w:hAnsi="Arial" w:cs="Arial"/>
                <w:b/>
                <w:bCs/>
                <w:sz w:val="18"/>
                <w:szCs w:val="18"/>
              </w:rPr>
              <w:t>2023-24</w:t>
            </w:r>
          </w:p>
        </w:tc>
      </w:tr>
      <w:tr w:rsidR="005134AC" w14:paraId="6B0B2D8B" w14:textId="77777777">
        <w:trPr>
          <w:trHeight w:val="283"/>
          <w:jc w:val="center"/>
        </w:trPr>
        <w:tc>
          <w:tcPr>
            <w:tcW w:w="559" w:type="dxa"/>
            <w:tcBorders>
              <w:top w:val="single" w:sz="4" w:space="0" w:color="auto"/>
            </w:tcBorders>
            <w:noWrap/>
            <w:vAlign w:val="bottom"/>
          </w:tcPr>
          <w:p w14:paraId="6B0B2D84" w14:textId="77777777" w:rsidR="005134AC" w:rsidRDefault="009A4237">
            <w:pPr>
              <w:pStyle w:val="Body"/>
              <w:jc w:val="center"/>
              <w:rPr>
                <w:rFonts w:ascii="Arial" w:hAnsi="Arial" w:cs="Arial"/>
                <w:sz w:val="18"/>
                <w:szCs w:val="18"/>
              </w:rPr>
            </w:pPr>
            <w:r>
              <w:rPr>
                <w:rFonts w:ascii="Arial" w:hAnsi="Arial" w:cs="Arial"/>
                <w:sz w:val="18"/>
                <w:szCs w:val="18"/>
              </w:rPr>
              <w:t>1</w:t>
            </w:r>
          </w:p>
        </w:tc>
        <w:tc>
          <w:tcPr>
            <w:tcW w:w="2480" w:type="dxa"/>
            <w:tcBorders>
              <w:top w:val="single" w:sz="4" w:space="0" w:color="auto"/>
            </w:tcBorders>
            <w:noWrap/>
            <w:vAlign w:val="bottom"/>
          </w:tcPr>
          <w:p w14:paraId="6B0B2D85" w14:textId="77777777" w:rsidR="005134AC" w:rsidRDefault="009A4237">
            <w:pPr>
              <w:pStyle w:val="Body"/>
              <w:jc w:val="left"/>
              <w:rPr>
                <w:rFonts w:ascii="Arial" w:hAnsi="Arial" w:cs="Arial"/>
                <w:sz w:val="18"/>
                <w:szCs w:val="18"/>
              </w:rPr>
            </w:pPr>
            <w:r>
              <w:rPr>
                <w:rFonts w:ascii="Arial" w:hAnsi="Arial" w:cs="Arial"/>
                <w:sz w:val="18"/>
                <w:szCs w:val="18"/>
              </w:rPr>
              <w:t>Public Debt</w:t>
            </w:r>
          </w:p>
        </w:tc>
        <w:tc>
          <w:tcPr>
            <w:tcW w:w="1105" w:type="dxa"/>
            <w:tcBorders>
              <w:top w:val="single" w:sz="4" w:space="0" w:color="auto"/>
            </w:tcBorders>
            <w:noWrap/>
            <w:vAlign w:val="bottom"/>
          </w:tcPr>
          <w:p w14:paraId="6B0B2D86" w14:textId="77777777" w:rsidR="005134AC" w:rsidRDefault="009A4237">
            <w:pPr>
              <w:pStyle w:val="Body"/>
              <w:jc w:val="center"/>
              <w:rPr>
                <w:rFonts w:ascii="Arial" w:hAnsi="Arial" w:cs="Arial"/>
                <w:sz w:val="18"/>
                <w:szCs w:val="18"/>
              </w:rPr>
            </w:pPr>
            <w:r>
              <w:rPr>
                <w:rFonts w:ascii="Arial" w:hAnsi="Arial" w:cs="Arial"/>
                <w:sz w:val="18"/>
                <w:szCs w:val="18"/>
              </w:rPr>
              <w:t>174640.2</w:t>
            </w:r>
          </w:p>
        </w:tc>
        <w:tc>
          <w:tcPr>
            <w:tcW w:w="1105" w:type="dxa"/>
            <w:tcBorders>
              <w:top w:val="single" w:sz="4" w:space="0" w:color="auto"/>
            </w:tcBorders>
            <w:noWrap/>
            <w:vAlign w:val="bottom"/>
          </w:tcPr>
          <w:p w14:paraId="6B0B2D87" w14:textId="77777777" w:rsidR="005134AC" w:rsidRDefault="009A4237">
            <w:pPr>
              <w:pStyle w:val="Body"/>
              <w:jc w:val="center"/>
              <w:rPr>
                <w:rFonts w:ascii="Arial" w:hAnsi="Arial" w:cs="Arial"/>
                <w:sz w:val="18"/>
                <w:szCs w:val="18"/>
              </w:rPr>
            </w:pPr>
            <w:r>
              <w:rPr>
                <w:rFonts w:ascii="Arial" w:hAnsi="Arial" w:cs="Arial"/>
                <w:sz w:val="18"/>
                <w:szCs w:val="18"/>
              </w:rPr>
              <w:t>199681.7</w:t>
            </w:r>
          </w:p>
        </w:tc>
        <w:tc>
          <w:tcPr>
            <w:tcW w:w="1105" w:type="dxa"/>
            <w:tcBorders>
              <w:top w:val="single" w:sz="4" w:space="0" w:color="auto"/>
            </w:tcBorders>
            <w:noWrap/>
            <w:vAlign w:val="bottom"/>
          </w:tcPr>
          <w:p w14:paraId="6B0B2D88" w14:textId="77777777" w:rsidR="005134AC" w:rsidRDefault="009A4237">
            <w:pPr>
              <w:pStyle w:val="Body"/>
              <w:jc w:val="center"/>
              <w:rPr>
                <w:rFonts w:ascii="Arial" w:hAnsi="Arial" w:cs="Arial"/>
                <w:sz w:val="18"/>
                <w:szCs w:val="18"/>
              </w:rPr>
            </w:pPr>
            <w:r>
              <w:rPr>
                <w:rFonts w:ascii="Arial" w:hAnsi="Arial" w:cs="Arial"/>
                <w:sz w:val="18"/>
                <w:szCs w:val="18"/>
              </w:rPr>
              <w:t>219974.6</w:t>
            </w:r>
          </w:p>
        </w:tc>
        <w:tc>
          <w:tcPr>
            <w:tcW w:w="1213" w:type="dxa"/>
            <w:tcBorders>
              <w:top w:val="single" w:sz="4" w:space="0" w:color="auto"/>
            </w:tcBorders>
            <w:noWrap/>
            <w:vAlign w:val="bottom"/>
          </w:tcPr>
          <w:p w14:paraId="6B0B2D89" w14:textId="77777777" w:rsidR="005134AC" w:rsidRDefault="009A4237">
            <w:pPr>
              <w:pStyle w:val="Body"/>
              <w:jc w:val="center"/>
              <w:rPr>
                <w:rFonts w:ascii="Arial" w:hAnsi="Arial" w:cs="Arial"/>
                <w:sz w:val="18"/>
                <w:szCs w:val="18"/>
              </w:rPr>
            </w:pPr>
            <w:r>
              <w:rPr>
                <w:rFonts w:ascii="Arial" w:hAnsi="Arial" w:cs="Arial"/>
                <w:sz w:val="18"/>
                <w:szCs w:val="18"/>
              </w:rPr>
              <w:t>238000.97</w:t>
            </w:r>
          </w:p>
        </w:tc>
        <w:tc>
          <w:tcPr>
            <w:tcW w:w="1243" w:type="dxa"/>
            <w:tcBorders>
              <w:top w:val="single" w:sz="4" w:space="0" w:color="auto"/>
            </w:tcBorders>
            <w:noWrap/>
            <w:vAlign w:val="bottom"/>
          </w:tcPr>
          <w:p w14:paraId="6B0B2D8A" w14:textId="77777777" w:rsidR="005134AC" w:rsidRDefault="009A4237">
            <w:pPr>
              <w:pStyle w:val="Body"/>
              <w:jc w:val="center"/>
              <w:rPr>
                <w:rFonts w:ascii="Arial" w:hAnsi="Arial" w:cs="Arial"/>
                <w:sz w:val="18"/>
                <w:szCs w:val="18"/>
              </w:rPr>
            </w:pPr>
            <w:r>
              <w:rPr>
                <w:rFonts w:ascii="Arial" w:hAnsi="Arial" w:cs="Arial"/>
                <w:sz w:val="18"/>
                <w:szCs w:val="18"/>
              </w:rPr>
              <w:t>267989.99</w:t>
            </w:r>
          </w:p>
        </w:tc>
      </w:tr>
      <w:tr w:rsidR="005134AC" w14:paraId="6B0B2D93" w14:textId="77777777">
        <w:trPr>
          <w:trHeight w:val="283"/>
          <w:jc w:val="center"/>
        </w:trPr>
        <w:tc>
          <w:tcPr>
            <w:tcW w:w="559" w:type="dxa"/>
            <w:noWrap/>
            <w:vAlign w:val="bottom"/>
          </w:tcPr>
          <w:p w14:paraId="6B0B2D8C" w14:textId="77777777" w:rsidR="005134AC" w:rsidRDefault="009A4237">
            <w:pPr>
              <w:pStyle w:val="Body"/>
              <w:jc w:val="center"/>
              <w:rPr>
                <w:rFonts w:ascii="Arial" w:hAnsi="Arial" w:cs="Arial"/>
                <w:sz w:val="18"/>
                <w:szCs w:val="18"/>
              </w:rPr>
            </w:pPr>
            <w:r>
              <w:rPr>
                <w:rFonts w:ascii="Arial" w:hAnsi="Arial" w:cs="Arial"/>
                <w:sz w:val="18"/>
                <w:szCs w:val="18"/>
              </w:rPr>
              <w:t>2</w:t>
            </w:r>
          </w:p>
        </w:tc>
        <w:tc>
          <w:tcPr>
            <w:tcW w:w="2480" w:type="dxa"/>
            <w:noWrap/>
            <w:vAlign w:val="bottom"/>
          </w:tcPr>
          <w:p w14:paraId="6B0B2D8D" w14:textId="77777777" w:rsidR="005134AC" w:rsidRDefault="009A4237">
            <w:pPr>
              <w:pStyle w:val="Body"/>
              <w:jc w:val="left"/>
              <w:rPr>
                <w:rFonts w:ascii="Arial" w:hAnsi="Arial" w:cs="Arial"/>
                <w:sz w:val="18"/>
                <w:szCs w:val="18"/>
              </w:rPr>
            </w:pPr>
            <w:r>
              <w:rPr>
                <w:rFonts w:ascii="Arial" w:hAnsi="Arial" w:cs="Arial"/>
                <w:sz w:val="18"/>
                <w:szCs w:val="18"/>
              </w:rPr>
              <w:t>Public Account Liabilities</w:t>
            </w:r>
          </w:p>
        </w:tc>
        <w:tc>
          <w:tcPr>
            <w:tcW w:w="1105" w:type="dxa"/>
            <w:noWrap/>
            <w:vAlign w:val="bottom"/>
          </w:tcPr>
          <w:p w14:paraId="6B0B2D8E" w14:textId="77777777" w:rsidR="005134AC" w:rsidRDefault="009A4237">
            <w:pPr>
              <w:pStyle w:val="Body"/>
              <w:jc w:val="center"/>
              <w:rPr>
                <w:rFonts w:ascii="Arial" w:hAnsi="Arial" w:cs="Arial"/>
                <w:sz w:val="18"/>
                <w:szCs w:val="18"/>
              </w:rPr>
            </w:pPr>
            <w:r>
              <w:rPr>
                <w:rFonts w:ascii="Arial" w:hAnsi="Arial" w:cs="Arial"/>
                <w:sz w:val="18"/>
                <w:szCs w:val="18"/>
              </w:rPr>
              <w:t>90722.14</w:t>
            </w:r>
          </w:p>
        </w:tc>
        <w:tc>
          <w:tcPr>
            <w:tcW w:w="1105" w:type="dxa"/>
            <w:noWrap/>
            <w:vAlign w:val="bottom"/>
          </w:tcPr>
          <w:p w14:paraId="6B0B2D8F" w14:textId="77777777" w:rsidR="005134AC" w:rsidRDefault="009A4237">
            <w:pPr>
              <w:pStyle w:val="Body"/>
              <w:jc w:val="center"/>
              <w:rPr>
                <w:rFonts w:ascii="Arial" w:hAnsi="Arial" w:cs="Arial"/>
                <w:sz w:val="18"/>
                <w:szCs w:val="18"/>
              </w:rPr>
            </w:pPr>
            <w:r>
              <w:rPr>
                <w:rFonts w:ascii="Arial" w:hAnsi="Arial" w:cs="Arial"/>
                <w:sz w:val="18"/>
                <w:szCs w:val="18"/>
              </w:rPr>
              <w:t>102938.3</w:t>
            </w:r>
          </w:p>
        </w:tc>
        <w:tc>
          <w:tcPr>
            <w:tcW w:w="1105" w:type="dxa"/>
            <w:noWrap/>
            <w:vAlign w:val="bottom"/>
          </w:tcPr>
          <w:p w14:paraId="6B0B2D90" w14:textId="77777777" w:rsidR="005134AC" w:rsidRDefault="009A4237">
            <w:pPr>
              <w:pStyle w:val="Body"/>
              <w:jc w:val="center"/>
              <w:rPr>
                <w:rFonts w:ascii="Arial" w:hAnsi="Arial" w:cs="Arial"/>
                <w:sz w:val="18"/>
                <w:szCs w:val="18"/>
              </w:rPr>
            </w:pPr>
            <w:r>
              <w:rPr>
                <w:rFonts w:ascii="Arial" w:hAnsi="Arial" w:cs="Arial"/>
                <w:sz w:val="18"/>
                <w:szCs w:val="18"/>
              </w:rPr>
              <w:t>122912.9</w:t>
            </w:r>
          </w:p>
        </w:tc>
        <w:tc>
          <w:tcPr>
            <w:tcW w:w="1213" w:type="dxa"/>
            <w:noWrap/>
            <w:vAlign w:val="bottom"/>
          </w:tcPr>
          <w:p w14:paraId="6B0B2D91" w14:textId="77777777" w:rsidR="005134AC" w:rsidRDefault="009A4237">
            <w:pPr>
              <w:pStyle w:val="Body"/>
              <w:jc w:val="center"/>
              <w:rPr>
                <w:rFonts w:ascii="Arial" w:hAnsi="Arial" w:cs="Arial"/>
                <w:sz w:val="18"/>
                <w:szCs w:val="18"/>
              </w:rPr>
            </w:pPr>
            <w:r>
              <w:rPr>
                <w:rFonts w:ascii="Arial" w:hAnsi="Arial" w:cs="Arial"/>
                <w:sz w:val="18"/>
                <w:szCs w:val="18"/>
              </w:rPr>
              <w:t>132524.1</w:t>
            </w:r>
          </w:p>
        </w:tc>
        <w:tc>
          <w:tcPr>
            <w:tcW w:w="1243" w:type="dxa"/>
            <w:noWrap/>
            <w:vAlign w:val="bottom"/>
          </w:tcPr>
          <w:p w14:paraId="6B0B2D92" w14:textId="77777777" w:rsidR="005134AC" w:rsidRDefault="009A4237">
            <w:pPr>
              <w:pStyle w:val="Body"/>
              <w:jc w:val="center"/>
              <w:rPr>
                <w:rFonts w:ascii="Arial" w:hAnsi="Arial" w:cs="Arial"/>
                <w:sz w:val="18"/>
                <w:szCs w:val="18"/>
              </w:rPr>
            </w:pPr>
            <w:r>
              <w:rPr>
                <w:rFonts w:ascii="Arial" w:hAnsi="Arial" w:cs="Arial"/>
                <w:sz w:val="18"/>
                <w:szCs w:val="18"/>
              </w:rPr>
              <w:t>132725.85</w:t>
            </w:r>
          </w:p>
        </w:tc>
      </w:tr>
      <w:tr w:rsidR="005134AC" w14:paraId="6B0B2D9B" w14:textId="77777777">
        <w:trPr>
          <w:trHeight w:val="283"/>
          <w:jc w:val="center"/>
        </w:trPr>
        <w:tc>
          <w:tcPr>
            <w:tcW w:w="559" w:type="dxa"/>
            <w:noWrap/>
            <w:vAlign w:val="bottom"/>
          </w:tcPr>
          <w:p w14:paraId="6B0B2D94" w14:textId="77777777" w:rsidR="005134AC" w:rsidRDefault="009A4237">
            <w:pPr>
              <w:pStyle w:val="Body"/>
              <w:jc w:val="center"/>
              <w:rPr>
                <w:rFonts w:ascii="Arial" w:hAnsi="Arial" w:cs="Arial"/>
                <w:sz w:val="18"/>
                <w:szCs w:val="18"/>
              </w:rPr>
            </w:pPr>
            <w:r>
              <w:rPr>
                <w:rFonts w:ascii="Arial" w:hAnsi="Arial" w:cs="Arial"/>
                <w:sz w:val="18"/>
                <w:szCs w:val="18"/>
              </w:rPr>
              <w:t>3</w:t>
            </w:r>
          </w:p>
        </w:tc>
        <w:tc>
          <w:tcPr>
            <w:tcW w:w="2480" w:type="dxa"/>
            <w:noWrap/>
            <w:vAlign w:val="bottom"/>
          </w:tcPr>
          <w:p w14:paraId="6B0B2D95" w14:textId="77777777" w:rsidR="005134AC" w:rsidRDefault="009A4237">
            <w:pPr>
              <w:pStyle w:val="Body"/>
              <w:jc w:val="left"/>
              <w:rPr>
                <w:rFonts w:ascii="Arial" w:hAnsi="Arial" w:cs="Arial"/>
                <w:sz w:val="18"/>
                <w:szCs w:val="18"/>
              </w:rPr>
            </w:pPr>
            <w:r>
              <w:rPr>
                <w:rFonts w:ascii="Arial" w:hAnsi="Arial" w:cs="Arial"/>
                <w:sz w:val="18"/>
                <w:szCs w:val="18"/>
              </w:rPr>
              <w:t>Off-Budget Borrowing</w:t>
            </w:r>
          </w:p>
        </w:tc>
        <w:tc>
          <w:tcPr>
            <w:tcW w:w="1105" w:type="dxa"/>
            <w:noWrap/>
            <w:vAlign w:val="bottom"/>
          </w:tcPr>
          <w:p w14:paraId="6B0B2D96" w14:textId="77777777" w:rsidR="005134AC" w:rsidRDefault="009A4237">
            <w:pPr>
              <w:pStyle w:val="Body"/>
              <w:jc w:val="center"/>
              <w:rPr>
                <w:rFonts w:ascii="Arial" w:hAnsi="Arial" w:cs="Arial"/>
                <w:sz w:val="18"/>
                <w:szCs w:val="18"/>
              </w:rPr>
            </w:pPr>
            <w:r>
              <w:rPr>
                <w:rFonts w:ascii="Arial" w:hAnsi="Arial" w:cs="Arial"/>
                <w:sz w:val="18"/>
                <w:szCs w:val="18"/>
              </w:rPr>
              <w:t>14142.2</w:t>
            </w:r>
          </w:p>
        </w:tc>
        <w:tc>
          <w:tcPr>
            <w:tcW w:w="1105" w:type="dxa"/>
            <w:noWrap/>
            <w:vAlign w:val="bottom"/>
          </w:tcPr>
          <w:p w14:paraId="6B0B2D97" w14:textId="77777777" w:rsidR="005134AC" w:rsidRDefault="009A4237">
            <w:pPr>
              <w:pStyle w:val="Body"/>
              <w:jc w:val="center"/>
              <w:rPr>
                <w:rFonts w:ascii="Arial" w:hAnsi="Arial" w:cs="Arial"/>
                <w:sz w:val="18"/>
                <w:szCs w:val="18"/>
              </w:rPr>
            </w:pPr>
            <w:r>
              <w:rPr>
                <w:rFonts w:ascii="Arial" w:hAnsi="Arial" w:cs="Arial"/>
                <w:sz w:val="18"/>
                <w:szCs w:val="18"/>
              </w:rPr>
              <w:t>16469.05</w:t>
            </w:r>
          </w:p>
        </w:tc>
        <w:tc>
          <w:tcPr>
            <w:tcW w:w="1105" w:type="dxa"/>
            <w:noWrap/>
            <w:vAlign w:val="bottom"/>
          </w:tcPr>
          <w:p w14:paraId="6B0B2D98" w14:textId="77777777" w:rsidR="005134AC" w:rsidRDefault="009A4237">
            <w:pPr>
              <w:pStyle w:val="Body"/>
              <w:jc w:val="center"/>
              <w:rPr>
                <w:rFonts w:ascii="Arial" w:hAnsi="Arial" w:cs="Arial"/>
                <w:sz w:val="18"/>
                <w:szCs w:val="18"/>
              </w:rPr>
            </w:pPr>
            <w:r>
              <w:rPr>
                <w:rFonts w:ascii="Arial" w:hAnsi="Arial" w:cs="Arial"/>
                <w:sz w:val="18"/>
                <w:szCs w:val="18"/>
              </w:rPr>
              <w:t>24272.67</w:t>
            </w:r>
          </w:p>
        </w:tc>
        <w:tc>
          <w:tcPr>
            <w:tcW w:w="1213" w:type="dxa"/>
            <w:noWrap/>
            <w:vAlign w:val="bottom"/>
          </w:tcPr>
          <w:p w14:paraId="6B0B2D99" w14:textId="77777777" w:rsidR="005134AC" w:rsidRDefault="009A4237">
            <w:pPr>
              <w:pStyle w:val="Body"/>
              <w:jc w:val="center"/>
              <w:rPr>
                <w:rFonts w:ascii="Arial" w:hAnsi="Arial" w:cs="Arial"/>
                <w:sz w:val="18"/>
                <w:szCs w:val="18"/>
              </w:rPr>
            </w:pPr>
            <w:r>
              <w:rPr>
                <w:rFonts w:ascii="Arial" w:hAnsi="Arial" w:cs="Arial"/>
                <w:sz w:val="18"/>
                <w:szCs w:val="18"/>
              </w:rPr>
              <w:t>29475.97</w:t>
            </w:r>
          </w:p>
        </w:tc>
        <w:tc>
          <w:tcPr>
            <w:tcW w:w="1243" w:type="dxa"/>
            <w:noWrap/>
            <w:vAlign w:val="bottom"/>
          </w:tcPr>
          <w:p w14:paraId="6B0B2D9A" w14:textId="77777777" w:rsidR="005134AC" w:rsidRDefault="009A4237">
            <w:pPr>
              <w:pStyle w:val="Body"/>
              <w:jc w:val="center"/>
              <w:rPr>
                <w:rFonts w:ascii="Arial" w:hAnsi="Arial" w:cs="Arial"/>
                <w:sz w:val="18"/>
                <w:szCs w:val="18"/>
              </w:rPr>
            </w:pPr>
            <w:r>
              <w:rPr>
                <w:rFonts w:ascii="Arial" w:hAnsi="Arial" w:cs="Arial"/>
                <w:sz w:val="18"/>
                <w:szCs w:val="18"/>
              </w:rPr>
              <w:t>32942.14</w:t>
            </w:r>
          </w:p>
        </w:tc>
      </w:tr>
      <w:tr w:rsidR="005134AC" w14:paraId="6B0B2DA3" w14:textId="77777777">
        <w:trPr>
          <w:trHeight w:val="283"/>
          <w:jc w:val="center"/>
        </w:trPr>
        <w:tc>
          <w:tcPr>
            <w:tcW w:w="559" w:type="dxa"/>
            <w:noWrap/>
            <w:vAlign w:val="bottom"/>
          </w:tcPr>
          <w:p w14:paraId="6B0B2D9C" w14:textId="77777777" w:rsidR="005134AC" w:rsidRDefault="009A4237">
            <w:pPr>
              <w:pStyle w:val="Body"/>
              <w:jc w:val="center"/>
              <w:rPr>
                <w:rFonts w:ascii="Arial" w:hAnsi="Arial" w:cs="Arial"/>
                <w:sz w:val="18"/>
                <w:szCs w:val="18"/>
              </w:rPr>
            </w:pPr>
            <w:r>
              <w:rPr>
                <w:rFonts w:ascii="Arial" w:hAnsi="Arial" w:cs="Arial"/>
                <w:sz w:val="18"/>
                <w:szCs w:val="18"/>
              </w:rPr>
              <w:lastRenderedPageBreak/>
              <w:t>4</w:t>
            </w:r>
          </w:p>
        </w:tc>
        <w:tc>
          <w:tcPr>
            <w:tcW w:w="2480" w:type="dxa"/>
            <w:noWrap/>
            <w:vAlign w:val="bottom"/>
          </w:tcPr>
          <w:p w14:paraId="6B0B2D9D" w14:textId="77777777" w:rsidR="005134AC" w:rsidRDefault="009A4237">
            <w:pPr>
              <w:pStyle w:val="Body"/>
              <w:jc w:val="left"/>
              <w:rPr>
                <w:rFonts w:ascii="Arial" w:hAnsi="Arial" w:cs="Arial"/>
                <w:sz w:val="18"/>
                <w:szCs w:val="18"/>
              </w:rPr>
            </w:pPr>
            <w:r>
              <w:rPr>
                <w:rFonts w:ascii="Arial" w:hAnsi="Arial" w:cs="Arial"/>
                <w:sz w:val="18"/>
                <w:szCs w:val="18"/>
              </w:rPr>
              <w:t>Overall Liabilities</w:t>
            </w:r>
          </w:p>
        </w:tc>
        <w:tc>
          <w:tcPr>
            <w:tcW w:w="1105" w:type="dxa"/>
            <w:noWrap/>
            <w:vAlign w:val="bottom"/>
          </w:tcPr>
          <w:p w14:paraId="6B0B2D9E" w14:textId="77777777" w:rsidR="005134AC" w:rsidRDefault="009A4237">
            <w:pPr>
              <w:pStyle w:val="Body"/>
              <w:jc w:val="center"/>
              <w:rPr>
                <w:rFonts w:ascii="Arial" w:hAnsi="Arial" w:cs="Arial"/>
                <w:sz w:val="18"/>
                <w:szCs w:val="18"/>
              </w:rPr>
            </w:pPr>
            <w:r>
              <w:rPr>
                <w:rFonts w:ascii="Arial" w:hAnsi="Arial" w:cs="Arial"/>
                <w:sz w:val="18"/>
                <w:szCs w:val="18"/>
              </w:rPr>
              <w:t>279504.56</w:t>
            </w:r>
          </w:p>
        </w:tc>
        <w:tc>
          <w:tcPr>
            <w:tcW w:w="1105" w:type="dxa"/>
            <w:noWrap/>
            <w:vAlign w:val="bottom"/>
          </w:tcPr>
          <w:p w14:paraId="6B0B2D9F" w14:textId="77777777" w:rsidR="005134AC" w:rsidRDefault="009A4237">
            <w:pPr>
              <w:pStyle w:val="Body"/>
              <w:jc w:val="center"/>
              <w:rPr>
                <w:rFonts w:ascii="Arial" w:hAnsi="Arial" w:cs="Arial"/>
                <w:sz w:val="18"/>
                <w:szCs w:val="18"/>
              </w:rPr>
            </w:pPr>
            <w:r>
              <w:rPr>
                <w:rFonts w:ascii="Arial" w:hAnsi="Arial" w:cs="Arial"/>
                <w:sz w:val="18"/>
                <w:szCs w:val="18"/>
              </w:rPr>
              <w:t>319089.06</w:t>
            </w:r>
          </w:p>
        </w:tc>
        <w:tc>
          <w:tcPr>
            <w:tcW w:w="1105" w:type="dxa"/>
            <w:noWrap/>
            <w:vAlign w:val="bottom"/>
          </w:tcPr>
          <w:p w14:paraId="6B0B2DA0" w14:textId="77777777" w:rsidR="005134AC" w:rsidRDefault="009A4237">
            <w:pPr>
              <w:pStyle w:val="Body"/>
              <w:jc w:val="center"/>
              <w:rPr>
                <w:rFonts w:ascii="Arial" w:hAnsi="Arial" w:cs="Arial"/>
                <w:sz w:val="18"/>
                <w:szCs w:val="18"/>
              </w:rPr>
            </w:pPr>
            <w:r>
              <w:rPr>
                <w:rFonts w:ascii="Arial" w:hAnsi="Arial" w:cs="Arial"/>
                <w:sz w:val="18"/>
                <w:szCs w:val="18"/>
              </w:rPr>
              <w:t>367160.12</w:t>
            </w:r>
          </w:p>
        </w:tc>
        <w:tc>
          <w:tcPr>
            <w:tcW w:w="1213" w:type="dxa"/>
            <w:noWrap/>
            <w:vAlign w:val="bottom"/>
          </w:tcPr>
          <w:p w14:paraId="6B0B2DA1" w14:textId="77777777" w:rsidR="005134AC" w:rsidRDefault="009A4237">
            <w:pPr>
              <w:pStyle w:val="Body"/>
              <w:jc w:val="center"/>
              <w:rPr>
                <w:rFonts w:ascii="Arial" w:hAnsi="Arial" w:cs="Arial"/>
                <w:sz w:val="18"/>
                <w:szCs w:val="18"/>
              </w:rPr>
            </w:pPr>
            <w:r>
              <w:rPr>
                <w:rFonts w:ascii="Arial" w:hAnsi="Arial" w:cs="Arial"/>
                <w:sz w:val="18"/>
                <w:szCs w:val="18"/>
              </w:rPr>
              <w:t>400001.040</w:t>
            </w:r>
          </w:p>
        </w:tc>
        <w:tc>
          <w:tcPr>
            <w:tcW w:w="1243" w:type="dxa"/>
            <w:noWrap/>
            <w:vAlign w:val="bottom"/>
          </w:tcPr>
          <w:p w14:paraId="6B0B2DA2" w14:textId="77777777" w:rsidR="005134AC" w:rsidRDefault="009A4237">
            <w:pPr>
              <w:pStyle w:val="Body"/>
              <w:jc w:val="center"/>
              <w:rPr>
                <w:rFonts w:ascii="Arial" w:hAnsi="Arial" w:cs="Arial"/>
                <w:sz w:val="18"/>
                <w:szCs w:val="18"/>
              </w:rPr>
            </w:pPr>
            <w:r>
              <w:rPr>
                <w:rFonts w:ascii="Arial" w:hAnsi="Arial" w:cs="Arial"/>
                <w:sz w:val="18"/>
                <w:szCs w:val="18"/>
              </w:rPr>
              <w:t>433657.98</w:t>
            </w:r>
          </w:p>
        </w:tc>
      </w:tr>
      <w:tr w:rsidR="005134AC" w14:paraId="6B0B2DAB" w14:textId="77777777">
        <w:trPr>
          <w:trHeight w:val="283"/>
          <w:jc w:val="center"/>
        </w:trPr>
        <w:tc>
          <w:tcPr>
            <w:tcW w:w="559" w:type="dxa"/>
            <w:noWrap/>
            <w:vAlign w:val="bottom"/>
          </w:tcPr>
          <w:p w14:paraId="6B0B2DA4" w14:textId="77777777" w:rsidR="005134AC" w:rsidRDefault="009A4237">
            <w:pPr>
              <w:pStyle w:val="Body"/>
              <w:jc w:val="center"/>
              <w:rPr>
                <w:rFonts w:ascii="Arial" w:hAnsi="Arial" w:cs="Arial"/>
                <w:sz w:val="18"/>
                <w:szCs w:val="18"/>
              </w:rPr>
            </w:pPr>
            <w:r>
              <w:rPr>
                <w:rFonts w:ascii="Arial" w:hAnsi="Arial" w:cs="Arial"/>
                <w:sz w:val="18"/>
                <w:szCs w:val="18"/>
              </w:rPr>
              <w:t>5</w:t>
            </w:r>
          </w:p>
        </w:tc>
        <w:tc>
          <w:tcPr>
            <w:tcW w:w="2480" w:type="dxa"/>
            <w:noWrap/>
            <w:vAlign w:val="bottom"/>
          </w:tcPr>
          <w:p w14:paraId="6B0B2DA5" w14:textId="77777777" w:rsidR="005134AC" w:rsidRDefault="009A4237">
            <w:pPr>
              <w:pStyle w:val="Body"/>
              <w:jc w:val="left"/>
              <w:rPr>
                <w:rFonts w:ascii="Arial" w:hAnsi="Arial" w:cs="Arial"/>
                <w:sz w:val="18"/>
                <w:szCs w:val="18"/>
              </w:rPr>
            </w:pPr>
            <w:r>
              <w:rPr>
                <w:rFonts w:ascii="Arial" w:hAnsi="Arial" w:cs="Arial"/>
                <w:sz w:val="18"/>
                <w:szCs w:val="18"/>
              </w:rPr>
              <w:t>GSDP (Nominal)</w:t>
            </w:r>
          </w:p>
        </w:tc>
        <w:tc>
          <w:tcPr>
            <w:tcW w:w="1105" w:type="dxa"/>
            <w:noWrap/>
            <w:vAlign w:val="bottom"/>
          </w:tcPr>
          <w:p w14:paraId="6B0B2DA6" w14:textId="77777777" w:rsidR="005134AC" w:rsidRDefault="009A4237">
            <w:pPr>
              <w:pStyle w:val="Body"/>
              <w:jc w:val="center"/>
              <w:rPr>
                <w:rFonts w:ascii="Arial" w:hAnsi="Arial" w:cs="Arial"/>
                <w:sz w:val="18"/>
                <w:szCs w:val="18"/>
              </w:rPr>
            </w:pPr>
            <w:r>
              <w:rPr>
                <w:rFonts w:ascii="Arial" w:hAnsi="Arial" w:cs="Arial"/>
                <w:sz w:val="18"/>
                <w:szCs w:val="18"/>
              </w:rPr>
              <w:t>812934.6</w:t>
            </w:r>
          </w:p>
        </w:tc>
        <w:tc>
          <w:tcPr>
            <w:tcW w:w="1105" w:type="dxa"/>
            <w:noWrap/>
            <w:vAlign w:val="bottom"/>
          </w:tcPr>
          <w:p w14:paraId="6B0B2DA7" w14:textId="77777777" w:rsidR="005134AC" w:rsidRDefault="009A4237">
            <w:pPr>
              <w:pStyle w:val="Body"/>
              <w:jc w:val="center"/>
              <w:rPr>
                <w:rFonts w:ascii="Arial" w:hAnsi="Arial" w:cs="Arial"/>
                <w:sz w:val="18"/>
                <w:szCs w:val="18"/>
              </w:rPr>
            </w:pPr>
            <w:r>
              <w:rPr>
                <w:rFonts w:ascii="Arial" w:hAnsi="Arial" w:cs="Arial"/>
                <w:sz w:val="18"/>
                <w:szCs w:val="18"/>
              </w:rPr>
              <w:t>771723.9</w:t>
            </w:r>
          </w:p>
        </w:tc>
        <w:tc>
          <w:tcPr>
            <w:tcW w:w="1105" w:type="dxa"/>
            <w:noWrap/>
            <w:vAlign w:val="bottom"/>
          </w:tcPr>
          <w:p w14:paraId="6B0B2DA8" w14:textId="77777777" w:rsidR="005134AC" w:rsidRDefault="009A4237">
            <w:pPr>
              <w:pStyle w:val="Body"/>
              <w:jc w:val="center"/>
              <w:rPr>
                <w:rFonts w:ascii="Arial" w:hAnsi="Arial" w:cs="Arial"/>
                <w:sz w:val="18"/>
                <w:szCs w:val="18"/>
              </w:rPr>
            </w:pPr>
            <w:r>
              <w:rPr>
                <w:rFonts w:ascii="Arial" w:hAnsi="Arial" w:cs="Arial"/>
                <w:sz w:val="18"/>
                <w:szCs w:val="18"/>
              </w:rPr>
              <w:t>924465.5</w:t>
            </w:r>
          </w:p>
        </w:tc>
        <w:tc>
          <w:tcPr>
            <w:tcW w:w="1213" w:type="dxa"/>
            <w:noWrap/>
            <w:vAlign w:val="bottom"/>
          </w:tcPr>
          <w:p w14:paraId="6B0B2DA9" w14:textId="77777777" w:rsidR="005134AC" w:rsidRDefault="009A4237">
            <w:pPr>
              <w:pStyle w:val="Body"/>
              <w:jc w:val="center"/>
              <w:rPr>
                <w:rFonts w:ascii="Arial" w:hAnsi="Arial" w:cs="Arial"/>
                <w:sz w:val="18"/>
                <w:szCs w:val="18"/>
              </w:rPr>
            </w:pPr>
            <w:r>
              <w:rPr>
                <w:rFonts w:ascii="Arial" w:hAnsi="Arial" w:cs="Arial"/>
                <w:sz w:val="18"/>
                <w:szCs w:val="18"/>
              </w:rPr>
              <w:t>1023602.5</w:t>
            </w:r>
          </w:p>
        </w:tc>
        <w:tc>
          <w:tcPr>
            <w:tcW w:w="1243" w:type="dxa"/>
            <w:noWrap/>
            <w:vAlign w:val="bottom"/>
          </w:tcPr>
          <w:p w14:paraId="6B0B2DAA" w14:textId="77777777" w:rsidR="005134AC" w:rsidRDefault="009A4237">
            <w:pPr>
              <w:pStyle w:val="Body"/>
              <w:jc w:val="center"/>
              <w:rPr>
                <w:rFonts w:ascii="Arial" w:hAnsi="Arial" w:cs="Arial"/>
                <w:sz w:val="18"/>
                <w:szCs w:val="18"/>
              </w:rPr>
            </w:pPr>
            <w:r>
              <w:rPr>
                <w:rFonts w:ascii="Arial" w:hAnsi="Arial" w:cs="Arial"/>
                <w:sz w:val="18"/>
                <w:szCs w:val="18"/>
              </w:rPr>
              <w:t>1146108.67</w:t>
            </w:r>
          </w:p>
        </w:tc>
      </w:tr>
      <w:tr w:rsidR="005134AC" w14:paraId="6B0B2DB3" w14:textId="77777777">
        <w:trPr>
          <w:trHeight w:val="283"/>
          <w:jc w:val="center"/>
        </w:trPr>
        <w:tc>
          <w:tcPr>
            <w:tcW w:w="559" w:type="dxa"/>
            <w:tcBorders>
              <w:bottom w:val="single" w:sz="4" w:space="0" w:color="auto"/>
            </w:tcBorders>
            <w:noWrap/>
            <w:vAlign w:val="bottom"/>
          </w:tcPr>
          <w:p w14:paraId="6B0B2DAC" w14:textId="77777777" w:rsidR="005134AC" w:rsidRDefault="009A4237">
            <w:pPr>
              <w:pStyle w:val="Body"/>
              <w:jc w:val="center"/>
              <w:rPr>
                <w:rFonts w:ascii="Arial" w:hAnsi="Arial" w:cs="Arial"/>
                <w:sz w:val="18"/>
                <w:szCs w:val="18"/>
              </w:rPr>
            </w:pPr>
            <w:r>
              <w:rPr>
                <w:rFonts w:ascii="Arial" w:hAnsi="Arial" w:cs="Arial"/>
                <w:sz w:val="18"/>
                <w:szCs w:val="18"/>
              </w:rPr>
              <w:t>6</w:t>
            </w:r>
          </w:p>
        </w:tc>
        <w:tc>
          <w:tcPr>
            <w:tcW w:w="2480" w:type="dxa"/>
            <w:tcBorders>
              <w:bottom w:val="single" w:sz="4" w:space="0" w:color="auto"/>
            </w:tcBorders>
            <w:noWrap/>
            <w:vAlign w:val="bottom"/>
          </w:tcPr>
          <w:p w14:paraId="6B0B2DAD" w14:textId="77777777" w:rsidR="005134AC" w:rsidRDefault="009A4237">
            <w:pPr>
              <w:pStyle w:val="Body"/>
              <w:jc w:val="left"/>
              <w:rPr>
                <w:rFonts w:ascii="Arial" w:hAnsi="Arial" w:cs="Arial"/>
                <w:b/>
                <w:bCs/>
                <w:sz w:val="18"/>
                <w:szCs w:val="18"/>
              </w:rPr>
            </w:pPr>
            <w:r>
              <w:rPr>
                <w:rFonts w:ascii="Arial" w:hAnsi="Arial" w:cs="Arial"/>
                <w:b/>
                <w:bCs/>
                <w:sz w:val="18"/>
                <w:szCs w:val="18"/>
              </w:rPr>
              <w:t>Overall Liabilities/GSDP (%)</w:t>
            </w:r>
          </w:p>
        </w:tc>
        <w:tc>
          <w:tcPr>
            <w:tcW w:w="1105" w:type="dxa"/>
            <w:tcBorders>
              <w:bottom w:val="single" w:sz="4" w:space="0" w:color="auto"/>
            </w:tcBorders>
            <w:noWrap/>
            <w:vAlign w:val="bottom"/>
          </w:tcPr>
          <w:p w14:paraId="6B0B2DAE" w14:textId="77777777" w:rsidR="005134AC" w:rsidRDefault="009A4237">
            <w:pPr>
              <w:pStyle w:val="Body"/>
              <w:jc w:val="center"/>
              <w:rPr>
                <w:rFonts w:ascii="Arial" w:hAnsi="Arial" w:cs="Arial"/>
                <w:b/>
                <w:bCs/>
                <w:sz w:val="18"/>
                <w:szCs w:val="18"/>
              </w:rPr>
            </w:pPr>
            <w:r>
              <w:rPr>
                <w:rFonts w:ascii="Arial" w:hAnsi="Arial" w:cs="Arial"/>
                <w:b/>
                <w:bCs/>
                <w:sz w:val="18"/>
                <w:szCs w:val="18"/>
              </w:rPr>
              <w:t>34.38</w:t>
            </w:r>
          </w:p>
        </w:tc>
        <w:tc>
          <w:tcPr>
            <w:tcW w:w="1105" w:type="dxa"/>
            <w:tcBorders>
              <w:bottom w:val="single" w:sz="4" w:space="0" w:color="auto"/>
            </w:tcBorders>
            <w:noWrap/>
            <w:vAlign w:val="bottom"/>
          </w:tcPr>
          <w:p w14:paraId="6B0B2DAF" w14:textId="77777777" w:rsidR="005134AC" w:rsidRDefault="009A4237">
            <w:pPr>
              <w:pStyle w:val="Body"/>
              <w:jc w:val="center"/>
              <w:rPr>
                <w:rFonts w:ascii="Arial" w:hAnsi="Arial" w:cs="Arial"/>
                <w:b/>
                <w:bCs/>
                <w:sz w:val="18"/>
                <w:szCs w:val="18"/>
              </w:rPr>
            </w:pPr>
            <w:r>
              <w:rPr>
                <w:rFonts w:ascii="Arial" w:hAnsi="Arial" w:cs="Arial"/>
                <w:b/>
                <w:bCs/>
                <w:sz w:val="18"/>
                <w:szCs w:val="18"/>
              </w:rPr>
              <w:t>41.35</w:t>
            </w:r>
          </w:p>
        </w:tc>
        <w:tc>
          <w:tcPr>
            <w:tcW w:w="1105" w:type="dxa"/>
            <w:tcBorders>
              <w:bottom w:val="single" w:sz="4" w:space="0" w:color="auto"/>
            </w:tcBorders>
            <w:noWrap/>
            <w:vAlign w:val="bottom"/>
          </w:tcPr>
          <w:p w14:paraId="6B0B2DB0" w14:textId="77777777" w:rsidR="005134AC" w:rsidRDefault="009A4237">
            <w:pPr>
              <w:pStyle w:val="Body"/>
              <w:jc w:val="center"/>
              <w:rPr>
                <w:rFonts w:ascii="Arial" w:hAnsi="Arial" w:cs="Arial"/>
                <w:b/>
                <w:bCs/>
                <w:sz w:val="18"/>
                <w:szCs w:val="18"/>
              </w:rPr>
            </w:pPr>
            <w:r>
              <w:rPr>
                <w:rFonts w:ascii="Arial" w:hAnsi="Arial" w:cs="Arial"/>
                <w:b/>
                <w:bCs/>
                <w:sz w:val="18"/>
                <w:szCs w:val="18"/>
              </w:rPr>
              <w:t>39.72</w:t>
            </w:r>
          </w:p>
        </w:tc>
        <w:tc>
          <w:tcPr>
            <w:tcW w:w="1213" w:type="dxa"/>
            <w:tcBorders>
              <w:bottom w:val="single" w:sz="4" w:space="0" w:color="auto"/>
            </w:tcBorders>
            <w:noWrap/>
            <w:vAlign w:val="bottom"/>
          </w:tcPr>
          <w:p w14:paraId="6B0B2DB1" w14:textId="77777777" w:rsidR="005134AC" w:rsidRDefault="009A4237">
            <w:pPr>
              <w:pStyle w:val="Body"/>
              <w:jc w:val="center"/>
              <w:rPr>
                <w:rFonts w:ascii="Arial" w:hAnsi="Arial" w:cs="Arial"/>
                <w:b/>
                <w:bCs/>
                <w:sz w:val="18"/>
                <w:szCs w:val="18"/>
              </w:rPr>
            </w:pPr>
            <w:r>
              <w:rPr>
                <w:rFonts w:ascii="Arial" w:hAnsi="Arial" w:cs="Arial"/>
                <w:b/>
                <w:bCs/>
                <w:sz w:val="18"/>
                <w:szCs w:val="18"/>
              </w:rPr>
              <w:t>39.08</w:t>
            </w:r>
          </w:p>
        </w:tc>
        <w:tc>
          <w:tcPr>
            <w:tcW w:w="1243" w:type="dxa"/>
            <w:tcBorders>
              <w:bottom w:val="single" w:sz="4" w:space="0" w:color="auto"/>
            </w:tcBorders>
            <w:noWrap/>
            <w:vAlign w:val="bottom"/>
          </w:tcPr>
          <w:p w14:paraId="6B0B2DB2" w14:textId="77777777" w:rsidR="005134AC" w:rsidRDefault="009A4237">
            <w:pPr>
              <w:pStyle w:val="Body"/>
              <w:jc w:val="center"/>
              <w:rPr>
                <w:rFonts w:ascii="Arial" w:hAnsi="Arial" w:cs="Arial"/>
                <w:b/>
                <w:bCs/>
                <w:sz w:val="18"/>
                <w:szCs w:val="18"/>
              </w:rPr>
            </w:pPr>
            <w:r>
              <w:rPr>
                <w:rFonts w:ascii="Arial" w:hAnsi="Arial" w:cs="Arial"/>
                <w:b/>
                <w:bCs/>
                <w:sz w:val="18"/>
                <w:szCs w:val="18"/>
              </w:rPr>
              <w:t>37.84</w:t>
            </w:r>
          </w:p>
        </w:tc>
      </w:tr>
    </w:tbl>
    <w:p w14:paraId="6B0B2DB4" w14:textId="77777777" w:rsidR="005134AC" w:rsidRDefault="009A4237">
      <w:pPr>
        <w:pStyle w:val="Body"/>
        <w:spacing w:after="0"/>
        <w:jc w:val="left"/>
        <w:rPr>
          <w:rFonts w:ascii="Arial" w:hAnsi="Arial" w:cs="Arial"/>
        </w:rPr>
      </w:pPr>
      <w:r>
        <w:rPr>
          <w:rFonts w:ascii="Arial" w:hAnsi="Arial" w:cs="Arial"/>
        </w:rPr>
        <w:t>Source: State Finance Audit Report- Comptroller and Auditor General of India</w:t>
      </w:r>
    </w:p>
    <w:p w14:paraId="6B0B2DB5" w14:textId="77777777" w:rsidR="005134AC" w:rsidRDefault="005134AC">
      <w:pPr>
        <w:pStyle w:val="Body"/>
        <w:spacing w:after="0"/>
        <w:jc w:val="left"/>
        <w:rPr>
          <w:rFonts w:ascii="Arial" w:hAnsi="Arial" w:cs="Arial"/>
        </w:rPr>
      </w:pPr>
    </w:p>
    <w:p w14:paraId="6B0B2DB6" w14:textId="77777777" w:rsidR="005134AC" w:rsidRDefault="009A4237">
      <w:pPr>
        <w:pStyle w:val="Body"/>
        <w:spacing w:after="0"/>
        <w:rPr>
          <w:rFonts w:ascii="Arial" w:hAnsi="Arial" w:cs="Arial"/>
        </w:rPr>
      </w:pPr>
      <w:r>
        <w:rPr>
          <w:rFonts w:ascii="Arial" w:hAnsi="Arial" w:cs="Arial"/>
        </w:rPr>
        <w:t xml:space="preserve">Table 1 highlights key indicators that reflect the state’s debt position and fiscal sustainability. The data show a consistent increase in Public Debt, rising from ₹1,74,640 crore in 2019–20 to ₹2,67,990 crore in 2023–24, indicating a growing dependence on borrowings to meet fiscal needs. Public Account Liabilities also increased from ₹90,722 crore to ₹1,32,726 crore during the same period, reflecting higher non-debt obligations such as provident funds and deposits. A notable rise is observed in Off-Budget Borrowings, which almost doubled from ₹14,142 crore to ₹32,942 crore, suggesting an increased reliance on borrowings outside the budget framework. Consequently, Overall Liabilities expanded from ₹2,79,505 crore in 2019–20 to ₹4,33,658 crore in 2023–24, marking a rise of over 55 per cent in five years. Meanwhile, Kerala’s Gross State Domestic Product (GSDP) grew from ₹8,12,935 crore to ₹11,46,109 crore, indicating a recovery in economic activity post-pandemic. The Overall Liabilities to GSDP ratio, which measures debt sustainability, increased sharply to 41.35 per cent in 2020–21 due to pandemic-related fiscal stress but gradually declined to 37.84 per cent by 2023–24, implying some improvement in the state’s fiscal position. Overall, while Kerala’s total debt burden has risen considerably, the declining debt-to-GSDP ratio in recent years reflects a gradual </w:t>
      </w:r>
      <w:proofErr w:type="spellStart"/>
      <w:r>
        <w:rPr>
          <w:rFonts w:ascii="Arial" w:hAnsi="Arial" w:cs="Arial"/>
        </w:rPr>
        <w:t>stabilisation</w:t>
      </w:r>
      <w:proofErr w:type="spellEnd"/>
      <w:r>
        <w:rPr>
          <w:rFonts w:ascii="Arial" w:hAnsi="Arial" w:cs="Arial"/>
        </w:rPr>
        <w:t xml:space="preserve"> supported by economic growth and improved fiscal management.</w:t>
      </w:r>
    </w:p>
    <w:p w14:paraId="6B0B2DB7" w14:textId="77777777" w:rsidR="005134AC" w:rsidRDefault="005134AC">
      <w:pPr>
        <w:pStyle w:val="Body"/>
        <w:spacing w:after="0"/>
        <w:rPr>
          <w:rFonts w:ascii="Arial" w:hAnsi="Arial" w:cs="Arial"/>
        </w:rPr>
      </w:pPr>
    </w:p>
    <w:p w14:paraId="6B0B2DB8" w14:textId="77777777" w:rsidR="005134AC" w:rsidRDefault="009A4237">
      <w:pPr>
        <w:pStyle w:val="Body"/>
        <w:spacing w:after="0"/>
        <w:rPr>
          <w:rFonts w:ascii="Arial" w:hAnsi="Arial" w:cs="Arial"/>
          <w:b/>
          <w:bCs/>
        </w:rPr>
      </w:pPr>
      <w:r>
        <w:rPr>
          <w:rFonts w:ascii="Arial" w:hAnsi="Arial" w:cs="Arial"/>
          <w:b/>
          <w:bCs/>
        </w:rPr>
        <w:t>3.2 Growth of Overall Liabilities and GSDP of Kerala</w:t>
      </w:r>
    </w:p>
    <w:p w14:paraId="6B0B2DB9" w14:textId="77777777" w:rsidR="005134AC" w:rsidRDefault="009A4237">
      <w:pPr>
        <w:pStyle w:val="Body"/>
        <w:spacing w:after="0"/>
        <w:rPr>
          <w:rFonts w:ascii="Arial" w:hAnsi="Arial" w:cs="Arial"/>
        </w:rPr>
      </w:pPr>
      <w:r>
        <w:rPr>
          <w:rFonts w:ascii="Arial" w:hAnsi="Arial" w:cs="Arial"/>
        </w:rPr>
        <w:t>Figure 1 presents the trend in the rate of growth of overall liabilities and the GSDP growth rate of Kerala from 2016–17 to 2023–24. It highlights the changing relationship between the state’s debt growth and economic performance over time. By comparing these two indicators, the figure provides insights into Kerala’s fiscal and economic dynamics, showing how the pace of debt accumulation has corresponded with fluctuations in the state’s economic growth, particularly during and after the COVID-19 pandemic period.</w:t>
      </w:r>
    </w:p>
    <w:p w14:paraId="6B0B2DBA" w14:textId="77777777" w:rsidR="005134AC" w:rsidRDefault="005134AC">
      <w:pPr>
        <w:pStyle w:val="Body"/>
        <w:spacing w:after="0"/>
        <w:rPr>
          <w:rFonts w:ascii="Arial" w:hAnsi="Arial" w:cs="Arial"/>
        </w:rPr>
      </w:pPr>
    </w:p>
    <w:p w14:paraId="6B0B2DBB" w14:textId="77777777" w:rsidR="005134AC" w:rsidRDefault="009A4237">
      <w:pPr>
        <w:pStyle w:val="Body"/>
        <w:spacing w:after="0"/>
        <w:jc w:val="center"/>
        <w:rPr>
          <w:rFonts w:ascii="Arial" w:hAnsi="Arial" w:cs="Arial"/>
          <w:b/>
          <w:bCs/>
        </w:rPr>
      </w:pPr>
      <w:r>
        <w:rPr>
          <w:rFonts w:ascii="Arial" w:hAnsi="Arial" w:cs="Arial"/>
          <w:b/>
          <w:bCs/>
        </w:rPr>
        <w:t>Figure 1: Rate of Growth of Overall Liabilities and GSDP (2016-17 to 2023-24</w:t>
      </w:r>
    </w:p>
    <w:p w14:paraId="6B0B2DBC" w14:textId="77777777" w:rsidR="005134AC" w:rsidRDefault="009A4237">
      <w:pPr>
        <w:pStyle w:val="Body"/>
        <w:spacing w:after="0"/>
        <w:jc w:val="center"/>
        <w:rPr>
          <w:rFonts w:ascii="Arial" w:hAnsi="Arial" w:cs="Arial"/>
        </w:rPr>
      </w:pPr>
      <w:r>
        <w:rPr>
          <w:rFonts w:ascii="Arial" w:hAnsi="Arial" w:cs="Arial"/>
          <w:noProof/>
        </w:rPr>
        <w:drawing>
          <wp:inline distT="0" distB="0" distL="0" distR="0" wp14:anchorId="6B0B2F37" wp14:editId="6B0B2F38">
            <wp:extent cx="4914900" cy="2339340"/>
            <wp:effectExtent l="0" t="0" r="0" b="3810"/>
            <wp:docPr id="1827370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7035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914900" cy="2339340"/>
                    </a:xfrm>
                    <a:prstGeom prst="rect">
                      <a:avLst/>
                    </a:prstGeom>
                    <a:noFill/>
                    <a:ln>
                      <a:noFill/>
                    </a:ln>
                  </pic:spPr>
                </pic:pic>
              </a:graphicData>
            </a:graphic>
          </wp:inline>
        </w:drawing>
      </w:r>
    </w:p>
    <w:p w14:paraId="6B0B2DBD" w14:textId="77777777" w:rsidR="005134AC" w:rsidRDefault="009A4237">
      <w:pPr>
        <w:pStyle w:val="Body"/>
        <w:spacing w:after="0"/>
        <w:ind w:firstLine="720"/>
        <w:jc w:val="left"/>
        <w:rPr>
          <w:rFonts w:ascii="Arial" w:hAnsi="Arial" w:cs="Arial"/>
        </w:rPr>
      </w:pPr>
      <w:r>
        <w:rPr>
          <w:rFonts w:ascii="Arial" w:hAnsi="Arial" w:cs="Arial"/>
        </w:rPr>
        <w:t xml:space="preserve">Source: </w:t>
      </w:r>
      <w:bookmarkStart w:id="0" w:name="_Hlk211677788"/>
      <w:r>
        <w:rPr>
          <w:rFonts w:ascii="Arial" w:hAnsi="Arial" w:cs="Arial"/>
        </w:rPr>
        <w:t>State Finance Audit Report- Comptroller and Auditor General of India</w:t>
      </w:r>
      <w:bookmarkEnd w:id="0"/>
    </w:p>
    <w:p w14:paraId="6B0B2DBE" w14:textId="77777777" w:rsidR="005134AC" w:rsidRDefault="005134AC">
      <w:pPr>
        <w:pStyle w:val="Body"/>
        <w:spacing w:after="0"/>
        <w:jc w:val="left"/>
        <w:rPr>
          <w:rFonts w:ascii="Arial" w:hAnsi="Arial" w:cs="Arial"/>
        </w:rPr>
      </w:pPr>
    </w:p>
    <w:p w14:paraId="6B0B2DBF" w14:textId="77777777" w:rsidR="005134AC" w:rsidRDefault="009A4237">
      <w:pPr>
        <w:pStyle w:val="Body"/>
        <w:spacing w:after="0"/>
        <w:rPr>
          <w:rFonts w:ascii="Arial" w:hAnsi="Arial" w:cs="Arial"/>
        </w:rPr>
      </w:pPr>
      <w:r>
        <w:rPr>
          <w:rFonts w:ascii="Arial" w:hAnsi="Arial" w:cs="Arial"/>
        </w:rPr>
        <w:lastRenderedPageBreak/>
        <w:t>Figure 1 illustrates the comparative trend between the rate of growth of overall liabilities and the GSDP growth rate of Kerala over the period from 2016–17 to 2023–24. The chart reveals significant fluctuations in both indicators, reflecting the state’s changing fiscal and economic conditions.</w:t>
      </w:r>
    </w:p>
    <w:p w14:paraId="6B0B2DC0" w14:textId="77777777" w:rsidR="005134AC" w:rsidRDefault="005134AC">
      <w:pPr>
        <w:pStyle w:val="Body"/>
        <w:spacing w:after="0"/>
        <w:rPr>
          <w:rFonts w:ascii="Arial" w:hAnsi="Arial" w:cs="Arial"/>
        </w:rPr>
      </w:pPr>
    </w:p>
    <w:p w14:paraId="6B0B2DC1" w14:textId="77777777" w:rsidR="005134AC" w:rsidRDefault="009A4237">
      <w:pPr>
        <w:pStyle w:val="Body"/>
        <w:spacing w:after="0"/>
        <w:rPr>
          <w:rFonts w:ascii="Arial" w:hAnsi="Arial" w:cs="Arial"/>
        </w:rPr>
      </w:pPr>
      <w:r>
        <w:rPr>
          <w:rFonts w:ascii="Arial" w:hAnsi="Arial" w:cs="Arial"/>
        </w:rPr>
        <w:t>From 2016–17 to 2018–19, both the growth of overall liabilities and GSDP followed a relatively parallel pattern, with liability growth ranging between 12.6% and 15.5%, while GSDP growth remained around 10–13%. In 2019–20, the growth rate of liabilities declined slightly to 11.12%, and GSDP growth dropped sharply to 3.13%, indicating an early slowdown in the economy.</w:t>
      </w:r>
    </w:p>
    <w:p w14:paraId="6B0B2DC2" w14:textId="77777777" w:rsidR="005134AC" w:rsidRDefault="005134AC">
      <w:pPr>
        <w:pStyle w:val="Body"/>
        <w:spacing w:after="0"/>
        <w:rPr>
          <w:rFonts w:ascii="Arial" w:hAnsi="Arial" w:cs="Arial"/>
        </w:rPr>
      </w:pPr>
    </w:p>
    <w:p w14:paraId="6B0B2DC3" w14:textId="77777777" w:rsidR="005134AC" w:rsidRDefault="009A4237">
      <w:pPr>
        <w:pStyle w:val="Body"/>
        <w:spacing w:after="0"/>
        <w:rPr>
          <w:rFonts w:ascii="Arial" w:hAnsi="Arial" w:cs="Arial"/>
        </w:rPr>
      </w:pPr>
      <w:r>
        <w:rPr>
          <w:rFonts w:ascii="Arial" w:hAnsi="Arial" w:cs="Arial"/>
        </w:rPr>
        <w:t>The year 2020–21 marks a striking divergence, as the GSDP growth rate turned negative (-5.07%) due to the impact of the COVID-19 pandemic, while liabilities continued to grow at 14.18%, highlighting increased government borrowing to manage fiscal stress. Subsequently, in 2021–22, both indicators rebounded strongly — the GSDP surged by 19.79% following post-pandemic recovery, and liabilities grew by 15.07%.</w:t>
      </w:r>
    </w:p>
    <w:p w14:paraId="6B0B2DC4" w14:textId="77777777" w:rsidR="005134AC" w:rsidRDefault="005134AC">
      <w:pPr>
        <w:pStyle w:val="Body"/>
        <w:spacing w:after="0"/>
        <w:rPr>
          <w:rFonts w:ascii="Arial" w:hAnsi="Arial" w:cs="Arial"/>
        </w:rPr>
      </w:pPr>
    </w:p>
    <w:p w14:paraId="6B0B2DC5" w14:textId="77777777" w:rsidR="005134AC" w:rsidRDefault="009A4237">
      <w:pPr>
        <w:pStyle w:val="Body"/>
        <w:spacing w:after="0"/>
        <w:rPr>
          <w:rFonts w:ascii="Arial" w:hAnsi="Arial" w:cs="Arial"/>
        </w:rPr>
      </w:pPr>
      <w:r>
        <w:rPr>
          <w:rFonts w:ascii="Arial" w:hAnsi="Arial" w:cs="Arial"/>
        </w:rPr>
        <w:t xml:space="preserve">However, the following years (2022–23 and 2023–24) show a moderation in both variables, with the growth of overall liabilities </w:t>
      </w:r>
      <w:proofErr w:type="spellStart"/>
      <w:r>
        <w:rPr>
          <w:rFonts w:ascii="Arial" w:hAnsi="Arial" w:cs="Arial"/>
        </w:rPr>
        <w:t>stabilising</w:t>
      </w:r>
      <w:proofErr w:type="spellEnd"/>
      <w:r>
        <w:rPr>
          <w:rFonts w:ascii="Arial" w:hAnsi="Arial" w:cs="Arial"/>
        </w:rPr>
        <w:t xml:space="preserve"> at 8–10% and GSDP growth settling around 9–12%, suggesting a return to normalcy in fiscal operations.</w:t>
      </w:r>
    </w:p>
    <w:p w14:paraId="6B0B2DC6" w14:textId="77777777" w:rsidR="005134AC" w:rsidRDefault="005134AC">
      <w:pPr>
        <w:pStyle w:val="Body"/>
        <w:spacing w:after="0"/>
        <w:rPr>
          <w:rFonts w:ascii="Arial" w:hAnsi="Arial" w:cs="Arial"/>
        </w:rPr>
      </w:pPr>
    </w:p>
    <w:p w14:paraId="6B0B2DC7" w14:textId="77777777" w:rsidR="005134AC" w:rsidRDefault="009A4237">
      <w:pPr>
        <w:pStyle w:val="Body"/>
        <w:spacing w:after="0"/>
        <w:rPr>
          <w:rFonts w:ascii="Arial" w:hAnsi="Arial" w:cs="Arial"/>
        </w:rPr>
      </w:pPr>
      <w:r>
        <w:rPr>
          <w:rFonts w:ascii="Arial" w:hAnsi="Arial" w:cs="Arial"/>
        </w:rPr>
        <w:t>Overall, the figure indicates that Kerala’s liabilities have consistently grown at a faster or comparable pace to GSDP, except during the pandemic year. This trend underscores the state’s persistent fiscal pressure, although the post-pandemic moderation suggests efforts toward achieving fiscal consolidation and sustainable debt management.</w:t>
      </w:r>
    </w:p>
    <w:p w14:paraId="6B0B2DC8" w14:textId="77777777" w:rsidR="005134AC" w:rsidRDefault="005134AC">
      <w:pPr>
        <w:pStyle w:val="Body"/>
        <w:spacing w:after="0"/>
        <w:rPr>
          <w:rFonts w:ascii="Arial" w:hAnsi="Arial" w:cs="Arial"/>
        </w:rPr>
      </w:pPr>
    </w:p>
    <w:p w14:paraId="6B0B2DC9" w14:textId="77777777" w:rsidR="005134AC" w:rsidRDefault="009A4237">
      <w:pPr>
        <w:pStyle w:val="Body"/>
        <w:spacing w:after="0"/>
        <w:rPr>
          <w:rFonts w:ascii="Arial" w:hAnsi="Arial" w:cs="Arial"/>
          <w:b/>
          <w:bCs/>
        </w:rPr>
      </w:pPr>
      <w:r>
        <w:rPr>
          <w:rFonts w:ascii="Arial" w:hAnsi="Arial" w:cs="Arial"/>
          <w:b/>
          <w:bCs/>
        </w:rPr>
        <w:t>3.3 Size and Growth of Debt Per Capita</w:t>
      </w:r>
    </w:p>
    <w:p w14:paraId="6B0B2DCA" w14:textId="77777777" w:rsidR="005134AC" w:rsidRDefault="009A4237">
      <w:pPr>
        <w:pStyle w:val="Body"/>
        <w:spacing w:after="0"/>
        <w:rPr>
          <w:rFonts w:ascii="Arial" w:hAnsi="Arial" w:cs="Arial"/>
        </w:rPr>
      </w:pPr>
      <w:r>
        <w:rPr>
          <w:rFonts w:ascii="Arial" w:hAnsi="Arial" w:cs="Arial"/>
        </w:rPr>
        <w:t>Table 2 presents Kerala’s overall liabilities, GSDP, projected population, per capita values for liabilities and GSDP, and the per capita liability-to-GSDP ratio for 2019–20 through 2023–24. It converts aggregate fiscal indicators into per capita terms, thereby providing a clearer understanding of how the state’s debt burden and economic performance impact individual residents over time.</w:t>
      </w:r>
    </w:p>
    <w:p w14:paraId="6B0B2DCB" w14:textId="77777777" w:rsidR="005134AC" w:rsidRDefault="005134AC">
      <w:pPr>
        <w:pStyle w:val="Body"/>
        <w:spacing w:after="0"/>
        <w:rPr>
          <w:rFonts w:ascii="Arial" w:hAnsi="Arial" w:cs="Arial"/>
        </w:rPr>
      </w:pPr>
    </w:p>
    <w:p w14:paraId="6B0B2DCC" w14:textId="77777777" w:rsidR="005134AC" w:rsidRDefault="009A4237">
      <w:pPr>
        <w:pStyle w:val="Body"/>
        <w:spacing w:after="0"/>
        <w:jc w:val="center"/>
        <w:rPr>
          <w:rFonts w:ascii="Arial" w:hAnsi="Arial" w:cs="Arial"/>
          <w:b/>
          <w:bCs/>
        </w:rPr>
      </w:pPr>
      <w:r>
        <w:rPr>
          <w:rFonts w:ascii="Arial" w:hAnsi="Arial" w:cs="Arial"/>
          <w:b/>
          <w:bCs/>
        </w:rPr>
        <w:t>Table 2: Size and Growth of Debt Per Capita of Kerala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285"/>
        <w:gridCol w:w="1286"/>
        <w:gridCol w:w="1146"/>
        <w:gridCol w:w="1215"/>
        <w:gridCol w:w="864"/>
        <w:gridCol w:w="1425"/>
      </w:tblGrid>
      <w:tr w:rsidR="005134AC" w14:paraId="6B0B2DDA" w14:textId="77777777">
        <w:trPr>
          <w:trHeight w:hRule="exact" w:val="919"/>
          <w:jc w:val="center"/>
        </w:trPr>
        <w:tc>
          <w:tcPr>
            <w:tcW w:w="1045" w:type="dxa"/>
            <w:tcBorders>
              <w:top w:val="single" w:sz="4" w:space="0" w:color="auto"/>
              <w:bottom w:val="single" w:sz="4" w:space="0" w:color="auto"/>
            </w:tcBorders>
            <w:noWrap/>
          </w:tcPr>
          <w:p w14:paraId="6B0B2DCD" w14:textId="77777777" w:rsidR="005134AC" w:rsidRDefault="005134AC">
            <w:pPr>
              <w:pStyle w:val="Body"/>
              <w:spacing w:after="0"/>
              <w:jc w:val="center"/>
              <w:rPr>
                <w:rFonts w:ascii="Arial" w:eastAsia="Calibri" w:hAnsi="Arial" w:cs="Arial"/>
                <w:b/>
                <w:bCs/>
                <w:sz w:val="18"/>
                <w:szCs w:val="18"/>
              </w:rPr>
            </w:pPr>
          </w:p>
          <w:p w14:paraId="6B0B2DCE"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Year</w:t>
            </w:r>
          </w:p>
        </w:tc>
        <w:tc>
          <w:tcPr>
            <w:tcW w:w="1285" w:type="dxa"/>
            <w:tcBorders>
              <w:top w:val="single" w:sz="4" w:space="0" w:color="auto"/>
              <w:bottom w:val="single" w:sz="4" w:space="0" w:color="auto"/>
            </w:tcBorders>
          </w:tcPr>
          <w:p w14:paraId="6B0B2DCF"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Overall</w:t>
            </w:r>
            <w:r>
              <w:rPr>
                <w:rFonts w:ascii="Arial" w:eastAsia="Calibri" w:hAnsi="Arial" w:cs="Arial"/>
                <w:b/>
                <w:bCs/>
                <w:sz w:val="18"/>
                <w:szCs w:val="18"/>
              </w:rPr>
              <w:br/>
              <w:t xml:space="preserve"> Liabilities</w:t>
            </w:r>
          </w:p>
          <w:p w14:paraId="6B0B2DD0"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(Rs. Crores)</w:t>
            </w:r>
          </w:p>
        </w:tc>
        <w:tc>
          <w:tcPr>
            <w:tcW w:w="1286" w:type="dxa"/>
            <w:tcBorders>
              <w:top w:val="single" w:sz="4" w:space="0" w:color="auto"/>
              <w:bottom w:val="single" w:sz="4" w:space="0" w:color="auto"/>
            </w:tcBorders>
            <w:noWrap/>
          </w:tcPr>
          <w:p w14:paraId="6B0B2DD1"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GSDP</w:t>
            </w:r>
          </w:p>
          <w:p w14:paraId="6B0B2DD2"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(Rs Crores)</w:t>
            </w:r>
          </w:p>
        </w:tc>
        <w:tc>
          <w:tcPr>
            <w:tcW w:w="1120" w:type="dxa"/>
            <w:tcBorders>
              <w:top w:val="single" w:sz="4" w:space="0" w:color="auto"/>
              <w:bottom w:val="single" w:sz="4" w:space="0" w:color="auto"/>
            </w:tcBorders>
          </w:tcPr>
          <w:p w14:paraId="6B0B2DD3"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 xml:space="preserve">Projected </w:t>
            </w:r>
            <w:r>
              <w:rPr>
                <w:rFonts w:ascii="Arial" w:eastAsia="Calibri" w:hAnsi="Arial" w:cs="Arial"/>
                <w:b/>
                <w:bCs/>
                <w:sz w:val="18"/>
                <w:szCs w:val="18"/>
              </w:rPr>
              <w:br/>
              <w:t>Population</w:t>
            </w:r>
          </w:p>
          <w:p w14:paraId="6B0B2DD4"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(Million)</w:t>
            </w:r>
          </w:p>
        </w:tc>
        <w:tc>
          <w:tcPr>
            <w:tcW w:w="1215" w:type="dxa"/>
            <w:tcBorders>
              <w:top w:val="single" w:sz="4" w:space="0" w:color="auto"/>
              <w:bottom w:val="single" w:sz="4" w:space="0" w:color="auto"/>
            </w:tcBorders>
          </w:tcPr>
          <w:p w14:paraId="6B0B2DD5"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Per capita</w:t>
            </w:r>
            <w:r>
              <w:rPr>
                <w:rFonts w:ascii="Arial" w:eastAsia="Calibri" w:hAnsi="Arial" w:cs="Arial"/>
                <w:b/>
                <w:bCs/>
                <w:sz w:val="18"/>
                <w:szCs w:val="18"/>
              </w:rPr>
              <w:br/>
              <w:t>Overall Liabilities</w:t>
            </w:r>
          </w:p>
          <w:p w14:paraId="6B0B2DD6"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(Rs)</w:t>
            </w:r>
          </w:p>
        </w:tc>
        <w:tc>
          <w:tcPr>
            <w:tcW w:w="864" w:type="dxa"/>
            <w:tcBorders>
              <w:top w:val="single" w:sz="4" w:space="0" w:color="auto"/>
              <w:bottom w:val="single" w:sz="4" w:space="0" w:color="auto"/>
            </w:tcBorders>
          </w:tcPr>
          <w:p w14:paraId="6B0B2DD7"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Per capita GSDP</w:t>
            </w:r>
          </w:p>
          <w:p w14:paraId="6B0B2DD8"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(Rs)</w:t>
            </w:r>
          </w:p>
        </w:tc>
        <w:tc>
          <w:tcPr>
            <w:tcW w:w="1425" w:type="dxa"/>
            <w:tcBorders>
              <w:top w:val="single" w:sz="4" w:space="0" w:color="auto"/>
              <w:bottom w:val="single" w:sz="4" w:space="0" w:color="auto"/>
            </w:tcBorders>
          </w:tcPr>
          <w:p w14:paraId="6B0B2DD9"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Per Capita Liability–GSDP Ratio</w:t>
            </w:r>
          </w:p>
        </w:tc>
      </w:tr>
      <w:tr w:rsidR="005134AC" w14:paraId="6B0B2DE2" w14:textId="77777777">
        <w:trPr>
          <w:trHeight w:val="308"/>
          <w:jc w:val="center"/>
        </w:trPr>
        <w:tc>
          <w:tcPr>
            <w:tcW w:w="1045" w:type="dxa"/>
            <w:tcBorders>
              <w:top w:val="single" w:sz="4" w:space="0" w:color="auto"/>
            </w:tcBorders>
            <w:noWrap/>
          </w:tcPr>
          <w:p w14:paraId="6B0B2DDB"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2019-20</w:t>
            </w:r>
          </w:p>
        </w:tc>
        <w:tc>
          <w:tcPr>
            <w:tcW w:w="1285" w:type="dxa"/>
            <w:tcBorders>
              <w:top w:val="single" w:sz="4" w:space="0" w:color="auto"/>
            </w:tcBorders>
            <w:noWrap/>
          </w:tcPr>
          <w:p w14:paraId="6B0B2DD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279504.56</w:t>
            </w:r>
          </w:p>
        </w:tc>
        <w:tc>
          <w:tcPr>
            <w:tcW w:w="1286" w:type="dxa"/>
            <w:tcBorders>
              <w:top w:val="single" w:sz="4" w:space="0" w:color="auto"/>
            </w:tcBorders>
            <w:noWrap/>
          </w:tcPr>
          <w:p w14:paraId="6B0B2DD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812934.63</w:t>
            </w:r>
          </w:p>
        </w:tc>
        <w:tc>
          <w:tcPr>
            <w:tcW w:w="1120" w:type="dxa"/>
            <w:tcBorders>
              <w:top w:val="single" w:sz="4" w:space="0" w:color="auto"/>
            </w:tcBorders>
            <w:noWrap/>
          </w:tcPr>
          <w:p w14:paraId="6B0B2DD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35.4</w:t>
            </w:r>
          </w:p>
        </w:tc>
        <w:tc>
          <w:tcPr>
            <w:tcW w:w="1215" w:type="dxa"/>
            <w:tcBorders>
              <w:top w:val="single" w:sz="4" w:space="0" w:color="auto"/>
            </w:tcBorders>
            <w:noWrap/>
          </w:tcPr>
          <w:p w14:paraId="6B0B2DD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78956.09</w:t>
            </w:r>
          </w:p>
        </w:tc>
        <w:tc>
          <w:tcPr>
            <w:tcW w:w="864" w:type="dxa"/>
            <w:tcBorders>
              <w:top w:val="single" w:sz="4" w:space="0" w:color="auto"/>
            </w:tcBorders>
            <w:noWrap/>
          </w:tcPr>
          <w:p w14:paraId="6B0B2DE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229643</w:t>
            </w:r>
          </w:p>
        </w:tc>
        <w:tc>
          <w:tcPr>
            <w:tcW w:w="1425" w:type="dxa"/>
            <w:tcBorders>
              <w:top w:val="single" w:sz="4" w:space="0" w:color="auto"/>
            </w:tcBorders>
            <w:noWrap/>
          </w:tcPr>
          <w:p w14:paraId="6B0B2DE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34.38</w:t>
            </w:r>
          </w:p>
        </w:tc>
      </w:tr>
      <w:tr w:rsidR="005134AC" w14:paraId="6B0B2DEA" w14:textId="77777777">
        <w:trPr>
          <w:trHeight w:val="308"/>
          <w:jc w:val="center"/>
        </w:trPr>
        <w:tc>
          <w:tcPr>
            <w:tcW w:w="1045" w:type="dxa"/>
            <w:noWrap/>
          </w:tcPr>
          <w:p w14:paraId="6B0B2DE3"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2020-21</w:t>
            </w:r>
          </w:p>
        </w:tc>
        <w:tc>
          <w:tcPr>
            <w:tcW w:w="1285" w:type="dxa"/>
            <w:noWrap/>
          </w:tcPr>
          <w:p w14:paraId="6B0B2DE4"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319089.06</w:t>
            </w:r>
          </w:p>
        </w:tc>
        <w:tc>
          <w:tcPr>
            <w:tcW w:w="1286" w:type="dxa"/>
            <w:noWrap/>
          </w:tcPr>
          <w:p w14:paraId="6B0B2DE5"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771723.89</w:t>
            </w:r>
          </w:p>
        </w:tc>
        <w:tc>
          <w:tcPr>
            <w:tcW w:w="1120" w:type="dxa"/>
            <w:noWrap/>
          </w:tcPr>
          <w:p w14:paraId="6B0B2DE6"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35.5</w:t>
            </w:r>
          </w:p>
        </w:tc>
        <w:tc>
          <w:tcPr>
            <w:tcW w:w="1215" w:type="dxa"/>
            <w:noWrap/>
          </w:tcPr>
          <w:p w14:paraId="6B0B2DE7"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89884.24</w:t>
            </w:r>
          </w:p>
        </w:tc>
        <w:tc>
          <w:tcPr>
            <w:tcW w:w="864" w:type="dxa"/>
            <w:noWrap/>
          </w:tcPr>
          <w:p w14:paraId="6B0B2DE8"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217387</w:t>
            </w:r>
          </w:p>
        </w:tc>
        <w:tc>
          <w:tcPr>
            <w:tcW w:w="1425" w:type="dxa"/>
            <w:noWrap/>
          </w:tcPr>
          <w:p w14:paraId="6B0B2DE9"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41.35</w:t>
            </w:r>
          </w:p>
        </w:tc>
      </w:tr>
      <w:tr w:rsidR="005134AC" w14:paraId="6B0B2DF2" w14:textId="77777777">
        <w:trPr>
          <w:trHeight w:val="308"/>
          <w:jc w:val="center"/>
        </w:trPr>
        <w:tc>
          <w:tcPr>
            <w:tcW w:w="1045" w:type="dxa"/>
            <w:noWrap/>
          </w:tcPr>
          <w:p w14:paraId="6B0B2DEB"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2021-22</w:t>
            </w:r>
          </w:p>
        </w:tc>
        <w:tc>
          <w:tcPr>
            <w:tcW w:w="1285" w:type="dxa"/>
            <w:noWrap/>
          </w:tcPr>
          <w:p w14:paraId="6B0B2DE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367160.12</w:t>
            </w:r>
          </w:p>
        </w:tc>
        <w:tc>
          <w:tcPr>
            <w:tcW w:w="1286" w:type="dxa"/>
            <w:noWrap/>
          </w:tcPr>
          <w:p w14:paraId="6B0B2DE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924465.46</w:t>
            </w:r>
          </w:p>
        </w:tc>
        <w:tc>
          <w:tcPr>
            <w:tcW w:w="1120" w:type="dxa"/>
            <w:noWrap/>
          </w:tcPr>
          <w:p w14:paraId="6B0B2DE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35.7</w:t>
            </w:r>
          </w:p>
        </w:tc>
        <w:tc>
          <w:tcPr>
            <w:tcW w:w="1215" w:type="dxa"/>
            <w:noWrap/>
          </w:tcPr>
          <w:p w14:paraId="6B0B2DE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102846.00</w:t>
            </w:r>
          </w:p>
        </w:tc>
        <w:tc>
          <w:tcPr>
            <w:tcW w:w="864" w:type="dxa"/>
            <w:noWrap/>
          </w:tcPr>
          <w:p w14:paraId="6B0B2DF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258954</w:t>
            </w:r>
          </w:p>
        </w:tc>
        <w:tc>
          <w:tcPr>
            <w:tcW w:w="1425" w:type="dxa"/>
            <w:noWrap/>
          </w:tcPr>
          <w:p w14:paraId="6B0B2DF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39.72</w:t>
            </w:r>
          </w:p>
        </w:tc>
      </w:tr>
      <w:tr w:rsidR="005134AC" w14:paraId="6B0B2DFA" w14:textId="77777777">
        <w:trPr>
          <w:trHeight w:val="308"/>
          <w:jc w:val="center"/>
        </w:trPr>
        <w:tc>
          <w:tcPr>
            <w:tcW w:w="1045" w:type="dxa"/>
            <w:noWrap/>
          </w:tcPr>
          <w:p w14:paraId="6B0B2DF3"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2022-23</w:t>
            </w:r>
          </w:p>
        </w:tc>
        <w:tc>
          <w:tcPr>
            <w:tcW w:w="1285" w:type="dxa"/>
            <w:noWrap/>
          </w:tcPr>
          <w:p w14:paraId="6B0B2DF4"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400001.04</w:t>
            </w:r>
          </w:p>
        </w:tc>
        <w:tc>
          <w:tcPr>
            <w:tcW w:w="1286" w:type="dxa"/>
            <w:noWrap/>
          </w:tcPr>
          <w:p w14:paraId="6B0B2DF5"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1023602.46</w:t>
            </w:r>
          </w:p>
        </w:tc>
        <w:tc>
          <w:tcPr>
            <w:tcW w:w="1120" w:type="dxa"/>
            <w:noWrap/>
          </w:tcPr>
          <w:p w14:paraId="6B0B2DF6"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35.8</w:t>
            </w:r>
          </w:p>
        </w:tc>
        <w:tc>
          <w:tcPr>
            <w:tcW w:w="1215" w:type="dxa"/>
            <w:noWrap/>
          </w:tcPr>
          <w:p w14:paraId="6B0B2DF7"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111732.13</w:t>
            </w:r>
          </w:p>
        </w:tc>
        <w:tc>
          <w:tcPr>
            <w:tcW w:w="864" w:type="dxa"/>
            <w:noWrap/>
          </w:tcPr>
          <w:p w14:paraId="6B0B2DF8"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285922</w:t>
            </w:r>
          </w:p>
        </w:tc>
        <w:tc>
          <w:tcPr>
            <w:tcW w:w="1425" w:type="dxa"/>
            <w:noWrap/>
          </w:tcPr>
          <w:p w14:paraId="6B0B2DF9"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39.08</w:t>
            </w:r>
          </w:p>
        </w:tc>
      </w:tr>
      <w:tr w:rsidR="005134AC" w14:paraId="6B0B2E02" w14:textId="77777777">
        <w:trPr>
          <w:trHeight w:val="308"/>
          <w:jc w:val="center"/>
        </w:trPr>
        <w:tc>
          <w:tcPr>
            <w:tcW w:w="1045" w:type="dxa"/>
            <w:tcBorders>
              <w:bottom w:val="single" w:sz="4" w:space="0" w:color="auto"/>
            </w:tcBorders>
            <w:noWrap/>
          </w:tcPr>
          <w:p w14:paraId="6B0B2DFB"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2023-24</w:t>
            </w:r>
          </w:p>
        </w:tc>
        <w:tc>
          <w:tcPr>
            <w:tcW w:w="1285" w:type="dxa"/>
            <w:tcBorders>
              <w:bottom w:val="single" w:sz="4" w:space="0" w:color="auto"/>
            </w:tcBorders>
            <w:noWrap/>
          </w:tcPr>
          <w:p w14:paraId="6B0B2DF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433657.98</w:t>
            </w:r>
          </w:p>
        </w:tc>
        <w:tc>
          <w:tcPr>
            <w:tcW w:w="1286" w:type="dxa"/>
            <w:tcBorders>
              <w:bottom w:val="single" w:sz="4" w:space="0" w:color="auto"/>
            </w:tcBorders>
            <w:noWrap/>
          </w:tcPr>
          <w:p w14:paraId="6B0B2DF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1146108.67</w:t>
            </w:r>
          </w:p>
        </w:tc>
        <w:tc>
          <w:tcPr>
            <w:tcW w:w="1120" w:type="dxa"/>
            <w:tcBorders>
              <w:bottom w:val="single" w:sz="4" w:space="0" w:color="auto"/>
            </w:tcBorders>
            <w:noWrap/>
          </w:tcPr>
          <w:p w14:paraId="6B0B2DF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36.0</w:t>
            </w:r>
          </w:p>
        </w:tc>
        <w:tc>
          <w:tcPr>
            <w:tcW w:w="1215" w:type="dxa"/>
            <w:tcBorders>
              <w:bottom w:val="single" w:sz="4" w:space="0" w:color="auto"/>
            </w:tcBorders>
            <w:noWrap/>
          </w:tcPr>
          <w:p w14:paraId="6B0B2DF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120460.55</w:t>
            </w:r>
          </w:p>
        </w:tc>
        <w:tc>
          <w:tcPr>
            <w:tcW w:w="864" w:type="dxa"/>
            <w:tcBorders>
              <w:bottom w:val="single" w:sz="4" w:space="0" w:color="auto"/>
            </w:tcBorders>
            <w:noWrap/>
          </w:tcPr>
          <w:p w14:paraId="6B0B2E0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318364</w:t>
            </w:r>
          </w:p>
        </w:tc>
        <w:tc>
          <w:tcPr>
            <w:tcW w:w="1425" w:type="dxa"/>
            <w:tcBorders>
              <w:bottom w:val="single" w:sz="4" w:space="0" w:color="auto"/>
            </w:tcBorders>
            <w:noWrap/>
          </w:tcPr>
          <w:p w14:paraId="6B0B2E0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37.84</w:t>
            </w:r>
          </w:p>
        </w:tc>
      </w:tr>
    </w:tbl>
    <w:p w14:paraId="6B0B2E03" w14:textId="77777777" w:rsidR="005134AC" w:rsidRDefault="009A4237">
      <w:pPr>
        <w:pStyle w:val="Body"/>
        <w:spacing w:after="0"/>
        <w:rPr>
          <w:rFonts w:ascii="Arial" w:hAnsi="Arial" w:cs="Arial"/>
          <w:b/>
          <w:bCs/>
        </w:rPr>
      </w:pPr>
      <w:r>
        <w:rPr>
          <w:rFonts w:ascii="Arial" w:hAnsi="Arial" w:cs="Arial"/>
        </w:rPr>
        <w:t>Source: Author’s estimation based on</w:t>
      </w:r>
      <w:r>
        <w:rPr>
          <w:rFonts w:ascii="Arial" w:hAnsi="Arial" w:cs="Arial"/>
          <w:b/>
          <w:bCs/>
        </w:rPr>
        <w:t xml:space="preserve"> </w:t>
      </w:r>
      <w:r>
        <w:rPr>
          <w:rFonts w:ascii="Arial" w:hAnsi="Arial" w:cs="Arial"/>
        </w:rPr>
        <w:t>State Finance Audit Report- Comptroller and Auditor General of India</w:t>
      </w:r>
    </w:p>
    <w:p w14:paraId="6B0B2E04" w14:textId="77777777" w:rsidR="005134AC" w:rsidRDefault="009A4237">
      <w:pPr>
        <w:pStyle w:val="Body"/>
        <w:spacing w:after="0"/>
        <w:rPr>
          <w:rFonts w:ascii="Arial" w:hAnsi="Arial" w:cs="Arial"/>
          <w:b/>
          <w:bCs/>
        </w:rPr>
      </w:pPr>
      <w:r>
        <w:rPr>
          <w:rFonts w:ascii="Arial" w:hAnsi="Arial" w:cs="Arial"/>
          <w:b/>
          <w:bCs/>
        </w:rPr>
        <w:t xml:space="preserve"> </w:t>
      </w:r>
    </w:p>
    <w:p w14:paraId="6B0B2E05" w14:textId="77777777" w:rsidR="005134AC" w:rsidRDefault="009A4237">
      <w:pPr>
        <w:pStyle w:val="Body"/>
        <w:spacing w:after="0"/>
        <w:rPr>
          <w:rFonts w:ascii="Arial" w:hAnsi="Arial" w:cs="Arial"/>
        </w:rPr>
      </w:pPr>
      <w:r>
        <w:rPr>
          <w:rFonts w:ascii="Arial" w:hAnsi="Arial" w:cs="Arial"/>
        </w:rPr>
        <w:t xml:space="preserve">As Table 2 illustrates, during this period, Kerala’s overall liabilities increased substantially from ₹2,79,505 crore to ₹4,33,658 crore, leading to a rise in per capita liabilities from ₹78,956 to ₹1,20,461 — an increase of over 52 per cent. Meanwhile, per capita GSDP grew </w:t>
      </w:r>
      <w:r>
        <w:rPr>
          <w:rFonts w:ascii="Arial" w:hAnsi="Arial" w:cs="Arial"/>
        </w:rPr>
        <w:lastRenderedPageBreak/>
        <w:t>from ₹2,29,643 to ₹3,18,364, reflecting a slower growth of about 39 per cent. The per capita liability-to-GSDP ratio, which indicates the debt burden relative to income, rose sharply from 34.38 per cent in 2019–20 to 41.35 per cent in 2020–21 due to pandemic-induced economic contraction, and then gradually declined to 37.84 per cent by 2023–24 as the economy recovered. These trends suggest that although Kerala’s per capita income improved in the post-pandemic years, the growth of debt outpaced income growth, pointing to persistent fiscal stress and highlighting the need for continued fiscal discipline and prudent debt management to ensure long-term sustainability.</w:t>
      </w:r>
    </w:p>
    <w:p w14:paraId="6B0B2E06" w14:textId="77777777" w:rsidR="005134AC" w:rsidRDefault="005134AC">
      <w:pPr>
        <w:pStyle w:val="Body"/>
        <w:spacing w:after="0"/>
        <w:rPr>
          <w:rFonts w:ascii="Arial" w:hAnsi="Arial" w:cs="Arial"/>
        </w:rPr>
      </w:pPr>
    </w:p>
    <w:p w14:paraId="6B0B2E07" w14:textId="77777777" w:rsidR="005134AC" w:rsidRDefault="009A4237">
      <w:pPr>
        <w:pStyle w:val="Body"/>
        <w:spacing w:after="0"/>
        <w:rPr>
          <w:rFonts w:ascii="Arial" w:hAnsi="Arial" w:cs="Arial"/>
          <w:b/>
          <w:bCs/>
        </w:rPr>
      </w:pPr>
      <w:r>
        <w:rPr>
          <w:rFonts w:ascii="Arial" w:hAnsi="Arial" w:cs="Arial"/>
          <w:b/>
          <w:bCs/>
        </w:rPr>
        <w:t>3.4 Market Borrowing by Kerala: Present Scenario</w:t>
      </w:r>
    </w:p>
    <w:p w14:paraId="6B0B2E08" w14:textId="77777777" w:rsidR="005134AC" w:rsidRDefault="009A4237">
      <w:pPr>
        <w:pStyle w:val="Body"/>
        <w:spacing w:after="0"/>
        <w:rPr>
          <w:rFonts w:ascii="Arial" w:hAnsi="Arial" w:cs="Arial"/>
        </w:rPr>
      </w:pPr>
      <w:r>
        <w:rPr>
          <w:rFonts w:ascii="Arial" w:hAnsi="Arial" w:cs="Arial"/>
        </w:rPr>
        <w:t xml:space="preserve">Kerala’s borrowing pattern in recent years reflects the state’s increasing dependence on market loans to finance its fiscal deficit and meet developmental as well as revenue expenditure needs. The post-pandemic period has witnessed a notable rise in both gross and net borrowings, driven by higher spending commitments, limited revenue growth, and repayment obligations from past debts. The trend highlights the mounting fiscal pressure on the state and underscores the importance of effective debt management strategies to ensure fiscal sustainability and prudent resource </w:t>
      </w:r>
      <w:proofErr w:type="spellStart"/>
      <w:r>
        <w:rPr>
          <w:rFonts w:ascii="Arial" w:hAnsi="Arial" w:cs="Arial"/>
        </w:rPr>
        <w:t>utilisation</w:t>
      </w:r>
      <w:proofErr w:type="spellEnd"/>
      <w:r>
        <w:rPr>
          <w:rFonts w:ascii="Arial" w:hAnsi="Arial" w:cs="Arial"/>
        </w:rPr>
        <w:t xml:space="preserve"> in the coming years.</w:t>
      </w:r>
    </w:p>
    <w:p w14:paraId="6B0B2E09" w14:textId="77777777" w:rsidR="005134AC" w:rsidRDefault="005134AC">
      <w:pPr>
        <w:pStyle w:val="Body"/>
        <w:spacing w:after="0"/>
        <w:rPr>
          <w:rFonts w:ascii="Arial" w:hAnsi="Arial" w:cs="Arial"/>
        </w:rPr>
      </w:pPr>
    </w:p>
    <w:p w14:paraId="6B0B2E0A" w14:textId="77777777" w:rsidR="005134AC" w:rsidRDefault="009A4237">
      <w:pPr>
        <w:pStyle w:val="Body"/>
        <w:spacing w:after="0"/>
        <w:rPr>
          <w:rFonts w:ascii="Arial" w:hAnsi="Arial" w:cs="Arial"/>
        </w:rPr>
      </w:pPr>
      <w:r>
        <w:rPr>
          <w:rFonts w:ascii="Arial" w:hAnsi="Arial" w:cs="Arial"/>
        </w:rPr>
        <w:t xml:space="preserve">Table 3 presents a comparative picture of market borrowings by the State of Kerala and all Indian states for the period 2018–19 to 2024–25. It includes both the gross and net amounts raised through market loans, along with their annual growth rates, thereby reflecting the borrowing </w:t>
      </w:r>
      <w:proofErr w:type="spellStart"/>
      <w:r>
        <w:rPr>
          <w:rFonts w:ascii="Arial" w:hAnsi="Arial" w:cs="Arial"/>
        </w:rPr>
        <w:t>behaviour</w:t>
      </w:r>
      <w:proofErr w:type="spellEnd"/>
      <w:r>
        <w:rPr>
          <w:rFonts w:ascii="Arial" w:hAnsi="Arial" w:cs="Arial"/>
        </w:rPr>
        <w:t>, fiscal needs, and repayment obligations of Kerala vis-à-vis the aggregate trends of all states. Gross amount raised represents the total borrowings during the year, while net amount raised indicates the additional debt after accounting for repayments. Together, these indicators help assess the fiscal pressure, debt management strategy, and liquidity needs of the states over time.</w:t>
      </w:r>
    </w:p>
    <w:p w14:paraId="6B0B2E0B" w14:textId="77777777" w:rsidR="005134AC" w:rsidRDefault="005134AC">
      <w:pPr>
        <w:pStyle w:val="Body"/>
        <w:spacing w:after="0"/>
        <w:rPr>
          <w:rFonts w:ascii="Arial" w:hAnsi="Arial" w:cs="Arial"/>
        </w:rPr>
      </w:pPr>
    </w:p>
    <w:p w14:paraId="6B0B2E0C" w14:textId="77777777" w:rsidR="005134AC" w:rsidRDefault="009A4237">
      <w:pPr>
        <w:pStyle w:val="Body"/>
        <w:spacing w:after="0"/>
        <w:jc w:val="center"/>
        <w:rPr>
          <w:rFonts w:ascii="Arial" w:hAnsi="Arial" w:cs="Arial"/>
          <w:b/>
          <w:bCs/>
        </w:rPr>
      </w:pPr>
      <w:r>
        <w:rPr>
          <w:rFonts w:ascii="Arial" w:hAnsi="Arial" w:cs="Arial"/>
          <w:b/>
          <w:bCs/>
        </w:rPr>
        <w:t>Table 3: Market Borrowing Raised by Kerala and All States: A Comparison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931"/>
        <w:gridCol w:w="919"/>
        <w:gridCol w:w="948"/>
        <w:gridCol w:w="1028"/>
        <w:gridCol w:w="917"/>
        <w:gridCol w:w="935"/>
        <w:gridCol w:w="937"/>
        <w:gridCol w:w="932"/>
      </w:tblGrid>
      <w:tr w:rsidR="005134AC" w14:paraId="6B0B2E13" w14:textId="77777777">
        <w:trPr>
          <w:trHeight w:val="288"/>
          <w:jc w:val="center"/>
        </w:trPr>
        <w:tc>
          <w:tcPr>
            <w:tcW w:w="0" w:type="auto"/>
            <w:vMerge w:val="restart"/>
            <w:tcBorders>
              <w:top w:val="single" w:sz="4" w:space="0" w:color="auto"/>
            </w:tcBorders>
          </w:tcPr>
          <w:p w14:paraId="6B0B2E0D" w14:textId="77777777" w:rsidR="005134AC" w:rsidRDefault="005134AC">
            <w:pPr>
              <w:pStyle w:val="Body"/>
              <w:rPr>
                <w:rFonts w:ascii="Arial" w:eastAsia="Calibri" w:hAnsi="Arial" w:cs="Arial"/>
                <w:sz w:val="18"/>
                <w:szCs w:val="18"/>
              </w:rPr>
            </w:pPr>
          </w:p>
          <w:p w14:paraId="6B0B2E0E" w14:textId="77777777" w:rsidR="005134AC" w:rsidRDefault="005134AC">
            <w:pPr>
              <w:pStyle w:val="Body"/>
              <w:rPr>
                <w:rFonts w:ascii="Arial" w:eastAsia="Calibri" w:hAnsi="Arial" w:cs="Arial"/>
                <w:sz w:val="18"/>
                <w:szCs w:val="18"/>
              </w:rPr>
            </w:pPr>
          </w:p>
          <w:p w14:paraId="6B0B2E0F" w14:textId="77777777" w:rsidR="005134AC" w:rsidRDefault="005134AC">
            <w:pPr>
              <w:pStyle w:val="Body"/>
              <w:rPr>
                <w:rFonts w:ascii="Arial" w:eastAsia="Calibri" w:hAnsi="Arial" w:cs="Arial"/>
                <w:sz w:val="18"/>
                <w:szCs w:val="18"/>
              </w:rPr>
            </w:pPr>
          </w:p>
          <w:p w14:paraId="6B0B2E10" w14:textId="77777777" w:rsidR="005134AC" w:rsidRDefault="009A4237">
            <w:pPr>
              <w:pStyle w:val="Body"/>
              <w:rPr>
                <w:rFonts w:ascii="Arial" w:eastAsia="Calibri" w:hAnsi="Arial" w:cs="Arial"/>
                <w:sz w:val="18"/>
                <w:szCs w:val="18"/>
              </w:rPr>
            </w:pPr>
            <w:r>
              <w:rPr>
                <w:rFonts w:ascii="Arial" w:eastAsia="Calibri" w:hAnsi="Arial" w:cs="Arial"/>
                <w:sz w:val="18"/>
                <w:szCs w:val="18"/>
              </w:rPr>
              <w:t>Year</w:t>
            </w:r>
          </w:p>
        </w:tc>
        <w:tc>
          <w:tcPr>
            <w:tcW w:w="3760" w:type="dxa"/>
            <w:gridSpan w:val="4"/>
            <w:tcBorders>
              <w:top w:val="single" w:sz="4" w:space="0" w:color="auto"/>
            </w:tcBorders>
            <w:noWrap/>
          </w:tcPr>
          <w:p w14:paraId="6B0B2E11" w14:textId="77777777" w:rsidR="005134AC" w:rsidRDefault="009A4237">
            <w:pPr>
              <w:pStyle w:val="Body"/>
              <w:jc w:val="center"/>
              <w:rPr>
                <w:rFonts w:ascii="Arial" w:eastAsia="Calibri" w:hAnsi="Arial" w:cs="Arial"/>
                <w:b/>
                <w:bCs/>
                <w:sz w:val="18"/>
                <w:szCs w:val="18"/>
              </w:rPr>
            </w:pPr>
            <w:r>
              <w:rPr>
                <w:rFonts w:ascii="Arial" w:eastAsia="Calibri" w:hAnsi="Arial" w:cs="Arial"/>
                <w:b/>
                <w:bCs/>
                <w:sz w:val="18"/>
                <w:szCs w:val="18"/>
              </w:rPr>
              <w:t>Kerala</w:t>
            </w:r>
          </w:p>
        </w:tc>
        <w:tc>
          <w:tcPr>
            <w:tcW w:w="3675" w:type="dxa"/>
            <w:gridSpan w:val="4"/>
            <w:tcBorders>
              <w:top w:val="single" w:sz="4" w:space="0" w:color="auto"/>
            </w:tcBorders>
            <w:noWrap/>
          </w:tcPr>
          <w:p w14:paraId="6B0B2E12" w14:textId="77777777" w:rsidR="005134AC" w:rsidRDefault="009A4237">
            <w:pPr>
              <w:pStyle w:val="Body"/>
              <w:jc w:val="center"/>
              <w:rPr>
                <w:rFonts w:ascii="Arial" w:eastAsia="Calibri" w:hAnsi="Arial" w:cs="Arial"/>
                <w:b/>
                <w:bCs/>
                <w:sz w:val="18"/>
                <w:szCs w:val="18"/>
              </w:rPr>
            </w:pPr>
            <w:r>
              <w:rPr>
                <w:rFonts w:ascii="Arial" w:eastAsia="Calibri" w:hAnsi="Arial" w:cs="Arial"/>
                <w:b/>
                <w:bCs/>
                <w:sz w:val="18"/>
                <w:szCs w:val="18"/>
              </w:rPr>
              <w:t>All States</w:t>
            </w:r>
          </w:p>
        </w:tc>
      </w:tr>
      <w:tr w:rsidR="005134AC" w14:paraId="6B0B2E2B" w14:textId="77777777">
        <w:trPr>
          <w:trHeight w:val="1152"/>
          <w:jc w:val="center"/>
        </w:trPr>
        <w:tc>
          <w:tcPr>
            <w:tcW w:w="0" w:type="auto"/>
            <w:vMerge/>
            <w:tcBorders>
              <w:bottom w:val="single" w:sz="4" w:space="0" w:color="auto"/>
            </w:tcBorders>
            <w:vAlign w:val="center"/>
          </w:tcPr>
          <w:p w14:paraId="6B0B2E14" w14:textId="77777777" w:rsidR="005134AC" w:rsidRDefault="005134AC">
            <w:pPr>
              <w:pStyle w:val="Body"/>
              <w:spacing w:after="0"/>
              <w:rPr>
                <w:rFonts w:ascii="Arial" w:eastAsia="Calibri" w:hAnsi="Arial" w:cs="Arial"/>
                <w:sz w:val="18"/>
                <w:szCs w:val="18"/>
              </w:rPr>
            </w:pPr>
          </w:p>
        </w:tc>
        <w:tc>
          <w:tcPr>
            <w:tcW w:w="0" w:type="auto"/>
            <w:tcBorders>
              <w:bottom w:val="single" w:sz="4" w:space="0" w:color="auto"/>
            </w:tcBorders>
          </w:tcPr>
          <w:p w14:paraId="6B0B2E15"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Gross Amount</w:t>
            </w:r>
            <w:r>
              <w:rPr>
                <w:rFonts w:ascii="Arial" w:eastAsia="Calibri" w:hAnsi="Arial" w:cs="Arial"/>
                <w:b/>
                <w:bCs/>
                <w:sz w:val="18"/>
                <w:szCs w:val="18"/>
              </w:rPr>
              <w:br/>
              <w:t xml:space="preserve"> Raised</w:t>
            </w:r>
          </w:p>
          <w:p w14:paraId="6B0B2E16"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Rs. Crores</w:t>
            </w:r>
          </w:p>
        </w:tc>
        <w:tc>
          <w:tcPr>
            <w:tcW w:w="0" w:type="auto"/>
            <w:tcBorders>
              <w:bottom w:val="single" w:sz="4" w:space="0" w:color="auto"/>
            </w:tcBorders>
          </w:tcPr>
          <w:p w14:paraId="6B0B2E17"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Net Amount</w:t>
            </w:r>
            <w:r>
              <w:rPr>
                <w:rFonts w:ascii="Arial" w:eastAsia="Calibri" w:hAnsi="Arial" w:cs="Arial"/>
                <w:b/>
                <w:bCs/>
                <w:sz w:val="18"/>
                <w:szCs w:val="18"/>
              </w:rPr>
              <w:br/>
              <w:t xml:space="preserve"> Raised</w:t>
            </w:r>
          </w:p>
          <w:p w14:paraId="6B0B2E18"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sz w:val="18"/>
                <w:szCs w:val="18"/>
              </w:rPr>
              <w:t>Rs. Crores</w:t>
            </w:r>
          </w:p>
          <w:p w14:paraId="6B0B2E19" w14:textId="77777777" w:rsidR="005134AC" w:rsidRDefault="005134AC">
            <w:pPr>
              <w:pStyle w:val="Body"/>
              <w:spacing w:after="0"/>
              <w:jc w:val="center"/>
              <w:rPr>
                <w:rFonts w:ascii="Arial" w:eastAsia="Calibri" w:hAnsi="Arial" w:cs="Arial"/>
                <w:b/>
                <w:bCs/>
                <w:sz w:val="18"/>
                <w:szCs w:val="18"/>
              </w:rPr>
            </w:pPr>
          </w:p>
        </w:tc>
        <w:tc>
          <w:tcPr>
            <w:tcW w:w="0" w:type="auto"/>
            <w:tcBorders>
              <w:bottom w:val="single" w:sz="4" w:space="0" w:color="auto"/>
            </w:tcBorders>
          </w:tcPr>
          <w:p w14:paraId="6B0B2E1A"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Growth rate of</w:t>
            </w:r>
            <w:r>
              <w:rPr>
                <w:rFonts w:ascii="Arial" w:eastAsia="Calibri" w:hAnsi="Arial" w:cs="Arial"/>
                <w:b/>
                <w:bCs/>
                <w:sz w:val="18"/>
                <w:szCs w:val="18"/>
              </w:rPr>
              <w:br/>
              <w:t>Gross Amount Raised</w:t>
            </w:r>
          </w:p>
          <w:p w14:paraId="6B0B2E1B"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w:t>
            </w:r>
          </w:p>
          <w:p w14:paraId="6B0B2E1C" w14:textId="77777777" w:rsidR="005134AC" w:rsidRDefault="005134AC">
            <w:pPr>
              <w:pStyle w:val="Body"/>
              <w:spacing w:after="0"/>
              <w:jc w:val="center"/>
              <w:rPr>
                <w:rFonts w:ascii="Arial" w:eastAsia="Calibri" w:hAnsi="Arial" w:cs="Arial"/>
                <w:b/>
                <w:bCs/>
                <w:sz w:val="18"/>
                <w:szCs w:val="18"/>
              </w:rPr>
            </w:pPr>
          </w:p>
        </w:tc>
        <w:tc>
          <w:tcPr>
            <w:tcW w:w="1028" w:type="dxa"/>
            <w:tcBorders>
              <w:bottom w:val="single" w:sz="4" w:space="0" w:color="auto"/>
            </w:tcBorders>
          </w:tcPr>
          <w:p w14:paraId="6B0B2E1D"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Growth rate of</w:t>
            </w:r>
            <w:r>
              <w:rPr>
                <w:rFonts w:ascii="Arial" w:eastAsia="Calibri" w:hAnsi="Arial" w:cs="Arial"/>
                <w:b/>
                <w:bCs/>
                <w:sz w:val="18"/>
                <w:szCs w:val="18"/>
              </w:rPr>
              <w:br/>
              <w:t xml:space="preserve"> Net Amount</w:t>
            </w:r>
          </w:p>
          <w:p w14:paraId="6B0B2E1E"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Raised</w:t>
            </w:r>
          </w:p>
          <w:p w14:paraId="6B0B2E1F"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w:t>
            </w:r>
          </w:p>
        </w:tc>
        <w:tc>
          <w:tcPr>
            <w:tcW w:w="899" w:type="dxa"/>
            <w:tcBorders>
              <w:bottom w:val="single" w:sz="4" w:space="0" w:color="auto"/>
            </w:tcBorders>
          </w:tcPr>
          <w:p w14:paraId="6B0B2E20"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Gross Amount</w:t>
            </w:r>
            <w:r>
              <w:rPr>
                <w:rFonts w:ascii="Arial" w:eastAsia="Calibri" w:hAnsi="Arial" w:cs="Arial"/>
                <w:b/>
                <w:bCs/>
                <w:sz w:val="18"/>
                <w:szCs w:val="18"/>
              </w:rPr>
              <w:br/>
              <w:t xml:space="preserve"> Raised</w:t>
            </w:r>
          </w:p>
          <w:p w14:paraId="6B0B2E21"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sz w:val="18"/>
                <w:szCs w:val="18"/>
              </w:rPr>
              <w:t>Rs. Crores</w:t>
            </w:r>
          </w:p>
        </w:tc>
        <w:tc>
          <w:tcPr>
            <w:tcW w:w="0" w:type="auto"/>
            <w:tcBorders>
              <w:bottom w:val="single" w:sz="4" w:space="0" w:color="auto"/>
            </w:tcBorders>
          </w:tcPr>
          <w:p w14:paraId="6B0B2E22"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Net Amount</w:t>
            </w:r>
            <w:r>
              <w:rPr>
                <w:rFonts w:ascii="Arial" w:eastAsia="Calibri" w:hAnsi="Arial" w:cs="Arial"/>
                <w:b/>
                <w:bCs/>
                <w:sz w:val="18"/>
                <w:szCs w:val="18"/>
              </w:rPr>
              <w:br/>
              <w:t xml:space="preserve"> Raised</w:t>
            </w:r>
          </w:p>
          <w:p w14:paraId="6B0B2E23"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sz w:val="18"/>
                <w:szCs w:val="18"/>
              </w:rPr>
              <w:t>Rs. Crores</w:t>
            </w:r>
          </w:p>
          <w:p w14:paraId="6B0B2E24" w14:textId="77777777" w:rsidR="005134AC" w:rsidRDefault="005134AC">
            <w:pPr>
              <w:pStyle w:val="Body"/>
              <w:spacing w:after="0"/>
              <w:jc w:val="center"/>
              <w:rPr>
                <w:rFonts w:ascii="Arial" w:eastAsia="Calibri" w:hAnsi="Arial" w:cs="Arial"/>
                <w:b/>
                <w:bCs/>
                <w:sz w:val="18"/>
                <w:szCs w:val="18"/>
              </w:rPr>
            </w:pPr>
          </w:p>
        </w:tc>
        <w:tc>
          <w:tcPr>
            <w:tcW w:w="0" w:type="auto"/>
            <w:tcBorders>
              <w:bottom w:val="single" w:sz="4" w:space="0" w:color="auto"/>
            </w:tcBorders>
          </w:tcPr>
          <w:p w14:paraId="6B0B2E25"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Growth rate of</w:t>
            </w:r>
            <w:r>
              <w:rPr>
                <w:rFonts w:ascii="Arial" w:eastAsia="Calibri" w:hAnsi="Arial" w:cs="Arial"/>
                <w:b/>
                <w:bCs/>
                <w:sz w:val="18"/>
                <w:szCs w:val="18"/>
              </w:rPr>
              <w:br/>
              <w:t>Gross Amount</w:t>
            </w:r>
          </w:p>
          <w:p w14:paraId="6B0B2E26"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Raised</w:t>
            </w:r>
          </w:p>
          <w:p w14:paraId="6B0B2E27"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w:t>
            </w:r>
          </w:p>
        </w:tc>
        <w:tc>
          <w:tcPr>
            <w:tcW w:w="0" w:type="auto"/>
            <w:tcBorders>
              <w:bottom w:val="single" w:sz="4" w:space="0" w:color="auto"/>
            </w:tcBorders>
          </w:tcPr>
          <w:p w14:paraId="6B0B2E28"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Growth rate of</w:t>
            </w:r>
            <w:r>
              <w:rPr>
                <w:rFonts w:ascii="Arial" w:eastAsia="Calibri" w:hAnsi="Arial" w:cs="Arial"/>
                <w:b/>
                <w:bCs/>
                <w:sz w:val="18"/>
                <w:szCs w:val="18"/>
              </w:rPr>
              <w:br/>
              <w:t xml:space="preserve"> Net Amount</w:t>
            </w:r>
          </w:p>
          <w:p w14:paraId="6B0B2E29"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Raised</w:t>
            </w:r>
          </w:p>
          <w:p w14:paraId="6B0B2E2A"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w:t>
            </w:r>
          </w:p>
        </w:tc>
      </w:tr>
      <w:tr w:rsidR="005134AC" w14:paraId="6B0B2E35" w14:textId="77777777">
        <w:trPr>
          <w:trHeight w:val="288"/>
          <w:jc w:val="center"/>
        </w:trPr>
        <w:tc>
          <w:tcPr>
            <w:tcW w:w="0" w:type="auto"/>
            <w:tcBorders>
              <w:top w:val="single" w:sz="4" w:space="0" w:color="auto"/>
            </w:tcBorders>
            <w:noWrap/>
          </w:tcPr>
          <w:p w14:paraId="6B0B2E2C"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2018-19</w:t>
            </w:r>
          </w:p>
        </w:tc>
        <w:tc>
          <w:tcPr>
            <w:tcW w:w="0" w:type="auto"/>
            <w:tcBorders>
              <w:top w:val="single" w:sz="4" w:space="0" w:color="auto"/>
            </w:tcBorders>
            <w:noWrap/>
          </w:tcPr>
          <w:p w14:paraId="6B0B2E2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19500</w:t>
            </w:r>
          </w:p>
        </w:tc>
        <w:tc>
          <w:tcPr>
            <w:tcW w:w="0" w:type="auto"/>
            <w:tcBorders>
              <w:top w:val="single" w:sz="4" w:space="0" w:color="auto"/>
            </w:tcBorders>
            <w:noWrap/>
          </w:tcPr>
          <w:p w14:paraId="6B0B2E2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13984</w:t>
            </w:r>
          </w:p>
        </w:tc>
        <w:tc>
          <w:tcPr>
            <w:tcW w:w="0" w:type="auto"/>
            <w:tcBorders>
              <w:top w:val="single" w:sz="4" w:space="0" w:color="auto"/>
            </w:tcBorders>
            <w:noWrap/>
          </w:tcPr>
          <w:p w14:paraId="6B0B2E2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w:t>
            </w:r>
          </w:p>
        </w:tc>
        <w:tc>
          <w:tcPr>
            <w:tcW w:w="1028" w:type="dxa"/>
            <w:tcBorders>
              <w:top w:val="single" w:sz="4" w:space="0" w:color="auto"/>
            </w:tcBorders>
            <w:noWrap/>
          </w:tcPr>
          <w:p w14:paraId="6B0B2E3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w:t>
            </w:r>
          </w:p>
        </w:tc>
        <w:tc>
          <w:tcPr>
            <w:tcW w:w="899" w:type="dxa"/>
            <w:tcBorders>
              <w:top w:val="single" w:sz="4" w:space="0" w:color="auto"/>
            </w:tcBorders>
            <w:noWrap/>
          </w:tcPr>
          <w:p w14:paraId="6B0B2E3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478324</w:t>
            </w:r>
          </w:p>
        </w:tc>
        <w:tc>
          <w:tcPr>
            <w:tcW w:w="0" w:type="auto"/>
            <w:tcBorders>
              <w:top w:val="single" w:sz="4" w:space="0" w:color="auto"/>
            </w:tcBorders>
            <w:noWrap/>
          </w:tcPr>
          <w:p w14:paraId="6B0B2E32"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348644</w:t>
            </w:r>
          </w:p>
        </w:tc>
        <w:tc>
          <w:tcPr>
            <w:tcW w:w="0" w:type="auto"/>
            <w:tcBorders>
              <w:top w:val="single" w:sz="4" w:space="0" w:color="auto"/>
            </w:tcBorders>
            <w:noWrap/>
          </w:tcPr>
          <w:p w14:paraId="6B0B2E33"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w:t>
            </w:r>
          </w:p>
        </w:tc>
        <w:tc>
          <w:tcPr>
            <w:tcW w:w="0" w:type="auto"/>
            <w:tcBorders>
              <w:top w:val="single" w:sz="4" w:space="0" w:color="auto"/>
            </w:tcBorders>
            <w:noWrap/>
          </w:tcPr>
          <w:p w14:paraId="6B0B2E34"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w:t>
            </w:r>
          </w:p>
        </w:tc>
      </w:tr>
      <w:tr w:rsidR="005134AC" w14:paraId="6B0B2E3F" w14:textId="77777777">
        <w:trPr>
          <w:trHeight w:val="288"/>
          <w:jc w:val="center"/>
        </w:trPr>
        <w:tc>
          <w:tcPr>
            <w:tcW w:w="0" w:type="auto"/>
            <w:noWrap/>
          </w:tcPr>
          <w:p w14:paraId="6B0B2E36"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2019-20</w:t>
            </w:r>
          </w:p>
        </w:tc>
        <w:tc>
          <w:tcPr>
            <w:tcW w:w="0" w:type="auto"/>
            <w:noWrap/>
          </w:tcPr>
          <w:p w14:paraId="6B0B2E37"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18073</w:t>
            </w:r>
          </w:p>
        </w:tc>
        <w:tc>
          <w:tcPr>
            <w:tcW w:w="0" w:type="auto"/>
            <w:noWrap/>
          </w:tcPr>
          <w:p w14:paraId="6B0B2E38"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12617</w:t>
            </w:r>
          </w:p>
        </w:tc>
        <w:tc>
          <w:tcPr>
            <w:tcW w:w="0" w:type="auto"/>
            <w:noWrap/>
          </w:tcPr>
          <w:p w14:paraId="6B0B2E39"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-7.32</w:t>
            </w:r>
          </w:p>
        </w:tc>
        <w:tc>
          <w:tcPr>
            <w:tcW w:w="1028" w:type="dxa"/>
            <w:noWrap/>
          </w:tcPr>
          <w:p w14:paraId="6B0B2E3A"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-9.78</w:t>
            </w:r>
          </w:p>
        </w:tc>
        <w:tc>
          <w:tcPr>
            <w:tcW w:w="899" w:type="dxa"/>
            <w:noWrap/>
          </w:tcPr>
          <w:p w14:paraId="6B0B2E3B"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638506</w:t>
            </w:r>
          </w:p>
        </w:tc>
        <w:tc>
          <w:tcPr>
            <w:tcW w:w="0" w:type="auto"/>
            <w:noWrap/>
          </w:tcPr>
          <w:p w14:paraId="6B0B2E3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490871</w:t>
            </w:r>
          </w:p>
        </w:tc>
        <w:tc>
          <w:tcPr>
            <w:tcW w:w="0" w:type="auto"/>
            <w:noWrap/>
          </w:tcPr>
          <w:p w14:paraId="6B0B2E3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33.49</w:t>
            </w:r>
          </w:p>
        </w:tc>
        <w:tc>
          <w:tcPr>
            <w:tcW w:w="0" w:type="auto"/>
            <w:noWrap/>
          </w:tcPr>
          <w:p w14:paraId="6B0B2E3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40.79</w:t>
            </w:r>
          </w:p>
        </w:tc>
      </w:tr>
      <w:tr w:rsidR="005134AC" w14:paraId="6B0B2E49" w14:textId="77777777">
        <w:trPr>
          <w:trHeight w:val="288"/>
          <w:jc w:val="center"/>
        </w:trPr>
        <w:tc>
          <w:tcPr>
            <w:tcW w:w="0" w:type="auto"/>
            <w:noWrap/>
          </w:tcPr>
          <w:p w14:paraId="6B0B2E40"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2020-21</w:t>
            </w:r>
          </w:p>
        </w:tc>
        <w:tc>
          <w:tcPr>
            <w:tcW w:w="0" w:type="auto"/>
            <w:noWrap/>
          </w:tcPr>
          <w:p w14:paraId="6B0B2E4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28566</w:t>
            </w:r>
          </w:p>
        </w:tc>
        <w:tc>
          <w:tcPr>
            <w:tcW w:w="0" w:type="auto"/>
            <w:noWrap/>
          </w:tcPr>
          <w:p w14:paraId="6B0B2E42"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23066</w:t>
            </w:r>
          </w:p>
        </w:tc>
        <w:tc>
          <w:tcPr>
            <w:tcW w:w="0" w:type="auto"/>
            <w:noWrap/>
          </w:tcPr>
          <w:p w14:paraId="6B0B2E43"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58.06</w:t>
            </w:r>
          </w:p>
        </w:tc>
        <w:tc>
          <w:tcPr>
            <w:tcW w:w="1028" w:type="dxa"/>
            <w:noWrap/>
          </w:tcPr>
          <w:p w14:paraId="6B0B2E44"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82.82</w:t>
            </w:r>
          </w:p>
        </w:tc>
        <w:tc>
          <w:tcPr>
            <w:tcW w:w="899" w:type="dxa"/>
            <w:noWrap/>
          </w:tcPr>
          <w:p w14:paraId="6B0B2E45"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808143</w:t>
            </w:r>
          </w:p>
        </w:tc>
        <w:tc>
          <w:tcPr>
            <w:tcW w:w="0" w:type="auto"/>
            <w:noWrap/>
          </w:tcPr>
          <w:p w14:paraId="6B0B2E46"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657795</w:t>
            </w:r>
          </w:p>
        </w:tc>
        <w:tc>
          <w:tcPr>
            <w:tcW w:w="0" w:type="auto"/>
            <w:noWrap/>
          </w:tcPr>
          <w:p w14:paraId="6B0B2E47"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26.57</w:t>
            </w:r>
          </w:p>
        </w:tc>
        <w:tc>
          <w:tcPr>
            <w:tcW w:w="0" w:type="auto"/>
            <w:noWrap/>
          </w:tcPr>
          <w:p w14:paraId="6B0B2E48"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34.01</w:t>
            </w:r>
          </w:p>
        </w:tc>
      </w:tr>
      <w:tr w:rsidR="005134AC" w14:paraId="6B0B2E53" w14:textId="77777777">
        <w:trPr>
          <w:trHeight w:val="288"/>
          <w:jc w:val="center"/>
        </w:trPr>
        <w:tc>
          <w:tcPr>
            <w:tcW w:w="0" w:type="auto"/>
            <w:noWrap/>
          </w:tcPr>
          <w:p w14:paraId="6B0B2E4A"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2021-22</w:t>
            </w:r>
          </w:p>
        </w:tc>
        <w:tc>
          <w:tcPr>
            <w:tcW w:w="0" w:type="auto"/>
            <w:noWrap/>
          </w:tcPr>
          <w:p w14:paraId="6B0B2E4B"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27000</w:t>
            </w:r>
          </w:p>
        </w:tc>
        <w:tc>
          <w:tcPr>
            <w:tcW w:w="0" w:type="auto"/>
            <w:noWrap/>
          </w:tcPr>
          <w:p w14:paraId="6B0B2E4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18120</w:t>
            </w:r>
          </w:p>
        </w:tc>
        <w:tc>
          <w:tcPr>
            <w:tcW w:w="0" w:type="auto"/>
            <w:noWrap/>
          </w:tcPr>
          <w:p w14:paraId="6B0B2E4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-5.48</w:t>
            </w:r>
          </w:p>
        </w:tc>
        <w:tc>
          <w:tcPr>
            <w:tcW w:w="1028" w:type="dxa"/>
            <w:noWrap/>
          </w:tcPr>
          <w:p w14:paraId="6B0B2E4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-21.44</w:t>
            </w:r>
          </w:p>
        </w:tc>
        <w:tc>
          <w:tcPr>
            <w:tcW w:w="899" w:type="dxa"/>
            <w:noWrap/>
          </w:tcPr>
          <w:p w14:paraId="6B0B2E4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701626</w:t>
            </w:r>
          </w:p>
        </w:tc>
        <w:tc>
          <w:tcPr>
            <w:tcW w:w="0" w:type="auto"/>
            <w:noWrap/>
          </w:tcPr>
          <w:p w14:paraId="6B0B2E5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492484</w:t>
            </w:r>
          </w:p>
        </w:tc>
        <w:tc>
          <w:tcPr>
            <w:tcW w:w="0" w:type="auto"/>
            <w:noWrap/>
          </w:tcPr>
          <w:p w14:paraId="6B0B2E5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-13.18</w:t>
            </w:r>
          </w:p>
        </w:tc>
        <w:tc>
          <w:tcPr>
            <w:tcW w:w="0" w:type="auto"/>
            <w:noWrap/>
          </w:tcPr>
          <w:p w14:paraId="6B0B2E52"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-25.13</w:t>
            </w:r>
          </w:p>
        </w:tc>
      </w:tr>
      <w:tr w:rsidR="005134AC" w14:paraId="6B0B2E5D" w14:textId="77777777">
        <w:trPr>
          <w:trHeight w:val="288"/>
          <w:jc w:val="center"/>
        </w:trPr>
        <w:tc>
          <w:tcPr>
            <w:tcW w:w="0" w:type="auto"/>
            <w:noWrap/>
          </w:tcPr>
          <w:p w14:paraId="6B0B2E54"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2022-23</w:t>
            </w:r>
          </w:p>
        </w:tc>
        <w:tc>
          <w:tcPr>
            <w:tcW w:w="0" w:type="auto"/>
            <w:noWrap/>
          </w:tcPr>
          <w:p w14:paraId="6B0B2E55"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30839</w:t>
            </w:r>
          </w:p>
        </w:tc>
        <w:tc>
          <w:tcPr>
            <w:tcW w:w="0" w:type="auto"/>
            <w:noWrap/>
          </w:tcPr>
          <w:p w14:paraId="6B0B2E56"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15620</w:t>
            </w:r>
          </w:p>
        </w:tc>
        <w:tc>
          <w:tcPr>
            <w:tcW w:w="0" w:type="auto"/>
            <w:noWrap/>
          </w:tcPr>
          <w:p w14:paraId="6B0B2E57"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14.22</w:t>
            </w:r>
          </w:p>
        </w:tc>
        <w:tc>
          <w:tcPr>
            <w:tcW w:w="1028" w:type="dxa"/>
            <w:noWrap/>
          </w:tcPr>
          <w:p w14:paraId="6B0B2E58"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-13.80</w:t>
            </w:r>
          </w:p>
        </w:tc>
        <w:tc>
          <w:tcPr>
            <w:tcW w:w="899" w:type="dxa"/>
            <w:noWrap/>
          </w:tcPr>
          <w:p w14:paraId="6B0B2E59"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758392</w:t>
            </w:r>
          </w:p>
        </w:tc>
        <w:tc>
          <w:tcPr>
            <w:tcW w:w="0" w:type="auto"/>
            <w:noWrap/>
          </w:tcPr>
          <w:p w14:paraId="6B0B2E5A"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518829</w:t>
            </w:r>
          </w:p>
        </w:tc>
        <w:tc>
          <w:tcPr>
            <w:tcW w:w="0" w:type="auto"/>
            <w:noWrap/>
          </w:tcPr>
          <w:p w14:paraId="6B0B2E5B"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8.09</w:t>
            </w:r>
          </w:p>
        </w:tc>
        <w:tc>
          <w:tcPr>
            <w:tcW w:w="0" w:type="auto"/>
            <w:noWrap/>
          </w:tcPr>
          <w:p w14:paraId="6B0B2E5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5.35</w:t>
            </w:r>
          </w:p>
        </w:tc>
      </w:tr>
      <w:tr w:rsidR="005134AC" w14:paraId="6B0B2E67" w14:textId="77777777">
        <w:trPr>
          <w:trHeight w:val="288"/>
          <w:jc w:val="center"/>
        </w:trPr>
        <w:tc>
          <w:tcPr>
            <w:tcW w:w="0" w:type="auto"/>
            <w:noWrap/>
          </w:tcPr>
          <w:p w14:paraId="6B0B2E5E"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2023-24</w:t>
            </w:r>
          </w:p>
        </w:tc>
        <w:tc>
          <w:tcPr>
            <w:tcW w:w="0" w:type="auto"/>
            <w:noWrap/>
          </w:tcPr>
          <w:p w14:paraId="6B0B2E5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42438</w:t>
            </w:r>
          </w:p>
        </w:tc>
        <w:tc>
          <w:tcPr>
            <w:tcW w:w="0" w:type="auto"/>
            <w:noWrap/>
          </w:tcPr>
          <w:p w14:paraId="6B0B2E6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26638</w:t>
            </w:r>
          </w:p>
        </w:tc>
        <w:tc>
          <w:tcPr>
            <w:tcW w:w="0" w:type="auto"/>
            <w:noWrap/>
          </w:tcPr>
          <w:p w14:paraId="6B0B2E61"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37.61</w:t>
            </w:r>
          </w:p>
        </w:tc>
        <w:tc>
          <w:tcPr>
            <w:tcW w:w="1028" w:type="dxa"/>
            <w:noWrap/>
          </w:tcPr>
          <w:p w14:paraId="6B0B2E62"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70.54</w:t>
            </w:r>
          </w:p>
        </w:tc>
        <w:tc>
          <w:tcPr>
            <w:tcW w:w="899" w:type="dxa"/>
            <w:noWrap/>
          </w:tcPr>
          <w:p w14:paraId="6B0B2E63"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1007059</w:t>
            </w:r>
          </w:p>
        </w:tc>
        <w:tc>
          <w:tcPr>
            <w:tcW w:w="0" w:type="auto"/>
            <w:noWrap/>
          </w:tcPr>
          <w:p w14:paraId="6B0B2E64"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717142</w:t>
            </w:r>
          </w:p>
        </w:tc>
        <w:tc>
          <w:tcPr>
            <w:tcW w:w="0" w:type="auto"/>
            <w:noWrap/>
          </w:tcPr>
          <w:p w14:paraId="6B0B2E65"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32.79</w:t>
            </w:r>
          </w:p>
        </w:tc>
        <w:tc>
          <w:tcPr>
            <w:tcW w:w="0" w:type="auto"/>
            <w:noWrap/>
          </w:tcPr>
          <w:p w14:paraId="6B0B2E66"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38.22</w:t>
            </w:r>
          </w:p>
        </w:tc>
      </w:tr>
      <w:tr w:rsidR="005134AC" w14:paraId="6B0B2E71" w14:textId="77777777">
        <w:trPr>
          <w:trHeight w:val="288"/>
          <w:jc w:val="center"/>
        </w:trPr>
        <w:tc>
          <w:tcPr>
            <w:tcW w:w="0" w:type="auto"/>
            <w:tcBorders>
              <w:bottom w:val="single" w:sz="4" w:space="0" w:color="auto"/>
            </w:tcBorders>
            <w:noWrap/>
          </w:tcPr>
          <w:p w14:paraId="6B0B2E68" w14:textId="77777777" w:rsidR="005134AC" w:rsidRDefault="009A4237">
            <w:pPr>
              <w:pStyle w:val="Body"/>
              <w:rPr>
                <w:rFonts w:ascii="Arial" w:eastAsia="Calibri" w:hAnsi="Arial" w:cs="Arial"/>
                <w:b/>
                <w:bCs/>
                <w:sz w:val="18"/>
                <w:szCs w:val="18"/>
              </w:rPr>
            </w:pPr>
            <w:r>
              <w:rPr>
                <w:rFonts w:ascii="Arial" w:eastAsia="Calibri" w:hAnsi="Arial" w:cs="Arial"/>
                <w:b/>
                <w:bCs/>
                <w:sz w:val="18"/>
                <w:szCs w:val="18"/>
              </w:rPr>
              <w:t>2024-25</w:t>
            </w:r>
          </w:p>
        </w:tc>
        <w:tc>
          <w:tcPr>
            <w:tcW w:w="0" w:type="auto"/>
            <w:tcBorders>
              <w:bottom w:val="single" w:sz="4" w:space="0" w:color="auto"/>
            </w:tcBorders>
            <w:noWrap/>
          </w:tcPr>
          <w:p w14:paraId="6B0B2E69"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53666</w:t>
            </w:r>
          </w:p>
        </w:tc>
        <w:tc>
          <w:tcPr>
            <w:tcW w:w="0" w:type="auto"/>
            <w:tcBorders>
              <w:bottom w:val="single" w:sz="4" w:space="0" w:color="auto"/>
            </w:tcBorders>
            <w:noWrap/>
          </w:tcPr>
          <w:p w14:paraId="6B0B2E6A"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37966</w:t>
            </w:r>
          </w:p>
        </w:tc>
        <w:tc>
          <w:tcPr>
            <w:tcW w:w="0" w:type="auto"/>
            <w:tcBorders>
              <w:bottom w:val="single" w:sz="4" w:space="0" w:color="auto"/>
            </w:tcBorders>
            <w:noWrap/>
          </w:tcPr>
          <w:p w14:paraId="6B0B2E6B"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26.46</w:t>
            </w:r>
          </w:p>
        </w:tc>
        <w:tc>
          <w:tcPr>
            <w:tcW w:w="1028" w:type="dxa"/>
            <w:tcBorders>
              <w:bottom w:val="single" w:sz="4" w:space="0" w:color="auto"/>
            </w:tcBorders>
            <w:noWrap/>
          </w:tcPr>
          <w:p w14:paraId="6B0B2E6C"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42.53</w:t>
            </w:r>
          </w:p>
        </w:tc>
        <w:tc>
          <w:tcPr>
            <w:tcW w:w="899" w:type="dxa"/>
            <w:tcBorders>
              <w:bottom w:val="single" w:sz="4" w:space="0" w:color="auto"/>
            </w:tcBorders>
            <w:noWrap/>
          </w:tcPr>
          <w:p w14:paraId="6B0B2E6D"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1073310</w:t>
            </w:r>
          </w:p>
        </w:tc>
        <w:tc>
          <w:tcPr>
            <w:tcW w:w="0" w:type="auto"/>
            <w:tcBorders>
              <w:bottom w:val="single" w:sz="4" w:space="0" w:color="auto"/>
            </w:tcBorders>
            <w:noWrap/>
          </w:tcPr>
          <w:p w14:paraId="6B0B2E6E"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753346</w:t>
            </w:r>
          </w:p>
        </w:tc>
        <w:tc>
          <w:tcPr>
            <w:tcW w:w="0" w:type="auto"/>
            <w:tcBorders>
              <w:bottom w:val="single" w:sz="4" w:space="0" w:color="auto"/>
            </w:tcBorders>
            <w:noWrap/>
          </w:tcPr>
          <w:p w14:paraId="6B0B2E6F"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6.58</w:t>
            </w:r>
          </w:p>
        </w:tc>
        <w:tc>
          <w:tcPr>
            <w:tcW w:w="0" w:type="auto"/>
            <w:tcBorders>
              <w:bottom w:val="single" w:sz="4" w:space="0" w:color="auto"/>
            </w:tcBorders>
            <w:noWrap/>
          </w:tcPr>
          <w:p w14:paraId="6B0B2E70" w14:textId="77777777" w:rsidR="005134AC" w:rsidRDefault="009A4237">
            <w:pPr>
              <w:pStyle w:val="Body"/>
              <w:jc w:val="center"/>
              <w:rPr>
                <w:rFonts w:ascii="Arial" w:eastAsia="Calibri" w:hAnsi="Arial" w:cs="Arial"/>
                <w:sz w:val="18"/>
                <w:szCs w:val="18"/>
              </w:rPr>
            </w:pPr>
            <w:r>
              <w:rPr>
                <w:rFonts w:ascii="Arial" w:eastAsia="Calibri" w:hAnsi="Arial" w:cs="Arial"/>
                <w:sz w:val="18"/>
                <w:szCs w:val="18"/>
              </w:rPr>
              <w:t>5.05</w:t>
            </w:r>
          </w:p>
        </w:tc>
      </w:tr>
    </w:tbl>
    <w:p w14:paraId="6B0B2E72" w14:textId="77777777" w:rsidR="005134AC" w:rsidRDefault="009A4237">
      <w:pPr>
        <w:pStyle w:val="Body"/>
        <w:spacing w:after="0"/>
        <w:rPr>
          <w:rFonts w:ascii="Arial" w:hAnsi="Arial" w:cs="Arial"/>
        </w:rPr>
      </w:pPr>
      <w:r>
        <w:rPr>
          <w:rFonts w:ascii="Arial" w:hAnsi="Arial" w:cs="Arial"/>
        </w:rPr>
        <w:t xml:space="preserve">Source: Author’s Estimation Based on RBI Data on Market Borrowings of State </w:t>
      </w:r>
      <w:proofErr w:type="gramStart"/>
      <w:r>
        <w:rPr>
          <w:rFonts w:ascii="Arial" w:hAnsi="Arial" w:cs="Arial"/>
        </w:rPr>
        <w:t>Governments  from</w:t>
      </w:r>
      <w:proofErr w:type="gramEnd"/>
      <w:r>
        <w:rPr>
          <w:rFonts w:ascii="Arial" w:hAnsi="Arial" w:cs="Arial"/>
        </w:rPr>
        <w:t xml:space="preserve"> </w:t>
      </w:r>
      <w:hyperlink r:id="rId16" w:history="1">
        <w:r w:rsidR="005134AC">
          <w:rPr>
            <w:rStyle w:val="Hyperlink"/>
            <w:rFonts w:ascii="Arial" w:hAnsi="Arial" w:cs="Arial"/>
          </w:rPr>
          <w:t>https://www.rbi.org.in/</w:t>
        </w:r>
      </w:hyperlink>
    </w:p>
    <w:p w14:paraId="6B0B2E73" w14:textId="77777777" w:rsidR="005134AC" w:rsidRDefault="005134AC">
      <w:pPr>
        <w:pStyle w:val="Body"/>
        <w:spacing w:after="0"/>
        <w:rPr>
          <w:rFonts w:ascii="Arial" w:hAnsi="Arial" w:cs="Arial"/>
        </w:rPr>
      </w:pPr>
    </w:p>
    <w:p w14:paraId="6B0B2E74" w14:textId="77777777" w:rsidR="005134AC" w:rsidRDefault="009A4237">
      <w:pPr>
        <w:pStyle w:val="Body"/>
        <w:spacing w:after="0"/>
        <w:rPr>
          <w:rFonts w:ascii="Arial" w:hAnsi="Arial" w:cs="Arial"/>
        </w:rPr>
      </w:pPr>
      <w:r>
        <w:rPr>
          <w:rFonts w:ascii="Arial" w:hAnsi="Arial" w:cs="Arial"/>
        </w:rPr>
        <w:lastRenderedPageBreak/>
        <w:t>During the period from 2018–19 to 2024–25, Kerala’s market borrowings show notable fluctuations, indicating periods of fiscal expansion and consolidation in response to economic conditions. In 2018–19, Kerala raised ₹19,500 crore gross and ₹13,984 crore net through market loans. The following year (2019–20) saw a decline in both gross (−7.32%) and net (−9.78%) borrowings, reflecting restrained borrowing ahead of the pandemic. However, in 2020–21, borrowings surged sharply—gross by 58.06% and net by 82.82%—as the state relied heavily on debt to meet pandemic-related expenditure and compensate for revenue shortfalls.</w:t>
      </w:r>
    </w:p>
    <w:p w14:paraId="6B0B2E75" w14:textId="77777777" w:rsidR="005134AC" w:rsidRDefault="005134AC">
      <w:pPr>
        <w:pStyle w:val="Body"/>
        <w:spacing w:after="0"/>
        <w:rPr>
          <w:rFonts w:ascii="Arial" w:hAnsi="Arial" w:cs="Arial"/>
        </w:rPr>
      </w:pPr>
    </w:p>
    <w:p w14:paraId="6B0B2E76" w14:textId="77777777" w:rsidR="005134AC" w:rsidRDefault="009A4237">
      <w:pPr>
        <w:pStyle w:val="Body"/>
        <w:spacing w:after="0"/>
        <w:rPr>
          <w:rFonts w:ascii="Arial" w:hAnsi="Arial" w:cs="Arial"/>
        </w:rPr>
      </w:pPr>
      <w:r>
        <w:rPr>
          <w:rFonts w:ascii="Arial" w:hAnsi="Arial" w:cs="Arial"/>
        </w:rPr>
        <w:t>In 2021–22, Kerala reduced its borrowings, with the gross amount falling by 5.48% and the net amount by 21.44%, suggesting an attempt at fiscal consolidation following the pandemic shock. The year 2022–23 showed a mixed pattern: the gross amount raised increased by 14.22%, but the net amount declined by 13.80%, likely due to higher repayments. In 2023–24, Kerala’s borrowing requirements rose again substantially, with gross and net amounts growing by 37.61% and 70.54%, respectively, reflecting renewed fiscal expansion. The upward trend continued in 2024–25, when the gross borrowing reached ₹53,666 crore and net borrowing ₹37,966 crore, marking further growth of 26.46% and 42.53%.</w:t>
      </w:r>
    </w:p>
    <w:p w14:paraId="6B0B2E77" w14:textId="77777777" w:rsidR="005134AC" w:rsidRDefault="005134AC">
      <w:pPr>
        <w:pStyle w:val="Body"/>
        <w:spacing w:after="0"/>
        <w:rPr>
          <w:rFonts w:ascii="Arial" w:hAnsi="Arial" w:cs="Arial"/>
        </w:rPr>
      </w:pPr>
    </w:p>
    <w:p w14:paraId="6B0B2E78" w14:textId="77777777" w:rsidR="005134AC" w:rsidRDefault="009A4237">
      <w:pPr>
        <w:pStyle w:val="Body"/>
        <w:spacing w:after="0"/>
        <w:rPr>
          <w:rFonts w:ascii="Arial" w:hAnsi="Arial" w:cs="Arial"/>
        </w:rPr>
      </w:pPr>
      <w:r>
        <w:rPr>
          <w:rFonts w:ascii="Arial" w:hAnsi="Arial" w:cs="Arial"/>
        </w:rPr>
        <w:t>When compared with all states, Kerala’s borrowing pattern broadly mirrors national trends but with greater volatility. For all states combined, gross borrowings increased from ₹4,78,324 crore in 2018–19 to ₹10,73,310 crore in 2024–25, showing steady growth. The highest growth occurred in 2019–20 (33.49%) and 2020–21 (26.57%), driven by increased financing needs during the pandemic. A decline followed in 2021–22 (−13.18% for gross and −25.13% for net), after which borrowing resumed a moderate upward trajectory.</w:t>
      </w:r>
    </w:p>
    <w:p w14:paraId="6B0B2E79" w14:textId="77777777" w:rsidR="005134AC" w:rsidRDefault="005134AC">
      <w:pPr>
        <w:pStyle w:val="Body"/>
        <w:spacing w:after="0"/>
        <w:rPr>
          <w:rFonts w:ascii="Arial" w:hAnsi="Arial" w:cs="Arial"/>
        </w:rPr>
      </w:pPr>
    </w:p>
    <w:p w14:paraId="6B0B2E7A" w14:textId="77777777" w:rsidR="005134AC" w:rsidRDefault="009A4237">
      <w:pPr>
        <w:pStyle w:val="Body"/>
        <w:spacing w:after="0"/>
        <w:rPr>
          <w:rFonts w:ascii="Arial" w:hAnsi="Arial" w:cs="Arial"/>
        </w:rPr>
      </w:pPr>
      <w:r>
        <w:rPr>
          <w:rFonts w:ascii="Arial" w:hAnsi="Arial" w:cs="Arial"/>
        </w:rPr>
        <w:t>Overall, the data show that Kerala’s market borrowings have expanded significantly post-2020, with sharper swings than the all-states average, indicating higher fiscal stress and dependency on debt financing. The surge during and after the pandemic years highlights Kerala’s heavy reliance on market loans to sustain expenditure, while the fluctuating growth rates suggest ongoing challenges in achieving consistent fiscal consolidation and debt sustainability.</w:t>
      </w:r>
    </w:p>
    <w:p w14:paraId="6B0B2E7B" w14:textId="77777777" w:rsidR="005134AC" w:rsidRDefault="005134AC">
      <w:pPr>
        <w:pStyle w:val="Body"/>
        <w:spacing w:after="0"/>
        <w:rPr>
          <w:rFonts w:ascii="Arial" w:hAnsi="Arial" w:cs="Arial"/>
        </w:rPr>
      </w:pPr>
    </w:p>
    <w:p w14:paraId="6B0B2E7C" w14:textId="77777777" w:rsidR="005134AC" w:rsidRDefault="009A4237">
      <w:pPr>
        <w:pStyle w:val="Body"/>
        <w:spacing w:after="0"/>
        <w:rPr>
          <w:rFonts w:ascii="Arial" w:hAnsi="Arial" w:cs="Arial"/>
          <w:b/>
          <w:bCs/>
        </w:rPr>
      </w:pPr>
      <w:r>
        <w:rPr>
          <w:rFonts w:ascii="Arial" w:hAnsi="Arial" w:cs="Arial"/>
          <w:b/>
          <w:bCs/>
        </w:rPr>
        <w:t xml:space="preserve">3.5 Assessing the Sustainability of Kerala’s Public Debt: A </w:t>
      </w:r>
      <w:proofErr w:type="spellStart"/>
      <w:r>
        <w:rPr>
          <w:rFonts w:ascii="Arial" w:hAnsi="Arial" w:cs="Arial"/>
          <w:b/>
          <w:bCs/>
        </w:rPr>
        <w:t>Domar</w:t>
      </w:r>
      <w:proofErr w:type="spellEnd"/>
      <w:r>
        <w:rPr>
          <w:rFonts w:ascii="Arial" w:hAnsi="Arial" w:cs="Arial"/>
          <w:b/>
          <w:bCs/>
        </w:rPr>
        <w:t xml:space="preserve"> Gap Perspective</w:t>
      </w:r>
    </w:p>
    <w:p w14:paraId="6B0B2E7D" w14:textId="77777777" w:rsidR="005134AC" w:rsidRDefault="009A4237">
      <w:pPr>
        <w:pStyle w:val="Body"/>
        <w:spacing w:after="0"/>
        <w:rPr>
          <w:rFonts w:ascii="Arial" w:hAnsi="Arial" w:cs="Arial"/>
        </w:rPr>
      </w:pPr>
      <w:r>
        <w:rPr>
          <w:rFonts w:ascii="Arial" w:hAnsi="Arial" w:cs="Arial"/>
        </w:rPr>
        <w:t xml:space="preserve">Table 4 </w:t>
      </w:r>
      <w:proofErr w:type="spellStart"/>
      <w:r>
        <w:rPr>
          <w:rFonts w:ascii="Arial" w:hAnsi="Arial" w:cs="Arial"/>
        </w:rPr>
        <w:t>summarises</w:t>
      </w:r>
      <w:proofErr w:type="spellEnd"/>
      <w:r>
        <w:rPr>
          <w:rFonts w:ascii="Arial" w:hAnsi="Arial" w:cs="Arial"/>
        </w:rPr>
        <w:t xml:space="preserve"> Kerala’s macro-fiscal environment from 2019–20 to 2023–24 by reporting constant-term GSDP, real growth rates, CPI inflation, the effective interest rate on public debt, the real effective interest rate (nominal effective interest rate minus inflation), and the </w:t>
      </w:r>
      <w:proofErr w:type="spellStart"/>
      <w:r>
        <w:rPr>
          <w:rFonts w:ascii="Arial" w:hAnsi="Arial" w:cs="Arial"/>
        </w:rPr>
        <w:t>Domar</w:t>
      </w:r>
      <w:proofErr w:type="spellEnd"/>
      <w:r>
        <w:rPr>
          <w:rFonts w:ascii="Arial" w:hAnsi="Arial" w:cs="Arial"/>
        </w:rPr>
        <w:t xml:space="preserve"> gap (real growth minus real effective interest rate). Together, these indicators show whether the state’s economic growth is sufficient to </w:t>
      </w:r>
      <w:proofErr w:type="spellStart"/>
      <w:r>
        <w:rPr>
          <w:rFonts w:ascii="Arial" w:hAnsi="Arial" w:cs="Arial"/>
        </w:rPr>
        <w:t>stabilise</w:t>
      </w:r>
      <w:proofErr w:type="spellEnd"/>
      <w:r>
        <w:rPr>
          <w:rFonts w:ascii="Arial" w:hAnsi="Arial" w:cs="Arial"/>
        </w:rPr>
        <w:t xml:space="preserve"> or reduce the debt burden (a positive </w:t>
      </w:r>
      <w:proofErr w:type="spellStart"/>
      <w:r>
        <w:rPr>
          <w:rFonts w:ascii="Arial" w:hAnsi="Arial" w:cs="Arial"/>
        </w:rPr>
        <w:t>Domar</w:t>
      </w:r>
      <w:proofErr w:type="spellEnd"/>
      <w:r>
        <w:rPr>
          <w:rFonts w:ascii="Arial" w:hAnsi="Arial" w:cs="Arial"/>
        </w:rPr>
        <w:t xml:space="preserve"> gap) or whether indebtedness is likely to rise relative to the economy (a negative </w:t>
      </w:r>
      <w:proofErr w:type="spellStart"/>
      <w:r>
        <w:rPr>
          <w:rFonts w:ascii="Arial" w:hAnsi="Arial" w:cs="Arial"/>
        </w:rPr>
        <w:t>Domar</w:t>
      </w:r>
      <w:proofErr w:type="spellEnd"/>
      <w:r>
        <w:rPr>
          <w:rFonts w:ascii="Arial" w:hAnsi="Arial" w:cs="Arial"/>
        </w:rPr>
        <w:t xml:space="preserve"> gap).</w:t>
      </w:r>
    </w:p>
    <w:p w14:paraId="6B0B2E7E" w14:textId="77777777" w:rsidR="005134AC" w:rsidRDefault="009A4237">
      <w:pPr>
        <w:pStyle w:val="Body"/>
        <w:spacing w:after="0"/>
        <w:rPr>
          <w:rFonts w:ascii="Arial" w:hAnsi="Arial" w:cs="Arial"/>
        </w:rPr>
      </w:pPr>
      <w:r>
        <w:rPr>
          <w:rFonts w:ascii="Arial" w:hAnsi="Arial" w:cs="Arial"/>
        </w:rPr>
        <w:t xml:space="preserve"> </w:t>
      </w:r>
    </w:p>
    <w:p w14:paraId="6B0B2E7F" w14:textId="77777777" w:rsidR="005134AC" w:rsidRDefault="009A4237">
      <w:pPr>
        <w:pStyle w:val="Body"/>
        <w:spacing w:after="0"/>
        <w:jc w:val="center"/>
        <w:rPr>
          <w:rFonts w:ascii="Arial" w:hAnsi="Arial" w:cs="Arial"/>
          <w:b/>
          <w:bCs/>
          <w:sz w:val="18"/>
          <w:szCs w:val="18"/>
        </w:rPr>
      </w:pPr>
      <w:r>
        <w:rPr>
          <w:rFonts w:ascii="Arial" w:hAnsi="Arial" w:cs="Arial"/>
          <w:b/>
          <w:bCs/>
          <w:sz w:val="18"/>
          <w:szCs w:val="18"/>
        </w:rPr>
        <w:t xml:space="preserve">Table 4: Real Growth of GSDP, Real Effective Interest Rate and </w:t>
      </w:r>
      <w:proofErr w:type="spellStart"/>
      <w:r>
        <w:rPr>
          <w:rFonts w:ascii="Arial" w:hAnsi="Arial" w:cs="Arial"/>
          <w:b/>
          <w:bCs/>
          <w:sz w:val="18"/>
          <w:szCs w:val="18"/>
        </w:rPr>
        <w:t>Domar</w:t>
      </w:r>
      <w:proofErr w:type="spellEnd"/>
      <w:r>
        <w:rPr>
          <w:rFonts w:ascii="Arial" w:hAnsi="Arial" w:cs="Arial"/>
          <w:b/>
          <w:bCs/>
          <w:sz w:val="18"/>
          <w:szCs w:val="18"/>
        </w:rPr>
        <w:t xml:space="preserve"> Gap of Kerala</w:t>
      </w:r>
    </w:p>
    <w:tbl>
      <w:tblPr>
        <w:tblStyle w:val="TableGrid"/>
        <w:tblW w:w="8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1140"/>
        <w:gridCol w:w="1072"/>
        <w:gridCol w:w="1174"/>
        <w:gridCol w:w="1174"/>
        <w:gridCol w:w="1174"/>
      </w:tblGrid>
      <w:tr w:rsidR="005134AC" w14:paraId="6B0B2E86" w14:textId="77777777">
        <w:trPr>
          <w:trHeight w:val="269"/>
          <w:jc w:val="center"/>
        </w:trPr>
        <w:tc>
          <w:tcPr>
            <w:tcW w:w="2471" w:type="dxa"/>
            <w:tcBorders>
              <w:top w:val="single" w:sz="4" w:space="0" w:color="auto"/>
              <w:bottom w:val="single" w:sz="4" w:space="0" w:color="auto"/>
            </w:tcBorders>
            <w:noWrap/>
          </w:tcPr>
          <w:p w14:paraId="6B0B2E80"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Indicators</w:t>
            </w:r>
          </w:p>
        </w:tc>
        <w:tc>
          <w:tcPr>
            <w:tcW w:w="1140" w:type="dxa"/>
            <w:tcBorders>
              <w:top w:val="single" w:sz="4" w:space="0" w:color="auto"/>
              <w:bottom w:val="single" w:sz="4" w:space="0" w:color="auto"/>
            </w:tcBorders>
            <w:noWrap/>
          </w:tcPr>
          <w:p w14:paraId="6B0B2E81"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2019-20</w:t>
            </w:r>
          </w:p>
        </w:tc>
        <w:tc>
          <w:tcPr>
            <w:tcW w:w="1072" w:type="dxa"/>
            <w:tcBorders>
              <w:top w:val="single" w:sz="4" w:space="0" w:color="auto"/>
              <w:bottom w:val="single" w:sz="4" w:space="0" w:color="auto"/>
            </w:tcBorders>
            <w:noWrap/>
          </w:tcPr>
          <w:p w14:paraId="6B0B2E82"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2020-21</w:t>
            </w:r>
          </w:p>
        </w:tc>
        <w:tc>
          <w:tcPr>
            <w:tcW w:w="1174" w:type="dxa"/>
            <w:tcBorders>
              <w:top w:val="single" w:sz="4" w:space="0" w:color="auto"/>
              <w:bottom w:val="single" w:sz="4" w:space="0" w:color="auto"/>
            </w:tcBorders>
            <w:noWrap/>
          </w:tcPr>
          <w:p w14:paraId="6B0B2E83"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2021-22</w:t>
            </w:r>
          </w:p>
        </w:tc>
        <w:tc>
          <w:tcPr>
            <w:tcW w:w="1174" w:type="dxa"/>
            <w:tcBorders>
              <w:top w:val="single" w:sz="4" w:space="0" w:color="auto"/>
              <w:bottom w:val="single" w:sz="4" w:space="0" w:color="auto"/>
            </w:tcBorders>
            <w:noWrap/>
          </w:tcPr>
          <w:p w14:paraId="6B0B2E84"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2022-23</w:t>
            </w:r>
          </w:p>
        </w:tc>
        <w:tc>
          <w:tcPr>
            <w:tcW w:w="1174" w:type="dxa"/>
            <w:tcBorders>
              <w:top w:val="single" w:sz="4" w:space="0" w:color="auto"/>
              <w:bottom w:val="single" w:sz="4" w:space="0" w:color="auto"/>
            </w:tcBorders>
            <w:noWrap/>
          </w:tcPr>
          <w:p w14:paraId="6B0B2E85"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2023-24</w:t>
            </w:r>
          </w:p>
        </w:tc>
      </w:tr>
      <w:tr w:rsidR="005134AC" w14:paraId="6B0B2E8D" w14:textId="77777777">
        <w:trPr>
          <w:trHeight w:val="269"/>
          <w:jc w:val="center"/>
        </w:trPr>
        <w:tc>
          <w:tcPr>
            <w:tcW w:w="2471" w:type="dxa"/>
            <w:tcBorders>
              <w:top w:val="single" w:sz="4" w:space="0" w:color="auto"/>
            </w:tcBorders>
            <w:noWrap/>
          </w:tcPr>
          <w:p w14:paraId="6B0B2E87"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GSDP (in constant terms) Rs. Crores</w:t>
            </w:r>
          </w:p>
        </w:tc>
        <w:tc>
          <w:tcPr>
            <w:tcW w:w="1140" w:type="dxa"/>
            <w:tcBorders>
              <w:top w:val="single" w:sz="4" w:space="0" w:color="auto"/>
            </w:tcBorders>
            <w:noWrap/>
          </w:tcPr>
          <w:p w14:paraId="6B0B2E88"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559194.18</w:t>
            </w:r>
          </w:p>
        </w:tc>
        <w:tc>
          <w:tcPr>
            <w:tcW w:w="1072" w:type="dxa"/>
            <w:tcBorders>
              <w:top w:val="single" w:sz="4" w:space="0" w:color="auto"/>
            </w:tcBorders>
            <w:noWrap/>
          </w:tcPr>
          <w:p w14:paraId="6B0B2E89"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511702.92</w:t>
            </w:r>
          </w:p>
        </w:tc>
        <w:tc>
          <w:tcPr>
            <w:tcW w:w="1174" w:type="dxa"/>
            <w:tcBorders>
              <w:top w:val="single" w:sz="4" w:space="0" w:color="auto"/>
            </w:tcBorders>
            <w:noWrap/>
          </w:tcPr>
          <w:p w14:paraId="6B0B2E8A"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571982.96</w:t>
            </w:r>
          </w:p>
        </w:tc>
        <w:tc>
          <w:tcPr>
            <w:tcW w:w="1174" w:type="dxa"/>
            <w:tcBorders>
              <w:top w:val="single" w:sz="4" w:space="0" w:color="auto"/>
            </w:tcBorders>
            <w:noWrap/>
          </w:tcPr>
          <w:p w14:paraId="6B0B2E8B"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596236.86</w:t>
            </w:r>
          </w:p>
        </w:tc>
        <w:tc>
          <w:tcPr>
            <w:tcW w:w="1174" w:type="dxa"/>
            <w:tcBorders>
              <w:top w:val="single" w:sz="4" w:space="0" w:color="auto"/>
            </w:tcBorders>
            <w:noWrap/>
          </w:tcPr>
          <w:p w14:paraId="6B0B2E8C"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635136.53</w:t>
            </w:r>
          </w:p>
        </w:tc>
      </w:tr>
      <w:tr w:rsidR="005134AC" w14:paraId="6B0B2E95" w14:textId="77777777">
        <w:trPr>
          <w:trHeight w:val="269"/>
          <w:jc w:val="center"/>
        </w:trPr>
        <w:tc>
          <w:tcPr>
            <w:tcW w:w="2471" w:type="dxa"/>
            <w:noWrap/>
          </w:tcPr>
          <w:p w14:paraId="6B0B2E8E"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Real Growth Rate</w:t>
            </w:r>
          </w:p>
          <w:p w14:paraId="6B0B2E8F"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 xml:space="preserve"> (in constant terms) </w:t>
            </w:r>
          </w:p>
        </w:tc>
        <w:tc>
          <w:tcPr>
            <w:tcW w:w="1140" w:type="dxa"/>
            <w:noWrap/>
          </w:tcPr>
          <w:p w14:paraId="6B0B2E90"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0.9</w:t>
            </w:r>
          </w:p>
        </w:tc>
        <w:tc>
          <w:tcPr>
            <w:tcW w:w="1072" w:type="dxa"/>
            <w:noWrap/>
          </w:tcPr>
          <w:p w14:paraId="6B0B2E91"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-8.49</w:t>
            </w:r>
          </w:p>
        </w:tc>
        <w:tc>
          <w:tcPr>
            <w:tcW w:w="1174" w:type="dxa"/>
            <w:noWrap/>
          </w:tcPr>
          <w:p w14:paraId="6B0B2E92"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11.78</w:t>
            </w:r>
          </w:p>
        </w:tc>
        <w:tc>
          <w:tcPr>
            <w:tcW w:w="1174" w:type="dxa"/>
            <w:noWrap/>
          </w:tcPr>
          <w:p w14:paraId="6B0B2E93"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4.24</w:t>
            </w:r>
          </w:p>
        </w:tc>
        <w:tc>
          <w:tcPr>
            <w:tcW w:w="1174" w:type="dxa"/>
            <w:noWrap/>
          </w:tcPr>
          <w:p w14:paraId="6B0B2E94"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6.52</w:t>
            </w:r>
          </w:p>
        </w:tc>
      </w:tr>
      <w:tr w:rsidR="005134AC" w14:paraId="6B0B2E9D" w14:textId="77777777">
        <w:trPr>
          <w:trHeight w:val="269"/>
          <w:jc w:val="center"/>
        </w:trPr>
        <w:tc>
          <w:tcPr>
            <w:tcW w:w="2471" w:type="dxa"/>
            <w:noWrap/>
          </w:tcPr>
          <w:p w14:paraId="6B0B2E96"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 xml:space="preserve">Inflation based on CPI </w:t>
            </w:r>
          </w:p>
          <w:p w14:paraId="6B0B2E97"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(per cent)</w:t>
            </w:r>
          </w:p>
        </w:tc>
        <w:tc>
          <w:tcPr>
            <w:tcW w:w="1140" w:type="dxa"/>
            <w:noWrap/>
          </w:tcPr>
          <w:p w14:paraId="6B0B2E98"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6.14</w:t>
            </w:r>
          </w:p>
        </w:tc>
        <w:tc>
          <w:tcPr>
            <w:tcW w:w="1072" w:type="dxa"/>
            <w:noWrap/>
          </w:tcPr>
          <w:p w14:paraId="6B0B2E99"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5.35</w:t>
            </w:r>
          </w:p>
        </w:tc>
        <w:tc>
          <w:tcPr>
            <w:tcW w:w="1174" w:type="dxa"/>
            <w:noWrap/>
          </w:tcPr>
          <w:p w14:paraId="6B0B2E9A"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4.17</w:t>
            </w:r>
          </w:p>
        </w:tc>
        <w:tc>
          <w:tcPr>
            <w:tcW w:w="1174" w:type="dxa"/>
            <w:noWrap/>
          </w:tcPr>
          <w:p w14:paraId="6B0B2E9B"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5.79</w:t>
            </w:r>
          </w:p>
        </w:tc>
        <w:tc>
          <w:tcPr>
            <w:tcW w:w="1174" w:type="dxa"/>
            <w:noWrap/>
          </w:tcPr>
          <w:p w14:paraId="6B0B2E9C"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4.96</w:t>
            </w:r>
          </w:p>
        </w:tc>
      </w:tr>
      <w:tr w:rsidR="005134AC" w14:paraId="6B0B2EA4" w14:textId="77777777">
        <w:trPr>
          <w:trHeight w:val="269"/>
          <w:jc w:val="center"/>
        </w:trPr>
        <w:tc>
          <w:tcPr>
            <w:tcW w:w="2471" w:type="dxa"/>
            <w:noWrap/>
          </w:tcPr>
          <w:p w14:paraId="6B0B2E9E"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 xml:space="preserve">Effective Rate of Interest </w:t>
            </w:r>
          </w:p>
        </w:tc>
        <w:tc>
          <w:tcPr>
            <w:tcW w:w="1140" w:type="dxa"/>
            <w:noWrap/>
          </w:tcPr>
          <w:p w14:paraId="6B0B2E9F"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7.73</w:t>
            </w:r>
          </w:p>
        </w:tc>
        <w:tc>
          <w:tcPr>
            <w:tcW w:w="1072" w:type="dxa"/>
            <w:noWrap/>
          </w:tcPr>
          <w:p w14:paraId="6B0B2EA0"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7.53</w:t>
            </w:r>
          </w:p>
        </w:tc>
        <w:tc>
          <w:tcPr>
            <w:tcW w:w="1174" w:type="dxa"/>
            <w:noWrap/>
          </w:tcPr>
          <w:p w14:paraId="6B0B2EA1"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7.35</w:t>
            </w:r>
          </w:p>
        </w:tc>
        <w:tc>
          <w:tcPr>
            <w:tcW w:w="1174" w:type="dxa"/>
            <w:noWrap/>
          </w:tcPr>
          <w:p w14:paraId="6B0B2EA2"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7.26</w:t>
            </w:r>
          </w:p>
        </w:tc>
        <w:tc>
          <w:tcPr>
            <w:tcW w:w="1174" w:type="dxa"/>
            <w:noWrap/>
          </w:tcPr>
          <w:p w14:paraId="6B0B2EA3"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7.26</w:t>
            </w:r>
          </w:p>
        </w:tc>
      </w:tr>
      <w:tr w:rsidR="005134AC" w14:paraId="6B0B2EAB" w14:textId="77777777">
        <w:trPr>
          <w:trHeight w:val="539"/>
          <w:jc w:val="center"/>
        </w:trPr>
        <w:tc>
          <w:tcPr>
            <w:tcW w:w="2471" w:type="dxa"/>
          </w:tcPr>
          <w:p w14:paraId="6B0B2EA5"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 xml:space="preserve">Real Effective Rate of Interest </w:t>
            </w:r>
            <w:r>
              <w:rPr>
                <w:rFonts w:ascii="Arial" w:eastAsia="Calibri" w:hAnsi="Arial" w:cs="Arial"/>
                <w:sz w:val="18"/>
                <w:szCs w:val="18"/>
              </w:rPr>
              <w:br/>
              <w:t xml:space="preserve">(Effective rate of interest -Inflation)  </w:t>
            </w:r>
          </w:p>
        </w:tc>
        <w:tc>
          <w:tcPr>
            <w:tcW w:w="1140" w:type="dxa"/>
            <w:noWrap/>
          </w:tcPr>
          <w:p w14:paraId="6B0B2EA6"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1.59</w:t>
            </w:r>
          </w:p>
        </w:tc>
        <w:tc>
          <w:tcPr>
            <w:tcW w:w="1072" w:type="dxa"/>
            <w:noWrap/>
          </w:tcPr>
          <w:p w14:paraId="6B0B2EA7"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2.18</w:t>
            </w:r>
          </w:p>
        </w:tc>
        <w:tc>
          <w:tcPr>
            <w:tcW w:w="1174" w:type="dxa"/>
            <w:noWrap/>
          </w:tcPr>
          <w:p w14:paraId="6B0B2EA8"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3.18</w:t>
            </w:r>
          </w:p>
        </w:tc>
        <w:tc>
          <w:tcPr>
            <w:tcW w:w="1174" w:type="dxa"/>
            <w:noWrap/>
          </w:tcPr>
          <w:p w14:paraId="6B0B2EA9"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1.47</w:t>
            </w:r>
          </w:p>
        </w:tc>
        <w:tc>
          <w:tcPr>
            <w:tcW w:w="1174" w:type="dxa"/>
            <w:noWrap/>
          </w:tcPr>
          <w:p w14:paraId="6B0B2EAA"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2.3</w:t>
            </w:r>
          </w:p>
        </w:tc>
      </w:tr>
      <w:tr w:rsidR="005134AC" w14:paraId="6B0B2EB3" w14:textId="77777777">
        <w:trPr>
          <w:trHeight w:val="539"/>
          <w:jc w:val="center"/>
        </w:trPr>
        <w:tc>
          <w:tcPr>
            <w:tcW w:w="2471" w:type="dxa"/>
            <w:tcBorders>
              <w:bottom w:val="single" w:sz="4" w:space="0" w:color="auto"/>
            </w:tcBorders>
          </w:tcPr>
          <w:p w14:paraId="6B0B2EAC" w14:textId="77777777" w:rsidR="005134AC" w:rsidRDefault="009A4237">
            <w:pPr>
              <w:pStyle w:val="Body"/>
              <w:spacing w:after="0"/>
              <w:jc w:val="left"/>
              <w:rPr>
                <w:rFonts w:ascii="Arial" w:eastAsia="Calibri" w:hAnsi="Arial" w:cs="Arial"/>
                <w:sz w:val="18"/>
                <w:szCs w:val="18"/>
              </w:rPr>
            </w:pPr>
            <w:proofErr w:type="spellStart"/>
            <w:r>
              <w:rPr>
                <w:rFonts w:ascii="Arial" w:eastAsia="Calibri" w:hAnsi="Arial" w:cs="Arial"/>
                <w:sz w:val="18"/>
                <w:szCs w:val="18"/>
              </w:rPr>
              <w:lastRenderedPageBreak/>
              <w:t>Domar</w:t>
            </w:r>
            <w:proofErr w:type="spellEnd"/>
            <w:r>
              <w:rPr>
                <w:rFonts w:ascii="Arial" w:eastAsia="Calibri" w:hAnsi="Arial" w:cs="Arial"/>
                <w:sz w:val="18"/>
                <w:szCs w:val="18"/>
              </w:rPr>
              <w:t xml:space="preserve"> Gap </w:t>
            </w:r>
          </w:p>
          <w:p w14:paraId="6B0B2EAD"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(Real growth - Real Effective Rate of Interest)</w:t>
            </w:r>
          </w:p>
        </w:tc>
        <w:tc>
          <w:tcPr>
            <w:tcW w:w="1140" w:type="dxa"/>
            <w:tcBorders>
              <w:bottom w:val="single" w:sz="4" w:space="0" w:color="auto"/>
            </w:tcBorders>
            <w:noWrap/>
          </w:tcPr>
          <w:p w14:paraId="6B0B2EAE"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-0.69</w:t>
            </w:r>
          </w:p>
        </w:tc>
        <w:tc>
          <w:tcPr>
            <w:tcW w:w="1072" w:type="dxa"/>
            <w:tcBorders>
              <w:bottom w:val="single" w:sz="4" w:space="0" w:color="auto"/>
            </w:tcBorders>
            <w:noWrap/>
          </w:tcPr>
          <w:p w14:paraId="6B0B2EAF"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-10.67</w:t>
            </w:r>
          </w:p>
        </w:tc>
        <w:tc>
          <w:tcPr>
            <w:tcW w:w="1174" w:type="dxa"/>
            <w:tcBorders>
              <w:bottom w:val="single" w:sz="4" w:space="0" w:color="auto"/>
            </w:tcBorders>
            <w:noWrap/>
          </w:tcPr>
          <w:p w14:paraId="6B0B2EB0"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8.6</w:t>
            </w:r>
          </w:p>
        </w:tc>
        <w:tc>
          <w:tcPr>
            <w:tcW w:w="1174" w:type="dxa"/>
            <w:tcBorders>
              <w:bottom w:val="single" w:sz="4" w:space="0" w:color="auto"/>
            </w:tcBorders>
            <w:noWrap/>
          </w:tcPr>
          <w:p w14:paraId="6B0B2EB1"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2.77</w:t>
            </w:r>
          </w:p>
        </w:tc>
        <w:tc>
          <w:tcPr>
            <w:tcW w:w="1174" w:type="dxa"/>
            <w:tcBorders>
              <w:bottom w:val="single" w:sz="4" w:space="0" w:color="auto"/>
            </w:tcBorders>
            <w:noWrap/>
          </w:tcPr>
          <w:p w14:paraId="6B0B2EB2"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4.22</w:t>
            </w:r>
          </w:p>
        </w:tc>
      </w:tr>
    </w:tbl>
    <w:p w14:paraId="6B0B2EB4" w14:textId="77777777" w:rsidR="005134AC" w:rsidRDefault="009A4237">
      <w:pPr>
        <w:pStyle w:val="Body"/>
        <w:spacing w:after="0"/>
        <w:rPr>
          <w:rFonts w:ascii="Arial" w:hAnsi="Arial" w:cs="Arial"/>
          <w:sz w:val="18"/>
          <w:szCs w:val="18"/>
        </w:rPr>
      </w:pPr>
      <w:r>
        <w:rPr>
          <w:rFonts w:ascii="Arial" w:hAnsi="Arial" w:cs="Arial"/>
          <w:sz w:val="18"/>
          <w:szCs w:val="18"/>
        </w:rPr>
        <w:t xml:space="preserve">Source: </w:t>
      </w:r>
      <w:bookmarkStart w:id="1" w:name="_Hlk212367706"/>
      <w:r>
        <w:rPr>
          <w:rFonts w:ascii="Arial" w:hAnsi="Arial" w:cs="Arial"/>
          <w:sz w:val="18"/>
          <w:szCs w:val="18"/>
        </w:rPr>
        <w:t>State Finance Audit Report 2023-24, Comptroller and Auditor General of India.</w:t>
      </w:r>
      <w:bookmarkEnd w:id="1"/>
    </w:p>
    <w:p w14:paraId="6B0B2EB5" w14:textId="77777777" w:rsidR="005134AC" w:rsidRDefault="005134AC">
      <w:pPr>
        <w:pStyle w:val="Body"/>
        <w:spacing w:after="0"/>
        <w:rPr>
          <w:rFonts w:ascii="Arial" w:hAnsi="Arial" w:cs="Arial"/>
        </w:rPr>
      </w:pPr>
    </w:p>
    <w:p w14:paraId="6B0B2EB6" w14:textId="77777777" w:rsidR="005134AC" w:rsidRDefault="009A4237">
      <w:pPr>
        <w:pStyle w:val="Body"/>
        <w:spacing w:after="0"/>
        <w:rPr>
          <w:rFonts w:ascii="Arial" w:hAnsi="Arial" w:cs="Arial"/>
        </w:rPr>
      </w:pPr>
      <w:r>
        <w:rPr>
          <w:rFonts w:ascii="Arial" w:hAnsi="Arial" w:cs="Arial"/>
        </w:rPr>
        <w:t xml:space="preserve">The table presents key macroeconomic and fiscal indicators of Kerala from 2019–20 to 2023–24, such as GSDP at constant prices, real growth rate, inflation, effective interest rate on public debt, real effective interest rate, and the </w:t>
      </w:r>
      <w:proofErr w:type="spellStart"/>
      <w:r>
        <w:rPr>
          <w:rFonts w:ascii="Arial" w:hAnsi="Arial" w:cs="Arial"/>
        </w:rPr>
        <w:t>Domar</w:t>
      </w:r>
      <w:proofErr w:type="spellEnd"/>
      <w:r>
        <w:rPr>
          <w:rFonts w:ascii="Arial" w:hAnsi="Arial" w:cs="Arial"/>
        </w:rPr>
        <w:t xml:space="preserve"> gap. These indicators are essential for assessing public debt sustainability, which depends on the relationship between the real growth rate of the economy (g) and the real interest rate on debt (r), as postulated by </w:t>
      </w:r>
      <w:proofErr w:type="spellStart"/>
      <w:r>
        <w:rPr>
          <w:rFonts w:ascii="Arial" w:hAnsi="Arial" w:cs="Arial"/>
        </w:rPr>
        <w:t>Domar</w:t>
      </w:r>
      <w:proofErr w:type="spellEnd"/>
      <w:r>
        <w:rPr>
          <w:rFonts w:ascii="Arial" w:hAnsi="Arial" w:cs="Arial"/>
        </w:rPr>
        <w:t xml:space="preserve"> (1944). According to the </w:t>
      </w:r>
      <w:proofErr w:type="spellStart"/>
      <w:r>
        <w:rPr>
          <w:rFonts w:ascii="Arial" w:hAnsi="Arial" w:cs="Arial"/>
        </w:rPr>
        <w:t>Domar</w:t>
      </w:r>
      <w:proofErr w:type="spellEnd"/>
      <w:r>
        <w:rPr>
          <w:rFonts w:ascii="Arial" w:hAnsi="Arial" w:cs="Arial"/>
        </w:rPr>
        <w:t xml:space="preserve"> model, if the economy grows faster than the real interest rate (</w:t>
      </w:r>
      <w:r>
        <w:rPr>
          <w:rFonts w:ascii="Arial" w:hAnsi="Arial" w:cs="Arial"/>
          <w:i/>
          <w:iCs/>
        </w:rPr>
        <w:t>g &gt; r</w:t>
      </w:r>
      <w:r>
        <w:rPr>
          <w:rFonts w:ascii="Arial" w:hAnsi="Arial" w:cs="Arial"/>
        </w:rPr>
        <w:t xml:space="preserve">), the debt-to-GSDP ratio will decline over time, indicating fiscal sustainability; conversely, when </w:t>
      </w:r>
      <w:r>
        <w:rPr>
          <w:rFonts w:ascii="Arial" w:hAnsi="Arial" w:cs="Arial"/>
          <w:i/>
          <w:iCs/>
        </w:rPr>
        <w:t>g &lt; r</w:t>
      </w:r>
      <w:r>
        <w:rPr>
          <w:rFonts w:ascii="Arial" w:hAnsi="Arial" w:cs="Arial"/>
        </w:rPr>
        <w:t>, the debt burden tends to rise, posing sustainability risks (Yoshino &amp; Miyamoto, 2020).</w:t>
      </w:r>
    </w:p>
    <w:p w14:paraId="6B0B2EB7" w14:textId="77777777" w:rsidR="005134AC" w:rsidRDefault="005134AC">
      <w:pPr>
        <w:pStyle w:val="Body"/>
        <w:spacing w:after="0"/>
        <w:rPr>
          <w:rFonts w:ascii="Arial" w:hAnsi="Arial" w:cs="Arial"/>
        </w:rPr>
      </w:pPr>
    </w:p>
    <w:p w14:paraId="6B0B2EB8" w14:textId="77777777" w:rsidR="005134AC" w:rsidRDefault="009A4237">
      <w:pPr>
        <w:pStyle w:val="Body"/>
        <w:spacing w:after="0"/>
        <w:rPr>
          <w:rFonts w:ascii="Arial" w:hAnsi="Arial" w:cs="Arial"/>
        </w:rPr>
      </w:pPr>
      <w:r>
        <w:rPr>
          <w:rFonts w:ascii="Arial" w:hAnsi="Arial" w:cs="Arial"/>
        </w:rPr>
        <w:t xml:space="preserve">The data show that Kerala’s real GSDP contracted by 8.49% in 2020–21, reflecting the severe impact of the COVID-19 pandemic, while the real effective interest rate remained positive at 2.18%, resulting in a large negative </w:t>
      </w:r>
      <w:proofErr w:type="spellStart"/>
      <w:r>
        <w:rPr>
          <w:rFonts w:ascii="Arial" w:hAnsi="Arial" w:cs="Arial"/>
        </w:rPr>
        <w:t>Domar</w:t>
      </w:r>
      <w:proofErr w:type="spellEnd"/>
      <w:r>
        <w:rPr>
          <w:rFonts w:ascii="Arial" w:hAnsi="Arial" w:cs="Arial"/>
        </w:rPr>
        <w:t xml:space="preserve"> gap (−10.67) — a clear sign of unsustainable debt dynamics during that year. However, the state’s economy rebounded sharply in 2021–22, with 11.78% growth and a positive </w:t>
      </w:r>
      <w:proofErr w:type="spellStart"/>
      <w:r>
        <w:rPr>
          <w:rFonts w:ascii="Arial" w:hAnsi="Arial" w:cs="Arial"/>
        </w:rPr>
        <w:t>Domar</w:t>
      </w:r>
      <w:proofErr w:type="spellEnd"/>
      <w:r>
        <w:rPr>
          <w:rFonts w:ascii="Arial" w:hAnsi="Arial" w:cs="Arial"/>
        </w:rPr>
        <w:t xml:space="preserve"> gap (8.60), implying that economic growth outpaced the real cost of debt. In the subsequent years, 2022–23 and 2023–24, the </w:t>
      </w:r>
      <w:proofErr w:type="spellStart"/>
      <w:r>
        <w:rPr>
          <w:rFonts w:ascii="Arial" w:hAnsi="Arial" w:cs="Arial"/>
        </w:rPr>
        <w:t>Domar</w:t>
      </w:r>
      <w:proofErr w:type="spellEnd"/>
      <w:r>
        <w:rPr>
          <w:rFonts w:ascii="Arial" w:hAnsi="Arial" w:cs="Arial"/>
        </w:rPr>
        <w:t xml:space="preserve"> gaps of 2.77 and 4.22 continued to be positive, suggesting improved fiscal health and a gradual return to sustainability. Meanwhile, Kerala’s effective interest rate slightly declined from 7.73% to 7.26%, and inflation remained moderate between 4–6%, which together helped </w:t>
      </w:r>
      <w:proofErr w:type="spellStart"/>
      <w:r>
        <w:rPr>
          <w:rFonts w:ascii="Arial" w:hAnsi="Arial" w:cs="Arial"/>
        </w:rPr>
        <w:t>stabilise</w:t>
      </w:r>
      <w:proofErr w:type="spellEnd"/>
      <w:r>
        <w:rPr>
          <w:rFonts w:ascii="Arial" w:hAnsi="Arial" w:cs="Arial"/>
        </w:rPr>
        <w:t xml:space="preserve"> the debt burden.</w:t>
      </w:r>
    </w:p>
    <w:p w14:paraId="6B0B2EB9" w14:textId="77777777" w:rsidR="005134AC" w:rsidRDefault="005134AC">
      <w:pPr>
        <w:pStyle w:val="Body"/>
        <w:spacing w:after="0"/>
        <w:rPr>
          <w:rFonts w:ascii="Arial" w:hAnsi="Arial" w:cs="Arial"/>
        </w:rPr>
      </w:pPr>
    </w:p>
    <w:p w14:paraId="6B0B2EBA" w14:textId="77777777" w:rsidR="005134AC" w:rsidRDefault="009A4237">
      <w:pPr>
        <w:pStyle w:val="Body"/>
        <w:spacing w:after="0"/>
        <w:rPr>
          <w:rFonts w:ascii="Arial" w:hAnsi="Arial" w:cs="Arial"/>
        </w:rPr>
      </w:pPr>
      <w:r>
        <w:rPr>
          <w:rFonts w:ascii="Arial" w:hAnsi="Arial" w:cs="Arial"/>
        </w:rPr>
        <w:t xml:space="preserve">These patterns align with the observations of STCI (2021) and Yoshino and Miyamoto (2020), who </w:t>
      </w:r>
      <w:proofErr w:type="spellStart"/>
      <w:r>
        <w:rPr>
          <w:rFonts w:ascii="Arial" w:hAnsi="Arial" w:cs="Arial"/>
        </w:rPr>
        <w:t>emphasise</w:t>
      </w:r>
      <w:proofErr w:type="spellEnd"/>
      <w:r>
        <w:rPr>
          <w:rFonts w:ascii="Arial" w:hAnsi="Arial" w:cs="Arial"/>
        </w:rPr>
        <w:t xml:space="preserve"> that the sustainability of public debt depends on maintaining a positive </w:t>
      </w:r>
      <w:r>
        <w:rPr>
          <w:rFonts w:ascii="Arial" w:hAnsi="Arial" w:cs="Arial"/>
          <w:i/>
          <w:iCs/>
        </w:rPr>
        <w:t>g − r</w:t>
      </w:r>
      <w:r>
        <w:rPr>
          <w:rFonts w:ascii="Arial" w:hAnsi="Arial" w:cs="Arial"/>
        </w:rPr>
        <w:t xml:space="preserve"> differential and controlling the real cost of borrowing. Thus, Kerala’s experience demonstrates how strong post-pandemic growth helped restore fiscal stability after a period of unsustainable debt expansion. However, sustaining a positive </w:t>
      </w:r>
      <w:proofErr w:type="spellStart"/>
      <w:r>
        <w:rPr>
          <w:rFonts w:ascii="Arial" w:hAnsi="Arial" w:cs="Arial"/>
        </w:rPr>
        <w:t>Domar</w:t>
      </w:r>
      <w:proofErr w:type="spellEnd"/>
      <w:r>
        <w:rPr>
          <w:rFonts w:ascii="Arial" w:hAnsi="Arial" w:cs="Arial"/>
        </w:rPr>
        <w:t xml:space="preserve"> gap will require continued fiscal discipline, efficient debt management, and policies that promote long-term economic growth, as </w:t>
      </w:r>
      <w:proofErr w:type="spellStart"/>
      <w:r>
        <w:rPr>
          <w:rFonts w:ascii="Arial" w:hAnsi="Arial" w:cs="Arial"/>
        </w:rPr>
        <w:t>emphasised</w:t>
      </w:r>
      <w:proofErr w:type="spellEnd"/>
      <w:r>
        <w:rPr>
          <w:rFonts w:ascii="Arial" w:hAnsi="Arial" w:cs="Arial"/>
        </w:rPr>
        <w:t xml:space="preserve"> in the broader literature on debt sustainability (</w:t>
      </w:r>
      <w:proofErr w:type="spellStart"/>
      <w:r>
        <w:rPr>
          <w:rFonts w:ascii="Arial" w:hAnsi="Arial" w:cs="Arial"/>
        </w:rPr>
        <w:t>Domar</w:t>
      </w:r>
      <w:proofErr w:type="spellEnd"/>
      <w:r>
        <w:rPr>
          <w:rFonts w:ascii="Arial" w:hAnsi="Arial" w:cs="Arial"/>
        </w:rPr>
        <w:t>, 1944; Vyas, 2021).</w:t>
      </w:r>
    </w:p>
    <w:p w14:paraId="6B0B2EBB" w14:textId="77777777" w:rsidR="005134AC" w:rsidRDefault="009A4237">
      <w:pPr>
        <w:pStyle w:val="Body"/>
        <w:spacing w:after="0"/>
        <w:rPr>
          <w:rFonts w:ascii="Arial" w:hAnsi="Arial" w:cs="Arial"/>
        </w:rPr>
      </w:pPr>
      <w:r>
        <w:rPr>
          <w:rFonts w:ascii="Arial" w:hAnsi="Arial" w:cs="Arial"/>
        </w:rPr>
        <w:t xml:space="preserve"> </w:t>
      </w:r>
    </w:p>
    <w:p w14:paraId="6B0B2EBC" w14:textId="77777777" w:rsidR="005134AC" w:rsidRDefault="009A4237">
      <w:pPr>
        <w:pStyle w:val="Body"/>
        <w:spacing w:after="0"/>
        <w:rPr>
          <w:rFonts w:ascii="Arial" w:hAnsi="Arial" w:cs="Arial"/>
        </w:rPr>
      </w:pPr>
      <w:r>
        <w:rPr>
          <w:rFonts w:ascii="Arial" w:hAnsi="Arial" w:cs="Arial"/>
        </w:rPr>
        <w:t xml:space="preserve">Table 5 compares Kerala’s </w:t>
      </w:r>
      <w:proofErr w:type="spellStart"/>
      <w:r>
        <w:rPr>
          <w:rFonts w:ascii="Arial" w:hAnsi="Arial" w:cs="Arial"/>
        </w:rPr>
        <w:t>Domar</w:t>
      </w:r>
      <w:proofErr w:type="spellEnd"/>
      <w:r>
        <w:rPr>
          <w:rFonts w:ascii="Arial" w:hAnsi="Arial" w:cs="Arial"/>
        </w:rPr>
        <w:t xml:space="preserve"> gap year-by-year (2019–20 to 2023–24) with the national (all-states) average and the best/worst performing states in each year. The table, therefore, lets us see whether Kerala’s debt dynamics were more or less </w:t>
      </w:r>
      <w:proofErr w:type="spellStart"/>
      <w:r>
        <w:rPr>
          <w:rFonts w:ascii="Arial" w:hAnsi="Arial" w:cs="Arial"/>
        </w:rPr>
        <w:t>favourable</w:t>
      </w:r>
      <w:proofErr w:type="spellEnd"/>
      <w:r>
        <w:rPr>
          <w:rFonts w:ascii="Arial" w:hAnsi="Arial" w:cs="Arial"/>
        </w:rPr>
        <w:t xml:space="preserve"> than the Indian average in each year and how Kerala’s volatility compares with state extremes.</w:t>
      </w:r>
    </w:p>
    <w:p w14:paraId="6B0B2EBD" w14:textId="77777777" w:rsidR="005134AC" w:rsidRDefault="005134AC">
      <w:pPr>
        <w:pStyle w:val="Body"/>
        <w:spacing w:after="0"/>
        <w:jc w:val="center"/>
        <w:rPr>
          <w:rFonts w:ascii="Arial" w:hAnsi="Arial" w:cs="Arial"/>
        </w:rPr>
      </w:pPr>
    </w:p>
    <w:p w14:paraId="6B0B2EBE" w14:textId="77777777" w:rsidR="005134AC" w:rsidRDefault="009A4237">
      <w:pPr>
        <w:pStyle w:val="Body"/>
        <w:spacing w:after="0"/>
        <w:jc w:val="center"/>
        <w:rPr>
          <w:rFonts w:ascii="Arial" w:hAnsi="Arial" w:cs="Arial"/>
          <w:b/>
          <w:bCs/>
        </w:rPr>
      </w:pPr>
      <w:r>
        <w:rPr>
          <w:rFonts w:ascii="Arial" w:hAnsi="Arial" w:cs="Arial"/>
          <w:b/>
          <w:bCs/>
        </w:rPr>
        <w:t xml:space="preserve">Table 5: Comparison of Kerala’s </w:t>
      </w:r>
      <w:proofErr w:type="spellStart"/>
      <w:r>
        <w:rPr>
          <w:rFonts w:ascii="Arial" w:hAnsi="Arial" w:cs="Arial"/>
          <w:b/>
          <w:bCs/>
        </w:rPr>
        <w:t>Domar</w:t>
      </w:r>
      <w:proofErr w:type="spellEnd"/>
      <w:r>
        <w:rPr>
          <w:rFonts w:ascii="Arial" w:hAnsi="Arial" w:cs="Arial"/>
          <w:b/>
          <w:bCs/>
        </w:rPr>
        <w:t xml:space="preserve"> Gap with State Averages and Extremes</w:t>
      </w:r>
    </w:p>
    <w:tbl>
      <w:tblPr>
        <w:tblStyle w:val="TableGrid"/>
        <w:tblW w:w="8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1177"/>
        <w:gridCol w:w="1317"/>
        <w:gridCol w:w="907"/>
        <w:gridCol w:w="1047"/>
        <w:gridCol w:w="1047"/>
        <w:gridCol w:w="1000"/>
      </w:tblGrid>
      <w:tr w:rsidR="005134AC" w14:paraId="6B0B2ED2" w14:textId="77777777">
        <w:trPr>
          <w:trHeight w:val="1025"/>
          <w:jc w:val="center"/>
        </w:trPr>
        <w:tc>
          <w:tcPr>
            <w:tcW w:w="1889" w:type="dxa"/>
            <w:tcBorders>
              <w:top w:val="single" w:sz="4" w:space="0" w:color="auto"/>
              <w:bottom w:val="single" w:sz="4" w:space="0" w:color="auto"/>
            </w:tcBorders>
            <w:noWrap/>
          </w:tcPr>
          <w:p w14:paraId="6B0B2EBF"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 </w:t>
            </w:r>
          </w:p>
          <w:p w14:paraId="6B0B2EC0" w14:textId="77777777" w:rsidR="005134AC" w:rsidRDefault="005134AC">
            <w:pPr>
              <w:pStyle w:val="Body"/>
              <w:spacing w:after="0"/>
              <w:rPr>
                <w:rFonts w:ascii="Arial" w:eastAsia="Calibri" w:hAnsi="Arial" w:cs="Arial"/>
                <w:b/>
                <w:bCs/>
                <w:sz w:val="18"/>
                <w:szCs w:val="18"/>
              </w:rPr>
            </w:pPr>
          </w:p>
          <w:p w14:paraId="6B0B2EC1" w14:textId="77777777" w:rsidR="005134AC" w:rsidRDefault="009A4237">
            <w:pPr>
              <w:pStyle w:val="Body"/>
              <w:spacing w:after="0"/>
              <w:rPr>
                <w:rFonts w:ascii="Arial" w:eastAsia="Calibri" w:hAnsi="Arial" w:cs="Arial"/>
                <w:b/>
                <w:bCs/>
                <w:sz w:val="18"/>
                <w:szCs w:val="18"/>
              </w:rPr>
            </w:pPr>
            <w:proofErr w:type="spellStart"/>
            <w:r>
              <w:rPr>
                <w:rFonts w:ascii="Arial" w:eastAsia="Calibri" w:hAnsi="Arial" w:cs="Arial"/>
                <w:b/>
                <w:bCs/>
                <w:sz w:val="18"/>
                <w:szCs w:val="18"/>
              </w:rPr>
              <w:t>Domer</w:t>
            </w:r>
            <w:proofErr w:type="spellEnd"/>
            <w:r>
              <w:rPr>
                <w:rFonts w:ascii="Arial" w:eastAsia="Calibri" w:hAnsi="Arial" w:cs="Arial"/>
                <w:b/>
                <w:bCs/>
                <w:sz w:val="18"/>
                <w:szCs w:val="18"/>
              </w:rPr>
              <w:t xml:space="preserve"> Gap of</w:t>
            </w:r>
          </w:p>
        </w:tc>
        <w:tc>
          <w:tcPr>
            <w:tcW w:w="1136" w:type="dxa"/>
            <w:tcBorders>
              <w:top w:val="single" w:sz="4" w:space="0" w:color="auto"/>
              <w:bottom w:val="single" w:sz="4" w:space="0" w:color="auto"/>
            </w:tcBorders>
            <w:noWrap/>
          </w:tcPr>
          <w:p w14:paraId="6B0B2EC2" w14:textId="77777777" w:rsidR="005134AC" w:rsidRDefault="005134AC">
            <w:pPr>
              <w:pStyle w:val="Body"/>
              <w:spacing w:after="0"/>
              <w:rPr>
                <w:rFonts w:ascii="Arial" w:eastAsia="Calibri" w:hAnsi="Arial" w:cs="Arial"/>
                <w:b/>
                <w:bCs/>
                <w:sz w:val="18"/>
                <w:szCs w:val="18"/>
              </w:rPr>
            </w:pPr>
          </w:p>
          <w:p w14:paraId="6B0B2EC3" w14:textId="77777777" w:rsidR="005134AC" w:rsidRDefault="005134AC">
            <w:pPr>
              <w:pStyle w:val="Body"/>
              <w:spacing w:after="0"/>
              <w:rPr>
                <w:rFonts w:ascii="Arial" w:eastAsia="Calibri" w:hAnsi="Arial" w:cs="Arial"/>
                <w:b/>
                <w:bCs/>
                <w:sz w:val="18"/>
                <w:szCs w:val="18"/>
              </w:rPr>
            </w:pPr>
          </w:p>
          <w:p w14:paraId="6B0B2EC4"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2019-20</w:t>
            </w:r>
          </w:p>
        </w:tc>
        <w:tc>
          <w:tcPr>
            <w:tcW w:w="1303" w:type="dxa"/>
            <w:tcBorders>
              <w:top w:val="single" w:sz="4" w:space="0" w:color="auto"/>
              <w:bottom w:val="single" w:sz="4" w:space="0" w:color="auto"/>
            </w:tcBorders>
            <w:noWrap/>
          </w:tcPr>
          <w:p w14:paraId="6B0B2EC5" w14:textId="77777777" w:rsidR="005134AC" w:rsidRDefault="005134AC">
            <w:pPr>
              <w:pStyle w:val="Body"/>
              <w:spacing w:after="0"/>
              <w:rPr>
                <w:rFonts w:ascii="Arial" w:eastAsia="Calibri" w:hAnsi="Arial" w:cs="Arial"/>
                <w:b/>
                <w:bCs/>
                <w:sz w:val="18"/>
                <w:szCs w:val="18"/>
              </w:rPr>
            </w:pPr>
          </w:p>
          <w:p w14:paraId="6B0B2EC6" w14:textId="77777777" w:rsidR="005134AC" w:rsidRDefault="005134AC">
            <w:pPr>
              <w:pStyle w:val="Body"/>
              <w:spacing w:after="0"/>
              <w:rPr>
                <w:rFonts w:ascii="Arial" w:eastAsia="Calibri" w:hAnsi="Arial" w:cs="Arial"/>
                <w:b/>
                <w:bCs/>
                <w:sz w:val="18"/>
                <w:szCs w:val="18"/>
              </w:rPr>
            </w:pPr>
          </w:p>
          <w:p w14:paraId="6B0B2EC7"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2020-21</w:t>
            </w:r>
          </w:p>
        </w:tc>
        <w:tc>
          <w:tcPr>
            <w:tcW w:w="880" w:type="dxa"/>
            <w:tcBorders>
              <w:top w:val="single" w:sz="4" w:space="0" w:color="auto"/>
              <w:bottom w:val="single" w:sz="4" w:space="0" w:color="auto"/>
            </w:tcBorders>
            <w:noWrap/>
          </w:tcPr>
          <w:p w14:paraId="6B0B2EC8" w14:textId="77777777" w:rsidR="005134AC" w:rsidRDefault="005134AC">
            <w:pPr>
              <w:pStyle w:val="Body"/>
              <w:spacing w:after="0"/>
              <w:rPr>
                <w:rFonts w:ascii="Arial" w:eastAsia="Calibri" w:hAnsi="Arial" w:cs="Arial"/>
                <w:b/>
                <w:bCs/>
                <w:sz w:val="18"/>
                <w:szCs w:val="18"/>
              </w:rPr>
            </w:pPr>
          </w:p>
          <w:p w14:paraId="6B0B2EC9" w14:textId="77777777" w:rsidR="005134AC" w:rsidRDefault="005134AC">
            <w:pPr>
              <w:pStyle w:val="Body"/>
              <w:spacing w:after="0"/>
              <w:rPr>
                <w:rFonts w:ascii="Arial" w:eastAsia="Calibri" w:hAnsi="Arial" w:cs="Arial"/>
                <w:b/>
                <w:bCs/>
                <w:sz w:val="18"/>
                <w:szCs w:val="18"/>
              </w:rPr>
            </w:pPr>
          </w:p>
          <w:p w14:paraId="6B0B2ECA"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2021-22</w:t>
            </w:r>
          </w:p>
        </w:tc>
        <w:tc>
          <w:tcPr>
            <w:tcW w:w="1047" w:type="dxa"/>
            <w:tcBorders>
              <w:top w:val="single" w:sz="4" w:space="0" w:color="auto"/>
              <w:bottom w:val="single" w:sz="4" w:space="0" w:color="auto"/>
            </w:tcBorders>
            <w:noWrap/>
          </w:tcPr>
          <w:p w14:paraId="6B0B2ECB" w14:textId="77777777" w:rsidR="005134AC" w:rsidRDefault="005134AC">
            <w:pPr>
              <w:pStyle w:val="Body"/>
              <w:spacing w:after="0"/>
              <w:rPr>
                <w:rFonts w:ascii="Arial" w:eastAsia="Calibri" w:hAnsi="Arial" w:cs="Arial"/>
                <w:b/>
                <w:bCs/>
                <w:sz w:val="18"/>
                <w:szCs w:val="18"/>
              </w:rPr>
            </w:pPr>
          </w:p>
          <w:p w14:paraId="6B0B2ECC" w14:textId="77777777" w:rsidR="005134AC" w:rsidRDefault="005134AC">
            <w:pPr>
              <w:pStyle w:val="Body"/>
              <w:spacing w:after="0"/>
              <w:rPr>
                <w:rFonts w:ascii="Arial" w:eastAsia="Calibri" w:hAnsi="Arial" w:cs="Arial"/>
                <w:b/>
                <w:bCs/>
                <w:sz w:val="18"/>
                <w:szCs w:val="18"/>
              </w:rPr>
            </w:pPr>
          </w:p>
          <w:p w14:paraId="6B0B2ECD"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2022-23</w:t>
            </w:r>
          </w:p>
        </w:tc>
        <w:tc>
          <w:tcPr>
            <w:tcW w:w="1047" w:type="dxa"/>
            <w:tcBorders>
              <w:top w:val="single" w:sz="4" w:space="0" w:color="auto"/>
              <w:bottom w:val="single" w:sz="4" w:space="0" w:color="auto"/>
            </w:tcBorders>
            <w:noWrap/>
          </w:tcPr>
          <w:p w14:paraId="6B0B2ECE" w14:textId="77777777" w:rsidR="005134AC" w:rsidRDefault="005134AC">
            <w:pPr>
              <w:pStyle w:val="Body"/>
              <w:spacing w:after="0"/>
              <w:rPr>
                <w:rFonts w:ascii="Arial" w:eastAsia="Calibri" w:hAnsi="Arial" w:cs="Arial"/>
                <w:b/>
                <w:bCs/>
                <w:sz w:val="18"/>
                <w:szCs w:val="18"/>
              </w:rPr>
            </w:pPr>
          </w:p>
          <w:p w14:paraId="6B0B2ECF" w14:textId="77777777" w:rsidR="005134AC" w:rsidRDefault="005134AC">
            <w:pPr>
              <w:pStyle w:val="Body"/>
              <w:spacing w:after="0"/>
              <w:rPr>
                <w:rFonts w:ascii="Arial" w:eastAsia="Calibri" w:hAnsi="Arial" w:cs="Arial"/>
                <w:b/>
                <w:bCs/>
                <w:sz w:val="18"/>
                <w:szCs w:val="18"/>
              </w:rPr>
            </w:pPr>
          </w:p>
          <w:p w14:paraId="6B0B2ED0" w14:textId="77777777" w:rsidR="005134AC" w:rsidRDefault="009A4237">
            <w:pPr>
              <w:pStyle w:val="Body"/>
              <w:spacing w:after="0"/>
              <w:rPr>
                <w:rFonts w:ascii="Arial" w:eastAsia="Calibri" w:hAnsi="Arial" w:cs="Arial"/>
                <w:b/>
                <w:bCs/>
                <w:sz w:val="18"/>
                <w:szCs w:val="18"/>
              </w:rPr>
            </w:pPr>
            <w:r>
              <w:rPr>
                <w:rFonts w:ascii="Arial" w:eastAsia="Calibri" w:hAnsi="Arial" w:cs="Arial"/>
                <w:b/>
                <w:bCs/>
                <w:sz w:val="18"/>
                <w:szCs w:val="18"/>
              </w:rPr>
              <w:t>2023-24</w:t>
            </w:r>
          </w:p>
        </w:tc>
        <w:tc>
          <w:tcPr>
            <w:tcW w:w="1000" w:type="dxa"/>
            <w:tcBorders>
              <w:top w:val="single" w:sz="4" w:space="0" w:color="auto"/>
              <w:bottom w:val="single" w:sz="4" w:space="0" w:color="auto"/>
            </w:tcBorders>
            <w:noWrap/>
          </w:tcPr>
          <w:p w14:paraId="6B0B2ED1" w14:textId="77777777" w:rsidR="005134AC" w:rsidRDefault="009A4237">
            <w:pPr>
              <w:pStyle w:val="Body"/>
              <w:spacing w:after="0"/>
              <w:jc w:val="center"/>
              <w:rPr>
                <w:rFonts w:ascii="Arial" w:eastAsia="Calibri" w:hAnsi="Arial" w:cs="Arial"/>
                <w:b/>
                <w:bCs/>
                <w:sz w:val="18"/>
                <w:szCs w:val="18"/>
              </w:rPr>
            </w:pPr>
            <w:r>
              <w:rPr>
                <w:rFonts w:ascii="Arial" w:eastAsia="Calibri" w:hAnsi="Arial" w:cs="Arial"/>
                <w:b/>
                <w:bCs/>
                <w:sz w:val="18"/>
                <w:szCs w:val="18"/>
              </w:rPr>
              <w:t xml:space="preserve">Average of </w:t>
            </w:r>
            <w:r>
              <w:rPr>
                <w:rFonts w:ascii="Arial" w:eastAsia="Calibri" w:hAnsi="Arial" w:cs="Arial"/>
                <w:b/>
                <w:bCs/>
                <w:sz w:val="18"/>
                <w:szCs w:val="18"/>
              </w:rPr>
              <w:br/>
              <w:t>the entire period</w:t>
            </w:r>
          </w:p>
        </w:tc>
      </w:tr>
      <w:tr w:rsidR="005134AC" w14:paraId="6B0B2EDA" w14:textId="77777777">
        <w:trPr>
          <w:trHeight w:val="237"/>
          <w:jc w:val="center"/>
        </w:trPr>
        <w:tc>
          <w:tcPr>
            <w:tcW w:w="1889" w:type="dxa"/>
            <w:tcBorders>
              <w:top w:val="single" w:sz="4" w:space="0" w:color="auto"/>
            </w:tcBorders>
            <w:noWrap/>
          </w:tcPr>
          <w:p w14:paraId="6B0B2ED3"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Kerala</w:t>
            </w:r>
          </w:p>
        </w:tc>
        <w:tc>
          <w:tcPr>
            <w:tcW w:w="1136" w:type="dxa"/>
            <w:tcBorders>
              <w:top w:val="single" w:sz="4" w:space="0" w:color="auto"/>
            </w:tcBorders>
            <w:noWrap/>
          </w:tcPr>
          <w:p w14:paraId="6B0B2ED4"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-0.69</w:t>
            </w:r>
          </w:p>
        </w:tc>
        <w:tc>
          <w:tcPr>
            <w:tcW w:w="1303" w:type="dxa"/>
            <w:tcBorders>
              <w:top w:val="single" w:sz="4" w:space="0" w:color="auto"/>
            </w:tcBorders>
            <w:noWrap/>
          </w:tcPr>
          <w:p w14:paraId="6B0B2ED5"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-10.67</w:t>
            </w:r>
          </w:p>
        </w:tc>
        <w:tc>
          <w:tcPr>
            <w:tcW w:w="880" w:type="dxa"/>
            <w:tcBorders>
              <w:top w:val="single" w:sz="4" w:space="0" w:color="auto"/>
            </w:tcBorders>
            <w:noWrap/>
          </w:tcPr>
          <w:p w14:paraId="6B0B2ED6"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8.6</w:t>
            </w:r>
          </w:p>
        </w:tc>
        <w:tc>
          <w:tcPr>
            <w:tcW w:w="1047" w:type="dxa"/>
            <w:tcBorders>
              <w:top w:val="single" w:sz="4" w:space="0" w:color="auto"/>
            </w:tcBorders>
            <w:noWrap/>
          </w:tcPr>
          <w:p w14:paraId="6B0B2ED7"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2.77</w:t>
            </w:r>
          </w:p>
        </w:tc>
        <w:tc>
          <w:tcPr>
            <w:tcW w:w="1047" w:type="dxa"/>
            <w:tcBorders>
              <w:top w:val="single" w:sz="4" w:space="0" w:color="auto"/>
            </w:tcBorders>
            <w:noWrap/>
          </w:tcPr>
          <w:p w14:paraId="6B0B2ED8"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4.22</w:t>
            </w:r>
          </w:p>
        </w:tc>
        <w:tc>
          <w:tcPr>
            <w:tcW w:w="1000" w:type="dxa"/>
            <w:tcBorders>
              <w:top w:val="single" w:sz="4" w:space="0" w:color="auto"/>
            </w:tcBorders>
            <w:noWrap/>
          </w:tcPr>
          <w:p w14:paraId="6B0B2ED9"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0.85</w:t>
            </w:r>
          </w:p>
        </w:tc>
      </w:tr>
      <w:tr w:rsidR="005134AC" w14:paraId="6B0B2EE2" w14:textId="77777777">
        <w:trPr>
          <w:trHeight w:val="475"/>
          <w:jc w:val="center"/>
        </w:trPr>
        <w:tc>
          <w:tcPr>
            <w:tcW w:w="1889" w:type="dxa"/>
          </w:tcPr>
          <w:p w14:paraId="6B0B2EDB"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t>All States' Average*</w:t>
            </w:r>
          </w:p>
        </w:tc>
        <w:tc>
          <w:tcPr>
            <w:tcW w:w="1136" w:type="dxa"/>
          </w:tcPr>
          <w:p w14:paraId="6B0B2EDC"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1.69</w:t>
            </w:r>
          </w:p>
        </w:tc>
        <w:tc>
          <w:tcPr>
            <w:tcW w:w="1303" w:type="dxa"/>
          </w:tcPr>
          <w:p w14:paraId="6B0B2EDD"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-5.60</w:t>
            </w:r>
          </w:p>
        </w:tc>
        <w:tc>
          <w:tcPr>
            <w:tcW w:w="880" w:type="dxa"/>
          </w:tcPr>
          <w:p w14:paraId="6B0B2EDE"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7.17</w:t>
            </w:r>
          </w:p>
        </w:tc>
        <w:tc>
          <w:tcPr>
            <w:tcW w:w="1047" w:type="dxa"/>
          </w:tcPr>
          <w:p w14:paraId="6B0B2EDF"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6.87</w:t>
            </w:r>
          </w:p>
        </w:tc>
        <w:tc>
          <w:tcPr>
            <w:tcW w:w="1047" w:type="dxa"/>
          </w:tcPr>
          <w:p w14:paraId="6B0B2EE0"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5.43</w:t>
            </w:r>
          </w:p>
        </w:tc>
        <w:tc>
          <w:tcPr>
            <w:tcW w:w="1000" w:type="dxa"/>
            <w:noWrap/>
          </w:tcPr>
          <w:p w14:paraId="6B0B2EE1"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2.93</w:t>
            </w:r>
          </w:p>
        </w:tc>
      </w:tr>
      <w:tr w:rsidR="005134AC" w14:paraId="6B0B2EEB" w14:textId="77777777">
        <w:trPr>
          <w:trHeight w:val="445"/>
          <w:jc w:val="center"/>
        </w:trPr>
        <w:tc>
          <w:tcPr>
            <w:tcW w:w="1889" w:type="dxa"/>
          </w:tcPr>
          <w:p w14:paraId="6B0B2EE3"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br/>
              <w:t>Best Performed State</w:t>
            </w:r>
          </w:p>
        </w:tc>
        <w:tc>
          <w:tcPr>
            <w:tcW w:w="1136" w:type="dxa"/>
          </w:tcPr>
          <w:p w14:paraId="6B0B2EE4"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10.46</w:t>
            </w:r>
            <w:r>
              <w:rPr>
                <w:rFonts w:ascii="Arial" w:eastAsia="Calibri" w:hAnsi="Arial" w:cs="Arial"/>
                <w:sz w:val="18"/>
                <w:szCs w:val="18"/>
              </w:rPr>
              <w:br/>
              <w:t>(Mizoram)</w:t>
            </w:r>
          </w:p>
        </w:tc>
        <w:tc>
          <w:tcPr>
            <w:tcW w:w="1303" w:type="dxa"/>
          </w:tcPr>
          <w:p w14:paraId="6B0B2EE5"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0.11</w:t>
            </w:r>
            <w:r>
              <w:rPr>
                <w:rFonts w:ascii="Arial" w:eastAsia="Calibri" w:hAnsi="Arial" w:cs="Arial"/>
                <w:sz w:val="18"/>
                <w:szCs w:val="18"/>
              </w:rPr>
              <w:br/>
              <w:t>(Sikkim)</w:t>
            </w:r>
          </w:p>
        </w:tc>
        <w:tc>
          <w:tcPr>
            <w:tcW w:w="880" w:type="dxa"/>
          </w:tcPr>
          <w:p w14:paraId="6B0B2EE6"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13.59</w:t>
            </w:r>
            <w:r>
              <w:rPr>
                <w:rFonts w:ascii="Arial" w:eastAsia="Calibri" w:hAnsi="Arial" w:cs="Arial"/>
                <w:sz w:val="18"/>
                <w:szCs w:val="18"/>
              </w:rPr>
              <w:br/>
              <w:t>(Odisha)</w:t>
            </w:r>
          </w:p>
        </w:tc>
        <w:tc>
          <w:tcPr>
            <w:tcW w:w="1047" w:type="dxa"/>
          </w:tcPr>
          <w:p w14:paraId="6B0B2EE7"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16.78</w:t>
            </w:r>
            <w:r>
              <w:rPr>
                <w:rFonts w:ascii="Arial" w:eastAsia="Calibri" w:hAnsi="Arial" w:cs="Arial"/>
                <w:sz w:val="18"/>
                <w:szCs w:val="18"/>
              </w:rPr>
              <w:br/>
              <w:t>(Mizoram)</w:t>
            </w:r>
          </w:p>
        </w:tc>
        <w:tc>
          <w:tcPr>
            <w:tcW w:w="1047" w:type="dxa"/>
          </w:tcPr>
          <w:p w14:paraId="6B0B2EE8"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10.45</w:t>
            </w:r>
            <w:r>
              <w:rPr>
                <w:rFonts w:ascii="Arial" w:eastAsia="Calibri" w:hAnsi="Arial" w:cs="Arial"/>
                <w:sz w:val="18"/>
                <w:szCs w:val="18"/>
              </w:rPr>
              <w:br/>
              <w:t>(Mizoram)</w:t>
            </w:r>
          </w:p>
        </w:tc>
        <w:tc>
          <w:tcPr>
            <w:tcW w:w="1000" w:type="dxa"/>
            <w:vMerge w:val="restart"/>
            <w:noWrap/>
          </w:tcPr>
          <w:p w14:paraId="6B0B2EE9" w14:textId="77777777" w:rsidR="005134AC" w:rsidRDefault="005134AC">
            <w:pPr>
              <w:pStyle w:val="Body"/>
              <w:spacing w:after="0"/>
              <w:jc w:val="center"/>
              <w:rPr>
                <w:rFonts w:ascii="Arial" w:eastAsia="Calibri" w:hAnsi="Arial" w:cs="Arial"/>
                <w:sz w:val="18"/>
                <w:szCs w:val="18"/>
              </w:rPr>
            </w:pPr>
          </w:p>
          <w:p w14:paraId="6B0B2EEA" w14:textId="77777777" w:rsidR="005134AC" w:rsidRDefault="005134AC">
            <w:pPr>
              <w:pStyle w:val="Body"/>
              <w:spacing w:after="0"/>
              <w:jc w:val="center"/>
              <w:rPr>
                <w:rFonts w:ascii="Arial" w:eastAsia="Calibri" w:hAnsi="Arial" w:cs="Arial"/>
                <w:sz w:val="18"/>
                <w:szCs w:val="18"/>
              </w:rPr>
            </w:pPr>
          </w:p>
        </w:tc>
      </w:tr>
      <w:tr w:rsidR="005134AC" w14:paraId="6B0B2EF3" w14:textId="77777777">
        <w:trPr>
          <w:trHeight w:val="445"/>
          <w:jc w:val="center"/>
        </w:trPr>
        <w:tc>
          <w:tcPr>
            <w:tcW w:w="1889" w:type="dxa"/>
            <w:tcBorders>
              <w:bottom w:val="single" w:sz="4" w:space="0" w:color="auto"/>
            </w:tcBorders>
          </w:tcPr>
          <w:p w14:paraId="6B0B2EEC" w14:textId="77777777" w:rsidR="005134AC" w:rsidRDefault="009A4237">
            <w:pPr>
              <w:pStyle w:val="Body"/>
              <w:spacing w:after="0"/>
              <w:jc w:val="left"/>
              <w:rPr>
                <w:rFonts w:ascii="Arial" w:eastAsia="Calibri" w:hAnsi="Arial" w:cs="Arial"/>
                <w:sz w:val="18"/>
                <w:szCs w:val="18"/>
              </w:rPr>
            </w:pPr>
            <w:r>
              <w:rPr>
                <w:rFonts w:ascii="Arial" w:eastAsia="Calibri" w:hAnsi="Arial" w:cs="Arial"/>
                <w:sz w:val="18"/>
                <w:szCs w:val="18"/>
              </w:rPr>
              <w:br/>
              <w:t>Worst Performed State</w:t>
            </w:r>
          </w:p>
        </w:tc>
        <w:tc>
          <w:tcPr>
            <w:tcW w:w="1136" w:type="dxa"/>
            <w:tcBorders>
              <w:bottom w:val="single" w:sz="4" w:space="0" w:color="auto"/>
            </w:tcBorders>
          </w:tcPr>
          <w:p w14:paraId="6B0B2EED"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(-)2.51</w:t>
            </w:r>
            <w:r>
              <w:rPr>
                <w:rFonts w:ascii="Arial" w:eastAsia="Calibri" w:hAnsi="Arial" w:cs="Arial"/>
                <w:sz w:val="18"/>
                <w:szCs w:val="18"/>
              </w:rPr>
              <w:br/>
              <w:t>(Jharkhand)</w:t>
            </w:r>
          </w:p>
        </w:tc>
        <w:tc>
          <w:tcPr>
            <w:tcW w:w="1303" w:type="dxa"/>
            <w:tcBorders>
              <w:bottom w:val="single" w:sz="4" w:space="0" w:color="auto"/>
            </w:tcBorders>
          </w:tcPr>
          <w:p w14:paraId="6B0B2EEE"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(-)13.52</w:t>
            </w:r>
            <w:r>
              <w:rPr>
                <w:rFonts w:ascii="Arial" w:eastAsia="Calibri" w:hAnsi="Arial" w:cs="Arial"/>
                <w:sz w:val="18"/>
                <w:szCs w:val="18"/>
              </w:rPr>
              <w:br/>
              <w:t>(Uttarakhand)</w:t>
            </w:r>
          </w:p>
        </w:tc>
        <w:tc>
          <w:tcPr>
            <w:tcW w:w="880" w:type="dxa"/>
            <w:tcBorders>
              <w:bottom w:val="single" w:sz="4" w:space="0" w:color="auto"/>
            </w:tcBorders>
          </w:tcPr>
          <w:p w14:paraId="6B0B2EEF"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(-)1.56</w:t>
            </w:r>
            <w:r>
              <w:rPr>
                <w:rFonts w:ascii="Arial" w:eastAsia="Calibri" w:hAnsi="Arial" w:cs="Arial"/>
                <w:sz w:val="18"/>
                <w:szCs w:val="18"/>
              </w:rPr>
              <w:br/>
              <w:t>(Goa)</w:t>
            </w:r>
          </w:p>
        </w:tc>
        <w:tc>
          <w:tcPr>
            <w:tcW w:w="1047" w:type="dxa"/>
            <w:tcBorders>
              <w:bottom w:val="single" w:sz="4" w:space="0" w:color="auto"/>
            </w:tcBorders>
          </w:tcPr>
          <w:p w14:paraId="6B0B2EF0"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(-)1.54</w:t>
            </w:r>
            <w:r>
              <w:rPr>
                <w:rFonts w:ascii="Arial" w:eastAsia="Calibri" w:hAnsi="Arial" w:cs="Arial"/>
                <w:sz w:val="18"/>
                <w:szCs w:val="18"/>
              </w:rPr>
              <w:br/>
              <w:t>(Goa)</w:t>
            </w:r>
          </w:p>
        </w:tc>
        <w:tc>
          <w:tcPr>
            <w:tcW w:w="1047" w:type="dxa"/>
            <w:tcBorders>
              <w:bottom w:val="single" w:sz="4" w:space="0" w:color="auto"/>
            </w:tcBorders>
          </w:tcPr>
          <w:p w14:paraId="6B0B2EF1" w14:textId="77777777" w:rsidR="005134AC" w:rsidRDefault="009A4237">
            <w:pPr>
              <w:pStyle w:val="Body"/>
              <w:spacing w:after="0"/>
              <w:jc w:val="center"/>
              <w:rPr>
                <w:rFonts w:ascii="Arial" w:eastAsia="Calibri" w:hAnsi="Arial" w:cs="Arial"/>
                <w:sz w:val="18"/>
                <w:szCs w:val="18"/>
              </w:rPr>
            </w:pPr>
            <w:r>
              <w:rPr>
                <w:rFonts w:ascii="Arial" w:eastAsia="Calibri" w:hAnsi="Arial" w:cs="Arial"/>
                <w:sz w:val="18"/>
                <w:szCs w:val="18"/>
              </w:rPr>
              <w:t>1.76</w:t>
            </w:r>
            <w:r>
              <w:rPr>
                <w:rFonts w:ascii="Arial" w:eastAsia="Calibri" w:hAnsi="Arial" w:cs="Arial"/>
                <w:sz w:val="18"/>
                <w:szCs w:val="18"/>
              </w:rPr>
              <w:br/>
              <w:t>(Delhi)</w:t>
            </w:r>
          </w:p>
        </w:tc>
        <w:tc>
          <w:tcPr>
            <w:tcW w:w="0" w:type="auto"/>
            <w:vMerge/>
            <w:tcBorders>
              <w:bottom w:val="single" w:sz="4" w:space="0" w:color="auto"/>
            </w:tcBorders>
            <w:vAlign w:val="center"/>
          </w:tcPr>
          <w:p w14:paraId="6B0B2EF2" w14:textId="77777777" w:rsidR="005134AC" w:rsidRDefault="005134AC">
            <w:pPr>
              <w:pStyle w:val="Body"/>
              <w:rPr>
                <w:rFonts w:ascii="Arial" w:eastAsia="Calibri" w:hAnsi="Arial" w:cs="Arial"/>
                <w:sz w:val="18"/>
                <w:szCs w:val="18"/>
              </w:rPr>
            </w:pPr>
          </w:p>
        </w:tc>
      </w:tr>
    </w:tbl>
    <w:p w14:paraId="6B0B2EF4" w14:textId="77777777" w:rsidR="005134AC" w:rsidRDefault="009A4237">
      <w:pPr>
        <w:pStyle w:val="Body"/>
        <w:rPr>
          <w:rFonts w:ascii="Arial" w:hAnsi="Arial" w:cs="Arial"/>
          <w:sz w:val="18"/>
          <w:szCs w:val="18"/>
        </w:rPr>
      </w:pPr>
      <w:r>
        <w:rPr>
          <w:rFonts w:ascii="Arial" w:hAnsi="Arial" w:cs="Arial"/>
          <w:sz w:val="18"/>
          <w:szCs w:val="18"/>
        </w:rPr>
        <w:lastRenderedPageBreak/>
        <w:t xml:space="preserve">Source: State Finance Audit Report 2023-24, Comptroller and Auditor General of India. *Author’s estimation. Due to the deficiency of data, West Bengal, Andhra Pradesh, Tripura and J&amp;K are not included. </w:t>
      </w:r>
    </w:p>
    <w:p w14:paraId="6B0B2EF5" w14:textId="77777777" w:rsidR="005134AC" w:rsidRDefault="009A4237">
      <w:pPr>
        <w:pStyle w:val="Body"/>
        <w:spacing w:after="0"/>
        <w:rPr>
          <w:rFonts w:ascii="Arial" w:hAnsi="Arial" w:cs="Arial"/>
        </w:rPr>
      </w:pPr>
      <w:r>
        <w:rPr>
          <w:rFonts w:ascii="Arial" w:hAnsi="Arial" w:cs="Arial"/>
        </w:rPr>
        <w:t xml:space="preserve">As Table 5 illustrates, Kerala’s </w:t>
      </w:r>
      <w:proofErr w:type="spellStart"/>
      <w:r>
        <w:rPr>
          <w:rFonts w:ascii="Arial" w:hAnsi="Arial" w:cs="Arial"/>
        </w:rPr>
        <w:t>Domar</w:t>
      </w:r>
      <w:proofErr w:type="spellEnd"/>
      <w:r>
        <w:rPr>
          <w:rFonts w:ascii="Arial" w:hAnsi="Arial" w:cs="Arial"/>
        </w:rPr>
        <w:t xml:space="preserve"> Gap was negative during 2019–20 and 2020–21, registering –0.69 and –10.67, respectively, implying that the real growth rate was lower than the real effective interest rate. This reflects the severe fiscal stress and economic contraction Kerala experienced during the pandemic years. However, from 2021–22 onwards, the </w:t>
      </w:r>
      <w:proofErr w:type="spellStart"/>
      <w:r>
        <w:rPr>
          <w:rFonts w:ascii="Arial" w:hAnsi="Arial" w:cs="Arial"/>
        </w:rPr>
        <w:t>Domar</w:t>
      </w:r>
      <w:proofErr w:type="spellEnd"/>
      <w:r>
        <w:rPr>
          <w:rFonts w:ascii="Arial" w:hAnsi="Arial" w:cs="Arial"/>
        </w:rPr>
        <w:t xml:space="preserve"> Gap turned positive, peaking at 8.6 in 2021–22 and remaining positive thereafter, signifying a gradual return to sustainable debt dynamics as economic recovery gained momentum.</w:t>
      </w:r>
    </w:p>
    <w:p w14:paraId="6B0B2EF6" w14:textId="77777777" w:rsidR="005134AC" w:rsidRDefault="005134AC">
      <w:pPr>
        <w:pStyle w:val="Body"/>
        <w:spacing w:after="0"/>
        <w:rPr>
          <w:rFonts w:ascii="Arial" w:hAnsi="Arial" w:cs="Arial"/>
        </w:rPr>
      </w:pPr>
    </w:p>
    <w:p w14:paraId="6B0B2EF7" w14:textId="77777777" w:rsidR="005134AC" w:rsidRDefault="009A4237">
      <w:pPr>
        <w:pStyle w:val="Body"/>
        <w:spacing w:after="0"/>
        <w:rPr>
          <w:rFonts w:ascii="Arial" w:hAnsi="Arial" w:cs="Arial"/>
        </w:rPr>
      </w:pPr>
      <w:r>
        <w:rPr>
          <w:rFonts w:ascii="Arial" w:hAnsi="Arial" w:cs="Arial"/>
        </w:rPr>
        <w:t xml:space="preserve">In contrast, the all-states average </w:t>
      </w:r>
      <w:proofErr w:type="spellStart"/>
      <w:r>
        <w:rPr>
          <w:rFonts w:ascii="Arial" w:hAnsi="Arial" w:cs="Arial"/>
        </w:rPr>
        <w:t>Domar</w:t>
      </w:r>
      <w:proofErr w:type="spellEnd"/>
      <w:r>
        <w:rPr>
          <w:rFonts w:ascii="Arial" w:hAnsi="Arial" w:cs="Arial"/>
        </w:rPr>
        <w:t xml:space="preserve"> Gap shows a similar pattern but with higher overall values—averaging 2.93 compared to Kerala’s 0.85, indicating that Kerala’s debt sustainability improved but remained below the national norm. States like Mizoram and Odisha consistently performed better, maintaining high positive </w:t>
      </w:r>
      <w:proofErr w:type="spellStart"/>
      <w:r>
        <w:rPr>
          <w:rFonts w:ascii="Arial" w:hAnsi="Arial" w:cs="Arial"/>
        </w:rPr>
        <w:t>Domar</w:t>
      </w:r>
      <w:proofErr w:type="spellEnd"/>
      <w:r>
        <w:rPr>
          <w:rFonts w:ascii="Arial" w:hAnsi="Arial" w:cs="Arial"/>
        </w:rPr>
        <w:t xml:space="preserve"> Gaps throughout the period, suggesting strong fiscal discipline and faster growth. Conversely, states such as Goa, Uttarakhand, and Delhi displayed persistent negative or marginal gaps, reflecting weaker debt management. Thus, while Kerala has moved toward fiscal stability post-pandemic, the state still trails behind better-performing peers, underscoring the need for enhanced fiscal consolidation and growth-oriented debt management strategies (Yoshino &amp; Miyamoto, 2020; Vyas, 2021). </w:t>
      </w:r>
    </w:p>
    <w:p w14:paraId="6B0B2EF8" w14:textId="77777777" w:rsidR="005134AC" w:rsidRDefault="005134AC">
      <w:pPr>
        <w:pStyle w:val="Body"/>
        <w:spacing w:after="0"/>
        <w:rPr>
          <w:rFonts w:ascii="Arial" w:hAnsi="Arial" w:cs="Arial"/>
        </w:rPr>
      </w:pPr>
    </w:p>
    <w:p w14:paraId="6B0B2EF9" w14:textId="77777777" w:rsidR="005134AC" w:rsidRDefault="009A4237">
      <w:pPr>
        <w:pStyle w:val="Body"/>
        <w:spacing w:after="0"/>
        <w:rPr>
          <w:rFonts w:ascii="Arial" w:hAnsi="Arial" w:cs="Arial"/>
          <w:b/>
          <w:bCs/>
          <w:sz w:val="22"/>
          <w:szCs w:val="22"/>
        </w:rPr>
      </w:pPr>
      <w:r>
        <w:rPr>
          <w:rFonts w:ascii="Arial" w:hAnsi="Arial" w:cs="Arial"/>
          <w:b/>
          <w:bCs/>
          <w:sz w:val="22"/>
          <w:szCs w:val="22"/>
        </w:rPr>
        <w:t>4. MAJOR FINDINGS</w:t>
      </w:r>
    </w:p>
    <w:p w14:paraId="6B0B2EFA" w14:textId="77777777" w:rsidR="005134AC" w:rsidRDefault="009A4237">
      <w:pPr>
        <w:pStyle w:val="Body"/>
        <w:numPr>
          <w:ilvl w:val="0"/>
          <w:numId w:val="3"/>
        </w:numPr>
        <w:spacing w:after="0"/>
        <w:rPr>
          <w:rFonts w:ascii="Arial" w:hAnsi="Arial" w:cs="Arial"/>
        </w:rPr>
      </w:pPr>
      <w:r>
        <w:rPr>
          <w:rFonts w:ascii="Arial" w:hAnsi="Arial" w:cs="Arial"/>
        </w:rPr>
        <w:t>Kerala’s overall liabilities have grown consistently throughout the period, often outpacing the growth of GSDP, indicating rising fiscal pressure.</w:t>
      </w:r>
    </w:p>
    <w:p w14:paraId="6B0B2EFB" w14:textId="77777777" w:rsidR="005134AC" w:rsidRDefault="005134AC">
      <w:pPr>
        <w:pStyle w:val="Body"/>
        <w:spacing w:after="0"/>
        <w:rPr>
          <w:rFonts w:ascii="Arial" w:hAnsi="Arial" w:cs="Arial"/>
        </w:rPr>
      </w:pPr>
    </w:p>
    <w:p w14:paraId="6B0B2EFC" w14:textId="77777777" w:rsidR="005134AC" w:rsidRDefault="009A4237">
      <w:pPr>
        <w:pStyle w:val="Body"/>
        <w:numPr>
          <w:ilvl w:val="0"/>
          <w:numId w:val="3"/>
        </w:numPr>
        <w:spacing w:after="0"/>
        <w:rPr>
          <w:rFonts w:ascii="Arial" w:hAnsi="Arial" w:cs="Arial"/>
        </w:rPr>
      </w:pPr>
      <w:r>
        <w:rPr>
          <w:rFonts w:ascii="Arial" w:hAnsi="Arial" w:cs="Arial"/>
        </w:rPr>
        <w:t>The year 2020–21 showed a sharp fall in GSDP growth and a simultaneous rise in liabilities, reflecting the fiscal impact of the COVID-19 pandemic.</w:t>
      </w:r>
    </w:p>
    <w:p w14:paraId="6B0B2EFD" w14:textId="77777777" w:rsidR="005134AC" w:rsidRDefault="009A4237">
      <w:pPr>
        <w:pStyle w:val="Body"/>
        <w:numPr>
          <w:ilvl w:val="0"/>
          <w:numId w:val="3"/>
        </w:numPr>
        <w:spacing w:after="0"/>
        <w:rPr>
          <w:rFonts w:ascii="Arial" w:hAnsi="Arial" w:cs="Arial"/>
        </w:rPr>
      </w:pPr>
      <w:r>
        <w:rPr>
          <w:rFonts w:ascii="Arial" w:hAnsi="Arial" w:cs="Arial"/>
        </w:rPr>
        <w:t xml:space="preserve">Post-2021–22, both GSDP and liability growth </w:t>
      </w:r>
      <w:proofErr w:type="spellStart"/>
      <w:r>
        <w:rPr>
          <w:rFonts w:ascii="Arial" w:hAnsi="Arial" w:cs="Arial"/>
        </w:rPr>
        <w:t>stabilised</w:t>
      </w:r>
      <w:proofErr w:type="spellEnd"/>
      <w:r>
        <w:rPr>
          <w:rFonts w:ascii="Arial" w:hAnsi="Arial" w:cs="Arial"/>
        </w:rPr>
        <w:t>, suggesting gradual economic recovery and efforts toward fiscal consolidation.</w:t>
      </w:r>
    </w:p>
    <w:p w14:paraId="6B0B2EFE" w14:textId="77777777" w:rsidR="005134AC" w:rsidRDefault="005134AC">
      <w:pPr>
        <w:pStyle w:val="Body"/>
        <w:spacing w:after="0"/>
        <w:rPr>
          <w:rFonts w:ascii="Arial" w:hAnsi="Arial" w:cs="Arial"/>
        </w:rPr>
      </w:pPr>
    </w:p>
    <w:p w14:paraId="6B0B2EFF" w14:textId="77777777" w:rsidR="005134AC" w:rsidRDefault="009A4237">
      <w:pPr>
        <w:pStyle w:val="Body"/>
        <w:numPr>
          <w:ilvl w:val="0"/>
          <w:numId w:val="3"/>
        </w:numPr>
        <w:spacing w:after="0"/>
        <w:rPr>
          <w:rFonts w:ascii="Arial" w:hAnsi="Arial" w:cs="Arial"/>
        </w:rPr>
      </w:pPr>
      <w:r>
        <w:rPr>
          <w:rFonts w:ascii="Arial" w:hAnsi="Arial" w:cs="Arial"/>
        </w:rPr>
        <w:t>Kerala’s per capita debt burden increased significantly between 2019–20 and 2023–24, rising by over 52%, indicating that the state’s liabilities grew faster than population and income levels.</w:t>
      </w:r>
    </w:p>
    <w:p w14:paraId="6B0B2F00" w14:textId="77777777" w:rsidR="005134AC" w:rsidRDefault="009A4237">
      <w:pPr>
        <w:pStyle w:val="Body"/>
        <w:numPr>
          <w:ilvl w:val="0"/>
          <w:numId w:val="3"/>
        </w:numPr>
        <w:spacing w:after="0"/>
        <w:rPr>
          <w:rFonts w:ascii="Arial" w:hAnsi="Arial" w:cs="Arial"/>
        </w:rPr>
      </w:pPr>
      <w:r>
        <w:rPr>
          <w:rFonts w:ascii="Arial" w:hAnsi="Arial" w:cs="Arial"/>
        </w:rPr>
        <w:t>Although per capita GSDP recovered after the pandemic, the liability-to-GSDP ratio remained elevated, showing that the pace of debt accumulation continues to exceed economic growth, posing concerns for long-term fiscal sustainability.</w:t>
      </w:r>
    </w:p>
    <w:p w14:paraId="6B0B2F01" w14:textId="77777777" w:rsidR="005134AC" w:rsidRDefault="005134AC">
      <w:pPr>
        <w:pStyle w:val="Body"/>
        <w:spacing w:after="0"/>
        <w:rPr>
          <w:rFonts w:ascii="Arial" w:hAnsi="Arial" w:cs="Arial"/>
        </w:rPr>
      </w:pPr>
    </w:p>
    <w:p w14:paraId="6B0B2F02" w14:textId="77777777" w:rsidR="005134AC" w:rsidRDefault="009A4237">
      <w:pPr>
        <w:pStyle w:val="Body"/>
        <w:numPr>
          <w:ilvl w:val="0"/>
          <w:numId w:val="3"/>
        </w:numPr>
        <w:spacing w:after="0"/>
        <w:rPr>
          <w:rFonts w:ascii="Arial" w:hAnsi="Arial" w:cs="Arial"/>
        </w:rPr>
      </w:pPr>
      <w:r>
        <w:rPr>
          <w:rFonts w:ascii="Arial" w:hAnsi="Arial" w:cs="Arial"/>
        </w:rPr>
        <w:t>Kerala’s market borrowings have increased sharply in the post-pandemic years, with both gross and net amounts showing strong upward trends, indicating growing fiscal dependence on debt to meet expenditure needs.</w:t>
      </w:r>
    </w:p>
    <w:p w14:paraId="6B0B2F03" w14:textId="77777777" w:rsidR="005134AC" w:rsidRDefault="005134AC">
      <w:pPr>
        <w:pStyle w:val="Body"/>
        <w:spacing w:after="0"/>
        <w:rPr>
          <w:rFonts w:ascii="Arial" w:hAnsi="Arial" w:cs="Arial"/>
        </w:rPr>
      </w:pPr>
    </w:p>
    <w:p w14:paraId="6B0B2F04" w14:textId="77777777" w:rsidR="005134AC" w:rsidRDefault="009A4237">
      <w:pPr>
        <w:pStyle w:val="Body"/>
        <w:numPr>
          <w:ilvl w:val="0"/>
          <w:numId w:val="3"/>
        </w:numPr>
        <w:spacing w:after="0"/>
        <w:rPr>
          <w:rFonts w:ascii="Arial" w:hAnsi="Arial" w:cs="Arial"/>
        </w:rPr>
      </w:pPr>
      <w:r>
        <w:rPr>
          <w:rFonts w:ascii="Arial" w:hAnsi="Arial" w:cs="Arial"/>
        </w:rPr>
        <w:t>The volatility in Kerala’s borrowing growth—with alternating periods of expansion and consolidation—suggests continued fiscal stress and the challenge of maintaining a stable and sustainable debt path compared with the more moderate borrowing pattern of all states combined.</w:t>
      </w:r>
    </w:p>
    <w:p w14:paraId="6B0B2F05" w14:textId="77777777" w:rsidR="005134AC" w:rsidRDefault="005134AC">
      <w:pPr>
        <w:pStyle w:val="Body"/>
        <w:spacing w:after="0"/>
        <w:rPr>
          <w:rFonts w:ascii="Arial" w:hAnsi="Arial" w:cs="Arial"/>
        </w:rPr>
      </w:pPr>
    </w:p>
    <w:p w14:paraId="6B0B2F06" w14:textId="77777777" w:rsidR="005134AC" w:rsidRDefault="009A4237">
      <w:pPr>
        <w:pStyle w:val="Body"/>
        <w:numPr>
          <w:ilvl w:val="0"/>
          <w:numId w:val="3"/>
        </w:numPr>
        <w:spacing w:after="0"/>
        <w:rPr>
          <w:rFonts w:ascii="Arial" w:hAnsi="Arial" w:cs="Arial"/>
        </w:rPr>
      </w:pPr>
      <w:r>
        <w:rPr>
          <w:rFonts w:ascii="Arial" w:hAnsi="Arial" w:cs="Arial"/>
        </w:rPr>
        <w:t xml:space="preserve">Kerala’s public debt sustainability improved after 2021–22, as the </w:t>
      </w:r>
      <w:proofErr w:type="spellStart"/>
      <w:r>
        <w:rPr>
          <w:rFonts w:ascii="Arial" w:hAnsi="Arial" w:cs="Arial"/>
        </w:rPr>
        <w:t>Domar</w:t>
      </w:r>
      <w:proofErr w:type="spellEnd"/>
      <w:r>
        <w:rPr>
          <w:rFonts w:ascii="Arial" w:hAnsi="Arial" w:cs="Arial"/>
        </w:rPr>
        <w:t xml:space="preserve"> gap turned positive and remained so, indicating that economic growth outpaced the real cost of borrowing.</w:t>
      </w:r>
    </w:p>
    <w:p w14:paraId="6B0B2F07" w14:textId="77777777" w:rsidR="005134AC" w:rsidRDefault="009A4237">
      <w:pPr>
        <w:pStyle w:val="Body"/>
        <w:numPr>
          <w:ilvl w:val="0"/>
          <w:numId w:val="3"/>
        </w:numPr>
        <w:spacing w:after="0"/>
        <w:rPr>
          <w:rFonts w:ascii="Arial" w:hAnsi="Arial" w:cs="Arial"/>
        </w:rPr>
      </w:pPr>
      <w:r>
        <w:rPr>
          <w:rFonts w:ascii="Arial" w:hAnsi="Arial" w:cs="Arial"/>
        </w:rPr>
        <w:lastRenderedPageBreak/>
        <w:t xml:space="preserve">The pandemic year 2020–21 marked a phase of unsustainable debt, with negative growth and a sharply negative </w:t>
      </w:r>
      <w:proofErr w:type="spellStart"/>
      <w:r>
        <w:rPr>
          <w:rFonts w:ascii="Arial" w:hAnsi="Arial" w:cs="Arial"/>
        </w:rPr>
        <w:t>Domar</w:t>
      </w:r>
      <w:proofErr w:type="spellEnd"/>
      <w:r>
        <w:rPr>
          <w:rFonts w:ascii="Arial" w:hAnsi="Arial" w:cs="Arial"/>
        </w:rPr>
        <w:t xml:space="preserve"> gap, but subsequent fiscal recovery restored stability in the state’s debt dynamics.</w:t>
      </w:r>
    </w:p>
    <w:p w14:paraId="6B0B2F08" w14:textId="77777777" w:rsidR="005134AC" w:rsidRDefault="005134AC">
      <w:pPr>
        <w:pStyle w:val="Body"/>
        <w:spacing w:after="0"/>
        <w:rPr>
          <w:rFonts w:ascii="Arial" w:hAnsi="Arial" w:cs="Arial"/>
        </w:rPr>
      </w:pPr>
    </w:p>
    <w:p w14:paraId="6B0B2F09" w14:textId="77777777" w:rsidR="005134AC" w:rsidRDefault="009A4237">
      <w:pPr>
        <w:pStyle w:val="Body"/>
        <w:numPr>
          <w:ilvl w:val="0"/>
          <w:numId w:val="3"/>
        </w:numPr>
        <w:spacing w:after="0"/>
        <w:rPr>
          <w:rFonts w:ascii="Arial" w:hAnsi="Arial" w:cs="Arial"/>
        </w:rPr>
      </w:pPr>
      <w:r>
        <w:rPr>
          <w:rFonts w:ascii="Arial" w:hAnsi="Arial" w:cs="Arial"/>
        </w:rPr>
        <w:t xml:space="preserve">Kerala’s </w:t>
      </w:r>
      <w:proofErr w:type="spellStart"/>
      <w:r>
        <w:rPr>
          <w:rFonts w:ascii="Arial" w:hAnsi="Arial" w:cs="Arial"/>
        </w:rPr>
        <w:t>Domar</w:t>
      </w:r>
      <w:proofErr w:type="spellEnd"/>
      <w:r>
        <w:rPr>
          <w:rFonts w:ascii="Arial" w:hAnsi="Arial" w:cs="Arial"/>
        </w:rPr>
        <w:t xml:space="preserve"> Gap turned positive after 2021–22, indicating a shift toward debt sustainability as economic growth began to outpace the real cost of borrowing.</w:t>
      </w:r>
    </w:p>
    <w:p w14:paraId="6B0B2F0A" w14:textId="77777777" w:rsidR="005134AC" w:rsidRDefault="005134AC">
      <w:pPr>
        <w:pStyle w:val="Body"/>
        <w:spacing w:after="0"/>
        <w:rPr>
          <w:rFonts w:ascii="Arial" w:hAnsi="Arial" w:cs="Arial"/>
        </w:rPr>
      </w:pPr>
    </w:p>
    <w:p w14:paraId="6B0B2F0B" w14:textId="77777777" w:rsidR="005134AC" w:rsidRDefault="009A4237">
      <w:pPr>
        <w:pStyle w:val="Body"/>
        <w:numPr>
          <w:ilvl w:val="0"/>
          <w:numId w:val="3"/>
        </w:numPr>
        <w:spacing w:after="0"/>
        <w:rPr>
          <w:rFonts w:ascii="Arial" w:hAnsi="Arial" w:cs="Arial"/>
        </w:rPr>
      </w:pPr>
      <w:r>
        <w:rPr>
          <w:rFonts w:ascii="Arial" w:hAnsi="Arial" w:cs="Arial"/>
        </w:rPr>
        <w:t xml:space="preserve">Despite improvement, Kerala’s average </w:t>
      </w:r>
      <w:proofErr w:type="spellStart"/>
      <w:r>
        <w:rPr>
          <w:rFonts w:ascii="Arial" w:hAnsi="Arial" w:cs="Arial"/>
        </w:rPr>
        <w:t>Domar</w:t>
      </w:r>
      <w:proofErr w:type="spellEnd"/>
      <w:r>
        <w:rPr>
          <w:rFonts w:ascii="Arial" w:hAnsi="Arial" w:cs="Arial"/>
        </w:rPr>
        <w:t xml:space="preserve"> Gap (0.85) remained below the all-state average (2.93), showing that the state’s debt position is still weaker than most other states and requires continued fiscal discipline.</w:t>
      </w:r>
    </w:p>
    <w:p w14:paraId="6B0B2F0C" w14:textId="77777777" w:rsidR="005134AC" w:rsidRDefault="005134AC">
      <w:pPr>
        <w:pStyle w:val="ListParagraph"/>
        <w:rPr>
          <w:rFonts w:ascii="Arial" w:hAnsi="Arial" w:cs="Arial"/>
        </w:rPr>
      </w:pPr>
    </w:p>
    <w:p w14:paraId="6B0B2F0D" w14:textId="77777777" w:rsidR="005134AC" w:rsidRDefault="009A4237">
      <w:pPr>
        <w:pStyle w:val="Body"/>
        <w:spacing w:after="0"/>
        <w:rPr>
          <w:rFonts w:ascii="Arial" w:hAnsi="Arial" w:cs="Arial"/>
          <w:b/>
          <w:bCs/>
          <w:sz w:val="22"/>
          <w:szCs w:val="22"/>
        </w:rPr>
      </w:pPr>
      <w:r>
        <w:rPr>
          <w:rFonts w:ascii="Arial" w:hAnsi="Arial" w:cs="Arial"/>
          <w:b/>
          <w:bCs/>
          <w:sz w:val="22"/>
          <w:szCs w:val="22"/>
        </w:rPr>
        <w:t>5. CONCLUSION</w:t>
      </w:r>
    </w:p>
    <w:p w14:paraId="6B0B2F0E" w14:textId="77777777" w:rsidR="005134AC" w:rsidRDefault="009A4237">
      <w:pPr>
        <w:pStyle w:val="Body"/>
        <w:spacing w:after="0"/>
        <w:rPr>
          <w:rFonts w:ascii="Arial" w:hAnsi="Arial" w:cs="Arial"/>
        </w:rPr>
      </w:pPr>
      <w:r>
        <w:rPr>
          <w:rFonts w:ascii="Arial" w:hAnsi="Arial" w:cs="Arial"/>
        </w:rPr>
        <w:t xml:space="preserve">The analysis clearly indicates that Kerala’s public debt has grown substantially, driven by high developmental and welfare expenditures, particularly during and after the COVID-19 crisis. Although the </w:t>
      </w:r>
      <w:proofErr w:type="spellStart"/>
      <w:r>
        <w:rPr>
          <w:rFonts w:ascii="Arial" w:hAnsi="Arial" w:cs="Arial"/>
        </w:rPr>
        <w:t>Domar</w:t>
      </w:r>
      <w:proofErr w:type="spellEnd"/>
      <w:r>
        <w:rPr>
          <w:rFonts w:ascii="Arial" w:hAnsi="Arial" w:cs="Arial"/>
        </w:rPr>
        <w:t xml:space="preserve"> Gap turned positive after 2021–22, </w:t>
      </w:r>
      <w:proofErr w:type="spellStart"/>
      <w:r>
        <w:rPr>
          <w:rFonts w:ascii="Arial" w:hAnsi="Arial" w:cs="Arial"/>
        </w:rPr>
        <w:t>signalling</w:t>
      </w:r>
      <w:proofErr w:type="spellEnd"/>
      <w:r>
        <w:rPr>
          <w:rFonts w:ascii="Arial" w:hAnsi="Arial" w:cs="Arial"/>
        </w:rPr>
        <w:t xml:space="preserve"> an improvement in debt sustainability, Kerala’s overall fiscal position remains below the national average. The state’s debt burden per capita continues to rise, and borrowing dependence persists, highlighting the need for strong fiscal discipline, enhanced revenue </w:t>
      </w:r>
      <w:proofErr w:type="spellStart"/>
      <w:r>
        <w:rPr>
          <w:rFonts w:ascii="Arial" w:hAnsi="Arial" w:cs="Arial"/>
        </w:rPr>
        <w:t>mobilisation</w:t>
      </w:r>
      <w:proofErr w:type="spellEnd"/>
      <w:r>
        <w:rPr>
          <w:rFonts w:ascii="Arial" w:hAnsi="Arial" w:cs="Arial"/>
        </w:rPr>
        <w:t xml:space="preserve">, and efficient expenditure management. Sustainable public finance for Kerala thus hinges on achieving a durable balance between growth stimulation and prudent debt management, ensuring that economic expansion consistently exceeds the real cost of borrowing—a principle long </w:t>
      </w:r>
      <w:proofErr w:type="spellStart"/>
      <w:r>
        <w:rPr>
          <w:rFonts w:ascii="Arial" w:hAnsi="Arial" w:cs="Arial"/>
        </w:rPr>
        <w:t>emphasised</w:t>
      </w:r>
      <w:proofErr w:type="spellEnd"/>
      <w:r>
        <w:rPr>
          <w:rFonts w:ascii="Arial" w:hAnsi="Arial" w:cs="Arial"/>
        </w:rPr>
        <w:t xml:space="preserve"> in fiscal sustainability literature (</w:t>
      </w:r>
      <w:proofErr w:type="spellStart"/>
      <w:r>
        <w:rPr>
          <w:rFonts w:ascii="Arial" w:hAnsi="Arial" w:cs="Arial"/>
        </w:rPr>
        <w:t>Domar</w:t>
      </w:r>
      <w:proofErr w:type="spellEnd"/>
      <w:r>
        <w:rPr>
          <w:rFonts w:ascii="Arial" w:hAnsi="Arial" w:cs="Arial"/>
        </w:rPr>
        <w:t>, 1944; Yoshino &amp; Miyamoto, 2020; Vyas, 2021).</w:t>
      </w:r>
    </w:p>
    <w:p w14:paraId="6B0B2F0F" w14:textId="77777777" w:rsidR="005134AC" w:rsidRDefault="005134AC">
      <w:pPr>
        <w:pStyle w:val="Body"/>
        <w:spacing w:after="0"/>
        <w:rPr>
          <w:rFonts w:ascii="Arial" w:hAnsi="Arial" w:cs="Arial"/>
        </w:rPr>
      </w:pPr>
    </w:p>
    <w:p w14:paraId="6B0B2F10" w14:textId="77777777" w:rsidR="005134AC" w:rsidRDefault="009A4237">
      <w:pPr>
        <w:pStyle w:val="ReferHead"/>
        <w:spacing w:after="0"/>
        <w:jc w:val="both"/>
        <w:rPr>
          <w:rFonts w:ascii="Arial" w:hAnsi="Arial" w:cs="Arial"/>
          <w:bCs/>
        </w:rPr>
      </w:pPr>
      <w:r>
        <w:rPr>
          <w:rFonts w:ascii="Arial" w:hAnsi="Arial" w:cs="Arial"/>
          <w:bCs/>
        </w:rPr>
        <w:t>Competing interests</w:t>
      </w:r>
    </w:p>
    <w:p w14:paraId="6B0B2F11" w14:textId="77777777" w:rsidR="005134AC" w:rsidRDefault="005134AC">
      <w:pPr>
        <w:pStyle w:val="ReferHead"/>
        <w:spacing w:after="0"/>
        <w:jc w:val="both"/>
        <w:rPr>
          <w:rFonts w:ascii="Arial" w:hAnsi="Arial" w:cs="Arial"/>
        </w:rPr>
      </w:pPr>
    </w:p>
    <w:p w14:paraId="6B0B2F12" w14:textId="77777777" w:rsidR="005134AC" w:rsidRDefault="009A4237">
      <w:pPr>
        <w:pStyle w:val="ReferHead"/>
        <w:spacing w:after="0"/>
        <w:jc w:val="both"/>
        <w:rPr>
          <w:rFonts w:ascii="Arial" w:hAnsi="Arial" w:cs="Arial"/>
          <w:b w:val="0"/>
          <w:caps w:val="0"/>
          <w:sz w:val="20"/>
        </w:rPr>
      </w:pPr>
      <w:r>
        <w:rPr>
          <w:rFonts w:ascii="Arial" w:hAnsi="Arial" w:cs="Arial"/>
          <w:b w:val="0"/>
          <w:caps w:val="0"/>
          <w:sz w:val="20"/>
        </w:rPr>
        <w:t>No competing interests exist.</w:t>
      </w:r>
    </w:p>
    <w:p w14:paraId="6B0B2F13" w14:textId="77777777" w:rsidR="005134AC" w:rsidRDefault="005134AC">
      <w:pPr>
        <w:pStyle w:val="ReferHead"/>
        <w:spacing w:after="0"/>
        <w:jc w:val="both"/>
        <w:rPr>
          <w:rFonts w:ascii="Arial" w:hAnsi="Arial" w:cs="Arial"/>
          <w:b w:val="0"/>
          <w:caps w:val="0"/>
          <w:sz w:val="20"/>
        </w:rPr>
      </w:pPr>
    </w:p>
    <w:p w14:paraId="6B0B2F14" w14:textId="77777777" w:rsidR="005134AC" w:rsidRDefault="009A4237">
      <w:pPr>
        <w:pStyle w:val="ReferHead"/>
        <w:jc w:val="both"/>
        <w:rPr>
          <w:rFonts w:ascii="Arial" w:hAnsi="Arial" w:cs="Arial"/>
          <w:b w:val="0"/>
          <w:caps w:val="0"/>
          <w:sz w:val="20"/>
        </w:rPr>
      </w:pPr>
      <w:r>
        <w:rPr>
          <w:rFonts w:ascii="Arial" w:hAnsi="Arial" w:cs="Arial"/>
          <w:b w:val="0"/>
          <w:caps w:val="0"/>
          <w:sz w:val="20"/>
        </w:rPr>
        <w:t>COMPETING INTERESTS DISCLAIMER:</w:t>
      </w:r>
    </w:p>
    <w:p w14:paraId="6B0B2F15" w14:textId="77777777" w:rsidR="005134AC" w:rsidRDefault="009A4237">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B0B2F16" w14:textId="77777777" w:rsidR="005134AC" w:rsidRDefault="005134AC">
      <w:pPr>
        <w:pStyle w:val="ReferHead"/>
        <w:spacing w:after="0"/>
        <w:jc w:val="both"/>
        <w:rPr>
          <w:rFonts w:ascii="Arial" w:hAnsi="Arial" w:cs="Arial"/>
          <w:b w:val="0"/>
          <w:caps w:val="0"/>
          <w:sz w:val="20"/>
        </w:rPr>
      </w:pPr>
    </w:p>
    <w:p w14:paraId="6B0B2F17" w14:textId="77777777" w:rsidR="005134AC" w:rsidRDefault="009A4237">
      <w:pPr>
        <w:rPr>
          <w:highlight w:val="yellow"/>
        </w:rPr>
      </w:pPr>
      <w:r>
        <w:rPr>
          <w:highlight w:val="yellow"/>
        </w:rPr>
        <w:t>Disclaimer (Artificial intelligence)</w:t>
      </w:r>
    </w:p>
    <w:p w14:paraId="6B0B2F20" w14:textId="07F95E1A" w:rsidR="005134AC" w:rsidRDefault="00E34255">
      <w:pPr>
        <w:pStyle w:val="ReferHead"/>
        <w:spacing w:after="0"/>
        <w:jc w:val="both"/>
        <w:rPr>
          <w:b w:val="0"/>
          <w:caps w:val="0"/>
          <w:sz w:val="20"/>
        </w:rPr>
      </w:pPr>
      <w:r w:rsidRPr="00E34255">
        <w:rPr>
          <w:b w:val="0"/>
          <w:caps w:val="0"/>
          <w:sz w:val="20"/>
          <w:highlight w:val="yellow"/>
        </w:rPr>
        <w:t xml:space="preserve">I acknowledge that I have used free/basic versions of </w:t>
      </w:r>
      <w:proofErr w:type="spellStart"/>
      <w:r w:rsidRPr="00E34255">
        <w:rPr>
          <w:b w:val="0"/>
          <w:caps w:val="0"/>
          <w:sz w:val="20"/>
          <w:highlight w:val="yellow"/>
        </w:rPr>
        <w:t>ChatGPT</w:t>
      </w:r>
      <w:proofErr w:type="spellEnd"/>
      <w:r w:rsidRPr="00E34255">
        <w:rPr>
          <w:b w:val="0"/>
          <w:caps w:val="0"/>
          <w:sz w:val="20"/>
          <w:highlight w:val="yellow"/>
        </w:rPr>
        <w:t xml:space="preserve"> and Perplexity AI only for minor language editing, such as restructuring sentences and correcting grammar. No part of the research design, data analysis, interpretation, results, conclusions, or original intellectual contributions were generated by these tools. All scholarly content, ideas, and findings presented in this article are solely </w:t>
      </w:r>
      <w:r w:rsidR="00031B57">
        <w:rPr>
          <w:b w:val="0"/>
          <w:caps w:val="0"/>
          <w:sz w:val="20"/>
          <w:highlight w:val="yellow"/>
        </w:rPr>
        <w:t>the author’</w:t>
      </w:r>
      <w:r w:rsidR="005734C8">
        <w:rPr>
          <w:b w:val="0"/>
          <w:caps w:val="0"/>
          <w:sz w:val="20"/>
          <w:highlight w:val="yellow"/>
        </w:rPr>
        <w:t>s</w:t>
      </w:r>
      <w:r w:rsidRPr="00E34255">
        <w:rPr>
          <w:b w:val="0"/>
          <w:caps w:val="0"/>
          <w:sz w:val="20"/>
          <w:highlight w:val="yellow"/>
        </w:rPr>
        <w:t xml:space="preserve"> own.</w:t>
      </w:r>
    </w:p>
    <w:p w14:paraId="15C283D2" w14:textId="77777777" w:rsidR="00E34255" w:rsidRDefault="00E34255">
      <w:pPr>
        <w:pStyle w:val="ReferHead"/>
        <w:spacing w:after="0"/>
        <w:jc w:val="both"/>
        <w:rPr>
          <w:rFonts w:ascii="Arial" w:hAnsi="Arial" w:cs="Arial"/>
        </w:rPr>
      </w:pPr>
    </w:p>
    <w:p w14:paraId="6B0B2F21" w14:textId="77777777" w:rsidR="005134AC" w:rsidRDefault="009A4237">
      <w:pPr>
        <w:pStyle w:val="ReferHead"/>
        <w:spacing w:after="0"/>
        <w:jc w:val="both"/>
        <w:rPr>
          <w:rFonts w:ascii="Arial" w:hAnsi="Arial" w:cs="Arial"/>
        </w:rPr>
      </w:pPr>
      <w:r>
        <w:rPr>
          <w:rFonts w:ascii="Arial" w:hAnsi="Arial" w:cs="Arial"/>
        </w:rPr>
        <w:t>References</w:t>
      </w:r>
    </w:p>
    <w:p w14:paraId="6B0B2F22" w14:textId="77777777" w:rsidR="005134AC" w:rsidRDefault="005134AC">
      <w:pPr>
        <w:pStyle w:val="ReferHead"/>
        <w:spacing w:after="0"/>
        <w:jc w:val="both"/>
        <w:rPr>
          <w:rFonts w:ascii="Arial" w:hAnsi="Arial" w:cs="Arial"/>
        </w:rPr>
      </w:pPr>
    </w:p>
    <w:p w14:paraId="6B0B2F23" w14:textId="77777777" w:rsidR="005134AC" w:rsidRPr="00B8108F" w:rsidRDefault="009A4237">
      <w:pPr>
        <w:pStyle w:val="Body"/>
        <w:jc w:val="left"/>
        <w:rPr>
          <w:rFonts w:ascii="Arial" w:hAnsi="Arial" w:cs="Arial"/>
        </w:rPr>
      </w:pPr>
      <w:r w:rsidRPr="00B8108F">
        <w:rPr>
          <w:rFonts w:ascii="Arial" w:hAnsi="Arial" w:cs="Arial"/>
        </w:rPr>
        <w:t xml:space="preserve">1. </w:t>
      </w:r>
      <w:proofErr w:type="spellStart"/>
      <w:r w:rsidRPr="00B8108F">
        <w:rPr>
          <w:rFonts w:ascii="Arial" w:hAnsi="Arial" w:cs="Arial"/>
        </w:rPr>
        <w:t>Renjith</w:t>
      </w:r>
      <w:proofErr w:type="spellEnd"/>
      <w:r w:rsidRPr="00B8108F">
        <w:rPr>
          <w:rFonts w:ascii="Arial" w:hAnsi="Arial" w:cs="Arial"/>
        </w:rPr>
        <w:t xml:space="preserve">, P. S., &amp; Joseph, A. (2024). Kerala's debt position: A prolonged subject of discussion. GIFT. Retrieved from </w:t>
      </w:r>
      <w:hyperlink r:id="rId17" w:history="1">
        <w:r w:rsidR="005134AC" w:rsidRPr="00B8108F">
          <w:rPr>
            <w:rStyle w:val="Hyperlink"/>
            <w:rFonts w:ascii="Arial" w:hAnsi="Arial" w:cs="Arial"/>
          </w:rPr>
          <w:t>https://www.gift.res.in/wp-content/uploads/2024/06/Keralas_debt_position__P_S_Renjith___Abin_Joseph1.pdf</w:t>
        </w:r>
      </w:hyperlink>
    </w:p>
    <w:p w14:paraId="6B0B2F24" w14:textId="77777777" w:rsidR="005134AC" w:rsidRPr="00B8108F" w:rsidRDefault="009A4237">
      <w:pPr>
        <w:pStyle w:val="Body"/>
        <w:jc w:val="left"/>
        <w:rPr>
          <w:rStyle w:val="Hyperlink"/>
          <w:rFonts w:ascii="Arial" w:hAnsi="Arial" w:cs="Arial"/>
        </w:rPr>
      </w:pPr>
      <w:r w:rsidRPr="00B8108F">
        <w:rPr>
          <w:rFonts w:ascii="Arial" w:hAnsi="Arial" w:cs="Arial"/>
        </w:rPr>
        <w:t xml:space="preserve">2. Kurian, V. M., &amp; </w:t>
      </w:r>
      <w:proofErr w:type="spellStart"/>
      <w:r w:rsidRPr="00B8108F">
        <w:rPr>
          <w:rFonts w:ascii="Arial" w:hAnsi="Arial" w:cs="Arial"/>
        </w:rPr>
        <w:t>Muraleedharan</w:t>
      </w:r>
      <w:proofErr w:type="spellEnd"/>
      <w:r w:rsidRPr="00B8108F">
        <w:rPr>
          <w:rFonts w:ascii="Arial" w:hAnsi="Arial" w:cs="Arial"/>
        </w:rPr>
        <w:t>, S. (2024). Fiscal sustainability in Kerala: The trend in the recent decades. Kerala Economy, 5(1), 4–21. Retrieved from </w:t>
      </w:r>
      <w:hyperlink r:id="rId18" w:tgtFrame="_blank" w:history="1">
        <w:r w:rsidR="005134AC" w:rsidRPr="00B8108F">
          <w:rPr>
            <w:rStyle w:val="Hyperlink"/>
            <w:rFonts w:ascii="Arial" w:hAnsi="Arial" w:cs="Arial"/>
          </w:rPr>
          <w:t>https://www.gift.res.in/wp-content/uploads/2024/06/Fiscal_sustainability_in_Kerala__V_Mathew_Kurian___S_Muraleedharan4.pdf</w:t>
        </w:r>
      </w:hyperlink>
    </w:p>
    <w:p w14:paraId="6B0B2F25" w14:textId="503857EB" w:rsidR="005134AC" w:rsidRPr="00B8108F" w:rsidRDefault="00977A4C">
      <w:pPr>
        <w:pStyle w:val="Body"/>
        <w:jc w:val="left"/>
        <w:rPr>
          <w:rStyle w:val="Hyperlink"/>
          <w:rFonts w:ascii="Arial" w:hAnsi="Arial"/>
        </w:rPr>
      </w:pPr>
      <w:r w:rsidRPr="00B8108F">
        <w:rPr>
          <w:rStyle w:val="Hyperlink"/>
          <w:rFonts w:ascii="Arial" w:hAnsi="Arial"/>
          <w:color w:val="auto"/>
          <w:u w:val="none"/>
        </w:rPr>
        <w:lastRenderedPageBreak/>
        <w:t xml:space="preserve">3. Bal, D. P., </w:t>
      </w:r>
      <w:proofErr w:type="spellStart"/>
      <w:r w:rsidRPr="00B8108F">
        <w:rPr>
          <w:rStyle w:val="Hyperlink"/>
          <w:rFonts w:ascii="Arial" w:hAnsi="Arial"/>
          <w:color w:val="auto"/>
          <w:u w:val="none"/>
        </w:rPr>
        <w:t>Sucharita</w:t>
      </w:r>
      <w:proofErr w:type="spellEnd"/>
      <w:r w:rsidRPr="00B8108F">
        <w:rPr>
          <w:rStyle w:val="Hyperlink"/>
          <w:rFonts w:ascii="Arial" w:hAnsi="Arial"/>
          <w:color w:val="auto"/>
          <w:u w:val="none"/>
        </w:rPr>
        <w:t xml:space="preserve">, S., </w:t>
      </w:r>
      <w:proofErr w:type="spellStart"/>
      <w:r w:rsidRPr="00B8108F">
        <w:rPr>
          <w:rStyle w:val="Hyperlink"/>
          <w:rFonts w:ascii="Arial" w:hAnsi="Arial"/>
          <w:color w:val="auto"/>
          <w:u w:val="none"/>
        </w:rPr>
        <w:t>Sethi</w:t>
      </w:r>
      <w:proofErr w:type="spellEnd"/>
      <w:r w:rsidRPr="00B8108F">
        <w:rPr>
          <w:rStyle w:val="Hyperlink"/>
          <w:rFonts w:ascii="Arial" w:hAnsi="Arial"/>
          <w:color w:val="auto"/>
          <w:u w:val="none"/>
        </w:rPr>
        <w:t xml:space="preserve">, N., &amp; Mohanty, S. (2025). Is public debt sustainable in Indian states? An empirical insight. Journal of the Knowledge Economy, 16(2), 8358–8373. </w:t>
      </w:r>
      <w:hyperlink r:id="rId19" w:history="1">
        <w:r w:rsidR="005134AC" w:rsidRPr="00B8108F">
          <w:rPr>
            <w:rStyle w:val="Hyperlink"/>
            <w:rFonts w:ascii="Arial" w:hAnsi="Arial"/>
          </w:rPr>
          <w:t>https://doi.org/10.1007/s13132-024-02221-3</w:t>
        </w:r>
      </w:hyperlink>
    </w:p>
    <w:p w14:paraId="6B0B2F26" w14:textId="1BB5306A" w:rsidR="005134AC" w:rsidRPr="00B8108F" w:rsidRDefault="00977A4C">
      <w:pPr>
        <w:pStyle w:val="Body"/>
        <w:jc w:val="left"/>
        <w:rPr>
          <w:rStyle w:val="Hyperlink"/>
          <w:rFonts w:ascii="Arial" w:hAnsi="Arial"/>
          <w:color w:val="auto"/>
          <w:u w:val="none"/>
        </w:rPr>
      </w:pPr>
      <w:r w:rsidRPr="00B8108F">
        <w:rPr>
          <w:rStyle w:val="Hyperlink"/>
          <w:rFonts w:ascii="Arial" w:hAnsi="Arial"/>
          <w:color w:val="auto"/>
          <w:u w:val="none"/>
        </w:rPr>
        <w:t xml:space="preserve">4. </w:t>
      </w:r>
      <w:proofErr w:type="spellStart"/>
      <w:r w:rsidRPr="00B8108F">
        <w:rPr>
          <w:rStyle w:val="Hyperlink"/>
          <w:rFonts w:ascii="Arial" w:hAnsi="Arial"/>
          <w:color w:val="auto"/>
          <w:u w:val="none"/>
        </w:rPr>
        <w:t>Renjith</w:t>
      </w:r>
      <w:proofErr w:type="spellEnd"/>
      <w:r w:rsidRPr="00B8108F">
        <w:rPr>
          <w:rStyle w:val="Hyperlink"/>
          <w:rFonts w:ascii="Arial" w:hAnsi="Arial"/>
          <w:color w:val="auto"/>
          <w:u w:val="none"/>
        </w:rPr>
        <w:t xml:space="preserve">, P. S., &amp; Antony, S. (2025). Sustainability and growth implications of sub-national fiscal choices in India: A case of Kerala. In S. Rajagopal &amp; M. Singh (Eds.), India's public finance and policy challenges in the 2020s (pp. 65–82). Singapore: Springer Nature Singapore. </w:t>
      </w:r>
      <w:hyperlink r:id="rId20" w:history="1">
        <w:r w:rsidR="005134AC" w:rsidRPr="00B8108F">
          <w:rPr>
            <w:rStyle w:val="Hyperlink"/>
            <w:rFonts w:ascii="Arial" w:hAnsi="Arial"/>
          </w:rPr>
          <w:t>https://www.researchgate.net/publication/382464815_Is_Public_Debt_Sustainable_in_Indian_States_An_Empirical_Insight</w:t>
        </w:r>
      </w:hyperlink>
      <w:r w:rsidRPr="00B8108F">
        <w:rPr>
          <w:rStyle w:val="Hyperlink"/>
          <w:rFonts w:ascii="Arial" w:hAnsi="Arial"/>
          <w:color w:val="auto"/>
          <w:u w:val="none"/>
        </w:rPr>
        <w:t xml:space="preserve"> </w:t>
      </w:r>
    </w:p>
    <w:p w14:paraId="6B0B2F27" w14:textId="09C41672" w:rsidR="005134AC" w:rsidRPr="00B8108F" w:rsidRDefault="00977A4C">
      <w:pPr>
        <w:pStyle w:val="Body"/>
        <w:jc w:val="left"/>
        <w:rPr>
          <w:rFonts w:ascii="Arial" w:hAnsi="Arial" w:cs="Arial"/>
        </w:rPr>
      </w:pPr>
      <w:r w:rsidRPr="00B8108F">
        <w:rPr>
          <w:rFonts w:ascii="Arial" w:hAnsi="Arial" w:cs="Arial"/>
        </w:rPr>
        <w:t xml:space="preserve">5. Nair, S. R., &amp; </w:t>
      </w:r>
      <w:proofErr w:type="spellStart"/>
      <w:r w:rsidRPr="00B8108F">
        <w:rPr>
          <w:rFonts w:ascii="Arial" w:hAnsi="Arial" w:cs="Arial"/>
        </w:rPr>
        <w:t>Sensarma</w:t>
      </w:r>
      <w:proofErr w:type="spellEnd"/>
      <w:r w:rsidRPr="00B8108F">
        <w:rPr>
          <w:rFonts w:ascii="Arial" w:hAnsi="Arial" w:cs="Arial"/>
        </w:rPr>
        <w:t xml:space="preserve">, R. (2017). </w:t>
      </w:r>
      <w:r w:rsidRPr="00B8108F">
        <w:rPr>
          <w:rFonts w:ascii="Arial" w:hAnsi="Arial" w:cs="Arial"/>
          <w:i/>
          <w:iCs/>
        </w:rPr>
        <w:t>State finances of Kerala: Performance, challenges and the way ahead</w:t>
      </w:r>
      <w:r w:rsidRPr="00B8108F">
        <w:rPr>
          <w:rFonts w:ascii="Arial" w:hAnsi="Arial" w:cs="Arial"/>
        </w:rPr>
        <w:t xml:space="preserve"> (Report). Indian Institute of Management Kozhikode; NITI Aayog. </w:t>
      </w:r>
      <w:hyperlink r:id="rId21" w:tgtFrame="_new" w:history="1">
        <w:r w:rsidR="005134AC" w:rsidRPr="00B8108F">
          <w:rPr>
            <w:rStyle w:val="Hyperlink"/>
            <w:rFonts w:ascii="Arial" w:hAnsi="Arial" w:cs="Arial"/>
          </w:rPr>
          <w:t>https://www.niti.gov.in/sites/default/files/2019-01/Report%20on%20State%20Finance%20on%20Kerala.pdf</w:t>
        </w:r>
      </w:hyperlink>
    </w:p>
    <w:p w14:paraId="6B0B2F28" w14:textId="39377243" w:rsidR="005134AC" w:rsidRPr="00B8108F" w:rsidRDefault="00977A4C">
      <w:pPr>
        <w:pStyle w:val="Body"/>
        <w:jc w:val="left"/>
        <w:rPr>
          <w:rFonts w:ascii="Arial" w:hAnsi="Arial" w:cs="Arial"/>
        </w:rPr>
      </w:pPr>
      <w:r w:rsidRPr="00B8108F">
        <w:rPr>
          <w:rFonts w:ascii="Arial" w:hAnsi="Arial" w:cs="Arial"/>
        </w:rPr>
        <w:t xml:space="preserve">6. Government of Kerala. (2023). </w:t>
      </w:r>
      <w:r w:rsidRPr="00B8108F">
        <w:rPr>
          <w:rFonts w:ascii="Arial" w:hAnsi="Arial" w:cs="Arial"/>
          <w:i/>
          <w:iCs/>
        </w:rPr>
        <w:t>Economic Review 2023</w:t>
      </w:r>
      <w:r w:rsidRPr="00B8108F">
        <w:rPr>
          <w:rFonts w:ascii="Arial" w:hAnsi="Arial" w:cs="Arial"/>
        </w:rPr>
        <w:t xml:space="preserve">. State Planning Board, Thiruvananthapuram. </w:t>
      </w:r>
      <w:hyperlink r:id="rId22" w:history="1">
        <w:r w:rsidR="005134AC" w:rsidRPr="00B8108F">
          <w:rPr>
            <w:rStyle w:val="Hyperlink"/>
            <w:rFonts w:ascii="Arial" w:hAnsi="Arial" w:cs="Arial"/>
          </w:rPr>
          <w:t>https://spb.kerala.gov.in/economic-review</w:t>
        </w:r>
      </w:hyperlink>
    </w:p>
    <w:p w14:paraId="6B0B2F29" w14:textId="61A3268E" w:rsidR="005134AC" w:rsidRPr="00B8108F" w:rsidRDefault="00E838B6">
      <w:pPr>
        <w:pStyle w:val="Body"/>
        <w:jc w:val="left"/>
        <w:rPr>
          <w:rFonts w:ascii="Arial" w:hAnsi="Arial" w:cs="Arial"/>
        </w:rPr>
      </w:pPr>
      <w:r w:rsidRPr="00B8108F">
        <w:rPr>
          <w:rFonts w:ascii="Arial" w:hAnsi="Arial" w:cs="Arial"/>
        </w:rPr>
        <w:t xml:space="preserve">7. Gulati Institute of Finance &amp; Taxation (GIFT) report: </w:t>
      </w:r>
      <w:r w:rsidRPr="00B8108F">
        <w:rPr>
          <w:rFonts w:ascii="Arial" w:hAnsi="Arial" w:cs="Arial"/>
          <w:i/>
          <w:iCs/>
        </w:rPr>
        <w:t xml:space="preserve">“THE STATE OF KERALA STATE FINANCES” (2025 draft). </w:t>
      </w:r>
      <w:hyperlink r:id="rId23" w:history="1">
        <w:r w:rsidR="005134AC" w:rsidRPr="00B8108F">
          <w:rPr>
            <w:rStyle w:val="Hyperlink"/>
            <w:rFonts w:ascii="Arial" w:hAnsi="Arial" w:cs="Arial"/>
            <w:i/>
            <w:iCs/>
          </w:rPr>
          <w:t>https://www.gift.res.in/wp-content/uploads/2025/07/Draft-Report-on-state-of-Kerala-state-finances.pdf?utm_source=chatgpt.com</w:t>
        </w:r>
      </w:hyperlink>
      <w:r w:rsidRPr="00B8108F">
        <w:rPr>
          <w:rFonts w:ascii="Arial" w:hAnsi="Arial" w:cs="Arial"/>
          <w:i/>
          <w:iCs/>
        </w:rPr>
        <w:t xml:space="preserve"> </w:t>
      </w:r>
    </w:p>
    <w:p w14:paraId="6B0B2F2A" w14:textId="7DEBF621" w:rsidR="005134AC" w:rsidRPr="00B8108F" w:rsidRDefault="00E838B6">
      <w:pPr>
        <w:pStyle w:val="Body"/>
        <w:jc w:val="left"/>
      </w:pPr>
      <w:r w:rsidRPr="00B8108F">
        <w:rPr>
          <w:rFonts w:ascii="Arial" w:hAnsi="Arial" w:cs="Arial"/>
        </w:rPr>
        <w:t xml:space="preserve">8. Joseph, K. J., &amp; Kumar, A. S. (2024). </w:t>
      </w:r>
      <w:r w:rsidRPr="00B8108F">
        <w:rPr>
          <w:rFonts w:ascii="Arial" w:hAnsi="Arial" w:cs="Arial"/>
          <w:i/>
          <w:iCs/>
        </w:rPr>
        <w:t>Debt and development: Beyond casual observation and common-sense</w:t>
      </w:r>
      <w:r w:rsidRPr="00B8108F">
        <w:rPr>
          <w:rFonts w:ascii="Arial" w:hAnsi="Arial" w:cs="Arial"/>
        </w:rPr>
        <w:t xml:space="preserve">. Gulati Institute of Finance &amp; Taxation. </w:t>
      </w:r>
      <w:hyperlink r:id="rId24" w:tgtFrame="_new" w:history="1">
        <w:r w:rsidR="005134AC" w:rsidRPr="00B8108F">
          <w:rPr>
            <w:rStyle w:val="Hyperlink"/>
            <w:rFonts w:ascii="Arial" w:hAnsi="Arial" w:cs="Arial"/>
          </w:rPr>
          <w:t>https://www.gift.res.in/wp-content/uploads/2024/06/Debt_and_development-Beyond_casual_observation_and_commonsense_K_J_Joseph_Anoop_S_Kumar.pdf</w:t>
        </w:r>
      </w:hyperlink>
    </w:p>
    <w:p w14:paraId="1B5BC7D4" w14:textId="5A84FB77" w:rsidR="00ED5BAE" w:rsidRPr="00B8108F" w:rsidRDefault="004F7E94">
      <w:pPr>
        <w:pStyle w:val="Body"/>
        <w:jc w:val="left"/>
        <w:rPr>
          <w:rFonts w:ascii="Arial" w:hAnsi="Arial" w:cs="Arial"/>
        </w:rPr>
      </w:pPr>
      <w:r w:rsidRPr="00B8108F">
        <w:rPr>
          <w:bCs/>
          <w:lang w:val="en-GB"/>
        </w:rPr>
        <w:t xml:space="preserve">9. </w:t>
      </w:r>
      <w:proofErr w:type="spellStart"/>
      <w:r w:rsidR="00ED5BAE" w:rsidRPr="00B8108F">
        <w:rPr>
          <w:bCs/>
          <w:lang w:val="en-GB"/>
        </w:rPr>
        <w:t>Renjith</w:t>
      </w:r>
      <w:proofErr w:type="spellEnd"/>
      <w:r w:rsidR="00ED5BAE" w:rsidRPr="00B8108F">
        <w:rPr>
          <w:bCs/>
          <w:lang w:val="en-GB"/>
        </w:rPr>
        <w:t xml:space="preserve">, P. S., &amp; Antony, S. (2025). Sustainability and Growth Implications of Sub-National Fiscal Choices in India: A Case of Kerala. </w:t>
      </w:r>
      <w:hyperlink r:id="rId25" w:history="1">
        <w:r w:rsidR="00ED5BAE" w:rsidRPr="00B8108F">
          <w:rPr>
            <w:rStyle w:val="Hyperlink"/>
            <w:bCs/>
          </w:rPr>
          <w:t>https://www.researchgate.net/publication/392430644_Sustainability_and_Growth_Implications_of_Sub-National_Fiscal_Choices_in_India_A_Case_of_Kerala</w:t>
        </w:r>
      </w:hyperlink>
    </w:p>
    <w:p w14:paraId="6B0B2F2B" w14:textId="68534784" w:rsidR="005134AC" w:rsidRPr="00B8108F" w:rsidRDefault="004F7E94">
      <w:pPr>
        <w:pStyle w:val="Body"/>
        <w:jc w:val="left"/>
        <w:rPr>
          <w:rFonts w:ascii="Arial" w:hAnsi="Arial" w:cs="Arial"/>
        </w:rPr>
      </w:pPr>
      <w:r w:rsidRPr="00B8108F">
        <w:rPr>
          <w:rFonts w:ascii="Arial" w:hAnsi="Arial" w:cs="Arial"/>
        </w:rPr>
        <w:t>10</w:t>
      </w:r>
      <w:r w:rsidR="00E838B6" w:rsidRPr="00B8108F">
        <w:rPr>
          <w:rFonts w:ascii="Arial" w:hAnsi="Arial" w:cs="Arial"/>
        </w:rPr>
        <w:t xml:space="preserve">. </w:t>
      </w:r>
      <w:proofErr w:type="spellStart"/>
      <w:r w:rsidR="00E838B6" w:rsidRPr="00B8108F">
        <w:rPr>
          <w:rFonts w:ascii="Arial" w:hAnsi="Arial" w:cs="Arial"/>
        </w:rPr>
        <w:t>Domar</w:t>
      </w:r>
      <w:proofErr w:type="spellEnd"/>
      <w:r w:rsidR="00E838B6" w:rsidRPr="00B8108F">
        <w:rPr>
          <w:rFonts w:ascii="Arial" w:hAnsi="Arial" w:cs="Arial"/>
        </w:rPr>
        <w:t xml:space="preserve">, E. D. (1944). </w:t>
      </w:r>
      <w:r w:rsidR="00E838B6" w:rsidRPr="00B8108F">
        <w:rPr>
          <w:rFonts w:ascii="Arial" w:hAnsi="Arial" w:cs="Arial"/>
          <w:i/>
          <w:iCs/>
        </w:rPr>
        <w:t>The burden of the debt and the national income.</w:t>
      </w:r>
      <w:r w:rsidR="00E838B6" w:rsidRPr="00B8108F">
        <w:rPr>
          <w:rFonts w:ascii="Arial" w:hAnsi="Arial" w:cs="Arial"/>
        </w:rPr>
        <w:t xml:space="preserve"> </w:t>
      </w:r>
      <w:r w:rsidR="00E838B6" w:rsidRPr="00B8108F">
        <w:rPr>
          <w:rFonts w:ascii="Arial" w:hAnsi="Arial" w:cs="Arial"/>
          <w:i/>
          <w:iCs/>
        </w:rPr>
        <w:t>American Economic Review, 34</w:t>
      </w:r>
      <w:r w:rsidR="00E838B6" w:rsidRPr="00B8108F">
        <w:rPr>
          <w:rFonts w:ascii="Arial" w:hAnsi="Arial" w:cs="Arial"/>
        </w:rPr>
        <w:t xml:space="preserve">(4), 798–827. Retrieved from </w:t>
      </w:r>
      <w:hyperlink r:id="rId26" w:history="1">
        <w:r w:rsidR="005134AC" w:rsidRPr="00B8108F">
          <w:rPr>
            <w:rStyle w:val="Hyperlink"/>
            <w:rFonts w:ascii="Arial" w:hAnsi="Arial" w:cs="Arial"/>
          </w:rPr>
          <w:t>https://tmypfunam.files.wordpress.com</w:t>
        </w:r>
      </w:hyperlink>
    </w:p>
    <w:p w14:paraId="6B0B2F2C" w14:textId="098F088F" w:rsidR="005134AC" w:rsidRPr="00B8108F" w:rsidRDefault="00E838B6">
      <w:pPr>
        <w:pStyle w:val="Body"/>
        <w:spacing w:after="0"/>
        <w:jc w:val="left"/>
        <w:rPr>
          <w:rFonts w:ascii="Arial" w:hAnsi="Arial" w:cs="Arial"/>
        </w:rPr>
      </w:pPr>
      <w:r w:rsidRPr="00B8108F">
        <w:rPr>
          <w:rFonts w:ascii="Arial" w:hAnsi="Arial" w:cs="Arial"/>
        </w:rPr>
        <w:t>1</w:t>
      </w:r>
      <w:r w:rsidR="005734C8" w:rsidRPr="00B8108F">
        <w:rPr>
          <w:rFonts w:ascii="Arial" w:hAnsi="Arial" w:cs="Arial"/>
        </w:rPr>
        <w:t>1</w:t>
      </w:r>
      <w:r w:rsidRPr="00B8108F">
        <w:rPr>
          <w:rFonts w:ascii="Arial" w:hAnsi="Arial" w:cs="Arial"/>
        </w:rPr>
        <w:t xml:space="preserve">. Yoshino, N., &amp; Miyamoto, H. (2020). </w:t>
      </w:r>
      <w:r w:rsidRPr="00B8108F">
        <w:rPr>
          <w:rFonts w:ascii="Arial" w:hAnsi="Arial" w:cs="Arial"/>
          <w:i/>
          <w:iCs/>
        </w:rPr>
        <w:t xml:space="preserve">Revisiting the public debt stability condition: Rethinking the </w:t>
      </w:r>
      <w:proofErr w:type="spellStart"/>
      <w:r w:rsidRPr="00B8108F">
        <w:rPr>
          <w:rFonts w:ascii="Arial" w:hAnsi="Arial" w:cs="Arial"/>
          <w:i/>
          <w:iCs/>
        </w:rPr>
        <w:t>Domar</w:t>
      </w:r>
      <w:proofErr w:type="spellEnd"/>
      <w:r w:rsidRPr="00B8108F">
        <w:rPr>
          <w:rFonts w:ascii="Arial" w:hAnsi="Arial" w:cs="Arial"/>
          <w:i/>
          <w:iCs/>
        </w:rPr>
        <w:t xml:space="preserve"> condition (ADBI Working Paper No. 1141).</w:t>
      </w:r>
      <w:r w:rsidRPr="00B8108F">
        <w:rPr>
          <w:rFonts w:ascii="Arial" w:hAnsi="Arial" w:cs="Arial"/>
        </w:rPr>
        <w:t xml:space="preserve"> Tokyo: Asian Development Bank Institute. Retrieved from </w:t>
      </w:r>
      <w:hyperlink r:id="rId27" w:history="1">
        <w:r w:rsidR="005134AC" w:rsidRPr="00B8108F">
          <w:rPr>
            <w:rStyle w:val="Hyperlink"/>
            <w:rFonts w:ascii="Arial" w:hAnsi="Arial" w:cs="Arial"/>
          </w:rPr>
          <w:t>https://www.adb.org/publications/revisiting-public-debt-stability-condition-rethinking-domar-condition</w:t>
        </w:r>
      </w:hyperlink>
      <w:r w:rsidRPr="00B8108F">
        <w:rPr>
          <w:rFonts w:ascii="Arial" w:hAnsi="Arial" w:cs="Arial"/>
        </w:rPr>
        <w:t xml:space="preserve"> </w:t>
      </w:r>
      <w:hyperlink r:id="rId28" w:history="1">
        <w:r w:rsidR="005134AC" w:rsidRPr="00B8108F">
          <w:rPr>
            <w:rStyle w:val="Hyperlink"/>
            <w:rFonts w:ascii="Arial" w:hAnsi="Arial" w:cs="Arial"/>
          </w:rPr>
          <w:t>Asian Development Bank</w:t>
        </w:r>
      </w:hyperlink>
    </w:p>
    <w:p w14:paraId="6B0B2F2D" w14:textId="77777777" w:rsidR="005134AC" w:rsidRPr="00B8108F" w:rsidRDefault="005134AC">
      <w:pPr>
        <w:pStyle w:val="Body"/>
        <w:spacing w:after="0"/>
        <w:jc w:val="left"/>
        <w:rPr>
          <w:rFonts w:ascii="Arial" w:hAnsi="Arial" w:cs="Arial"/>
        </w:rPr>
      </w:pPr>
    </w:p>
    <w:p w14:paraId="6B0B2F2F" w14:textId="1881D913" w:rsidR="005134AC" w:rsidRPr="00B8108F" w:rsidRDefault="00E838B6" w:rsidP="00561CE5">
      <w:pPr>
        <w:pStyle w:val="Body"/>
        <w:jc w:val="left"/>
        <w:rPr>
          <w:rFonts w:ascii="Arial" w:hAnsi="Arial" w:cs="Arial"/>
        </w:rPr>
      </w:pPr>
      <w:r w:rsidRPr="00B8108F">
        <w:rPr>
          <w:rFonts w:ascii="Arial" w:hAnsi="Arial" w:cs="Arial"/>
          <w:highlight w:val="red"/>
        </w:rPr>
        <w:t>1</w:t>
      </w:r>
      <w:r w:rsidR="005734C8" w:rsidRPr="00B8108F">
        <w:rPr>
          <w:rFonts w:ascii="Arial" w:hAnsi="Arial" w:cs="Arial"/>
          <w:highlight w:val="red"/>
        </w:rPr>
        <w:t>2</w:t>
      </w:r>
      <w:r w:rsidRPr="00B8108F">
        <w:rPr>
          <w:rFonts w:ascii="Arial" w:hAnsi="Arial" w:cs="Arial"/>
          <w:highlight w:val="red"/>
        </w:rPr>
        <w:t xml:space="preserve">. </w:t>
      </w:r>
      <w:r w:rsidRPr="00197B95">
        <w:rPr>
          <w:rFonts w:ascii="Arial" w:hAnsi="Arial" w:cs="Arial"/>
          <w:highlight w:val="yellow"/>
        </w:rPr>
        <w:t xml:space="preserve">STCI Primary Dealer Ltd. (2021). </w:t>
      </w:r>
      <w:r w:rsidRPr="00197B95">
        <w:rPr>
          <w:rFonts w:ascii="Arial" w:hAnsi="Arial" w:cs="Arial"/>
          <w:i/>
          <w:iCs/>
          <w:highlight w:val="yellow"/>
        </w:rPr>
        <w:t xml:space="preserve">Demystifying </w:t>
      </w:r>
      <w:proofErr w:type="spellStart"/>
      <w:r w:rsidRPr="00197B95">
        <w:rPr>
          <w:rFonts w:ascii="Arial" w:hAnsi="Arial" w:cs="Arial"/>
          <w:i/>
          <w:iCs/>
          <w:highlight w:val="yellow"/>
        </w:rPr>
        <w:t>Domar</w:t>
      </w:r>
      <w:proofErr w:type="spellEnd"/>
      <w:r w:rsidRPr="00197B95">
        <w:rPr>
          <w:rFonts w:ascii="Arial" w:hAnsi="Arial" w:cs="Arial"/>
          <w:i/>
          <w:iCs/>
          <w:highlight w:val="yellow"/>
        </w:rPr>
        <w:t xml:space="preserve">: Understanding the </w:t>
      </w:r>
      <w:proofErr w:type="spellStart"/>
      <w:r w:rsidRPr="00197B95">
        <w:rPr>
          <w:rFonts w:ascii="Arial" w:hAnsi="Arial" w:cs="Arial"/>
          <w:i/>
          <w:iCs/>
          <w:highlight w:val="yellow"/>
        </w:rPr>
        <w:t>Domar</w:t>
      </w:r>
      <w:proofErr w:type="spellEnd"/>
      <w:r w:rsidRPr="00197B95">
        <w:rPr>
          <w:rFonts w:ascii="Arial" w:hAnsi="Arial" w:cs="Arial"/>
          <w:i/>
          <w:iCs/>
          <w:highlight w:val="yellow"/>
        </w:rPr>
        <w:t xml:space="preserve"> model and debt sustainability.</w:t>
      </w:r>
      <w:r w:rsidRPr="00197B95">
        <w:rPr>
          <w:rFonts w:ascii="Arial" w:hAnsi="Arial" w:cs="Arial"/>
          <w:highlight w:val="yellow"/>
        </w:rPr>
        <w:t xml:space="preserve"> Retrieved from </w:t>
      </w:r>
      <w:hyperlink r:id="rId29" w:history="1">
        <w:r w:rsidR="005134AC" w:rsidRPr="00197B95">
          <w:rPr>
            <w:rStyle w:val="Hyperlink"/>
            <w:rFonts w:ascii="Arial" w:hAnsi="Arial" w:cs="Arial"/>
            <w:highlight w:val="yellow"/>
          </w:rPr>
          <w:t>https://www.stcipd.com/UserFiles/File/Domar_Model.pdf</w:t>
        </w:r>
      </w:hyperlink>
    </w:p>
    <w:p w14:paraId="6B0B2F30" w14:textId="77777777" w:rsidR="005134AC" w:rsidRPr="00B8108F" w:rsidRDefault="005134AC">
      <w:pPr>
        <w:pStyle w:val="Body"/>
        <w:spacing w:after="0"/>
        <w:jc w:val="left"/>
        <w:rPr>
          <w:rFonts w:ascii="Arial" w:hAnsi="Arial" w:cs="Arial"/>
        </w:rPr>
      </w:pPr>
    </w:p>
    <w:p w14:paraId="6B0B2F31" w14:textId="44468EA8" w:rsidR="005134AC" w:rsidRPr="00864621" w:rsidRDefault="009A4237">
      <w:pPr>
        <w:pStyle w:val="Body"/>
        <w:jc w:val="left"/>
        <w:rPr>
          <w:rFonts w:ascii="Arial" w:hAnsi="Arial" w:cs="Arial"/>
          <w:highlight w:val="yellow"/>
        </w:rPr>
      </w:pPr>
      <w:r w:rsidRPr="00864621">
        <w:rPr>
          <w:rFonts w:ascii="Arial" w:hAnsi="Arial" w:cs="Arial"/>
          <w:highlight w:val="yellow"/>
        </w:rPr>
        <w:t>1</w:t>
      </w:r>
      <w:r w:rsidR="005734C8" w:rsidRPr="00864621">
        <w:rPr>
          <w:rFonts w:ascii="Arial" w:hAnsi="Arial" w:cs="Arial"/>
          <w:highlight w:val="yellow"/>
        </w:rPr>
        <w:t>3</w:t>
      </w:r>
      <w:r w:rsidRPr="00864621">
        <w:rPr>
          <w:rFonts w:ascii="Arial" w:hAnsi="Arial" w:cs="Arial"/>
          <w:highlight w:val="yellow"/>
        </w:rPr>
        <w:t xml:space="preserve">. PRS Legislative Research. (2023). </w:t>
      </w:r>
      <w:r w:rsidRPr="00864621">
        <w:rPr>
          <w:rFonts w:ascii="Arial" w:hAnsi="Arial" w:cs="Arial"/>
          <w:i/>
          <w:iCs/>
          <w:highlight w:val="yellow"/>
        </w:rPr>
        <w:t>State of state finances 2022–23.</w:t>
      </w:r>
      <w:r w:rsidRPr="00864621">
        <w:rPr>
          <w:rFonts w:ascii="Arial" w:hAnsi="Arial" w:cs="Arial"/>
          <w:highlight w:val="yellow"/>
        </w:rPr>
        <w:t xml:space="preserve"> Retrieved from </w:t>
      </w:r>
      <w:hyperlink r:id="rId30" w:history="1">
        <w:r w:rsidR="005134AC" w:rsidRPr="00864621">
          <w:rPr>
            <w:rStyle w:val="Hyperlink"/>
            <w:rFonts w:ascii="Arial" w:hAnsi="Arial" w:cs="Arial"/>
            <w:highlight w:val="yellow"/>
          </w:rPr>
          <w:t>https://prsindia.org</w:t>
        </w:r>
      </w:hyperlink>
      <w:r w:rsidRPr="00864621">
        <w:rPr>
          <w:rFonts w:ascii="Arial" w:hAnsi="Arial" w:cs="Arial"/>
          <w:highlight w:val="yellow"/>
        </w:rPr>
        <w:t xml:space="preserve"> </w:t>
      </w:r>
    </w:p>
    <w:p w14:paraId="6B0B2F32" w14:textId="3F82DB2D" w:rsidR="005134AC" w:rsidRPr="00864621" w:rsidRDefault="009A4237">
      <w:pPr>
        <w:pStyle w:val="Body"/>
        <w:jc w:val="left"/>
        <w:rPr>
          <w:rFonts w:ascii="Arial" w:hAnsi="Arial" w:cs="Arial"/>
          <w:highlight w:val="yellow"/>
        </w:rPr>
      </w:pPr>
      <w:r w:rsidRPr="00864621">
        <w:rPr>
          <w:rFonts w:ascii="Arial" w:hAnsi="Arial" w:cs="Arial"/>
          <w:highlight w:val="yellow"/>
        </w:rPr>
        <w:t>1</w:t>
      </w:r>
      <w:r w:rsidR="005734C8" w:rsidRPr="00864621">
        <w:rPr>
          <w:rFonts w:ascii="Arial" w:hAnsi="Arial" w:cs="Arial"/>
          <w:highlight w:val="yellow"/>
        </w:rPr>
        <w:t>4</w:t>
      </w:r>
      <w:r w:rsidRPr="00864621">
        <w:rPr>
          <w:rFonts w:ascii="Arial" w:hAnsi="Arial" w:cs="Arial"/>
          <w:highlight w:val="yellow"/>
        </w:rPr>
        <w:t xml:space="preserve">. Reserve Bank of India. (2023). </w:t>
      </w:r>
      <w:r w:rsidRPr="00864621">
        <w:rPr>
          <w:rFonts w:ascii="Arial" w:hAnsi="Arial" w:cs="Arial"/>
          <w:i/>
          <w:iCs/>
          <w:highlight w:val="yellow"/>
        </w:rPr>
        <w:t>Handbook of statistics on Indian states</w:t>
      </w:r>
      <w:r w:rsidRPr="00864621">
        <w:rPr>
          <w:rFonts w:ascii="Arial" w:hAnsi="Arial" w:cs="Arial"/>
          <w:highlight w:val="yellow"/>
        </w:rPr>
        <w:t xml:space="preserve"> and </w:t>
      </w:r>
      <w:r w:rsidRPr="00864621">
        <w:rPr>
          <w:rFonts w:ascii="Arial" w:hAnsi="Arial" w:cs="Arial"/>
          <w:i/>
          <w:iCs/>
          <w:highlight w:val="yellow"/>
        </w:rPr>
        <w:t>State finances: A study of budgets.</w:t>
      </w:r>
      <w:r w:rsidRPr="00864621">
        <w:rPr>
          <w:rFonts w:ascii="Arial" w:hAnsi="Arial" w:cs="Arial"/>
          <w:highlight w:val="yellow"/>
        </w:rPr>
        <w:t xml:space="preserve"> Retrieved from </w:t>
      </w:r>
      <w:hyperlink r:id="rId31" w:history="1">
        <w:r w:rsidR="007C172D" w:rsidRPr="00864621">
          <w:rPr>
            <w:rStyle w:val="Hyperlink"/>
            <w:highlight w:val="yellow"/>
          </w:rPr>
          <w:t>https://rbi.org.in/Scripts/AnnualPublications.aspx?head=State%20Finances%20:%20A%20Study%20of%20Budg</w:t>
        </w:r>
        <w:bookmarkStart w:id="2" w:name="_GoBack"/>
        <w:bookmarkEnd w:id="2"/>
        <w:r w:rsidR="007C172D" w:rsidRPr="00864621">
          <w:rPr>
            <w:rStyle w:val="Hyperlink"/>
            <w:highlight w:val="yellow"/>
          </w:rPr>
          <w:t>ets</w:t>
        </w:r>
      </w:hyperlink>
      <w:r w:rsidR="007C172D" w:rsidRPr="00864621">
        <w:rPr>
          <w:highlight w:val="yellow"/>
        </w:rPr>
        <w:t xml:space="preserve"> </w:t>
      </w:r>
    </w:p>
    <w:p w14:paraId="6B0B2F33" w14:textId="3A31B6F6" w:rsidR="005134AC" w:rsidRPr="00864621" w:rsidRDefault="009A4237">
      <w:pPr>
        <w:pStyle w:val="Body"/>
        <w:jc w:val="left"/>
        <w:rPr>
          <w:rFonts w:ascii="Arial" w:hAnsi="Arial" w:cs="Arial"/>
          <w:highlight w:val="yellow"/>
        </w:rPr>
      </w:pPr>
      <w:r w:rsidRPr="00864621">
        <w:rPr>
          <w:rFonts w:ascii="Arial" w:hAnsi="Arial" w:cs="Arial"/>
          <w:highlight w:val="yellow"/>
        </w:rPr>
        <w:lastRenderedPageBreak/>
        <w:t>1</w:t>
      </w:r>
      <w:r w:rsidR="005734C8" w:rsidRPr="00864621">
        <w:rPr>
          <w:rFonts w:ascii="Arial" w:hAnsi="Arial" w:cs="Arial"/>
          <w:highlight w:val="yellow"/>
        </w:rPr>
        <w:t>5</w:t>
      </w:r>
      <w:r w:rsidRPr="00864621">
        <w:rPr>
          <w:rFonts w:ascii="Arial" w:hAnsi="Arial" w:cs="Arial"/>
          <w:highlight w:val="yellow"/>
        </w:rPr>
        <w:t xml:space="preserve">. Comptroller and Auditor General of India. (2023). </w:t>
      </w:r>
      <w:r w:rsidRPr="00864621">
        <w:rPr>
          <w:rFonts w:ascii="Arial" w:hAnsi="Arial" w:cs="Arial"/>
          <w:i/>
          <w:iCs/>
          <w:highlight w:val="yellow"/>
        </w:rPr>
        <w:t>State finances audit report: Government of Kerala.</w:t>
      </w:r>
      <w:r w:rsidRPr="00864621">
        <w:rPr>
          <w:rFonts w:ascii="Arial" w:hAnsi="Arial" w:cs="Arial"/>
          <w:highlight w:val="yellow"/>
        </w:rPr>
        <w:t xml:space="preserve"> Retrieved from </w:t>
      </w:r>
      <w:hyperlink r:id="rId32" w:history="1">
        <w:r w:rsidR="005134AC" w:rsidRPr="00864621">
          <w:rPr>
            <w:rStyle w:val="Hyperlink"/>
            <w:rFonts w:ascii="Arial" w:hAnsi="Arial" w:cs="Arial"/>
            <w:highlight w:val="yellow"/>
          </w:rPr>
          <w:t>https://cag.gov.in</w:t>
        </w:r>
      </w:hyperlink>
      <w:r w:rsidRPr="00864621">
        <w:rPr>
          <w:rFonts w:ascii="Arial" w:hAnsi="Arial" w:cs="Arial"/>
          <w:highlight w:val="yellow"/>
        </w:rPr>
        <w:t xml:space="preserve"> </w:t>
      </w:r>
    </w:p>
    <w:p w14:paraId="6B0B2F34" w14:textId="0A5293D6" w:rsidR="005134AC" w:rsidRDefault="009A4237">
      <w:pPr>
        <w:pStyle w:val="Body"/>
        <w:jc w:val="left"/>
        <w:rPr>
          <w:rFonts w:ascii="Arial" w:hAnsi="Arial" w:cs="Arial"/>
        </w:rPr>
      </w:pPr>
      <w:r w:rsidRPr="00864621">
        <w:rPr>
          <w:rFonts w:ascii="Arial" w:hAnsi="Arial" w:cs="Arial"/>
          <w:highlight w:val="yellow"/>
        </w:rPr>
        <w:t>1</w:t>
      </w:r>
      <w:r w:rsidR="005734C8" w:rsidRPr="00864621">
        <w:rPr>
          <w:rFonts w:ascii="Arial" w:hAnsi="Arial" w:cs="Arial"/>
          <w:highlight w:val="yellow"/>
        </w:rPr>
        <w:t>6</w:t>
      </w:r>
      <w:r w:rsidRPr="00864621">
        <w:rPr>
          <w:rFonts w:ascii="Arial" w:hAnsi="Arial" w:cs="Arial"/>
          <w:highlight w:val="yellow"/>
        </w:rPr>
        <w:t xml:space="preserve">. State Planning Board, Government of Kerala. (2023). </w:t>
      </w:r>
      <w:r w:rsidRPr="00864621">
        <w:rPr>
          <w:rFonts w:ascii="Arial" w:hAnsi="Arial" w:cs="Arial"/>
          <w:i/>
          <w:iCs/>
          <w:highlight w:val="yellow"/>
        </w:rPr>
        <w:t>Kerala Infrastructure Investment Fund Board (KIIFB): Background and operations.</w:t>
      </w:r>
      <w:r w:rsidRPr="00864621">
        <w:rPr>
          <w:rFonts w:ascii="Arial" w:hAnsi="Arial" w:cs="Arial"/>
          <w:highlight w:val="yellow"/>
        </w:rPr>
        <w:t xml:space="preserve"> Retrieved from </w:t>
      </w:r>
      <w:hyperlink r:id="rId33" w:history="1">
        <w:r w:rsidR="00306D0E" w:rsidRPr="00864621">
          <w:rPr>
            <w:rStyle w:val="Hyperlink"/>
            <w:highlight w:val="yellow"/>
          </w:rPr>
          <w:t>https://spb.kerala.gov.in/sites/default/files/2024-02/ER_English_Vol_1_2023.pdf</w:t>
        </w:r>
      </w:hyperlink>
      <w:r w:rsidR="00306D0E">
        <w:t xml:space="preserve"> </w:t>
      </w:r>
    </w:p>
    <w:sectPr w:rsidR="005134A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E258" w14:textId="77777777" w:rsidR="00DF5D6F" w:rsidRDefault="00DF5D6F">
      <w:r>
        <w:separator/>
      </w:r>
    </w:p>
  </w:endnote>
  <w:endnote w:type="continuationSeparator" w:id="0">
    <w:p w14:paraId="219DDF9B" w14:textId="77777777" w:rsidR="00DF5D6F" w:rsidRDefault="00DF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3B" w14:textId="77777777" w:rsidR="005134AC" w:rsidRDefault="0051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3C" w14:textId="77777777" w:rsidR="005134AC" w:rsidRDefault="009A423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44" w14:textId="77777777" w:rsidR="005134AC" w:rsidRDefault="0051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F908A" w14:textId="77777777" w:rsidR="00DF5D6F" w:rsidRDefault="00DF5D6F">
      <w:r>
        <w:separator/>
      </w:r>
    </w:p>
  </w:footnote>
  <w:footnote w:type="continuationSeparator" w:id="0">
    <w:p w14:paraId="2A00E2F3" w14:textId="77777777" w:rsidR="00DF5D6F" w:rsidRDefault="00DF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39" w14:textId="77777777" w:rsidR="005134AC" w:rsidRDefault="00DF5D6F">
    <w:pPr>
      <w:pStyle w:val="Header"/>
    </w:pPr>
    <w:r>
      <w:pict w14:anchorId="6B0B2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4" o:spid="_x0000_s2050" type="#_x0000_t136" style="position:absolute;margin-left:0;margin-top:0;width:519.9pt;height:58.65pt;rotation:315;z-index:-251658239;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3A" w14:textId="77777777" w:rsidR="005134AC" w:rsidRDefault="00DF5D6F">
    <w:pPr>
      <w:pStyle w:val="Header"/>
    </w:pPr>
    <w:r>
      <w:pict w14:anchorId="6B0B2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5" o:spid="_x0000_s2051" type="#_x0000_t136" style="position:absolute;margin-left:0;margin-top:0;width:519.9pt;height:58.65pt;rotation:315;z-index:-25165823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F3D" w14:textId="77777777" w:rsidR="005134AC" w:rsidRDefault="00DF5D6F">
    <w:pPr>
      <w:ind w:left="2160"/>
      <w:jc w:val="center"/>
      <w:rPr>
        <w:rFonts w:ascii="Times New Roman" w:eastAsia="Calibri" w:hAnsi="Times New Roman"/>
        <w:i/>
        <w:sz w:val="18"/>
        <w:szCs w:val="22"/>
      </w:rPr>
    </w:pPr>
    <w:r>
      <w:pict w14:anchorId="6B0B2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3" o:spid="_x0000_s2049" type="#_x0000_t136" style="position:absolute;left:0;text-align:left;margin-left:0;margin-top:0;width:519.9pt;height:58.65pt;rotation:315;z-index:-25165824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B0B2F3E" w14:textId="77777777" w:rsidR="005134AC" w:rsidRDefault="009A423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B0B2F3F" w14:textId="77777777" w:rsidR="005134AC" w:rsidRDefault="009A4237">
    <w:pPr>
      <w:jc w:val="center"/>
      <w:rPr>
        <w:rFonts w:ascii="Times New Roman" w:eastAsia="Calibri" w:hAnsi="Times New Roman"/>
        <w:i/>
        <w:sz w:val="18"/>
        <w:szCs w:val="22"/>
      </w:rPr>
    </w:pPr>
    <w:r>
      <w:rPr>
        <w:rFonts w:ascii="Times New Roman" w:eastAsia="Calibri" w:hAnsi="Times New Roman"/>
        <w:i/>
        <w:sz w:val="18"/>
        <w:szCs w:val="22"/>
      </w:rPr>
      <w:t>.</w:t>
    </w:r>
  </w:p>
  <w:p w14:paraId="6B0B2F40" w14:textId="77777777" w:rsidR="005134AC" w:rsidRDefault="009A423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B0B2F41" w14:textId="77777777" w:rsidR="005134AC" w:rsidRDefault="009A423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B0B2F42" w14:textId="77777777" w:rsidR="005134AC" w:rsidRDefault="009A423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0B2F43" w14:textId="77777777" w:rsidR="005134AC" w:rsidRDefault="009A423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ABF"/>
    <w:multiLevelType w:val="multilevel"/>
    <w:tmpl w:val="12586ABF"/>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3BA60FC1"/>
    <w:multiLevelType w:val="multilevel"/>
    <w:tmpl w:val="3BA60F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yNTIyt7Q0sDQwMTNR0lEKTi0uzszPAykwrAUANlGXFiwAAAA="/>
  </w:docVars>
  <w:rsids>
    <w:rsidRoot w:val="00172A27"/>
    <w:rsid w:val="00000F8F"/>
    <w:rsid w:val="00030174"/>
    <w:rsid w:val="00031B57"/>
    <w:rsid w:val="0004579C"/>
    <w:rsid w:val="00046F6D"/>
    <w:rsid w:val="0005666E"/>
    <w:rsid w:val="000631C2"/>
    <w:rsid w:val="00071B63"/>
    <w:rsid w:val="000A09AF"/>
    <w:rsid w:val="000A47FA"/>
    <w:rsid w:val="000A65D3"/>
    <w:rsid w:val="000B1E33"/>
    <w:rsid w:val="000D689F"/>
    <w:rsid w:val="000E046C"/>
    <w:rsid w:val="000E6E0C"/>
    <w:rsid w:val="000E7B7B"/>
    <w:rsid w:val="000E7D62"/>
    <w:rsid w:val="000F0EAB"/>
    <w:rsid w:val="00103357"/>
    <w:rsid w:val="001045F2"/>
    <w:rsid w:val="00123C9F"/>
    <w:rsid w:val="00124E53"/>
    <w:rsid w:val="00126190"/>
    <w:rsid w:val="00130F17"/>
    <w:rsid w:val="001320BF"/>
    <w:rsid w:val="001532A4"/>
    <w:rsid w:val="001563FD"/>
    <w:rsid w:val="00163BC4"/>
    <w:rsid w:val="00172A27"/>
    <w:rsid w:val="00181EC2"/>
    <w:rsid w:val="00184C01"/>
    <w:rsid w:val="00191062"/>
    <w:rsid w:val="00192B72"/>
    <w:rsid w:val="00197B95"/>
    <w:rsid w:val="001A2726"/>
    <w:rsid w:val="001A27CF"/>
    <w:rsid w:val="001A29D8"/>
    <w:rsid w:val="001A5CAA"/>
    <w:rsid w:val="001A666D"/>
    <w:rsid w:val="001B0427"/>
    <w:rsid w:val="001B123A"/>
    <w:rsid w:val="001B46A7"/>
    <w:rsid w:val="001B7F87"/>
    <w:rsid w:val="001D0348"/>
    <w:rsid w:val="001D3A51"/>
    <w:rsid w:val="001D4EBC"/>
    <w:rsid w:val="001D6BB3"/>
    <w:rsid w:val="001E10D2"/>
    <w:rsid w:val="001E25B4"/>
    <w:rsid w:val="001E44FE"/>
    <w:rsid w:val="00200595"/>
    <w:rsid w:val="00204835"/>
    <w:rsid w:val="00223B47"/>
    <w:rsid w:val="00231920"/>
    <w:rsid w:val="0023195C"/>
    <w:rsid w:val="0024282C"/>
    <w:rsid w:val="002460DC"/>
    <w:rsid w:val="00250985"/>
    <w:rsid w:val="002524F2"/>
    <w:rsid w:val="002556F6"/>
    <w:rsid w:val="002572F8"/>
    <w:rsid w:val="00272397"/>
    <w:rsid w:val="00272B38"/>
    <w:rsid w:val="00283105"/>
    <w:rsid w:val="00284C4C"/>
    <w:rsid w:val="00287E68"/>
    <w:rsid w:val="002951D9"/>
    <w:rsid w:val="00295FF4"/>
    <w:rsid w:val="00296529"/>
    <w:rsid w:val="002B27FB"/>
    <w:rsid w:val="002B685A"/>
    <w:rsid w:val="002C57D2"/>
    <w:rsid w:val="002E0D56"/>
    <w:rsid w:val="002E73D0"/>
    <w:rsid w:val="002F5BCD"/>
    <w:rsid w:val="00306D0E"/>
    <w:rsid w:val="00315186"/>
    <w:rsid w:val="0033343E"/>
    <w:rsid w:val="00350C55"/>
    <w:rsid w:val="003512C2"/>
    <w:rsid w:val="00351F99"/>
    <w:rsid w:val="00362E87"/>
    <w:rsid w:val="00371FB6"/>
    <w:rsid w:val="003763C1"/>
    <w:rsid w:val="00376BBE"/>
    <w:rsid w:val="00377EA4"/>
    <w:rsid w:val="00390995"/>
    <w:rsid w:val="0039224F"/>
    <w:rsid w:val="0039384F"/>
    <w:rsid w:val="0039639F"/>
    <w:rsid w:val="003A43A4"/>
    <w:rsid w:val="003A581C"/>
    <w:rsid w:val="003A7E18"/>
    <w:rsid w:val="003B4DC6"/>
    <w:rsid w:val="003C4C86"/>
    <w:rsid w:val="003C6258"/>
    <w:rsid w:val="003D08FF"/>
    <w:rsid w:val="003D0BE7"/>
    <w:rsid w:val="003E2904"/>
    <w:rsid w:val="003E607B"/>
    <w:rsid w:val="003F0126"/>
    <w:rsid w:val="003F1B3E"/>
    <w:rsid w:val="003F3BC8"/>
    <w:rsid w:val="00401927"/>
    <w:rsid w:val="0041027F"/>
    <w:rsid w:val="00412475"/>
    <w:rsid w:val="00423789"/>
    <w:rsid w:val="00432729"/>
    <w:rsid w:val="00440F43"/>
    <w:rsid w:val="004412D1"/>
    <w:rsid w:val="00441B6F"/>
    <w:rsid w:val="00443269"/>
    <w:rsid w:val="00446221"/>
    <w:rsid w:val="00450E62"/>
    <w:rsid w:val="004539DB"/>
    <w:rsid w:val="00471A80"/>
    <w:rsid w:val="004843B9"/>
    <w:rsid w:val="00487D3D"/>
    <w:rsid w:val="004D305E"/>
    <w:rsid w:val="004D3F6B"/>
    <w:rsid w:val="004D4277"/>
    <w:rsid w:val="004E5776"/>
    <w:rsid w:val="004F7E94"/>
    <w:rsid w:val="00502516"/>
    <w:rsid w:val="00505F06"/>
    <w:rsid w:val="00506828"/>
    <w:rsid w:val="005134AC"/>
    <w:rsid w:val="0053056E"/>
    <w:rsid w:val="005316C1"/>
    <w:rsid w:val="00536F90"/>
    <w:rsid w:val="00554FDA"/>
    <w:rsid w:val="00561CE5"/>
    <w:rsid w:val="005714AB"/>
    <w:rsid w:val="005734C8"/>
    <w:rsid w:val="00577C4B"/>
    <w:rsid w:val="0058102F"/>
    <w:rsid w:val="005952C3"/>
    <w:rsid w:val="005B1E18"/>
    <w:rsid w:val="005B41F5"/>
    <w:rsid w:val="005C0A6C"/>
    <w:rsid w:val="005C5E50"/>
    <w:rsid w:val="005C784C"/>
    <w:rsid w:val="005D1110"/>
    <w:rsid w:val="005D17F6"/>
    <w:rsid w:val="005E4B92"/>
    <w:rsid w:val="005E5539"/>
    <w:rsid w:val="005F54CA"/>
    <w:rsid w:val="00602BF5"/>
    <w:rsid w:val="00617FDD"/>
    <w:rsid w:val="00633614"/>
    <w:rsid w:val="00633F68"/>
    <w:rsid w:val="00636EB2"/>
    <w:rsid w:val="006375B8"/>
    <w:rsid w:val="00646D7E"/>
    <w:rsid w:val="0066510A"/>
    <w:rsid w:val="00673F9F"/>
    <w:rsid w:val="00686953"/>
    <w:rsid w:val="00687DEA"/>
    <w:rsid w:val="00687E67"/>
    <w:rsid w:val="006902C7"/>
    <w:rsid w:val="00695971"/>
    <w:rsid w:val="006967F7"/>
    <w:rsid w:val="006A1C65"/>
    <w:rsid w:val="006A250C"/>
    <w:rsid w:val="006B21D3"/>
    <w:rsid w:val="006B57D0"/>
    <w:rsid w:val="006B75A5"/>
    <w:rsid w:val="006D1C8C"/>
    <w:rsid w:val="006D30FF"/>
    <w:rsid w:val="006D6940"/>
    <w:rsid w:val="006E1CA8"/>
    <w:rsid w:val="006F11EC"/>
    <w:rsid w:val="007005E9"/>
    <w:rsid w:val="0070082C"/>
    <w:rsid w:val="00716EEB"/>
    <w:rsid w:val="0072262D"/>
    <w:rsid w:val="00725731"/>
    <w:rsid w:val="00730E8F"/>
    <w:rsid w:val="00735DBD"/>
    <w:rsid w:val="007369E6"/>
    <w:rsid w:val="00746E59"/>
    <w:rsid w:val="00754C9A"/>
    <w:rsid w:val="0075599A"/>
    <w:rsid w:val="00761D52"/>
    <w:rsid w:val="0077749E"/>
    <w:rsid w:val="00783C21"/>
    <w:rsid w:val="00790ADA"/>
    <w:rsid w:val="00791189"/>
    <w:rsid w:val="00793038"/>
    <w:rsid w:val="007B7DAD"/>
    <w:rsid w:val="007C172D"/>
    <w:rsid w:val="007C54B6"/>
    <w:rsid w:val="007D2288"/>
    <w:rsid w:val="007E088F"/>
    <w:rsid w:val="007F7B32"/>
    <w:rsid w:val="00804BC2"/>
    <w:rsid w:val="0081219B"/>
    <w:rsid w:val="0081431A"/>
    <w:rsid w:val="00820265"/>
    <w:rsid w:val="00823456"/>
    <w:rsid w:val="0083216F"/>
    <w:rsid w:val="0084337D"/>
    <w:rsid w:val="008438E2"/>
    <w:rsid w:val="00860000"/>
    <w:rsid w:val="00863BD3"/>
    <w:rsid w:val="008641ED"/>
    <w:rsid w:val="00864621"/>
    <w:rsid w:val="00866D66"/>
    <w:rsid w:val="008671C6"/>
    <w:rsid w:val="00875803"/>
    <w:rsid w:val="008848CB"/>
    <w:rsid w:val="008A5DDA"/>
    <w:rsid w:val="008B1AC1"/>
    <w:rsid w:val="008B459E"/>
    <w:rsid w:val="008E13AE"/>
    <w:rsid w:val="008E1506"/>
    <w:rsid w:val="008E1EF0"/>
    <w:rsid w:val="008E710C"/>
    <w:rsid w:val="008F2A1D"/>
    <w:rsid w:val="008F69D6"/>
    <w:rsid w:val="00901F87"/>
    <w:rsid w:val="00902343"/>
    <w:rsid w:val="00902823"/>
    <w:rsid w:val="0090482E"/>
    <w:rsid w:val="00906317"/>
    <w:rsid w:val="00915CA6"/>
    <w:rsid w:val="00927834"/>
    <w:rsid w:val="00930451"/>
    <w:rsid w:val="009500A6"/>
    <w:rsid w:val="00957C18"/>
    <w:rsid w:val="009659BA"/>
    <w:rsid w:val="0097390C"/>
    <w:rsid w:val="00977A4C"/>
    <w:rsid w:val="00982DC1"/>
    <w:rsid w:val="00983040"/>
    <w:rsid w:val="00990098"/>
    <w:rsid w:val="009A4237"/>
    <w:rsid w:val="009B3FB9"/>
    <w:rsid w:val="009C2465"/>
    <w:rsid w:val="009D0E47"/>
    <w:rsid w:val="009D35A0"/>
    <w:rsid w:val="009D6726"/>
    <w:rsid w:val="009D7EB7"/>
    <w:rsid w:val="009E048A"/>
    <w:rsid w:val="009E08E9"/>
    <w:rsid w:val="009E2342"/>
    <w:rsid w:val="009E3442"/>
    <w:rsid w:val="009E3DB9"/>
    <w:rsid w:val="009E6E35"/>
    <w:rsid w:val="009F0EDA"/>
    <w:rsid w:val="009F7A07"/>
    <w:rsid w:val="00A03B96"/>
    <w:rsid w:val="00A05B19"/>
    <w:rsid w:val="00A1134E"/>
    <w:rsid w:val="00A24E7E"/>
    <w:rsid w:val="00A258C3"/>
    <w:rsid w:val="00A347C0"/>
    <w:rsid w:val="00A51431"/>
    <w:rsid w:val="00A539AD"/>
    <w:rsid w:val="00A56746"/>
    <w:rsid w:val="00A740B1"/>
    <w:rsid w:val="00A80F3A"/>
    <w:rsid w:val="00A86675"/>
    <w:rsid w:val="00A900C0"/>
    <w:rsid w:val="00A94063"/>
    <w:rsid w:val="00AA0F7B"/>
    <w:rsid w:val="00AA6219"/>
    <w:rsid w:val="00AA74E0"/>
    <w:rsid w:val="00AB0CA1"/>
    <w:rsid w:val="00AB4701"/>
    <w:rsid w:val="00AB703F"/>
    <w:rsid w:val="00AC30EE"/>
    <w:rsid w:val="00AC663A"/>
    <w:rsid w:val="00AC6BB8"/>
    <w:rsid w:val="00AE008F"/>
    <w:rsid w:val="00AE194B"/>
    <w:rsid w:val="00AF4EFB"/>
    <w:rsid w:val="00AF628B"/>
    <w:rsid w:val="00B007DC"/>
    <w:rsid w:val="00B00ABB"/>
    <w:rsid w:val="00B01FCD"/>
    <w:rsid w:val="00B073BA"/>
    <w:rsid w:val="00B141D3"/>
    <w:rsid w:val="00B1776C"/>
    <w:rsid w:val="00B263A7"/>
    <w:rsid w:val="00B45222"/>
    <w:rsid w:val="00B46146"/>
    <w:rsid w:val="00B503D0"/>
    <w:rsid w:val="00B516C9"/>
    <w:rsid w:val="00B52583"/>
    <w:rsid w:val="00B52896"/>
    <w:rsid w:val="00B550C4"/>
    <w:rsid w:val="00B61B32"/>
    <w:rsid w:val="00B8108F"/>
    <w:rsid w:val="00B93B23"/>
    <w:rsid w:val="00B95236"/>
    <w:rsid w:val="00B96BD9"/>
    <w:rsid w:val="00B979B8"/>
    <w:rsid w:val="00BA1386"/>
    <w:rsid w:val="00BA1B01"/>
    <w:rsid w:val="00BA2641"/>
    <w:rsid w:val="00BA3956"/>
    <w:rsid w:val="00BA7232"/>
    <w:rsid w:val="00BB0AF1"/>
    <w:rsid w:val="00BB37AA"/>
    <w:rsid w:val="00BC0C34"/>
    <w:rsid w:val="00BC53A0"/>
    <w:rsid w:val="00BC6360"/>
    <w:rsid w:val="00BD13E4"/>
    <w:rsid w:val="00BD5992"/>
    <w:rsid w:val="00BD651A"/>
    <w:rsid w:val="00BE62AD"/>
    <w:rsid w:val="00BF121F"/>
    <w:rsid w:val="00BF1F80"/>
    <w:rsid w:val="00BF762E"/>
    <w:rsid w:val="00C06244"/>
    <w:rsid w:val="00C166EF"/>
    <w:rsid w:val="00C17EB0"/>
    <w:rsid w:val="00C27BBA"/>
    <w:rsid w:val="00C27F5F"/>
    <w:rsid w:val="00C30A0F"/>
    <w:rsid w:val="00C31B23"/>
    <w:rsid w:val="00C33112"/>
    <w:rsid w:val="00C33602"/>
    <w:rsid w:val="00C33852"/>
    <w:rsid w:val="00C37E61"/>
    <w:rsid w:val="00C70A71"/>
    <w:rsid w:val="00C70F1B"/>
    <w:rsid w:val="00C71A47"/>
    <w:rsid w:val="00C7464C"/>
    <w:rsid w:val="00C83B7F"/>
    <w:rsid w:val="00C84978"/>
    <w:rsid w:val="00C85588"/>
    <w:rsid w:val="00C86985"/>
    <w:rsid w:val="00CA35E9"/>
    <w:rsid w:val="00CA7E39"/>
    <w:rsid w:val="00CB03A1"/>
    <w:rsid w:val="00CB0A1F"/>
    <w:rsid w:val="00CD1050"/>
    <w:rsid w:val="00CD2E73"/>
    <w:rsid w:val="00CD6755"/>
    <w:rsid w:val="00CD6856"/>
    <w:rsid w:val="00CE0089"/>
    <w:rsid w:val="00CE0F8F"/>
    <w:rsid w:val="00CE2FF8"/>
    <w:rsid w:val="00CE6BF5"/>
    <w:rsid w:val="00CE793C"/>
    <w:rsid w:val="00CF193C"/>
    <w:rsid w:val="00CF2E48"/>
    <w:rsid w:val="00D05FB7"/>
    <w:rsid w:val="00D173F1"/>
    <w:rsid w:val="00D47B2E"/>
    <w:rsid w:val="00D51A1C"/>
    <w:rsid w:val="00D60127"/>
    <w:rsid w:val="00D62C56"/>
    <w:rsid w:val="00D74CB0"/>
    <w:rsid w:val="00D8295D"/>
    <w:rsid w:val="00D87D72"/>
    <w:rsid w:val="00DA0C2D"/>
    <w:rsid w:val="00DA10E5"/>
    <w:rsid w:val="00DA4C49"/>
    <w:rsid w:val="00DA6035"/>
    <w:rsid w:val="00DA65A1"/>
    <w:rsid w:val="00DC2A65"/>
    <w:rsid w:val="00DC7F09"/>
    <w:rsid w:val="00DD27DA"/>
    <w:rsid w:val="00DE0A2B"/>
    <w:rsid w:val="00DE15F0"/>
    <w:rsid w:val="00DE233F"/>
    <w:rsid w:val="00DE5663"/>
    <w:rsid w:val="00DE78AA"/>
    <w:rsid w:val="00DF2AF0"/>
    <w:rsid w:val="00DF5D6F"/>
    <w:rsid w:val="00E02B1C"/>
    <w:rsid w:val="00E053D0"/>
    <w:rsid w:val="00E1362A"/>
    <w:rsid w:val="00E15994"/>
    <w:rsid w:val="00E24BE5"/>
    <w:rsid w:val="00E3114E"/>
    <w:rsid w:val="00E31A70"/>
    <w:rsid w:val="00E34255"/>
    <w:rsid w:val="00E35B02"/>
    <w:rsid w:val="00E4178A"/>
    <w:rsid w:val="00E6063C"/>
    <w:rsid w:val="00E66496"/>
    <w:rsid w:val="00E66B35"/>
    <w:rsid w:val="00E66E10"/>
    <w:rsid w:val="00E769F6"/>
    <w:rsid w:val="00E838B6"/>
    <w:rsid w:val="00E8407C"/>
    <w:rsid w:val="00E84F3C"/>
    <w:rsid w:val="00E85B5E"/>
    <w:rsid w:val="00E87A15"/>
    <w:rsid w:val="00EA012C"/>
    <w:rsid w:val="00EA35E7"/>
    <w:rsid w:val="00EB511A"/>
    <w:rsid w:val="00EB78FE"/>
    <w:rsid w:val="00EC6A55"/>
    <w:rsid w:val="00EC7C2D"/>
    <w:rsid w:val="00ED0288"/>
    <w:rsid w:val="00ED16E3"/>
    <w:rsid w:val="00ED5BAE"/>
    <w:rsid w:val="00ED5F7E"/>
    <w:rsid w:val="00EE52CB"/>
    <w:rsid w:val="00EF1DA5"/>
    <w:rsid w:val="00EF56D7"/>
    <w:rsid w:val="00EF581D"/>
    <w:rsid w:val="00EF69E2"/>
    <w:rsid w:val="00EF7FD8"/>
    <w:rsid w:val="00F01E3B"/>
    <w:rsid w:val="00F049EE"/>
    <w:rsid w:val="00F06F59"/>
    <w:rsid w:val="00F17988"/>
    <w:rsid w:val="00F33CAE"/>
    <w:rsid w:val="00F33D84"/>
    <w:rsid w:val="00F343C4"/>
    <w:rsid w:val="00F427DA"/>
    <w:rsid w:val="00F469F0"/>
    <w:rsid w:val="00F53273"/>
    <w:rsid w:val="00F755E4"/>
    <w:rsid w:val="00F7682E"/>
    <w:rsid w:val="00F77D02"/>
    <w:rsid w:val="00F86DDC"/>
    <w:rsid w:val="00FA6D52"/>
    <w:rsid w:val="00FB3A86"/>
    <w:rsid w:val="00FC1B76"/>
    <w:rsid w:val="00FC3FFE"/>
    <w:rsid w:val="00FD36C8"/>
    <w:rsid w:val="00FD4FF6"/>
    <w:rsid w:val="00FD5E52"/>
    <w:rsid w:val="00FE3600"/>
    <w:rsid w:val="00FF3079"/>
    <w:rsid w:val="00FF52D8"/>
    <w:rsid w:val="10F15446"/>
    <w:rsid w:val="182848DC"/>
    <w:rsid w:val="4F944BB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B0B2D3E"/>
  <w15:docId w15:val="{A01B65A8-0393-4EE2-A0D9-C3C91D7B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ml-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99"/>
    <w:semiHidden/>
    <w:unhideWhenUsed/>
    <w:qFormat/>
    <w:pPr>
      <w:ind w:left="720"/>
      <w:contextualSpacing/>
    </w:pPr>
  </w:style>
  <w:style w:type="character" w:customStyle="1" w:styleId="UnresolvedMention">
    <w:name w:val="Unresolved Mention"/>
    <w:basedOn w:val="DefaultParagraphFont"/>
    <w:uiPriority w:val="99"/>
    <w:semiHidden/>
    <w:unhideWhenUsed/>
    <w:rsid w:val="007C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ift.res.in/wp-content/uploads/2024/06/Fiscal_sustainability_in_Kerala__V_Mathew_Kurian___S_Muraleedharan4.pdf" TargetMode="External"/><Relationship Id="rId26" Type="http://schemas.openxmlformats.org/officeDocument/2006/relationships/hyperlink" Target="https://tmypfunam.files.wordpress.com" TargetMode="External"/><Relationship Id="rId3" Type="http://schemas.openxmlformats.org/officeDocument/2006/relationships/numbering" Target="numbering.xml"/><Relationship Id="rId21" Type="http://schemas.openxmlformats.org/officeDocument/2006/relationships/hyperlink" Target="https://www.niti.gov.in/sites/default/files/2019-01/Report%20on%20State%20Finance%20on%20Kerala.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ift.res.in/wp-content/uploads/2024/06/Keralas_debt_position__P_S_Renjith___Abin_Joseph1.pdf" TargetMode="External"/><Relationship Id="rId25" Type="http://schemas.openxmlformats.org/officeDocument/2006/relationships/hyperlink" Target="https://www.researchgate.net/publication/392430644_Sustainability_and_Growth_Implications_of_Sub-National_Fiscal_Choices_in_India_A_Case_of_Kerala" TargetMode="External"/><Relationship Id="rId33" Type="http://schemas.openxmlformats.org/officeDocument/2006/relationships/hyperlink" Target="https://spb.kerala.gov.in/sites/default/files/2024-02/ER_English_Vol_1_2023.pdf" TargetMode="External"/><Relationship Id="rId2" Type="http://schemas.openxmlformats.org/officeDocument/2006/relationships/customXml" Target="../customXml/item2.xml"/><Relationship Id="rId16" Type="http://schemas.openxmlformats.org/officeDocument/2006/relationships/hyperlink" Target="https://www.rbi.org.in/" TargetMode="External"/><Relationship Id="rId20" Type="http://schemas.openxmlformats.org/officeDocument/2006/relationships/hyperlink" Target="https://www.researchgate.net/publication/382464815_Is_Public_Debt_Sustainable_in_Indian_States_An_Empirical_Insight" TargetMode="External"/><Relationship Id="rId29" Type="http://schemas.openxmlformats.org/officeDocument/2006/relationships/hyperlink" Target="https://www.stcipd.com/UserFiles/File/Domar_Model.pdf?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ift.res.in/wp-content/uploads/2024/06/Debt_and_development-Beyond_casual_observation_and_commonsense_K_J_Joseph_Anoop_S_Kumar.pdf?utm_source=chatgpt.com" TargetMode="External"/><Relationship Id="rId32" Type="http://schemas.openxmlformats.org/officeDocument/2006/relationships/hyperlink" Target="https://cag.gov.in"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www.gift.res.in/wp-content/uploads/2025/07/Draft-Report-on-state-of-Kerala-state-finances.pdf?utm_source=chatgpt.com" TargetMode="External"/><Relationship Id="rId28" Type="http://schemas.openxmlformats.org/officeDocument/2006/relationships/hyperlink" Target="https://www.adb.org/publications/revisiting-public-debt-stability-condition-rethinking-domar-condition?utm_source=chatgpt.com" TargetMode="External"/><Relationship Id="rId10" Type="http://schemas.openxmlformats.org/officeDocument/2006/relationships/header" Target="header2.xml"/><Relationship Id="rId19" Type="http://schemas.openxmlformats.org/officeDocument/2006/relationships/hyperlink" Target="https://doi.org/10.1007/s13132-024-02221-3" TargetMode="External"/><Relationship Id="rId31" Type="http://schemas.openxmlformats.org/officeDocument/2006/relationships/hyperlink" Target="https://rbi.org.in/Scripts/AnnualPublications.aspx?head=State%20Finances%20:%20A%20Study%20of%20Budget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pb.kerala.gov.in/economic-review" TargetMode="External"/><Relationship Id="rId27" Type="http://schemas.openxmlformats.org/officeDocument/2006/relationships/hyperlink" Target="https://www.adb.org/publications/revisiting-public-debt-stability-condition-rethinking-domar-condition?utm_source=chatgpt.com" TargetMode="External"/><Relationship Id="rId30" Type="http://schemas.openxmlformats.org/officeDocument/2006/relationships/hyperlink" Target="https://prsindia.or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AD88C-FCE8-49E7-915B-3E22CA86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13</Pages>
  <Words>5952</Words>
  <Characters>33930</Characters>
  <Application>Microsoft Office Word</Application>
  <DocSecurity>0</DocSecurity>
  <Lines>282</Lines>
  <Paragraphs>79</Paragraphs>
  <ScaleCrop>false</ScaleCrop>
  <Company>aaaa</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221</cp:revision>
  <cp:lastPrinted>1999-07-06T11:00:00Z</cp:lastPrinted>
  <dcterms:created xsi:type="dcterms:W3CDTF">2014-10-25T14:34:00Z</dcterms:created>
  <dcterms:modified xsi:type="dcterms:W3CDTF">2025-11-10T12:46:00Z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EC97644C595C4874984F573DC953803B_13</vt:lpwstr>
  </property>
  <property fmtid="{D5CDD505-2E9C-101B-9397-08002B2CF9AE}" pid="4" name="GrammarlyDocumentId">
    <vt:lpwstr>313684c1-f72c-44a9-9fa6-abcc957b0629</vt:lpwstr>
  </property>
</Properties>
</file>