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E7A1B" w14:textId="77777777" w:rsidR="000247A1" w:rsidRPr="000247A1" w:rsidRDefault="000247A1" w:rsidP="000247A1">
      <w:pPr>
        <w:spacing w:line="360" w:lineRule="auto"/>
        <w:jc w:val="both"/>
        <w:rPr>
          <w:rFonts w:ascii="Times New Roman" w:hAnsi="Times New Roman" w:cs="Times New Roman"/>
          <w:b/>
          <w:bCs/>
          <w:i/>
          <w:iCs/>
          <w:u w:val="single"/>
          <w:lang w:val="en-US"/>
        </w:rPr>
      </w:pPr>
      <w:r w:rsidRPr="000247A1">
        <w:rPr>
          <w:rFonts w:ascii="Times New Roman" w:hAnsi="Times New Roman" w:cs="Times New Roman"/>
          <w:b/>
          <w:bCs/>
          <w:i/>
          <w:iCs/>
          <w:u w:val="single"/>
          <w:lang w:val="en-US"/>
        </w:rPr>
        <w:t>Review Article</w:t>
      </w:r>
    </w:p>
    <w:p w14:paraId="30934137" w14:textId="0222783F" w:rsidR="001A3C76" w:rsidRDefault="001A3C76" w:rsidP="00DA6C98">
      <w:pPr>
        <w:spacing w:line="360" w:lineRule="auto"/>
        <w:jc w:val="both"/>
        <w:rPr>
          <w:rFonts w:ascii="Times New Roman" w:hAnsi="Times New Roman" w:cs="Times New Roman"/>
          <w:b/>
          <w:bCs/>
        </w:rPr>
      </w:pPr>
      <w:r w:rsidRPr="00DA6C98">
        <w:rPr>
          <w:rFonts w:ascii="Times New Roman" w:hAnsi="Times New Roman" w:cs="Times New Roman"/>
          <w:b/>
          <w:bCs/>
        </w:rPr>
        <w:t>AI-optimized, organic, and microbial nutrient formulations for higher efficiency and sustainability in hydroponics</w:t>
      </w:r>
      <w:r w:rsidR="00146FE1">
        <w:rPr>
          <w:rFonts w:ascii="Times New Roman" w:hAnsi="Times New Roman" w:cs="Times New Roman"/>
          <w:b/>
          <w:bCs/>
        </w:rPr>
        <w:t>: A Review</w:t>
      </w:r>
    </w:p>
    <w:p w14:paraId="3AF24D3F" w14:textId="4D39B947" w:rsidR="001A3C76" w:rsidRPr="00FD3B7B" w:rsidRDefault="00BE6688" w:rsidP="00BE6688">
      <w:pPr>
        <w:tabs>
          <w:tab w:val="left" w:pos="3899"/>
        </w:tabs>
        <w:spacing w:line="360" w:lineRule="auto"/>
        <w:jc w:val="both"/>
        <w:rPr>
          <w:rFonts w:ascii="Times New Roman" w:hAnsi="Times New Roman" w:cs="Times New Roman"/>
        </w:rPr>
      </w:pPr>
      <w:r>
        <w:rPr>
          <w:rFonts w:ascii="Times New Roman" w:hAnsi="Times New Roman" w:cs="Times New Roman"/>
        </w:rPr>
        <w:tab/>
      </w:r>
      <w:bookmarkStart w:id="0" w:name="_GoBack"/>
      <w:bookmarkEnd w:id="0"/>
    </w:p>
    <w:p w14:paraId="5D891CEF" w14:textId="02DE4B0D" w:rsidR="001A3C76" w:rsidRPr="00DA6C98" w:rsidRDefault="001A3C76" w:rsidP="00DA6C98">
      <w:pPr>
        <w:spacing w:line="360" w:lineRule="auto"/>
        <w:jc w:val="both"/>
        <w:rPr>
          <w:rFonts w:ascii="Times New Roman" w:hAnsi="Times New Roman" w:cs="Times New Roman"/>
          <w:b/>
          <w:bCs/>
        </w:rPr>
      </w:pPr>
      <w:r w:rsidRPr="00DA6C98">
        <w:rPr>
          <w:rFonts w:ascii="Times New Roman" w:hAnsi="Times New Roman" w:cs="Times New Roman"/>
          <w:b/>
          <w:bCs/>
        </w:rPr>
        <w:t xml:space="preserve">Abstract </w:t>
      </w:r>
    </w:p>
    <w:p w14:paraId="267A2330" w14:textId="77777777" w:rsidR="00301E24" w:rsidRDefault="00301E24" w:rsidP="00301E24">
      <w:pPr>
        <w:spacing w:line="360" w:lineRule="auto"/>
        <w:jc w:val="both"/>
        <w:rPr>
          <w:rFonts w:ascii="Times New Roman" w:hAnsi="Times New Roman" w:cs="Times New Roman"/>
        </w:rPr>
      </w:pPr>
      <w:r w:rsidRPr="00631FA1">
        <w:rPr>
          <w:rFonts w:ascii="Times New Roman" w:hAnsi="Times New Roman" w:cs="Times New Roman"/>
        </w:rPr>
        <w:t>Hydroponi</w:t>
      </w:r>
      <w:r>
        <w:rPr>
          <w:rFonts w:ascii="Times New Roman" w:hAnsi="Times New Roman" w:cs="Times New Roman"/>
        </w:rPr>
        <w:t xml:space="preserve">cs </w:t>
      </w:r>
      <w:r w:rsidRPr="00631FA1">
        <w:rPr>
          <w:rFonts w:ascii="Times New Roman" w:hAnsi="Times New Roman" w:cs="Times New Roman"/>
        </w:rPr>
        <w:t xml:space="preserve">presents an alternative to soil-based farming </w:t>
      </w:r>
      <w:r>
        <w:rPr>
          <w:rFonts w:ascii="Times New Roman" w:hAnsi="Times New Roman" w:cs="Times New Roman"/>
        </w:rPr>
        <w:t xml:space="preserve">for </w:t>
      </w:r>
      <w:r w:rsidRPr="00631FA1">
        <w:rPr>
          <w:rFonts w:ascii="Times New Roman" w:hAnsi="Times New Roman" w:cs="Times New Roman"/>
        </w:rPr>
        <w:t xml:space="preserve">efficient use of resources, </w:t>
      </w:r>
      <w:r>
        <w:rPr>
          <w:rFonts w:ascii="Times New Roman" w:hAnsi="Times New Roman" w:cs="Times New Roman"/>
        </w:rPr>
        <w:t xml:space="preserve">to attain </w:t>
      </w:r>
      <w:r w:rsidRPr="00631FA1">
        <w:rPr>
          <w:rFonts w:ascii="Times New Roman" w:hAnsi="Times New Roman" w:cs="Times New Roman"/>
        </w:rPr>
        <w:t>high yield and minimiz</w:t>
      </w:r>
      <w:r>
        <w:rPr>
          <w:rFonts w:ascii="Times New Roman" w:hAnsi="Times New Roman" w:cs="Times New Roman"/>
        </w:rPr>
        <w:t>ing</w:t>
      </w:r>
      <w:r w:rsidRPr="00631FA1">
        <w:rPr>
          <w:rFonts w:ascii="Times New Roman" w:hAnsi="Times New Roman" w:cs="Times New Roman"/>
        </w:rPr>
        <w:t xml:space="preserve"> environmental impact. Nonetheless, its success depends on the accurate nutrient management, which balance the nutrition of the plants. The new possibilities are associated with artificial intelligence (AI), Internet of Things (IoT), and microbial biotechnology which are</w:t>
      </w:r>
      <w:r>
        <w:rPr>
          <w:rFonts w:ascii="Times New Roman" w:hAnsi="Times New Roman" w:cs="Times New Roman"/>
        </w:rPr>
        <w:t xml:space="preserve"> </w:t>
      </w:r>
      <w:r w:rsidRPr="00631FA1">
        <w:rPr>
          <w:rFonts w:ascii="Times New Roman" w:hAnsi="Times New Roman" w:cs="Times New Roman"/>
        </w:rPr>
        <w:t>recent developments that can be optimized to improve hydroponic nutrient management. This</w:t>
      </w:r>
      <w:r>
        <w:rPr>
          <w:rFonts w:ascii="Times New Roman" w:hAnsi="Times New Roman" w:cs="Times New Roman"/>
        </w:rPr>
        <w:t xml:space="preserve"> is</w:t>
      </w:r>
      <w:r w:rsidRPr="00631FA1">
        <w:rPr>
          <w:rFonts w:ascii="Times New Roman" w:hAnsi="Times New Roman" w:cs="Times New Roman"/>
        </w:rPr>
        <w:t xml:space="preserve"> a literature review on the use of integrated AI-optimized and microbial nutrient formulations to enhance the hydroponic sustainability. Machine learning and hybrid optimization algorithms, allow real-time monitoring and adaptive nutrient dosing with the use of IoT. Compost extracts</w:t>
      </w:r>
      <w:r>
        <w:rPr>
          <w:rFonts w:ascii="Times New Roman" w:hAnsi="Times New Roman" w:cs="Times New Roman"/>
        </w:rPr>
        <w:t>,</w:t>
      </w:r>
      <w:r w:rsidRPr="00631FA1">
        <w:rPr>
          <w:rFonts w:ascii="Times New Roman" w:hAnsi="Times New Roman" w:cs="Times New Roman"/>
        </w:rPr>
        <w:t xml:space="preserve"> fish emulsions are also organic sources of nutrients that increase the plant growth by enhancing the release of</w:t>
      </w:r>
      <w:r>
        <w:rPr>
          <w:rFonts w:ascii="Times New Roman" w:hAnsi="Times New Roman" w:cs="Times New Roman"/>
        </w:rPr>
        <w:t xml:space="preserve"> nutrients</w:t>
      </w:r>
      <w:r w:rsidRPr="00631FA1">
        <w:rPr>
          <w:rFonts w:ascii="Times New Roman" w:hAnsi="Times New Roman" w:cs="Times New Roman"/>
        </w:rPr>
        <w:t>, increase the phytochemical content and improve the quality of the produce.</w:t>
      </w:r>
      <w:r w:rsidRPr="005A5743">
        <w:rPr>
          <w:rFonts w:ascii="Roboto" w:hAnsi="Roboto"/>
          <w:b/>
          <w:bCs/>
          <w:color w:val="0A0A0A"/>
          <w:shd w:val="clear" w:color="auto" w:fill="FFFFFF"/>
        </w:rPr>
        <w:t xml:space="preserve"> </w:t>
      </w:r>
      <w:r>
        <w:rPr>
          <w:rFonts w:ascii="Times New Roman" w:hAnsi="Times New Roman" w:cs="Times New Roman"/>
        </w:rPr>
        <w:t>I</w:t>
      </w:r>
      <w:r w:rsidRPr="005A5743">
        <w:rPr>
          <w:rFonts w:ascii="Times New Roman" w:hAnsi="Times New Roman" w:cs="Times New Roman"/>
        </w:rPr>
        <w:t>ntegrally</w:t>
      </w:r>
      <w:r w:rsidRPr="00631FA1">
        <w:rPr>
          <w:rFonts w:ascii="Times New Roman" w:hAnsi="Times New Roman" w:cs="Times New Roman"/>
        </w:rPr>
        <w:t>, Bacillus, and mycorrhizal fungi are growth-promoting microorganisms that enhance solubilization of nutrients and synergistic inoculant-organic systems lead to stable nutrient cycling and an improved root architecture. With the integration of AI-based decision support hydroponics will be able to move towards closed-loop resource-efficient systems that impact the environment less, as well as satisfy global needs of high-quality</w:t>
      </w:r>
      <w:r>
        <w:rPr>
          <w:rFonts w:ascii="Times New Roman" w:hAnsi="Times New Roman" w:cs="Times New Roman"/>
        </w:rPr>
        <w:t xml:space="preserve"> foods. </w:t>
      </w:r>
    </w:p>
    <w:p w14:paraId="7114D72A" w14:textId="77777777" w:rsidR="000C5BF4" w:rsidRDefault="000C5BF4" w:rsidP="00DA6C98">
      <w:pPr>
        <w:spacing w:line="360" w:lineRule="auto"/>
        <w:jc w:val="both"/>
        <w:rPr>
          <w:rFonts w:ascii="Times New Roman" w:hAnsi="Times New Roman" w:cs="Times New Roman"/>
        </w:rPr>
      </w:pPr>
    </w:p>
    <w:p w14:paraId="600D74A2" w14:textId="6EB70C04" w:rsidR="000C5BF4" w:rsidRPr="000C5BF4" w:rsidRDefault="000C5BF4" w:rsidP="00DA6C98">
      <w:pPr>
        <w:spacing w:line="360" w:lineRule="auto"/>
        <w:jc w:val="both"/>
        <w:rPr>
          <w:rFonts w:ascii="Times New Roman" w:hAnsi="Times New Roman" w:cs="Times New Roman"/>
        </w:rPr>
      </w:pPr>
      <w:r w:rsidRPr="000C5BF4">
        <w:rPr>
          <w:rFonts w:ascii="Times New Roman" w:hAnsi="Times New Roman" w:cs="Times New Roman"/>
          <w:b/>
          <w:bCs/>
        </w:rPr>
        <w:t>Keywords –</w:t>
      </w:r>
      <w:r w:rsidRPr="000C5BF4">
        <w:rPr>
          <w:rFonts w:ascii="Times New Roman" w:hAnsi="Times New Roman" w:cs="Times New Roman"/>
        </w:rPr>
        <w:t xml:space="preserve"> Hydroponics, </w:t>
      </w:r>
      <w:r>
        <w:rPr>
          <w:rFonts w:ascii="Times New Roman" w:hAnsi="Times New Roman" w:cs="Times New Roman"/>
        </w:rPr>
        <w:t>Artificial Intelligence</w:t>
      </w:r>
      <w:r w:rsidR="00A73B05">
        <w:rPr>
          <w:rFonts w:ascii="Times New Roman" w:hAnsi="Times New Roman" w:cs="Times New Roman"/>
        </w:rPr>
        <w:t xml:space="preserve"> </w:t>
      </w:r>
      <w:r>
        <w:rPr>
          <w:rFonts w:ascii="Times New Roman" w:hAnsi="Times New Roman" w:cs="Times New Roman"/>
        </w:rPr>
        <w:t>(AI), Sustainable Agriculture, Microbial Bioformulations, Nutrient Management</w:t>
      </w:r>
      <w:r w:rsidR="009243F5">
        <w:rPr>
          <w:rFonts w:ascii="Times New Roman" w:hAnsi="Times New Roman" w:cs="Times New Roman"/>
        </w:rPr>
        <w:t>.</w:t>
      </w:r>
    </w:p>
    <w:p w14:paraId="5D163F26" w14:textId="77777777" w:rsidR="00631FA1" w:rsidRPr="00DA6C98" w:rsidRDefault="00631FA1" w:rsidP="00DA6C98">
      <w:pPr>
        <w:spacing w:line="360" w:lineRule="auto"/>
        <w:jc w:val="both"/>
        <w:rPr>
          <w:rFonts w:ascii="Times New Roman" w:hAnsi="Times New Roman" w:cs="Times New Roman"/>
          <w:b/>
          <w:bCs/>
        </w:rPr>
      </w:pPr>
    </w:p>
    <w:p w14:paraId="68E3B6AB" w14:textId="3471D0AD" w:rsidR="001A3C76" w:rsidRPr="00DA6C98" w:rsidRDefault="001A3C7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Introduction</w:t>
      </w:r>
    </w:p>
    <w:p w14:paraId="2E534968" w14:textId="2C30FEE7" w:rsidR="00172BF8" w:rsidRPr="00DA6C98" w:rsidRDefault="00792482" w:rsidP="00DA6C98">
      <w:pPr>
        <w:spacing w:line="360" w:lineRule="auto"/>
        <w:jc w:val="both"/>
        <w:rPr>
          <w:rFonts w:ascii="Times New Roman" w:hAnsi="Times New Roman" w:cs="Times New Roman"/>
        </w:rPr>
      </w:pPr>
      <w:r w:rsidRPr="00792482">
        <w:rPr>
          <w:rFonts w:ascii="Times New Roman" w:hAnsi="Times New Roman" w:cs="Times New Roman"/>
        </w:rPr>
        <w:t xml:space="preserve">The rising global population coupled with climate change and depleting the water and arable land resources puts an urgent pressure on farm systems in producing more food with less expenditure yet maintain environmental sustainability. Growing in soilless methods such as hydroponics and analogues such as aeroponics and vertical farming are potential solutions to </w:t>
      </w:r>
      <w:r w:rsidRPr="00792482">
        <w:rPr>
          <w:rFonts w:ascii="Times New Roman" w:hAnsi="Times New Roman" w:cs="Times New Roman"/>
        </w:rPr>
        <w:lastRenderedPageBreak/>
        <w:t>provide such solutions through enabling specific regulation of nutrient delivery, minimized water consumption, and year-round manufacturing. These advantages may be maximized by optimizing the growth parameters (i.e. pH, electrical conductivity, temperature, humidity, and nutrient solution constitution). More recent developments in artificial intelligence (AI), Internet of Things (IoT), sensor networks, and microbial inputs (including Plant Growth-Promoting Microorganisms, PGPMs) have demonstrated the possibility of being more efficient, yielding more, and resilient in hydroponic systems</w:t>
      </w:r>
      <w:r w:rsidR="00172BF8" w:rsidRPr="00DA6C98">
        <w:rPr>
          <w:rFonts w:ascii="Times New Roman" w:hAnsi="Times New Roman" w:cs="Times New Roman"/>
        </w:rPr>
        <w:t>.</w:t>
      </w:r>
    </w:p>
    <w:p w14:paraId="4C33E21D" w14:textId="224E4491" w:rsidR="00172BF8" w:rsidRPr="00DA6C98" w:rsidRDefault="00A362EA" w:rsidP="00DA6C98">
      <w:pPr>
        <w:spacing w:line="360" w:lineRule="auto"/>
        <w:jc w:val="both"/>
        <w:rPr>
          <w:rFonts w:ascii="Times New Roman" w:hAnsi="Times New Roman" w:cs="Times New Roman"/>
        </w:rPr>
      </w:pPr>
      <w:r w:rsidRPr="00A362EA">
        <w:rPr>
          <w:rFonts w:ascii="Times New Roman" w:hAnsi="Times New Roman" w:cs="Times New Roman"/>
        </w:rPr>
        <w:t xml:space="preserve">The latest systematic review, A Systematic Literature Review on Parameters Optimization of Smart Hydroponic Systems.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{"citationItems":[{"id":"ITEM-1","itemData":{"DOI":"10.3390/ai5030073","ISSN":"26732688","abstract":"Hydroponics is a soilless farming technique that has emerged as a sustainable alternative. However, new technologies such as Industry 4.0, the internet of things (IoT), and artificial intelligence are needed to keep up with issues related to economics, automation, and social challenges in hydroponics farming. One significant issue is optimizing growth parameters to identify the best conditions for growing fruits and vegetables. These parameters include pH, total dissolved solids (TDS), electrical conductivity (EC), light intensity, daily light integral (DLI), and nutrient solution/ambient temperature and humidity. To address these challenges, a systematic literature review was conducted aiming to answer research questions regarding the optimal growth parameters for leafy green vegetables and herbs and spices grown in hydroponic systems. The review selected a total of 131 papers related to indoor farming, hydroponics, and aquaponics. The review selected a total of 123 papers related to indoor farming, hydroponics, and aquaponics. The majority of the articles focused on technology description (38.5%), artificial illumination (26.2%), and nutrient solution composition/parameters (13.8%). Additionally, remaining 10.7% articles focused on the application of sensors, slope, environment and economy. This comprehensive review provides valuable information on optimized growth parameters for smart hydroponic systems and explores future prospects and the application of digital technologies in this field.","author":[{"dropping-particle":"","family":"Shareef","given":"Umar","non-dropping-particle":"","parse-names":false,"suffix":""},{"dropping-particle":"","family":"Rehman","given":"Ateeq Ur","non-dropping-particle":"","parse-names":false,"suffix":""},{"dropping-particle":"","family":"Ahmad","given":"Rafiq","non-dropping-particle":"","parse-names":false,"suffix":""}],"container-title":"AI (Switzerland)","id":"ITEM-1","issue":"3","issued":{"date-parts":[["2024"]]},"page":"1517-1533","title":"A Systematic Literature Review on Parameters Optimization for Smart Hydroponic Systems","type":"article-journal","volume":"5"},"uris":["http://www.mendeley.com/documents/?uuid=3b28c4b6-75b1-4e18-8272-42c52698c41e"]}],"mendeley":{"formattedCitation":"(Shareef et al., 2024)","plainTextFormattedCitation":"(Shareef et al., 2024)","previouslyFormattedCitation":"(Shareef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(Shareef et al., 2024)</w:t>
      </w:r>
      <w:r w:rsidR="00172BF8" w:rsidRPr="00DA6C98">
        <w:rPr>
          <w:rFonts w:ascii="Times New Roman" w:hAnsi="Times New Roman" w:cs="Times New Roman"/>
        </w:rPr>
        <w:fldChar w:fldCharType="end"/>
      </w:r>
      <w:r w:rsidR="00172BF8" w:rsidRPr="00DA6C98">
        <w:rPr>
          <w:rFonts w:ascii="Times New Roman" w:hAnsi="Times New Roman" w:cs="Times New Roman"/>
        </w:rPr>
        <w:t xml:space="preserve">, </w:t>
      </w:r>
      <w:r w:rsidR="009F59BD" w:rsidRPr="009F59BD">
        <w:rPr>
          <w:rFonts w:ascii="Times New Roman" w:hAnsi="Times New Roman" w:cs="Times New Roman"/>
        </w:rPr>
        <w:t>reported on 131 determined papers and identified that most of the studies are studies on technological descriptions (approx.38.5 percent) and artificial illumination (approx.26.2 percent) whilst preciseness of nutrient solution composition and growth parameters (including EC, pH, temperature, humidity) are comprising of about 13.8 percent of the literature. This highlights the gains and the shortcomings</w:t>
      </w:r>
      <w:r w:rsidR="009F59BD">
        <w:rPr>
          <w:rFonts w:ascii="Times New Roman" w:hAnsi="Times New Roman" w:cs="Times New Roman"/>
        </w:rPr>
        <w:t xml:space="preserve"> </w:t>
      </w:r>
      <w:r w:rsidR="00172BF8" w:rsidRPr="00DA6C98">
        <w:rPr>
          <w:rFonts w:ascii="Times New Roman" w:hAnsi="Times New Roman" w:cs="Times New Roman"/>
        </w:rPr>
        <w:t xml:space="preserve">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{"citationItems":[{"id":"ITEM-1","itemData":{"DOI":"10.3390/ai5030073","ISSN":"26732688","abstract":"Hydroponics is a soilless farming technique that has emerged as a sustainable alternative. However, new technologies such as Industry 4.0, the internet of things (IoT), and artificial intelligence are needed to keep up with issues related to economics, automation, and social challenges in hydroponics farming. One significant issue is optimizing growth parameters to identify the best conditions for growing fruits and vegetables. These parameters include pH, total dissolved solids (TDS), electrical conductivity (EC), light intensity, daily light integral (DLI), and nutrient solution/ambient temperature and humidity. To address these challenges, a systematic literature review was conducted aiming to answer research questions regarding the optimal growth parameters for leafy green vegetables and herbs and spices grown in hydroponic systems. The review selected a total of 131 papers related to indoor farming, hydroponics, and aquaponics. The review selected a total of 123 papers related to indoor farming, hydroponics, and aquaponics. The majority of the articles focused on technology description (38.5%), artificial illumination (26.2%), and nutrient solution composition/parameters (13.8%). Additionally, remaining 10.7% articles focused on the application of sensors, slope, environment and economy. This comprehensive review provides valuable information on optimized growth parameters for smart hydroponic systems and explores future prospects and the application of digital technologies in this field.","author":[{"dropping-particle":"","family":"Shareef","given":"Umar","non-dropping-particle":"","parse-names":false,"suffix":""},{"dropping-particle":"","family":"Rehman","given":"Ateeq Ur","non-dropping-particle":"","parse-names":false,"suffix":""},{"dropping-particle":"","family":"Ahmad","given":"Rafiq","non-dropping-particle":"","parse-names":false,"suffix":""}],"container-title":"AI (Switzerland)","id":"ITEM-1","issue":"3","issued":{"date-parts":[["2024"]]},"page":"1517-1533","title":"A Systematic Literature Review on Parameters Optimization for Smart Hydroponic Systems","type":"article-journal","volume":"5"},"uris":["http://www.mendeley.com/documents/?uuid=3b28c4b6-75b1-4e18-8272-42c52698c41e"]}],"mendeley":{"formattedCitation":"(Shareef et al., 2024)","plainTextFormattedCitation":"(Shareef et al., 2024)","previouslyFormattedCitation":"(Shareef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(Shareef et al., 2024)</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7D764960" w14:textId="5FD427A2" w:rsidR="00172BF8" w:rsidRPr="00DA6C98" w:rsidRDefault="00214373" w:rsidP="00DA6C98">
      <w:pPr>
        <w:spacing w:line="360" w:lineRule="auto"/>
        <w:jc w:val="both"/>
        <w:rPr>
          <w:rFonts w:ascii="Times New Roman" w:hAnsi="Times New Roman" w:cs="Times New Roman"/>
        </w:rPr>
      </w:pPr>
      <w:r w:rsidRPr="00214373">
        <w:rPr>
          <w:rFonts w:ascii="Times New Roman" w:hAnsi="Times New Roman" w:cs="Times New Roman"/>
        </w:rPr>
        <w:t>In parallel, the contributions of the role of the PGPMs to the improvement of nutrient uptake, stress tolerance, and biomass of the soilless systems have also experienced a growing number of studies. The free review publication Plant-microbe interactions: PGPM as microbial inoculants/ biofertilizers to maintain crop productivity and soil fertility reveals that there are various ways in which plant growth (microbial fixation of nitrogen, solubilization of phosphorus, etc.) can promote growth, and it addresses their applications in regulated environment agriculture.</w:t>
      </w:r>
      <w:r w:rsidR="00172BF8" w:rsidRPr="00DA6C98">
        <w:rPr>
          <w:rFonts w:ascii="Times New Roman" w:hAnsi="Times New Roman" w:cs="Times New Roman"/>
        </w:rPr>
        <w:t xml:space="preserve"> </w:t>
      </w:r>
      <w:r w:rsidR="00172BF8" w:rsidRPr="00DA6C98">
        <w:rPr>
          <w:rFonts w:ascii="Times New Roman" w:hAnsi="Times New Roman" w:cs="Times New Roman"/>
        </w:rPr>
        <w:fldChar w:fldCharType="begin" w:fldLock="1"/>
      </w:r>
      <w:r w:rsidR="00172BF8" w:rsidRPr="00DA6C98">
        <w:rPr>
          <w:rFonts w:ascii="Times New Roman" w:hAnsi="Times New Roman" w:cs="Times New Roman"/>
        </w:rPr>
        <w:instrText>ADDIN CSL_CITATION {"citationItems":[{"id":"ITEM-1","itemData":{"DOI":"10.1016/j.crmicr.2024.100333","ISSN":"26665174","abstract":"Plant-microbe interactions play pivotal roles in sustaining crop productivity and soil fertility, offering promising avenues for sustainable agricultural practices. This review paper explores the multifaceted interactions between plants and various microorganisms, highlighting their significance in enhancing crop productivity, combating pathogens, and promoting soil health. Understanding these interactions is crucial for harnessing their potential in agricultural systems to address challenges such as food security and environmental sustainability. Therefore, the introduction of beneficial microbes into agricultural ecosystems by bio-augmentation reduces the negative effects of intensive, non-sustainable agriculture on the environment, society, and economy, into the mechanisms underlying the application of plant growth promoting microbes as microbial inoculants/biofertilizers; their interactions, the factors influencing their dynamics, and the implications for agricultural practices, emerging technologies and strategies that leverage plant-microbe interactions for improving crop yields, soil fertility, and overall agricultural sustainability.","author":[{"dropping-particle":"","family":"Laishram","given":"Bibek","non-dropping-particle":"","parse-names":false,"suffix":""},{"dropping-particle":"","family":"Devi","given":"Okram Ricky","non-dropping-particle":"","parse-names":false,"suffix":""},{"dropping-particle":"","family":"Dutta","given":"Rinjumoni","non-dropping-particle":"","parse-names":false,"suffix":""},{"dropping-particle":"","family":"Senthilkumar","given":"T.","non-dropping-particle":"","parse-names":false,"suffix":""},{"dropping-particle":"","family":"Goyal","given":"Girish","non-dropping-particle":"","parse-names":false,"suffix":""},{"dropping-particle":"","family":"Paliwal","given":"Dinesh Kumar","non-dropping-particle":"","parse-names":false,"suffix":""},{"dropping-particle":"","family":"Panotra","given":"Narinder","non-dropping-particle":"","parse-names":false,"suffix":""},{"dropping-particle":"","family":"Rasool","given":"Akhtar","non-dropping-particle":"","parse-names":false,"suffix":""}],"container-title":"Current Research in Microbial Sciences","id":"ITEM-1","issue":"December 2024","issued":{"date-parts":[["2025"]]},"page":"100333","publisher":"Elsevier B.V.","title":"Plant-microbe interactions: PGPM as microbial inoculants/biofertilizers for sustaining crop productivity and soil fertility","type":"article-journal","volume":"8"},"uris":["http://www.mendeley.com/documents/?uuid=c434131b-5ea1-4e9e-8073-96d0dc2585a3"]}],"mendeley":{"formattedCitation":"(Laishram et al., 2025)","plainTextFormattedCitation":"(Laishram et al., 2025)","previouslyFormattedCitation":"(Laishram et al., 2025)"},"properties":{"noteIndex":0},"schema":"https://github.com/citation-style-language/schema/raw/master/csl-citation.json"}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(Laishram et al., 2025)</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3DE9D5B8" w14:textId="33F04C1A" w:rsidR="00172BF8" w:rsidRPr="00DA6C98" w:rsidRDefault="008A1F62" w:rsidP="00DA6C98">
      <w:pPr>
        <w:spacing w:line="360" w:lineRule="auto"/>
        <w:jc w:val="both"/>
        <w:rPr>
          <w:rFonts w:ascii="Times New Roman" w:hAnsi="Times New Roman" w:cs="Times New Roman"/>
        </w:rPr>
      </w:pPr>
      <w:r w:rsidRPr="008A1F62">
        <w:rPr>
          <w:rFonts w:ascii="Times New Roman" w:hAnsi="Times New Roman" w:cs="Times New Roman"/>
        </w:rPr>
        <w:t xml:space="preserve">Furthermore, hydroponic and aeroponic greenhouse are being connected to an IoT-based monitoring and automation able to deliver real-time feedback and regulate important growth variables. In the case of Internet of Things based smart automated indoor hydroponics and aeroponics greenhouse in Egypt (2024), the system describes a system that monitors and controls environmental and nutrient parameters and enhances the uniformity of the growth under new ambient conditions. </w:t>
      </w:r>
      <w:r w:rsidR="00172BF8" w:rsidRPr="00DA6C98">
        <w:rPr>
          <w:rFonts w:ascii="Times New Roman" w:hAnsi="Times New Roman" w:cs="Times New Roman"/>
        </w:rPr>
        <w:fldChar w:fldCharType="begin" w:fldLock="1"/>
      </w:r>
      <w:r w:rsidR="00C84DA2" w:rsidRPr="00DA6C98">
        <w:rPr>
          <w:rFonts w:ascii="Times New Roman" w:hAnsi="Times New Roman" w:cs="Times New Roman"/>
        </w:rPr>
        <w:instrText>ADDIN CSL_CITATION {"citationItems":[{"id":"ITEM-1","itemData":{"DOI":"10.1016/j.asej.2023.102341","ISSN":"20904479","abstract":"The world's population explosion and water scarcity has researchers looking for smart innovations to provide food for the world and save water. In recent years, smart technologies have received much attention in the areas of irrigation and agriculture research. The main objective of this paper is to design and implement of new smart hydroponic and aeroponic greenhouse system based on Internet of Things (IoT) technology for research studies in National Water Research Center. The greenhouse is connected to many various tools for controlling the weather conditions automatically inside the greenhouse consistent with the plant type and season. The indoor environment is equipped with a set of IoT sensors to measure various parameters such as temperature; Humidity, luminous intensity, and total dissolved solids. The pesticide spraying tank is also used to overcome pests within the greenhouse. The IoT platform was used to automate and store system parameters, as well as provide graphical interface remote access. With minimal user input, the constructed system can preserve healthy plant growing parameters. The current study evaluates the environmental and technical impacts of the developed smart system on the cultivation of Batavia lettuce with high economic value. It can conclude that improving water and energy use efficiency (saving them to about 80%), in addition to doubling productivity per area and reducing the time yield to reach 45 days comparing 75 days with the traditional agriculture whatever the fertility of the soil. Moreover, save labor in agriculture, and reducing fertilizer and pesticide use. The resulted of Total Dissolved Solids (TDS), Relative Humidity (RH), and Temperature (T) was analyzed and evaluated during the cultivation period with and without the developed smart system.","author":[{"dropping-particle":"","family":"Sadek","given":"Nahla","non-dropping-particle":"","parse-names":false,"suffix":""},{"dropping-particle":"","family":"kamal","given":"Noha","non-dropping-particle":"","parse-names":false,"suffix":""},{"dropping-particle":"","family":"Shehata","given":"Dalia","non-dropping-particle":"","parse-names":false,"suffix":""}],"container-title":"Ain Shams Engineering Journal","id":"ITEM-1","issue":"2","issued":{"date-parts":[["2024"]]},"page":"102341","publisher":"Faculty of Engineering, Ain Shams University","title":"Internet of Things based smart automated indoor hydroponics and aeroponics greenhouse in Egypt","type":"article-journal","volume":"15"},"uris":["http://www.mendeley.com/documents/?uuid=0920e693-34b5-47ef-8ce3-af4fb03c8024"]}],"mendeley":{"formattedCitation":"(Sadek et al., 2024)","plainTextFormattedCitation":"(Sadek et al., 2024)","previouslyFormattedCitation":"(Sadek et al., 2024)"},"properties":{"noteIndex":0},"schema":"https://github.com/citation-style-language/schema/raw/master/csl-citation.json"}</w:instrText>
      </w:r>
      <w:r w:rsidR="00172BF8" w:rsidRPr="00DA6C98">
        <w:rPr>
          <w:rFonts w:ascii="Times New Roman" w:hAnsi="Times New Roman" w:cs="Times New Roman"/>
        </w:rPr>
        <w:fldChar w:fldCharType="separate"/>
      </w:r>
      <w:r w:rsidR="00172BF8" w:rsidRPr="00DA6C98">
        <w:rPr>
          <w:rFonts w:ascii="Times New Roman" w:hAnsi="Times New Roman" w:cs="Times New Roman"/>
          <w:noProof/>
        </w:rPr>
        <w:t>(Sadek et al., 2024)</w:t>
      </w:r>
      <w:r w:rsidR="00172BF8" w:rsidRPr="00DA6C98">
        <w:rPr>
          <w:rFonts w:ascii="Times New Roman" w:hAnsi="Times New Roman" w:cs="Times New Roman"/>
        </w:rPr>
        <w:fldChar w:fldCharType="end"/>
      </w:r>
      <w:r w:rsidR="00172BF8" w:rsidRPr="00DA6C98">
        <w:rPr>
          <w:rFonts w:ascii="Times New Roman" w:hAnsi="Times New Roman" w:cs="Times New Roman"/>
        </w:rPr>
        <w:t>.</w:t>
      </w:r>
    </w:p>
    <w:p w14:paraId="4EB8D8C6" w14:textId="4E7FEA8C" w:rsidR="00172BF8" w:rsidRPr="00DA6C98" w:rsidRDefault="008A1F62" w:rsidP="00DA6C98">
      <w:pPr>
        <w:spacing w:line="360" w:lineRule="auto"/>
        <w:jc w:val="both"/>
        <w:rPr>
          <w:rFonts w:ascii="Times New Roman" w:hAnsi="Times New Roman" w:cs="Times New Roman"/>
        </w:rPr>
      </w:pPr>
      <w:r w:rsidRPr="008A1F62">
        <w:rPr>
          <w:rFonts w:ascii="Times New Roman" w:hAnsi="Times New Roman" w:cs="Times New Roman"/>
        </w:rPr>
        <w:t xml:space="preserve">Although these advancements are there, there exists challenges. These are high </w:t>
      </w:r>
      <w:proofErr w:type="spellStart"/>
      <w:r w:rsidRPr="008A1F62">
        <w:rPr>
          <w:rFonts w:ascii="Times New Roman" w:hAnsi="Times New Roman" w:cs="Times New Roman"/>
        </w:rPr>
        <w:t>start up</w:t>
      </w:r>
      <w:proofErr w:type="spellEnd"/>
      <w:r w:rsidRPr="008A1F62">
        <w:rPr>
          <w:rFonts w:ascii="Times New Roman" w:hAnsi="Times New Roman" w:cs="Times New Roman"/>
        </w:rPr>
        <w:t xml:space="preserve"> cost of technology, integration complexity, inconsistency of organic or microbes input efficiency and lack of </w:t>
      </w:r>
      <w:proofErr w:type="gramStart"/>
      <w:r w:rsidRPr="008A1F62">
        <w:rPr>
          <w:rFonts w:ascii="Times New Roman" w:hAnsi="Times New Roman" w:cs="Times New Roman"/>
        </w:rPr>
        <w:t>long term</w:t>
      </w:r>
      <w:proofErr w:type="gramEnd"/>
      <w:r w:rsidRPr="008A1F62">
        <w:rPr>
          <w:rFonts w:ascii="Times New Roman" w:hAnsi="Times New Roman" w:cs="Times New Roman"/>
        </w:rPr>
        <w:t xml:space="preserve"> field gleaning particularly in business. To respond to them, it is necessary to perform strict quantification of system responses, standardization of monitoring procedures, and integration of digital technologies and biological approaches. The synthesis in this paper </w:t>
      </w:r>
      <w:r w:rsidRPr="008A1F62">
        <w:rPr>
          <w:rFonts w:ascii="Times New Roman" w:hAnsi="Times New Roman" w:cs="Times New Roman"/>
        </w:rPr>
        <w:lastRenderedPageBreak/>
        <w:t>contributes to the development of AI-controlled hydroponics, the roles of the PGPM, and the issues related to integrations and required research to achieve sustainable farming</w:t>
      </w:r>
      <w:r w:rsidR="009A1F6A" w:rsidRPr="00DA6C98">
        <w:rPr>
          <w:rFonts w:ascii="Times New Roman" w:hAnsi="Times New Roman" w:cs="Times New Roman"/>
        </w:rPr>
        <w:t>.</w:t>
      </w:r>
    </w:p>
    <w:p w14:paraId="222785E5" w14:textId="77777777" w:rsidR="00313779" w:rsidRPr="00DA6C98" w:rsidRDefault="00313779" w:rsidP="00DA6C98">
      <w:pPr>
        <w:spacing w:line="360" w:lineRule="auto"/>
        <w:jc w:val="both"/>
        <w:rPr>
          <w:rFonts w:ascii="Times New Roman" w:hAnsi="Times New Roman" w:cs="Times New Roman"/>
        </w:rPr>
      </w:pPr>
    </w:p>
    <w:p w14:paraId="3016B245" w14:textId="3E2BE6C4" w:rsidR="00313779" w:rsidRPr="00FD3B7B" w:rsidRDefault="00313779" w:rsidP="00FD3B7B">
      <w:pPr>
        <w:pStyle w:val="ListParagraph"/>
        <w:numPr>
          <w:ilvl w:val="0"/>
          <w:numId w:val="2"/>
        </w:numPr>
        <w:spacing w:line="360" w:lineRule="auto"/>
        <w:jc w:val="both"/>
        <w:rPr>
          <w:rFonts w:ascii="Times New Roman" w:hAnsi="Times New Roman" w:cs="Times New Roman"/>
          <w:b/>
          <w:bCs/>
        </w:rPr>
      </w:pPr>
      <w:r w:rsidRPr="00FD3B7B">
        <w:rPr>
          <w:rFonts w:ascii="Times New Roman" w:hAnsi="Times New Roman" w:cs="Times New Roman"/>
          <w:b/>
          <w:bCs/>
        </w:rPr>
        <w:t>AI-Optimized Nutrient Formulations in Hydroponics</w:t>
      </w:r>
    </w:p>
    <w:p w14:paraId="18396983" w14:textId="09754111" w:rsidR="00AC64B6" w:rsidRPr="00FD3B7B" w:rsidRDefault="0035380D" w:rsidP="00FD3B7B">
      <w:pPr>
        <w:spacing w:line="360" w:lineRule="auto"/>
        <w:jc w:val="both"/>
        <w:rPr>
          <w:rFonts w:ascii="Times New Roman" w:hAnsi="Times New Roman" w:cs="Times New Roman"/>
        </w:rPr>
      </w:pPr>
      <w:r w:rsidRPr="00FD3B7B">
        <w:rPr>
          <w:rFonts w:ascii="Times New Roman" w:hAnsi="Times New Roman" w:cs="Times New Roman"/>
        </w:rPr>
        <w:t xml:space="preserve">As a combination of AI-based algorithms and IoT sensor networks, this technology allows to dose the nutrients in hydroponics accurately, eliminating the human factor and increasing the stability of yield. Predictive analytics and optimization models optimize the utilization of nutrients and reduce the environment effects which improve AI as a revolutionary solution in sustainable hydroponic systems. </w:t>
      </w:r>
      <w:r w:rsidR="00200870" w:rsidRPr="00FD3B7B">
        <w:rPr>
          <w:rFonts w:ascii="Times New Roman" w:hAnsi="Times New Roman" w:cs="Times New Roman"/>
        </w:rPr>
        <w:fldChar w:fldCharType="begin" w:fldLock="1"/>
      </w:r>
      <w:r w:rsidR="00200870" w:rsidRPr="00FD3B7B">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200870" w:rsidRPr="00FD3B7B">
        <w:rPr>
          <w:rFonts w:ascii="Times New Roman" w:hAnsi="Times New Roman" w:cs="Times New Roman"/>
        </w:rPr>
        <w:fldChar w:fldCharType="separate"/>
      </w:r>
      <w:r w:rsidR="00200870" w:rsidRPr="00FD3B7B">
        <w:rPr>
          <w:rFonts w:ascii="Times New Roman" w:hAnsi="Times New Roman" w:cs="Times New Roman"/>
          <w:noProof/>
        </w:rPr>
        <w:t>(Dhal et al., 2024)</w:t>
      </w:r>
      <w:r w:rsidR="00200870" w:rsidRPr="00FD3B7B">
        <w:rPr>
          <w:rFonts w:ascii="Times New Roman" w:hAnsi="Times New Roman" w:cs="Times New Roman"/>
        </w:rPr>
        <w:fldChar w:fldCharType="end"/>
      </w:r>
      <w:r w:rsidR="00200870" w:rsidRPr="00FD3B7B">
        <w:rPr>
          <w:rFonts w:ascii="Times New Roman" w:hAnsi="Times New Roman" w:cs="Times New Roman"/>
        </w:rPr>
        <w:t>;</w:t>
      </w:r>
      <w:r w:rsidR="00200870" w:rsidRPr="00FD3B7B">
        <w:rPr>
          <w:rFonts w:ascii="Times New Roman" w:hAnsi="Times New Roman" w:cs="Times New Roman"/>
        </w:rPr>
        <w:fldChar w:fldCharType="begin" w:fldLock="1"/>
      </w:r>
      <w:r w:rsidR="00A45B0B"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00870" w:rsidRPr="00FD3B7B">
        <w:rPr>
          <w:rFonts w:ascii="Times New Roman" w:hAnsi="Times New Roman" w:cs="Times New Roman"/>
        </w:rPr>
        <w:fldChar w:fldCharType="separate"/>
      </w:r>
      <w:r w:rsidR="00200870" w:rsidRPr="00FD3B7B">
        <w:rPr>
          <w:rFonts w:ascii="Times New Roman" w:hAnsi="Times New Roman" w:cs="Times New Roman"/>
          <w:noProof/>
        </w:rPr>
        <w:t>(Woźniak &amp; Ijaz, 2024)</w:t>
      </w:r>
      <w:r w:rsidR="00200870" w:rsidRPr="00FD3B7B">
        <w:rPr>
          <w:rFonts w:ascii="Times New Roman" w:hAnsi="Times New Roman" w:cs="Times New Roman"/>
        </w:rPr>
        <w:fldChar w:fldCharType="end"/>
      </w:r>
      <w:r w:rsidR="00200870" w:rsidRPr="00FD3B7B">
        <w:rPr>
          <w:rFonts w:ascii="Times New Roman" w:hAnsi="Times New Roman" w:cs="Times New Roman"/>
        </w:rPr>
        <w:t>.</w:t>
      </w:r>
    </w:p>
    <w:p w14:paraId="45E4337B" w14:textId="77777777" w:rsidR="00AB0A30" w:rsidRPr="00DA6C98" w:rsidRDefault="00AB0A30" w:rsidP="00DA6C98">
      <w:pPr>
        <w:pStyle w:val="ListParagraph"/>
        <w:numPr>
          <w:ilvl w:val="1"/>
          <w:numId w:val="2"/>
        </w:numPr>
        <w:spacing w:after="0" w:line="360" w:lineRule="auto"/>
        <w:ind w:left="360"/>
        <w:jc w:val="both"/>
        <w:rPr>
          <w:rFonts w:ascii="Times New Roman" w:hAnsi="Times New Roman" w:cs="Times New Roman"/>
          <w:b/>
          <w:bCs/>
        </w:rPr>
      </w:pPr>
      <w:r w:rsidRPr="00DA6C98">
        <w:rPr>
          <w:rFonts w:ascii="Times New Roman" w:hAnsi="Times New Roman" w:cs="Times New Roman"/>
          <w:b/>
          <w:bCs/>
        </w:rPr>
        <w:t> Machine Learning Models for Nutrient Prediction and Control</w:t>
      </w:r>
    </w:p>
    <w:p w14:paraId="035642A9" w14:textId="77777777" w:rsidR="00AB0A30" w:rsidRPr="00DA6C98" w:rsidRDefault="00AB0A30" w:rsidP="00DA6C98">
      <w:pPr>
        <w:spacing w:after="0" w:line="360" w:lineRule="auto"/>
        <w:jc w:val="both"/>
        <w:rPr>
          <w:rFonts w:ascii="Times New Roman" w:hAnsi="Times New Roman" w:cs="Times New Roman"/>
          <w:b/>
          <w:bCs/>
        </w:rPr>
      </w:pPr>
    </w:p>
    <w:p w14:paraId="58CDBFE6" w14:textId="278FB570" w:rsidR="00184C88" w:rsidRPr="00DA6C98" w:rsidRDefault="005B7D30" w:rsidP="00DA6C98">
      <w:pPr>
        <w:spacing w:line="360" w:lineRule="auto"/>
        <w:jc w:val="both"/>
        <w:rPr>
          <w:rFonts w:ascii="Times New Roman" w:hAnsi="Times New Roman" w:cs="Times New Roman"/>
        </w:rPr>
      </w:pPr>
      <w:r w:rsidRPr="005B7D30">
        <w:rPr>
          <w:rFonts w:ascii="Times New Roman" w:hAnsi="Times New Roman" w:cs="Times New Roman"/>
        </w:rPr>
        <w:t xml:space="preserve">Complex machine learning technologies have transformed accurate control of nutrients in hydroponic plants by forecasting patterns of nutrient uptake in plants and real-time resource optimization. Random Forest algorithms can be used to predict 81 percent and Support Vector Regression models can be used to predict using multiple parameters of soybean hydroponic systems. </w:t>
      </w:r>
      <w:r w:rsidR="00184C88" w:rsidRPr="00DA6C98">
        <w:rPr>
          <w:rFonts w:ascii="Times New Roman" w:hAnsi="Times New Roman" w:cs="Times New Roman"/>
        </w:rPr>
        <w:fldChar w:fldCharType="begin" w:fldLock="1"/>
      </w:r>
      <w:r w:rsidR="00184C88"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184C88" w:rsidRPr="00DA6C98">
        <w:rPr>
          <w:rFonts w:ascii="Times New Roman" w:hAnsi="Times New Roman" w:cs="Times New Roman"/>
        </w:rPr>
        <w:fldChar w:fldCharType="separate"/>
      </w:r>
      <w:r w:rsidR="00184C88" w:rsidRPr="00DA6C98">
        <w:rPr>
          <w:rFonts w:ascii="Times New Roman" w:hAnsi="Times New Roman" w:cs="Times New Roman"/>
          <w:noProof/>
        </w:rPr>
        <w:t>(Dhal et al., 2024)</w:t>
      </w:r>
      <w:r w:rsidR="00184C88" w:rsidRPr="00DA6C98">
        <w:rPr>
          <w:rFonts w:ascii="Times New Roman" w:hAnsi="Times New Roman" w:cs="Times New Roman"/>
        </w:rPr>
        <w:fldChar w:fldCharType="end"/>
      </w:r>
      <w:r w:rsidR="00184C88" w:rsidRPr="00DA6C98">
        <w:rPr>
          <w:rFonts w:ascii="Times New Roman" w:hAnsi="Times New Roman" w:cs="Times New Roman"/>
        </w:rPr>
        <w:t>;</w:t>
      </w:r>
      <w:r w:rsidR="00184C88" w:rsidRPr="00DA6C98">
        <w:rPr>
          <w:rFonts w:ascii="Times New Roman" w:hAnsi="Times New Roman" w:cs="Times New Roman"/>
        </w:rPr>
        <w:fldChar w:fldCharType="begin" w:fldLock="1"/>
      </w:r>
      <w:r w:rsidR="00966D5A"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184C88" w:rsidRPr="00DA6C98">
        <w:rPr>
          <w:rFonts w:ascii="Times New Roman" w:hAnsi="Times New Roman" w:cs="Times New Roman"/>
        </w:rPr>
        <w:fldChar w:fldCharType="separate"/>
      </w:r>
      <w:r w:rsidR="00184C88" w:rsidRPr="00DA6C98">
        <w:rPr>
          <w:rFonts w:ascii="Times New Roman" w:hAnsi="Times New Roman" w:cs="Times New Roman"/>
          <w:noProof/>
        </w:rPr>
        <w:t>(Woźniak &amp; Ijaz, 2024)</w:t>
      </w:r>
      <w:r w:rsidR="00184C88"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64096D" w:rsidRPr="0064096D">
        <w:rPr>
          <w:rFonts w:ascii="Times New Roman" w:hAnsi="Times New Roman" w:cs="Times New Roman"/>
        </w:rPr>
        <w:t>Artificial Neural Networks also minimize the percentage of manual interventions in tomato production by 55% and the percentage of resources used by 65% with automated feedback control systems.</w:t>
      </w:r>
      <w:r w:rsidR="00F81CA2" w:rsidRPr="00DA6C98">
        <w:rPr>
          <w:rFonts w:ascii="Times New Roman" w:hAnsi="Times New Roman" w:cs="Times New Roman"/>
        </w:rPr>
        <w:t xml:space="preserve"> </w:t>
      </w:r>
      <w:r w:rsidR="00F81CA2" w:rsidRPr="00DA6C98">
        <w:rPr>
          <w:rFonts w:ascii="Times New Roman" w:hAnsi="Times New Roman" w:cs="Times New Roman"/>
        </w:rPr>
        <w:fldChar w:fldCharType="begin" w:fldLock="1"/>
      </w:r>
      <w:r w:rsidR="00490791" w:rsidRPr="00DA6C98">
        <w:rPr>
          <w:rFonts w:ascii="Times New Roman" w:hAnsi="Times New Roman" w:cs="Times New Roman"/>
        </w:rPr>
        <w:instrText>ADDIN CSL_CITATION {"citationItems":[{"id":"ITEM-1","itemData":{"DOI":"10.1016/j.mex.2025.103579","ISSN":"22150161","abstract":"This research presents an AI-powered automated hydroponic system designed to enhance the efficiency and sustainability of modern agriculture. The system integrates real-time environmental monitoring, automated nutrient management, and AI-based disease detection to optimize plant growth and minimize manual intervention. An ESP32 microcontroller collects data from specialized sensors measuring Total Dissolved Solids (TDS), pH, temperature, and light intensity. Data is wirelessly transmitted via MQTT to an EMQX broker, subsequently processed by an ExpressJS backend, and stored in a Firebase Realtime Database. A NextJS web application provides a user-friendly dashboard for visualization, alerts, and remote control. Automation is achieved using relay-controlled peristaltic and water pumps that adjust nutrient dosing and circulation based on sensor readings. A camera module captures plant images, which are analyzed by a CNN model running on a separate AI server to detect common spinach diseases like Anthracnose and Downy Mildew, enabling early intervention. This integrated system combines IoT, cloud data management, automation, and AI-based visual inspection to offer a comprehensive solution for precision hydroponic farming. Evaluation demonstrates high accuracy in disease detection, robust system performance, and significant potential for improving crop health, yield, and reducing manual labor in diverse agricultural settings. The system, along with its full codebase, has been made publicly available to promote reproducibility. • Automated Precision Hydroponics: Combines real-time environmental monitoring, automated nutrient management, and AI-powered disease detection for optimized spinach cultivation. • Reproducible and Scalable Method: Provides a detailed, step-by-step protocol for constructing and operating the system, adaptable to various hydroponic setups and crop types. • Sustainable and Efficient Agriculture: Minimizes resource consumption, reduces manual labour, and promotes environmentally friendly practices.","author":[{"dropping-particle":"","family":"Baraskar","given":"Prof Trupti","non-dropping-particle":"","parse-names":false,"suffix":""},{"dropping-particle":"","family":"Khatri","given":"Viren","non-dropping-particle":"","parse-names":false,"suffix":""},{"dropping-particle":"","family":"Kolhe","given":"Parimal","non-dropping-particle":"","parse-names":false,"suffix":""},{"dropping-particle":"","family":"Katyarmal","given":"Mitheelesh","non-dropping-particle":"","parse-names":false,"suffix":""},{"dropping-particle":"","family":"Khedekar","given":"Shaunak","non-dropping-particle":"","parse-names":false,"suffix":""}],"container-title":"MethodsX","id":"ITEM-1","issue":"August","issued":{"date-parts":[["2025"]]},"page":"103579","publisher":"Elsevier B.V.","title":"AI-powered automated hydroponic system for smart agriculture","type":"article-journal","volume":"15"},"uris":["http://www.mendeley.com/documents/?uuid=5cc715aa-b215-4c9a-b7f6-245306eed8c0"]}],"mendeley":{"formattedCitation":"(Baraskar et al., 2025)","plainTextFormattedCitation":"(Baraskar et al., 2025)","previouslyFormattedCitation":"(Baraskar et al., 2025)"},"properties":{"noteIndex":0},"schema":"https://github.com/citation-style-language/schema/raw/master/csl-citation.json"}</w:instrText>
      </w:r>
      <w:r w:rsidR="00F81CA2" w:rsidRPr="00DA6C98">
        <w:rPr>
          <w:rFonts w:ascii="Times New Roman" w:hAnsi="Times New Roman" w:cs="Times New Roman"/>
        </w:rPr>
        <w:fldChar w:fldCharType="separate"/>
      </w:r>
      <w:r w:rsidR="00490791" w:rsidRPr="00DA6C98">
        <w:rPr>
          <w:rFonts w:ascii="Times New Roman" w:hAnsi="Times New Roman" w:cs="Times New Roman"/>
          <w:noProof/>
        </w:rPr>
        <w:t>(Baraskar et al., 2025)</w:t>
      </w:r>
      <w:r w:rsidR="00F81CA2"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892B01" w:rsidRPr="00892B01">
        <w:rPr>
          <w:rFonts w:ascii="Times New Roman" w:hAnsi="Times New Roman" w:cs="Times New Roman"/>
        </w:rPr>
        <w:t xml:space="preserve">Convolutional Neural Networks classify plant diseases and detect nutrient deficiency with 98 percent accuracy, which can be used as a preventive intervention measure. </w:t>
      </w:r>
      <w:r w:rsidR="00966D5A" w:rsidRPr="00DA6C98">
        <w:rPr>
          <w:rFonts w:ascii="Times New Roman" w:hAnsi="Times New Roman" w:cs="Times New Roman"/>
        </w:rPr>
        <w:fldChar w:fldCharType="begin" w:fldLock="1"/>
      </w:r>
      <w:r w:rsidR="00966D5A"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966D5A" w:rsidRPr="00DA6C98">
        <w:rPr>
          <w:rFonts w:ascii="Times New Roman" w:hAnsi="Times New Roman" w:cs="Times New Roman"/>
        </w:rPr>
        <w:fldChar w:fldCharType="separate"/>
      </w:r>
      <w:r w:rsidR="00966D5A" w:rsidRPr="00DA6C98">
        <w:rPr>
          <w:rFonts w:ascii="Times New Roman" w:hAnsi="Times New Roman" w:cs="Times New Roman"/>
          <w:noProof/>
        </w:rPr>
        <w:t>(Woźniak &amp; Ijaz, 2024)</w:t>
      </w:r>
      <w:r w:rsidR="00966D5A" w:rsidRPr="00DA6C98">
        <w:rPr>
          <w:rFonts w:ascii="Times New Roman" w:hAnsi="Times New Roman" w:cs="Times New Roman"/>
        </w:rPr>
        <w:fldChar w:fldCharType="end"/>
      </w:r>
      <w:r w:rsidR="00966D5A" w:rsidRPr="00DA6C98">
        <w:rPr>
          <w:rFonts w:ascii="Times New Roman" w:hAnsi="Times New Roman" w:cs="Times New Roman"/>
        </w:rPr>
        <w:t>;</w:t>
      </w:r>
      <w:r w:rsidR="00966D5A" w:rsidRPr="00DA6C98">
        <w:rPr>
          <w:rFonts w:ascii="Times New Roman" w:hAnsi="Times New Roman" w:cs="Times New Roman"/>
        </w:rPr>
        <w:fldChar w:fldCharType="begin" w:fldLock="1"/>
      </w:r>
      <w:r w:rsidR="00F81CA2" w:rsidRPr="00DA6C98">
        <w:rPr>
          <w:rFonts w:ascii="Times New Roman" w:hAnsi="Times New Roman" w:cs="Times New Roman"/>
        </w:rPr>
        <w:instrText>ADDIN CSL_CITATION {"citationItems":[{"id":"ITEM-1","itemData":{"DOI":"10.3389/fpls.2023.1270039","ISSN":"1664462X","abstract":"Addressing the pressing issues of increased food demand, declining crop productivity under varying agroclimatic conditions, and the deteriorating soil health resulting from the overuse of agricultural chemicals, requires innovative and effective strategies for the present era. Microbial bioformulation technology is a revolutionary, and eco-friendly alternative to agrochemicals that paves the way for sustainable agriculture. This technology harnesses the power of potential microbial strains and their cell-free filtrate possessing specific properties, such as phosphorus, potassium, and zinc solubilization, nitrogen fixation, siderophore production, and pathogen protection. The application of microbial bioformulations offers several remarkable advantages, including its sustainable nature, plant probiotic properties, and long-term viability, positioning it as a promising technology for the future of agriculture. To maintain the survival and viability of microbial strains, diverse carrier materials are employed to provide essential nourishment and support. Various carrier materials with their unique pros and cons are available, and choosing the most appropriate one is a key consideration, as it substantially extends the shelf life of microbial cells and maintains the overall quality of the bioinoculants. An exemplary modern bioformulation technology involves immobilizing microbial cells and utilizing cell-free filters to preserve the efficacy of bioinoculants, showcasing cutting-edge progress in this field. Moreover, the effective delivery of bioformulations in agricultural fields is another critical aspect to improve their overall efficiency. Proper and suitable application of microbial formulations is essential to boost soil fertility, preserve the soil’s microbial ecology, enhance soil nutrition, and support crop physiological and biochemical processes, leading to increased yields in a sustainable manner while reducing reliance on expensive and toxic agrochemicals. This manuscript centers on exploring microbial bioformulations and their carrier materials, providing insights into the selection criteria, the development process of bioformulations, precautions, and best practices for various agricultural lands. The potential of bioformulations in promoting plant growth and defense against pathogens and diseases, while addressing biosafety concerns, is also a focal point of this study.","author":[{"dropping-particle":"","family":"Khan","given":"Amir","non-dropping-particle":"","parse-names":false,"suffix":""},{"dropping-particle":"","family":"Singh","given":"Ajay Veer","non-dropping-particle":"","parse-names":false,"suffix":""},{"dropping-particle":"","family":"Gautam","given":"Shiv Shanker","non-dropping-particle":"","parse-names":false,"suffix":""},{"dropping-particle":"","family":"Agarwal","given":"Aparna","non-dropping-particle":"","parse-names":false,"suffix":""},{"dropping-particle":"","family":"Punetha","given":"Arjita","non-dropping-particle":"","parse-names":false,"suffix":""},{"dropping-particle":"","family":"Upadhayay","given":"Viabhav Kumar","non-dropping-particle":"","parse-names":false,"suffix":""},{"dropping-particle":"","family":"Kukreti","given":"Bharti","non-dropping-particle":"","parse-names":false,"suffix":""},{"dropping-particle":"","family":"Bundela","given":"Vindhya","non-dropping-particle":"","parse-names":false,"suffix":""},{"dropping-particle":"","family":"Jugran","given":"Arun Kumar","non-dropping-particle":"","parse-names":false,"suffix":""},{"dropping-particle":"","family":"Goel","given":"Reeta","non-dropping-particle":"","parse-names":false,"suffix":""}],"container-title":"Frontiers in Plant Science","id":"ITEM-1","issue":"December","issued":{"date-parts":[["2023"]]},"page":"1-22","title":"Microbial bioformulation: a microbial assisted biostimulating fertilization technique for sustainable agriculture","type":"article-journal","volume":"14"},"uris":["http://www.mendeley.com/documents/?uuid=b489853f-10a2-4603-a036-028de161086d"]}],"mendeley":{"formattedCitation":"(Khan et al., 2023)","plainTextFormattedCitation":"(Khan et al., 2023)","previouslyFormattedCitation":"(Khan et al., 2023)"},"properties":{"noteIndex":0},"schema":"https://github.com/citation-style-language/schema/raw/master/csl-citation.json"}</w:instrText>
      </w:r>
      <w:r w:rsidR="00966D5A" w:rsidRPr="00DA6C98">
        <w:rPr>
          <w:rFonts w:ascii="Times New Roman" w:hAnsi="Times New Roman" w:cs="Times New Roman"/>
        </w:rPr>
        <w:fldChar w:fldCharType="separate"/>
      </w:r>
      <w:r w:rsidR="00966D5A" w:rsidRPr="00DA6C98">
        <w:rPr>
          <w:rFonts w:ascii="Times New Roman" w:hAnsi="Times New Roman" w:cs="Times New Roman"/>
          <w:noProof/>
        </w:rPr>
        <w:t>(Khan et al., 2023)</w:t>
      </w:r>
      <w:r w:rsidR="00966D5A" w:rsidRPr="00DA6C98">
        <w:rPr>
          <w:rFonts w:ascii="Times New Roman" w:hAnsi="Times New Roman" w:cs="Times New Roman"/>
        </w:rPr>
        <w:fldChar w:fldCharType="end"/>
      </w:r>
      <w:r w:rsidR="00184C88" w:rsidRPr="00DA6C98">
        <w:rPr>
          <w:rFonts w:ascii="Times New Roman" w:hAnsi="Times New Roman" w:cs="Times New Roman"/>
        </w:rPr>
        <w:t xml:space="preserve">. </w:t>
      </w:r>
      <w:r w:rsidR="0012725C" w:rsidRPr="0012725C">
        <w:rPr>
          <w:rFonts w:ascii="Times New Roman" w:hAnsi="Times New Roman" w:cs="Times New Roman"/>
        </w:rPr>
        <w:t>The addition of IoT sensors networks would enable continuous monitoring of multi-parameters and real-time changes in nutrient solutions increasing the level of responsiveness and accuracy of the system</w:t>
      </w:r>
      <w:r w:rsidR="00F81CA2" w:rsidRPr="00DA6C98">
        <w:rPr>
          <w:rFonts w:ascii="Times New Roman" w:hAnsi="Times New Roman" w:cs="Times New Roman"/>
        </w:rPr>
        <w:t>.</w:t>
      </w:r>
    </w:p>
    <w:p w14:paraId="316B18E1" w14:textId="77777777" w:rsidR="003C4EEB" w:rsidRPr="00DA6C98" w:rsidRDefault="003C4EEB" w:rsidP="00DA6C98">
      <w:pPr>
        <w:spacing w:line="360" w:lineRule="auto"/>
        <w:jc w:val="both"/>
        <w:rPr>
          <w:rFonts w:ascii="Times New Roman" w:hAnsi="Times New Roman" w:cs="Times New Roman"/>
        </w:rPr>
      </w:pPr>
    </w:p>
    <w:p w14:paraId="10993A01" w14:textId="77777777" w:rsidR="003C4EEB" w:rsidRPr="00DA6C98" w:rsidRDefault="003C4EEB" w:rsidP="00DA6C98">
      <w:pPr>
        <w:spacing w:line="360" w:lineRule="auto"/>
        <w:jc w:val="both"/>
        <w:rPr>
          <w:rFonts w:ascii="Times New Roman" w:hAnsi="Times New Roman" w:cs="Times New Roman"/>
          <w:b/>
          <w:bCs/>
        </w:rPr>
      </w:pPr>
      <w:r w:rsidRPr="00DA6C98">
        <w:rPr>
          <w:rFonts w:ascii="Times New Roman" w:hAnsi="Times New Roman" w:cs="Times New Roman"/>
          <w:b/>
          <w:bCs/>
        </w:rPr>
        <w:t>2.2</w:t>
      </w:r>
      <w:r w:rsidRPr="00DA6C98">
        <w:rPr>
          <w:rFonts w:ascii="Times New Roman" w:hAnsi="Times New Roman" w:cs="Times New Roman"/>
        </w:rPr>
        <w:t xml:space="preserve"> </w:t>
      </w:r>
      <w:r w:rsidRPr="00DA6C98">
        <w:rPr>
          <w:rFonts w:ascii="Times New Roman" w:hAnsi="Times New Roman" w:cs="Times New Roman"/>
          <w:b/>
          <w:bCs/>
        </w:rPr>
        <w:t>IoT Integration and Sensor Network Architecture</w:t>
      </w:r>
    </w:p>
    <w:p w14:paraId="115ED0D7" w14:textId="1AC2260B" w:rsidR="003C4EEB" w:rsidRDefault="0012725C" w:rsidP="00DA6C98">
      <w:pPr>
        <w:spacing w:line="360" w:lineRule="auto"/>
        <w:jc w:val="both"/>
        <w:rPr>
          <w:rFonts w:ascii="Times New Roman" w:hAnsi="Times New Roman" w:cs="Times New Roman"/>
        </w:rPr>
      </w:pPr>
      <w:r w:rsidRPr="0012725C">
        <w:rPr>
          <w:rFonts w:ascii="Times New Roman" w:hAnsi="Times New Roman" w:cs="Times New Roman"/>
        </w:rPr>
        <w:t xml:space="preserve">IoT platforms help collect extensive data on the basis of multi-parameter sensor networks, which monitor pH, electrical conductivity, dissolved oxygen, temperature, humidity, and light intensity in real-time.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(Abdelhamid et al., 2025)</w:t>
      </w:r>
      <w:r w:rsidR="003C4EEB" w:rsidRPr="00DA6C98">
        <w:rPr>
          <w:rFonts w:ascii="Times New Roman" w:hAnsi="Times New Roman" w:cs="Times New Roman"/>
        </w:rPr>
        <w:fldChar w:fldCharType="end"/>
      </w:r>
      <w:r w:rsidR="003C4EEB" w:rsidRPr="00DA6C98">
        <w:rPr>
          <w:rFonts w:ascii="Times New Roman" w:hAnsi="Times New Roman" w:cs="Times New Roman"/>
        </w:rPr>
        <w:t xml:space="preserve">. </w:t>
      </w:r>
      <w:r w:rsidR="00B25A00" w:rsidRPr="00B25A00">
        <w:rPr>
          <w:rFonts w:ascii="Times New Roman" w:hAnsi="Times New Roman" w:cs="Times New Roman"/>
        </w:rPr>
        <w:t xml:space="preserve">The sensor fusion algorithms are advanced that combine data streams of various type to give a holistic assessment of the system state to allow the prediction analytics to predict nutrient demand and to optimize the environment.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(Woźniak &amp; Ijaz, 2024)</w:t>
      </w:r>
      <w:r w:rsidR="003C4EEB" w:rsidRPr="00DA6C98">
        <w:rPr>
          <w:rFonts w:ascii="Times New Roman" w:hAnsi="Times New Roman" w:cs="Times New Roman"/>
        </w:rPr>
        <w:fldChar w:fldCharType="end"/>
      </w:r>
      <w:r w:rsidR="003C4EEB" w:rsidRPr="00DA6C98">
        <w:rPr>
          <w:rFonts w:ascii="Times New Roman" w:hAnsi="Times New Roman" w:cs="Times New Roman"/>
        </w:rPr>
        <w:t xml:space="preserve">. </w:t>
      </w:r>
      <w:r w:rsidR="00BD5AA8" w:rsidRPr="00BD5AA8">
        <w:rPr>
          <w:rFonts w:ascii="Times New Roman" w:hAnsi="Times New Roman" w:cs="Times New Roman"/>
        </w:rPr>
        <w:t xml:space="preserve">Receiving long times in decision-making processes are minimized </w:t>
      </w:r>
      <w:r w:rsidR="00BD5AA8" w:rsidRPr="00BD5AA8">
        <w:rPr>
          <w:rFonts w:ascii="Times New Roman" w:hAnsi="Times New Roman" w:cs="Times New Roman"/>
        </w:rPr>
        <w:lastRenderedPageBreak/>
        <w:t xml:space="preserve">using edge computing architecture, costs of transmitting data are minimized and the systems are more reliable. Cloud-based analytics systems allow comparison between several production facilities to result in continual improvement due to learning algorithms. </w:t>
      </w:r>
      <w:r w:rsidR="003C4EEB" w:rsidRPr="00DA6C98">
        <w:rPr>
          <w:rFonts w:ascii="Times New Roman" w:hAnsi="Times New Roman" w:cs="Times New Roman"/>
        </w:rPr>
        <w:fldChar w:fldCharType="begin" w:fldLock="1"/>
      </w:r>
      <w:r w:rsidR="003C4EEB"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(Abdelhamid et al., 2025)</w:t>
      </w:r>
      <w:r w:rsidR="003C4EEB" w:rsidRPr="00DA6C98">
        <w:rPr>
          <w:rFonts w:ascii="Times New Roman" w:hAnsi="Times New Roman" w:cs="Times New Roman"/>
        </w:rPr>
        <w:fldChar w:fldCharType="end"/>
      </w:r>
      <w:r w:rsidR="003C4EEB" w:rsidRPr="00DA6C98">
        <w:rPr>
          <w:rFonts w:ascii="Times New Roman" w:hAnsi="Times New Roman" w:cs="Times New Roman"/>
        </w:rPr>
        <w:t>;</w:t>
      </w:r>
      <w:r w:rsidR="003C4EEB" w:rsidRPr="00DA6C98">
        <w:rPr>
          <w:rFonts w:ascii="Times New Roman" w:hAnsi="Times New Roman" w:cs="Times New Roman"/>
        </w:rPr>
        <w:fldChar w:fldCharType="begin" w:fldLock="1"/>
      </w:r>
      <w:r w:rsidR="005D0040"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3C4EEB" w:rsidRPr="00DA6C98">
        <w:rPr>
          <w:rFonts w:ascii="Times New Roman" w:hAnsi="Times New Roman" w:cs="Times New Roman"/>
        </w:rPr>
        <w:fldChar w:fldCharType="separate"/>
      </w:r>
      <w:r w:rsidR="003C4EEB" w:rsidRPr="00DA6C98">
        <w:rPr>
          <w:rFonts w:ascii="Times New Roman" w:hAnsi="Times New Roman" w:cs="Times New Roman"/>
          <w:noProof/>
        </w:rPr>
        <w:t>(Woźniak &amp; Ijaz, 2024)</w:t>
      </w:r>
      <w:r w:rsidR="003C4EEB" w:rsidRPr="00DA6C98">
        <w:rPr>
          <w:rFonts w:ascii="Times New Roman" w:hAnsi="Times New Roman" w:cs="Times New Roman"/>
        </w:rPr>
        <w:fldChar w:fldCharType="end"/>
      </w:r>
      <w:r w:rsidR="003C4EEB" w:rsidRPr="00DA6C98">
        <w:rPr>
          <w:rFonts w:ascii="Times New Roman" w:hAnsi="Times New Roman" w:cs="Times New Roman"/>
        </w:rPr>
        <w:t>.</w:t>
      </w:r>
    </w:p>
    <w:p w14:paraId="5A935D6A" w14:textId="6273899E" w:rsidR="00301E24" w:rsidRDefault="00301E24" w:rsidP="00DA6C98">
      <w:pPr>
        <w:spacing w:line="360" w:lineRule="auto"/>
        <w:jc w:val="both"/>
        <w:rPr>
          <w:rFonts w:ascii="Times New Roman" w:hAnsi="Times New Roman" w:cs="Times New Roman"/>
        </w:rPr>
      </w:pPr>
      <w:r w:rsidRPr="00C92FF4">
        <w:rPr>
          <w:rFonts w:ascii="Times New Roman" w:hAnsi="Times New Roman" w:cs="Times New Roman"/>
          <w:noProof/>
        </w:rPr>
        <w:drawing>
          <wp:inline distT="0" distB="0" distL="0" distR="0" wp14:anchorId="057351A3" wp14:editId="340F8886">
            <wp:extent cx="4746929" cy="1985186"/>
            <wp:effectExtent l="0" t="0" r="0" b="0"/>
            <wp:docPr id="81696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64253" name=""/>
                    <pic:cNvPicPr/>
                  </pic:nvPicPr>
                  <pic:blipFill>
                    <a:blip r:embed="rId8"/>
                    <a:stretch>
                      <a:fillRect/>
                    </a:stretch>
                  </pic:blipFill>
                  <pic:spPr>
                    <a:xfrm>
                      <a:off x="0" y="0"/>
                      <a:ext cx="4754682" cy="1988428"/>
                    </a:xfrm>
                    <a:prstGeom prst="rect">
                      <a:avLst/>
                    </a:prstGeom>
                  </pic:spPr>
                </pic:pic>
              </a:graphicData>
            </a:graphic>
          </wp:inline>
        </w:drawing>
      </w:r>
    </w:p>
    <w:p w14:paraId="7A640289" w14:textId="77777777" w:rsidR="00301E24" w:rsidRDefault="00301E24" w:rsidP="00301E24">
      <w:pPr>
        <w:spacing w:line="360" w:lineRule="auto"/>
        <w:jc w:val="both"/>
        <w:rPr>
          <w:rFonts w:ascii="Times New Roman" w:hAnsi="Times New Roman" w:cs="Times New Roman"/>
        </w:rPr>
      </w:pPr>
      <w:r>
        <w:rPr>
          <w:rFonts w:ascii="Times New Roman" w:hAnsi="Times New Roman" w:cs="Times New Roman"/>
        </w:rPr>
        <w:t xml:space="preserve">Fig 1: </w:t>
      </w:r>
      <w:r w:rsidRPr="000727F4">
        <w:rPr>
          <w:rFonts w:ascii="Times New Roman" w:hAnsi="Times New Roman" w:cs="Times New Roman"/>
        </w:rPr>
        <w:t>The system architecture of IoT-based hydroponics solution cultiva</w:t>
      </w:r>
      <w:r>
        <w:rPr>
          <w:rFonts w:ascii="Times New Roman" w:hAnsi="Times New Roman" w:cs="Times New Roman"/>
        </w:rPr>
        <w:t>ti</w:t>
      </w:r>
      <w:r w:rsidRPr="000727F4">
        <w:rPr>
          <w:rFonts w:ascii="Times New Roman" w:hAnsi="Times New Roman" w:cs="Times New Roman"/>
        </w:rPr>
        <w:t>on, highlighting the interconnection between various components, including sensors, microcontrollers, data servers, and user-end devices for real-time monitoring and automated nutrient management</w:t>
      </w:r>
      <w:r>
        <w:rPr>
          <w:rFonts w:ascii="Times New Roman" w:hAnsi="Times New Roman" w:cs="Times New Roman"/>
        </w:rPr>
        <w:t>.</w:t>
      </w:r>
    </w:p>
    <w:p w14:paraId="0F95F7D7" w14:textId="5AD3D6AC" w:rsidR="00301E24" w:rsidRDefault="00301E24" w:rsidP="00301E24">
      <w:pPr>
        <w:spacing w:line="360" w:lineRule="auto"/>
        <w:jc w:val="both"/>
        <w:rPr>
          <w:rFonts w:ascii="Times New Roman" w:hAnsi="Times New Roman" w:cs="Times New Roman"/>
        </w:rPr>
      </w:pPr>
      <w:r>
        <w:rPr>
          <w:rFonts w:ascii="Times New Roman" w:hAnsi="Times New Roman" w:cs="Times New Roman"/>
        </w:rPr>
        <w:t xml:space="preserve">[Source: </w:t>
      </w:r>
      <w:r>
        <w:rPr>
          <w:rFonts w:ascii="Times New Roman" w:hAnsi="Times New Roman" w:cs="Times New Roman"/>
        </w:rPr>
        <w:fldChar w:fldCharType="begin" w:fldLock="1"/>
      </w:r>
      <w:r>
        <w:rPr>
          <w:rFonts w:ascii="Times New Roman" w:hAnsi="Times New Roman" w:cs="Times New Roman"/>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Pr>
          <w:rFonts w:ascii="Times New Roman" w:hAnsi="Times New Roman" w:cs="Times New Roman"/>
        </w:rPr>
        <w:fldChar w:fldCharType="separate"/>
      </w:r>
      <w:r w:rsidRPr="00301E24">
        <w:rPr>
          <w:rFonts w:ascii="Times New Roman" w:hAnsi="Times New Roman" w:cs="Times New Roman"/>
          <w:noProof/>
        </w:rPr>
        <w:t>(Reza et al., 2025)</w:t>
      </w:r>
      <w:r>
        <w:rPr>
          <w:rFonts w:ascii="Times New Roman" w:hAnsi="Times New Roman" w:cs="Times New Roman"/>
        </w:rPr>
        <w:fldChar w:fldCharType="end"/>
      </w:r>
      <w:r>
        <w:rPr>
          <w:rFonts w:ascii="Times New Roman" w:hAnsi="Times New Roman" w:cs="Times New Roman"/>
        </w:rPr>
        <w:t>]</w:t>
      </w:r>
    </w:p>
    <w:p w14:paraId="7A472F6D" w14:textId="77777777" w:rsidR="00301E24" w:rsidRPr="00DA6C98" w:rsidRDefault="00301E24" w:rsidP="00301E24">
      <w:pPr>
        <w:spacing w:line="360" w:lineRule="auto"/>
        <w:jc w:val="both"/>
        <w:rPr>
          <w:rFonts w:ascii="Times New Roman" w:hAnsi="Times New Roman" w:cs="Times New Roman"/>
        </w:rPr>
      </w:pPr>
    </w:p>
    <w:p w14:paraId="443DAF8C" w14:textId="3809412E" w:rsidR="00490791" w:rsidRPr="00DA6C98" w:rsidRDefault="00F053D4" w:rsidP="00DA6C98">
      <w:pPr>
        <w:spacing w:line="360" w:lineRule="auto"/>
        <w:jc w:val="both"/>
        <w:rPr>
          <w:rFonts w:ascii="Times New Roman" w:hAnsi="Times New Roman" w:cs="Times New Roman"/>
          <w:b/>
          <w:bCs/>
        </w:rPr>
      </w:pPr>
      <w:r w:rsidRPr="00DA6C98">
        <w:rPr>
          <w:rFonts w:ascii="Times New Roman" w:hAnsi="Times New Roman" w:cs="Times New Roman"/>
          <w:b/>
          <w:bCs/>
        </w:rPr>
        <w:t>Table 1.</w:t>
      </w:r>
      <w:r w:rsidRPr="00DA6C98">
        <w:rPr>
          <w:rFonts w:ascii="Times New Roman" w:hAnsi="Times New Roman" w:cs="Times New Roman"/>
        </w:rPr>
        <w:t xml:space="preserve"> </w:t>
      </w:r>
      <w:r w:rsidRPr="00DA6C98">
        <w:rPr>
          <w:rFonts w:ascii="Times New Roman" w:hAnsi="Times New Roman" w:cs="Times New Roman"/>
          <w:b/>
          <w:bCs/>
        </w:rPr>
        <w:t>Technologies Enhancing Nutrient Management in Hydroponic Systems:</w:t>
      </w:r>
    </w:p>
    <w:p w14:paraId="2F536978" w14:textId="77777777" w:rsidR="00F053D4" w:rsidRPr="00DA6C98" w:rsidRDefault="00F053D4" w:rsidP="00DA6C98">
      <w:pPr>
        <w:spacing w:line="360" w:lineRule="auto"/>
        <w:jc w:val="both"/>
        <w:rPr>
          <w:rFonts w:ascii="Times New Roman" w:hAnsi="Times New Roman" w:cs="Times New Roman"/>
        </w:rPr>
      </w:pPr>
    </w:p>
    <w:tbl>
      <w:tblPr>
        <w:tblStyle w:val="TableGrid"/>
        <w:tblW w:w="9640" w:type="dxa"/>
        <w:tblInd w:w="-431" w:type="dxa"/>
        <w:tblLook w:val="04A0" w:firstRow="1" w:lastRow="0" w:firstColumn="1" w:lastColumn="0" w:noHBand="0" w:noVBand="1"/>
      </w:tblPr>
      <w:tblGrid>
        <w:gridCol w:w="1844"/>
        <w:gridCol w:w="3260"/>
        <w:gridCol w:w="2268"/>
        <w:gridCol w:w="2268"/>
      </w:tblGrid>
      <w:tr w:rsidR="00F053D4" w:rsidRPr="00DA6C98" w14:paraId="037DE8AB" w14:textId="77777777" w:rsidTr="00490791">
        <w:tc>
          <w:tcPr>
            <w:tcW w:w="1844" w:type="dxa"/>
          </w:tcPr>
          <w:p w14:paraId="49F3DDB9" w14:textId="74851C16"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Technology</w:t>
            </w:r>
          </w:p>
        </w:tc>
        <w:tc>
          <w:tcPr>
            <w:tcW w:w="3260" w:type="dxa"/>
          </w:tcPr>
          <w:p w14:paraId="2B8DE244" w14:textId="71639262"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Role</w:t>
            </w:r>
          </w:p>
        </w:tc>
        <w:tc>
          <w:tcPr>
            <w:tcW w:w="2268" w:type="dxa"/>
          </w:tcPr>
          <w:p w14:paraId="7D2E1F4B" w14:textId="08A5CD9A"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Benefits</w:t>
            </w:r>
          </w:p>
        </w:tc>
        <w:tc>
          <w:tcPr>
            <w:tcW w:w="2268" w:type="dxa"/>
          </w:tcPr>
          <w:p w14:paraId="6D738338" w14:textId="0E648366" w:rsidR="00490791" w:rsidRPr="00DA6C98" w:rsidRDefault="00490791" w:rsidP="00DA6C98">
            <w:pPr>
              <w:spacing w:line="360" w:lineRule="auto"/>
              <w:jc w:val="both"/>
              <w:rPr>
                <w:rFonts w:ascii="Times New Roman" w:hAnsi="Times New Roman" w:cs="Times New Roman"/>
                <w:b/>
                <w:bCs/>
              </w:rPr>
            </w:pPr>
            <w:r w:rsidRPr="00DA6C98">
              <w:rPr>
                <w:rFonts w:ascii="Times New Roman" w:hAnsi="Times New Roman" w:cs="Times New Roman"/>
                <w:b/>
                <w:bCs/>
              </w:rPr>
              <w:t>References</w:t>
            </w:r>
          </w:p>
        </w:tc>
      </w:tr>
      <w:tr w:rsidR="00F053D4" w:rsidRPr="00DA6C98" w14:paraId="64DA806E" w14:textId="77777777" w:rsidTr="00490791">
        <w:trPr>
          <w:trHeight w:val="1355"/>
        </w:trPr>
        <w:tc>
          <w:tcPr>
            <w:tcW w:w="1844" w:type="dxa"/>
          </w:tcPr>
          <w:p w14:paraId="10539C33" w14:textId="106B3B9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Artificial Intelligence (AI)</w:t>
            </w:r>
          </w:p>
        </w:tc>
        <w:tc>
          <w:tcPr>
            <w:tcW w:w="3260" w:type="dxa"/>
          </w:tcPr>
          <w:p w14:paraId="729C0D37" w14:textId="753BF6B4"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Predicts nutrient needs via growth and environment data</w:t>
            </w:r>
          </w:p>
        </w:tc>
        <w:tc>
          <w:tcPr>
            <w:tcW w:w="2268" w:type="dxa"/>
          </w:tcPr>
          <w:p w14:paraId="67B3FC20" w14:textId="7D811D05"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 xml:space="preserve">Increases efficiency, yield, and quality; reduces </w:t>
            </w:r>
            <w:proofErr w:type="spellStart"/>
            <w:r w:rsidRPr="00DA6C98">
              <w:rPr>
                <w:rFonts w:ascii="Times New Roman" w:hAnsi="Times New Roman" w:cs="Times New Roman"/>
              </w:rPr>
              <w:t>labor</w:t>
            </w:r>
            <w:proofErr w:type="spellEnd"/>
          </w:p>
        </w:tc>
        <w:tc>
          <w:tcPr>
            <w:tcW w:w="2268" w:type="dxa"/>
          </w:tcPr>
          <w:p w14:paraId="7EDC4F48" w14:textId="1440481A"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(Dhal et al., 2024)</w:t>
            </w:r>
            <w:r w:rsidRPr="00DA6C98">
              <w:rPr>
                <w:rFonts w:ascii="Times New Roman" w:hAnsi="Times New Roman" w:cs="Times New Roman"/>
              </w:rPr>
              <w:fldChar w:fldCharType="end"/>
            </w:r>
            <w:r w:rsidRPr="00DA6C98">
              <w:rPr>
                <w:rFonts w:ascii="Times New Roman" w:hAnsi="Times New Roman" w:cs="Times New Roman"/>
              </w:rPr>
              <w:t xml:space="preserve">; </w:t>
            </w: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{"citationItems":[{"id":"ITEM-1","itemData":{"DOI":"10.1016/j.mex.2025.103579","ISSN":"22150161","abstract":"This research presents an AI-powered automated hydroponic system designed to enhance the efficiency and sustainability of modern agriculture. The system integrates real-time environmental monitoring, automated nutrient management, and AI-based disease detection to optimize plant growth and minimize manual intervention. An ESP32 microcontroller collects data from specialized sensors measuring Total Dissolved Solids (TDS), pH, temperature, and light intensity. Data is wirelessly transmitted via MQTT to an EMQX broker, subsequently processed by an ExpressJS backend, and stored in a Firebase Realtime Database. A NextJS web application provides a user-friendly dashboard for visualization, alerts, and remote control. Automation is achieved using relay-controlled peristaltic and water pumps that adjust nutrient dosing and circulation based on sensor readings. A camera module captures plant images, which are analyzed by a CNN model running on a separate AI server to detect common spinach diseases like Anthracnose and Downy Mildew, enabling early intervention. This integrated system combines IoT, cloud data management, automation, and AI-based visual inspection to offer a comprehensive solution for precision hydroponic farming. Evaluation demonstrates high accuracy in disease detection, robust system performance, and significant potential for improving crop health, yield, and reducing manual labor in diverse agricultural settings. The system, along with its full codebase, has been made publicly available to promote reproducibility. • Automated Precision Hydroponics: Combines real-time environmental monitoring, automated nutrient management, and AI-powered disease detection for optimized spinach cultivation. • Reproducible and Scalable Method: Provides a detailed, step-by-step protocol for constructing and operating the system, adaptable to various hydroponic setups and crop types. • Sustainable and Efficient Agriculture: Minimizes resource consumption, reduces manual labour, and promotes environmentally friendly practices.","author":[{"dropping-particle":"","family":"Baraskar","given":"Prof Trupti","non-dropping-particle":"","parse-names":false,"suffix":""},{"dropping-particle":"","family":"Khatri","given":"Viren","non-dropping-particle":"","parse-names":false,"suffix":""},{"dropping-particle":"","family":"Kolhe","given":"Parimal","non-dropping-particle":"","parse-names":false,"suffix":""},{"dropping-particle":"","family":"Katyarmal","given":"Mitheelesh","non-dropping-particle":"","parse-names":false,"suffix":""},{"dropping-particle":"","family":"Khedekar","given":"Shaunak","non-dropping-particle":"","parse-names":false,"suffix":""}],"container-title":"MethodsX","id":"ITEM-1","issue":"August","issued":{"date-parts":[["2025"]]},"page":"103579","publisher":"Elsevier B.V.","title":"AI-powered automated hydroponic system for smart agriculture","type":"article-journal","volume":"15"},"uris":["http://www.mendeley.com/documents/?uuid=5cc715aa-b215-4c9a-b7f6-245306eed8c0"]}],"mendeley":{"formattedCitation":"(Baraskar et al., 2025)","plainTextFormattedCitation":"(Baraskar et al., 2025)","previouslyFormattedCitation":"(Baraskar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(Baraskar et al., 2025)</w:t>
            </w:r>
            <w:r w:rsidRPr="00DA6C98">
              <w:rPr>
                <w:rFonts w:ascii="Times New Roman" w:hAnsi="Times New Roman" w:cs="Times New Roman"/>
              </w:rPr>
              <w:fldChar w:fldCharType="end"/>
            </w:r>
            <w:r w:rsidRPr="00DA6C98">
              <w:rPr>
                <w:rFonts w:ascii="Times New Roman" w:hAnsi="Times New Roman" w:cs="Times New Roman"/>
              </w:rPr>
              <w:t>.</w:t>
            </w:r>
          </w:p>
        </w:tc>
      </w:tr>
      <w:tr w:rsidR="00F053D4" w:rsidRPr="00DA6C98" w14:paraId="589A4A57" w14:textId="77777777" w:rsidTr="00490791">
        <w:trPr>
          <w:trHeight w:val="1120"/>
        </w:trPr>
        <w:tc>
          <w:tcPr>
            <w:tcW w:w="1844" w:type="dxa"/>
          </w:tcPr>
          <w:p w14:paraId="2D7DDECB" w14:textId="0002C02F"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Internet of Things (IoT) Sensors</w:t>
            </w:r>
          </w:p>
        </w:tc>
        <w:tc>
          <w:tcPr>
            <w:tcW w:w="3260" w:type="dxa"/>
          </w:tcPr>
          <w:p w14:paraId="50D8DBA0" w14:textId="3B1639BF"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Real-time monitoring of pH, EC, temp, humidity</w:t>
            </w:r>
          </w:p>
        </w:tc>
        <w:tc>
          <w:tcPr>
            <w:tcW w:w="2268" w:type="dxa"/>
          </w:tcPr>
          <w:p w14:paraId="2A6E66B6" w14:textId="5E5FE0C4"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Ensures precise nutrient control and quick adjustments</w:t>
            </w:r>
          </w:p>
        </w:tc>
        <w:tc>
          <w:tcPr>
            <w:tcW w:w="2268" w:type="dxa"/>
          </w:tcPr>
          <w:p w14:paraId="686728EF" w14:textId="42AC941C"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00F053D4"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00F053D4" w:rsidRPr="00DA6C98">
              <w:rPr>
                <w:rFonts w:ascii="Times New Roman" w:hAnsi="Times New Roman" w:cs="Times New Roman"/>
              </w:rPr>
              <w:t>.</w:t>
            </w:r>
          </w:p>
        </w:tc>
      </w:tr>
      <w:tr w:rsidR="00F053D4" w:rsidRPr="00DA6C98" w14:paraId="19184AD3" w14:textId="77777777" w:rsidTr="00490791">
        <w:tc>
          <w:tcPr>
            <w:tcW w:w="1844" w:type="dxa"/>
          </w:tcPr>
          <w:p w14:paraId="3222CC90" w14:textId="7CB34A00"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Predictive Analytics</w:t>
            </w:r>
          </w:p>
        </w:tc>
        <w:tc>
          <w:tcPr>
            <w:tcW w:w="3260" w:type="dxa"/>
          </w:tcPr>
          <w:p w14:paraId="7C0E8BCC" w14:textId="5FEBBD7E"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Forecasts nutrient demands and dosing schedule</w:t>
            </w:r>
          </w:p>
        </w:tc>
        <w:tc>
          <w:tcPr>
            <w:tcW w:w="2268" w:type="dxa"/>
          </w:tcPr>
          <w:p w14:paraId="551608FE" w14:textId="5D04F03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Prevents deficiencies, optimizes resources, stabilizes growth</w:t>
            </w:r>
          </w:p>
        </w:tc>
        <w:tc>
          <w:tcPr>
            <w:tcW w:w="2268" w:type="dxa"/>
          </w:tcPr>
          <w:p w14:paraId="4963EA17" w14:textId="00BE58FC" w:rsidR="00490791" w:rsidRPr="00DA6C98" w:rsidRDefault="00F053D4"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(Woźniak &amp; Ijaz, 2024)</w:t>
            </w:r>
            <w:r w:rsidRPr="00DA6C98">
              <w:rPr>
                <w:rFonts w:ascii="Times New Roman" w:hAnsi="Times New Roman" w:cs="Times New Roman"/>
              </w:rPr>
              <w:fldChar w:fldCharType="end"/>
            </w:r>
            <w:r w:rsidRPr="00DA6C98">
              <w:rPr>
                <w:rFonts w:ascii="Times New Roman" w:hAnsi="Times New Roman" w:cs="Times New Roman"/>
              </w:rPr>
              <w:t xml:space="preserve">; </w:t>
            </w:r>
            <w:r w:rsidRPr="00DA6C98">
              <w:rPr>
                <w:rFonts w:ascii="Times New Roman" w:hAnsi="Times New Roman" w:cs="Times New Roman"/>
              </w:rPr>
              <w:fldChar w:fldCharType="begin" w:fldLock="1"/>
            </w:r>
            <w:r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Pr="00DA6C98">
              <w:rPr>
                <w:rFonts w:ascii="Times New Roman" w:hAnsi="Times New Roman" w:cs="Times New Roman"/>
              </w:rPr>
              <w:t>.</w:t>
            </w:r>
          </w:p>
        </w:tc>
      </w:tr>
      <w:tr w:rsidR="00F053D4" w:rsidRPr="00DA6C98" w14:paraId="104B4E82" w14:textId="77777777" w:rsidTr="00490791">
        <w:tc>
          <w:tcPr>
            <w:tcW w:w="1844" w:type="dxa"/>
          </w:tcPr>
          <w:p w14:paraId="53FB4BA8" w14:textId="064CF955"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lastRenderedPageBreak/>
              <w:t>Edge/Cloud Computing</w:t>
            </w:r>
          </w:p>
        </w:tc>
        <w:tc>
          <w:tcPr>
            <w:tcW w:w="3260" w:type="dxa"/>
          </w:tcPr>
          <w:p w14:paraId="6A923F0D" w14:textId="6D4CB098"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Local and cloud data processing for faster decisions and multi-site analytics</w:t>
            </w:r>
          </w:p>
        </w:tc>
        <w:tc>
          <w:tcPr>
            <w:tcW w:w="2268" w:type="dxa"/>
          </w:tcPr>
          <w:p w14:paraId="0789B975" w14:textId="417786DA" w:rsidR="00490791" w:rsidRPr="00DA6C98" w:rsidRDefault="00490791" w:rsidP="00DA6C98">
            <w:pPr>
              <w:spacing w:line="360" w:lineRule="auto"/>
              <w:jc w:val="both"/>
              <w:rPr>
                <w:rFonts w:ascii="Times New Roman" w:hAnsi="Times New Roman" w:cs="Times New Roman"/>
              </w:rPr>
            </w:pPr>
            <w:r w:rsidRPr="00DA6C98">
              <w:rPr>
                <w:rFonts w:ascii="Times New Roman" w:hAnsi="Times New Roman" w:cs="Times New Roman"/>
              </w:rPr>
              <w:t>Improves system responsiveness and scalability</w:t>
            </w:r>
          </w:p>
        </w:tc>
        <w:tc>
          <w:tcPr>
            <w:tcW w:w="2268" w:type="dxa"/>
          </w:tcPr>
          <w:p w14:paraId="499C67EA" w14:textId="185709EC" w:rsidR="00490791" w:rsidRPr="00DA6C98" w:rsidRDefault="00F053D4" w:rsidP="00DA6C98">
            <w:pPr>
              <w:spacing w:line="360" w:lineRule="auto"/>
              <w:jc w:val="both"/>
              <w:rPr>
                <w:rFonts w:ascii="Times New Roman" w:hAnsi="Times New Roman" w:cs="Times New Roman"/>
              </w:rPr>
            </w:pPr>
            <w:r w:rsidRPr="00DA6C98">
              <w:rPr>
                <w:rFonts w:ascii="Times New Roman" w:hAnsi="Times New Roman" w:cs="Times New Roman"/>
              </w:rPr>
              <w:fldChar w:fldCharType="begin" w:fldLock="1"/>
            </w:r>
            <w:r w:rsidR="00574AFC"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hAnsi="Times New Roman" w:cs="Times New Roman"/>
              </w:rPr>
              <w:fldChar w:fldCharType="separate"/>
            </w:r>
            <w:r w:rsidRPr="00DA6C98">
              <w:rPr>
                <w:rFonts w:ascii="Times New Roman" w:hAnsi="Times New Roman" w:cs="Times New Roman"/>
                <w:noProof/>
              </w:rPr>
              <w:t>(Abdelhamid et al., 2025)</w:t>
            </w:r>
            <w:r w:rsidRPr="00DA6C98">
              <w:rPr>
                <w:rFonts w:ascii="Times New Roman" w:hAnsi="Times New Roman" w:cs="Times New Roman"/>
              </w:rPr>
              <w:fldChar w:fldCharType="end"/>
            </w:r>
            <w:r w:rsidRPr="00DA6C98">
              <w:rPr>
                <w:rFonts w:ascii="Times New Roman" w:hAnsi="Times New Roman" w:cs="Times New Roman"/>
              </w:rPr>
              <w:t>.</w:t>
            </w:r>
          </w:p>
        </w:tc>
      </w:tr>
    </w:tbl>
    <w:p w14:paraId="2C2EE854" w14:textId="77777777" w:rsidR="00490791" w:rsidRPr="00DA6C98" w:rsidRDefault="00490791" w:rsidP="00DA6C98">
      <w:pPr>
        <w:spacing w:line="360" w:lineRule="auto"/>
        <w:jc w:val="both"/>
        <w:rPr>
          <w:rFonts w:ascii="Times New Roman" w:hAnsi="Times New Roman" w:cs="Times New Roman"/>
        </w:rPr>
      </w:pPr>
    </w:p>
    <w:p w14:paraId="4D41CF98" w14:textId="77777777" w:rsidR="003C4EEB" w:rsidRPr="00DA6C98" w:rsidRDefault="003C4EEB" w:rsidP="00DA6C98">
      <w:pPr>
        <w:spacing w:line="360" w:lineRule="auto"/>
        <w:jc w:val="both"/>
        <w:rPr>
          <w:rFonts w:ascii="Times New Roman" w:hAnsi="Times New Roman" w:cs="Times New Roman"/>
        </w:rPr>
      </w:pPr>
    </w:p>
    <w:p w14:paraId="3B37723D" w14:textId="3E27C3DA" w:rsidR="005D0040" w:rsidRPr="00DA6C98" w:rsidRDefault="005D0040" w:rsidP="00DA6C98">
      <w:pPr>
        <w:pStyle w:val="ListParagraph"/>
        <w:numPr>
          <w:ilvl w:val="1"/>
          <w:numId w:val="3"/>
        </w:numPr>
        <w:spacing w:line="360" w:lineRule="auto"/>
        <w:jc w:val="both"/>
        <w:rPr>
          <w:rFonts w:ascii="Times New Roman" w:hAnsi="Times New Roman" w:cs="Times New Roman"/>
          <w:b/>
          <w:bCs/>
        </w:rPr>
      </w:pPr>
      <w:r w:rsidRPr="00DA6C98">
        <w:rPr>
          <w:rFonts w:ascii="Times New Roman" w:hAnsi="Times New Roman" w:cs="Times New Roman"/>
          <w:b/>
          <w:bCs/>
        </w:rPr>
        <w:t>Predictive Analytics and Decision Support Systems</w:t>
      </w:r>
    </w:p>
    <w:p w14:paraId="55FEC065" w14:textId="1B19790D" w:rsidR="005D0040" w:rsidRDefault="00352330" w:rsidP="00FD3B7B">
      <w:pPr>
        <w:spacing w:line="360" w:lineRule="auto"/>
        <w:jc w:val="both"/>
        <w:rPr>
          <w:rFonts w:ascii="Times New Roman" w:hAnsi="Times New Roman" w:cs="Times New Roman"/>
        </w:rPr>
      </w:pPr>
      <w:r w:rsidRPr="00FD3B7B">
        <w:rPr>
          <w:rFonts w:ascii="Times New Roman" w:hAnsi="Times New Roman" w:cs="Times New Roman"/>
        </w:rPr>
        <w:t xml:space="preserve">Predictive </w:t>
      </w:r>
      <w:proofErr w:type="spellStart"/>
      <w:r w:rsidRPr="00FD3B7B">
        <w:rPr>
          <w:rFonts w:ascii="Times New Roman" w:hAnsi="Times New Roman" w:cs="Times New Roman"/>
        </w:rPr>
        <w:t>modeling</w:t>
      </w:r>
      <w:proofErr w:type="spellEnd"/>
      <w:r w:rsidRPr="00FD3B7B">
        <w:rPr>
          <w:rFonts w:ascii="Times New Roman" w:hAnsi="Times New Roman" w:cs="Times New Roman"/>
        </w:rPr>
        <w:t xml:space="preserve"> technologies use past production data, weather projections, as well as crop phenological data to optimize farming schedules of nutrient applications and control nutrient levels. </w:t>
      </w:r>
      <w:r w:rsidR="005D0040" w:rsidRPr="00FD3B7B">
        <w:rPr>
          <w:rFonts w:ascii="Times New Roman" w:hAnsi="Times New Roman" w:cs="Times New Roman"/>
        </w:rPr>
        <w:fldChar w:fldCharType="begin" w:fldLock="1"/>
      </w:r>
      <w:r w:rsidR="005D0040"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(Woźniak &amp; Ijaz, 2024)</w:t>
      </w:r>
      <w:r w:rsidR="005D0040" w:rsidRPr="00FD3B7B">
        <w:rPr>
          <w:rFonts w:ascii="Times New Roman" w:hAnsi="Times New Roman" w:cs="Times New Roman"/>
        </w:rPr>
        <w:fldChar w:fldCharType="end"/>
      </w:r>
      <w:r w:rsidR="005D0040" w:rsidRPr="00FD3B7B">
        <w:rPr>
          <w:rFonts w:ascii="Times New Roman" w:hAnsi="Times New Roman" w:cs="Times New Roman"/>
        </w:rPr>
        <w:t xml:space="preserve">. </w:t>
      </w:r>
      <w:r w:rsidRPr="00FD3B7B">
        <w:rPr>
          <w:rFonts w:ascii="Times New Roman" w:hAnsi="Times New Roman" w:cs="Times New Roman"/>
        </w:rPr>
        <w:t xml:space="preserve">The algorithms used in time-series analysis uncover seasonal trends and the needs relating to growth stages, which is used to conduct proactive nutrient management control to avoid deficiencies before affecting the crop performance. </w:t>
      </w:r>
      <w:r w:rsidR="005D0040" w:rsidRPr="00FD3B7B">
        <w:rPr>
          <w:rFonts w:ascii="Times New Roman" w:hAnsi="Times New Roman" w:cs="Times New Roman"/>
        </w:rPr>
        <w:fldChar w:fldCharType="begin" w:fldLock="1"/>
      </w:r>
      <w:r w:rsidR="005D0040" w:rsidRPr="00FD3B7B">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(Abdelhamid et al., 2025)</w:t>
      </w:r>
      <w:r w:rsidR="005D0040" w:rsidRPr="00FD3B7B">
        <w:rPr>
          <w:rFonts w:ascii="Times New Roman" w:hAnsi="Times New Roman" w:cs="Times New Roman"/>
        </w:rPr>
        <w:fldChar w:fldCharType="end"/>
      </w:r>
      <w:r w:rsidR="005D0040" w:rsidRPr="00FD3B7B">
        <w:rPr>
          <w:rFonts w:ascii="Times New Roman" w:hAnsi="Times New Roman" w:cs="Times New Roman"/>
        </w:rPr>
        <w:t xml:space="preserve">. </w:t>
      </w:r>
      <w:r w:rsidR="00641ECF" w:rsidRPr="00FD3B7B">
        <w:rPr>
          <w:rFonts w:ascii="Times New Roman" w:hAnsi="Times New Roman" w:cs="Times New Roman"/>
        </w:rPr>
        <w:t xml:space="preserve">Multi objective optimization routines are used to optimize yield, quality, resource efficiency and profitability together by carrying out advanced trade-off analysis. </w:t>
      </w:r>
      <w:r w:rsidR="005D0040" w:rsidRPr="00FD3B7B">
        <w:rPr>
          <w:rFonts w:ascii="Times New Roman" w:hAnsi="Times New Roman" w:cs="Times New Roman"/>
        </w:rPr>
        <w:t xml:space="preserve"> </w:t>
      </w:r>
      <w:r w:rsidR="005D0040" w:rsidRPr="00FD3B7B">
        <w:rPr>
          <w:rFonts w:ascii="Times New Roman" w:hAnsi="Times New Roman" w:cs="Times New Roman"/>
        </w:rPr>
        <w:fldChar w:fldCharType="begin" w:fldLock="1"/>
      </w:r>
      <w:r w:rsidR="00354BC2"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5D0040" w:rsidRPr="00FD3B7B">
        <w:rPr>
          <w:rFonts w:ascii="Times New Roman" w:hAnsi="Times New Roman" w:cs="Times New Roman"/>
        </w:rPr>
        <w:fldChar w:fldCharType="separate"/>
      </w:r>
      <w:r w:rsidR="005D0040" w:rsidRPr="00FD3B7B">
        <w:rPr>
          <w:rFonts w:ascii="Times New Roman" w:hAnsi="Times New Roman" w:cs="Times New Roman"/>
          <w:noProof/>
        </w:rPr>
        <w:t>(Woźniak &amp; Ijaz, 2024)</w:t>
      </w:r>
      <w:r w:rsidR="005D0040" w:rsidRPr="00FD3B7B">
        <w:rPr>
          <w:rFonts w:ascii="Times New Roman" w:hAnsi="Times New Roman" w:cs="Times New Roman"/>
        </w:rPr>
        <w:fldChar w:fldCharType="end"/>
      </w:r>
      <w:r w:rsidR="005D0040" w:rsidRPr="00FD3B7B">
        <w:rPr>
          <w:rFonts w:ascii="Times New Roman" w:hAnsi="Times New Roman" w:cs="Times New Roman"/>
        </w:rPr>
        <w:t>.</w:t>
      </w:r>
    </w:p>
    <w:p w14:paraId="6F7898AF" w14:textId="0086602C" w:rsidR="00301E24" w:rsidRDefault="00301E24" w:rsidP="00FD3B7B">
      <w:pPr>
        <w:spacing w:line="360" w:lineRule="auto"/>
        <w:jc w:val="both"/>
        <w:rPr>
          <w:rFonts w:ascii="Times New Roman" w:hAnsi="Times New Roman" w:cs="Times New Roman"/>
        </w:rPr>
      </w:pPr>
      <w:r>
        <w:rPr>
          <w:noProof/>
        </w:rPr>
        <w:drawing>
          <wp:inline distT="0" distB="0" distL="0" distR="0" wp14:anchorId="3E242F5B" wp14:editId="0D3998D2">
            <wp:extent cx="3059134" cy="2520564"/>
            <wp:effectExtent l="0" t="0" r="8255" b="0"/>
            <wp:docPr id="1440031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1229" cy="2530530"/>
                    </a:xfrm>
                    <a:prstGeom prst="rect">
                      <a:avLst/>
                    </a:prstGeom>
                    <a:noFill/>
                    <a:ln>
                      <a:noFill/>
                    </a:ln>
                  </pic:spPr>
                </pic:pic>
              </a:graphicData>
            </a:graphic>
          </wp:inline>
        </w:drawing>
      </w:r>
    </w:p>
    <w:p w14:paraId="416241A4" w14:textId="77777777" w:rsidR="00301E24" w:rsidRDefault="00301E24" w:rsidP="00301E24">
      <w:pPr>
        <w:spacing w:line="360" w:lineRule="auto"/>
        <w:jc w:val="both"/>
        <w:rPr>
          <w:rFonts w:ascii="Times New Roman" w:hAnsi="Times New Roman" w:cs="Times New Roman"/>
        </w:rPr>
      </w:pPr>
      <w:r>
        <w:rPr>
          <w:rFonts w:ascii="Times New Roman" w:hAnsi="Times New Roman" w:cs="Times New Roman"/>
        </w:rPr>
        <w:t>Fig 2: I</w:t>
      </w:r>
      <w:r w:rsidRPr="00A07468">
        <w:rPr>
          <w:rFonts w:ascii="Times New Roman" w:hAnsi="Times New Roman" w:cs="Times New Roman"/>
        </w:rPr>
        <w:t>terative, data-driven decision process as applied in advanced hydroponic management, enabling predictive, real-time optimization of nutrient and crop parameters</w:t>
      </w:r>
      <w:r>
        <w:rPr>
          <w:rFonts w:ascii="Times New Roman" w:hAnsi="Times New Roman" w:cs="Times New Roman"/>
        </w:rPr>
        <w:t>.</w:t>
      </w:r>
    </w:p>
    <w:p w14:paraId="74ECF43A" w14:textId="5A775F41" w:rsidR="00301E24" w:rsidRPr="00FD3B7B" w:rsidRDefault="00301E24" w:rsidP="00301E24">
      <w:pPr>
        <w:spacing w:line="360" w:lineRule="auto"/>
        <w:jc w:val="both"/>
        <w:rPr>
          <w:rFonts w:ascii="Times New Roman" w:hAnsi="Times New Roman" w:cs="Times New Roman"/>
        </w:rPr>
      </w:pPr>
      <w:r>
        <w:rPr>
          <w:rFonts w:ascii="Times New Roman" w:hAnsi="Times New Roman" w:cs="Times New Roman"/>
        </w:rPr>
        <w:t xml:space="preserve">[Source: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{"citationItems":[{"id":"ITEM-1","itemData":{"DOI":"10.1109/ACCESS.2021.3061722","ISSN":"21693536","abstract":"There are many pressures on the global food system such as urbanization, climate change, and environmental degradation. Urban agriculture is an approach to producing food inside cities where, globally, more than half the worlds population live. It has been shown to have a range of potential benefits, for instance in reducing waste and logistics costs. Increased uptake of urban farming can even relieve pressure on the natural environment by reducing the burden of production required from farmland by creating space for it to recover from accumulated damage as a result of the use of unsustainable farming practices historically. This article describes an approach for a new type of decision support system suitable for urban farming production. We discuss differences between the requirements and the users of decision support in urban agriculture, and those of ordinary agribusiness enterprises. A case study is performed using a novel technology for urban farming: a cyber-physical implementation of aquaponics is enhanced with adaptive capabilities using a digital twin system and machine learning. Aquaponics is a farming technique that utilizes a harmonious nutrient exchange cycle for growing plants and fish together, while conserving water, and possibly without the need for soil or even sunlight. Empirical results are provided that evaluate the use of data driven decision analytics and a digital twin model to plan production from the aquaponic system during a three month trial. Another set of results evaluate a proposed modelling framework for large scale urban agriculture ecosystems. This concept forms the basis of the suggested approach for an urban farming decision support system that coordinates the activities of many independent producers to target collective goals.","author":[{"dropping-particle":"","family":"Ghandar","given":"Adam","non-dropping-particle":"","parse-names":false,"suffix":""},{"dropping-particle":"","family":"Ahmed","given":"Ayyaz","non-dropping-particle":"","parse-names":false,"suffix":""},{"dropping-particle":"","family":"Zulfiqar","given":"Shahid","non-dropping-particle":"","parse-names":false,"suffix":""},{"dropping-particle":"","family":"Hua","given":"Zhengchang","non-dropping-particle":"","parse-names":false,"suffix":""},{"dropping-particle":"","family":"Hanai","given":"Masatoshi","non-dropping-particle":"","parse-names":false,"suffix":""},{"dropping-particle":"","family":"Theodoropoulos","given":"Georgios","non-dropping-particle":"","parse-names":false,"suffix":""}],"container-title":"IEEE Access","id":"ITEM-1","issued":{"date-parts":[["2021"]]},"page":"35691-35708","title":"A decision support system for urban agriculture using digital twin: A case study with aquaponics","type":"article-journal","volume":"9"},"uris":["http://www.mendeley.com/documents/?uuid=d74b8e4f-ac4f-4f50-8e0b-25ffbdb5ea52"]}],"mendeley":{"formattedCitation":"(Ghandar et al., 2021)","plainTextFormattedCitation":"(Ghandar et al., 2021)","previouslyFormattedCitation":"(Ghandar et al., 2021)"},"properties":{"noteIndex":0},"schema":"https://github.com/citation-style-language/schema/raw/master/csl-citation.json"}</w:instrText>
      </w:r>
      <w:r>
        <w:rPr>
          <w:rFonts w:ascii="Times New Roman" w:hAnsi="Times New Roman" w:cs="Times New Roman"/>
        </w:rPr>
        <w:fldChar w:fldCharType="separate"/>
      </w:r>
      <w:r w:rsidRPr="00301E24">
        <w:rPr>
          <w:rFonts w:ascii="Times New Roman" w:hAnsi="Times New Roman" w:cs="Times New Roman"/>
          <w:noProof/>
        </w:rPr>
        <w:t>(Ghandar et al., 2021)</w:t>
      </w:r>
      <w:r>
        <w:rPr>
          <w:rFonts w:ascii="Times New Roman" w:hAnsi="Times New Roman" w:cs="Times New Roman"/>
        </w:rPr>
        <w:fldChar w:fldCharType="end"/>
      </w:r>
      <w:r>
        <w:rPr>
          <w:rFonts w:ascii="Times New Roman" w:hAnsi="Times New Roman" w:cs="Times New Roman"/>
        </w:rPr>
        <w:t>]</w:t>
      </w:r>
    </w:p>
    <w:p w14:paraId="0B2C4501" w14:textId="77777777" w:rsidR="00943FD1" w:rsidRPr="00DA6C98" w:rsidRDefault="00943FD1" w:rsidP="00DA6C98">
      <w:pPr>
        <w:spacing w:line="360" w:lineRule="auto"/>
        <w:jc w:val="both"/>
        <w:rPr>
          <w:rFonts w:ascii="Times New Roman" w:hAnsi="Times New Roman" w:cs="Times New Roman"/>
        </w:rPr>
      </w:pPr>
    </w:p>
    <w:p w14:paraId="12218B46" w14:textId="3D4F96EB" w:rsidR="00943FD1" w:rsidRPr="00FD3B7B" w:rsidRDefault="00943FD1" w:rsidP="00FD3B7B">
      <w:pPr>
        <w:pStyle w:val="ListParagraph"/>
        <w:numPr>
          <w:ilvl w:val="0"/>
          <w:numId w:val="2"/>
        </w:numPr>
        <w:spacing w:line="360" w:lineRule="auto"/>
        <w:jc w:val="both"/>
        <w:rPr>
          <w:rFonts w:ascii="Times New Roman" w:hAnsi="Times New Roman" w:cs="Times New Roman"/>
          <w:b/>
          <w:bCs/>
        </w:rPr>
      </w:pPr>
      <w:r w:rsidRPr="00FD3B7B">
        <w:rPr>
          <w:rFonts w:ascii="Times New Roman" w:hAnsi="Times New Roman" w:cs="Times New Roman"/>
          <w:b/>
          <w:bCs/>
        </w:rPr>
        <w:t>Organic Nutrient Formulations for Hydroponics </w:t>
      </w:r>
    </w:p>
    <w:p w14:paraId="31DE373E" w14:textId="37B27EC1" w:rsidR="00200870" w:rsidRPr="00082D25" w:rsidRDefault="00082D25" w:rsidP="00FD3B7B">
      <w:pPr>
        <w:spacing w:line="360" w:lineRule="auto"/>
        <w:jc w:val="both"/>
        <w:rPr>
          <w:rFonts w:ascii="Times New Roman" w:hAnsi="Times New Roman" w:cs="Times New Roman"/>
        </w:rPr>
      </w:pPr>
      <w:r w:rsidRPr="00082D25">
        <w:rPr>
          <w:rFonts w:ascii="Times New Roman" w:hAnsi="Times New Roman" w:cs="Times New Roman"/>
        </w:rPr>
        <w:lastRenderedPageBreak/>
        <w:t xml:space="preserve">Slow-release nutrients like seaweeds extracts, compost teas, fish emulsions, etc. are organic sources of nutrients in crops that improve crop quality and phytochemicals. Biochar carriers and encapsulation also enhance stability of solutions and hence organic formulations can be used as alternatives to synthetic inputs in hydroponic agriculture. </w:t>
      </w:r>
      <w:r w:rsidR="00A45B0B" w:rsidRPr="00082D25">
        <w:rPr>
          <w:rFonts w:ascii="Times New Roman" w:hAnsi="Times New Roman" w:cs="Times New Roman"/>
        </w:rPr>
        <w:fldChar w:fldCharType="begin" w:fldLock="1"/>
      </w:r>
      <w:r w:rsidR="00A45B0B" w:rsidRPr="00082D25">
        <w:rPr>
          <w:rFonts w:ascii="Times New Roman" w:hAnsi="Times New Roman" w:cs="Times New Roman"/>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A45B0B" w:rsidRPr="00082D25">
        <w:rPr>
          <w:rFonts w:ascii="Times New Roman" w:hAnsi="Times New Roman" w:cs="Times New Roman"/>
        </w:rPr>
        <w:fldChar w:fldCharType="separate"/>
      </w:r>
      <w:r w:rsidR="00A45B0B" w:rsidRPr="00082D25">
        <w:rPr>
          <w:rFonts w:ascii="Times New Roman" w:hAnsi="Times New Roman" w:cs="Times New Roman"/>
          <w:noProof/>
        </w:rPr>
        <w:t>(Hooks et al., 2022)</w:t>
      </w:r>
      <w:r w:rsidR="00A45B0B" w:rsidRPr="00082D25">
        <w:rPr>
          <w:rFonts w:ascii="Times New Roman" w:hAnsi="Times New Roman" w:cs="Times New Roman"/>
        </w:rPr>
        <w:fldChar w:fldCharType="end"/>
      </w:r>
      <w:r w:rsidR="00A45B0B" w:rsidRPr="00082D25">
        <w:rPr>
          <w:rFonts w:ascii="Times New Roman" w:hAnsi="Times New Roman" w:cs="Times New Roman"/>
        </w:rPr>
        <w:t>;</w:t>
      </w:r>
      <w:r w:rsidR="00A45B0B" w:rsidRPr="00082D25">
        <w:rPr>
          <w:rFonts w:ascii="Times New Roman" w:hAnsi="Times New Roman" w:cs="Times New Roman"/>
        </w:rPr>
        <w:fldChar w:fldCharType="begin" w:fldLock="1"/>
      </w:r>
      <w:r w:rsidR="00A45B0B" w:rsidRPr="00082D25">
        <w:rPr>
          <w:rFonts w:ascii="Times New Roman" w:hAnsi="Times New Roman" w:cs="Times New Roman"/>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A45B0B" w:rsidRPr="00082D25">
        <w:rPr>
          <w:rFonts w:ascii="Times New Roman" w:hAnsi="Times New Roman" w:cs="Times New Roman"/>
        </w:rPr>
        <w:fldChar w:fldCharType="separate"/>
      </w:r>
      <w:r w:rsidR="00A45B0B" w:rsidRPr="00082D25">
        <w:rPr>
          <w:rFonts w:ascii="Times New Roman" w:hAnsi="Times New Roman" w:cs="Times New Roman"/>
          <w:noProof/>
        </w:rPr>
        <w:t>(Alneyadi et al., 2024)</w:t>
      </w:r>
      <w:r w:rsidR="00A45B0B" w:rsidRPr="00082D25">
        <w:rPr>
          <w:rFonts w:ascii="Times New Roman" w:hAnsi="Times New Roman" w:cs="Times New Roman"/>
        </w:rPr>
        <w:fldChar w:fldCharType="end"/>
      </w:r>
      <w:r w:rsidR="00A45B0B" w:rsidRPr="00082D25">
        <w:rPr>
          <w:rFonts w:ascii="Times New Roman" w:hAnsi="Times New Roman" w:cs="Times New Roman"/>
        </w:rPr>
        <w:t>.</w:t>
      </w:r>
    </w:p>
    <w:p w14:paraId="10810B44" w14:textId="23E805B6" w:rsidR="00943FD1" w:rsidRPr="00DA6C98" w:rsidRDefault="00943FD1"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Sources and Composition of Organic Nutrients</w:t>
      </w:r>
    </w:p>
    <w:p w14:paraId="1E928AD2" w14:textId="2271EFB4" w:rsidR="00354BC2" w:rsidRPr="00FD3B7B" w:rsidRDefault="00A91B00" w:rsidP="00FD3B7B">
      <w:pPr>
        <w:spacing w:after="0"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Hydroponic usages embrace the adoption of different organic sources of nutrient like compost teas, manure extracts, vermicompost leachates and organic liquid fertilizers. The humic matter in forest soils or peat excites the root enzyme activities and increases nutrient uptakes, boosts the photosynthetic capacity and plant metabolism. </w:t>
      </w:r>
      <w:r w:rsidR="00354BC2" w:rsidRPr="00FD3B7B">
        <w:rPr>
          <w:rFonts w:ascii="Times New Roman" w:eastAsia="Times New Roman" w:hAnsi="Times New Roman" w:cs="Times New Roman"/>
          <w:kern w:val="0"/>
          <w:lang w:eastAsia="en-IN"/>
          <w14:ligatures w14:val="none"/>
        </w:rPr>
        <w:fldChar w:fldCharType="begin" w:fldLock="1"/>
      </w:r>
      <w:r w:rsidR="00354BC2" w:rsidRPr="00FD3B7B">
        <w:rPr>
          <w:rFonts w:ascii="Times New Roman" w:eastAsia="Times New Roman" w:hAnsi="Times New Roman" w:cs="Times New Roman"/>
          <w:kern w:val="0"/>
          <w:lang w:eastAsia="en-IN"/>
          <w14:ligatures w14:val="none"/>
        </w:rPr>
        <w:instrText>ADDIN CSL_CITATION {"citationItems":[{"id":"ITEM-1","itemData":{"DOI":"10.5772/intechopen.89955","author":[{"dropping-particle":"","family":"Carlos Rodríguez Ortiz","given":"Juan","non-dropping-particle":"","parse-names":false,"suffix":""}],"container-title":"Urban Horticulture - Necessity of the Future","id":"ITEM-1","issued":{"date-parts":[["2020"]]},"title":"Nutritive Solutions Formulated from Organic Fertilizers","type":"article-journal"},"uris":["http://www.mendeley.com/documents/?uuid=e5b58d38-da84-4b86-a3c7-2add4c91c214"]}],"mendeley":{"formattedCitation":"(Carlos Rodríguez Ortiz, 2020)","plainTextFormattedCitation":"(Carlos Rodríguez Ortiz, 2020)","previouslyFormattedCitation":"(Carlos Rodríguez Ortiz, 2020)"},"properties":{"noteIndex":0},"schema":"https://github.com/citation-style-language/schema/raw/master/csl-citation.json"}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(Carlos Rodríguez Ortiz, 2020)</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w:t>
      </w:r>
      <w:r w:rsidR="00A977D2" w:rsidRPr="00FD3B7B">
        <w:rPr>
          <w:rFonts w:ascii="Times New Roman" w:eastAsia="Times New Roman" w:hAnsi="Times New Roman" w:cs="Times New Roman"/>
          <w:kern w:val="0"/>
          <w:lang w:eastAsia="en-IN"/>
          <w14:ligatures w14:val="none"/>
        </w:rPr>
        <w:fldChar w:fldCharType="begin" w:fldLock="1"/>
      </w:r>
      <w:r w:rsidR="007447C9" w:rsidRPr="00FD3B7B">
        <w:rPr>
          <w:rFonts w:ascii="Times New Roman" w:eastAsia="Times New Roman" w:hAnsi="Times New Roman" w:cs="Times New Roman"/>
          <w:kern w:val="0"/>
          <w:lang w:eastAsia="en-IN"/>
          <w14:ligatures w14:val="none"/>
        </w:rPr>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A977D2" w:rsidRPr="00FD3B7B">
        <w:rPr>
          <w:rFonts w:ascii="Times New Roman" w:eastAsia="Times New Roman" w:hAnsi="Times New Roman" w:cs="Times New Roman"/>
          <w:kern w:val="0"/>
          <w:lang w:eastAsia="en-IN"/>
          <w14:ligatures w14:val="none"/>
        </w:rPr>
        <w:fldChar w:fldCharType="separate"/>
      </w:r>
      <w:r w:rsidR="00A977D2" w:rsidRPr="00FD3B7B">
        <w:rPr>
          <w:rFonts w:ascii="Times New Roman" w:eastAsia="Times New Roman" w:hAnsi="Times New Roman" w:cs="Times New Roman"/>
          <w:noProof/>
          <w:kern w:val="0"/>
          <w:lang w:eastAsia="en-IN"/>
          <w14:ligatures w14:val="none"/>
        </w:rPr>
        <w:t>(Park &amp; Williams, 2024)</w:t>
      </w:r>
      <w:r w:rsidR="00A977D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 xml:space="preserve">. </w:t>
      </w:r>
      <w:r w:rsidR="00454E47" w:rsidRPr="00FD3B7B">
        <w:rPr>
          <w:rFonts w:ascii="Times New Roman" w:eastAsia="Times New Roman" w:hAnsi="Times New Roman" w:cs="Times New Roman"/>
          <w:kern w:val="0"/>
          <w:lang w:eastAsia="en-IN"/>
          <w14:ligatures w14:val="none"/>
        </w:rPr>
        <w:t>Fish emulsions and seaweed extracts contain the necessary phytohormones, which stimulate cell division and cell extension, contribute to plant enlivening and productivity.</w:t>
      </w:r>
      <w:r w:rsidR="00354BC2" w:rsidRPr="00FD3B7B">
        <w:rPr>
          <w:rFonts w:ascii="Times New Roman" w:eastAsia="Times New Roman" w:hAnsi="Times New Roman" w:cs="Times New Roman"/>
          <w:kern w:val="0"/>
          <w:lang w:eastAsia="en-IN"/>
          <w14:ligatures w14:val="none"/>
        </w:rPr>
        <w:t xml:space="preserve"> </w:t>
      </w:r>
      <w:r w:rsidR="00354BC2" w:rsidRPr="00FD3B7B">
        <w:rPr>
          <w:rFonts w:ascii="Times New Roman" w:eastAsia="Times New Roman" w:hAnsi="Times New Roman" w:cs="Times New Roman"/>
          <w:kern w:val="0"/>
          <w:lang w:eastAsia="en-IN"/>
          <w14:ligatures w14:val="none"/>
        </w:rPr>
        <w:fldChar w:fldCharType="begin" w:fldLock="1"/>
      </w:r>
      <w:r w:rsidR="00354BC2" w:rsidRPr="00FD3B7B">
        <w:rPr>
          <w:rFonts w:ascii="Times New Roman" w:eastAsia="Times New Roman" w:hAnsi="Times New Roman" w:cs="Times New Roman"/>
          <w:kern w:val="0"/>
          <w:lang w:eastAsia="en-IN"/>
          <w14:ligatures w14:val="none"/>
        </w:rPr>
        <w:instrText>ADDIN CSL_CITATION {"citationItems":[{"id":"ITEM-1","itemData":{"DOI":"10.3390/horticulturae9121274","ISSN":"23117524","abstract":"Hydroponics is a contemporary agricultural system providing precise control over growing conditions, potentially enhancing productivity. Biofertilizers are environmentally friendly, next-generation fertilizers that augment product yield and quality in hydroponic cultivation. In this study, we investigated the effect of three bio-fertilizers in a hydroponic floating system, microalgae, plant growth-promoting rhizobacteria (PGPR) and arbuscular mycorrhizal fungi (AMF), combined with a 50% reduction in mineral fertilizer, on lettuce yield and quality parameters including antioxidants: vitamin C, total phenols and flavonoids. The treatments tested were: 100% mineral fertilizer (control 1), 50% mineral fertilizer (control 2), 50% mineral fertilizer with microalgae, 50% mineral fertilizer with PGPR and 50% mineral fertilizer with AMF. The research was conducted during the winter months within a controlled environment of a glasshouse in a Mediterranean climate. The PGPR comprised three distinct bacterial strains, while the AMF comprised nine different mycorrhizal species. The microalgae consisted of only a single species, Chlorella vulgaris. AMF inoculation occurred once during seed sowing, while the introduction of PGPR and microalgae occurred at 10-day intervals into the root medium. Our findings revealed that the treatment with PGPR resulted in the highest growth parameters, including the lettuce circumference, stem diameter and fresh leaf weight. The 100% mineral fertilizer and PGPR treatments also yielded the highest lettuce production. Meanwhile, the treatment with AMF showed the highest total phenol and flavonoid content, which was statistically similar to that of the PGPR treatment. Furthermore, the PGPR recorded the maximum range of essential nutrients, including nitrogen (N), potassium (K), iron (Fe), zinc (Zn) and copper (Cu). Thus, the inclusion of PGPR holds promise for optimizing the lettuce growth and nutrient content in hydroponic systems. In conclusion, PGPR has the potential to enhance nutrient availability in a floating hydroponic system, reducing the dependence on chemical fertilizers. This mitigates environmental pollution and fosters sustainable agriculture.","author":[{"dropping-particle":"","family":"Dasgan","given":"Hayriye Yildiz","non-dropping-particle":"","parse-names":false,"suffix":""},{"dropping-particle":"","family":"Yilmaz","given":"Dilek","non-dropping-particle":"","parse-names":false,"suffix":""},{"dropping-particle":"","family":"Zikaria","given":"Kamran","non-dropping-particle":"","parse-names":false,"suffix":""},{"dropping-particle":"","family":"Ikiz","given":"Boran","non-dropping-particle":"","parse-names":false,"suffix":""},{"dropping-particle":"","family":"Gruda","given":"Nazim S.","non-dropping-particle":"","parse-names":false,"suffix":""}],"container-title":"Horticulturae","id":"ITEM-1","issue":"12","issued":{"date-parts":[["2023"]]},"page":"1-19","title":"Enhancing the Yield, Quality and Antioxidant Content of Lettuce through Innovative and Eco-Friendly Biofertilizer Practices in Hydroponics","type":"article-journal","volume":"9"},"uris":["http://www.mendeley.com/documents/?uuid=0f21658b-0cc5-4e8f-9875-9e3de4c67751"]}],"mendeley":{"formattedCitation":"(Dasgan et al., 2023)","plainTextFormattedCitation":"(Dasgan et al., 2023)","previouslyFormattedCitation":"(Dasgan et al., 2023)"},"properties":{"noteIndex":0},"schema":"https://github.com/citation-style-language/schema/raw/master/csl-citation.json"}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(Dasgan et al., 2023)</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 xml:space="preserve">. </w:t>
      </w:r>
      <w:r w:rsidR="0085266F" w:rsidRPr="00FD3B7B">
        <w:rPr>
          <w:rFonts w:ascii="Times New Roman" w:eastAsia="Times New Roman" w:hAnsi="Times New Roman" w:cs="Times New Roman"/>
          <w:kern w:val="0"/>
          <w:lang w:eastAsia="en-IN"/>
          <w14:ligatures w14:val="none"/>
        </w:rPr>
        <w:t xml:space="preserve">Organic formulations are chemically complicated to release nutrients slowly and in a sustained rate typically depending on microbial degradation. This gradual release system is able to dodge instant availability of nutrients but stretches effective nutrient provision, which fosters consistent development during the plant cycle of existence. </w:t>
      </w:r>
      <w:r w:rsidR="00354BC2" w:rsidRPr="00FD3B7B">
        <w:rPr>
          <w:rFonts w:ascii="Times New Roman" w:eastAsia="Times New Roman" w:hAnsi="Times New Roman" w:cs="Times New Roman"/>
          <w:kern w:val="0"/>
          <w:lang w:eastAsia="en-IN"/>
          <w14:ligatures w14:val="none"/>
        </w:rPr>
        <w:fldChar w:fldCharType="begin" w:fldLock="1"/>
      </w:r>
      <w:r w:rsidR="00704106" w:rsidRPr="00FD3B7B">
        <w:rPr>
          <w:rFonts w:ascii="Times New Roman" w:eastAsia="Times New Roman" w:hAnsi="Times New Roman" w:cs="Times New Roman"/>
          <w:kern w:val="0"/>
          <w:lang w:eastAsia="en-IN"/>
          <w14:ligatures w14:val="none"/>
        </w:rPr>
        <w:instrText>ADDIN CSL_CITATION {"citationItems":[{"id":"ITEM-1","itemData":{"DOI":"10.5772/intechopen.89955","author":[{"dropping-particle":"","family":"Carlos Rodríguez Ortiz","given":"Juan","non-dropping-particle":"","parse-names":false,"suffix":""}],"container-title":"Urban Horticulture - Necessity of the Future","id":"ITEM-1","issued":{"date-parts":[["2020"]]},"title":"Nutritive Solutions Formulated from Organic Fertilizers","type":"article-journal"},"uris":["http://www.mendeley.com/documents/?uuid=e5b58d38-da84-4b86-a3c7-2add4c91c214"]}],"mendeley":{"formattedCitation":"(Carlos Rodríguez Ortiz, 2020)","plainTextFormattedCitation":"(Carlos Rodríguez Ortiz, 2020)","previouslyFormattedCitation":"(Carlos Rodríguez Ortiz, 2020)"},"properties":{"noteIndex":0},"schema":"https://github.com/citation-style-language/schema/raw/master/csl-citation.json"}</w:instrText>
      </w:r>
      <w:r w:rsidR="00354BC2" w:rsidRPr="00FD3B7B">
        <w:rPr>
          <w:rFonts w:ascii="Times New Roman" w:eastAsia="Times New Roman" w:hAnsi="Times New Roman" w:cs="Times New Roman"/>
          <w:kern w:val="0"/>
          <w:lang w:eastAsia="en-IN"/>
          <w14:ligatures w14:val="none"/>
        </w:rPr>
        <w:fldChar w:fldCharType="separate"/>
      </w:r>
      <w:r w:rsidR="00354BC2" w:rsidRPr="00FD3B7B">
        <w:rPr>
          <w:rFonts w:ascii="Times New Roman" w:eastAsia="Times New Roman" w:hAnsi="Times New Roman" w:cs="Times New Roman"/>
          <w:noProof/>
          <w:kern w:val="0"/>
          <w:lang w:eastAsia="en-IN"/>
          <w14:ligatures w14:val="none"/>
        </w:rPr>
        <w:t>(Carlos Rodríguez Ortiz, 2020)</w:t>
      </w:r>
      <w:r w:rsidR="00354BC2" w:rsidRPr="00FD3B7B">
        <w:rPr>
          <w:rFonts w:ascii="Times New Roman" w:eastAsia="Times New Roman" w:hAnsi="Times New Roman" w:cs="Times New Roman"/>
          <w:kern w:val="0"/>
          <w:lang w:eastAsia="en-IN"/>
          <w14:ligatures w14:val="none"/>
        </w:rPr>
        <w:fldChar w:fldCharType="end"/>
      </w:r>
      <w:r w:rsidR="00354BC2" w:rsidRPr="00FD3B7B">
        <w:rPr>
          <w:rFonts w:ascii="Times New Roman" w:eastAsia="Times New Roman" w:hAnsi="Times New Roman" w:cs="Times New Roman"/>
          <w:kern w:val="0"/>
          <w:lang w:eastAsia="en-IN"/>
          <w14:ligatures w14:val="none"/>
        </w:rPr>
        <w:t>.</w:t>
      </w:r>
    </w:p>
    <w:p w14:paraId="6651B136" w14:textId="77777777" w:rsidR="00354BC2" w:rsidRPr="00DA6C98" w:rsidRDefault="00354BC2" w:rsidP="00DA6C98">
      <w:pPr>
        <w:spacing w:after="0" w:line="360" w:lineRule="auto"/>
        <w:ind w:left="360"/>
        <w:jc w:val="both"/>
        <w:rPr>
          <w:rFonts w:ascii="Times New Roman" w:eastAsia="Times New Roman" w:hAnsi="Times New Roman" w:cs="Times New Roman"/>
          <w:kern w:val="0"/>
          <w:lang w:eastAsia="en-IN"/>
          <w14:ligatures w14:val="none"/>
        </w:rPr>
      </w:pPr>
    </w:p>
    <w:p w14:paraId="5722FFA7" w14:textId="6BB07BC9" w:rsidR="00D97D88" w:rsidRPr="00DA6C98" w:rsidRDefault="00D97D88"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Nutrient Release Dynamics and Solution Stability</w:t>
      </w:r>
    </w:p>
    <w:p w14:paraId="7CF5BB3F" w14:textId="77777777" w:rsidR="00D97D88" w:rsidRPr="00DA6C98" w:rsidRDefault="00D97D88" w:rsidP="00DA6C98">
      <w:pPr>
        <w:spacing w:after="0" w:line="360" w:lineRule="auto"/>
        <w:ind w:left="360"/>
        <w:jc w:val="both"/>
        <w:rPr>
          <w:rFonts w:ascii="Times New Roman" w:eastAsia="Times New Roman" w:hAnsi="Times New Roman" w:cs="Times New Roman"/>
          <w:b/>
          <w:bCs/>
          <w:kern w:val="0"/>
          <w:lang w:eastAsia="en-IN"/>
          <w14:ligatures w14:val="none"/>
        </w:rPr>
      </w:pPr>
    </w:p>
    <w:p w14:paraId="4E6B50E1" w14:textId="47C07D99" w:rsidR="00D97D88" w:rsidRPr="00DA6C98" w:rsidRDefault="008F0894" w:rsidP="00FD3B7B">
      <w:pPr>
        <w:spacing w:after="0" w:line="360" w:lineRule="auto"/>
        <w:jc w:val="both"/>
        <w:rPr>
          <w:rFonts w:ascii="Times New Roman" w:eastAsia="Times New Roman" w:hAnsi="Times New Roman" w:cs="Times New Roman"/>
          <w:kern w:val="0"/>
          <w:lang w:eastAsia="en-IN"/>
          <w14:ligatures w14:val="none"/>
        </w:rPr>
      </w:pPr>
      <w:r w:rsidRPr="008F0894">
        <w:rPr>
          <w:rFonts w:ascii="Times New Roman" w:eastAsia="Times New Roman" w:hAnsi="Times New Roman" w:cs="Times New Roman"/>
          <w:kern w:val="0"/>
          <w:lang w:eastAsia="en-IN"/>
          <w14:ligatures w14:val="none"/>
        </w:rPr>
        <w:t>The rate of mineralization of nutrients in the organic hydroponic nutrient solution is strongly influenced by the microbial activity, temperature, pH, and dissolved oxygen, and, therefore, to ensure nutrient homogeneity, strict control over the nutrient solution is required.</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(Alneyadi et al., 2024)</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(Abdelhamid et al., 2025)</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D97D88" w:rsidRPr="00DA6C98">
        <w:rPr>
          <w:rFonts w:ascii="Times New Roman" w:eastAsia="Times New Roman" w:hAnsi="Times New Roman" w:cs="Times New Roman"/>
          <w:kern w:val="0"/>
          <w:lang w:eastAsia="en-IN"/>
          <w14:ligatures w14:val="none"/>
        </w:rPr>
        <w:t xml:space="preserve"> </w:t>
      </w:r>
      <w:r w:rsidR="006A588D" w:rsidRPr="006A588D">
        <w:rPr>
          <w:rFonts w:ascii="Times New Roman" w:eastAsia="Times New Roman" w:hAnsi="Times New Roman" w:cs="Times New Roman"/>
          <w:kern w:val="0"/>
          <w:lang w:eastAsia="en-IN"/>
          <w14:ligatures w14:val="none"/>
        </w:rPr>
        <w:t>Buffering systems that use organic acids and microbial metabolites help stabilize variations in pH and maintain the solubility of nutrients.</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(Hooks et al., 2022)</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 xml:space="preserve">. </w:t>
      </w:r>
      <w:r w:rsidR="00944806" w:rsidRPr="00944806">
        <w:rPr>
          <w:rFonts w:ascii="Times New Roman" w:eastAsia="Times New Roman" w:hAnsi="Times New Roman" w:cs="Times New Roman"/>
          <w:kern w:val="0"/>
          <w:lang w:eastAsia="en-IN"/>
          <w14:ligatures w14:val="none"/>
        </w:rPr>
        <w:t xml:space="preserve">Regulated-release formulations that involve encapsulation technology of slow-release carriers have been devised to increase the availability of the nutrient thus limiting the number of applications and </w:t>
      </w:r>
      <w:proofErr w:type="spellStart"/>
      <w:r w:rsidR="00944806" w:rsidRPr="00944806">
        <w:rPr>
          <w:rFonts w:ascii="Times New Roman" w:eastAsia="Times New Roman" w:hAnsi="Times New Roman" w:cs="Times New Roman"/>
          <w:kern w:val="0"/>
          <w:lang w:eastAsia="en-IN"/>
          <w14:ligatures w14:val="none"/>
        </w:rPr>
        <w:t>labor</w:t>
      </w:r>
      <w:proofErr w:type="spellEnd"/>
      <w:r w:rsidR="00944806" w:rsidRPr="00944806">
        <w:rPr>
          <w:rFonts w:ascii="Times New Roman" w:eastAsia="Times New Roman" w:hAnsi="Times New Roman" w:cs="Times New Roman"/>
          <w:kern w:val="0"/>
          <w:lang w:eastAsia="en-IN"/>
          <w14:ligatures w14:val="none"/>
        </w:rPr>
        <w:t xml:space="preserve"> demanded.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Engineering","id":"ITEM-1","issue":"9","issued":{"date-parts":[["2023"]]},"page":"690-697","title":"Revista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fuzzy","type":"article-journal","volume":"27"},"uris":["http://www.mendeley.com/documents/?uuid=847726d4-76b0-4014-b2e9-175dd42b389b"]}],"mendeley":{"formattedCitation":"(Amalia et al., 2023)","plainTextFormattedCitation":"(Amalia et al., 2023)","previouslyFormattedCitation":"(Amalia et al., 2023)"},"properties":{"noteIndex":0},"schema":"https://github.com/citation-style-language/schema/raw/master/csl-citation.json"}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(Amalia et al., 2023)</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(Woźniak &amp; Ijaz, 2024)</w:t>
      </w:r>
      <w:r w:rsidR="00704106" w:rsidRPr="00DA6C98">
        <w:rPr>
          <w:rFonts w:ascii="Times New Roman" w:eastAsia="Times New Roman" w:hAnsi="Times New Roman" w:cs="Times New Roman"/>
          <w:kern w:val="0"/>
          <w:lang w:eastAsia="en-IN"/>
          <w14:ligatures w14:val="none"/>
        </w:rPr>
        <w:fldChar w:fldCharType="end"/>
      </w:r>
      <w:r w:rsidR="00D97D88" w:rsidRPr="00DA6C98">
        <w:rPr>
          <w:rFonts w:ascii="Times New Roman" w:eastAsia="Times New Roman" w:hAnsi="Times New Roman" w:cs="Times New Roman"/>
          <w:kern w:val="0"/>
          <w:lang w:eastAsia="en-IN"/>
          <w14:ligatures w14:val="none"/>
        </w:rPr>
        <w:t xml:space="preserve">. </w:t>
      </w:r>
      <w:r w:rsidR="00DF038B" w:rsidRPr="00DF038B">
        <w:rPr>
          <w:rFonts w:ascii="Times New Roman" w:eastAsia="Times New Roman" w:hAnsi="Times New Roman" w:cs="Times New Roman"/>
          <w:kern w:val="0"/>
          <w:lang w:eastAsia="en-IN"/>
          <w14:ligatures w14:val="none"/>
        </w:rPr>
        <w:t>Also, carriers built of biochar have been found to be more effective in nutrient retention and as a beneficial surface to colonization of microbes, which further promotes stability of solutions.</w:t>
      </w:r>
      <w:r w:rsidR="00D97D88" w:rsidRPr="00DA6C98">
        <w:rPr>
          <w:rFonts w:ascii="Times New Roman" w:eastAsia="Times New Roman" w:hAnsi="Times New Roman" w:cs="Times New Roman"/>
          <w:kern w:val="0"/>
          <w:lang w:eastAsia="en-IN"/>
          <w14:ligatures w14:val="none"/>
        </w:rPr>
        <w:t xml:space="preserve"> </w:t>
      </w:r>
      <w:r w:rsidR="00704106" w:rsidRPr="00DA6C98">
        <w:rPr>
          <w:rFonts w:ascii="Times New Roman" w:eastAsia="Times New Roman" w:hAnsi="Times New Roman" w:cs="Times New Roman"/>
          <w:kern w:val="0"/>
          <w:lang w:eastAsia="en-IN"/>
          <w14:ligatures w14:val="none"/>
        </w:rPr>
        <w:fldChar w:fldCharType="begin" w:fldLock="1"/>
      </w:r>
      <w:r w:rsidR="00704106"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(Alneyadi et al., 2024)</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r w:rsidR="00704106"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704106" w:rsidRPr="00DA6C98">
        <w:rPr>
          <w:rFonts w:ascii="Times New Roman" w:eastAsia="Times New Roman" w:hAnsi="Times New Roman" w:cs="Times New Roman"/>
          <w:kern w:val="0"/>
          <w:lang w:eastAsia="en-IN"/>
          <w14:ligatures w14:val="none"/>
        </w:rPr>
        <w:fldChar w:fldCharType="separate"/>
      </w:r>
      <w:r w:rsidR="00704106" w:rsidRPr="00DA6C98">
        <w:rPr>
          <w:rFonts w:ascii="Times New Roman" w:eastAsia="Times New Roman" w:hAnsi="Times New Roman" w:cs="Times New Roman"/>
          <w:noProof/>
          <w:kern w:val="0"/>
          <w:lang w:eastAsia="en-IN"/>
          <w14:ligatures w14:val="none"/>
        </w:rPr>
        <w:t>(Abdelhamid et al., 2025)</w:t>
      </w:r>
      <w:r w:rsidR="00704106" w:rsidRPr="00DA6C98">
        <w:rPr>
          <w:rFonts w:ascii="Times New Roman" w:eastAsia="Times New Roman" w:hAnsi="Times New Roman" w:cs="Times New Roman"/>
          <w:kern w:val="0"/>
          <w:lang w:eastAsia="en-IN"/>
          <w14:ligatures w14:val="none"/>
        </w:rPr>
        <w:fldChar w:fldCharType="end"/>
      </w:r>
      <w:r w:rsidR="00704106" w:rsidRPr="00DA6C98">
        <w:rPr>
          <w:rFonts w:ascii="Times New Roman" w:eastAsia="Times New Roman" w:hAnsi="Times New Roman" w:cs="Times New Roman"/>
          <w:kern w:val="0"/>
          <w:lang w:eastAsia="en-IN"/>
          <w14:ligatures w14:val="none"/>
        </w:rPr>
        <w:t>.</w:t>
      </w:r>
    </w:p>
    <w:p w14:paraId="1BC4A534"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13E44A66"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490DEEC3" w14:textId="59CFD674" w:rsidR="002C79AB" w:rsidRPr="00DA6C98" w:rsidRDefault="002C79A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lastRenderedPageBreak/>
        <w:t>Impact on Crop Quality and Phytochemical Enhancement</w:t>
      </w:r>
    </w:p>
    <w:p w14:paraId="14477F63" w14:textId="77777777" w:rsidR="002C79AB" w:rsidRPr="00DA6C98" w:rsidRDefault="002C79AB" w:rsidP="00DA6C98">
      <w:pPr>
        <w:spacing w:after="0" w:line="360" w:lineRule="auto"/>
        <w:ind w:left="360"/>
        <w:jc w:val="both"/>
        <w:rPr>
          <w:rFonts w:ascii="Times New Roman" w:eastAsia="Times New Roman" w:hAnsi="Times New Roman" w:cs="Times New Roman"/>
          <w:b/>
          <w:bCs/>
          <w:kern w:val="0"/>
          <w:lang w:eastAsia="en-IN"/>
          <w14:ligatures w14:val="none"/>
        </w:rPr>
      </w:pPr>
    </w:p>
    <w:p w14:paraId="16B719E0" w14:textId="3EB6D479" w:rsidR="002C79AB" w:rsidRPr="00DA6C98" w:rsidRDefault="002F7D9B" w:rsidP="00FD3B7B">
      <w:pPr>
        <w:spacing w:after="0" w:line="360" w:lineRule="auto"/>
        <w:jc w:val="both"/>
        <w:rPr>
          <w:rFonts w:ascii="Times New Roman" w:eastAsia="Times New Roman" w:hAnsi="Times New Roman" w:cs="Times New Roman"/>
          <w:kern w:val="0"/>
          <w:lang w:eastAsia="en-IN"/>
          <w14:ligatures w14:val="none"/>
        </w:rPr>
      </w:pPr>
      <w:r w:rsidRPr="002F7D9B">
        <w:rPr>
          <w:rFonts w:ascii="Times New Roman" w:eastAsia="Times New Roman" w:hAnsi="Times New Roman" w:cs="Times New Roman"/>
          <w:kern w:val="0"/>
          <w:lang w:eastAsia="en-IN"/>
          <w14:ligatures w14:val="none"/>
        </w:rPr>
        <w:t xml:space="preserve">The use of organic nutrient regimes has been shown to have the best output of crops into antioxidant capacity, polyphenols and essential oils.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(Hooks et al., 2022)</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(Alneyadi et al.,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w:t>
      </w:r>
      <w:r w:rsidR="00F71C95" w:rsidRPr="00F71C95">
        <w:rPr>
          <w:rFonts w:ascii="Times New Roman" w:eastAsia="Times New Roman" w:hAnsi="Times New Roman" w:cs="Times New Roman"/>
          <w:kern w:val="0"/>
          <w:lang w:eastAsia="en-IN"/>
          <w14:ligatures w14:val="none"/>
        </w:rPr>
        <w:t xml:space="preserve">Organic-microbial formulations on lettuce result in 30% increments in the antioxidants content yet there is competitive harvest.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(Hooks et al., 2022)</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Controlled studies demonstrate 15-25% improvements in vitamin C content, phenolic compounds, and mineral density compared to synthetic nutrient controls </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(Alneyadi et al.,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w:t>
      </w:r>
      <w:r w:rsidR="002C79AB" w:rsidRPr="00DA6C98">
        <w:rPr>
          <w:rFonts w:ascii="Times New Roman" w:eastAsia="Times New Roman" w:hAnsi="Times New Roman" w:cs="Times New Roman"/>
          <w:kern w:val="0"/>
          <w:lang w:eastAsia="en-IN"/>
          <w14:ligatures w14:val="none"/>
        </w:rPr>
        <w:fldChar w:fldCharType="begin" w:fldLock="1"/>
      </w:r>
      <w:r w:rsidR="002C79AB"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(Woźniak &amp; Ijaz,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xml:space="preserve">. </w:t>
      </w:r>
      <w:proofErr w:type="spellStart"/>
      <w:r w:rsidR="002C79AB" w:rsidRPr="00DA6C98">
        <w:rPr>
          <w:rFonts w:ascii="Times New Roman" w:eastAsia="Times New Roman" w:hAnsi="Times New Roman" w:cs="Times New Roman"/>
          <w:kern w:val="0"/>
          <w:lang w:eastAsia="en-IN"/>
          <w14:ligatures w14:val="none"/>
        </w:rPr>
        <w:t>Flavor</w:t>
      </w:r>
      <w:proofErr w:type="spellEnd"/>
      <w:r w:rsidR="002C79AB" w:rsidRPr="00DA6C98">
        <w:rPr>
          <w:rFonts w:ascii="Times New Roman" w:eastAsia="Times New Roman" w:hAnsi="Times New Roman" w:cs="Times New Roman"/>
          <w:kern w:val="0"/>
          <w:lang w:eastAsia="en-IN"/>
          <w14:ligatures w14:val="none"/>
        </w:rPr>
        <w:t xml:space="preserve"> profile enhancement through organic nutrition contributes to premium market positioning and consumer preference, particularly in high-value specialty crops </w:t>
      </w:r>
      <w:r w:rsidR="002C79AB" w:rsidRPr="00DA6C98">
        <w:rPr>
          <w:rFonts w:ascii="Times New Roman" w:eastAsia="Times New Roman" w:hAnsi="Times New Roman" w:cs="Times New Roman"/>
          <w:kern w:val="0"/>
          <w:lang w:eastAsia="en-IN"/>
          <w14:ligatures w14:val="none"/>
        </w:rPr>
        <w:fldChar w:fldCharType="begin" w:fldLock="1"/>
      </w:r>
      <w:r w:rsidR="00BE7A8C"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2C79AB" w:rsidRPr="00DA6C98">
        <w:rPr>
          <w:rFonts w:ascii="Times New Roman" w:eastAsia="Times New Roman" w:hAnsi="Times New Roman" w:cs="Times New Roman"/>
          <w:kern w:val="0"/>
          <w:lang w:eastAsia="en-IN"/>
          <w14:ligatures w14:val="none"/>
        </w:rPr>
        <w:fldChar w:fldCharType="separate"/>
      </w:r>
      <w:r w:rsidR="002C79AB" w:rsidRPr="00DA6C98">
        <w:rPr>
          <w:rFonts w:ascii="Times New Roman" w:eastAsia="Times New Roman" w:hAnsi="Times New Roman" w:cs="Times New Roman"/>
          <w:noProof/>
          <w:kern w:val="0"/>
          <w:lang w:eastAsia="en-IN"/>
          <w14:ligatures w14:val="none"/>
        </w:rPr>
        <w:t>(Woźniak &amp; Ijaz, 2024)</w:t>
      </w:r>
      <w:r w:rsidR="002C79AB" w:rsidRPr="00DA6C98">
        <w:rPr>
          <w:rFonts w:ascii="Times New Roman" w:eastAsia="Times New Roman" w:hAnsi="Times New Roman" w:cs="Times New Roman"/>
          <w:kern w:val="0"/>
          <w:lang w:eastAsia="en-IN"/>
          <w14:ligatures w14:val="none"/>
        </w:rPr>
        <w:fldChar w:fldCharType="end"/>
      </w:r>
      <w:r w:rsidR="002C79AB" w:rsidRPr="00DA6C98">
        <w:rPr>
          <w:rFonts w:ascii="Times New Roman" w:eastAsia="Times New Roman" w:hAnsi="Times New Roman" w:cs="Times New Roman"/>
          <w:kern w:val="0"/>
          <w:lang w:eastAsia="en-IN"/>
          <w14:ligatures w14:val="none"/>
        </w:rPr>
        <w:t>. Reduced nitrate accumulation in leafy greens improves food safety and nutritional value.</w:t>
      </w:r>
    </w:p>
    <w:p w14:paraId="69097510"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2902AB01" w14:textId="6077D470" w:rsidR="002C79AB" w:rsidRPr="00DA6C98" w:rsidRDefault="002C79A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Economic Considerations and Cost-Benefit Analysis</w:t>
      </w:r>
    </w:p>
    <w:p w14:paraId="66E7AA29" w14:textId="77777777" w:rsidR="002C79AB" w:rsidRPr="00DA6C98" w:rsidRDefault="002C79AB" w:rsidP="00DA6C98">
      <w:pPr>
        <w:spacing w:after="0" w:line="360" w:lineRule="auto"/>
        <w:ind w:left="360"/>
        <w:jc w:val="both"/>
        <w:rPr>
          <w:rFonts w:ascii="Times New Roman" w:eastAsia="Times New Roman" w:hAnsi="Times New Roman" w:cs="Times New Roman"/>
          <w:b/>
          <w:bCs/>
          <w:kern w:val="0"/>
          <w:lang w:eastAsia="en-IN"/>
          <w14:ligatures w14:val="none"/>
        </w:rPr>
      </w:pPr>
    </w:p>
    <w:p w14:paraId="76E23E45" w14:textId="58F9BE58" w:rsidR="002C79AB" w:rsidRPr="00DA6C98" w:rsidRDefault="00BE7A8C" w:rsidP="00FD3B7B">
      <w:pPr>
        <w:spacing w:after="0"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Economic analysis reveals competitive production costs for organic hydroponic systems when productivity benefits and premium pricing are considered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nexus","type":"article-journal","volume":"15"},"uris":["http://www.mendeley.com/documents/?uuid=667eb193-f124-4170-bcbb-4c4d9305ee10"]},{"id":"ITEM-2","itemData":{"ISSN":"1807-1929","author":[{"dropping-particle":"","family":"Amalia","given":"Anugerah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Engineering","id":"ITEM-2","issue":"9","issued":{"date-parts":[["2023"]]},"page":"690-697","title":"Revista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fuzzy","type":"article-journal","volume":"27"},"uris":["http://www.mendeley.com/documents/?uuid=847726d4-76b0-4014-b2e9-175dd42b389b"]}],"mendeley":{"formattedCitation":"(Abdelhamid et al., 2025; Amalia et al., 2023)","plainTextFormattedCitation":"(Abdelhamid et al., 2025; Amalia et al., 2023)","previouslyFormattedCitation":"(Abdelhamid et al., 2025; Amalia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(Abdelhamid et al., 2025; Amalia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(Alneyadi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Initial infrastructure investments are offset by reduced fertilizer costs and improved market positioning within 18-24 months for medium-scale operations. Labor efficiency gains through reduced monitoring requirements and automated AI-enabled systems further contribute to overall economic viability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(Woźniak &amp; Ijaz,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Additionally, value-added marketing opportunities through organic certification and sustainability branding provide significant revenue streams for producers in high-value niche markets </w:t>
      </w:r>
      <w:r w:rsidRPr="00DA6C98">
        <w:rPr>
          <w:rFonts w:ascii="Times New Roman" w:eastAsia="Times New Roman" w:hAnsi="Times New Roman" w:cs="Times New Roman"/>
          <w:kern w:val="0"/>
          <w:lang w:eastAsia="en-IN"/>
          <w14:ligatures w14:val="none"/>
        </w:rPr>
        <w:fldChar w:fldCharType="begin" w:fldLock="1"/>
      </w:r>
      <w:r w:rsidR="00061059" w:rsidRPr="00DA6C98">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(Alneyadi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2F76F8D3" w14:textId="77777777" w:rsidR="00BE7A8C" w:rsidRPr="00DA6C98" w:rsidRDefault="00BE7A8C" w:rsidP="00DA6C98">
      <w:pPr>
        <w:spacing w:after="0" w:line="360" w:lineRule="auto"/>
        <w:ind w:left="360"/>
        <w:jc w:val="both"/>
        <w:rPr>
          <w:rFonts w:ascii="Times New Roman" w:eastAsia="Times New Roman" w:hAnsi="Times New Roman" w:cs="Times New Roman"/>
          <w:kern w:val="0"/>
          <w:lang w:eastAsia="en-IN"/>
          <w14:ligatures w14:val="none"/>
        </w:rPr>
      </w:pPr>
    </w:p>
    <w:p w14:paraId="3510E986" w14:textId="77777777" w:rsidR="00BE7A8C" w:rsidRPr="00DA6C98" w:rsidRDefault="00BE7A8C" w:rsidP="00DA6C98">
      <w:pPr>
        <w:spacing w:after="0" w:line="360" w:lineRule="auto"/>
        <w:ind w:left="360"/>
        <w:jc w:val="both"/>
        <w:rPr>
          <w:rFonts w:ascii="Times New Roman" w:eastAsia="Times New Roman" w:hAnsi="Times New Roman" w:cs="Times New Roman"/>
          <w:kern w:val="0"/>
          <w:lang w:eastAsia="en-IN"/>
          <w14:ligatures w14:val="none"/>
        </w:rPr>
      </w:pPr>
    </w:p>
    <w:p w14:paraId="56EDDB88" w14:textId="4330F815" w:rsidR="00BE7A8C" w:rsidRPr="00DA6C98" w:rsidRDefault="00BE7A8C" w:rsidP="00DA6C98">
      <w:pPr>
        <w:pStyle w:val="ListParagraph"/>
        <w:numPr>
          <w:ilvl w:val="0"/>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Microbial Nutrient Formulations and Their Role in Hydroponics Plant growth</w:t>
      </w:r>
    </w:p>
    <w:p w14:paraId="0ED1655A" w14:textId="41276C97" w:rsidR="00A45B0B" w:rsidRDefault="00A45B0B"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PGPM including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kern w:val="0"/>
          <w:lang w:eastAsia="en-IN"/>
          <w14:ligatures w14:val="none"/>
        </w:rPr>
        <w:t xml:space="preserve">, </w:t>
      </w:r>
      <w:r w:rsidRPr="00DA6C98">
        <w:rPr>
          <w:rFonts w:ascii="Times New Roman" w:eastAsia="Times New Roman" w:hAnsi="Times New Roman" w:cs="Times New Roman"/>
          <w:i/>
          <w:iCs/>
          <w:kern w:val="0"/>
          <w:lang w:eastAsia="en-IN"/>
          <w14:ligatures w14:val="none"/>
        </w:rPr>
        <w:t>Bacillus</w:t>
      </w:r>
      <w:r w:rsidRPr="00DA6C98">
        <w:rPr>
          <w:rFonts w:ascii="Times New Roman" w:eastAsia="Times New Roman" w:hAnsi="Times New Roman" w:cs="Times New Roman"/>
          <w:kern w:val="0"/>
          <w:lang w:eastAsia="en-IN"/>
          <w14:ligatures w14:val="none"/>
        </w:rPr>
        <w:t xml:space="preserve">, and arbuscular mycorrhizal fungi improve nutrient solubilization, nitrogen fixation, and stress tolerance. Inoculation enhances biomass, nutrient density, and pathogen resistance in hydroponic crops, particularly when co-inoculation strategies are applied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(Dhawi,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5E2DF1B8" w14:textId="77777777" w:rsidR="00301E24" w:rsidRDefault="00301E24" w:rsidP="00DA6C98">
      <w:pPr>
        <w:spacing w:after="0" w:line="360" w:lineRule="auto"/>
        <w:ind w:left="360"/>
        <w:jc w:val="both"/>
        <w:rPr>
          <w:rFonts w:ascii="Times New Roman" w:eastAsia="Times New Roman" w:hAnsi="Times New Roman" w:cs="Times New Roman"/>
          <w:kern w:val="0"/>
          <w:lang w:eastAsia="en-IN"/>
          <w14:ligatures w14:val="none"/>
        </w:rPr>
      </w:pPr>
    </w:p>
    <w:p w14:paraId="26560F4E" w14:textId="14D62AA9" w:rsidR="00301E24" w:rsidRDefault="00301E24" w:rsidP="00DA6C98">
      <w:pPr>
        <w:spacing w:after="0" w:line="360" w:lineRule="auto"/>
        <w:ind w:left="360"/>
        <w:jc w:val="both"/>
        <w:rPr>
          <w:rFonts w:ascii="Times New Roman" w:eastAsia="Times New Roman" w:hAnsi="Times New Roman" w:cs="Times New Roman"/>
          <w:kern w:val="0"/>
          <w:lang w:eastAsia="en-IN"/>
          <w14:ligatures w14:val="none"/>
        </w:rPr>
      </w:pPr>
      <w:r>
        <w:rPr>
          <w:noProof/>
        </w:rPr>
        <w:lastRenderedPageBreak/>
        <w:drawing>
          <wp:inline distT="0" distB="0" distL="0" distR="0" wp14:anchorId="772F5142" wp14:editId="6D4D5632">
            <wp:extent cx="4683318" cy="3582276"/>
            <wp:effectExtent l="0" t="0" r="3175" b="0"/>
            <wp:docPr id="10454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87478" cy="3585458"/>
                    </a:xfrm>
                    <a:prstGeom prst="rect">
                      <a:avLst/>
                    </a:prstGeom>
                    <a:noFill/>
                    <a:ln>
                      <a:noFill/>
                    </a:ln>
                  </pic:spPr>
                </pic:pic>
              </a:graphicData>
            </a:graphic>
          </wp:inline>
        </w:drawing>
      </w:r>
    </w:p>
    <w:p w14:paraId="3A66B796" w14:textId="77777777" w:rsidR="00301E24" w:rsidRDefault="00301E24" w:rsidP="00301E24">
      <w:pPr>
        <w:spacing w:after="0" w:line="36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Fig 3: </w:t>
      </w:r>
      <w:r w:rsidRPr="00C92FF4">
        <w:rPr>
          <w:rFonts w:ascii="Times New Roman" w:eastAsia="Times New Roman" w:hAnsi="Times New Roman" w:cs="Times New Roman"/>
          <w:kern w:val="0"/>
          <w:lang w:eastAsia="en-IN"/>
          <w14:ligatures w14:val="none"/>
        </w:rPr>
        <w:t>Mechanism of PGPM/microbial inoculants as biofertilizers</w:t>
      </w:r>
    </w:p>
    <w:p w14:paraId="25070D19" w14:textId="15A93820" w:rsidR="00301E24" w:rsidRPr="00DA6C98" w:rsidRDefault="00301E24" w:rsidP="00301E24">
      <w:pPr>
        <w:spacing w:after="0" w:line="36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[Source: </w:t>
      </w:r>
      <w:r>
        <w:rPr>
          <w:rFonts w:ascii="Times New Roman" w:eastAsia="Times New Roman" w:hAnsi="Times New Roman" w:cs="Times New Roman"/>
          <w:kern w:val="0"/>
          <w:lang w:eastAsia="en-IN"/>
          <w14:ligatures w14:val="none"/>
        </w:rPr>
        <w:fldChar w:fldCharType="begin" w:fldLock="1"/>
      </w:r>
      <w:r>
        <w:rPr>
          <w:rFonts w:ascii="Times New Roman" w:eastAsia="Times New Roman" w:hAnsi="Times New Roman" w:cs="Times New Roman"/>
          <w:kern w:val="0"/>
          <w:lang w:eastAsia="en-IN"/>
          <w14:ligatures w14:val="none"/>
        </w:rPr>
        <w:instrText>ADDIN CSL_CITATION {"citationItems":[{"id":"ITEM-1","itemData":{"DOI":"10.1016/j.crmicr.2024.100333","ISSN":"26665174","abstract":"Plant-microbe interactions play pivotal roles in sustaining crop productivity and soil fertility, offering promising avenues for sustainable agricultural practices. This review paper explores the multifaceted interactions between plants and various microorganisms, highlighting their significance in enhancing crop productivity, combating pathogens, and promoting soil health. Understanding these interactions is crucial for harnessing their potential in agricultural systems to address challenges such as food security and environmental sustainability. Therefore, the introduction of beneficial microbes into agricultural ecosystems by bio-augmentation reduces the negative effects of intensive, non-sustainable agriculture on the environment, society, and economy, into the mechanisms underlying the application of plant growth promoting microbes as microbial inoculants/biofertilizers; their interactions, the factors influencing their dynamics, and the implications for agricultural practices, emerging technologies and strategies that leverage plant-microbe interactions for improving crop yields, soil fertility, and overall agricultural sustainability.","author":[{"dropping-particle":"","family":"Laishram","given":"Bibek","non-dropping-particle":"","parse-names":false,"suffix":""},{"dropping-particle":"","family":"Devi","given":"Okram Ricky","non-dropping-particle":"","parse-names":false,"suffix":""},{"dropping-particle":"","family":"Dutta","given":"Rinjumoni","non-dropping-particle":"","parse-names":false,"suffix":""},{"dropping-particle":"","family":"Senthilkumar","given":"T.","non-dropping-particle":"","parse-names":false,"suffix":""},{"dropping-particle":"","family":"Goyal","given":"Girish","non-dropping-particle":"","parse-names":false,"suffix":""},{"dropping-particle":"","family":"Paliwal","given":"Dinesh Kumar","non-dropping-particle":"","parse-names":false,"suffix":""},{"dropping-particle":"","family":"Panotra","given":"Narinder","non-dropping-particle":"","parse-names":false,"suffix":""},{"dropping-particle":"","family":"Rasool","given":"Akhtar","non-dropping-particle":"","parse-names":false,"suffix":""}],"container-title":"Current Research in Microbial Sciences","id":"ITEM-1","issue":"December 2024","issued":{"date-parts":[["2025"]]},"page":"100333","publisher":"Elsevier B.V.","title":"Plant-microbe interactions: PGPM as microbial inoculants/biofertilizers for sustaining crop productivity and soil fertility","type":"article-journal","volume":"8"},"uris":["http://www.mendeley.com/documents/?uuid=c434131b-5ea1-4e9e-8073-96d0dc2585a3"]}],"mendeley":{"formattedCitation":"(Laishram et al., 2025)","plainTextFormattedCitation":"(Laishram et al., 2025)"},"properties":{"noteIndex":0},"schema":"https://github.com/citation-style-language/schema/raw/master/csl-citation.json"}</w:instrText>
      </w:r>
      <w:r>
        <w:rPr>
          <w:rFonts w:ascii="Times New Roman" w:eastAsia="Times New Roman" w:hAnsi="Times New Roman" w:cs="Times New Roman"/>
          <w:kern w:val="0"/>
          <w:lang w:eastAsia="en-IN"/>
          <w14:ligatures w14:val="none"/>
        </w:rPr>
        <w:fldChar w:fldCharType="separate"/>
      </w:r>
      <w:r w:rsidRPr="00301E24">
        <w:rPr>
          <w:rFonts w:ascii="Times New Roman" w:eastAsia="Times New Roman" w:hAnsi="Times New Roman" w:cs="Times New Roman"/>
          <w:noProof/>
          <w:kern w:val="0"/>
          <w:lang w:eastAsia="en-IN"/>
          <w14:ligatures w14:val="none"/>
        </w:rPr>
        <w:t>(Laishram et al., 2025)</w:t>
      </w:r>
      <w:r>
        <w:rPr>
          <w:rFonts w:ascii="Times New Roman" w:eastAsia="Times New Roman" w:hAnsi="Times New Roman" w:cs="Times New Roman"/>
          <w:kern w:val="0"/>
          <w:lang w:eastAsia="en-IN"/>
          <w14:ligatures w14:val="none"/>
        </w:rPr>
        <w:fldChar w:fldCharType="end"/>
      </w:r>
      <w:r>
        <w:rPr>
          <w:rFonts w:ascii="Times New Roman" w:eastAsia="Times New Roman" w:hAnsi="Times New Roman" w:cs="Times New Roman"/>
          <w:kern w:val="0"/>
          <w:lang w:eastAsia="en-IN"/>
          <w14:ligatures w14:val="none"/>
        </w:rPr>
        <w:t>]</w:t>
      </w:r>
    </w:p>
    <w:p w14:paraId="2E6A63C6"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5524BC54" w14:textId="47BB7A30" w:rsidR="00061059" w:rsidRPr="00DA6C98" w:rsidRDefault="00061059"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Mechanisms of PGPM Action</w:t>
      </w:r>
    </w:p>
    <w:p w14:paraId="604B6701"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6FA6B563" w14:textId="714BF01C" w:rsidR="00061059" w:rsidRPr="00DA6C98" w:rsidRDefault="00061059"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PGPM exert a variety of beneficial effects on plants through several mechanisms. Beneficial bacteria such as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i/>
          <w:iCs/>
          <w:kern w:val="0"/>
          <w:lang w:eastAsia="en-IN"/>
          <w14:ligatures w14:val="none"/>
        </w:rPr>
        <w:t xml:space="preserve">, Bacillus, </w:t>
      </w:r>
      <w:r w:rsidRPr="00DA6C98">
        <w:rPr>
          <w:rFonts w:ascii="Times New Roman" w:eastAsia="Times New Roman" w:hAnsi="Times New Roman" w:cs="Times New Roman"/>
          <w:kern w:val="0"/>
          <w:lang w:eastAsia="en-IN"/>
          <w14:ligatures w14:val="none"/>
        </w:rPr>
        <w:t>and</w:t>
      </w:r>
      <w:r w:rsidRPr="00DA6C98">
        <w:rPr>
          <w:rFonts w:ascii="Times New Roman" w:eastAsia="Times New Roman" w:hAnsi="Times New Roman" w:cs="Times New Roman"/>
          <w:i/>
          <w:iCs/>
          <w:kern w:val="0"/>
          <w:lang w:eastAsia="en-IN"/>
          <w14:ligatures w14:val="none"/>
        </w:rPr>
        <w:t xml:space="preserve"> Pseudomonas</w:t>
      </w:r>
      <w:r w:rsidRPr="00DA6C98">
        <w:rPr>
          <w:rFonts w:ascii="Times New Roman" w:eastAsia="Times New Roman" w:hAnsi="Times New Roman" w:cs="Times New Roman"/>
          <w:kern w:val="0"/>
          <w:lang w:eastAsia="en-IN"/>
          <w14:ligatures w14:val="none"/>
        </w:rPr>
        <w:t xml:space="preserve"> species are capable of fixing atmospheric nitrogen, thereby increasing the availability of this essential nutrient. They also solubilize phosphates, chelate micronutrients, and produce growth–enhancing hormones that stimulate root gravimetric expansion and nutrient </w:t>
      </w:r>
      <w:proofErr w:type="gramStart"/>
      <w:r w:rsidRPr="00DA6C98">
        <w:rPr>
          <w:rFonts w:ascii="Times New Roman" w:eastAsia="Times New Roman" w:hAnsi="Times New Roman" w:cs="Times New Roman"/>
          <w:kern w:val="0"/>
          <w:lang w:eastAsia="en-IN"/>
          <w14:ligatures w14:val="none"/>
        </w:rPr>
        <w:t>absorption .</w:t>
      </w:r>
      <w:proofErr w:type="gramEnd"/>
      <w:r w:rsidRPr="00DA6C98">
        <w:rPr>
          <w:rFonts w:ascii="Times New Roman" w:eastAsia="Times New Roman" w:hAnsi="Times New Roman" w:cs="Times New Roman"/>
          <w:kern w:val="0"/>
          <w:lang w:eastAsia="en-IN"/>
          <w14:ligatures w14:val="none"/>
        </w:rPr>
        <w:t xml:space="preserve"> In parallel, arbuscular mycorrhizal fungi (AMF) form symbiotic associations with plant roots, dramatically increasing the effective root surface area and thereby improving the uptake of water and mineral nutrients under diverse environmental conditions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4227E057"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1D3FC231" w14:textId="2E508632" w:rsidR="00061059" w:rsidRPr="00DA6C98" w:rsidRDefault="00061059"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Efficacy of PGPM in Hydroponic Systems</w:t>
      </w:r>
    </w:p>
    <w:p w14:paraId="4EC673AD" w14:textId="77777777"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p>
    <w:p w14:paraId="480A708E" w14:textId="48B31AD4" w:rsidR="00061059" w:rsidRPr="00DA6C98" w:rsidRDefault="00061059" w:rsidP="00DA6C98">
      <w:pPr>
        <w:spacing w:after="0" w:line="360" w:lineRule="auto"/>
        <w:ind w:left="360"/>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Substantial experimental evidence demonstrates that inoculation of hydroponic systems with PGPM leads to significant improvements in plant biomass, yield, and nutrient content. For example, studies on hydroponically grown lettuce and tomato have reported increased </w:t>
      </w:r>
      <w:r w:rsidRPr="00DA6C98">
        <w:rPr>
          <w:rFonts w:ascii="Times New Roman" w:eastAsia="Times New Roman" w:hAnsi="Times New Roman" w:cs="Times New Roman"/>
          <w:kern w:val="0"/>
          <w:lang w:eastAsia="en-IN"/>
          <w14:ligatures w14:val="none"/>
        </w:rPr>
        <w:lastRenderedPageBreak/>
        <w:t xml:space="preserve">leaf area, higher fresh weight, and improved nutrient profiles when PGPM such as </w:t>
      </w:r>
      <w:r w:rsidRPr="00DA6C98">
        <w:rPr>
          <w:rFonts w:ascii="Times New Roman" w:eastAsia="Times New Roman" w:hAnsi="Times New Roman" w:cs="Times New Roman"/>
          <w:i/>
          <w:iCs/>
          <w:kern w:val="0"/>
          <w:lang w:eastAsia="en-IN"/>
          <w14:ligatures w14:val="none"/>
        </w:rPr>
        <w:t>Bacillus subtilis</w:t>
      </w:r>
      <w:r w:rsidRPr="00DA6C98">
        <w:rPr>
          <w:rFonts w:ascii="Times New Roman" w:eastAsia="Times New Roman" w:hAnsi="Times New Roman" w:cs="Times New Roman"/>
          <w:kern w:val="0"/>
          <w:lang w:eastAsia="en-IN"/>
          <w14:ligatures w14:val="none"/>
        </w:rPr>
        <w:t xml:space="preserve"> and </w:t>
      </w:r>
      <w:proofErr w:type="spellStart"/>
      <w:r w:rsidRPr="00DA6C98">
        <w:rPr>
          <w:rFonts w:ascii="Times New Roman" w:eastAsia="Times New Roman" w:hAnsi="Times New Roman" w:cs="Times New Roman"/>
          <w:i/>
          <w:iCs/>
          <w:kern w:val="0"/>
          <w:lang w:eastAsia="en-IN"/>
          <w14:ligatures w14:val="none"/>
        </w:rPr>
        <w:t>Azospirillum</w:t>
      </w:r>
      <w:proofErr w:type="spellEnd"/>
      <w:r w:rsidRPr="00DA6C98">
        <w:rPr>
          <w:rFonts w:ascii="Times New Roman" w:eastAsia="Times New Roman" w:hAnsi="Times New Roman" w:cs="Times New Roman"/>
          <w:i/>
          <w:iCs/>
          <w:kern w:val="0"/>
          <w:lang w:eastAsia="en-IN"/>
          <w14:ligatures w14:val="none"/>
        </w:rPr>
        <w:t xml:space="preserve"> </w:t>
      </w:r>
      <w:proofErr w:type="spellStart"/>
      <w:r w:rsidRPr="00DA6C98">
        <w:rPr>
          <w:rFonts w:ascii="Times New Roman" w:eastAsia="Times New Roman" w:hAnsi="Times New Roman" w:cs="Times New Roman"/>
          <w:i/>
          <w:iCs/>
          <w:kern w:val="0"/>
          <w:lang w:eastAsia="en-IN"/>
          <w14:ligatures w14:val="none"/>
        </w:rPr>
        <w:t>brasilense</w:t>
      </w:r>
      <w:proofErr w:type="spellEnd"/>
      <w:r w:rsidRPr="00DA6C98">
        <w:rPr>
          <w:rFonts w:ascii="Times New Roman" w:eastAsia="Times New Roman" w:hAnsi="Times New Roman" w:cs="Times New Roman"/>
          <w:kern w:val="0"/>
          <w:lang w:eastAsia="en-IN"/>
          <w14:ligatures w14:val="none"/>
        </w:rPr>
        <w:t xml:space="preserve"> are applied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w:t>
      </w:r>
      <w:proofErr w:type="spellStart"/>
      <w:r w:rsidRPr="00DA6C98">
        <w:rPr>
          <w:rFonts w:ascii="Times New Roman" w:eastAsia="Times New Roman" w:hAnsi="Times New Roman" w:cs="Times New Roman"/>
          <w:noProof/>
          <w:kern w:val="0"/>
          <w:lang w:eastAsia="en-IN"/>
          <w14:ligatures w14:val="none"/>
        </w:rPr>
        <w:t>Mourouzidou</w:t>
      </w:r>
      <w:proofErr w:type="spellEnd"/>
      <w:r w:rsidRPr="00DA6C98">
        <w:rPr>
          <w:rFonts w:ascii="Times New Roman" w:eastAsia="Times New Roman" w:hAnsi="Times New Roman" w:cs="Times New Roman"/>
          <w:noProof/>
          <w:kern w:val="0"/>
          <w:lang w:eastAsia="en-IN"/>
          <w14:ligatures w14:val="none"/>
        </w:rPr>
        <w:t xml:space="preserve">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(Dhawi,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Co–inoculation strategies, wherein multiple microbial species with complementary functions are introduced together, have been shown to further enhance nutrient solubilization, promote synergistic phytohormone production, and offer better biocontrol against microbial pathogens than single–strain inoculations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(Mourouzidou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p>
    <w:p w14:paraId="49CFC1A6" w14:textId="77777777"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2E6B5E84" w14:textId="3AC2C109" w:rsidR="00061059" w:rsidRPr="00DA6C98" w:rsidRDefault="00061059"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4.3 Integration of Microbial Inoculants with Organic Nutrient Formulations</w:t>
      </w:r>
    </w:p>
    <w:p w14:paraId="7C90A22F" w14:textId="148FC1F1" w:rsidR="002C79AB" w:rsidRPr="00DA6C98" w:rsidRDefault="002C79AB" w:rsidP="00DA6C98">
      <w:pPr>
        <w:spacing w:after="0" w:line="360" w:lineRule="auto"/>
        <w:ind w:left="360"/>
        <w:jc w:val="both"/>
        <w:rPr>
          <w:rFonts w:ascii="Times New Roman" w:eastAsia="Times New Roman" w:hAnsi="Times New Roman" w:cs="Times New Roman"/>
          <w:kern w:val="0"/>
          <w:lang w:eastAsia="en-IN"/>
          <w14:ligatures w14:val="none"/>
        </w:rPr>
      </w:pPr>
    </w:p>
    <w:p w14:paraId="761DC93C" w14:textId="18BB107E" w:rsidR="00061059" w:rsidRPr="00DA6C98" w:rsidRDefault="003A4766" w:rsidP="00DA6C98">
      <w:pPr>
        <w:spacing w:after="0" w:line="360" w:lineRule="auto"/>
        <w:ind w:left="360"/>
        <w:jc w:val="both"/>
        <w:rPr>
          <w:rFonts w:ascii="Times New Roman" w:eastAsia="Times New Roman" w:hAnsi="Times New Roman" w:cs="Times New Roman"/>
          <w:kern w:val="0"/>
          <w:lang w:eastAsia="en-IN"/>
          <w14:ligatures w14:val="none"/>
        </w:rPr>
      </w:pPr>
      <w:r w:rsidRPr="003A4766">
        <w:rPr>
          <w:rFonts w:ascii="Times New Roman" w:eastAsia="Times New Roman" w:hAnsi="Times New Roman" w:cs="Times New Roman"/>
          <w:kern w:val="0"/>
          <w:lang w:eastAsia="en-IN"/>
          <w14:ligatures w14:val="none"/>
        </w:rPr>
        <w:t>Considering overall aerobic nutrient formulation plus microbial inoculants has proved to be a very viable strategy in realization of high nutrient use efficiency in hydroponic environment. In these systems, organic amendments are a rich substrate content in the presence of co-inoculated PGPM which trigger the breakdown of the organic molecules in the substrates to readily available nutrients. This synergized process does not only make the supply of nutrients more stable and consistent over time but also lowers nutrient initial dosages of nutrients, thus alleviates risks of over-nutrient therapy and leaching. Combination of organic inputs and use of PGPM has also been linked to enhanced root structure and increase in the reactions against abiotic conditions, yet again supporting the prospects of this combined nutrient approach.</w:t>
      </w:r>
      <w:r w:rsidR="00061059" w:rsidRPr="00DA6C98">
        <w:rPr>
          <w:rFonts w:ascii="Times New Roman" w:eastAsia="Times New Roman" w:hAnsi="Times New Roman" w:cs="Times New Roman"/>
          <w:kern w:val="0"/>
          <w:lang w:eastAsia="en-IN"/>
          <w14:ligatures w14:val="none"/>
        </w:rPr>
        <w:t> </w:t>
      </w:r>
      <w:r w:rsidR="00A977D2" w:rsidRPr="00DA6C98">
        <w:rPr>
          <w:rFonts w:ascii="Times New Roman" w:eastAsia="Times New Roman" w:hAnsi="Times New Roman" w:cs="Times New Roman"/>
          <w:kern w:val="0"/>
          <w:lang w:eastAsia="en-IN"/>
          <w14:ligatures w14:val="none"/>
        </w:rPr>
        <w:fldChar w:fldCharType="begin" w:fldLock="1"/>
      </w:r>
      <w:r w:rsidR="00A977D2" w:rsidRPr="00DA6C98">
        <w:rPr>
          <w:rFonts w:ascii="Times New Roman" w:eastAsia="Times New Roman" w:hAnsi="Times New Roman" w:cs="Times New Roman"/>
          <w:kern w:val="0"/>
          <w:lang w:eastAsia="en-IN"/>
          <w14:ligatures w14:val="none"/>
        </w:rPr>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A977D2" w:rsidRPr="00DA6C98">
        <w:rPr>
          <w:rFonts w:ascii="Times New Roman" w:eastAsia="Times New Roman" w:hAnsi="Times New Roman" w:cs="Times New Roman"/>
          <w:kern w:val="0"/>
          <w:lang w:eastAsia="en-IN"/>
          <w14:ligatures w14:val="none"/>
        </w:rPr>
        <w:fldChar w:fldCharType="separate"/>
      </w:r>
      <w:r w:rsidR="00A977D2" w:rsidRPr="00DA6C98">
        <w:rPr>
          <w:rFonts w:ascii="Times New Roman" w:eastAsia="Times New Roman" w:hAnsi="Times New Roman" w:cs="Times New Roman"/>
          <w:noProof/>
          <w:kern w:val="0"/>
          <w:lang w:eastAsia="en-IN"/>
          <w14:ligatures w14:val="none"/>
        </w:rPr>
        <w:t>(Park &amp; Williams, 2024)</w:t>
      </w:r>
      <w:r w:rsidR="00A977D2" w:rsidRPr="00DA6C98">
        <w:rPr>
          <w:rFonts w:ascii="Times New Roman" w:eastAsia="Times New Roman" w:hAnsi="Times New Roman" w:cs="Times New Roman"/>
          <w:kern w:val="0"/>
          <w:lang w:eastAsia="en-IN"/>
          <w14:ligatures w14:val="none"/>
        </w:rPr>
        <w:fldChar w:fldCharType="end"/>
      </w:r>
      <w:r w:rsidR="00061059" w:rsidRPr="00DA6C98">
        <w:rPr>
          <w:rFonts w:ascii="Times New Roman" w:eastAsia="Times New Roman" w:hAnsi="Times New Roman" w:cs="Times New Roman"/>
          <w:kern w:val="0"/>
          <w:lang w:eastAsia="en-IN"/>
          <w14:ligatures w14:val="none"/>
        </w:rPr>
        <w:t>;</w:t>
      </w:r>
      <w:r w:rsidR="00A31B8B" w:rsidRPr="00DA6C98">
        <w:rPr>
          <w:rFonts w:ascii="Times New Roman" w:eastAsia="Times New Roman" w:hAnsi="Times New Roman" w:cs="Times New Roman"/>
          <w:kern w:val="0"/>
          <w:lang w:eastAsia="en-IN"/>
          <w14:ligatures w14:val="none"/>
        </w:rPr>
        <w:fldChar w:fldCharType="begin" w:fldLock="1"/>
      </w:r>
      <w:r w:rsidR="00563488" w:rsidRPr="00DA6C98">
        <w:rPr>
          <w:rFonts w:ascii="Times New Roman" w:eastAsia="Times New Roman" w:hAnsi="Times New Roman" w:cs="Times New Roman"/>
          <w:kern w:val="0"/>
          <w:lang w:eastAsia="en-IN"/>
          <w14:ligatures w14:val="none"/>
        </w:rPr>
        <w:instrText>ADDIN CSL_CITATION {"citationItems":[{"id":"ITEM-1","itemData":{"DOI":"10.1038/s41598-024-51818-w","ISBN":"4159802451","ISSN":"20452322","abstract":"In soilless cultivation, plants are grown with nutrient solutions prepared with mineral nutrients. Beneficial microorganisms are very important in plant nutrition. However, they are not present in soilless culture systems. In this study we investigated the impact of introducing Plant Growth Promoting Rhizobacteria (PGPR) as an alternative to traditional mineral fertilizer in hydroponic floating lettuce cultivation. By reducing mineral fertilizers at various ratios (20%, 40%, 60%, and 80%), and replacing them with PGPR, we observed remarkable improvements in multiple growth parameters. Applying PGPR led to significant enhancements in plant weight, leaf number, leaf area, leaf dry matter, chlorophyll content, yield, and nutrient uptake in soilles grown lettuce. Combining 80% mineral fertilizers with PGPR demonstrated a lettuce yield that did not significantly differ from the control treatment with 100% mineral fertilizers. Moreover, PGPR application improved the essential mineral concentrations and enhanced human nutritional quality, including higher levels of phenols, flavonoids, vitamin C, and total soluble solids. PGPR has potential as a sustainable substitute for synthetic mineral fertilizers in hydroponic floating lettuce cultivation, leading to environmentally friendly and nutritionally enriched farming.","author":[{"dropping-particle":"","family":"Ikiz","given":"Boran","non-dropping-particle":"","parse-names":false,"suffix":""},{"dropping-particle":"","family":"Dasgan","given":"Hayriye Yildiz","non-dropping-particle":"","parse-names":false,"suffix":""},{"dropping-particle":"","family":"Gruda","given":"Nazim S.","non-dropping-particle":"","parse-names":false,"suffix":""}],"container-title":"Scientific Reports","id":"ITEM-1","issue":"1","issued":{"date-parts":[["2024"]]},"publisher":"Nature Publishing Group UK","title":"Utilizing the power of plant growth promoting rhizobacteria on reducing mineral fertilizer, improved yield, and nutritional quality of Batavia lettuce in a floating culture","type":"article-journal","volume":"14"},"uris":["http://www.mendeley.com/documents/?uuid=8217354c-2e2f-4abd-b38d-760cc672a8bc"]}],"mendeley":{"formattedCitation":"(Ikiz et al., 2024)","plainTextFormattedCitation":"(Ikiz et al., 2024)","previouslyFormattedCitation":"(Ikiz et al., 2024)"},"properties":{"noteIndex":0},"schema":"https://github.com/citation-style-language/schema/raw/master/csl-citation.json"}</w:instrText>
      </w:r>
      <w:r w:rsidR="00A31B8B" w:rsidRPr="00DA6C98">
        <w:rPr>
          <w:rFonts w:ascii="Times New Roman" w:eastAsia="Times New Roman" w:hAnsi="Times New Roman" w:cs="Times New Roman"/>
          <w:kern w:val="0"/>
          <w:lang w:eastAsia="en-IN"/>
          <w14:ligatures w14:val="none"/>
        </w:rPr>
        <w:fldChar w:fldCharType="separate"/>
      </w:r>
      <w:r w:rsidR="00A31B8B" w:rsidRPr="00DA6C98">
        <w:rPr>
          <w:rFonts w:ascii="Times New Roman" w:eastAsia="Times New Roman" w:hAnsi="Times New Roman" w:cs="Times New Roman"/>
          <w:noProof/>
          <w:kern w:val="0"/>
          <w:lang w:eastAsia="en-IN"/>
          <w14:ligatures w14:val="none"/>
        </w:rPr>
        <w:t>(Ikiz et al., 2024)</w:t>
      </w:r>
      <w:r w:rsidR="00A31B8B" w:rsidRPr="00DA6C98">
        <w:rPr>
          <w:rFonts w:ascii="Times New Roman" w:eastAsia="Times New Roman" w:hAnsi="Times New Roman" w:cs="Times New Roman"/>
          <w:kern w:val="0"/>
          <w:lang w:eastAsia="en-IN"/>
          <w14:ligatures w14:val="none"/>
        </w:rPr>
        <w:fldChar w:fldCharType="end"/>
      </w:r>
      <w:r w:rsidR="00A31B8B" w:rsidRPr="00DA6C98">
        <w:rPr>
          <w:rFonts w:ascii="Times New Roman" w:eastAsia="Times New Roman" w:hAnsi="Times New Roman" w:cs="Times New Roman"/>
          <w:kern w:val="0"/>
          <w:lang w:eastAsia="en-IN"/>
          <w14:ligatures w14:val="none"/>
        </w:rPr>
        <w:t xml:space="preserve">. </w:t>
      </w:r>
    </w:p>
    <w:p w14:paraId="2ABECCFB" w14:textId="77777777" w:rsidR="00F053D4" w:rsidRPr="00DA6C98" w:rsidRDefault="00F053D4" w:rsidP="00DA6C98">
      <w:pPr>
        <w:spacing w:after="0" w:line="360" w:lineRule="auto"/>
        <w:ind w:left="360"/>
        <w:jc w:val="both"/>
        <w:rPr>
          <w:rFonts w:ascii="Times New Roman" w:eastAsia="Times New Roman" w:hAnsi="Times New Roman" w:cs="Times New Roman"/>
          <w:kern w:val="0"/>
          <w:lang w:eastAsia="en-IN"/>
          <w14:ligatures w14:val="none"/>
        </w:rPr>
      </w:pPr>
    </w:p>
    <w:p w14:paraId="7BCA38D3" w14:textId="77777777" w:rsidR="00F053D4"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Table 2. Effects of Organic and Microbial Nutrient Inputs on Hydroponic Crop Performance:</w:t>
      </w:r>
    </w:p>
    <w:p w14:paraId="5C8AFD09" w14:textId="77777777" w:rsidR="00F053D4"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p>
    <w:tbl>
      <w:tblPr>
        <w:tblStyle w:val="TableGrid"/>
        <w:tblW w:w="9498" w:type="dxa"/>
        <w:tblInd w:w="-147" w:type="dxa"/>
        <w:tblLook w:val="04A0" w:firstRow="1" w:lastRow="0" w:firstColumn="1" w:lastColumn="0" w:noHBand="0" w:noVBand="1"/>
      </w:tblPr>
      <w:tblGrid>
        <w:gridCol w:w="1985"/>
        <w:gridCol w:w="2897"/>
        <w:gridCol w:w="2206"/>
        <w:gridCol w:w="2410"/>
      </w:tblGrid>
      <w:tr w:rsidR="00574AFC" w:rsidRPr="00DA6C98" w14:paraId="7E175C23" w14:textId="77777777" w:rsidTr="00574AFC">
        <w:tc>
          <w:tcPr>
            <w:tcW w:w="1985" w:type="dxa"/>
          </w:tcPr>
          <w:p w14:paraId="69814533" w14:textId="50A96160"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Input Type</w:t>
            </w:r>
          </w:p>
        </w:tc>
        <w:tc>
          <w:tcPr>
            <w:tcW w:w="2897" w:type="dxa"/>
          </w:tcPr>
          <w:p w14:paraId="1F48A27A" w14:textId="5E693A62"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Mechanism</w:t>
            </w:r>
          </w:p>
        </w:tc>
        <w:tc>
          <w:tcPr>
            <w:tcW w:w="2206" w:type="dxa"/>
          </w:tcPr>
          <w:p w14:paraId="408DD9D8" w14:textId="4A039D01"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Effects</w:t>
            </w:r>
          </w:p>
        </w:tc>
        <w:tc>
          <w:tcPr>
            <w:tcW w:w="2410" w:type="dxa"/>
          </w:tcPr>
          <w:p w14:paraId="1CEAFDCD" w14:textId="66831DC5" w:rsidR="00F053D4" w:rsidRPr="00DA6C98" w:rsidRDefault="00F053D4"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References</w:t>
            </w:r>
          </w:p>
        </w:tc>
      </w:tr>
      <w:tr w:rsidR="00574AFC" w:rsidRPr="00DA6C98" w14:paraId="5873C564" w14:textId="77777777" w:rsidTr="00574AFC">
        <w:tc>
          <w:tcPr>
            <w:tcW w:w="1985" w:type="dxa"/>
          </w:tcPr>
          <w:p w14:paraId="6136B388" w14:textId="2F5A165E"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Organic Nutrients (e.g., compost, fish emulsions)</w:t>
            </w:r>
          </w:p>
        </w:tc>
        <w:tc>
          <w:tcPr>
            <w:tcW w:w="2897" w:type="dxa"/>
          </w:tcPr>
          <w:p w14:paraId="0A925C53" w14:textId="561DB24A"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Provide nutrients and phytohormones</w:t>
            </w:r>
          </w:p>
        </w:tc>
        <w:tc>
          <w:tcPr>
            <w:tcW w:w="2206" w:type="dxa"/>
          </w:tcPr>
          <w:p w14:paraId="2BEC8F8E" w14:textId="711D3C0D"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Boost antioxidants, </w:t>
            </w:r>
            <w:proofErr w:type="spellStart"/>
            <w:r w:rsidRPr="00DA6C98">
              <w:rPr>
                <w:rFonts w:ascii="Times New Roman" w:eastAsia="Times New Roman" w:hAnsi="Times New Roman" w:cs="Times New Roman"/>
                <w:kern w:val="0"/>
                <w:lang w:eastAsia="en-IN"/>
                <w14:ligatures w14:val="none"/>
              </w:rPr>
              <w:t>flavor</w:t>
            </w:r>
            <w:proofErr w:type="spellEnd"/>
            <w:r w:rsidRPr="00DA6C98">
              <w:rPr>
                <w:rFonts w:ascii="Times New Roman" w:eastAsia="Times New Roman" w:hAnsi="Times New Roman" w:cs="Times New Roman"/>
                <w:kern w:val="0"/>
                <w:lang w:eastAsia="en-IN"/>
                <w14:ligatures w14:val="none"/>
              </w:rPr>
              <w:t>, vitamins, sustained growth</w:t>
            </w:r>
          </w:p>
        </w:tc>
        <w:tc>
          <w:tcPr>
            <w:tcW w:w="2410" w:type="dxa"/>
          </w:tcPr>
          <w:p w14:paraId="2D4C054A" w14:textId="3AE75F57"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(Hooks et al., 2022)</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{"citationItems":[{"id":"ITEM-1","itemData":{"DOI":"10.3390/horticulturae9121274","ISSN":"23117524","abstract":"Hydroponics is a contemporary agricultural system providing precise control over growing conditions, potentially enhancing productivity. Biofertilizers are environmentally friendly, next-generation fertilizers that augment product yield and quality in hydroponic cultivation. In this study, we investigated the effect of three bio-fertilizers in a hydroponic floating system, microalgae, plant growth-promoting rhizobacteria (PGPR) and arbuscular mycorrhizal fungi (AMF), combined with a 50% reduction in mineral fertilizer, on lettuce yield and quality parameters including antioxidants: vitamin C, total phenols and flavonoids. The treatments tested were: 100% mineral fertilizer (control 1), 50% mineral fertilizer (control 2), 50% mineral fertilizer with microalgae, 50% mineral fertilizer with PGPR and 50% mineral fertilizer with AMF. The research was conducted during the winter months within a controlled environment of a glasshouse in a Mediterranean climate. The PGPR comprised three distinct bacterial strains, while the AMF comprised nine different mycorrhizal species. The microalgae consisted of only a single species, Chlorella vulgaris. AMF inoculation occurred once during seed sowing, while the introduction of PGPR and microalgae occurred at 10-day intervals into the root medium. Our findings revealed that the treatment with PGPR resulted in the highest growth parameters, including the lettuce circumference, stem diameter and fresh leaf weight. The 100% mineral fertilizer and PGPR treatments also yielded the highest lettuce production. Meanwhile, the treatment with AMF showed the highest total phenol and flavonoid content, which was statistically similar to that of the PGPR treatment. Furthermore, the PGPR recorded the maximum range of essential nutrients, including nitrogen (N), potassium (K), iron (Fe), zinc (Zn) and copper (Cu). Thus, the inclusion of PGPR holds promise for optimizing the lettuce growth and nutrient content in hydroponic systems. In conclusion, PGPR has the potential to enhance nutrient availability in a floating hydroponic system, reducing the dependence on chemical fertilizers. This mitigates environmental pollution and fosters sustainable agriculture.","author":[{"dropping-particle":"","family":"Dasgan","given":"Hayriye Yildiz","non-dropping-particle":"","parse-names":false,"suffix":""},{"dropping-particle":"","family":"Yilmaz","given":"Dilek","non-dropping-particle":"","parse-names":false,"suffix":""},{"dropping-particle":"","family":"Zikaria","given":"Kamran","non-dropping-particle":"","parse-names":false,"suffix":""},{"dropping-particle":"","family":"Ikiz","given":"Boran","non-dropping-particle":"","parse-names":false,"suffix":""},{"dropping-particle":"","family":"Gruda","given":"Nazim S.","non-dropping-particle":"","parse-names":false,"suffix":""}],"container-title":"Horticulturae","id":"ITEM-1","issue":"12","issued":{"date-parts":[["2023"]]},"page":"1-19","title":"Enhancing the Yield, Quality and Antioxidant Content of Lettuce through Innovative and Eco-Friendly Biofertilizer Practices in Hydroponics","type":"article-journal","volume":"9"},"uris":["http://www.mendeley.com/documents/?uuid=0f21658b-0cc5-4e8f-9875-9e3de4c67751"]}],"mendeley":{"formattedCitation":"(Dasgan et al., 2023)","plainTextFormattedCitation":"(Dasgan et al., 2023)","previouslyFormattedCitation":"(Dasgan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(Dasgan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(Alneyadi et al., 2024)</w:t>
            </w:r>
            <w:r w:rsidRPr="00DA6C98">
              <w:rPr>
                <w:rFonts w:ascii="Times New Roman" w:eastAsia="Times New Roman" w:hAnsi="Times New Roman" w:cs="Times New Roman"/>
                <w:b/>
                <w:bCs/>
                <w:kern w:val="0"/>
                <w:lang w:eastAsia="en-IN"/>
                <w14:ligatures w14:val="none"/>
              </w:rPr>
              <w:fldChar w:fldCharType="end"/>
            </w:r>
          </w:p>
        </w:tc>
      </w:tr>
      <w:tr w:rsidR="00574AFC" w:rsidRPr="00DA6C98" w14:paraId="1FA7D9DC" w14:textId="77777777" w:rsidTr="00574AFC">
        <w:tc>
          <w:tcPr>
            <w:tcW w:w="1985" w:type="dxa"/>
          </w:tcPr>
          <w:p w14:paraId="6C68818A" w14:textId="6336F166"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Plant Growth-Promoting Microorganisms (PGPMs)</w:t>
            </w:r>
          </w:p>
        </w:tc>
        <w:tc>
          <w:tcPr>
            <w:tcW w:w="2897" w:type="dxa"/>
          </w:tcPr>
          <w:p w14:paraId="003E80C6" w14:textId="6AE991AC"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Fix nitrogen, solubilize phosphate, enhance root growth</w:t>
            </w:r>
          </w:p>
        </w:tc>
        <w:tc>
          <w:tcPr>
            <w:tcW w:w="2206" w:type="dxa"/>
          </w:tcPr>
          <w:p w14:paraId="78DEE64C" w14:textId="45698A91"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Increase biomass, nutrient uptake, and stress tolerance</w:t>
            </w:r>
          </w:p>
        </w:tc>
        <w:tc>
          <w:tcPr>
            <w:tcW w:w="2410" w:type="dxa"/>
          </w:tcPr>
          <w:p w14:paraId="1A35DE8F" w14:textId="50BAAEC8"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(Mourouzidou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(Dhawi,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{"citationItems":[{"id":"ITEM-1","itemData":{"DOI":"10.3389/fmicb.2018.02213","ISSN":"1664302X","PMID":"30283427","abstract":"Current agricultural practices depend heavily on chemical inputs (such as fertilizers, pesticides, herbicides, etc.) which, all things being equal cause a deleterious effect on the nutritional value of farm product and health of farm workers and consumers. Excessive and indiscriminate use of these chemicals have resulted in food contamination, weed and disease resistance and negative environmental outcomes which together have a significant impact on human health. Application of these chemical inputs promotes the accumulation of toxic compounds in soils. Chemical compounds are absorbed by most crops from soil. Several synthetic fertilizers contain acid radicals, such as hydrochloride and sulfuric radicals, and hence increase the soil acidity and adversely affect soil and plant health. Highly recalcitrant compounds can also be absorbed by some plants. Continuous consumption of such crops can lead to systematic disorders in humans. Quite a number of pesticides and herbicides have carcinogenicity potential. The increasing awareness of health challenges as a result of consumption of poor quality crops has led to a quest for new and improved technologies of improving both the quantity and quality of crop without jeopardizing human health. A reliable alternative to the use of chemical inputs is microbial inoculants that can act as biofertilizers, bioherbicide, biopesticides, and biocontrol agents. Microorganisms are able to carry out the plant growth promotion, pest and disease and weed control. Microbial inoculants are beneficiary microorganisms applied to either the soil or the plant in order to improve productivity and crop health. Microbial inoculants are natural-based products being widely used to control pests and improve the quality of the soil and crop, and hence human health. Microbial inoculants involve a blend of microorganisms that work with the soil and the soil life to improve soil fertility and health and by extension improve human health. Microbial inoculants have the ability to minimize the negative impact of chemical input and consequently increase the quantity and quality of farm produce. Microbial inoculants are environmental-friendly and deliver plant nutrients to plants in a more sustainable manner. Microbial inoculants can help reduce chemical fertilizer application. Microbial inoculants could include bacteria, fungi and algae. This research summarizes the impact of agricultural chemical inputs on human health. The contribution of microb…","author":[{"dropping-particle":"","family":"Alori","given":"Elizabeth Temitope","non-dropping-particle":"","parse-names":false,"suffix":""},{"dropping-particle":"","family":"Babalola","given":"Olubukola Oluranti","non-dropping-particle":"","parse-names":false,"suffix":""}],"container-title":"Frontiers in Microbiology","id":"ITEM-1","issue":"SEP","issued":{"date-parts":[["2018"]]},"page":"1-12","title":"Microbial inoculants for improving crop quality and human health in Africa","type":"article-journal","volume":"9"},"uris":["http://www.mendeley.com/documents/?uuid=6359c340-d704-4760-9457-0955338ace1e"]}],"mendeley":{"formattedCitation":"(Alori &amp; Babalola, 2018)","plainTextFormattedCitation":"(Alori &amp; Babalola, 2018)","previouslyFormattedCitation":"(Alori &amp; Babalola, 2018)"},"properties":{"noteIndex":0},"schema":"https://github.com/citation-style-language/schema/raw/master/csl-citation.json"}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(Alori &amp; Babalola, 2018)</w:t>
            </w:r>
            <w:r w:rsidRPr="00DA6C98">
              <w:rPr>
                <w:rFonts w:ascii="Times New Roman" w:eastAsia="Times New Roman" w:hAnsi="Times New Roman" w:cs="Times New Roman"/>
                <w:b/>
                <w:bCs/>
                <w:kern w:val="0"/>
                <w:lang w:eastAsia="en-IN"/>
                <w14:ligatures w14:val="none"/>
              </w:rPr>
              <w:fldChar w:fldCharType="end"/>
            </w:r>
          </w:p>
        </w:tc>
      </w:tr>
      <w:tr w:rsidR="00574AFC" w:rsidRPr="00DA6C98" w14:paraId="2D83ABA4" w14:textId="77777777" w:rsidTr="00574AFC">
        <w:tc>
          <w:tcPr>
            <w:tcW w:w="1985" w:type="dxa"/>
          </w:tcPr>
          <w:p w14:paraId="055D9276" w14:textId="48DE55AE"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lastRenderedPageBreak/>
              <w:t>Combined Organic-Microbial Systems</w:t>
            </w:r>
          </w:p>
        </w:tc>
        <w:tc>
          <w:tcPr>
            <w:tcW w:w="2897" w:type="dxa"/>
          </w:tcPr>
          <w:p w14:paraId="71C85B8E" w14:textId="45EE0934"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Support nutrient mineralization and root health</w:t>
            </w:r>
          </w:p>
        </w:tc>
        <w:tc>
          <w:tcPr>
            <w:tcW w:w="2206" w:type="dxa"/>
          </w:tcPr>
          <w:p w14:paraId="2E6D5A9C" w14:textId="6153305B"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Improve nutrient use and crop resilience</w:t>
            </w:r>
          </w:p>
        </w:tc>
        <w:tc>
          <w:tcPr>
            <w:tcW w:w="2410" w:type="dxa"/>
          </w:tcPr>
          <w:p w14:paraId="3439EE9C" w14:textId="15091EEF"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{"citationItems":[{"id":"ITEM-1","itemData":{"DOI":"10.1038/s41598-024-51818-w","ISBN":"4159802451","ISSN":"20452322","abstract":"In soilless cultivation, plants are grown with nutrient solutions prepared with mineral nutrients. Beneficial microorganisms are very important in plant nutrition. However, they are not present in soilless culture systems. In this study we investigated the impact of introducing Plant Growth Promoting Rhizobacteria (PGPR) as an alternative to traditional mineral fertilizer in hydroponic floating lettuce cultivation. By reducing mineral fertilizers at various ratios (20%, 40%, 60%, and 80%), and replacing them with PGPR, we observed remarkable improvements in multiple growth parameters. Applying PGPR led to significant enhancements in plant weight, leaf number, leaf area, leaf dry matter, chlorophyll content, yield, and nutrient uptake in soilles grown lettuce. Combining 80% mineral fertilizers with PGPR demonstrated a lettuce yield that did not significantly differ from the control treatment with 100% mineral fertilizers. Moreover, PGPR application improved the essential mineral concentrations and enhanced human nutritional quality, including higher levels of phenols, flavonoids, vitamin C, and total soluble solids. PGPR has potential as a sustainable substitute for synthetic mineral fertilizers in hydroponic floating lettuce cultivation, leading to environmentally friendly and nutritionally enriched farming.","author":[{"dropping-particle":"","family":"Ikiz","given":"Boran","non-dropping-particle":"","parse-names":false,"suffix":""},{"dropping-particle":"","family":"Dasgan","given":"Hayriye Yildiz","non-dropping-particle":"","parse-names":false,"suffix":""},{"dropping-particle":"","family":"Gruda","given":"Nazim S.","non-dropping-particle":"","parse-names":false,"suffix":""}],"container-title":"Scientific Reports","id":"ITEM-1","issue":"1","issued":{"date-parts":[["2024"]]},"publisher":"Nature Publishing Group UK","title":"Utilizing the power of plant growth promoting rhizobacteria on reducing mineral fertilizer, improved yield, and nutritional quality of Batavia lettuce in a floating culture","type":"article-journal","volume":"14"},"uris":["http://www.mendeley.com/documents/?uuid=8217354c-2e2f-4abd-b38d-760cc672a8bc"]}],"mendeley":{"formattedCitation":"(Ikiz et al., 2024)","plainTextFormattedCitation":"(Ikiz et al., 2024)","previouslyFormattedCitation":"(Ikiz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(Ikiz et al., 2024)</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p>
        </w:tc>
      </w:tr>
      <w:tr w:rsidR="00574AFC" w:rsidRPr="00DA6C98" w14:paraId="0FF9955E" w14:textId="77777777" w:rsidTr="00574AFC">
        <w:tc>
          <w:tcPr>
            <w:tcW w:w="1985" w:type="dxa"/>
          </w:tcPr>
          <w:p w14:paraId="2F5C8BAB" w14:textId="232DF2F3"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Controlled-release Organic Carriers</w:t>
            </w:r>
          </w:p>
        </w:tc>
        <w:tc>
          <w:tcPr>
            <w:tcW w:w="2897" w:type="dxa"/>
          </w:tcPr>
          <w:p w14:paraId="0C66F7D7" w14:textId="5F92086D"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Slow nutrient release and aid microbes</w:t>
            </w:r>
          </w:p>
        </w:tc>
        <w:tc>
          <w:tcPr>
            <w:tcW w:w="2206" w:type="dxa"/>
          </w:tcPr>
          <w:p w14:paraId="653EA8FA" w14:textId="79203DB6" w:rsidR="00F053D4" w:rsidRPr="00DA6C98" w:rsidRDefault="00574AFC" w:rsidP="00DA6C98">
            <w:pPr>
              <w:spacing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Reduce nutrient loss and stabilize supply</w:t>
            </w:r>
          </w:p>
        </w:tc>
        <w:tc>
          <w:tcPr>
            <w:tcW w:w="2410" w:type="dxa"/>
          </w:tcPr>
          <w:p w14:paraId="2FE56FAA" w14:textId="366ADC1D" w:rsidR="00F053D4" w:rsidRPr="00DA6C98" w:rsidRDefault="00574AFC" w:rsidP="00DA6C98">
            <w:pPr>
              <w:spacing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{"citationItems":[{"id":"ITEM-1","itemData":{"ISSN":"1807-1929","author":[{"dropping-particle":"","family":"Amalia","given":"Anugerah F","non-dropping-particle":"","parse-names":false,"suffix":""},{"dropping-particle":"","family":"Waris","given":"Abdul","non-dropping-particle":"","parse-names":false,"suffix":""},{"dropping-particle":"","family":"Rahayu","given":"Heni S P","non-dropping-particle":"","parse-names":false,"suffix":""},{"dropping-particle":"","family":"Rahardjo","given":"Yogi P","non-dropping-particle":"","parse-names":false,"suffix":""},{"dropping-particle":"","family":"Hutahaean","given":"Lintje","non-dropping-particle":"","parse-names":false,"suffix":""},{"dropping-particle":"","family":"Rohaeni","given":"Eni S","non-dropping-particle":"","parse-names":false,"suffix":""}],"container-title":"Brazilian Journal of Agricultural and Environmental Engineering","id":"ITEM-1","issue":"9","issued":{"date-parts":[["2023"]]},"page":"690-697","title":"Revista Brasileira de Engenharia Agrícola e Ambiental Artificial intelligence for small hydroponics farms employing fuzzy logic systems and economic analysis 1 Inteligência Artificial para pequenas fazendas hidropônicas empregando sistemas de lógica fuzzy","type":"article-journal","volume":"27"},"uris":["http://www.mendeley.com/documents/?uuid=847726d4-76b0-4014-b2e9-175dd42b389b"]}],"mendeley":{"formattedCitation":"(Amalia et al., 2023)","plainTextFormattedCitation":"(Amalia et al., 2023)","previouslyFormattedCitation":"(Amalia et al., 2023)"},"properties":{"noteIndex":0},"schema":"https://github.com/citation-style-language/schema/raw/master/csl-citation.json"}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(Amalia et al., 2023)</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 xml:space="preserve">; </w:t>
            </w: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Pr="00DA6C98">
              <w:rPr>
                <w:rFonts w:ascii="Times New Roman" w:eastAsia="Times New Roman" w:hAnsi="Times New Roman" w:cs="Times New Roman"/>
                <w:b/>
                <w:bCs/>
                <w:kern w:val="0"/>
                <w:lang w:eastAsia="en-IN"/>
                <w14:ligatures w14:val="none"/>
              </w:rPr>
              <w:fldChar w:fldCharType="separate"/>
            </w:r>
            <w:r w:rsidRPr="00DA6C98">
              <w:rPr>
                <w:rFonts w:ascii="Times New Roman" w:eastAsia="Times New Roman" w:hAnsi="Times New Roman" w:cs="Times New Roman"/>
                <w:bCs/>
                <w:noProof/>
                <w:kern w:val="0"/>
                <w:lang w:eastAsia="en-IN"/>
                <w14:ligatures w14:val="none"/>
              </w:rPr>
              <w:t>(Alneyadi et al., 2024)</w:t>
            </w:r>
            <w:r w:rsidRPr="00DA6C98">
              <w:rPr>
                <w:rFonts w:ascii="Times New Roman" w:eastAsia="Times New Roman" w:hAnsi="Times New Roman" w:cs="Times New Roman"/>
                <w:b/>
                <w:bCs/>
                <w:kern w:val="0"/>
                <w:lang w:eastAsia="en-IN"/>
                <w14:ligatures w14:val="none"/>
              </w:rPr>
              <w:fldChar w:fldCharType="end"/>
            </w:r>
            <w:r w:rsidRPr="00DA6C98">
              <w:rPr>
                <w:rFonts w:ascii="Times New Roman" w:eastAsia="Times New Roman" w:hAnsi="Times New Roman" w:cs="Times New Roman"/>
                <w:b/>
                <w:bCs/>
                <w:kern w:val="0"/>
                <w:lang w:eastAsia="en-IN"/>
                <w14:ligatures w14:val="none"/>
              </w:rPr>
              <w:t>.</w:t>
            </w:r>
          </w:p>
        </w:tc>
      </w:tr>
    </w:tbl>
    <w:p w14:paraId="78244EB3" w14:textId="77777777" w:rsidR="00574AFC" w:rsidRPr="00DA6C98" w:rsidRDefault="00F053D4" w:rsidP="00DA6C98">
      <w:pPr>
        <w:spacing w:after="0" w:line="360" w:lineRule="auto"/>
        <w:ind w:left="360"/>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br/>
      </w:r>
    </w:p>
    <w:p w14:paraId="3B6B9BE4" w14:textId="64D7E962" w:rsidR="00A31B8B" w:rsidRPr="00DA6C98" w:rsidRDefault="00A31B8B" w:rsidP="00DA6C98">
      <w:pPr>
        <w:pStyle w:val="ListParagraph"/>
        <w:numPr>
          <w:ilvl w:val="0"/>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Integration of AI, Organic, and Microbial Approaches</w:t>
      </w:r>
    </w:p>
    <w:p w14:paraId="298C3276" w14:textId="49B12CCD" w:rsidR="00A45B0B" w:rsidRPr="00FD3B7B" w:rsidRDefault="00197586" w:rsidP="00FD3B7B">
      <w:pPr>
        <w:spacing w:after="0"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The combination of AI-controlled decision models with natural inputs and microbial inoculants leads to nutrient usage, crop production, and sustainability. It is possible to proactively manage nutrients using digital twin simulations and hybrid optimization algorithms and case studies have reported yield increase and minimized nutrient waste in tomato and lettuce hydroponic agriculture. </w:t>
      </w:r>
      <w:r w:rsidR="00A45B0B" w:rsidRPr="00FD3B7B">
        <w:rPr>
          <w:rFonts w:ascii="Times New Roman" w:eastAsia="Times New Roman" w:hAnsi="Times New Roman" w:cs="Times New Roman"/>
          <w:kern w:val="0"/>
          <w:lang w:eastAsia="en-IN"/>
          <w14:ligatures w14:val="none"/>
        </w:rPr>
        <w:fldChar w:fldCharType="begin" w:fldLock="1"/>
      </w:r>
      <w:r w:rsidR="00A45B0B" w:rsidRPr="00FD3B7B">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A45B0B" w:rsidRPr="00FD3B7B">
        <w:rPr>
          <w:rFonts w:ascii="Times New Roman" w:eastAsia="Times New Roman" w:hAnsi="Times New Roman" w:cs="Times New Roman"/>
          <w:kern w:val="0"/>
          <w:lang w:eastAsia="en-IN"/>
          <w14:ligatures w14:val="none"/>
        </w:rPr>
        <w:fldChar w:fldCharType="separate"/>
      </w:r>
      <w:r w:rsidR="00A45B0B" w:rsidRPr="00FD3B7B">
        <w:rPr>
          <w:rFonts w:ascii="Times New Roman" w:eastAsia="Times New Roman" w:hAnsi="Times New Roman" w:cs="Times New Roman"/>
          <w:noProof/>
          <w:kern w:val="0"/>
          <w:lang w:eastAsia="en-IN"/>
          <w14:ligatures w14:val="none"/>
        </w:rPr>
        <w:t>(H. Chowdhury et al., 2023)</w:t>
      </w:r>
      <w:r w:rsidR="00A45B0B" w:rsidRPr="00FD3B7B">
        <w:rPr>
          <w:rFonts w:ascii="Times New Roman" w:eastAsia="Times New Roman" w:hAnsi="Times New Roman" w:cs="Times New Roman"/>
          <w:kern w:val="0"/>
          <w:lang w:eastAsia="en-IN"/>
          <w14:ligatures w14:val="none"/>
        </w:rPr>
        <w:fldChar w:fldCharType="end"/>
      </w:r>
      <w:r w:rsidR="00A45B0B" w:rsidRPr="00FD3B7B">
        <w:rPr>
          <w:rFonts w:ascii="Times New Roman" w:eastAsia="Times New Roman" w:hAnsi="Times New Roman" w:cs="Times New Roman"/>
          <w:kern w:val="0"/>
          <w:lang w:eastAsia="en-IN"/>
          <w14:ligatures w14:val="none"/>
        </w:rPr>
        <w:t>;</w:t>
      </w:r>
      <w:r w:rsidR="00A45B0B" w:rsidRPr="00FD3B7B">
        <w:rPr>
          <w:rFonts w:ascii="Times New Roman" w:eastAsia="Times New Roman" w:hAnsi="Times New Roman" w:cs="Times New Roman"/>
          <w:kern w:val="0"/>
          <w:lang w:eastAsia="en-IN"/>
          <w14:ligatures w14:val="none"/>
        </w:rPr>
        <w:fldChar w:fldCharType="begin" w:fldLock="1"/>
      </w:r>
      <w:r w:rsidR="00490791" w:rsidRPr="00FD3B7B">
        <w:rPr>
          <w:rFonts w:ascii="Times New Roman" w:eastAsia="Times New Roman" w:hAnsi="Times New Roman" w:cs="Times New Roman"/>
          <w:kern w:val="0"/>
          <w:lang w:eastAsia="en-IN"/>
          <w14:ligatures w14:val="none"/>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A45B0B" w:rsidRPr="00FD3B7B">
        <w:rPr>
          <w:rFonts w:ascii="Times New Roman" w:eastAsia="Times New Roman" w:hAnsi="Times New Roman" w:cs="Times New Roman"/>
          <w:kern w:val="0"/>
          <w:lang w:eastAsia="en-IN"/>
          <w14:ligatures w14:val="none"/>
        </w:rPr>
        <w:fldChar w:fldCharType="separate"/>
      </w:r>
      <w:r w:rsidR="00A45B0B" w:rsidRPr="00FD3B7B">
        <w:rPr>
          <w:rFonts w:ascii="Times New Roman" w:eastAsia="Times New Roman" w:hAnsi="Times New Roman" w:cs="Times New Roman"/>
          <w:noProof/>
          <w:kern w:val="0"/>
          <w:lang w:eastAsia="en-IN"/>
          <w14:ligatures w14:val="none"/>
        </w:rPr>
        <w:t>(Dhal et al., 2024)</w:t>
      </w:r>
      <w:r w:rsidR="00A45B0B" w:rsidRPr="00FD3B7B">
        <w:rPr>
          <w:rFonts w:ascii="Times New Roman" w:eastAsia="Times New Roman" w:hAnsi="Times New Roman" w:cs="Times New Roman"/>
          <w:kern w:val="0"/>
          <w:lang w:eastAsia="en-IN"/>
          <w14:ligatures w14:val="none"/>
        </w:rPr>
        <w:fldChar w:fldCharType="end"/>
      </w:r>
      <w:r w:rsidR="00A45B0B" w:rsidRPr="00FD3B7B">
        <w:rPr>
          <w:rFonts w:ascii="Times New Roman" w:eastAsia="Times New Roman" w:hAnsi="Times New Roman" w:cs="Times New Roman"/>
          <w:kern w:val="0"/>
          <w:lang w:eastAsia="en-IN"/>
          <w14:ligatures w14:val="none"/>
        </w:rPr>
        <w:t>.</w:t>
      </w:r>
    </w:p>
    <w:p w14:paraId="4686CFAE" w14:textId="7F827777" w:rsidR="00354BC2" w:rsidRPr="00DA6C98" w:rsidRDefault="00354BC2" w:rsidP="00DA6C98">
      <w:pPr>
        <w:spacing w:after="0" w:line="360" w:lineRule="auto"/>
        <w:ind w:left="360"/>
        <w:jc w:val="both"/>
        <w:rPr>
          <w:rFonts w:ascii="Times New Roman" w:eastAsia="Times New Roman" w:hAnsi="Times New Roman" w:cs="Times New Roman"/>
          <w:kern w:val="0"/>
          <w:lang w:eastAsia="en-IN"/>
          <w14:ligatures w14:val="none"/>
        </w:rPr>
      </w:pPr>
    </w:p>
    <w:p w14:paraId="26712849" w14:textId="0DD394A9" w:rsidR="00A31B8B" w:rsidRPr="00DA6C98" w:rsidRDefault="00A31B8B"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Synergistic Benefits and System Integration</w:t>
      </w:r>
    </w:p>
    <w:p w14:paraId="1EABEE64" w14:textId="77777777" w:rsidR="00563488" w:rsidRPr="00DA6C98" w:rsidRDefault="00563488" w:rsidP="00DA6C98">
      <w:pPr>
        <w:spacing w:after="0" w:line="360" w:lineRule="auto"/>
        <w:ind w:left="360"/>
        <w:jc w:val="both"/>
        <w:rPr>
          <w:rFonts w:ascii="Times New Roman" w:eastAsia="Times New Roman" w:hAnsi="Times New Roman" w:cs="Times New Roman"/>
          <w:kern w:val="0"/>
          <w:lang w:eastAsia="en-IN"/>
          <w14:ligatures w14:val="none"/>
        </w:rPr>
      </w:pPr>
    </w:p>
    <w:p w14:paraId="433C980A" w14:textId="01C1994B" w:rsidR="00563488" w:rsidRPr="00DA6C98" w:rsidRDefault="00663E01" w:rsidP="00FD3B7B">
      <w:pPr>
        <w:spacing w:after="0" w:line="360" w:lineRule="auto"/>
        <w:jc w:val="both"/>
        <w:rPr>
          <w:rFonts w:ascii="Times New Roman" w:eastAsia="Times New Roman" w:hAnsi="Times New Roman" w:cs="Times New Roman"/>
          <w:kern w:val="0"/>
          <w:lang w:eastAsia="en-IN"/>
          <w14:ligatures w14:val="none"/>
        </w:rPr>
      </w:pPr>
      <w:r w:rsidRPr="00663E01">
        <w:rPr>
          <w:rFonts w:ascii="Times New Roman" w:eastAsia="Times New Roman" w:hAnsi="Times New Roman" w:cs="Times New Roman"/>
          <w:kern w:val="0"/>
          <w:lang w:eastAsia="en-IN"/>
          <w14:ligatures w14:val="none"/>
        </w:rPr>
        <w:t xml:space="preserve">The nutrient management systems based on AI utilize real-time sensor data to modify the nutrient formulation depending on the physiological needs of plants, environmental changes and variations in the growth phases. These systems sustain the optimum conditions of nutrients when used with organic nutrient formulations and microbial consortia without the presence of problems such as excess fertilization and nutrient imbalances. </w:t>
      </w:r>
      <w:r w:rsidR="00563488" w:rsidRPr="00DA6C98">
        <w:rPr>
          <w:rFonts w:ascii="Times New Roman" w:eastAsia="Times New Roman" w:hAnsi="Times New Roman" w:cs="Times New Roman"/>
          <w:kern w:val="0"/>
          <w:lang w:eastAsia="en-IN"/>
          <w14:ligatures w14:val="none"/>
        </w:rPr>
        <w:fldChar w:fldCharType="begin" w:fldLock="1"/>
      </w:r>
      <w:r w:rsidR="007E6F2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563488" w:rsidRPr="00DA6C98">
        <w:rPr>
          <w:rFonts w:ascii="Times New Roman" w:eastAsia="Times New Roman" w:hAnsi="Times New Roman" w:cs="Times New Roman"/>
          <w:kern w:val="0"/>
          <w:lang w:eastAsia="en-IN"/>
          <w14:ligatures w14:val="none"/>
        </w:rPr>
        <w:fldChar w:fldCharType="separate"/>
      </w:r>
      <w:r w:rsidR="007E6F28" w:rsidRPr="00DA6C98">
        <w:rPr>
          <w:rFonts w:ascii="Times New Roman" w:eastAsia="Times New Roman" w:hAnsi="Times New Roman" w:cs="Times New Roman"/>
          <w:noProof/>
          <w:kern w:val="0"/>
          <w:lang w:eastAsia="en-IN"/>
          <w14:ligatures w14:val="none"/>
        </w:rPr>
        <w:t>(H. Chowdhury et al., 2023)</w:t>
      </w:r>
      <w:r w:rsidR="00563488" w:rsidRPr="00DA6C98">
        <w:rPr>
          <w:rFonts w:ascii="Times New Roman" w:eastAsia="Times New Roman" w:hAnsi="Times New Roman" w:cs="Times New Roman"/>
          <w:kern w:val="0"/>
          <w:lang w:eastAsia="en-IN"/>
          <w14:ligatures w14:val="none"/>
        </w:rPr>
        <w:fldChar w:fldCharType="end"/>
      </w:r>
      <w:r w:rsidR="00563488" w:rsidRPr="00DA6C98">
        <w:rPr>
          <w:rFonts w:ascii="Times New Roman" w:eastAsia="Times New Roman" w:hAnsi="Times New Roman" w:cs="Times New Roman"/>
          <w:kern w:val="0"/>
          <w:lang w:eastAsia="en-IN"/>
          <w14:ligatures w14:val="none"/>
        </w:rPr>
        <w:t xml:space="preserve">. </w:t>
      </w:r>
      <w:r w:rsidR="00D712E7" w:rsidRPr="00D712E7">
        <w:rPr>
          <w:rFonts w:ascii="Times New Roman" w:eastAsia="Times New Roman" w:hAnsi="Times New Roman" w:cs="Times New Roman"/>
          <w:kern w:val="0"/>
          <w:lang w:eastAsia="en-IN"/>
          <w14:ligatures w14:val="none"/>
        </w:rPr>
        <w:t xml:space="preserve">The models of digital twins model the biogeochemical processes in the hydroponic system and allow proactive changes in nutrient dose. </w:t>
      </w:r>
      <w:r w:rsidR="00DD4163" w:rsidRPr="00DA6C98">
        <w:rPr>
          <w:rFonts w:ascii="Times New Roman" w:eastAsia="Times New Roman" w:hAnsi="Times New Roman" w:cs="Times New Roman"/>
          <w:kern w:val="0"/>
          <w:lang w:eastAsia="en-IN"/>
          <w14:ligatures w14:val="none"/>
        </w:rPr>
        <w:fldChar w:fldCharType="begin" w:fldLock="1"/>
      </w:r>
      <w:r w:rsidR="00DD4163" w:rsidRPr="00DA6C98">
        <w:rPr>
          <w:rFonts w:ascii="Times New Roman" w:eastAsia="Times New Roman" w:hAnsi="Times New Roman" w:cs="Times New Roman"/>
          <w:kern w:val="0"/>
          <w:lang w:eastAsia="en-IN"/>
          <w14:ligatures w14:val="none"/>
        </w:rPr>
        <w:instrText>ADDIN CSL_CITATION {"citationItems":[{"id":"ITEM-1","itemData":{"DOI":"10.1109/ACCESS.2021.3061722","ISSN":"21693536","abstract":"There are many pressures on the global food system such as urbanization, climate change, and environmental degradation. Urban agriculture is an approach to producing food inside cities where, globally, more than half the worlds population live. It has been shown to have a range of potential benefits, for instance in reducing waste and logistics costs. Increased uptake of urban farming can even relieve pressure on the natural environment by reducing the burden of production required from farmland by creating space for it to recover from accumulated damage as a result of the use of unsustainable farming practices historically. This article describes an approach for a new type of decision support system suitable for urban farming production. We discuss differences between the requirements and the users of decision support in urban agriculture, and those of ordinary agribusiness enterprises. A case study is performed using a novel technology for urban farming: a cyber-physical implementation of aquaponics is enhanced with adaptive capabilities using a digital twin system and machine learning. Aquaponics is a farming technique that utilizes a harmonious nutrient exchange cycle for growing plants and fish together, while conserving water, and possibly without the need for soil or even sunlight. Empirical results are provided that evaluate the use of data driven decision analytics and a digital twin model to plan production from the aquaponic system during a three month trial. Another set of results evaluate a proposed modelling framework for large scale urban agriculture ecosystems. This concept forms the basis of the suggested approach for an urban farming decision support system that coordinates the activities of many independent producers to target collective goals.","author":[{"dropping-particle":"","family":"Ghandar","given":"Adam","non-dropping-particle":"","parse-names":false,"suffix":""},{"dropping-particle":"","family":"Ahmed","given":"Ayyaz","non-dropping-particle":"","parse-names":false,"suffix":""},{"dropping-particle":"","family":"Zulfiqar","given":"Shahid","non-dropping-particle":"","parse-names":false,"suffix":""},{"dropping-particle":"","family":"Hua","given":"Zhengchang","non-dropping-particle":"","parse-names":false,"suffix":""},{"dropping-particle":"","family":"Hanai","given":"Masatoshi","non-dropping-particle":"","parse-names":false,"suffix":""},{"dropping-particle":"","family":"Theodoropoulos","given":"Georgios","non-dropping-particle":"","parse-names":false,"suffix":""}],"container-title":"IEEE Access","id":"ITEM-1","issued":{"date-parts":[["2021"]]},"page":"35691-35708","title":"A decision support system for urban agriculture using digital twin: A case study with aquaponics","type":"article-journal","volume":"9"},"uris":["http://www.mendeley.com/documents/?uuid=d74b8e4f-ac4f-4f50-8e0b-25ffbdb5ea52"]}],"mendeley":{"formattedCitation":"(Ghandar et al., 2021)","plainTextFormattedCitation":"(Ghandar et al., 2021)","previouslyFormattedCitation":"(Ghandar et al., 2021)"},"properties":{"noteIndex":0},"schema":"https://github.com/citation-style-language/schema/raw/master/csl-citation.json"}</w:instrText>
      </w:r>
      <w:r w:rsidR="00DD4163" w:rsidRPr="00DA6C98">
        <w:rPr>
          <w:rFonts w:ascii="Times New Roman" w:eastAsia="Times New Roman" w:hAnsi="Times New Roman" w:cs="Times New Roman"/>
          <w:kern w:val="0"/>
          <w:lang w:eastAsia="en-IN"/>
          <w14:ligatures w14:val="none"/>
        </w:rPr>
        <w:fldChar w:fldCharType="separate"/>
      </w:r>
      <w:r w:rsidR="00DD4163" w:rsidRPr="00DA6C98">
        <w:rPr>
          <w:rFonts w:ascii="Times New Roman" w:eastAsia="Times New Roman" w:hAnsi="Times New Roman" w:cs="Times New Roman"/>
          <w:noProof/>
          <w:kern w:val="0"/>
          <w:lang w:eastAsia="en-IN"/>
          <w14:ligatures w14:val="none"/>
        </w:rPr>
        <w:t>(Ghandar et al., 2021)</w:t>
      </w:r>
      <w:r w:rsidR="00DD4163" w:rsidRPr="00DA6C98">
        <w:rPr>
          <w:rFonts w:ascii="Times New Roman" w:eastAsia="Times New Roman" w:hAnsi="Times New Roman" w:cs="Times New Roman"/>
          <w:kern w:val="0"/>
          <w:lang w:eastAsia="en-IN"/>
          <w14:ligatures w14:val="none"/>
        </w:rPr>
        <w:fldChar w:fldCharType="end"/>
      </w:r>
      <w:r w:rsidR="00563488" w:rsidRPr="00DA6C98">
        <w:rPr>
          <w:rFonts w:ascii="Times New Roman" w:eastAsia="Times New Roman" w:hAnsi="Times New Roman" w:cs="Times New Roman"/>
          <w:kern w:val="0"/>
          <w:lang w:eastAsia="en-IN"/>
          <w14:ligatures w14:val="none"/>
        </w:rPr>
        <w:t xml:space="preserve">. </w:t>
      </w:r>
      <w:r w:rsidR="000951EF" w:rsidRPr="000951EF">
        <w:rPr>
          <w:rFonts w:ascii="Times New Roman" w:eastAsia="Times New Roman" w:hAnsi="Times New Roman" w:cs="Times New Roman"/>
          <w:kern w:val="0"/>
          <w:lang w:eastAsia="en-IN"/>
          <w14:ligatures w14:val="none"/>
        </w:rPr>
        <w:t xml:space="preserve">The method is a guarantee of the accurate nutrition constituent, saves on water and fertilizer usage, lowers operating expenses, and diminishes adverse effects on the environment. The total advantages create greater efficiencies in its system and better production of the crop and a decrease in the ecological footprint. </w:t>
      </w:r>
      <w:r w:rsidR="00DD4163" w:rsidRPr="00DA6C98">
        <w:rPr>
          <w:rFonts w:ascii="Times New Roman" w:eastAsia="Times New Roman" w:hAnsi="Times New Roman" w:cs="Times New Roman"/>
          <w:kern w:val="0"/>
          <w:lang w:eastAsia="en-IN"/>
          <w14:ligatures w14:val="none"/>
        </w:rPr>
        <w:fldChar w:fldCharType="begin" w:fldLock="1"/>
      </w:r>
      <w:r w:rsidR="007E6F2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D4163" w:rsidRPr="00DA6C98">
        <w:rPr>
          <w:rFonts w:ascii="Times New Roman" w:eastAsia="Times New Roman" w:hAnsi="Times New Roman" w:cs="Times New Roman"/>
          <w:kern w:val="0"/>
          <w:lang w:eastAsia="en-IN"/>
          <w14:ligatures w14:val="none"/>
        </w:rPr>
        <w:fldChar w:fldCharType="separate"/>
      </w:r>
      <w:r w:rsidR="007E6F28" w:rsidRPr="00DA6C98">
        <w:rPr>
          <w:rFonts w:ascii="Times New Roman" w:eastAsia="Times New Roman" w:hAnsi="Times New Roman" w:cs="Times New Roman"/>
          <w:noProof/>
          <w:kern w:val="0"/>
          <w:lang w:eastAsia="en-IN"/>
          <w14:ligatures w14:val="none"/>
        </w:rPr>
        <w:t>(H. Chowdhury et al., 2023)</w:t>
      </w:r>
      <w:r w:rsidR="00DD4163" w:rsidRPr="00DA6C98">
        <w:rPr>
          <w:rFonts w:ascii="Times New Roman" w:eastAsia="Times New Roman" w:hAnsi="Times New Roman" w:cs="Times New Roman"/>
          <w:kern w:val="0"/>
          <w:lang w:eastAsia="en-IN"/>
          <w14:ligatures w14:val="none"/>
        </w:rPr>
        <w:fldChar w:fldCharType="end"/>
      </w:r>
      <w:r w:rsidR="00DD4163" w:rsidRPr="00DA6C98">
        <w:rPr>
          <w:rFonts w:ascii="Times New Roman" w:eastAsia="Times New Roman" w:hAnsi="Times New Roman" w:cs="Times New Roman"/>
          <w:kern w:val="0"/>
          <w:lang w:eastAsia="en-IN"/>
          <w14:ligatures w14:val="none"/>
        </w:rPr>
        <w:t>.</w:t>
      </w:r>
    </w:p>
    <w:p w14:paraId="6578CBB4" w14:textId="77777777" w:rsidR="00DD4163" w:rsidRPr="00DA6C98" w:rsidRDefault="00DD4163" w:rsidP="00DA6C98">
      <w:pPr>
        <w:spacing w:after="0" w:line="360" w:lineRule="auto"/>
        <w:ind w:left="360"/>
        <w:jc w:val="both"/>
        <w:rPr>
          <w:rFonts w:ascii="Times New Roman" w:eastAsia="Times New Roman" w:hAnsi="Times New Roman" w:cs="Times New Roman"/>
          <w:kern w:val="0"/>
          <w:lang w:eastAsia="en-IN"/>
          <w14:ligatures w14:val="none"/>
        </w:rPr>
      </w:pPr>
    </w:p>
    <w:p w14:paraId="558E8285" w14:textId="32464EAD" w:rsidR="00DD4163" w:rsidRPr="00DA6C98" w:rsidRDefault="00DD4163" w:rsidP="00DA6C98">
      <w:pPr>
        <w:pStyle w:val="ListParagraph"/>
        <w:numPr>
          <w:ilvl w:val="1"/>
          <w:numId w:val="2"/>
        </w:numPr>
        <w:spacing w:after="0"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Hybrid Optimization Algorithms and Resource Allocation</w:t>
      </w:r>
    </w:p>
    <w:p w14:paraId="4B030DC6" w14:textId="77777777" w:rsidR="00DD4163" w:rsidRPr="00DA6C98" w:rsidRDefault="00DD4163" w:rsidP="00DA6C98">
      <w:pPr>
        <w:spacing w:after="0" w:line="360" w:lineRule="auto"/>
        <w:ind w:left="360"/>
        <w:jc w:val="both"/>
        <w:rPr>
          <w:rFonts w:ascii="Times New Roman" w:eastAsia="Times New Roman" w:hAnsi="Times New Roman" w:cs="Times New Roman"/>
          <w:b/>
          <w:bCs/>
          <w:kern w:val="0"/>
          <w:lang w:eastAsia="en-IN"/>
          <w14:ligatures w14:val="none"/>
        </w:rPr>
      </w:pPr>
    </w:p>
    <w:p w14:paraId="781662A7" w14:textId="58E5A2C5" w:rsidR="00563488" w:rsidRPr="00DA6C98" w:rsidRDefault="004E5845" w:rsidP="00FD3B7B">
      <w:pPr>
        <w:spacing w:after="0" w:line="360" w:lineRule="auto"/>
        <w:jc w:val="both"/>
        <w:rPr>
          <w:rFonts w:ascii="Times New Roman" w:eastAsia="Times New Roman" w:hAnsi="Times New Roman" w:cs="Times New Roman"/>
          <w:kern w:val="0"/>
          <w:lang w:eastAsia="en-IN"/>
          <w14:ligatures w14:val="none"/>
        </w:rPr>
      </w:pPr>
      <w:r w:rsidRPr="004E5845">
        <w:rPr>
          <w:rFonts w:ascii="Times New Roman" w:eastAsia="Times New Roman" w:hAnsi="Times New Roman" w:cs="Times New Roman"/>
          <w:kern w:val="0"/>
          <w:lang w:eastAsia="en-IN"/>
          <w14:ligatures w14:val="none"/>
        </w:rPr>
        <w:lastRenderedPageBreak/>
        <w:t>Hybrid optimization methods have been alike the way to optimize nutrient and water inputs in dynamic hydroponic systems on multiple crops. These algorithms adopt various methods such as decision-tree dosing, Integer Linear Programming (ILP), and genetic algorithms to come up with the best way of allocating resources during certain growth cycles. To solve the problem which can be found to be NP-hard, they use global search of the genetic algorithms, coupled with local search techniques to obtain near-optimal solutions. These models provide maximum yield, reduced inputs waste, and lower negative environmental impacts by bringing in the economic and environmental parameters. The pilot studies of the deployment of these hybrid models have demonstrated that AI-based resource allocation can enhance the assertiveness of nutrient utilization.</w:t>
      </w:r>
      <w:r w:rsidR="00DA6C98" w:rsidRPr="00DA6C98">
        <w:rPr>
          <w:rFonts w:ascii="Times New Roman" w:eastAsia="Times New Roman" w:hAnsi="Times New Roman" w:cs="Times New Roman"/>
          <w:kern w:val="0"/>
          <w:lang w:eastAsia="en-IN"/>
          <w14:ligatures w14:val="none"/>
        </w:rPr>
        <w:t xml:space="preserve"> </w:t>
      </w:r>
      <w:r w:rsidR="00DA6C98" w:rsidRPr="00DA6C98">
        <w:rPr>
          <w:rFonts w:ascii="Times New Roman" w:eastAsia="Times New Roman" w:hAnsi="Times New Roman" w:cs="Times New Roman"/>
          <w:kern w:val="0"/>
          <w:lang w:eastAsia="en-IN"/>
          <w14:ligatures w14:val="none"/>
        </w:rPr>
        <w:fldChar w:fldCharType="begin" w:fldLock="1"/>
      </w:r>
      <w:r w:rsidR="00DA6C98"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A6C98" w:rsidRPr="00DA6C98">
        <w:rPr>
          <w:rFonts w:ascii="Times New Roman" w:eastAsia="Times New Roman" w:hAnsi="Times New Roman" w:cs="Times New Roman"/>
          <w:kern w:val="0"/>
          <w:lang w:eastAsia="en-IN"/>
          <w14:ligatures w14:val="none"/>
        </w:rPr>
        <w:fldChar w:fldCharType="separate"/>
      </w:r>
      <w:r w:rsidR="00DA6C98" w:rsidRPr="00DA6C98">
        <w:rPr>
          <w:rFonts w:ascii="Times New Roman" w:eastAsia="Times New Roman" w:hAnsi="Times New Roman" w:cs="Times New Roman"/>
          <w:noProof/>
          <w:kern w:val="0"/>
          <w:lang w:eastAsia="en-IN"/>
          <w14:ligatures w14:val="none"/>
        </w:rPr>
        <w:t>(H. Chowdhury et al., 2023)</w:t>
      </w:r>
      <w:r w:rsidR="00DA6C98" w:rsidRPr="00DA6C98">
        <w:rPr>
          <w:rFonts w:ascii="Times New Roman" w:eastAsia="Times New Roman" w:hAnsi="Times New Roman" w:cs="Times New Roman"/>
          <w:kern w:val="0"/>
          <w:lang w:eastAsia="en-IN"/>
          <w14:ligatures w14:val="none"/>
        </w:rPr>
        <w:fldChar w:fldCharType="end"/>
      </w:r>
      <w:r w:rsidR="00DA6C98" w:rsidRPr="00DA6C98">
        <w:rPr>
          <w:rFonts w:ascii="Times New Roman" w:eastAsia="Times New Roman" w:hAnsi="Times New Roman" w:cs="Times New Roman"/>
          <w:kern w:val="0"/>
          <w:lang w:eastAsia="en-IN"/>
          <w14:ligatures w14:val="none"/>
        </w:rPr>
        <w:t>;</w:t>
      </w:r>
      <w:r w:rsidR="00DA6C98" w:rsidRPr="00DA6C98">
        <w:rPr>
          <w:rFonts w:ascii="Times New Roman" w:eastAsia="Times New Roman" w:hAnsi="Times New Roman" w:cs="Times New Roman"/>
          <w:kern w:val="0"/>
          <w:lang w:eastAsia="en-IN"/>
          <w14:ligatures w14:val="none"/>
        </w:rPr>
        <w:fldChar w:fldCharType="begin" w:fldLock="1"/>
      </w:r>
      <w:r w:rsidR="00DA6C98" w:rsidRPr="00DA6C98">
        <w:rPr>
          <w:rFonts w:ascii="Times New Roman" w:eastAsia="Times New Roman" w:hAnsi="Times New Roman" w:cs="Times New Roman"/>
          <w:kern w:val="0"/>
          <w:lang w:eastAsia="en-IN"/>
          <w14:ligatures w14:val="none"/>
        </w:rPr>
        <w:instrText>ADDIN CSL_CITATION {"citationItems":[{"id":"ITEM-1","itemData":{"DOI":"10.1109/ACCESS.2021.3061722","ISSN":"21693536","abstract":"There are many pressures on the global food system such as urbanization, climate change, and environmental degradation. Urban agriculture is an approach to producing food inside cities where, globally, more than half the worlds population live. It has been shown to have a range of potential benefits, for instance in reducing waste and logistics costs. Increased uptake of urban farming can even relieve pressure on the natural environment by reducing the burden of production required from farmland by creating space for it to recover from accumulated damage as a result of the use of unsustainable farming practices historically. This article describes an approach for a new type of decision support system suitable for urban farming production. We discuss differences between the requirements and the users of decision support in urban agriculture, and those of ordinary agribusiness enterprises. A case study is performed using a novel technology for urban farming: a cyber-physical implementation of aquaponics is enhanced with adaptive capabilities using a digital twin system and machine learning. Aquaponics is a farming technique that utilizes a harmonious nutrient exchange cycle for growing plants and fish together, while conserving water, and possibly without the need for soil or even sunlight. Empirical results are provided that evaluate the use of data driven decision analytics and a digital twin model to plan production from the aquaponic system during a three month trial. Another set of results evaluate a proposed modelling framework for large scale urban agriculture ecosystems. This concept forms the basis of the suggested approach for an urban farming decision support system that coordinates the activities of many independent producers to target collective goals.","author":[{"dropping-particle":"","family":"Ghandar","given":"Adam","non-dropping-particle":"","parse-names":false,"suffix":""},{"dropping-particle":"","family":"Ahmed","given":"Ayyaz","non-dropping-particle":"","parse-names":false,"suffix":""},{"dropping-particle":"","family":"Zulfiqar","given":"Shahid","non-dropping-particle":"","parse-names":false,"suffix":""},{"dropping-particle":"","family":"Hua","given":"Zhengchang","non-dropping-particle":"","parse-names":false,"suffix":""},{"dropping-particle":"","family":"Hanai","given":"Masatoshi","non-dropping-particle":"","parse-names":false,"suffix":""},{"dropping-particle":"","family":"Theodoropoulos","given":"Georgios","non-dropping-particle":"","parse-names":false,"suffix":""}],"container-title":"IEEE Access","id":"ITEM-1","issued":{"date-parts":[["2021"]]},"page":"35691-35708","title":"A decision support system for urban agriculture using digital twin: A case study with aquaponics","type":"article-journal","volume":"9"},"uris":["http://www.mendeley.com/documents/?uuid=d74b8e4f-ac4f-4f50-8e0b-25ffbdb5ea52"]}],"mendeley":{"formattedCitation":"(Ghandar et al., 2021)","plainTextFormattedCitation":"(Ghandar et al., 2021)","previouslyFormattedCitation":"(Ghandar et al., 2021)"},"properties":{"noteIndex":0},"schema":"https://github.com/citation-style-language/schema/raw/master/csl-citation.json"}</w:instrText>
      </w:r>
      <w:r w:rsidR="00DA6C98" w:rsidRPr="00DA6C98">
        <w:rPr>
          <w:rFonts w:ascii="Times New Roman" w:eastAsia="Times New Roman" w:hAnsi="Times New Roman" w:cs="Times New Roman"/>
          <w:kern w:val="0"/>
          <w:lang w:eastAsia="en-IN"/>
          <w14:ligatures w14:val="none"/>
        </w:rPr>
        <w:fldChar w:fldCharType="separate"/>
      </w:r>
      <w:r w:rsidR="00DA6C98" w:rsidRPr="00DA6C98">
        <w:rPr>
          <w:rFonts w:ascii="Times New Roman" w:eastAsia="Times New Roman" w:hAnsi="Times New Roman" w:cs="Times New Roman"/>
          <w:noProof/>
          <w:kern w:val="0"/>
          <w:lang w:eastAsia="en-IN"/>
          <w14:ligatures w14:val="none"/>
        </w:rPr>
        <w:t>(Ghandar et al., 2021)</w:t>
      </w:r>
      <w:r w:rsidR="00DA6C98" w:rsidRPr="00DA6C98">
        <w:rPr>
          <w:rFonts w:ascii="Times New Roman" w:eastAsia="Times New Roman" w:hAnsi="Times New Roman" w:cs="Times New Roman"/>
          <w:kern w:val="0"/>
          <w:lang w:eastAsia="en-IN"/>
          <w14:ligatures w14:val="none"/>
        </w:rPr>
        <w:fldChar w:fldCharType="end"/>
      </w:r>
      <w:r w:rsidR="00DA6C98" w:rsidRPr="00DA6C98">
        <w:rPr>
          <w:rFonts w:ascii="Times New Roman" w:eastAsia="Times New Roman" w:hAnsi="Times New Roman" w:cs="Times New Roman"/>
          <w:kern w:val="0"/>
          <w:lang w:eastAsia="en-IN"/>
          <w14:ligatures w14:val="none"/>
        </w:rPr>
        <w:t xml:space="preserve">. </w:t>
      </w:r>
    </w:p>
    <w:p w14:paraId="0BEA378E" w14:textId="77777777" w:rsidR="00943FD1" w:rsidRPr="00DA6C98" w:rsidRDefault="00943FD1" w:rsidP="00DA6C98">
      <w:pPr>
        <w:spacing w:line="360" w:lineRule="auto"/>
        <w:ind w:left="360"/>
        <w:jc w:val="both"/>
        <w:rPr>
          <w:rFonts w:ascii="Times New Roman" w:hAnsi="Times New Roman" w:cs="Times New Roman"/>
        </w:rPr>
      </w:pPr>
    </w:p>
    <w:p w14:paraId="52903A2F" w14:textId="56A855B9" w:rsidR="00DD4163" w:rsidRPr="00DA6C98" w:rsidRDefault="00DD4163" w:rsidP="00DA6C98">
      <w:pPr>
        <w:spacing w:line="360" w:lineRule="auto"/>
        <w:ind w:left="360"/>
        <w:jc w:val="both"/>
        <w:rPr>
          <w:rFonts w:ascii="Times New Roman" w:hAnsi="Times New Roman" w:cs="Times New Roman"/>
          <w:b/>
          <w:bCs/>
        </w:rPr>
      </w:pPr>
      <w:r w:rsidRPr="00DA6C98">
        <w:rPr>
          <w:rFonts w:ascii="Times New Roman" w:hAnsi="Times New Roman" w:cs="Times New Roman"/>
          <w:b/>
          <w:bCs/>
        </w:rPr>
        <w:t>5.3 Practical Applications and System Demonstrations</w:t>
      </w:r>
    </w:p>
    <w:p w14:paraId="0394A4C7" w14:textId="6F1D1D41" w:rsidR="00DD4163" w:rsidRPr="00DA6C98" w:rsidRDefault="00F61FAF" w:rsidP="00FD3B7B">
      <w:pPr>
        <w:spacing w:line="360" w:lineRule="auto"/>
        <w:jc w:val="both"/>
        <w:rPr>
          <w:rFonts w:ascii="Times New Roman" w:hAnsi="Times New Roman" w:cs="Times New Roman"/>
        </w:rPr>
      </w:pPr>
      <w:r w:rsidRPr="00F61FAF">
        <w:rPr>
          <w:rFonts w:ascii="Times New Roman" w:hAnsi="Times New Roman" w:cs="Times New Roman"/>
        </w:rPr>
        <w:t xml:space="preserve">The case studies of recent years demonstrate the feasibility of the operation of integrated systems incorporating AI optimization with organic and microbial nutrient formulations in practice. The systems have minimized the use of nutrient solutions by up to 57 percent with no decrease in crop yield and quality in case of hydroponic soybean and lettuce cultures. </w:t>
      </w:r>
      <w:r w:rsidR="00DD7AD2" w:rsidRPr="00DA6C98">
        <w:rPr>
          <w:rFonts w:ascii="Times New Roman" w:hAnsi="Times New Roman" w:cs="Times New Roman"/>
        </w:rPr>
        <w:fldChar w:fldCharType="begin" w:fldLock="1"/>
      </w:r>
      <w:r w:rsidR="00DD7AD2" w:rsidRPr="00DA6C98">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DD7AD2" w:rsidRPr="00DA6C98">
        <w:rPr>
          <w:rFonts w:ascii="Times New Roman" w:hAnsi="Times New Roman" w:cs="Times New Roman"/>
        </w:rPr>
        <w:fldChar w:fldCharType="separate"/>
      </w:r>
      <w:r w:rsidR="00DD7AD2" w:rsidRPr="00DA6C98">
        <w:rPr>
          <w:rFonts w:ascii="Times New Roman" w:hAnsi="Times New Roman" w:cs="Times New Roman"/>
          <w:noProof/>
        </w:rPr>
        <w:t>(Dhal et al., 2024)</w:t>
      </w:r>
      <w:r w:rsidR="00DD7AD2" w:rsidRPr="00DA6C98">
        <w:rPr>
          <w:rFonts w:ascii="Times New Roman" w:hAnsi="Times New Roman" w:cs="Times New Roman"/>
        </w:rPr>
        <w:fldChar w:fldCharType="end"/>
      </w:r>
      <w:r w:rsidR="00DD4163" w:rsidRPr="00DA6C98">
        <w:rPr>
          <w:rFonts w:ascii="Times New Roman" w:hAnsi="Times New Roman" w:cs="Times New Roman"/>
        </w:rPr>
        <w:t xml:space="preserve">. </w:t>
      </w:r>
      <w:r w:rsidR="0027142E" w:rsidRPr="0027142E">
        <w:rPr>
          <w:rFonts w:ascii="Times New Roman" w:hAnsi="Times New Roman" w:cs="Times New Roman"/>
        </w:rPr>
        <w:t>This method will both save on operating costs and environmental problems and is also a solution to the intricate problems of contemporary controlled-environment agriculture. The effective combination of AI-based predictive models, sensor networks, and hybridized optimization algorithms, as well as organic formulations and PGPM, also testifies to the transformational opportunity of such a solution.</w:t>
      </w:r>
      <w:r w:rsidR="00DD7AD2" w:rsidRPr="00DA6C98">
        <w:rPr>
          <w:rFonts w:ascii="Times New Roman" w:hAnsi="Times New Roman" w:cs="Times New Roman"/>
        </w:rPr>
        <w:t xml:space="preserve"> </w:t>
      </w:r>
      <w:r w:rsidR="00DD7AD2"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00DD7AD2" w:rsidRPr="00DA6C98">
        <w:rPr>
          <w:rFonts w:ascii="Times New Roman" w:hAnsi="Times New Roman" w:cs="Times New Roman"/>
        </w:rPr>
        <w:fldChar w:fldCharType="separate"/>
      </w:r>
      <w:r w:rsidR="007E6F28" w:rsidRPr="00DA6C98">
        <w:rPr>
          <w:rFonts w:ascii="Times New Roman" w:hAnsi="Times New Roman" w:cs="Times New Roman"/>
          <w:noProof/>
        </w:rPr>
        <w:t>(H. Chowdhury et al., 2023)</w:t>
      </w:r>
      <w:r w:rsidR="00DD7AD2" w:rsidRPr="00DA6C98">
        <w:rPr>
          <w:rFonts w:ascii="Times New Roman" w:hAnsi="Times New Roman" w:cs="Times New Roman"/>
        </w:rPr>
        <w:fldChar w:fldCharType="end"/>
      </w:r>
      <w:r w:rsidR="00DD7AD2" w:rsidRPr="00DA6C98">
        <w:rPr>
          <w:rFonts w:ascii="Times New Roman" w:hAnsi="Times New Roman" w:cs="Times New Roman"/>
        </w:rPr>
        <w:t>.</w:t>
      </w:r>
    </w:p>
    <w:p w14:paraId="5150DCFA" w14:textId="77777777" w:rsidR="00DD7AD2" w:rsidRPr="00DA6C98" w:rsidRDefault="00DD7AD2" w:rsidP="00DA6C98">
      <w:pPr>
        <w:spacing w:line="360" w:lineRule="auto"/>
        <w:ind w:left="360"/>
        <w:jc w:val="both"/>
        <w:rPr>
          <w:rFonts w:ascii="Times New Roman" w:hAnsi="Times New Roman" w:cs="Times New Roman"/>
        </w:rPr>
      </w:pPr>
    </w:p>
    <w:p w14:paraId="481C4841" w14:textId="295A7B6F" w:rsidR="00FD3B7B" w:rsidRDefault="00417D3F" w:rsidP="00FD3B7B">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Case Studies and Commercial Applications</w:t>
      </w:r>
    </w:p>
    <w:p w14:paraId="5D2AB187" w14:textId="77777777" w:rsidR="00FD3B7B" w:rsidRPr="00FD3B7B" w:rsidRDefault="00FD3B7B" w:rsidP="00FD3B7B">
      <w:pPr>
        <w:spacing w:line="360" w:lineRule="auto"/>
        <w:ind w:left="360"/>
        <w:jc w:val="both"/>
        <w:rPr>
          <w:rFonts w:ascii="Times New Roman" w:hAnsi="Times New Roman" w:cs="Times New Roman"/>
          <w:b/>
          <w:bCs/>
        </w:rPr>
      </w:pPr>
    </w:p>
    <w:p w14:paraId="57FABD09" w14:textId="5D2EE98F" w:rsidR="00417D3F" w:rsidRPr="00DA6C98" w:rsidRDefault="00417D3F"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AI Optimized Lettuce Production Systems</w:t>
      </w:r>
    </w:p>
    <w:p w14:paraId="41365A31" w14:textId="35294208" w:rsidR="00417D3F" w:rsidRPr="00FD3B7B" w:rsidRDefault="00B704B1" w:rsidP="00FD3B7B">
      <w:pPr>
        <w:spacing w:line="360" w:lineRule="auto"/>
        <w:jc w:val="both"/>
        <w:rPr>
          <w:rFonts w:ascii="Times New Roman" w:hAnsi="Times New Roman" w:cs="Times New Roman"/>
        </w:rPr>
      </w:pPr>
      <w:r w:rsidRPr="00FD3B7B">
        <w:rPr>
          <w:rFonts w:ascii="Times New Roman" w:hAnsi="Times New Roman" w:cs="Times New Roman"/>
        </w:rPr>
        <w:t xml:space="preserve">Extensive case studies of AI-driven nutrient modelling under the influence of IoT monitoring systems using the example of controlled environmental lettuce production prove an 18-percent increase in biomass and a 25-percent decrease in nitrogen consumption using AI. Machine learning algorithms ensure optimality of harvest timing, and also higher quality of the leaves and reduced wastage of resources. </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(Woźniak &amp; Ijaz, 2024)</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(Dhal et al., 2024)</w:t>
      </w:r>
      <w:r w:rsidR="00E70024" w:rsidRPr="00FD3B7B">
        <w:rPr>
          <w:rFonts w:ascii="Times New Roman" w:hAnsi="Times New Roman" w:cs="Times New Roman"/>
        </w:rPr>
        <w:fldChar w:fldCharType="end"/>
      </w:r>
      <w:r w:rsidR="00E70024" w:rsidRPr="00FD3B7B">
        <w:rPr>
          <w:rFonts w:ascii="Times New Roman" w:hAnsi="Times New Roman" w:cs="Times New Roman"/>
        </w:rPr>
        <w:t xml:space="preserve">. </w:t>
      </w:r>
      <w:r w:rsidRPr="00FD3B7B">
        <w:rPr>
          <w:rFonts w:ascii="Times New Roman" w:hAnsi="Times New Roman" w:cs="Times New Roman"/>
        </w:rPr>
        <w:t xml:space="preserve">A consistent outcome of commercial realization of vertical farming facilities is depicted over several crop </w:t>
      </w:r>
      <w:r w:rsidRPr="00FD3B7B">
        <w:rPr>
          <w:rFonts w:ascii="Times New Roman" w:hAnsi="Times New Roman" w:cs="Times New Roman"/>
        </w:rPr>
        <w:lastRenderedPageBreak/>
        <w:t xml:space="preserve">cycles where ROI can be achieved within a 24-month term through decreased </w:t>
      </w:r>
      <w:proofErr w:type="spellStart"/>
      <w:r w:rsidRPr="00FD3B7B">
        <w:rPr>
          <w:rFonts w:ascii="Times New Roman" w:hAnsi="Times New Roman" w:cs="Times New Roman"/>
        </w:rPr>
        <w:t>labor</w:t>
      </w:r>
      <w:proofErr w:type="spellEnd"/>
      <w:r w:rsidRPr="00FD3B7B">
        <w:rPr>
          <w:rFonts w:ascii="Times New Roman" w:hAnsi="Times New Roman" w:cs="Times New Roman"/>
        </w:rPr>
        <w:t xml:space="preserve"> expenses and a better yield per planting. With automated pH and EC regulation systems, optimum growing requirements are kept and minimal operators are required to attend to them. </w:t>
      </w:r>
      <w:r w:rsidR="00E70024" w:rsidRPr="00FD3B7B">
        <w:rPr>
          <w:rFonts w:ascii="Times New Roman" w:hAnsi="Times New Roman" w:cs="Times New Roman"/>
        </w:rPr>
        <w:fldChar w:fldCharType="begin" w:fldLock="1"/>
      </w:r>
      <w:r w:rsidR="00E70024" w:rsidRPr="00FD3B7B">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(Abdelhamid et al., 2025)</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E70024" w:rsidRPr="00FD3B7B">
        <w:rPr>
          <w:rFonts w:ascii="Times New Roman" w:hAnsi="Times New Roman" w:cs="Times New Roman"/>
        </w:rPr>
        <w:fldChar w:fldCharType="begin" w:fldLock="1"/>
      </w:r>
      <w:r w:rsidR="00710E80" w:rsidRPr="00FD3B7B">
        <w:rPr>
          <w:rFonts w:ascii="Times New Roman" w:hAnsi="Times New Roman" w:cs="Times New Roman"/>
        </w:rPr>
        <w:instrText>ADDIN CSL_CITATION {"citationItems":[{"id":"ITEM-1","itemData":{"DOI":"10.53555/ajbr.v27i4s.5436","author":[{"dropping-particle":"","family":"Ram","given":"Baidyanath","non-dropping-particle":"","parse-names":false,"suffix":""}],"container-title":"African Journal of Biomedical Research","id":"ITEM-1","issue":"4","issued":{"date-parts":[["2024"]]},"page":"9335-9345","title":"Precision Farming With Iot: Soil Nutrient Analysis And Fertilization Recommendation System","type":"article-journal","volume":"27"},"uris":["http://www.mendeley.com/documents/?uuid=a09cc516-7bb5-4915-b719-c4d68984d12e"]}],"mendeley":{"formattedCitation":"(Ram, 2024)","plainTextFormattedCitation":"(Ram, 2024)","previouslyFormattedCitation":"(Ram, 2024)"},"properties":{"noteIndex":0},"schema":"https://github.com/citation-style-language/schema/raw/master/csl-citation.json"}</w:instrText>
      </w:r>
      <w:r w:rsidR="00E70024" w:rsidRPr="00FD3B7B">
        <w:rPr>
          <w:rFonts w:ascii="Times New Roman" w:hAnsi="Times New Roman" w:cs="Times New Roman"/>
        </w:rPr>
        <w:fldChar w:fldCharType="separate"/>
      </w:r>
      <w:r w:rsidR="00E70024" w:rsidRPr="00FD3B7B">
        <w:rPr>
          <w:rFonts w:ascii="Times New Roman" w:hAnsi="Times New Roman" w:cs="Times New Roman"/>
          <w:noProof/>
        </w:rPr>
        <w:t>(Ram, 2024)</w:t>
      </w:r>
      <w:r w:rsidR="00E70024" w:rsidRPr="00FD3B7B">
        <w:rPr>
          <w:rFonts w:ascii="Times New Roman" w:hAnsi="Times New Roman" w:cs="Times New Roman"/>
        </w:rPr>
        <w:fldChar w:fldCharType="end"/>
      </w:r>
      <w:r w:rsidR="00E70024" w:rsidRPr="00FD3B7B">
        <w:rPr>
          <w:rFonts w:ascii="Times New Roman" w:hAnsi="Times New Roman" w:cs="Times New Roman"/>
        </w:rPr>
        <w:t>;</w:t>
      </w:r>
      <w:r w:rsidR="00710E80" w:rsidRPr="00FD3B7B">
        <w:rPr>
          <w:rFonts w:ascii="Times New Roman" w:hAnsi="Times New Roman" w:cs="Times New Roman"/>
        </w:rPr>
        <w:fldChar w:fldCharType="begin" w:fldLock="1"/>
      </w:r>
      <w:r w:rsidR="007E6F28" w:rsidRPr="00FD3B7B">
        <w:rPr>
          <w:rFonts w:ascii="Times New Roman" w:hAnsi="Times New Roman" w:cs="Times New Roman"/>
        </w:rPr>
        <w:instrText>ADDIN CSL_CITATION {"citationItems":[{"id":"ITEM-1","itemData":{"DOI":"10.1016/j.sintl.2024.100292","ISSN":"26663511","abstract":"The integration of Artificial Intelligence (AI) and Internet of Things (IoT) technologies is transforming precision agriculture by enhancing crop monitoring and management. This review explores cutting-edge methodologies and innovations in modern agriculture, including high-throughput phenotyping, remote sensing, and automated agricultural robots (AgroBots). These technologies automate tasks such as harvesting, sorting, and weed detection, significantly reducing labor costs and environmental impacts. High-throughput phenotyping leverages remote sensing, spectral imaging, and robotics to collect data on plant traits, enabling informed decisions on fertilization, irrigation, and pest management. DGPS and remote sensing offer precise, real-time data essential for soil condition assessment and crop health monitoring. Advanced image segmentation techniques ensure accurate detection of plants and fruits, overcoming challenges posed by varying lighting conditions and complex backgrounds. Case studies like the PACMAN SCRI project for apple crop load management and Project PANTHEON's SCADA system for hazelnut orchard management demonstrate the transformative potential of AI and IoT in optimizing agricultural practices. The upcoming integration of 5G and future 6G mobile networks promises to address connectivity challenges, promoting the widespread adoption of smart agricultural practices.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practices.","author":[{"dropping-particle":"","family":"Sharma","given":"Kushagra","non-dropping-particle":"","parse-names":false,"suffix":""},{"dropping-particle":"","family":"Shivandu","given":"Shiv Kumar","non-dropping-particle":"","parse-names":false,"suffix":""}],"container-title":"Sensors International","id":"ITEM-1","issue":"July","issued":{"date-parts":[["2024"]]},"page":"100292","publisher":"KeAi Communications Co., Ltd","title":"Integrating artificial intelligence and Internet of Things (IoT) for enhanced crop monitoring and management in precision agriculture","type":"article-journal","volume":"5"},"uris":["http://www.mendeley.com/documents/?uuid=5b69aa3f-a863-4220-922f-f8bdef14e35e"]}],"mendeley":{"formattedCitation":"(Sharma &amp; Shivandu, 2024)","plainTextFormattedCitation":"(Sharma &amp; Shivandu, 2024)","previouslyFormattedCitation":"(Sharma &amp; Shivandu, 2024)"},"properties":{"noteIndex":0},"schema":"https://github.com/citation-style-language/schema/raw/master/csl-citation.json"}</w:instrText>
      </w:r>
      <w:r w:rsidR="00710E80" w:rsidRPr="00FD3B7B">
        <w:rPr>
          <w:rFonts w:ascii="Times New Roman" w:hAnsi="Times New Roman" w:cs="Times New Roman"/>
        </w:rPr>
        <w:fldChar w:fldCharType="separate"/>
      </w:r>
      <w:r w:rsidR="00710E80" w:rsidRPr="00FD3B7B">
        <w:rPr>
          <w:rFonts w:ascii="Times New Roman" w:hAnsi="Times New Roman" w:cs="Times New Roman"/>
          <w:noProof/>
        </w:rPr>
        <w:t>(Sharma &amp; Shivandu, 2024)</w:t>
      </w:r>
      <w:r w:rsidR="00710E80" w:rsidRPr="00FD3B7B">
        <w:rPr>
          <w:rFonts w:ascii="Times New Roman" w:hAnsi="Times New Roman" w:cs="Times New Roman"/>
        </w:rPr>
        <w:fldChar w:fldCharType="end"/>
      </w:r>
      <w:r w:rsidR="00710E80" w:rsidRPr="00FD3B7B">
        <w:rPr>
          <w:rFonts w:ascii="Times New Roman" w:hAnsi="Times New Roman" w:cs="Times New Roman"/>
        </w:rPr>
        <w:t>.</w:t>
      </w:r>
    </w:p>
    <w:p w14:paraId="1B29BBC5" w14:textId="29C34213" w:rsidR="00710E80" w:rsidRPr="00DA6C98" w:rsidRDefault="00710E80" w:rsidP="00DA6C98">
      <w:pPr>
        <w:pStyle w:val="ListParagraph"/>
        <w:numPr>
          <w:ilvl w:val="1"/>
          <w:numId w:val="2"/>
        </w:numPr>
        <w:spacing w:line="360" w:lineRule="auto"/>
        <w:jc w:val="both"/>
        <w:rPr>
          <w:rFonts w:ascii="Times New Roman" w:hAnsi="Times New Roman" w:cs="Times New Roman"/>
          <w:b/>
          <w:bCs/>
        </w:rPr>
      </w:pPr>
      <w:r w:rsidRPr="00DA6C98">
        <w:rPr>
          <w:rFonts w:ascii="Times New Roman" w:hAnsi="Times New Roman" w:cs="Times New Roman"/>
          <w:b/>
          <w:bCs/>
        </w:rPr>
        <w:t>Organic-Microbial Integration in Herb Production</w:t>
      </w:r>
    </w:p>
    <w:p w14:paraId="3DEC353D" w14:textId="18A2C271" w:rsidR="00710E80" w:rsidRPr="00DA6C98" w:rsidRDefault="00D63B02" w:rsidP="00FD3B7B">
      <w:pPr>
        <w:spacing w:line="360" w:lineRule="auto"/>
        <w:jc w:val="both"/>
        <w:rPr>
          <w:rFonts w:ascii="Times New Roman" w:hAnsi="Times New Roman" w:cs="Times New Roman"/>
        </w:rPr>
      </w:pPr>
      <w:r w:rsidRPr="00D63B02">
        <w:rPr>
          <w:rFonts w:ascii="Times New Roman" w:hAnsi="Times New Roman" w:cs="Times New Roman"/>
        </w:rPr>
        <w:t xml:space="preserve">Growing basil with organic nutrients with enriched-PGPR shows 15 percent more output and 25 percent more essential oil content than synthetic controls. The measures of quality such as </w:t>
      </w:r>
      <w:proofErr w:type="spellStart"/>
      <w:r w:rsidRPr="00D63B02">
        <w:rPr>
          <w:rFonts w:ascii="Times New Roman" w:hAnsi="Times New Roman" w:cs="Times New Roman"/>
        </w:rPr>
        <w:t>flavor</w:t>
      </w:r>
      <w:proofErr w:type="spellEnd"/>
      <w:r w:rsidRPr="00D63B02">
        <w:rPr>
          <w:rFonts w:ascii="Times New Roman" w:hAnsi="Times New Roman" w:cs="Times New Roman"/>
        </w:rPr>
        <w:t xml:space="preserve"> intensity as well as shelf life improve considerably with an increase in the production of plant secondary metabolites. </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{"citationItems":[{"id":"ITEM-1","itemData":{"DOI":"10.3390/plants13050613","ISSN":"22237747","abstract":"The application of biostimulants has been proven to be an advantageous tool and an appropriate form of management towards the effective use of natural resources, food security, and the beneficial effects on plant growth and yield. Plant-growth-promoting rhizobacteria (PGPR) are microbes connected with plant roots that can increase plant growth by different methods such as producing plant hormones and molecules to improve plant growth or providing increased mineral nutrition. They can colonize all ecological niches of roots to all stages of crop development, and they can affect plant growth and development directly by modulating plant hormone levels and enhancing nutrient acquisition such as of potassium, phosphorus, nitrogen, and essential minerals, or indirectly via reducing the inhibitory impacts of different pathogens in the forms of biocontrol parameters. Many plant-associated species such as Pseudomonas, Acinetobacter, Streptomyces, Serratia, Arthrobacter, and Rhodococcus can increase plant growth by improving plant disease resistance, synthesizing growth-stimulating plant hormones, and suppressing pathogenic microorganisms. The application of biostimulants is both an environmentally friendly practice and a promising method that can enhance the sustainability of horticultural and agricultural production systems as well as promote the quantity and quality of foods. They can also reduce the global dependence on hazardous agricultural chemicals. Science Direct, Google Scholar, Springer Link, CAB Direct, Scopus, Springer Link, Taylor and Francis, Web of Science, and Wiley Online Library were checked, and the search was conducted on all manuscript sections in accordance with the terms Acinetobacter, Arthrobacter, Enterobacter, Ochrobactrum, Pseudomonas, Rhodococcus, Serratia, Streptomyces, Biostimulants, Plant growth promoting rhizobactera, and Stenotrophomonas. The aim of this manuscript is to survey the effects of plant-growth-promoting rhizobacteria by presenting case studies and successful paradigms in various agricultural and horticultural crops.","author":[{"dropping-particle":"","family":"Sun","given":"Wenli","non-dropping-particle":"","parse-names":false,"suffix":""},{"dropping-particle":"","family":"Shahrajabian","given":"Mohamad Hesam","non-dropping-particle":"","parse-names":false,"suffix":""},{"dropping-particle":"","family":"Soleymani","given":"Ali","non-dropping-particle":"","parse-names":false,"suffix":""}],"container-title":"Plants","id":"ITEM-1","issue":"5","issued":{"date-parts":[["2024"]]},"page":"1-37","title":"The Roles of Plant-Growth-Promoting Rhizobacteria (PGPR)-Based Biostimulants for Agricultural Production Systems","type":"article-journal","volume":"13"},"uris":["http://www.mendeley.com/documents/?uuid=843ccfbd-35a4-4ae3-989b-887bc5c2d9e8"]}],"mendeley":{"formattedCitation":"(Sun et al., 2024)","plainTextFormattedCitation":"(Sun et al., 2024)","previouslyFormattedCitation":"(Sun et al., 2024)"},"properties":{"noteIndex":0},"schema":"https://github.com/citation-style-language/schema/raw/master/csl-citation.json"}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(Sun et al., 2024)</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{"citationItems":[{"id":"ITEM-1","itemData":{"DOI":"10.3389/fpls.2023.1270039","ISSN":"1664462X","abstract":"Addressing the pressing issues of increased food demand, declining crop productivity under varying agroclimatic conditions, and the deteriorating soil health resulting from the overuse of agricultural chemicals, requires innovative and effective strategies for the present era. Microbial bioformulation technology is a revolutionary, and eco-friendly alternative to agrochemicals that paves the way for sustainable agriculture. This technology harnesses the power of potential microbial strains and their cell-free filtrate possessing specific properties, such as phosphorus, potassium, and zinc solubilization, nitrogen fixation, siderophore production, and pathogen protection. The application of microbial bioformulations offers several remarkable advantages, including its sustainable nature, plant probiotic properties, and long-term viability, positioning it as a promising technology for the future of agriculture. To maintain the survival and viability of microbial strains, diverse carrier materials are employed to provide essential nourishment and support. Various carrier materials with their unique pros and cons are available, and choosing the most appropriate one is a key consideration, as it substantially extends the shelf life of microbial cells and maintains the overall quality of the bioinoculants. An exemplary modern bioformulation technology involves immobilizing microbial cells and utilizing cell-free filters to preserve the efficacy of bioinoculants, showcasing cutting-edge progress in this field. Moreover, the effective delivery of bioformulations in agricultural fields is another critical aspect to improve their overall efficiency. Proper and suitable application of microbial formulations is essential to boost soil fertility, preserve the soil’s microbial ecology, enhance soil nutrition, and support crop physiological and biochemical processes, leading to increased yields in a sustainable manner while reducing reliance on expensive and toxic agrochemicals. This manuscript centers on exploring microbial bioformulations and their carrier materials, providing insights into the selection criteria, the development process of bioformulations, precautions, and best practices for various agricultural lands. The potential of bioformulations in promoting plant growth and defense against pathogens and diseases, while addressing biosafety concerns, is also a focal point of this study.","author":[{"dropping-particle":"","family":"Khan","given":"Amir","non-dropping-particle":"","parse-names":false,"suffix":""},{"dropping-particle":"","family":"Singh","given":"Ajay Veer","non-dropping-particle":"","parse-names":false,"suffix":""},{"dropping-particle":"","family":"Gautam","given":"Shiv Shanker","non-dropping-particle":"","parse-names":false,"suffix":""},{"dropping-particle":"","family":"Agarwal","given":"Aparna","non-dropping-particle":"","parse-names":false,"suffix":""},{"dropping-particle":"","family":"Punetha","given":"Arjita","non-dropping-particle":"","parse-names":false,"suffix":""},{"dropping-particle":"","family":"Upadhayay","given":"Viabhav Kumar","non-dropping-particle":"","parse-names":false,"suffix":""},{"dropping-particle":"","family":"Kukreti","given":"Bharti","non-dropping-particle":"","parse-names":false,"suffix":""},{"dropping-particle":"","family":"Bundela","given":"Vindhya","non-dropping-particle":"","parse-names":false,"suffix":""},{"dropping-particle":"","family":"Jugran","given":"Arun Kumar","non-dropping-particle":"","parse-names":false,"suffix":""},{"dropping-particle":"","family":"Goel","given":"Reeta","non-dropping-particle":"","parse-names":false,"suffix":""}],"container-title":"Frontiers in Plant Science","id":"ITEM-1","issue":"December","issued":{"date-parts":[["2023"]]},"page":"1-22","title":"Microbial bioformulation: a microbial assisted biostimulating fertilization technique for sustainable agriculture","type":"article-journal","volume":"14"},"uris":["http://www.mendeley.com/documents/?uuid=b489853f-10a2-4603-a036-028de161086d"]}],"mendeley":{"formattedCitation":"(Khan et al., 2023)","plainTextFormattedCitation":"(Khan et al., 2023)","previouslyFormattedCitation":"(Khan et al., 2023)"},"properties":{"noteIndex":0},"schema":"https://github.com/citation-style-language/schema/raw/master/csl-citation.json"}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(Khan et al., 2023)</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7E6F28" w:rsidRPr="00DA6C98">
        <w:rPr>
          <w:rFonts w:ascii="Times New Roman" w:hAnsi="Times New Roman" w:cs="Times New Roman"/>
        </w:rPr>
        <w:instrText>ADDIN CSL_CITATION {"citationItems":[{"id":"ITEM-1","itemData":{"DOI":"10.3389/fpls.2024.1401089","ISSN":"1664462X","abstract":"Organic farming methods, including the use of organic substrates, fertilizers, pesticides, and biological control, are gaining popularity in controlled environment agriculture (CEA) due to economic benefits and environmental sustainability. However, despite several studies focusing on the preparation and evaluation of liquid organic fertilizers, none have explored the compatibility of these fertilizers with different hydroponic systems. Therefore, the objective of this study was to evaluate lettuce production using a liquid organic fertilizer under different hydroponic systems. Four distinct hydroponic methods were selected: nutrient film technique (NFT), deep water culture (DWC) (liquid culture systems), and Dutch bucket (DB), regular plastic container (RPC) (substrate-based systems). ‘Green Butter’ lettuce was grown using a liquid organic fertilizer (Espartan) for four weeks. Shoot growth parameters (e.g., shoot width, number of leaves, leaf area, foliar chlorophyll content, fresh weight, and dry weight) and root growth parameters (e.g., root length, fresh weight, and dry weight) were measured. The growth difference of lettuce under the DB and RPC systems was negligible, but the growth in RPC was 29% to 60% and 15% to 44% higher than the NFT and DWC systems, respectively, for shoot width, number of leaves, leaf area, shoot fresh weight and dry weight. Root parameters were nearly identical for the NFT and DWC systems but significantly lower (21% to 94%) than the substrate-based DB and RPC systems. Although lettuce grown in the NFT system showed the least growth, its mineral content in the leaf tissue was comparable or sometimes higher than that of substrate-based hydroponic systems. In conclusion, the tested liquid organic fertilizer is suitable for substrate-based hydroponic systems; however, further evaluation of different liquid organic fertilizers, and crop species is required.","author":[{"dropping-particle":"","family":"Chowdhury","given":"Milon","non-dropping-particle":"","parse-names":false,"suffix":""},{"dropping-particle":"","family":"Samarakoon","given":"Uttara C.","non-dropping-particle":"","parse-names":false,"suffix":""},{"dropping-particle":"","family":"Altland","given":"James E.","non-dropping-particle":"","parse-names":false,"suffix":""}],"container-title":"Frontiers in Plant Science","id":"ITEM-1","issue":"August","issued":{"date-parts":[["2024"]]},"page":"1-12","title":"Evaluation of hydroponic systems for organic lettuce production in controlled environment","type":"article-journal","volume":"15"},"uris":["http://www.mendeley.com/documents/?uuid=a9d14be1-0e8c-4917-b4c0-4f807bedc24a"]}],"mendeley":{"formattedCitation":"(M. Chowdhury et al., 2024)","plainTextFormattedCitation":"(M. Chowdhury et al., 2024)","previouslyFormattedCitation":"(M. Chowdhury et al., 2024)"},"properties":{"noteIndex":0},"schema":"https://github.com/citation-style-language/schema/raw/master/csl-citation.json"}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(M. Chowdhury et al., 2024)</w:t>
      </w:r>
      <w:r w:rsidR="007E6F28" w:rsidRPr="00DA6C98">
        <w:rPr>
          <w:rFonts w:ascii="Times New Roman" w:hAnsi="Times New Roman" w:cs="Times New Roman"/>
        </w:rPr>
        <w:fldChar w:fldCharType="end"/>
      </w:r>
      <w:r w:rsidR="007E6F28" w:rsidRPr="00DA6C98">
        <w:rPr>
          <w:rFonts w:ascii="Times New Roman" w:hAnsi="Times New Roman" w:cs="Times New Roman"/>
        </w:rPr>
        <w:t>;</w:t>
      </w:r>
      <w:r w:rsidR="007E6F28"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7E6F28" w:rsidRPr="00DA6C98">
        <w:rPr>
          <w:rFonts w:ascii="Times New Roman" w:hAnsi="Times New Roman" w:cs="Times New Roman"/>
        </w:rPr>
        <w:fldChar w:fldCharType="separate"/>
      </w:r>
      <w:r w:rsidR="007E6F28" w:rsidRPr="00DA6C98">
        <w:rPr>
          <w:rFonts w:ascii="Times New Roman" w:hAnsi="Times New Roman" w:cs="Times New Roman"/>
          <w:noProof/>
        </w:rPr>
        <w:t>(Hooks et al., 2022)</w:t>
      </w:r>
      <w:r w:rsidR="007E6F28" w:rsidRPr="00DA6C98">
        <w:rPr>
          <w:rFonts w:ascii="Times New Roman" w:hAnsi="Times New Roman" w:cs="Times New Roman"/>
        </w:rPr>
        <w:fldChar w:fldCharType="end"/>
      </w:r>
      <w:r w:rsidR="007E6F28" w:rsidRPr="00DA6C98">
        <w:rPr>
          <w:rFonts w:ascii="Times New Roman" w:hAnsi="Times New Roman" w:cs="Times New Roman"/>
        </w:rPr>
        <w:t xml:space="preserve">. </w:t>
      </w:r>
      <w:r w:rsidR="000E6B96" w:rsidRPr="000E6B96">
        <w:rPr>
          <w:rFonts w:ascii="Times New Roman" w:hAnsi="Times New Roman" w:cs="Times New Roman"/>
        </w:rPr>
        <w:t xml:space="preserve">The economic prospect is that premium pricing opportunities are compensated by the increased costs of production and net profitability improvements by 20-30 in the high-value herb markets. Coherent parameters in quality will allow the establishment of trusting supply relationships with the commercial buyers. </w:t>
      </w:r>
      <w:r w:rsidR="001D2A32"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{"citationItems":[{"id":"ITEM-1","itemData":{"abstract":"Hydroponics, a soil-less cultivation method, offers an efficient way to grow crops by directly providing nutrients to plant roots. Despite advancements in hydroponic systems, limited information exists regarding organic nutrient solutions as an alternative to inorganic commercial solutions used in hydroponics systems. This study addresses this gap by evaluating the performance of organic solutions, including vermitea and enriched vermitea, compared to a commercial nutrient solution in a Nutrient Film Technique hydroponic system for growing lettuce. The experiment was conducted at the Department of Agricultural and Food Engineering, Indian Institute of Technology Kharagpur, in the year 2019–20. Growth parameters, yield, and quality indicators, such as chlorophyll content, ascorbic acid, and phenolic content, were analyzed. Results revealed that plants grown with commercial nutrient solution and enriched vermitea showed comparable growth and yield, i.e., 255.6 g/plant and 238.8 g/plant, respectively. The plants grown with normal vermitea exhibited clear nutrient deficiencies, which resulted in stunted growth due to inadequate nutrient availability. In contrast, enriched vermitea, with its enhanced nutrient composition, yielded close to the commercial nutrient solution. These findings highlight the importance of nutrient enrichment in organic solutions and demonstrate enriched vermitea as a sustainable substitute for inorganic commercial nutrient solutions in hydroponic systems.","author":[{"dropping-particle":"","family":"Debasruti Bhattacharya,Suchismita Tripathy","given":"Dillip Kumar Swain &amp;Adinpunya Mitra","non-dropping-particle":"","parse-names":false,"suffix":""}],"container-title":"International Journal of Vegetable Science","id":"ITEM-1","issued":{"date-parts":[["2025"]]},"page":"272-287","title":"No Title Evaluating enriched vermitea as a sustainable alternative to inorganic nutrient solutions in hydroponic systems","type":"article-journal","volume":"31"},"uris":["http://www.mendeley.com/documents/?uuid=33da505d-2375-4ff7-b337-71e1439f205c"]}],"mendeley":{"formattedCitation":"(Debasruti Bhattacharya,Suchismita Tripathy, 2025)","manualFormatting":"(Bhattacharya et al., 2025)","plainTextFormattedCitation":"(Debasruti Bhattacharya,Suchismita Tripathy, 2025)","previouslyFormattedCitation":"(Debasruti Bhattacharya,Suchismita Tripathy,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(Bhattacharya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r w:rsidR="001D2A32" w:rsidRPr="00DA6C98">
        <w:rPr>
          <w:rFonts w:ascii="Times New Roman" w:hAnsi="Times New Roman" w:cs="Times New Roman"/>
        </w:rPr>
        <w:fldChar w:fldCharType="begin" w:fldLock="1"/>
      </w:r>
      <w:r w:rsidR="001D2A32"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(Abdelhamid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r w:rsidR="001D2A32" w:rsidRPr="00DA6C98">
        <w:rPr>
          <w:rFonts w:ascii="Times New Roman" w:hAnsi="Times New Roman" w:cs="Times New Roman"/>
        </w:rPr>
        <w:fldChar w:fldCharType="begin" w:fldLock="1"/>
      </w:r>
      <w:r w:rsidR="006014F7" w:rsidRPr="00DA6C98">
        <w:rPr>
          <w:rFonts w:ascii="Times New Roman" w:hAnsi="Times New Roman" w:cs="Times New Roman"/>
        </w:rPr>
        <w:instrText>ADDIN CSL_CITATION {"citationItems":[{"id":"ITEM-1","itemData":{"DOI":"10.1016/j.agsy.2024.104179","ISSN":"0308521X","abstract":"CONTEXT: This review article seeks to evaluate existing research in hydroponic systems which utilise a fertiliser solution derived from food-waste, also known as “Food-waste based hydroponic fertilisers” (FWBHF). FWBHF research is rooted in addressing increasing concerns surrounding food security, addressing both non-productive waste streams and sustainable production of hydroponic fertilisers. In 2018, the world was predicted to have wasted 931 million tonnes of food, 17 % of the total food produced throughout the year (FAO, 2021). Meanwhile, existing hydroponic systems rely on synthetic fertilisers which are constituted from unsustainable processes, such as Haber-Bosch systems or mining for phosphate rocks. These practices contribute heavily to greenhouse gas emissions or rely on destructive exploitation of finite reserves, which researchers believe will increase in price as accessible reserves are exhausted (Liu et al., 2020; Cordell et al., 2011). With increasing population in urban areas, the demand of produce imported from regional areas grows alongside the density of waste generation. Thus, exploring methods to re-utilise urban food-waste in urban horticultural systems may help in improving food security, reducing waste, and providing a local source of fresh produce for consumers. OBJECTIVES: The objectives of this review article are to : i) Utilise PRISMA protocol to collect and synthesize existing literature related to food-waste based hydroponic systems, ii) Identify major challenges found across literature which inhibit yield outcomes in food-waste based hydroponic systems, iii) Explore potential improvements using conventional or non-conventional methods, including chemical, physical, and biological modifications to existing systems, iv) Suggest a standardized reporting framework for future research in this area. METHODS: Using the PRISMA protocol, 6840 papers were identified with key words: “Food-waste AND hydroponic AND fertiliser,” “Organic AND hydroponic AND fertiliser,” and “Organic AND Hydroponics.” 308 papers were selected based on the relevance of their title and abstract. After considering quality, overlaps, and relevance, 37 papers were chosen to be part of this systematic review. Literature was chosen based on its contents utilising any form of processing to prepare waste generated from the food-waste industry for use in a hydroponic system. These papers utilised waste generated at i) Farm, ii) Industry, and iii) Consumer, levels …","author":[{"dropping-particle":"","family":"Wang","given":"Oscar","non-dropping-particle":"","parse-names":false,"suffix":""},{"dropping-particle":"","family":"Deaker","given":"Rosalind","non-dropping-particle":"","parse-names":false,"suffix":""},{"dropping-particle":"","family":"Ogtrop","given":"Floris","non-dropping-particle":"Van","parse-names":false,"suffix":""}],"container-title":"Agricultural Systems","id":"ITEM-1","issue":"November 2024","issued":{"date-parts":[["2025"]]},"page":"104179","publisher":"Elsevier Ltd","title":"A systematic review of food-waste based hydroponic fertilisers","type":"article-journal","volume":"223"},"uris":["http://www.mendeley.com/documents/?uuid=6cdafa7a-3b40-4844-b177-9efdad4a57af"]}],"mendeley":{"formattedCitation":"(Wang et al., 2025)","plainTextFormattedCitation":"(Wang et al., 2025)","previouslyFormattedCitation":"(Wang et al., 2025)"},"properties":{"noteIndex":0},"schema":"https://github.com/citation-style-language/schema/raw/master/csl-citation.json"}</w:instrText>
      </w:r>
      <w:r w:rsidR="001D2A32" w:rsidRPr="00DA6C98">
        <w:rPr>
          <w:rFonts w:ascii="Times New Roman" w:hAnsi="Times New Roman" w:cs="Times New Roman"/>
        </w:rPr>
        <w:fldChar w:fldCharType="separate"/>
      </w:r>
      <w:r w:rsidR="001D2A32" w:rsidRPr="00DA6C98">
        <w:rPr>
          <w:rFonts w:ascii="Times New Roman" w:hAnsi="Times New Roman" w:cs="Times New Roman"/>
          <w:noProof/>
        </w:rPr>
        <w:t>(Wang et al., 2025)</w:t>
      </w:r>
      <w:r w:rsidR="001D2A32" w:rsidRPr="00DA6C98">
        <w:rPr>
          <w:rFonts w:ascii="Times New Roman" w:hAnsi="Times New Roman" w:cs="Times New Roman"/>
        </w:rPr>
        <w:fldChar w:fldCharType="end"/>
      </w:r>
      <w:r w:rsidR="001D2A32" w:rsidRPr="00DA6C98">
        <w:rPr>
          <w:rFonts w:ascii="Times New Roman" w:hAnsi="Times New Roman" w:cs="Times New Roman"/>
        </w:rPr>
        <w:t>.</w:t>
      </w:r>
    </w:p>
    <w:p w14:paraId="46EBE522" w14:textId="77777777" w:rsidR="001D2A32" w:rsidRPr="00DA6C98" w:rsidRDefault="001D2A32" w:rsidP="00DA6C98">
      <w:pPr>
        <w:spacing w:line="360" w:lineRule="auto"/>
        <w:ind w:left="360"/>
        <w:jc w:val="both"/>
        <w:rPr>
          <w:rFonts w:ascii="Times New Roman" w:hAnsi="Times New Roman" w:cs="Times New Roman"/>
          <w:b/>
          <w:bCs/>
        </w:rPr>
      </w:pPr>
      <w:r w:rsidRPr="00DA6C98">
        <w:rPr>
          <w:rFonts w:ascii="Times New Roman" w:hAnsi="Times New Roman" w:cs="Times New Roman"/>
          <w:b/>
          <w:bCs/>
        </w:rPr>
        <w:t>6.3 Large-Scale Tomato Production with AI-Organic Systems</w:t>
      </w:r>
    </w:p>
    <w:p w14:paraId="7AFD9BA7" w14:textId="77777777" w:rsidR="00B63FC2" w:rsidRPr="00B63FC2" w:rsidRDefault="00B63FC2" w:rsidP="00FD3B7B">
      <w:pPr>
        <w:spacing w:line="360" w:lineRule="auto"/>
        <w:jc w:val="both"/>
        <w:rPr>
          <w:rFonts w:ascii="Times New Roman" w:hAnsi="Times New Roman" w:cs="Times New Roman"/>
        </w:rPr>
      </w:pPr>
      <w:r w:rsidRPr="00B63FC2">
        <w:rPr>
          <w:rFonts w:ascii="Times New Roman" w:hAnsi="Times New Roman" w:cs="Times New Roman"/>
        </w:rPr>
        <w:t>Commercial plant greenhouse tomato farms practicing AI-based nutrient management of organic cultivation show 35 percent nutrient use improvement and same yields as at conventional plants. Nutrient concentrations are adjusted after real-time monitoring uses vegetative phenological stage and environment to change nutrient concentration.</w:t>
      </w:r>
    </w:p>
    <w:p w14:paraId="6A5D471D" w14:textId="6E49447C" w:rsidR="001D2A32" w:rsidRPr="00DA6C98" w:rsidRDefault="00B63FC2" w:rsidP="00FD3B7B">
      <w:pPr>
        <w:spacing w:line="360" w:lineRule="auto"/>
        <w:jc w:val="both"/>
        <w:rPr>
          <w:rFonts w:ascii="Times New Roman" w:hAnsi="Times New Roman" w:cs="Times New Roman"/>
        </w:rPr>
      </w:pPr>
      <w:r w:rsidRPr="00B63FC2">
        <w:rPr>
          <w:rFonts w:ascii="Times New Roman" w:hAnsi="Times New Roman" w:cs="Times New Roman"/>
        </w:rPr>
        <w:t xml:space="preserve">Optimal environmental control facilitates the saving of energy, which leads to the overall sustainability and the minimization of the costs of operations. Since the disease pressure will be decreased by means of the increased immunity of the plants, the pesticide needs and expenditures will be lowered. </w:t>
      </w:r>
      <w:r w:rsidR="00DA6C98" w:rsidRPr="00DA6C98">
        <w:rPr>
          <w:rFonts w:ascii="Times New Roman" w:hAnsi="Times New Roman" w:cs="Times New Roman"/>
        </w:rPr>
        <w:fldChar w:fldCharType="begin" w:fldLock="1"/>
      </w:r>
      <w:r w:rsidR="00DA6C98" w:rsidRPr="00DA6C98">
        <w:rPr>
          <w:rFonts w:ascii="Times New Roman" w:hAnsi="Times New Roman" w:cs="Times New Roman"/>
        </w:rPr>
        <w:instrText>ADDIN CSL_CITATION {"citationItems":[{"id":"ITEM-1","itemData":{"DOI":"10.1016/j.heliyon.2024.e26823","ISSN":"24058440","abstract":"There is an urgent need to explore climate-resilient alternative agriculture production systems that focus on resilience, resource efficiency, and disease management. Hydroponics, a soilless cultivation system, gaining interest as it reduces the dependency on agricultural land, and pesticides, and can be implemented in areas with poor soil quality, thus mitigating the negative effects of extreme weather events. Potato is an essential dietary staple crop grown throughout the world and is a major source of food security in underdeveloped countries. However, due to the climatic changes, it is predicted that a significant loss in the suitability of land for potato production would occur, thus leading to potato yield loss. Recently, many case studies have emerged to highlight the advancement of agricultural hydroponic systems that provide a promising solution to the massive production of potato mini tuber at high efficiency. This review paper evaluates popular hydroponic methods and demonstrates how hydroponic has emerged as the go-to, long-term, sustainable answer to the perennial problem of insufficient access to high-quality potato seed stock. The paper discusses the research and innovation possibilities (such as artificial intelligence, nanoparticles, and plant growth-promoting rhizobacteria) that potentially increase tuber production per plant under optimal hydroponic growth circumstances. These approaches are examined considering new scientific discoveries and practical applications. Furthermore, it emphasizes that by enduring significant reforms in soilless food production systems (particularly for potatoes), the food supply of a rapidly growing population can be addressed. Since hydroponics systems are productive and easily automated without soil and optimal environmental conditions, future hydroponics farming is promising. In conclusion, the hydroponics system provides better yield and crop productivity by saving water, energy, and space. Henceforth, it can be the alternate choice for modern sustainable agriculture.","author":[{"dropping-particle":"","family":"Rajendran","given":"Sasireka","non-dropping-particle":"","parse-names":false,"suffix":""},{"dropping-particle":"","family":"Domalachenpa","given":"Tenzing","non-dropping-particle":"","parse-names":false,"suffix":""},{"dropping-particle":"","family":"Arora","given":"Himanshu","non-dropping-particle":"","parse-names":false,"suffix":""},{"dropping-particle":"","family":"Li","given":"Pai","non-dropping-particle":"","parse-names":false,"suffix":""},{"dropping-particle":"","family":"Sharma","given":"Abhishek","non-dropping-particle":"","parse-names":false,"suffix":""},{"dropping-particle":"","family":"Rajauria","given":"Gaurav","non-dropping-particle":"","parse-names":false,"suffix":""}],"container-title":"Heliyon","id":"ITEM-1","issue":"5","issued":{"date-parts":[["2024"]]},"page":"e26823","publisher":"Elsevier Ltd","title":"Hydroponics: Exploring innovative sustainable technologies and applications across crop production, with Emphasis on potato mini-tuber cultivation","type":"article-journal","volume":"10"},"uris":["http://www.mendeley.com/documents/?uuid=b81b79db-2d12-4f9e-94d4-e6111354b6ae"]}],"mendeley":{"formattedCitation":"(Rajendran et al., 2024)","plainTextFormattedCitation":"(Rajendran et al., 2024)","previouslyFormattedCitation":"(Rajendran et al., 2024)"},"properties":{"noteIndex":0},"schema":"https://github.com/citation-style-language/schema/raw/master/csl-citation.json"}</w:instrText>
      </w:r>
      <w:r w:rsidR="00DA6C98" w:rsidRPr="00DA6C98">
        <w:rPr>
          <w:rFonts w:ascii="Times New Roman" w:hAnsi="Times New Roman" w:cs="Times New Roman"/>
        </w:rPr>
        <w:fldChar w:fldCharType="separate"/>
      </w:r>
      <w:r w:rsidR="00DA6C98" w:rsidRPr="00DA6C98">
        <w:rPr>
          <w:rFonts w:ascii="Times New Roman" w:hAnsi="Times New Roman" w:cs="Times New Roman"/>
          <w:noProof/>
        </w:rPr>
        <w:t>(Rajendran et al., 2024)</w:t>
      </w:r>
      <w:r w:rsidR="00DA6C98" w:rsidRPr="00DA6C98">
        <w:rPr>
          <w:rFonts w:ascii="Times New Roman" w:hAnsi="Times New Roman" w:cs="Times New Roman"/>
        </w:rPr>
        <w:fldChar w:fldCharType="end"/>
      </w:r>
      <w:r w:rsidR="00DA6C98" w:rsidRPr="00DA6C98">
        <w:rPr>
          <w:rFonts w:ascii="Times New Roman" w:hAnsi="Times New Roman" w:cs="Times New Roman"/>
        </w:rPr>
        <w:t>;</w:t>
      </w:r>
      <w:r w:rsidR="00DA6C98" w:rsidRPr="00DA6C98">
        <w:rPr>
          <w:rFonts w:ascii="Times New Roman" w:hAnsi="Times New Roman" w:cs="Times New Roman"/>
        </w:rPr>
        <w:fldChar w:fldCharType="begin" w:fldLock="1"/>
      </w:r>
      <w:r w:rsidR="00DA6C98" w:rsidRPr="00DA6C98">
        <w:rPr>
          <w:rFonts w:ascii="Times New Roman" w:hAnsi="Times New Roman" w:cs="Times New Roman"/>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00DA6C98" w:rsidRPr="00DA6C98">
        <w:rPr>
          <w:rFonts w:ascii="Times New Roman" w:hAnsi="Times New Roman" w:cs="Times New Roman"/>
        </w:rPr>
        <w:fldChar w:fldCharType="separate"/>
      </w:r>
      <w:r w:rsidR="00DA6C98" w:rsidRPr="00DA6C98">
        <w:rPr>
          <w:rFonts w:ascii="Times New Roman" w:hAnsi="Times New Roman" w:cs="Times New Roman"/>
          <w:noProof/>
        </w:rPr>
        <w:t>(Abdelhamid et al., 2025)</w:t>
      </w:r>
      <w:r w:rsidR="00DA6C98" w:rsidRPr="00DA6C98">
        <w:rPr>
          <w:rFonts w:ascii="Times New Roman" w:hAnsi="Times New Roman" w:cs="Times New Roman"/>
        </w:rPr>
        <w:fldChar w:fldCharType="end"/>
      </w:r>
      <w:r w:rsidR="00DA6C98" w:rsidRPr="00DA6C98">
        <w:rPr>
          <w:rFonts w:ascii="Times New Roman" w:hAnsi="Times New Roman" w:cs="Times New Roman"/>
        </w:rPr>
        <w:t>.</w:t>
      </w:r>
    </w:p>
    <w:p w14:paraId="06727CE3" w14:textId="77777777" w:rsidR="00E83479" w:rsidRPr="00DA6C98" w:rsidRDefault="00E83479" w:rsidP="00DA6C98">
      <w:pPr>
        <w:spacing w:line="360" w:lineRule="auto"/>
        <w:ind w:left="360"/>
        <w:jc w:val="both"/>
        <w:rPr>
          <w:rFonts w:ascii="Times New Roman" w:hAnsi="Times New Roman" w:cs="Times New Roman"/>
        </w:rPr>
      </w:pPr>
    </w:p>
    <w:p w14:paraId="0380A933" w14:textId="2DC67E4C" w:rsidR="00E83479" w:rsidRPr="00DA6C98" w:rsidRDefault="00E83479"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Challenges and limitations</w:t>
      </w:r>
    </w:p>
    <w:p w14:paraId="7291C0E0" w14:textId="3AE1B920" w:rsidR="00A85BD0" w:rsidRPr="00DA6C98" w:rsidRDefault="006732A7" w:rsidP="00FD3B7B">
      <w:pPr>
        <w:pStyle w:val="mb-3"/>
        <w:shd w:val="clear" w:color="auto" w:fill="FAFAFA"/>
        <w:spacing w:before="0" w:beforeAutospacing="0" w:after="180" w:afterAutospacing="0" w:line="360" w:lineRule="auto"/>
        <w:jc w:val="both"/>
      </w:pPr>
      <w:r w:rsidRPr="006732A7">
        <w:t xml:space="preserve">Regardless of the encouraging developments, there are still a number of issues to overcome in the creation and the extensive implementation of AI-optimized, organic, and microbial formulations of nutrients to be used in hydroponics. The dependability and calibration of sensor technologies is also one of the challenges. Precise pH, EC and single ion concentration sensors, and environmental measurements and indicators should be supported and regularly tested to </w:t>
      </w:r>
      <w:r w:rsidRPr="006732A7">
        <w:lastRenderedPageBreak/>
        <w:t>ensure they can feed the AI algorithms with correct input. Any noise or error in readings of sensors will result in inappropriate dosing of nutrients and may also jeopardize plant health.</w:t>
      </w:r>
      <w:r w:rsidR="00A85BD0" w:rsidRPr="00DA6C98">
        <w:t> </w:t>
      </w:r>
      <w:r w:rsidR="00A85BD0" w:rsidRPr="00DA6C98">
        <w:fldChar w:fldCharType="begin" w:fldLock="1"/>
      </w:r>
      <w:r w:rsidR="00A85BD0" w:rsidRPr="00DA6C98">
        <w:instrText>ADDIN CSL_CITATION {"citationItems":[{"id":"ITEM-1","itemData":{"DOI":"10.20895/infotel.v16i3.1190","ISSN":"2085-3688","abstract":"This paper proposes a smart hydroponic system that operates automatically using a fuzzy logic algorithm, integrating IoT functionalities to support smart agriculture. The system allows for remote monitoring and control via the internet, providing real-time data on water levels, pH levels, temperature, and nutrient solution temperature. Precise dosing and temperature control are critical for optimal plant growth, and the system schedules temperature measurements to ensure stability. Unstable temperature can affect pH levels, thereby impacting nutrient absorption. The proposed system employs sensors to continuously monitor the electrical conductivity (EC) and pH levels of the nutrient solution. Fuzzy control is utilized to regulate the nutrient solution pump, automatically adjusting EC and pH levels to promote optimal plant growth. This approach reduces the time burden on producers and provides more precise control over the nutrient solution, resulting in improved growth outcomes. The main contributions of this work are as follows: the development and implementation of an AI-based system integrating a controller, IoT environment, fuzzy logic algorithm, and NFT (nutrient film technology) hydroponics; the creation of a user-friendly interface for farmers through the Smart-Hydroponic application, enabling hybrid monitoring and control of hydroponic farms;  the establishment of an IoT-based cloud environment for sensor data monitoring; the implementation of a smart hydroponic system for nutrient sensing, monitoring, and control; and  a comparative analysis between smart and conventional hydroponics based on morphological results.","author":[{"dropping-particle":"","family":"Putra","given":"Septafiansyah Dwi","non-dropping-particle":"","parse-names":false,"suffix":""},{"dropping-particle":"","family":"Heriansyah","given":"Heriansyah","non-dropping-particle":"","parse-names":false,"suffix":""},{"dropping-particle":"","family":"Cahyadi","given":"Eko Fajar","non-dropping-particle":"","parse-names":false,"suffix":""},{"dropping-particle":"","family":"Anggriani","given":"Kurnia","non-dropping-particle":"","parse-names":false,"suffix":""},{"dropping-particle":"","family":"Imron S Jaya","given":"Moh Haris","non-dropping-particle":"","parse-names":false,"suffix":""}],"container-title":"Jurnal Infotel","id":"ITEM-1","issue":"3","issued":{"date-parts":[["2024"]]},"page":"474-486","title":"Development of Smart Hydroponics System using AI-based Sensing","type":"article-journal","volume":"16"},"uris":["http://www.mendeley.com/documents/?uuid=c0b07689-b115-4cc7-9410-9da77b8c5441"]}],"mendeley":{"formattedCitation":"(Putra et al., 2024)","plainTextFormattedCitation":"(Putra et al., 2024)","previouslyFormattedCitation":"(Putra et al., 2024)"},"properties":{"noteIndex":0},"schema":"https://github.com/citation-style-language/schema/raw/master/csl-citation.json"}</w:instrText>
      </w:r>
      <w:r w:rsidR="00A85BD0" w:rsidRPr="00DA6C98">
        <w:fldChar w:fldCharType="separate"/>
      </w:r>
      <w:r w:rsidR="00A85BD0" w:rsidRPr="00DA6C98">
        <w:rPr>
          <w:noProof/>
        </w:rPr>
        <w:t>(Putra et al., 2024)</w:t>
      </w:r>
      <w:r w:rsidR="00A85BD0" w:rsidRPr="00DA6C98">
        <w:fldChar w:fldCharType="end"/>
      </w:r>
      <w:r w:rsidR="00A85BD0" w:rsidRPr="00DA6C98">
        <w:t>;</w:t>
      </w:r>
      <w:r w:rsidR="00DA6C98" w:rsidRPr="00DA6C98">
        <w:fldChar w:fldCharType="begin" w:fldLock="1"/>
      </w:r>
      <w:r w:rsidR="00DA6C98" w:rsidRPr="00DA6C98">
        <w:instrText>ADDIN CSL_CITATION {"citationItems":[{"id":"ITEM-1","itemData":{"DOI":"https://doi.org/10.1016/j.scienta.2023.112604","ISSN":"0304-4238","abstract":"This review paper presents a comprehensive evaluation of current studies using organic nutrient sources in hydroponic solution culture. With growing market demand for organic products related to an emphasis on sustainability and environmental consciousness, there is a rising interest in this approach. The paper focuses on three key aspects: (1) offering an overview of the current status of organic hydroponics and organic certification in various countries; (2) defining different organic nutrient sources used in hydroponic systems, which encompass a wide range of materials derived from animals, plants, and algae, and comparing their impact on crop growth to conventional fertilization; and (3) examining challenges in nutrient solution management for organic hydroponics. This review highlights that leafy greens and tomatoes are the focal crops in most studies where various organic fertilizer sources have been evaluated. Additionally, the nutrient film technique and deep water culture are the predominant hydroponic systems utilized. With regard to nutrient solution management, the review underscores the differences in managing electrical conductivity, pH, dissolved oxygen, and microorganisms between organic and conventional solution culture systems. By offering these insights into organic hydroponics, this review aims to foster progress and promote the development of efficient and sustainable organic hydroponic practices.","author":[{"dropping-particle":"","family":"Park","given":"Yuijn","non-dropping-particle":"","parse-names":false,"suffix":""},{"dropping-particle":"","family":"Williams","given":"Kimberly A","non-dropping-particle":"","parse-names":false,"suffix":""}],"container-title":"Scientia Horticulturae","id":"ITEM-1","issued":{"date-parts":[["2024"]]},"page":"112604","title":"Organic hydroponics: A review","type":"article-journal","volume":"324"},"uris":["http://www.mendeley.com/documents/?uuid=be0a5b67-cbac-4639-bfb4-0867e58c80a1"]}],"mendeley":{"formattedCitation":"(Park &amp; Williams, 2024)","plainTextFormattedCitation":"(Park &amp; Williams, 2024)","previouslyFormattedCitation":"(Park &amp; Williams, 2024)"},"properties":{"noteIndex":0},"schema":"https://github.com/citation-style-language/schema/raw/master/csl-citation.json"}</w:instrText>
      </w:r>
      <w:r w:rsidR="00DA6C98" w:rsidRPr="00DA6C98">
        <w:fldChar w:fldCharType="separate"/>
      </w:r>
      <w:r w:rsidR="00DA6C98" w:rsidRPr="00DA6C98">
        <w:rPr>
          <w:noProof/>
        </w:rPr>
        <w:t>(Park &amp; Williams, 2024)</w:t>
      </w:r>
      <w:r w:rsidR="00DA6C98" w:rsidRPr="00DA6C98">
        <w:fldChar w:fldCharType="end"/>
      </w:r>
      <w:r w:rsidR="00DA6C98" w:rsidRPr="00DA6C98">
        <w:t xml:space="preserve">. </w:t>
      </w:r>
    </w:p>
    <w:p w14:paraId="49B6B307" w14:textId="047EC706" w:rsidR="00A85BD0" w:rsidRPr="00DA6C98" w:rsidRDefault="007C4148" w:rsidP="00FD3B7B">
      <w:pPr>
        <w:pStyle w:val="mb-3"/>
        <w:shd w:val="clear" w:color="auto" w:fill="FAFAFA"/>
        <w:spacing w:before="0" w:beforeAutospacing="0" w:after="180" w:afterAutospacing="0" w:line="360" w:lineRule="auto"/>
        <w:jc w:val="both"/>
      </w:pPr>
      <w:r w:rsidRPr="007C4148">
        <w:t>There is also a lack of data and reproducibility of models. Neural networks and a variety of ensemble models are all AI models that demand considerable amounts of data to be trained on. In most hydroponic systems and in particular the small or new ones, the historical sensor data may be inadequate to achieve the full potential of advanced ML algorithms. These shortcomings might have to be overcome with the creation of universalized data gathering codes or the implementation of artificial data enrichment schemes.</w:t>
      </w:r>
      <w:r w:rsidR="00A85BD0" w:rsidRPr="00DA6C98">
        <w:t> </w:t>
      </w:r>
      <w:r w:rsidR="008F4921" w:rsidRPr="00DA6C98">
        <w:fldChar w:fldCharType="begin" w:fldLock="1"/>
      </w:r>
      <w:r w:rsidR="008F4921" w:rsidRPr="00DA6C98">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008F4921" w:rsidRPr="00DA6C98">
        <w:fldChar w:fldCharType="separate"/>
      </w:r>
      <w:r w:rsidR="008F4921" w:rsidRPr="00DA6C98">
        <w:rPr>
          <w:noProof/>
        </w:rPr>
        <w:t>(Dennison et al., 2025)</w:t>
      </w:r>
      <w:r w:rsidR="008F4921" w:rsidRPr="00DA6C98">
        <w:fldChar w:fldCharType="end"/>
      </w:r>
      <w:r w:rsidR="008F4921" w:rsidRPr="00DA6C98">
        <w:t>.</w:t>
      </w:r>
    </w:p>
    <w:p w14:paraId="6910EE31" w14:textId="4119E997" w:rsidR="008F4921" w:rsidRPr="00DA6C98" w:rsidRDefault="002A26F3" w:rsidP="00FD3B7B">
      <w:pPr>
        <w:pStyle w:val="mb-3"/>
        <w:shd w:val="clear" w:color="auto" w:fill="FAFAFA"/>
        <w:spacing w:before="0" w:beforeAutospacing="0" w:after="180" w:afterAutospacing="0" w:line="360" w:lineRule="auto"/>
        <w:jc w:val="both"/>
      </w:pPr>
      <w:r w:rsidRPr="002A26F3">
        <w:t xml:space="preserve">The other difficulty is in the natural variability of the origin of organic nutrients, the inorganic molecules, and microbial inoculants. Formulations of organic nutrients can be vastly different in composition as well as the rate of mineralization of nutrients is subject to numerous factors such as temperature, pH, microbial activity, etc. In addition, microbial populations might change throughout time, and they may not necessarily form strong communities within the sterile conditions that are found in many hydroponic systems. All of the mentioned aspects require the creation of powerful AI models that can withstand non-linear, time-varying data and respond to unforeseen variations. </w:t>
      </w:r>
      <w:r w:rsidR="008F4921" w:rsidRPr="00DA6C98">
        <w:fldChar w:fldCharType="begin" w:fldLock="1"/>
      </w:r>
      <w:r w:rsidR="008F4921" w:rsidRPr="00DA6C98">
        <w:instrText>ADDIN CSL_CITATION {"citationItems":[{"id":"ITEM-1","itemData":{"abstract":"Resources such as fertile soil and clean water are already limited in many parts of the world. Additionally, the conventional use of arable land is becoming increasingly difficult, which is further exacerbated by climate change. Soilless cultivation systems do not only offer the opportunity to save water and cultivate without soil but also the chance to open up urban areas such as residential rooftops for food production in close proximity to consumers. In this review, applications of soilless farming systems are identified and compared to conventional agriculture. Furthermore, aspects of economic viability, sustainability and current developments are investigated. An insight into the most important soilless farming systems—hydroponics, aquaponics and vertical farming—is provided. The systems are then differentiated from each other and, as far as possible, evaluated in terms of their environmental impact and compared with conventional cultivation methods. Comparing published data analyzing the yield of hydroponic cultivation systems in comparison to soil-based cultivation methods enables a basic overview of the profitability of both methods and, thus, lays the foundation for future research and practical applications. The most important inert substrates for hydroponic applications are presented, and their degree of sustainability is compared in order to emphasize environmental impacts and affect substrate selections of future projects. Based on an assessment of the most important soilless cultivation systems, the challenges and developments of current techniques are highlighted and discussed.","author":[{"dropping-particle":"","family":"Fussy","given":"Andre","non-dropping-particle":"","parse-names":false,"suffix":""},{"dropping-particle":"","family":"Papenbrock","given":"Jutta","non-dropping-particle":"","parse-names":false,"suffix":""}],"container-title":"Plants","id":"ITEM-1","issue":"1153","issued":{"date-parts":[["2022"]]},"page":"1-32","title":"Techniques — Chances , challenges and the neglected question of sustainability","type":"article-journal","volume":"11"},"uris":["http://www.mendeley.com/documents/?uuid=745e1c17-c3b0-4959-a9fb-3dbb50d6a302"]}],"mendeley":{"formattedCitation":"(Fussy &amp; Papenbrock, 2022)","plainTextFormattedCitation":"(Fussy &amp; Papenbrock, 2022)","previouslyFormattedCitation":"(Fussy &amp; Papenbrock, 2022)"},"properties":{"noteIndex":0},"schema":"https://github.com/citation-style-language/schema/raw/master/csl-citation.json"}</w:instrText>
      </w:r>
      <w:r w:rsidR="008F4921" w:rsidRPr="00DA6C98">
        <w:fldChar w:fldCharType="separate"/>
      </w:r>
      <w:r w:rsidR="008F4921" w:rsidRPr="00DA6C98">
        <w:rPr>
          <w:noProof/>
        </w:rPr>
        <w:t>(Fussy &amp; Papenbrock, 2022)</w:t>
      </w:r>
      <w:r w:rsidR="008F4921" w:rsidRPr="00DA6C98">
        <w:fldChar w:fldCharType="end"/>
      </w:r>
      <w:r w:rsidR="008F4921" w:rsidRPr="00DA6C98">
        <w:t>;</w:t>
      </w:r>
      <w:r w:rsidR="008F4921" w:rsidRPr="00DA6C98">
        <w:fldChar w:fldCharType="begin" w:fldLock="1"/>
      </w:r>
      <w:r w:rsidR="008F4921" w:rsidRPr="00DA6C98">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008F4921" w:rsidRPr="00DA6C98">
        <w:fldChar w:fldCharType="separate"/>
      </w:r>
      <w:r w:rsidR="008F4921" w:rsidRPr="00DA6C98">
        <w:rPr>
          <w:noProof/>
        </w:rPr>
        <w:t>(Dhawi, 2023)</w:t>
      </w:r>
      <w:r w:rsidR="008F4921" w:rsidRPr="00DA6C98">
        <w:fldChar w:fldCharType="end"/>
      </w:r>
      <w:r w:rsidR="008F4921" w:rsidRPr="00DA6C98">
        <w:t>.</w:t>
      </w:r>
    </w:p>
    <w:p w14:paraId="6C96C36C" w14:textId="000DC333" w:rsidR="00A85BD0" w:rsidRPr="00DA6C98" w:rsidRDefault="00C35A9E" w:rsidP="00FD3B7B">
      <w:pPr>
        <w:pStyle w:val="mb-3"/>
        <w:shd w:val="clear" w:color="auto" w:fill="FAFAFA"/>
        <w:spacing w:before="0" w:beforeAutospacing="0" w:after="180" w:afterAutospacing="0" w:line="360" w:lineRule="auto"/>
        <w:jc w:val="both"/>
      </w:pPr>
      <w:r w:rsidRPr="00C35A9E">
        <w:t>The first is the energy consumption and initial capital investment of AI-enabled infrastructure, which are also another hindrance to adoption. The upfront costs related to complex sensor networks, data processing hardware, and cloud-based services are still very high when advanced AI and IoT-based systems have important long-term cost-saving and sustainability. The future studies can be done on creating cost-efficient, low power divisions of sensors and edge computing systems that do not entail the reliance on costly centralized processing devices.</w:t>
      </w:r>
      <w:r w:rsidR="00A85BD0" w:rsidRPr="00DA6C98">
        <w:t> </w:t>
      </w:r>
      <w:r w:rsidR="008F4921" w:rsidRPr="00DA6C98">
        <w:fldChar w:fldCharType="begin" w:fldLock="1"/>
      </w:r>
      <w:r w:rsidR="00F16216" w:rsidRPr="00DA6C98">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008F4921" w:rsidRPr="00DA6C98">
        <w:fldChar w:fldCharType="separate"/>
      </w:r>
      <w:r w:rsidR="008F4921" w:rsidRPr="00DA6C98">
        <w:rPr>
          <w:noProof/>
        </w:rPr>
        <w:t>(Dennison et al., 2025)</w:t>
      </w:r>
      <w:r w:rsidR="008F4921" w:rsidRPr="00DA6C98">
        <w:fldChar w:fldCharType="end"/>
      </w:r>
      <w:r w:rsidR="008F4921" w:rsidRPr="00DA6C98">
        <w:t>.</w:t>
      </w:r>
    </w:p>
    <w:p w14:paraId="0926F74E" w14:textId="77777777" w:rsidR="001D2A32" w:rsidRPr="00DA6C98" w:rsidRDefault="001D2A32" w:rsidP="00DA6C98">
      <w:pPr>
        <w:spacing w:line="360" w:lineRule="auto"/>
        <w:jc w:val="both"/>
        <w:rPr>
          <w:rFonts w:ascii="Times New Roman" w:hAnsi="Times New Roman" w:cs="Times New Roman"/>
        </w:rPr>
      </w:pPr>
    </w:p>
    <w:p w14:paraId="3F2F93A4" w14:textId="124E8305" w:rsidR="008F4921" w:rsidRPr="00DA6C98" w:rsidRDefault="00F1621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 Future Prospects</w:t>
      </w:r>
    </w:p>
    <w:p w14:paraId="3156D598" w14:textId="53BFDFCD" w:rsidR="00F16216" w:rsidRPr="00DA6C98" w:rsidRDefault="00977C79" w:rsidP="00FD3B7B">
      <w:pPr>
        <w:spacing w:line="360" w:lineRule="auto"/>
        <w:jc w:val="both"/>
        <w:rPr>
          <w:rFonts w:ascii="Times New Roman" w:hAnsi="Times New Roman" w:cs="Times New Roman"/>
        </w:rPr>
      </w:pPr>
      <w:r w:rsidRPr="00977C79">
        <w:rPr>
          <w:rFonts w:ascii="Times New Roman" w:hAnsi="Times New Roman" w:cs="Times New Roman"/>
        </w:rPr>
        <w:t xml:space="preserve">Some trends can bring the AI-integration into organic nutrition sources and microorganism-formulations hydroponics in the future. Prediction and dosing of nutrient will be enhanced as the deep learning and the reinforcement learning applied to develop AI algorithms will result in the enhanced accuracy. Moreover, the progress in ion-selective electrode to detect the </w:t>
      </w:r>
      <w:r w:rsidRPr="00977C79">
        <w:rPr>
          <w:rFonts w:ascii="Times New Roman" w:hAnsi="Times New Roman" w:cs="Times New Roman"/>
        </w:rPr>
        <w:lastRenderedPageBreak/>
        <w:t xml:space="preserve">individual nutrient ions and improved optical sensors to detect the nutrient quickly will enhance the feedback mechanism that is needed to achieve optimum nutrition.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(Reza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2DB42FA9" w14:textId="4FAEE389" w:rsidR="00F16216" w:rsidRPr="00DA6C98" w:rsidRDefault="0034169F" w:rsidP="00FD3B7B">
      <w:pPr>
        <w:spacing w:line="360" w:lineRule="auto"/>
        <w:jc w:val="both"/>
        <w:rPr>
          <w:rFonts w:ascii="Times New Roman" w:hAnsi="Times New Roman" w:cs="Times New Roman"/>
        </w:rPr>
      </w:pPr>
      <w:r w:rsidRPr="0034169F">
        <w:rPr>
          <w:rFonts w:ascii="Times New Roman" w:hAnsi="Times New Roman" w:cs="Times New Roman"/>
        </w:rPr>
        <w:t xml:space="preserve">There is also an increasing interest in digital twin technology that can develop virtual models of hydroponic systems to recreate various strategies that can be used to manage nutrients before these processes are applied into actual systems. These simulations could be useful in streamlining supply chain management, anticipating a system failure, and coming up with contingencies in the event of an unexpected nutrient imbalance or a change of the microbial composition.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(Reza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(Gourshettiwar &amp; Reddy, 2024)</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74952FBF" w14:textId="386D798E" w:rsidR="00F16216" w:rsidRPr="00DA6C98" w:rsidRDefault="004E709B" w:rsidP="00FD3B7B">
      <w:pPr>
        <w:spacing w:line="360" w:lineRule="auto"/>
        <w:jc w:val="both"/>
        <w:rPr>
          <w:rFonts w:ascii="Times New Roman" w:hAnsi="Times New Roman" w:cs="Times New Roman"/>
        </w:rPr>
      </w:pPr>
      <w:r w:rsidRPr="004E709B">
        <w:rPr>
          <w:rFonts w:ascii="Times New Roman" w:hAnsi="Times New Roman" w:cs="Times New Roman"/>
        </w:rPr>
        <w:t>Last but not least, further development of this area requires interdisciplinary cooperation between agronomists, Computer scientists, microbiologists and engineers. With its data, model refinement, and joint development of integrated nutrient management solutions, the agricultural community can speed up the commercialization of these technologies out of the research laboratories. The key to addressing the existing challenges and making AI-optimized, organic, and microbial nutrient formulations a usual practice in sustainable hydroponic manufacturing will come across collaborative efforts.</w:t>
      </w:r>
      <w:r w:rsidR="00F16216" w:rsidRPr="00DA6C98">
        <w:rPr>
          <w:rFonts w:ascii="Times New Roman" w:hAnsi="Times New Roman" w:cs="Times New Roman"/>
        </w:rPr>
        <w:t> </w:t>
      </w:r>
      <w:r w:rsidR="00F16216" w:rsidRPr="00DA6C98">
        <w:rPr>
          <w:rFonts w:ascii="Times New Roman" w:hAnsi="Times New Roman" w:cs="Times New Roman"/>
        </w:rPr>
        <w:fldChar w:fldCharType="begin" w:fldLock="1"/>
      </w:r>
      <w:r w:rsidR="00F16216" w:rsidRPr="00DA6C98">
        <w:rPr>
          <w:rFonts w:ascii="Times New Roman" w:hAnsi="Times New Roman" w:cs="Times New Roman"/>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(Gourshettiwar &amp; Reddy, 2024)</w:t>
      </w:r>
      <w:r w:rsidR="00F16216" w:rsidRPr="00DA6C98">
        <w:rPr>
          <w:rFonts w:ascii="Times New Roman" w:hAnsi="Times New Roman" w:cs="Times New Roman"/>
        </w:rPr>
        <w:fldChar w:fldCharType="end"/>
      </w:r>
      <w:r w:rsidR="00F16216" w:rsidRPr="00DA6C98">
        <w:rPr>
          <w:rFonts w:ascii="Times New Roman" w:hAnsi="Times New Roman" w:cs="Times New Roman"/>
        </w:rPr>
        <w:t>;</w:t>
      </w:r>
      <w:r w:rsidR="00F16216" w:rsidRPr="00DA6C98">
        <w:rPr>
          <w:rFonts w:ascii="Times New Roman" w:hAnsi="Times New Roman" w:cs="Times New Roman"/>
        </w:rPr>
        <w:fldChar w:fldCharType="begin" w:fldLock="1"/>
      </w:r>
      <w:r w:rsidR="00E128D7" w:rsidRPr="00DA6C98">
        <w:rPr>
          <w:rFonts w:ascii="Times New Roman" w:hAnsi="Times New Roman" w:cs="Times New Roman"/>
        </w:rPr>
        <w:instrText>ADDIN CSL_CITATION {"citationItems":[{"id":"ITEM-1","itemData":{"DOI":"10.1051/shsconf/202521601058","ISBN":"2025042701058","abstract":" In the quest to advance vertical farming efficiency, optimizing hydroponic nutrient management systems is essential for achieving high productivity and sustainability. This study investigates how to add advanced technologies and protocols to improve nutrient delivery as well as control environmental parameters in hydroponic systems. A Model Predictive Control (MPC) focused on the use of mathematical models to predict future states and change the nutrient solution dynamically is a core focus. The use of this approach guarantees precision in the management, and it is adjusted according to the changing demands of plants while reducing nutrient waste. Communication efficiency is addressed by using MQTT (Message Queuing Telemetry Transport) and CoAP (Constrained Application Protocol). MQTT facilitates real-time data transmission with its lightweight, publish-subscribe model, enabling effective interaction between sensors, controllers, and user interfaces. CoAP is a reliable and efficient communication by which, in resource-constrained environments, the data exchange can take place in the context of Internet of Things (IoT) applications. The study includes the use of the Bosch BME280 sensor to monitor the temperature, humidity, and pressure to maintain optimal growing conditions. Simultaneously, the TDC-GP30 sensor is used to measure carbon dioxide (C02) levels, allowing plant respiration and the total system performance to be determined. This helps to form a critical part of a comprehensive environmental monitoring system to be able to respond quickly and more easily support plant health. These technologies are integrated, whereby the aim is to achieve multiple key objectives, such as optimizing nutrient delivery for improved yield, enhancing environmental control for optimal growing conditions, and encouraging sustainable growing practices. The study shows that it is possible to hugely enhance the efficiency and productivity of vertical farming systems by utilizing advanced control algorithms and exact monitoring of vertical channels. The implementation of MPC reduced the nutrient waste by 15% and crop yields by 20%. This increased data transmission efficiency by 25 percent using the MQTT and CoAP protocols, and kept a Bosch BME280 sensor at optimal growing conditions, at a temperature accuracy of ±0.5°C and humidity accuracy of ±3%. In terms of accuracy, the TDC-GP30 sensor determined C02 levels with ±5ppm. These advancements overall were equivalent to a …","author":[{"dropping-particle":"","family":"Almusawi","given":"Muntather","non-dropping-particle":"","parse-names":false,"suffix":""},{"dropping-particle":"","family":"Hussein","given":"Abbas Hameed Abdul","non-dropping-particle":"","parse-names":false,"suffix":""},{"dropping-particle":"","family":"Raju","given":"V. Siva Prasada","non-dropping-particle":"","parse-names":false,"suffix":""}],"container-title":"SHS Web of Conferences","id":"ITEM-1","issued":{"date-parts":[["2025"]]},"page":"01058","title":"Advanced Hydroponic Nutrient Management Systems for Vertical Farming Efficiency with IoT and Model Predictive Control to Enhance Sustainable Crop Growth","type":"article-journal","volume":"216"},"uris":["http://www.mendeley.com/documents/?uuid=6acb40c5-f21d-472b-9b95-a16b4cd3dc13"]}],"mendeley":{"formattedCitation":"(Almusawi et al., 2025)","plainTextFormattedCitation":"(Almusawi et al., 2025)","previouslyFormattedCitation":"(Almusawi et al., 2025)"},"properties":{"noteIndex":0},"schema":"https://github.com/citation-style-language/schema/raw/master/csl-citation.json"}</w:instrText>
      </w:r>
      <w:r w:rsidR="00F16216" w:rsidRPr="00DA6C98">
        <w:rPr>
          <w:rFonts w:ascii="Times New Roman" w:hAnsi="Times New Roman" w:cs="Times New Roman"/>
        </w:rPr>
        <w:fldChar w:fldCharType="separate"/>
      </w:r>
      <w:r w:rsidR="00F16216" w:rsidRPr="00DA6C98">
        <w:rPr>
          <w:rFonts w:ascii="Times New Roman" w:hAnsi="Times New Roman" w:cs="Times New Roman"/>
          <w:noProof/>
        </w:rPr>
        <w:t>(Almusawi et al., 2025)</w:t>
      </w:r>
      <w:r w:rsidR="00F16216" w:rsidRPr="00DA6C98">
        <w:rPr>
          <w:rFonts w:ascii="Times New Roman" w:hAnsi="Times New Roman" w:cs="Times New Roman"/>
        </w:rPr>
        <w:fldChar w:fldCharType="end"/>
      </w:r>
      <w:r w:rsidR="00F16216" w:rsidRPr="00DA6C98">
        <w:rPr>
          <w:rFonts w:ascii="Times New Roman" w:hAnsi="Times New Roman" w:cs="Times New Roman"/>
        </w:rPr>
        <w:t>.</w:t>
      </w:r>
    </w:p>
    <w:p w14:paraId="788169B3" w14:textId="77777777" w:rsidR="00F16216" w:rsidRPr="00DA6C98" w:rsidRDefault="00F16216" w:rsidP="00DA6C98">
      <w:pPr>
        <w:spacing w:line="360" w:lineRule="auto"/>
        <w:ind w:left="360"/>
        <w:jc w:val="both"/>
        <w:rPr>
          <w:rFonts w:ascii="Times New Roman" w:hAnsi="Times New Roman" w:cs="Times New Roman"/>
        </w:rPr>
      </w:pPr>
    </w:p>
    <w:p w14:paraId="5FCF0EE3" w14:textId="60BAED76" w:rsidR="00F16216" w:rsidRPr="00DA6C98" w:rsidRDefault="00F16216" w:rsidP="00DA6C98">
      <w:pPr>
        <w:pStyle w:val="ListParagraph"/>
        <w:numPr>
          <w:ilvl w:val="0"/>
          <w:numId w:val="2"/>
        </w:numPr>
        <w:spacing w:line="360" w:lineRule="auto"/>
        <w:jc w:val="both"/>
        <w:rPr>
          <w:rFonts w:ascii="Times New Roman" w:hAnsi="Times New Roman" w:cs="Times New Roman"/>
          <w:b/>
          <w:bCs/>
        </w:rPr>
      </w:pPr>
      <w:r w:rsidRPr="00DA6C98">
        <w:rPr>
          <w:rFonts w:ascii="Times New Roman" w:hAnsi="Times New Roman" w:cs="Times New Roman"/>
          <w:b/>
          <w:bCs/>
        </w:rPr>
        <w:t>Conclusion</w:t>
      </w:r>
    </w:p>
    <w:p w14:paraId="2D77227E" w14:textId="0B3FB49C" w:rsidR="00E128D7" w:rsidRPr="00FD3B7B" w:rsidRDefault="00B26CC2"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D3B7B">
        <w:rPr>
          <w:rFonts w:ascii="Times New Roman" w:eastAsia="Times New Roman" w:hAnsi="Times New Roman" w:cs="Times New Roman"/>
          <w:kern w:val="0"/>
          <w:lang w:eastAsia="en-IN"/>
          <w14:ligatures w14:val="none"/>
        </w:rPr>
        <w:t xml:space="preserve">The combination of artificial intelligence, organic nutrient formulations, and plant growth-promoting microorganisms (PGPM) is a new milestone of a sustainable approach towards hydroponic agriculture. This can be achieved through AI-assisted nutrient management systems, enabled by IoT-based sensor networks and predictive analytics to make real-time growth adjustments that improve the precision, lessen yield input, and increase yield stability.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{"citationItems":[{"id":"ITEM-1","itemData":{"DOI":"10.1038/s41598-024-74376-7","ISBN":"4159802474376","ISSN":"20452322","PMID":"39420136","abstract":"Recent advancements in sustainable agriculture have spurred interest in hydroponics as an alternative to conventional farming methods. However, the lack of data-driven approaches in hydroponic growth presents a significant challenge. This study addresses this gap by varying nitrogen, magnesium, and potassium concentrations in hydroponically grown soybeans and conducting essential nutrient profiling across the growth cycle. Statistical techniques like Linear Interpolation are employed to interpolate nutrient data and a feature selection pipeline consisting of chi-squared testing methods, Linear Regression with Recursive Feature Elimination (RFE) and ExtraTreesClassifier have been used to select important nutrients for predicting water uptake using non-parametric regression methods. For different nutrient growth media, i.e. for soybeans grown in Hoagland + Nitrogen and Hoagland + Magnesium media, the Random Forest regressor outperformed other methods in predicting water uptake, achieving testing Mean Squared Error (MSE) scores of 24.55 (R2 score 0.63) and 8.23 (R2 score 0.81), respectively. Similarly, for soybeans grown in Hoagland + Potassium media, Support Vector Regression demonstrated superior performance with a testing MSE of 4.37 and R2 score of 0.85. SHapley Additive exPlanations (SHAP) values are examined in each case to elucidate the contributions of individual nutrients to water uptake predictions. This research aims to provide data-driven insights to optimize hydroponic practices for sustainable food production.","author":[{"dropping-particle":"","family":"Dhal","given":"Sambandh Bhusan","non-dropping-particle":"","parse-names":false,"suffix":""},{"dropping-particle":"","family":"Mahanta","given":"Shikhadri","non-dropping-particle":"","parse-names":false,"suffix":""},{"dropping-particle":"","family":"Moore","given":"Janie Mc Clurkin","non-dropping-particle":"","parse-names":false,"suffix":""},{"dropping-particle":"","family":"Kalafatis","given":"Stavros","non-dropping-particle":"","parse-names":false,"suffix":""}],"container-title":"Scientific Reports","id":"ITEM-1","issue":"1","issued":{"date-parts":[["2024"]]},"page":"1-15","title":"Machine learning-based analysis of nutrient and water uptake in hydroponically grown soybeans","type":"article-journal","volume":"14"},"uris":["http://www.mendeley.com/documents/?uuid=d7831225-3ddf-40ed-8d24-0fd3d04b3637"]}],"mendeley":{"formattedCitation":"(Dhal et al., 2024)","plainTextFormattedCitation":"(Dhal et al., 2024)","previouslyFormattedCitation":"(Dhal et al.,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(Dhal et al.,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10.3389/fpls.2024.1367538","ISSN":"1664462X","author":[{"dropping-particle":"","family":"Woźniak","given":"Marcin","non-dropping-particle":"","parse-names":false,"suffix":""},{"dropping-particle":"","family":"Ijaz","given":"Muhammad Fazal","non-dropping-particle":"","parse-names":false,"suffix":""}],"container-title":"Frontiers in Plant Science","id":"ITEM-1","issue":"February","issued":{"date-parts":[["2024"]]},"page":"1-4","title":"Editorial: Recent advances in big data, machine, and deep learning for precision agriculture","type":"article-journal","volume":"15"},"uris":["http://www.mendeley.com/documents/?uuid=aa40ec4a-6cf7-4c56-b06a-71c7c3ffb078"]}],"mendeley":{"formattedCitation":"(Woźniak &amp; Ijaz, 2024)","plainTextFormattedCitation":"(Woźniak &amp; Ijaz, 2024)","previouslyFormattedCitation":"(Woźniak &amp; Ijaz,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(Woźniak &amp; Ijaz,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 xml:space="preserve">. </w:t>
      </w:r>
      <w:r w:rsidR="003C7272" w:rsidRPr="00FD3B7B">
        <w:rPr>
          <w:rFonts w:ascii="Times New Roman" w:eastAsia="Times New Roman" w:hAnsi="Times New Roman" w:cs="Times New Roman"/>
          <w:kern w:val="0"/>
          <w:lang w:eastAsia="en-IN"/>
          <w14:ligatures w14:val="none"/>
        </w:rPr>
        <w:t xml:space="preserve">These systems are able to maintain plant growth and provide enrichment to crop phytochemical, flavour and nutritional value when used together with other organic amendments like seaweed extracts, humic substances and fish emulsions.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{"citationItems":[{"id":"ITEM-1","itemData":{"DOI":"10.48130/tih-2022-0001","ISSN":"2833-4337","abstract":"&lt;p&gt;Organic food continues to increase in popularity worldwide. Similarly, hydroponic production of leafy greens is expanding globally and is an important component of the world's food supply. The purpose of this study was to evaluate the growth and quality of lettuce using six nutrient film technique (NFT) hydroponic systems. There were three treatments: organic fertilizer with or without a microbial inoculant and a conventional inorganic fertilizer as a control. The experiment was repeated over time. Results showed that the plants grown with organic fertilizer with additional microbial inoculant achieved similar shoot fresh and dry weight to those of the control, and dry weight was 17% higher than the organic fertilizer without inoculant. Nitrogen content in the shoot tissue of plants treated with organic fertilizer with inoculant was 10% and 24% greater than the control and the organic fertilizer without inoculant, respectively. However, when the organic fertilizer with inoculant was reused in a second experiment, shoot fresh and dry weight of plants in organic fertilizer with inoculant was lower than those in the control but were still higher compared to the organic fertilizer without inoculant. Additionally, electrical conductivity (EC) and pH of the organic fertilizer solutions fluctuated widely. Interestingly, relative chlorophyll content measured as SPAD and anthocyanin content in the leaf tissue increased in plants treated with organic fertilizer, regardless of inoculant, by 19% and 9%, respectively.&lt;/p&gt;","author":[{"dropping-particle":"","family":"Hooks","given":"Triston","non-dropping-particle":"","parse-names":false,"suffix":""},{"dropping-particle":"","family":"Masabni","given":"Joseph","non-dropping-particle":"","parse-names":false,"suffix":""},{"dropping-particle":"","family":"Sun","given":"Ling","non-dropping-particle":"","parse-names":false,"suffix":""},{"dropping-particle":"","family":"Niu","given":"Genhua","non-dropping-particle":"","parse-names":false,"suffix":""}],"container-title":"Technology in Horticulture","id":"ITEM-1","issue":"1","issued":{"date-parts":[["2022"]]},"page":"1-8","title":"Effects of organic fertilizer with or without a microbial inoculant on the growth and quality of lettuce in an NFT hydroponic system","type":"article-journal","volume":"2"},"uris":["http://www.mendeley.com/documents/?uuid=79d72bbd-f0d7-4e20-a295-6c48d22c4821"]}],"mendeley":{"formattedCitation":"(Hooks et al., 2022)","plainTextFormattedCitation":"(Hooks et al., 2022)","previouslyFormattedCitation":"(Hooks et al., 2022)"},"properties":{"noteIndex":0},"schema":"https://github.com/citation-style-language/schema/raw/master/csl-citation.json"}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(Hooks et al., 2022)</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{"citationItems":[{"id":"ITEM-1","itemData":{"DOI":"10.1016/j.jafr.2024.101035","ISSN":"26661543","abstract":"As the adoption of soilless production systems escalates to meet the rising demand for safe and healthy fresh produce, the growing environmental awareness and consumer's preference for sustainable production systems are stimulating the reduction of synthetic inputs. A greenhouse study using an auto-pot zero-runoff hydroponic system and lettuce (Lactuca sativa L.) as a model vegetable crop was conducted to evaluate the potential of substituting synthetic fertilizer nutrient solutions (NS) with organic-based NS. The use of organic NS resulted in lettuce plants with fewer leaves and a smaller leaf area, plant height, stem diameter, and fresh biomass compared to those grown with inorganic fertilizer. Among the organic NS used, NS B from fish farm waste (159.8 g) and E from plant sources (157.9 g) ensured crop yield performance slightly lower than the inorganic fertilizer NS (175.1 g), but higher than the other humic acid based-organic NS C and D. However, total chlorophyll (0.81 and 0.93 mg/g respectively) and carotene (0.23 and 0.26 mg/g, respectively) levels were higher in organically grown lettuce compared to the control (0.95 0.17 mg/g, respectively). Furthermore, plants grown organically in NS C and D had greater phenolic levels (3.36 and 3.22 g/100 g, respectively) as compared to those nourished with inorganic fertilizer (2.28 g/100g). All organically grown lettuce plants had lower levels of Ca, K, and Mg, and higher P compared to the control. Moreover, all organic NS resulted in lower leaf nitrate levels (ranging from 3.2 to 8.7 mg/kg) compared to the inorganic NS (259.8 mg/kg) based on dry weight. Our findings suggest that organic liquid fertilizers may enable the sustainable production of safe, nutritious, and healthy vegetable crops. However, further study is required to improve and overcome the limitations of such systems.","author":[{"dropping-particle":"","family":"Alneyadi","given":"K. S.S.","non-dropping-particle":"","parse-names":false,"suffix":""},{"dropping-particle":"","family":"Almheiri","given":"M. S.B.","non-dropping-particle":"","parse-names":false,"suffix":""},{"dropping-particle":"","family":"Tzortzakis","given":"N.","non-dropping-particle":"","parse-names":false,"suffix":""},{"dropping-particle":"","family":"Gioia","given":"F.","non-dropping-particle":"Di","parse-names":false,"suffix":""},{"dropping-particle":"","family":"Ahmed","given":"Z. F.R.","non-dropping-particle":"","parse-names":false,"suffix":""}],"container-title":"Journal of Agriculture and Food Research","id":"ITEM-1","issue":"October 2023","issued":{"date-parts":[["2024"]]},"page":"101035","publisher":"Elsevier B.V.","title":"Organic-based nutrient solutions for sustainable vegetable production in a zero-runoff soilless growing system","type":"article-journal","volume":"15"},"uris":["http://www.mendeley.com/documents/?uuid=db1bf0d3-986c-43e3-931e-8f99261dac1d"]}],"mendeley":{"formattedCitation":"(Alneyadi et al., 2024)","plainTextFormattedCitation":"(Alneyadi et al., 2024)","previouslyFormattedCitation":"(Alneyadi et al., 2024)"},"properties":{"noteIndex":0},"schema":"https://github.com/citation-style-language/schema/raw/master/csl-citation.json"}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(Alneyadi et al., 2024)</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 xml:space="preserve">. </w:t>
      </w:r>
      <w:r w:rsidR="00262BB8" w:rsidRPr="00FD3B7B">
        <w:rPr>
          <w:rFonts w:ascii="Times New Roman" w:eastAsia="Times New Roman" w:hAnsi="Times New Roman" w:cs="Times New Roman"/>
          <w:kern w:val="0"/>
          <w:lang w:eastAsia="en-IN"/>
          <w14:ligatures w14:val="none"/>
        </w:rPr>
        <w:t xml:space="preserve">Additionally, not only do the </w:t>
      </w:r>
      <w:proofErr w:type="spellStart"/>
      <w:r w:rsidR="00262BB8" w:rsidRPr="00FD3B7B">
        <w:rPr>
          <w:rFonts w:ascii="Times New Roman" w:eastAsia="Times New Roman" w:hAnsi="Times New Roman" w:cs="Times New Roman"/>
          <w:kern w:val="0"/>
          <w:lang w:eastAsia="en-IN"/>
          <w14:ligatures w14:val="none"/>
        </w:rPr>
        <w:t>Azospirillum</w:t>
      </w:r>
      <w:proofErr w:type="spellEnd"/>
      <w:r w:rsidR="00262BB8" w:rsidRPr="00FD3B7B">
        <w:rPr>
          <w:rFonts w:ascii="Times New Roman" w:eastAsia="Times New Roman" w:hAnsi="Times New Roman" w:cs="Times New Roman"/>
          <w:kern w:val="0"/>
          <w:lang w:eastAsia="en-IN"/>
          <w14:ligatures w14:val="none"/>
        </w:rPr>
        <w:t xml:space="preserve">, Bacillus and arbuscular mycorrhizal fungi support nutrient solubilization, fixation of nitrogen and even tolerance to stress, but also increase the resilience of the system and minimizes the use of synthetic inputs. </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{"citationItems":[{"id":"ITEM-1","itemData":{"DOI":"10.3390/su15075959","ISSN":"20711050","abstract":"Soilless systems, such as hydroponics and aquaponics, are gaining popularity as a sustainable alternative to traditional soil-based agriculture, aiming at maximizing plant productivity while minimizing resource use. Nonetheless, the absence of a soil matrix poses challenges that require precise management of nutrients, effective control of salinity stress, and proactive strategies to master disease management. Plant growth-promoting microorganisms (PGPM) have emerged as a promising solution to overcome these issues. Research demonstrated that Bacillus, Pseudomonas, and Azospirillum are the most extensively studied genera for their effectiveness as growth promoters, inducing changes in root architecture morphology. Furthermore, PGPM inoculation, either alone or in synergy, can reverse the effects of nutrient deficiency and salt stress. The genera Pseudomonas and Trichoderma were recognized for their solid antagonistic traits, which make them highly effective biocontrol agents in hydroponic systems. The latest findings indicate their ability to significantly reduce disease severity index (DSI) through mycoparasitism, antibiosis, and induced systemic resistance. In aquaponic systems, the inoculation with Bacillus subtilis and Azospirillum brasilense demonstrated increased dissolved oxygen, improving water quality parameters and benefiting plant and fish growth and metabolism. This review also establishes the interaction variability between PGPM and growing media, implying the specificity for determining inoculation strategies to maximize the productivity of soilless cultivation systems. These findings suggest that using PGPM in soil-free settings could significantly contribute to sustainable crop production, addressing the challenges of nutrient management, disease control, and salinity issues.","author":[{"dropping-particle":"","family":"Mourouzidou","given":"Snezhana","non-dropping-particle":"","parse-names":false,"suffix":""},{"dropping-particle":"","family":"Ntinas","given":"Georgios K.","non-dropping-particle":"","parse-names":false,"suffix":""},{"dropping-particle":"","family":"Tsaballa","given":"Aphrodite","non-dropping-particle":"","parse-names":false,"suffix":""},{"dropping-particle":"","family":"Monokrousos","given":"Nikolaos","non-dropping-particle":"","parse-names":false,"suffix":""}],"container-title":"Sustainability (Switzerland)","id":"ITEM-1","issue":"7","issued":{"date-parts":[["2023"]]},"title":"Introducing the Power of Plant Growth Promoting Microorganisms in Soilless Systems: A Promising Alternative for Sustainable Agriculture","type":"article-journal","volume":"15"},"uris":["http://www.mendeley.com/documents/?uuid=a262ce62-75ec-41f7-a3a9-4d03b6f57b2b"]}],"mendeley":{"formattedCitation":"(Mourouzidou et al., 2023)","plainTextFormattedCitation":"(Mourouzidou et al., 2023)","previouslyFormattedCitation":"(Mourouzidou et al., 2023)"},"properties":{"noteIndex":0},"schema":"https://github.com/citation-style-language/schema/raw/master/csl-citation.json"}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(Mourouzidou et al., 2023)</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r w:rsidR="00E128D7" w:rsidRPr="00FD3B7B">
        <w:rPr>
          <w:rFonts w:ascii="Times New Roman" w:eastAsia="Times New Roman" w:hAnsi="Times New Roman" w:cs="Times New Roman"/>
          <w:kern w:val="0"/>
          <w:lang w:eastAsia="en-IN"/>
          <w14:ligatures w14:val="none"/>
        </w:rPr>
        <w:fldChar w:fldCharType="begin" w:fldLock="1"/>
      </w:r>
      <w:r w:rsidR="00E128D7" w:rsidRPr="00FD3B7B">
        <w:rPr>
          <w:rFonts w:ascii="Times New Roman" w:eastAsia="Times New Roman" w:hAnsi="Times New Roman" w:cs="Times New Roman"/>
          <w:kern w:val="0"/>
          <w:lang w:eastAsia="en-IN"/>
          <w14:ligatures w14:val="none"/>
        </w:rPr>
        <w:instrText>ADDIN CSL_CITATION {"citationItems":[{"id":"ITEM-1","itemData":{"DOI":"10.3390/metabo13020247","ISSN":"22181989","abstract":"There are many reasons for the increase in hydroponics/soil-free systems in agriculture, and these systems have now advanced to the form of vertical farming. The sustainable use of space, the reduction in water use compared to soil-based agriculture, the lack of pesticides, the ability to control nutrient inputs, and the implementation of user-friendly technology for environmental control and harvesting are all factors that have made the global market for vertical farming predicted to reach more than USD 10.02 billion by 2027. By comparison, soil-based agriculture consumes 20 times more water, and some agricultural practices promote soil deterioration and cause environmental pollution. Plant growth-promoting microorganisms (PGPMs) have been used extensively in traditional agriculture to enhance plant growth, environmental stress tolerance, and the efficacy of phytoremediation in soil-based farming. Due to the controlled atmosphere in hydroponics and vertical farms, there is strong potential to maximize the use of PGPMs. Here, we review the leveraging of plant growth-promoting microorganism mechanisms in hydroponics and vertical farming. We recommend a synchronized PGPM treatment using a biostimulant extract added to the hydroponic medium while also pre-treating seeds or seedlings with a microbial suspension for aquaponic and aeroponic systems.","author":[{"dropping-particle":"","family":"Dhawi","given":"Faten","non-dropping-particle":"","parse-names":false,"suffix":""}],"container-title":"Metabolites","id":"ITEM-1","issue":"2","issued":{"date-parts":[["2023"]]},"title":"The Role of Plant Growth-Promoting Microorganisms (PGPMs) and Their Feasibility in Hydroponics and Vertical Farming","type":"article-journal","volume":"13"},"uris":["http://www.mendeley.com/documents/?uuid=f7638d62-72fe-4645-ad57-852c102b53a8"]}],"mendeley":{"formattedCitation":"(Dhawi, 2023)","plainTextFormattedCitation":"(Dhawi, 2023)","previouslyFormattedCitation":"(Dhawi, 2023)"},"properties":{"noteIndex":0},"schema":"https://github.com/citation-style-language/schema/raw/master/csl-citation.json"}</w:instrText>
      </w:r>
      <w:r w:rsidR="00E128D7" w:rsidRPr="00FD3B7B">
        <w:rPr>
          <w:rFonts w:ascii="Times New Roman" w:eastAsia="Times New Roman" w:hAnsi="Times New Roman" w:cs="Times New Roman"/>
          <w:kern w:val="0"/>
          <w:lang w:eastAsia="en-IN"/>
          <w14:ligatures w14:val="none"/>
        </w:rPr>
        <w:fldChar w:fldCharType="separate"/>
      </w:r>
      <w:r w:rsidR="00E128D7" w:rsidRPr="00FD3B7B">
        <w:rPr>
          <w:rFonts w:ascii="Times New Roman" w:eastAsia="Times New Roman" w:hAnsi="Times New Roman" w:cs="Times New Roman"/>
          <w:noProof/>
          <w:kern w:val="0"/>
          <w:lang w:eastAsia="en-IN"/>
          <w14:ligatures w14:val="none"/>
        </w:rPr>
        <w:t>(Dhawi, 2023)</w:t>
      </w:r>
      <w:r w:rsidR="00E128D7" w:rsidRPr="00FD3B7B">
        <w:rPr>
          <w:rFonts w:ascii="Times New Roman" w:eastAsia="Times New Roman" w:hAnsi="Times New Roman" w:cs="Times New Roman"/>
          <w:kern w:val="0"/>
          <w:lang w:eastAsia="en-IN"/>
          <w14:ligatures w14:val="none"/>
        </w:rPr>
        <w:fldChar w:fldCharType="end"/>
      </w:r>
      <w:r w:rsidR="00E128D7" w:rsidRPr="00FD3B7B">
        <w:rPr>
          <w:rFonts w:ascii="Times New Roman" w:eastAsia="Times New Roman" w:hAnsi="Times New Roman" w:cs="Times New Roman"/>
          <w:kern w:val="0"/>
          <w:lang w:eastAsia="en-IN"/>
          <w14:ligatures w14:val="none"/>
        </w:rPr>
        <w:t>.</w:t>
      </w:r>
    </w:p>
    <w:p w14:paraId="4E730521" w14:textId="1E6ED02F" w:rsidR="00E128D7" w:rsidRPr="00DA6C98" w:rsidRDefault="00E128D7"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lastRenderedPageBreak/>
        <w:t xml:space="preserve">Case studies across lettuce, basil, soybean, and tomato production confirm the synergistic benefits of integrating AI, organic, and microbial strategies, with reported gains in yield, nutrient-use efficiency, and profitability, alongside reductions in fertilizer consumption and environmental impact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{"citationItems":[{"id":"ITEM-1","itemData":{"abstract":"As global challenges of population growth, climate change, and resource scarcity intensify, the agricultural landscape is at a critical juncture. Sustainable vertical farming emerges as a transformative solution to address these challenges by maximizing crop yields in controlled environments. This paradigm shift necessitates the integration of cutting-edge technologies, with Artificial Intelligence (AI) at the forefront. The paper provides a comprehensive exploration of the role of AI in sustainable vertical farming, investigating its potential, challenges, and opportunities. The review synthesizes the current state of AI applications, encompassing machine learning, computer vision, the Internet of Things (IoT), and robotics, in optimizing resource usage, automating tasks, and enhancing decision-making. It identifies gaps in research, emphasizing the need for optimized AI models, interdisciplinary collaboration, and the development of explainable AI in agriculture. The implications extend beyond efficiency gains, considering economic viability, reduced environmental impact, and increased food security. The paper concludes by offering insights for stakeholders and suggesting avenues for future research, aiming to guide the integration of AI technologies in sustainable vertical farming for a resilient and sustainable future in agriculture.","author":[{"dropping-particle":"","family":"Chowdhury","given":"Hribhu","non-dropping-particle":"","parse-names":false,"suffix":""},{"dropping-particle":"","family":"Argha","given":"Debo Brata Paul","non-dropping-particle":"","parse-names":false,"suffix":""},{"dropping-particle":"","family":"Ahmed","given":"Md Ashik","non-dropping-particle":"","parse-names":false,"suffix":""}],"id":"ITEM-1","issued":{"date-parts":[["2023"]]},"title":"Artificial Intelligence in Sustainable Vertical Farming","type":"article-journal"},"uris":["http://www.mendeley.com/documents/?uuid=a174714d-7a8b-4af7-bc8f-900e1df7bf64"]}],"mendeley":{"formattedCitation":"(H. Chowdhury et al., 2023)","plainTextFormattedCitation":"(H. Chowdhury et al., 2023)","previouslyFormattedCitation":"(H. Chowdhury et al., 2023)"},"properties":{"noteIndex":0},"schema":"https://github.com/citation-style-language/schema/raw/master/csl-citation.json"}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(H. Chowdhury et al., 2023)</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{"citationItems":[{"id":"ITEM-1","itemData":{"DOI":"10.1038/s41598-025-16030-4","ISBN":"4159802516","ISSN":"20452322","abstract":"Addressing the Water-Energy-Food-Environment (WEFE) nexus is critical for sustainable resource management. This study investigates a novel hydroponic system integrating photovoltaic (PV) solar energy and treated greywater (System-II), compared to a grid-powered system (System-I). Key performance indicators, including energy consumption, energy efficiency indices, and CO2 emissions, are evaluated for the two systems. Additionally, the morphological, physiological, and biochemical parameters of lettuce are measured. System-II achieved superior energy performance, with an energy ratio of 0.11, energy productivity of 0.16 kg/MJ, and specific energy of 6.14 MJ/kg, compared to System-I’s 0.05, 0.07 kg/MJ, and 14.89 MJ/kg, respectively. Additionally, the water use efficiency values were 0.071 kg/L for System-I and 0.073 kg/L for System-II. Moreover, System-II reduced CO2 emissions by over 94%, emitting only 0.0861 kg CO2 eq/m2, compared to 1.5386 kg CO2 eq/m2 from System-I. Morphological and physiological traits of lettuce irrigated with treated greywater remained optimal, showing a mean head weight of 682.9 g, head length and diameter of 17.7 cm and 18.3 cm, relative water content of 93.5%, 5.4% dry matter, and total chlorophyll content of 1.023 mg/g, comparable to those irrigated with tap water. This study highlights the potential of solar-powered hydroponics, utilizing treated greywater as a scalable and sustainable solution for efficient food production in alignment with WEFE nexus objectives. The findings provide insights into optimizing resource management in agricultural systems and contribute to the development of resilient, efficient, and sustainable food production systems in the face of global resource challenges.","author":[{"dropping-particle":"","family":"Abdelhamid","given":"Mahmoud A.","non-dropping-particle":"","parse-names":false,"suffix":""},{"dropping-particle":"","family":"Mahmoud","given":"Sobhy M.","non-dropping-particle":"","parse-names":false,"suffix":""},{"dropping-particle":"","family":"El-Nasr","given":"Mohamed K.Abou","non-dropping-particle":"","parse-names":false,"suffix":""},{"dropping-particle":"","family":"Zhang","given":"Zhao","non-dropping-particle":"","parse-names":false,"suffix":""},{"dropping-particle":"","family":"Hendy","given":"Zeinab M.","non-dropping-particle":"","parse-names":false,"suffix":""}],"container-title":"Scientific Reports","id":"ITEM-1","issue":"1","issued":{"date-parts":[["2025"]]},"page":"1-18","title":"Sustainable hydroponic production using solar energy and treated greywater within the water-energy-food-environment nexus","type":"article-journal","volume":"15"},"uris":["http://www.mendeley.com/documents/?uuid=667eb193-f124-4170-bcbb-4c4d9305ee10"]}],"mendeley":{"formattedCitation":"(Abdelhamid et al., 2025)","plainTextFormattedCitation":"(Abdelhamid et al., 2025)","previouslyFormattedCitation":"(Abdelhamid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(Abdelhamid et al., 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xml:space="preserve">. However, widespread adoption is challenged by sensor calibration needs, variability in organic inputs, microbial community stability, and the high upfront costs of digital infrastructure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{"citationItems":[{"id":"ITEM-1","itemData":{"DOI":"10.20895/infotel.v16i3.1190","ISSN":"2085-3688","abstract":"This paper proposes a smart hydroponic system that operates automatically using a fuzzy logic algorithm, integrating IoT functionalities to support smart agriculture. The system allows for remote monitoring and control via the internet, providing real-time data on water levels, pH levels, temperature, and nutrient solution temperature. Precise dosing and temperature control are critical for optimal plant growth, and the system schedules temperature measurements to ensure stability. Unstable temperature can affect pH levels, thereby impacting nutrient absorption. The proposed system employs sensors to continuously monitor the electrical conductivity (EC) and pH levels of the nutrient solution. Fuzzy control is utilized to regulate the nutrient solution pump, automatically adjusting EC and pH levels to promote optimal plant growth. This approach reduces the time burden on producers and provides more precise control over the nutrient solution, resulting in improved growth outcomes. The main contributions of this work are as follows: the development and implementation of an AI-based system integrating a controller, IoT environment, fuzzy logic algorithm, and NFT (nutrient film technology) hydroponics; the creation of a user-friendly interface for farmers through the Smart-Hydroponic application, enabling hybrid monitoring and control of hydroponic farms;  the establishment of an IoT-based cloud environment for sensor data monitoring; the implementation of a smart hydroponic system for nutrient sensing, monitoring, and control; and  a comparative analysis between smart and conventional hydroponics based on morphological results.","author":[{"dropping-particle":"","family":"Putra","given":"Septafiansyah Dwi","non-dropping-particle":"","parse-names":false,"suffix":""},{"dropping-particle":"","family":"Heriansyah","given":"Heriansyah","non-dropping-particle":"","parse-names":false,"suffix":""},{"dropping-particle":"","family":"Cahyadi","given":"Eko Fajar","non-dropping-particle":"","parse-names":false,"suffix":""},{"dropping-particle":"","family":"Anggriani","given":"Kurnia","non-dropping-particle":"","parse-names":false,"suffix":""},{"dropping-particle":"","family":"Imron S Jaya","given":"Moh Haris","non-dropping-particle":"","parse-names":false,"suffix":""}],"container-title":"Jurnal Infotel","id":"ITEM-1","issue":"3","issued":{"date-parts":[["2024"]]},"page":"474-486","title":"Development of Smart Hydroponics System using AI-based Sensing","type":"article-journal","volume":"16"},"uris":["http://www.mendeley.com/documents/?uuid=c0b07689-b115-4cc7-9410-9da77b8c5441"]}],"mendeley":{"formattedCitation":"(Putra et al., 2024)","plainTextFormattedCitation":"(Putra et al., 2024)","previouslyFormattedCitation":"(Putra et al.,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(Putra et al.,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{"citationItems":[{"id":"ITEM-1","itemData":{"DOI":"10.1007/s43621-025-00908-4","ISBN":"4362102500908","ISSN":"26629984","abstract":"Automation and robotics are revolutionizing hydroponic and aquaponic farming techniques and also enhancing their efficiency, sustainability, and scalability within the Controlled Environment Agriculture (CEA). This review explores the integration of key technologies, such as automated nutrient and pH management systems, advanced lighting solutions, and IoT-enabled smart farming practices. These innovations significantly boost productivity, optimize resource utilization, and reduce labor dependency, although with challenges like high initial capital investment, technical complexity, and energy demands. The paper examines case studies showcasing improvements in yield and resource efficiency while addressing scalability and energy limitations. Emerging technologies, including AI-driven analytics and off-grid power solutions, are identified as promising avenues to overcome these hurdles. By presenting actionable insights and emphasizing the importance of energy-efficient equipment and sustainable practices, this review underscores the potential of automation and robotics to transform hydroponic and aquaponic systems. Ultimately, this work supports global food security, environmental conservation, and the advancement of circular economy principles. Clinical Trial This research does not involve clinical trials.","author":[{"dropping-particle":"","family":"Dennison","given":"Milon Selvam","non-dropping-particle":"","parse-names":false,"suffix":""},{"dropping-particle":"","family":"Kumar","given":"P. Sathish","non-dropping-particle":"","parse-names":false,"suffix":""},{"dropping-particle":"","family":"Wamyil","given":"Fwangmun","non-dropping-particle":"","parse-names":false,"suffix":""},{"dropping-particle":"","family":"Meji","given":"M. Abisha","non-dropping-particle":"","parse-names":false,"suffix":""},{"dropping-particle":"","family":"Ganapathy","given":"T.","non-dropping-particle":"","parse-names":false,"suffix":""}],"container-title":"Discover Sustainability","id":"ITEM-1","issue":"1","issued":{"date-parts":[["2025"]]},"publisher":"Springer International Publishing","title":"The role of automation and robotics in transforming hydroponics and aquaponics to large scale","type":"book","volume":"6"},"uris":["http://www.mendeley.com/documents/?uuid=2899ae0a-757d-4b96-8f24-92c4757ad6b3"]}],"mendeley":{"formattedCitation":"(Dennison et al., 2025)","plainTextFormattedCitation":"(Dennison et al., 2025)","previouslyFormattedCitation":"(Dennison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(Dennison et al., 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Addressing these issues will require the development of cost-effective sensor technologies, standardized data protocols, and robust AI models capable of adapting to non-linear, dynamic conditions.</w:t>
      </w:r>
    </w:p>
    <w:p w14:paraId="2D989629" w14:textId="7035079D" w:rsidR="00E128D7" w:rsidRDefault="00E128D7"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DA6C98">
        <w:rPr>
          <w:rFonts w:ascii="Times New Roman" w:eastAsia="Times New Roman" w:hAnsi="Times New Roman" w:cs="Times New Roman"/>
          <w:kern w:val="0"/>
          <w:lang w:eastAsia="en-IN"/>
          <w14:ligatures w14:val="none"/>
        </w:rPr>
        <w:t xml:space="preserve">Looking forward, digital twin simulations, deep learning algorithms, and synthetic data augmentation offer promising avenues to overcome current limitations </w:t>
      </w:r>
      <w:r w:rsidRPr="00DA6C98">
        <w:rPr>
          <w:rFonts w:ascii="Times New Roman" w:eastAsia="Times New Roman" w:hAnsi="Times New Roman" w:cs="Times New Roman"/>
          <w:kern w:val="0"/>
          <w:lang w:eastAsia="en-IN"/>
          <w14:ligatures w14:val="none"/>
        </w:rPr>
        <w:fldChar w:fldCharType="begin" w:fldLock="1"/>
      </w:r>
      <w:r w:rsidRPr="00DA6C98">
        <w:rPr>
          <w:rFonts w:ascii="Times New Roman" w:eastAsia="Times New Roman" w:hAnsi="Times New Roman" w:cs="Times New Roman"/>
          <w:kern w:val="0"/>
          <w:lang w:eastAsia="en-IN"/>
          <w14:ligatures w14:val="none"/>
        </w:rPr>
        <w:instrText>ADDIN CSL_CITATION {"citationItems":[{"id":"ITEM-1","itemData":{"DOI":"10.3390/s25020453","ISSN":"14248220","PMID":"39860823","abstract":"Efficient management of soil nutrients is essential for optimizing crop production, ensuring sustainable agricultural practices, and addressing the challenges posed by population growth and environmental degradation. Smart agriculture, using advanced technologies, plays an important role in achieving these goals by enabling real-time monitoring and precision management of nutrients. In open-field soil cultivation, spatial variability in soil properties demands site-specific nutrient management and integration with variable-rate technology (VRT) to optimize fertilizer application, reduce nutrient losses, and enhance crop yields. Hydroponic solution cultivation, on the other hand, requires precise monitoring and control of nutrient solutions to maintain optimal conditions for plant growth, ensuring efficient use of water and fertilizers. This review aims to explore recent trends in soil and solution nutrient sensing technologies for open-field soil and facilitated hydroponic cultivation, highlighting advancements that promote efficiency and sustainability. Key technologies include electrochemical and optical sensors, Internet of Things (IoT)-enabled monitoring, and the integration of machine learning (ML) and artificial intelligence (AI) for predictive modeling. Blockchain technology is also emerging as a tool to enhance transparency and traceability in nutrient management, promoting compliance with environmental standards and sustainable practices. In open-field soil cultivation, real-time sensing technologies support targeted nutrient application by accounting for spatial variability, minimizing environmental risks such as runoff and eutrophication. In hydroponic solution cultivation, precise solution sensing ensures nutrient balance, optimizing plant health and productivity. By advancing these technologies, smart agriculture can achieve sustainable crop production, improved resource efficiency, and environmental protection, fostering a resilient food system.","author":[{"dropping-particle":"","family":"Reza","given":"Md Nasim","non-dropping-particle":"","parse-names":false,"suffix":""},{"dropping-particle":"","family":"Lee","given":"Kyu Ho","non-dropping-particle":"","parse-names":false,"suffix":""},{"dropping-particle":"","family":"Karim","given":"Md Rejaul","non-dropping-particle":"","parse-names":false,"suffix":""},{"dropping-particle":"","family":"Haque","given":"Md Asrakul","non-dropping-particle":"","parse-names":false,"suffix":""},{"dropping-particle":"","family":"Bicamumakuba","given":"Emmanuel","non-dropping-particle":"","parse-names":false,"suffix":""},{"dropping-particle":"","family":"Dey","given":"Pabel Kanti","non-dropping-particle":"","parse-names":false,"suffix":""},{"dropping-particle":"","family":"Jang","given":"Young Yoon","non-dropping-particle":"","parse-names":false,"suffix":""},{"dropping-particle":"","family":"Chung","given":"Sun Ok","non-dropping-particle":"","parse-names":false,"suffix":""}],"container-title":"Sensors","id":"ITEM-1","issue":"2","issued":{"date-parts":[["2025"]]},"title":"Trends of Soil and Solution Nutrient Sensing for Open Field and Hydroponic Cultivation in Facilitated Smart Agriculture","type":"article-journal","volume":"25"},"uris":["http://www.mendeley.com/documents/?uuid=f82fcd61-0b36-4f47-a95b-e542f6f96745"]}],"mendeley":{"formattedCitation":"(Reza et al., 2025)","plainTextFormattedCitation":"(Reza et al., 2025)","previouslyFormattedCitation":"(Reza et al., 2025)"},"properties":{"noteIndex":0},"schema":"https://github.com/citation-style-language/schema/raw/master/csl-citation.json"}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(Reza et al., 2025)</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w:t>
      </w:r>
      <w:r w:rsidRPr="00DA6C98">
        <w:rPr>
          <w:rFonts w:ascii="Times New Roman" w:eastAsia="Times New Roman" w:hAnsi="Times New Roman" w:cs="Times New Roman"/>
          <w:kern w:val="0"/>
          <w:lang w:eastAsia="en-IN"/>
          <w14:ligatures w14:val="none"/>
        </w:rPr>
        <w:fldChar w:fldCharType="begin" w:fldLock="1"/>
      </w:r>
      <w:r w:rsidR="00172BF8" w:rsidRPr="00DA6C98">
        <w:rPr>
          <w:rFonts w:ascii="Times New Roman" w:eastAsia="Times New Roman" w:hAnsi="Times New Roman" w:cs="Times New Roman"/>
          <w:kern w:val="0"/>
          <w:lang w:eastAsia="en-IN"/>
          <w14:ligatures w14:val="none"/>
        </w:rPr>
        <w:instrText>ADDIN CSL_CITATION {"citationItems":[{"id":"ITEM-1","itemData":{"DOI":"10.20944/preprints202409.0226.v1","abstract":"&lt;p&gt;This review explores the critical difficulties confronting global agriculture in the face of changing climate patterns and limited resources, highlighting the importance of sustainable practices. With agriculture as the largest consumer of water worldwide, sustainable techniques are critical for long-term survival and ecological harmony. Even with advancements, rapid population increase and changing environment conditions demand immediate investment in cutting-edge technologies. Optimizing agricultural operations, increasing output, and reducing resource waste can be achieved through smart farming, which utilizes machine learning and Internet of Things tech-nologies. Particular difficulties like decreasing cultivator proportions and rising costs are empha-sized, with a focus on developing nations where agriculture plays a crucial role in the economy. Additionally, the anticipated rise in food demand highlights how urgent it is to find sustainable alternatives. But problems like inappropriate land and agricultural land fragmentation still exist, necessitating creative solutions. The paper explores how agriculture could be revolutionized by machine learning and IoT-based hydroponics, providing insights into how to improve resilience, productivity, and sustainability in the face of changing environmental and socioeconomic dy-namics. Through a thorough investigation, this paper advances the discussion on sustainable ag-riculture by demonstrating the important role that technology-driven strategies play in addressing concerns about environmental sustainability and global food security.&lt;/p&gt;","author":[{"dropping-particle":"","family":"Gourshettiwar","given":"Palash","non-dropping-particle":"","parse-names":false,"suffix":""},{"dropping-particle":"","family":"Reddy","given":"KTV","non-dropping-particle":"","parse-names":false,"suffix":""}],"id":"ITEM-1","issued":{"date-parts":[["2024"]]},"title":"Advancements in Hydroponics: A Review of Machine Learning and IoT Innovations","type":"article-journal"},"uris":["http://www.mendeley.com/documents/?uuid=295ec8d9-7379-487a-98cb-2571e4a2bbef"]}],"mendeley":{"formattedCitation":"(Gourshettiwar &amp; Reddy, 2024)","plainTextFormattedCitation":"(Gourshettiwar &amp; Reddy, 2024)","previouslyFormattedCitation":"(Gourshettiwar &amp; Reddy, 2024)"},"properties":{"noteIndex":0},"schema":"https://github.com/citation-style-language/schema/raw/master/csl-citation.json"}</w:instrText>
      </w:r>
      <w:r w:rsidRPr="00DA6C98">
        <w:rPr>
          <w:rFonts w:ascii="Times New Roman" w:eastAsia="Times New Roman" w:hAnsi="Times New Roman" w:cs="Times New Roman"/>
          <w:kern w:val="0"/>
          <w:lang w:eastAsia="en-IN"/>
          <w14:ligatures w14:val="none"/>
        </w:rPr>
        <w:fldChar w:fldCharType="separate"/>
      </w:r>
      <w:r w:rsidRPr="00DA6C98">
        <w:rPr>
          <w:rFonts w:ascii="Times New Roman" w:eastAsia="Times New Roman" w:hAnsi="Times New Roman" w:cs="Times New Roman"/>
          <w:noProof/>
          <w:kern w:val="0"/>
          <w:lang w:eastAsia="en-IN"/>
          <w14:ligatures w14:val="none"/>
        </w:rPr>
        <w:t>(Gourshettiwar &amp; Reddy, 2024)</w:t>
      </w:r>
      <w:r w:rsidRPr="00DA6C98">
        <w:rPr>
          <w:rFonts w:ascii="Times New Roman" w:eastAsia="Times New Roman" w:hAnsi="Times New Roman" w:cs="Times New Roman"/>
          <w:kern w:val="0"/>
          <w:lang w:eastAsia="en-IN"/>
          <w14:ligatures w14:val="none"/>
        </w:rPr>
        <w:fldChar w:fldCharType="end"/>
      </w:r>
      <w:r w:rsidRPr="00DA6C98">
        <w:rPr>
          <w:rFonts w:ascii="Times New Roman" w:eastAsia="Times New Roman" w:hAnsi="Times New Roman" w:cs="Times New Roman"/>
          <w:kern w:val="0"/>
          <w:lang w:eastAsia="en-IN"/>
          <w14:ligatures w14:val="none"/>
        </w:rPr>
        <w:t>. Interdisciplinary collaborations between agronomists, computer scientists, and microbiologists will be essential to translate laboratory advances into scalable, commercial applications. By uniting AI-based optimization with organic and microbial nutrient inputs, hydroponic systems can move closer to closed-loop, resource-efficient production models that not only secure high yields but also ensure food quality, economic viability, and ecological sustainability.</w:t>
      </w:r>
    </w:p>
    <w:p w14:paraId="3FAE4F40" w14:textId="77777777" w:rsidR="00C06DD4" w:rsidRDefault="00C06DD4" w:rsidP="00FD3B7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7B399C01" w14:textId="22D8633B" w:rsidR="00B32BE4" w:rsidRDefault="00B32BE4" w:rsidP="00C06DD4">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r w:rsidRPr="00B32BE4">
        <w:rPr>
          <w:rFonts w:ascii="Times New Roman" w:eastAsia="Times New Roman" w:hAnsi="Times New Roman" w:cs="Times New Roman"/>
          <w:b/>
          <w:bCs/>
          <w:kern w:val="0"/>
          <w:lang w:eastAsia="en-IN"/>
          <w14:ligatures w14:val="none"/>
        </w:rPr>
        <w:t>Data Availability</w:t>
      </w:r>
    </w:p>
    <w:p w14:paraId="20F3FCDE" w14:textId="13ED4FAD" w:rsidR="00B32BE4" w:rsidRDefault="00B32BE4" w:rsidP="00C06DD4">
      <w:pPr>
        <w:spacing w:before="100" w:beforeAutospacing="1" w:after="100" w:afterAutospacing="1" w:line="360" w:lineRule="auto"/>
        <w:ind w:left="360"/>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No new data were generated or </w:t>
      </w:r>
      <w:proofErr w:type="spellStart"/>
      <w:r>
        <w:rPr>
          <w:rFonts w:ascii="Times New Roman" w:eastAsia="Times New Roman" w:hAnsi="Times New Roman" w:cs="Times New Roman"/>
          <w:kern w:val="0"/>
          <w:lang w:eastAsia="en-IN"/>
          <w14:ligatures w14:val="none"/>
        </w:rPr>
        <w:t>analyzed</w:t>
      </w:r>
      <w:proofErr w:type="spellEnd"/>
      <w:r>
        <w:rPr>
          <w:rFonts w:ascii="Times New Roman" w:eastAsia="Times New Roman" w:hAnsi="Times New Roman" w:cs="Times New Roman"/>
          <w:kern w:val="0"/>
          <w:lang w:eastAsia="en-IN"/>
          <w14:ligatures w14:val="none"/>
        </w:rPr>
        <w:t xml:space="preserve"> in this study.</w:t>
      </w:r>
    </w:p>
    <w:p w14:paraId="5EE413A2" w14:textId="777C4093" w:rsidR="00AF0885" w:rsidRDefault="00AF0885" w:rsidP="00AF0885">
      <w:pPr>
        <w:rPr>
          <w:b/>
          <w:bCs/>
        </w:rPr>
      </w:pPr>
      <w:r w:rsidRPr="00B86F00">
        <w:rPr>
          <w:b/>
          <w:bCs/>
        </w:rPr>
        <w:t>Disclaimer (Artificial intelligence)</w:t>
      </w:r>
      <w:r w:rsidR="00B86F00">
        <w:rPr>
          <w:b/>
          <w:bCs/>
        </w:rPr>
        <w:t>:</w:t>
      </w:r>
    </w:p>
    <w:p w14:paraId="72C1D8FE" w14:textId="77777777" w:rsidR="00B86F00" w:rsidRPr="00B86F00" w:rsidRDefault="00B86F00" w:rsidP="00AF0885">
      <w:pPr>
        <w:rPr>
          <w:b/>
          <w:bCs/>
        </w:rPr>
      </w:pPr>
    </w:p>
    <w:p w14:paraId="0A332657" w14:textId="77777777" w:rsidR="00AF0885" w:rsidRPr="00B86F00" w:rsidRDefault="00AF0885" w:rsidP="00AF0885">
      <w:r w:rsidRPr="00B86F00">
        <w:t xml:space="preserve">Author(s) hereby declare that </w:t>
      </w:r>
      <w:r w:rsidRPr="00B86F00">
        <w:rPr>
          <w:b/>
          <w:bCs/>
        </w:rPr>
        <w:t>NO generative AI technologies</w:t>
      </w:r>
      <w:r w:rsidRPr="00B86F00">
        <w:t xml:space="preserve"> such as Large Language Models (ChatGPT, COPILOT, etc.) and text-to-image generators have been used during the writing or editing of this manuscript. </w:t>
      </w:r>
    </w:p>
    <w:p w14:paraId="1216495C" w14:textId="77777777" w:rsidR="00AF0885" w:rsidRPr="00B32BE4" w:rsidRDefault="00AF0885" w:rsidP="00C06DD4">
      <w:pPr>
        <w:spacing w:before="100" w:beforeAutospacing="1" w:after="100" w:afterAutospacing="1" w:line="360" w:lineRule="auto"/>
        <w:ind w:left="360"/>
        <w:jc w:val="both"/>
        <w:rPr>
          <w:rFonts w:ascii="Times New Roman" w:eastAsia="Times New Roman" w:hAnsi="Times New Roman" w:cs="Times New Roman"/>
          <w:kern w:val="0"/>
          <w:lang w:eastAsia="en-IN"/>
          <w14:ligatures w14:val="none"/>
        </w:rPr>
      </w:pPr>
    </w:p>
    <w:p w14:paraId="68B4A310" w14:textId="77C7A8E8" w:rsidR="00E128D7" w:rsidRPr="00DA6C98" w:rsidRDefault="00E128D7" w:rsidP="00DA6C98">
      <w:pPr>
        <w:pStyle w:val="ListParagraph"/>
        <w:numPr>
          <w:ilvl w:val="0"/>
          <w:numId w:val="2"/>
        </w:num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t>References</w:t>
      </w:r>
    </w:p>
    <w:p w14:paraId="16BB85C2" w14:textId="0D1FBD2E" w:rsidR="00301E24" w:rsidRPr="00301E24" w:rsidRDefault="00DA6C98"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DA6C98">
        <w:rPr>
          <w:rFonts w:ascii="Times New Roman" w:eastAsia="Times New Roman" w:hAnsi="Times New Roman" w:cs="Times New Roman"/>
          <w:b/>
          <w:bCs/>
          <w:kern w:val="0"/>
          <w:lang w:eastAsia="en-IN"/>
          <w14:ligatures w14:val="none"/>
        </w:rPr>
        <w:fldChar w:fldCharType="begin" w:fldLock="1"/>
      </w:r>
      <w:r w:rsidRPr="00DA6C98">
        <w:rPr>
          <w:rFonts w:ascii="Times New Roman" w:eastAsia="Times New Roman" w:hAnsi="Times New Roman" w:cs="Times New Roman"/>
          <w:b/>
          <w:bCs/>
          <w:kern w:val="0"/>
          <w:lang w:eastAsia="en-IN"/>
          <w14:ligatures w14:val="none"/>
        </w:rPr>
        <w:instrText xml:space="preserve">ADDIN Mendeley Bibliography CSL_BIBLIOGRAPHY </w:instrText>
      </w:r>
      <w:r w:rsidRPr="00DA6C98">
        <w:rPr>
          <w:rFonts w:ascii="Times New Roman" w:eastAsia="Times New Roman" w:hAnsi="Times New Roman" w:cs="Times New Roman"/>
          <w:b/>
          <w:bCs/>
          <w:kern w:val="0"/>
          <w:lang w:eastAsia="en-IN"/>
          <w14:ligatures w14:val="none"/>
        </w:rPr>
        <w:fldChar w:fldCharType="separate"/>
      </w:r>
      <w:r w:rsidR="00301E24" w:rsidRPr="00301E24">
        <w:rPr>
          <w:rFonts w:ascii="Times New Roman" w:hAnsi="Times New Roman" w:cs="Times New Roman"/>
          <w:noProof/>
          <w:kern w:val="0"/>
        </w:rPr>
        <w:t xml:space="preserve">Abdelhamid, M. A., Mahmoud, S. M., El-Nasr, M. K. A., Zhang, Z., &amp; Hendy, Z. M. (2025). </w:t>
      </w:r>
      <w:r w:rsidR="00301E24" w:rsidRPr="00301E24">
        <w:rPr>
          <w:rFonts w:ascii="Times New Roman" w:hAnsi="Times New Roman" w:cs="Times New Roman"/>
          <w:noProof/>
          <w:kern w:val="0"/>
        </w:rPr>
        <w:lastRenderedPageBreak/>
        <w:t xml:space="preserve">Sustainable hydroponic production using solar energy and treated greywater within the water-energy-food-environment nexus. </w:t>
      </w:r>
      <w:r w:rsidR="00301E24" w:rsidRPr="00301E24">
        <w:rPr>
          <w:rFonts w:ascii="Times New Roman" w:hAnsi="Times New Roman" w:cs="Times New Roman"/>
          <w:i/>
          <w:iCs/>
          <w:noProof/>
          <w:kern w:val="0"/>
        </w:rPr>
        <w:t>Scientific Reports</w:t>
      </w:r>
      <w:r w:rsidR="00301E24" w:rsidRPr="00301E24">
        <w:rPr>
          <w:rFonts w:ascii="Times New Roman" w:hAnsi="Times New Roman" w:cs="Times New Roman"/>
          <w:noProof/>
          <w:kern w:val="0"/>
        </w:rPr>
        <w:t xml:space="preserve">, </w:t>
      </w:r>
      <w:r w:rsidR="00301E24" w:rsidRPr="00301E24">
        <w:rPr>
          <w:rFonts w:ascii="Times New Roman" w:hAnsi="Times New Roman" w:cs="Times New Roman"/>
          <w:i/>
          <w:iCs/>
          <w:noProof/>
          <w:kern w:val="0"/>
        </w:rPr>
        <w:t>15</w:t>
      </w:r>
      <w:r w:rsidR="00301E24" w:rsidRPr="00301E24">
        <w:rPr>
          <w:rFonts w:ascii="Times New Roman" w:hAnsi="Times New Roman" w:cs="Times New Roman"/>
          <w:noProof/>
          <w:kern w:val="0"/>
        </w:rPr>
        <w:t>(1), 1–18. https://doi.org/10.1038/s41598-025-16030-4</w:t>
      </w:r>
    </w:p>
    <w:p w14:paraId="33072FD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Almusawi, M., Hussein, A. H. A., &amp; Raju, V. S. P. (2025). Advanced Hydroponic Nutrient Management Systems for Vertical Farming Efficiency with IoT and Model Predictive Control to Enhance Sustainable Crop Growth. </w:t>
      </w:r>
      <w:r w:rsidRPr="00301E24">
        <w:rPr>
          <w:rFonts w:ascii="Times New Roman" w:hAnsi="Times New Roman" w:cs="Times New Roman"/>
          <w:i/>
          <w:iCs/>
          <w:noProof/>
          <w:kern w:val="0"/>
        </w:rPr>
        <w:t>SHS Web of Conferences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216</w:t>
      </w:r>
      <w:r w:rsidRPr="00301E24">
        <w:rPr>
          <w:rFonts w:ascii="Times New Roman" w:hAnsi="Times New Roman" w:cs="Times New Roman"/>
          <w:noProof/>
          <w:kern w:val="0"/>
        </w:rPr>
        <w:t>, 01058. https://doi.org/10.1051/shsconf/202521601058</w:t>
      </w:r>
    </w:p>
    <w:p w14:paraId="35C2B561"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Alneyadi, K. S. S., Almheiri, M. S. B., Tzortzakis, N., Di Gioia, F., &amp; Ahmed, Z. F. R. (2024). Organic-based nutrient solutions for sustainable vegetable production in a zero-runoff soilless growing system. </w:t>
      </w:r>
      <w:r w:rsidRPr="00301E24">
        <w:rPr>
          <w:rFonts w:ascii="Times New Roman" w:hAnsi="Times New Roman" w:cs="Times New Roman"/>
          <w:i/>
          <w:iCs/>
          <w:noProof/>
          <w:kern w:val="0"/>
        </w:rPr>
        <w:t>Journal of Agriculture and Food Research</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(October 2023), 101035. https://doi.org/10.1016/j.jafr.2024.101035</w:t>
      </w:r>
    </w:p>
    <w:p w14:paraId="09B50A28"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Alori, E. T., &amp; Babalola, O. O. (2018). Microbial inoculants for improving crop quality and human health in Africa. </w:t>
      </w:r>
      <w:r w:rsidRPr="00301E24">
        <w:rPr>
          <w:rFonts w:ascii="Times New Roman" w:hAnsi="Times New Roman" w:cs="Times New Roman"/>
          <w:i/>
          <w:iCs/>
          <w:noProof/>
          <w:kern w:val="0"/>
        </w:rPr>
        <w:t>Frontiers in Microbiology</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9</w:t>
      </w:r>
      <w:r w:rsidRPr="00301E24">
        <w:rPr>
          <w:rFonts w:ascii="Times New Roman" w:hAnsi="Times New Roman" w:cs="Times New Roman"/>
          <w:noProof/>
          <w:kern w:val="0"/>
        </w:rPr>
        <w:t>(SEP), 1–12. https://doi.org/10.3389/fmicb.2018.02213</w:t>
      </w:r>
    </w:p>
    <w:p w14:paraId="015351B0"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Amalia, A. F., Waris, A., Rahayu, H. S. P., Rahardjo, Y. P., Hutahaean, L., &amp; Rohaeni, E. S. (2023). Revista Brasileira de Engenharia Agrícola e Ambiental Artificial intelligence for small hydroponics farms employing fuzzy logic systems and economic analysis 1 Inteligência Artificial para pequenas fazendas hidropônicas empregando sistemas de lógica fuzzy. </w:t>
      </w:r>
      <w:r w:rsidRPr="00301E24">
        <w:rPr>
          <w:rFonts w:ascii="Times New Roman" w:hAnsi="Times New Roman" w:cs="Times New Roman"/>
          <w:i/>
          <w:iCs/>
          <w:noProof/>
          <w:kern w:val="0"/>
        </w:rPr>
        <w:t>Brazilian Journal of Agricultural and Environmental Engineering</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27</w:t>
      </w:r>
      <w:r w:rsidRPr="00301E24">
        <w:rPr>
          <w:rFonts w:ascii="Times New Roman" w:hAnsi="Times New Roman" w:cs="Times New Roman"/>
          <w:noProof/>
          <w:kern w:val="0"/>
        </w:rPr>
        <w:t>(9), 690–697. https://www.scielo.br/j/rbeaa/a/tSGkQMRKRZd8FrHxNqsqLyR/?format=pdf&amp;lang=en</w:t>
      </w:r>
    </w:p>
    <w:p w14:paraId="74718668"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Baraskar, P. T., Khatri, V., Kolhe, P., Katyarmal, M., &amp; Khedekar, S. (2025). AI-powered automated hydroponic system for smart agriculture. </w:t>
      </w:r>
      <w:r w:rsidRPr="00301E24">
        <w:rPr>
          <w:rFonts w:ascii="Times New Roman" w:hAnsi="Times New Roman" w:cs="Times New Roman"/>
          <w:i/>
          <w:iCs/>
          <w:noProof/>
          <w:kern w:val="0"/>
        </w:rPr>
        <w:t>MethodsX</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(August), 103579. https://doi.org/10.1016/j.mex.2025.103579</w:t>
      </w:r>
    </w:p>
    <w:p w14:paraId="423E29D6"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Carlos Rodríguez Ortiz, J. (2020). Nutritive Solutions Formulated from Organic Fertilizers. </w:t>
      </w:r>
      <w:r w:rsidRPr="00301E24">
        <w:rPr>
          <w:rFonts w:ascii="Times New Roman" w:hAnsi="Times New Roman" w:cs="Times New Roman"/>
          <w:i/>
          <w:iCs/>
          <w:noProof/>
          <w:kern w:val="0"/>
        </w:rPr>
        <w:t>Urban Horticulture - Necessity of the Future</w:t>
      </w:r>
      <w:r w:rsidRPr="00301E24">
        <w:rPr>
          <w:rFonts w:ascii="Times New Roman" w:hAnsi="Times New Roman" w:cs="Times New Roman"/>
          <w:noProof/>
          <w:kern w:val="0"/>
        </w:rPr>
        <w:t>. https://doi.org/10.5772/intechopen.89955</w:t>
      </w:r>
    </w:p>
    <w:p w14:paraId="65D7C4E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Chowdhury, H., Argha, D. B. P., &amp; Ahmed, M. A. (2023). </w:t>
      </w:r>
      <w:r w:rsidRPr="00301E24">
        <w:rPr>
          <w:rFonts w:ascii="Times New Roman" w:hAnsi="Times New Roman" w:cs="Times New Roman"/>
          <w:i/>
          <w:iCs/>
          <w:noProof/>
          <w:kern w:val="0"/>
        </w:rPr>
        <w:t>Artificial Intelligence in Sustainable Vertical Farming</w:t>
      </w:r>
      <w:r w:rsidRPr="00301E24">
        <w:rPr>
          <w:rFonts w:ascii="Times New Roman" w:hAnsi="Times New Roman" w:cs="Times New Roman"/>
          <w:noProof/>
          <w:kern w:val="0"/>
        </w:rPr>
        <w:t>. http://arxiv.org/abs/2312.00030</w:t>
      </w:r>
    </w:p>
    <w:p w14:paraId="21A949FA"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Chowdhury, M., Samarakoon, U. C., &amp; Altland, J. E. (2024). Evaluation of hydroponic systems for organic lettuce production in controlled environment. </w:t>
      </w:r>
      <w:r w:rsidRPr="00301E24">
        <w:rPr>
          <w:rFonts w:ascii="Times New Roman" w:hAnsi="Times New Roman" w:cs="Times New Roman"/>
          <w:i/>
          <w:iCs/>
          <w:noProof/>
          <w:kern w:val="0"/>
        </w:rPr>
        <w:t>Frontiers in Plant Science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(August), 1–12. https://doi.org/10.3389/fpls.2024.1401089</w:t>
      </w:r>
    </w:p>
    <w:p w14:paraId="7687CBEA"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lastRenderedPageBreak/>
        <w:t xml:space="preserve">Dasgan, H. Y., Yilmaz, D., Zikaria, K., Ikiz, B., &amp; Gruda, N. S. (2023). Enhancing the Yield, Quality and Antioxidant Content of Lettuce through Innovative and Eco-Friendly Biofertilizer Practices in Hydroponics. </w:t>
      </w:r>
      <w:r w:rsidRPr="00301E24">
        <w:rPr>
          <w:rFonts w:ascii="Times New Roman" w:hAnsi="Times New Roman" w:cs="Times New Roman"/>
          <w:i/>
          <w:iCs/>
          <w:noProof/>
          <w:kern w:val="0"/>
        </w:rPr>
        <w:t>Horticulturae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9</w:t>
      </w:r>
      <w:r w:rsidRPr="00301E24">
        <w:rPr>
          <w:rFonts w:ascii="Times New Roman" w:hAnsi="Times New Roman" w:cs="Times New Roman"/>
          <w:noProof/>
          <w:kern w:val="0"/>
        </w:rPr>
        <w:t>(12), 1–19. https://doi.org/10.3390/horticulturae9121274</w:t>
      </w:r>
    </w:p>
    <w:p w14:paraId="52A6D6E1"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Debasruti Bhattacharya,Suchismita Tripathy, D. K. S. &amp;Adinpunya M. (2025). No Title Evaluating enriched vermitea as a sustainable alternative to inorganic nutrient solutions in hydroponic systems. </w:t>
      </w:r>
      <w:r w:rsidRPr="00301E24">
        <w:rPr>
          <w:rFonts w:ascii="Times New Roman" w:hAnsi="Times New Roman" w:cs="Times New Roman"/>
          <w:i/>
          <w:iCs/>
          <w:noProof/>
          <w:kern w:val="0"/>
        </w:rPr>
        <w:t>International Journal of Vegetable Science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31</w:t>
      </w:r>
      <w:r w:rsidRPr="00301E24">
        <w:rPr>
          <w:rFonts w:ascii="Times New Roman" w:hAnsi="Times New Roman" w:cs="Times New Roman"/>
          <w:noProof/>
          <w:kern w:val="0"/>
        </w:rPr>
        <w:t>, 272–287. https://doi.org/10.1080/19315260.2025.2462641</w:t>
      </w:r>
    </w:p>
    <w:p w14:paraId="658E4DC7"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Dennison, M. S., Kumar, P. S., Wamyil, F., Meji, M. A., &amp; Ganapathy, T. (2025). The role of automation and robotics in transforming hydroponics and aquaponics to large scale. In </w:t>
      </w:r>
      <w:r w:rsidRPr="00301E24">
        <w:rPr>
          <w:rFonts w:ascii="Times New Roman" w:hAnsi="Times New Roman" w:cs="Times New Roman"/>
          <w:i/>
          <w:iCs/>
          <w:noProof/>
          <w:kern w:val="0"/>
        </w:rPr>
        <w:t>Discover Sustainability</w:t>
      </w:r>
      <w:r w:rsidRPr="00301E24">
        <w:rPr>
          <w:rFonts w:ascii="Times New Roman" w:hAnsi="Times New Roman" w:cs="Times New Roman"/>
          <w:noProof/>
          <w:kern w:val="0"/>
        </w:rPr>
        <w:t xml:space="preserve"> (Vol. 6, Issue 1). Springer International Publishing. https://doi.org/10.1007/s43621-025-00908-4</w:t>
      </w:r>
    </w:p>
    <w:p w14:paraId="1F4AB58B"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Dhal, S. B., Mahanta, S., Moore, J. M. C., &amp; Kalafatis, S. (2024). Machine learning-based analysis of nutrient and water uptake in hydroponically grown soybeans. </w:t>
      </w:r>
      <w:r w:rsidRPr="00301E24">
        <w:rPr>
          <w:rFonts w:ascii="Times New Roman" w:hAnsi="Times New Roman" w:cs="Times New Roman"/>
          <w:i/>
          <w:iCs/>
          <w:noProof/>
          <w:kern w:val="0"/>
        </w:rPr>
        <w:t>Scientific Reports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14</w:t>
      </w:r>
      <w:r w:rsidRPr="00301E24">
        <w:rPr>
          <w:rFonts w:ascii="Times New Roman" w:hAnsi="Times New Roman" w:cs="Times New Roman"/>
          <w:noProof/>
          <w:kern w:val="0"/>
        </w:rPr>
        <w:t>(1), 1–15. https://doi.org/10.1038/s41598-024-74376-7</w:t>
      </w:r>
    </w:p>
    <w:p w14:paraId="10235EB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Dhawi, F. (2023). The Role of Plant Growth-Promoting Microorganisms (PGPMs) and Their Feasibility in Hydroponics and Vertical Farming. </w:t>
      </w:r>
      <w:r w:rsidRPr="00301E24">
        <w:rPr>
          <w:rFonts w:ascii="Times New Roman" w:hAnsi="Times New Roman" w:cs="Times New Roman"/>
          <w:i/>
          <w:iCs/>
          <w:noProof/>
          <w:kern w:val="0"/>
        </w:rPr>
        <w:t>Metabolites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13</w:t>
      </w:r>
      <w:r w:rsidRPr="00301E24">
        <w:rPr>
          <w:rFonts w:ascii="Times New Roman" w:hAnsi="Times New Roman" w:cs="Times New Roman"/>
          <w:noProof/>
          <w:kern w:val="0"/>
        </w:rPr>
        <w:t>(2). https://doi.org/10.3390/metabo13020247</w:t>
      </w:r>
    </w:p>
    <w:p w14:paraId="37F4E4A0"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Fussy, A., &amp; Papenbrock, J. (2022). Techniques — Chances , challenges and the neglected question of sustainability. </w:t>
      </w:r>
      <w:r w:rsidRPr="00301E24">
        <w:rPr>
          <w:rFonts w:ascii="Times New Roman" w:hAnsi="Times New Roman" w:cs="Times New Roman"/>
          <w:i/>
          <w:iCs/>
          <w:noProof/>
          <w:kern w:val="0"/>
        </w:rPr>
        <w:t>Plants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11</w:t>
      </w:r>
      <w:r w:rsidRPr="00301E24">
        <w:rPr>
          <w:rFonts w:ascii="Times New Roman" w:hAnsi="Times New Roman" w:cs="Times New Roman"/>
          <w:noProof/>
          <w:kern w:val="0"/>
        </w:rPr>
        <w:t>(1153), 1–32. https://doi.org/ 10.3390/plants11091153</w:t>
      </w:r>
    </w:p>
    <w:p w14:paraId="48F3A1AB"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Ghandar, A., Ahmed, A., Zulfiqar, S., Hua, Z., Hanai, M., &amp; Theodoropoulos, G. (2021). A decision support system for urban agriculture using digital twin: A case study with aquaponics. </w:t>
      </w:r>
      <w:r w:rsidRPr="00301E24">
        <w:rPr>
          <w:rFonts w:ascii="Times New Roman" w:hAnsi="Times New Roman" w:cs="Times New Roman"/>
          <w:i/>
          <w:iCs/>
          <w:noProof/>
          <w:kern w:val="0"/>
        </w:rPr>
        <w:t>IEEE Access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9</w:t>
      </w:r>
      <w:r w:rsidRPr="00301E24">
        <w:rPr>
          <w:rFonts w:ascii="Times New Roman" w:hAnsi="Times New Roman" w:cs="Times New Roman"/>
          <w:noProof/>
          <w:kern w:val="0"/>
        </w:rPr>
        <w:t>, 35691–35708. https://doi.org/10.1109/ACCESS.2021.3061722</w:t>
      </w:r>
    </w:p>
    <w:p w14:paraId="458E0B4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Gourshettiwar, P., &amp; Reddy, K. (2024). </w:t>
      </w:r>
      <w:r w:rsidRPr="00301E24">
        <w:rPr>
          <w:rFonts w:ascii="Times New Roman" w:hAnsi="Times New Roman" w:cs="Times New Roman"/>
          <w:i/>
          <w:iCs/>
          <w:noProof/>
          <w:kern w:val="0"/>
        </w:rPr>
        <w:t>Advancements in Hydroponics: A Review of Machine Learning and IoT Innovations</w:t>
      </w:r>
      <w:r w:rsidRPr="00301E24">
        <w:rPr>
          <w:rFonts w:ascii="Times New Roman" w:hAnsi="Times New Roman" w:cs="Times New Roman"/>
          <w:noProof/>
          <w:kern w:val="0"/>
        </w:rPr>
        <w:t>. https://doi.org/10.20944/preprints202409.0226.v1</w:t>
      </w:r>
    </w:p>
    <w:p w14:paraId="755309FD"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Hooks, T., Masabni, J., Sun, L., &amp; Niu, G. (2022). Effects of organic fertilizer with or without a microbial inoculant on the growth and quality of lettuce in an NFT hydroponic system. </w:t>
      </w:r>
      <w:r w:rsidRPr="00301E24">
        <w:rPr>
          <w:rFonts w:ascii="Times New Roman" w:hAnsi="Times New Roman" w:cs="Times New Roman"/>
          <w:i/>
          <w:iCs/>
          <w:noProof/>
          <w:kern w:val="0"/>
        </w:rPr>
        <w:t>Technology in Horticulture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w:t>
      </w:r>
      <w:r w:rsidRPr="00301E24">
        <w:rPr>
          <w:rFonts w:ascii="Times New Roman" w:hAnsi="Times New Roman" w:cs="Times New Roman"/>
          <w:noProof/>
          <w:kern w:val="0"/>
        </w:rPr>
        <w:t>(1), 1–8. https://doi.org/10.48130/tih-2022-0001</w:t>
      </w:r>
    </w:p>
    <w:p w14:paraId="0DB32A65"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Ikiz, B., Dasgan, H. Y., &amp; Gruda, N. S. (2024). Utilizing the power of plant growth </w:t>
      </w:r>
      <w:r w:rsidRPr="00301E24">
        <w:rPr>
          <w:rFonts w:ascii="Times New Roman" w:hAnsi="Times New Roman" w:cs="Times New Roman"/>
          <w:noProof/>
          <w:kern w:val="0"/>
        </w:rPr>
        <w:lastRenderedPageBreak/>
        <w:t xml:space="preserve">promoting rhizobacteria on reducing mineral fertilizer, improved yield, and nutritional quality of Batavia lettuce in a floating culture. </w:t>
      </w:r>
      <w:r w:rsidRPr="00301E24">
        <w:rPr>
          <w:rFonts w:ascii="Times New Roman" w:hAnsi="Times New Roman" w:cs="Times New Roman"/>
          <w:i/>
          <w:iCs/>
          <w:noProof/>
          <w:kern w:val="0"/>
        </w:rPr>
        <w:t>Scientific Reports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14</w:t>
      </w:r>
      <w:r w:rsidRPr="00301E24">
        <w:rPr>
          <w:rFonts w:ascii="Times New Roman" w:hAnsi="Times New Roman" w:cs="Times New Roman"/>
          <w:noProof/>
          <w:kern w:val="0"/>
        </w:rPr>
        <w:t>(1). https://doi.org/10.1038/s41598-024-51818-w</w:t>
      </w:r>
    </w:p>
    <w:p w14:paraId="2D6E255B"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Khan, A., Singh, A. V., Gautam, S. S., Agarwal, A., Punetha, A., Upadhayay, V. K., Kukreti, B., Bundela, V., Jugran, A. K., &amp; Goel, R. (2023). Microbial bioformulation: a microbial assisted biostimulating fertilization technique for sustainable agriculture. </w:t>
      </w:r>
      <w:r w:rsidRPr="00301E24">
        <w:rPr>
          <w:rFonts w:ascii="Times New Roman" w:hAnsi="Times New Roman" w:cs="Times New Roman"/>
          <w:i/>
          <w:iCs/>
          <w:noProof/>
          <w:kern w:val="0"/>
        </w:rPr>
        <w:t>Frontiers in Plant Science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14</w:t>
      </w:r>
      <w:r w:rsidRPr="00301E24">
        <w:rPr>
          <w:rFonts w:ascii="Times New Roman" w:hAnsi="Times New Roman" w:cs="Times New Roman"/>
          <w:noProof/>
          <w:kern w:val="0"/>
        </w:rPr>
        <w:t>(December), 1–22. https://doi.org/10.3389/fpls.2023.1270039</w:t>
      </w:r>
    </w:p>
    <w:p w14:paraId="759BE487"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Laishram, B., Devi, O. R., Dutta, R., Senthilkumar, T., Goyal, G., Paliwal, D. K., Panotra, N., &amp; Rasool, A. (2025). Plant-microbe interactions: PGPM as microbial inoculants/biofertilizers for sustaining crop productivity and soil fertility. </w:t>
      </w:r>
      <w:r w:rsidRPr="00301E24">
        <w:rPr>
          <w:rFonts w:ascii="Times New Roman" w:hAnsi="Times New Roman" w:cs="Times New Roman"/>
          <w:i/>
          <w:iCs/>
          <w:noProof/>
          <w:kern w:val="0"/>
        </w:rPr>
        <w:t>Current Research in Microbial Sciences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8</w:t>
      </w:r>
      <w:r w:rsidRPr="00301E24">
        <w:rPr>
          <w:rFonts w:ascii="Times New Roman" w:hAnsi="Times New Roman" w:cs="Times New Roman"/>
          <w:noProof/>
          <w:kern w:val="0"/>
        </w:rPr>
        <w:t>(December 2024), 100333. https://doi.org/10.1016/j.crmicr.2024.100333</w:t>
      </w:r>
    </w:p>
    <w:p w14:paraId="789B126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Mourouzidou, S., Ntinas, G. K., Tsaballa, A., &amp; Monokrousos, N. (2023). Introducing the Power of Plant Growth Promoting Microorganisms in Soilless Systems: A Promising Alternative for Sustainable Agriculture. </w:t>
      </w:r>
      <w:r w:rsidRPr="00301E24">
        <w:rPr>
          <w:rFonts w:ascii="Times New Roman" w:hAnsi="Times New Roman" w:cs="Times New Roman"/>
          <w:i/>
          <w:iCs/>
          <w:noProof/>
          <w:kern w:val="0"/>
        </w:rPr>
        <w:t>Sustainability (Switzerland)</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(7). https://doi.org/10.3390/su15075959</w:t>
      </w:r>
    </w:p>
    <w:p w14:paraId="701D7033"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Park, Y., &amp; Williams, K. A. (2024). Organic hydroponics: A review. </w:t>
      </w:r>
      <w:r w:rsidRPr="00301E24">
        <w:rPr>
          <w:rFonts w:ascii="Times New Roman" w:hAnsi="Times New Roman" w:cs="Times New Roman"/>
          <w:i/>
          <w:iCs/>
          <w:noProof/>
          <w:kern w:val="0"/>
        </w:rPr>
        <w:t>Scientia Horticulturae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324</w:t>
      </w:r>
      <w:r w:rsidRPr="00301E24">
        <w:rPr>
          <w:rFonts w:ascii="Times New Roman" w:hAnsi="Times New Roman" w:cs="Times New Roman"/>
          <w:noProof/>
          <w:kern w:val="0"/>
        </w:rPr>
        <w:t>, 112604. https://doi.org/https://doi.org/10.1016/j.scienta.2023.112604</w:t>
      </w:r>
    </w:p>
    <w:p w14:paraId="346647B1"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Putra, S. D., Heriansyah, H., Cahyadi, E. F., Anggriani, K., &amp; Imron S Jaya, M. H. (2024). Development of Smart Hydroponics System using AI-based Sensing. </w:t>
      </w:r>
      <w:r w:rsidRPr="00301E24">
        <w:rPr>
          <w:rFonts w:ascii="Times New Roman" w:hAnsi="Times New Roman" w:cs="Times New Roman"/>
          <w:i/>
          <w:iCs/>
          <w:noProof/>
          <w:kern w:val="0"/>
        </w:rPr>
        <w:t>Jurnal Infotel</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16</w:t>
      </w:r>
      <w:r w:rsidRPr="00301E24">
        <w:rPr>
          <w:rFonts w:ascii="Times New Roman" w:hAnsi="Times New Roman" w:cs="Times New Roman"/>
          <w:noProof/>
          <w:kern w:val="0"/>
        </w:rPr>
        <w:t>(3), 474–486. https://doi.org/10.20895/infotel.v16i3.1190</w:t>
      </w:r>
    </w:p>
    <w:p w14:paraId="52D9322F"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Rajendran, S., Domalachenpa, T., Arora, H., Li, P., Sharma, A., &amp; Rajauria, G. (2024). Hydroponics: Exploring innovative sustainable technologies and applications across crop production, with Emphasis on potato mini-tuber cultivation. </w:t>
      </w:r>
      <w:r w:rsidRPr="00301E24">
        <w:rPr>
          <w:rFonts w:ascii="Times New Roman" w:hAnsi="Times New Roman" w:cs="Times New Roman"/>
          <w:i/>
          <w:iCs/>
          <w:noProof/>
          <w:kern w:val="0"/>
        </w:rPr>
        <w:t>Heliyon</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10</w:t>
      </w:r>
      <w:r w:rsidRPr="00301E24">
        <w:rPr>
          <w:rFonts w:ascii="Times New Roman" w:hAnsi="Times New Roman" w:cs="Times New Roman"/>
          <w:noProof/>
          <w:kern w:val="0"/>
        </w:rPr>
        <w:t>(5), e26823. https://doi.org/10.1016/j.heliyon.2024.e26823</w:t>
      </w:r>
    </w:p>
    <w:p w14:paraId="71670997"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Ram, B. (2024). Precision Farming With Iot: Soil Nutrient Analysis And Fertilization Recommendation System. </w:t>
      </w:r>
      <w:r w:rsidRPr="00301E24">
        <w:rPr>
          <w:rFonts w:ascii="Times New Roman" w:hAnsi="Times New Roman" w:cs="Times New Roman"/>
          <w:i/>
          <w:iCs/>
          <w:noProof/>
          <w:kern w:val="0"/>
        </w:rPr>
        <w:t>African Journal of Biomedical Research</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27</w:t>
      </w:r>
      <w:r w:rsidRPr="00301E24">
        <w:rPr>
          <w:rFonts w:ascii="Times New Roman" w:hAnsi="Times New Roman" w:cs="Times New Roman"/>
          <w:noProof/>
          <w:kern w:val="0"/>
        </w:rPr>
        <w:t>(4), 9335–9345. https://doi.org/10.53555/ajbr.v27i4s.5436</w:t>
      </w:r>
    </w:p>
    <w:p w14:paraId="18E7E1DD"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Reza, M. N., Lee, K. H., Karim, M. R., Haque, M. A., Bicamumakuba, E., Dey, P. K., Jang, Y. Y., &amp; Chung, S. O. (2025). Trends of Soil and Solution Nutrient Sensing for Open Field and Hydroponic Cultivation in Facilitated Smart Agriculture. </w:t>
      </w:r>
      <w:r w:rsidRPr="00301E24">
        <w:rPr>
          <w:rFonts w:ascii="Times New Roman" w:hAnsi="Times New Roman" w:cs="Times New Roman"/>
          <w:i/>
          <w:iCs/>
          <w:noProof/>
          <w:kern w:val="0"/>
        </w:rPr>
        <w:t>Sensors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25</w:t>
      </w:r>
      <w:r w:rsidRPr="00301E24">
        <w:rPr>
          <w:rFonts w:ascii="Times New Roman" w:hAnsi="Times New Roman" w:cs="Times New Roman"/>
          <w:noProof/>
          <w:kern w:val="0"/>
        </w:rPr>
        <w:t xml:space="preserve">(2). </w:t>
      </w:r>
      <w:r w:rsidRPr="00301E24">
        <w:rPr>
          <w:rFonts w:ascii="Times New Roman" w:hAnsi="Times New Roman" w:cs="Times New Roman"/>
          <w:noProof/>
          <w:kern w:val="0"/>
        </w:rPr>
        <w:lastRenderedPageBreak/>
        <w:t>https://doi.org/10.3390/s25020453</w:t>
      </w:r>
    </w:p>
    <w:p w14:paraId="12D0A671"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Sadek, N., kamal, N., &amp; Shehata, D. (2024). Internet of Things based smart automated indoor hydroponics and aeroponics greenhouse in Egypt. </w:t>
      </w:r>
      <w:r w:rsidRPr="00301E24">
        <w:rPr>
          <w:rFonts w:ascii="Times New Roman" w:hAnsi="Times New Roman" w:cs="Times New Roman"/>
          <w:i/>
          <w:iCs/>
          <w:noProof/>
          <w:kern w:val="0"/>
        </w:rPr>
        <w:t>Ain Shams Engineering Journal</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(2), 102341. https://doi.org/10.1016/j.asej.2023.102341</w:t>
      </w:r>
    </w:p>
    <w:p w14:paraId="698DF7A4"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Shareef, U., Rehman, A. U., &amp; Ahmad, R. (2024). A Systematic Literature Review on Parameters Optimization for Smart Hydroponic Systems. </w:t>
      </w:r>
      <w:r w:rsidRPr="00301E24">
        <w:rPr>
          <w:rFonts w:ascii="Times New Roman" w:hAnsi="Times New Roman" w:cs="Times New Roman"/>
          <w:i/>
          <w:iCs/>
          <w:noProof/>
          <w:kern w:val="0"/>
        </w:rPr>
        <w:t>AI (Switzerland)</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5</w:t>
      </w:r>
      <w:r w:rsidRPr="00301E24">
        <w:rPr>
          <w:rFonts w:ascii="Times New Roman" w:hAnsi="Times New Roman" w:cs="Times New Roman"/>
          <w:noProof/>
          <w:kern w:val="0"/>
        </w:rPr>
        <w:t>(3), 1517–1533. https://doi.org/10.3390/ai5030073</w:t>
      </w:r>
    </w:p>
    <w:p w14:paraId="0662506F"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Sharma, K., &amp; Shivandu, S. K. (2024). Integrating artificial intelligence and Internet of Things (IoT) for enhanced crop monitoring and management in precision agriculture. </w:t>
      </w:r>
      <w:r w:rsidRPr="00301E24">
        <w:rPr>
          <w:rFonts w:ascii="Times New Roman" w:hAnsi="Times New Roman" w:cs="Times New Roman"/>
          <w:i/>
          <w:iCs/>
          <w:noProof/>
          <w:kern w:val="0"/>
        </w:rPr>
        <w:t>Sensors International</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5</w:t>
      </w:r>
      <w:r w:rsidRPr="00301E24">
        <w:rPr>
          <w:rFonts w:ascii="Times New Roman" w:hAnsi="Times New Roman" w:cs="Times New Roman"/>
          <w:noProof/>
          <w:kern w:val="0"/>
        </w:rPr>
        <w:t>(July), 100292. https://doi.org/10.1016/j.sintl.2024.100292</w:t>
      </w:r>
    </w:p>
    <w:p w14:paraId="04B45D7D"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Sun, W., Shahrajabian, M. H., &amp; Soleymani, A. (2024). The Roles of Plant-Growth-Promoting Rhizobacteria (PGPR)-Based Biostimulants for Agricultural Production Systems. </w:t>
      </w:r>
      <w:r w:rsidRPr="00301E24">
        <w:rPr>
          <w:rFonts w:ascii="Times New Roman" w:hAnsi="Times New Roman" w:cs="Times New Roman"/>
          <w:i/>
          <w:iCs/>
          <w:noProof/>
          <w:kern w:val="0"/>
        </w:rPr>
        <w:t>Plants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13</w:t>
      </w:r>
      <w:r w:rsidRPr="00301E24">
        <w:rPr>
          <w:rFonts w:ascii="Times New Roman" w:hAnsi="Times New Roman" w:cs="Times New Roman"/>
          <w:noProof/>
          <w:kern w:val="0"/>
        </w:rPr>
        <w:t>(5), 1–37. https://doi.org/10.3390/plants13050613</w:t>
      </w:r>
    </w:p>
    <w:p w14:paraId="16732981"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kern w:val="0"/>
        </w:rPr>
      </w:pPr>
      <w:r w:rsidRPr="00301E24">
        <w:rPr>
          <w:rFonts w:ascii="Times New Roman" w:hAnsi="Times New Roman" w:cs="Times New Roman"/>
          <w:noProof/>
          <w:kern w:val="0"/>
        </w:rPr>
        <w:t xml:space="preserve">Wang, O., Deaker, R., &amp; Van Ogtrop, F. (2025). A systematic review of food-waste based hydroponic fertilisers. </w:t>
      </w:r>
      <w:r w:rsidRPr="00301E24">
        <w:rPr>
          <w:rFonts w:ascii="Times New Roman" w:hAnsi="Times New Roman" w:cs="Times New Roman"/>
          <w:i/>
          <w:iCs/>
          <w:noProof/>
          <w:kern w:val="0"/>
        </w:rPr>
        <w:t>Agricultural Systems</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223</w:t>
      </w:r>
      <w:r w:rsidRPr="00301E24">
        <w:rPr>
          <w:rFonts w:ascii="Times New Roman" w:hAnsi="Times New Roman" w:cs="Times New Roman"/>
          <w:noProof/>
          <w:kern w:val="0"/>
        </w:rPr>
        <w:t>(November 2024), 104179. https://doi.org/10.1016/j.agsy.2024.104179</w:t>
      </w:r>
    </w:p>
    <w:p w14:paraId="5B0BE9F7" w14:textId="77777777" w:rsidR="00301E24" w:rsidRPr="00301E24" w:rsidRDefault="00301E24" w:rsidP="00301E24">
      <w:pPr>
        <w:widowControl w:val="0"/>
        <w:autoSpaceDE w:val="0"/>
        <w:autoSpaceDN w:val="0"/>
        <w:adjustRightInd w:val="0"/>
        <w:spacing w:before="100" w:after="100" w:line="360" w:lineRule="auto"/>
        <w:ind w:left="480" w:hanging="480"/>
        <w:rPr>
          <w:rFonts w:ascii="Times New Roman" w:hAnsi="Times New Roman" w:cs="Times New Roman"/>
          <w:noProof/>
        </w:rPr>
      </w:pPr>
      <w:r w:rsidRPr="00301E24">
        <w:rPr>
          <w:rFonts w:ascii="Times New Roman" w:hAnsi="Times New Roman" w:cs="Times New Roman"/>
          <w:noProof/>
          <w:kern w:val="0"/>
        </w:rPr>
        <w:t xml:space="preserve">Woźniak, M., &amp; Ijaz, M. F. (2024). Editorial: Recent advances in big data, machine, and deep learning for precision agriculture. </w:t>
      </w:r>
      <w:r w:rsidRPr="00301E24">
        <w:rPr>
          <w:rFonts w:ascii="Times New Roman" w:hAnsi="Times New Roman" w:cs="Times New Roman"/>
          <w:i/>
          <w:iCs/>
          <w:noProof/>
          <w:kern w:val="0"/>
        </w:rPr>
        <w:t>Frontiers in Plant Science</w:t>
      </w:r>
      <w:r w:rsidRPr="00301E24">
        <w:rPr>
          <w:rFonts w:ascii="Times New Roman" w:hAnsi="Times New Roman" w:cs="Times New Roman"/>
          <w:noProof/>
          <w:kern w:val="0"/>
        </w:rPr>
        <w:t xml:space="preserve">, </w:t>
      </w:r>
      <w:r w:rsidRPr="00301E24">
        <w:rPr>
          <w:rFonts w:ascii="Times New Roman" w:hAnsi="Times New Roman" w:cs="Times New Roman"/>
          <w:i/>
          <w:iCs/>
          <w:noProof/>
          <w:kern w:val="0"/>
        </w:rPr>
        <w:t>15</w:t>
      </w:r>
      <w:r w:rsidRPr="00301E24">
        <w:rPr>
          <w:rFonts w:ascii="Times New Roman" w:hAnsi="Times New Roman" w:cs="Times New Roman"/>
          <w:noProof/>
          <w:kern w:val="0"/>
        </w:rPr>
        <w:t>(February), 1–4. https://doi.org/10.3389/fpls.2024.1367538</w:t>
      </w:r>
    </w:p>
    <w:p w14:paraId="689AFDAD" w14:textId="0EE2D47E" w:rsidR="00DA6C98" w:rsidRPr="00DA6C98" w:rsidRDefault="00DA6C98" w:rsidP="00DA6C98">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A6C98">
        <w:rPr>
          <w:rFonts w:ascii="Times New Roman" w:eastAsia="Times New Roman" w:hAnsi="Times New Roman" w:cs="Times New Roman"/>
          <w:b/>
          <w:bCs/>
          <w:kern w:val="0"/>
          <w:lang w:eastAsia="en-IN"/>
          <w14:ligatures w14:val="none"/>
        </w:rPr>
        <w:fldChar w:fldCharType="end"/>
      </w:r>
    </w:p>
    <w:p w14:paraId="73CACF54" w14:textId="580808A7" w:rsidR="00574AFC" w:rsidRPr="00DA6C98" w:rsidRDefault="00574AFC"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3816AD5A" w14:textId="77777777" w:rsidR="00F26405" w:rsidRPr="00DA6C98" w:rsidRDefault="00F26405"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5E4DF7EE" w14:textId="77777777" w:rsidR="00E128D7" w:rsidRPr="00DA6C98" w:rsidRDefault="00E128D7" w:rsidP="00DA6C98">
      <w:pPr>
        <w:spacing w:before="100" w:beforeAutospacing="1" w:after="100" w:afterAutospacing="1" w:line="360" w:lineRule="auto"/>
        <w:ind w:left="360"/>
        <w:jc w:val="both"/>
        <w:rPr>
          <w:rFonts w:ascii="Times New Roman" w:eastAsia="Times New Roman" w:hAnsi="Times New Roman" w:cs="Times New Roman"/>
          <w:b/>
          <w:bCs/>
          <w:kern w:val="0"/>
          <w:lang w:eastAsia="en-IN"/>
          <w14:ligatures w14:val="none"/>
        </w:rPr>
      </w:pPr>
    </w:p>
    <w:p w14:paraId="273AE90E" w14:textId="77777777" w:rsidR="00E128D7" w:rsidRPr="00DA6C98" w:rsidRDefault="00E128D7" w:rsidP="00DA6C98">
      <w:pPr>
        <w:spacing w:line="360" w:lineRule="auto"/>
        <w:ind w:left="360"/>
        <w:jc w:val="both"/>
        <w:rPr>
          <w:rFonts w:ascii="Times New Roman" w:hAnsi="Times New Roman" w:cs="Times New Roman"/>
          <w:b/>
          <w:bCs/>
        </w:rPr>
      </w:pPr>
    </w:p>
    <w:p w14:paraId="15E311A3" w14:textId="25C8DADA" w:rsidR="00F16216" w:rsidRPr="00DA6C98" w:rsidRDefault="00F16216" w:rsidP="00DA6C98">
      <w:pPr>
        <w:spacing w:line="360" w:lineRule="auto"/>
        <w:ind w:left="360"/>
        <w:jc w:val="both"/>
        <w:rPr>
          <w:rFonts w:ascii="Times New Roman" w:hAnsi="Times New Roman" w:cs="Times New Roman"/>
          <w:b/>
          <w:bCs/>
        </w:rPr>
      </w:pPr>
    </w:p>
    <w:p w14:paraId="5801BBD2" w14:textId="77777777" w:rsidR="00F16216" w:rsidRPr="00DA6C98" w:rsidRDefault="00F16216" w:rsidP="00DA6C98">
      <w:pPr>
        <w:spacing w:line="360" w:lineRule="auto"/>
        <w:ind w:left="360"/>
        <w:jc w:val="both"/>
        <w:rPr>
          <w:rFonts w:ascii="Times New Roman" w:hAnsi="Times New Roman" w:cs="Times New Roman"/>
        </w:rPr>
      </w:pPr>
    </w:p>
    <w:p w14:paraId="346AFF7A" w14:textId="6B4D068D" w:rsidR="00F16216" w:rsidRPr="00DA6C98" w:rsidRDefault="00F16216" w:rsidP="00DA6C98">
      <w:pPr>
        <w:spacing w:line="360" w:lineRule="auto"/>
        <w:ind w:left="360"/>
        <w:jc w:val="both"/>
        <w:rPr>
          <w:rFonts w:ascii="Times New Roman" w:hAnsi="Times New Roman" w:cs="Times New Roman"/>
          <w:b/>
          <w:bCs/>
        </w:rPr>
      </w:pPr>
    </w:p>
    <w:p w14:paraId="2462C02D" w14:textId="2B15312F" w:rsidR="00710E80" w:rsidRPr="00DA6C98" w:rsidRDefault="00710E80" w:rsidP="00DA6C98">
      <w:pPr>
        <w:spacing w:line="360" w:lineRule="auto"/>
        <w:ind w:left="360"/>
        <w:jc w:val="both"/>
        <w:rPr>
          <w:rFonts w:ascii="Times New Roman" w:hAnsi="Times New Roman" w:cs="Times New Roman"/>
        </w:rPr>
      </w:pPr>
    </w:p>
    <w:p w14:paraId="4DD90AA2" w14:textId="77777777" w:rsidR="00DD7AD2" w:rsidRPr="00DA6C98" w:rsidRDefault="00DD7AD2" w:rsidP="00DA6C98">
      <w:pPr>
        <w:spacing w:line="360" w:lineRule="auto"/>
        <w:ind w:left="360"/>
        <w:jc w:val="both"/>
        <w:rPr>
          <w:rFonts w:ascii="Times New Roman" w:hAnsi="Times New Roman" w:cs="Times New Roman"/>
        </w:rPr>
      </w:pPr>
    </w:p>
    <w:p w14:paraId="4E7EF755" w14:textId="77777777" w:rsidR="00DD7AD2" w:rsidRPr="00DA6C98" w:rsidRDefault="00DD7AD2" w:rsidP="00DA6C98">
      <w:pPr>
        <w:spacing w:line="360" w:lineRule="auto"/>
        <w:ind w:left="360"/>
        <w:jc w:val="both"/>
        <w:rPr>
          <w:rFonts w:ascii="Times New Roman" w:hAnsi="Times New Roman" w:cs="Times New Roman"/>
        </w:rPr>
      </w:pPr>
    </w:p>
    <w:p w14:paraId="7873EAA2" w14:textId="77777777" w:rsidR="00DD4163" w:rsidRPr="00DA6C98" w:rsidRDefault="00DD4163" w:rsidP="00DA6C98">
      <w:pPr>
        <w:spacing w:line="360" w:lineRule="auto"/>
        <w:ind w:left="360"/>
        <w:jc w:val="both"/>
        <w:rPr>
          <w:rFonts w:ascii="Times New Roman" w:hAnsi="Times New Roman" w:cs="Times New Roman"/>
        </w:rPr>
      </w:pPr>
    </w:p>
    <w:p w14:paraId="7F93AD9E" w14:textId="77777777" w:rsidR="00943FD1" w:rsidRPr="00DA6C98" w:rsidRDefault="00943FD1" w:rsidP="00DA6C98">
      <w:pPr>
        <w:spacing w:line="360" w:lineRule="auto"/>
        <w:ind w:left="360"/>
        <w:jc w:val="both"/>
        <w:rPr>
          <w:rFonts w:ascii="Times New Roman" w:hAnsi="Times New Roman" w:cs="Times New Roman"/>
        </w:rPr>
      </w:pPr>
    </w:p>
    <w:p w14:paraId="170BC226" w14:textId="77777777" w:rsidR="00943FD1" w:rsidRPr="00DA6C98" w:rsidRDefault="00943FD1" w:rsidP="00DA6C98">
      <w:pPr>
        <w:spacing w:line="360" w:lineRule="auto"/>
        <w:ind w:left="360"/>
        <w:jc w:val="both"/>
        <w:rPr>
          <w:rFonts w:ascii="Times New Roman" w:hAnsi="Times New Roman" w:cs="Times New Roman"/>
        </w:rPr>
      </w:pPr>
    </w:p>
    <w:p w14:paraId="1D38FF61" w14:textId="59266AD8" w:rsidR="005D0040" w:rsidRPr="00DA6C98" w:rsidRDefault="005D0040" w:rsidP="00DA6C98">
      <w:pPr>
        <w:spacing w:line="360" w:lineRule="auto"/>
        <w:jc w:val="both"/>
        <w:rPr>
          <w:rFonts w:ascii="Times New Roman" w:hAnsi="Times New Roman" w:cs="Times New Roman"/>
        </w:rPr>
      </w:pPr>
    </w:p>
    <w:p w14:paraId="01EBFA40" w14:textId="77777777" w:rsidR="001A3C76" w:rsidRPr="00DA6C98" w:rsidRDefault="001A3C76" w:rsidP="00DA6C98">
      <w:pPr>
        <w:spacing w:line="360" w:lineRule="auto"/>
        <w:jc w:val="both"/>
        <w:rPr>
          <w:rFonts w:ascii="Times New Roman" w:hAnsi="Times New Roman" w:cs="Times New Roman"/>
        </w:rPr>
      </w:pPr>
    </w:p>
    <w:sectPr w:rsidR="001A3C76" w:rsidRPr="00DA6C98">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84A1" w14:textId="77777777" w:rsidR="00FF413B" w:rsidRDefault="00FF413B" w:rsidP="00640132">
      <w:pPr>
        <w:spacing w:after="0" w:line="240" w:lineRule="auto"/>
      </w:pPr>
      <w:r>
        <w:separator/>
      </w:r>
    </w:p>
  </w:endnote>
  <w:endnote w:type="continuationSeparator" w:id="0">
    <w:p w14:paraId="7AF5FA2D" w14:textId="77777777" w:rsidR="00FF413B" w:rsidRDefault="00FF413B" w:rsidP="0064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6C50A" w14:textId="77777777" w:rsidR="00FF413B" w:rsidRDefault="00FF413B" w:rsidP="00640132">
      <w:pPr>
        <w:spacing w:after="0" w:line="240" w:lineRule="auto"/>
      </w:pPr>
      <w:r>
        <w:separator/>
      </w:r>
    </w:p>
  </w:footnote>
  <w:footnote w:type="continuationSeparator" w:id="0">
    <w:p w14:paraId="7455EC42" w14:textId="77777777" w:rsidR="00FF413B" w:rsidRDefault="00FF413B" w:rsidP="00640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D1D3" w14:textId="41A0C815" w:rsidR="00640132" w:rsidRDefault="00FF413B">
    <w:pPr>
      <w:pStyle w:val="Header"/>
    </w:pPr>
    <w:r>
      <w:rPr>
        <w:noProof/>
      </w:rPr>
      <w:pict w14:anchorId="2F8CA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4B73" w14:textId="5151E68E" w:rsidR="00640132" w:rsidRDefault="00FF413B">
    <w:pPr>
      <w:pStyle w:val="Header"/>
    </w:pPr>
    <w:r>
      <w:rPr>
        <w:noProof/>
      </w:rPr>
      <w:pict w14:anchorId="7CB8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CEDD" w14:textId="65FD549E" w:rsidR="00640132" w:rsidRDefault="00FF413B">
    <w:pPr>
      <w:pStyle w:val="Header"/>
    </w:pPr>
    <w:r>
      <w:rPr>
        <w:noProof/>
      </w:rPr>
      <w:pict w14:anchorId="7EF3B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72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36C1"/>
    <w:multiLevelType w:val="multilevel"/>
    <w:tmpl w:val="947617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7C2DE2"/>
    <w:multiLevelType w:val="multilevel"/>
    <w:tmpl w:val="E78A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164B1C"/>
    <w:multiLevelType w:val="hybridMultilevel"/>
    <w:tmpl w:val="BFDA8E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4B26F70"/>
    <w:multiLevelType w:val="multilevel"/>
    <w:tmpl w:val="AB6A76E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94F36"/>
    <w:multiLevelType w:val="multilevel"/>
    <w:tmpl w:val="C066B6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D1701B"/>
    <w:multiLevelType w:val="multilevel"/>
    <w:tmpl w:val="1FBE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BC3ED9"/>
    <w:multiLevelType w:val="hybridMultilevel"/>
    <w:tmpl w:val="397801A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76"/>
    <w:rsid w:val="000247A1"/>
    <w:rsid w:val="00061059"/>
    <w:rsid w:val="00082D25"/>
    <w:rsid w:val="000951EF"/>
    <w:rsid w:val="000C5BF4"/>
    <w:rsid w:val="000C766A"/>
    <w:rsid w:val="000D5C57"/>
    <w:rsid w:val="000E6B96"/>
    <w:rsid w:val="0012725C"/>
    <w:rsid w:val="00146FE1"/>
    <w:rsid w:val="00172BF8"/>
    <w:rsid w:val="00184C88"/>
    <w:rsid w:val="00197586"/>
    <w:rsid w:val="001A3C76"/>
    <w:rsid w:val="001D2A32"/>
    <w:rsid w:val="001F5DE2"/>
    <w:rsid w:val="00200870"/>
    <w:rsid w:val="00214373"/>
    <w:rsid w:val="002328DE"/>
    <w:rsid w:val="00262BB8"/>
    <w:rsid w:val="0027142E"/>
    <w:rsid w:val="002A26F3"/>
    <w:rsid w:val="002C2257"/>
    <w:rsid w:val="002C79AB"/>
    <w:rsid w:val="002D6702"/>
    <w:rsid w:val="002F7D9B"/>
    <w:rsid w:val="00301E24"/>
    <w:rsid w:val="00313779"/>
    <w:rsid w:val="0034169F"/>
    <w:rsid w:val="00352330"/>
    <w:rsid w:val="0035380D"/>
    <w:rsid w:val="00354BC2"/>
    <w:rsid w:val="003A4766"/>
    <w:rsid w:val="003B641B"/>
    <w:rsid w:val="003C4E18"/>
    <w:rsid w:val="003C4EEB"/>
    <w:rsid w:val="003C7272"/>
    <w:rsid w:val="00403578"/>
    <w:rsid w:val="00417D3F"/>
    <w:rsid w:val="00423A68"/>
    <w:rsid w:val="00454E47"/>
    <w:rsid w:val="00464250"/>
    <w:rsid w:val="004716F6"/>
    <w:rsid w:val="00490791"/>
    <w:rsid w:val="004E22F9"/>
    <w:rsid w:val="004E5845"/>
    <w:rsid w:val="004E709B"/>
    <w:rsid w:val="00563488"/>
    <w:rsid w:val="00574AFC"/>
    <w:rsid w:val="005B7D30"/>
    <w:rsid w:val="005C44FF"/>
    <w:rsid w:val="005D0040"/>
    <w:rsid w:val="006014F7"/>
    <w:rsid w:val="00631FA1"/>
    <w:rsid w:val="00640132"/>
    <w:rsid w:val="0064096D"/>
    <w:rsid w:val="00641ECF"/>
    <w:rsid w:val="00663E01"/>
    <w:rsid w:val="006732A7"/>
    <w:rsid w:val="006A588D"/>
    <w:rsid w:val="006A5DA9"/>
    <w:rsid w:val="00704106"/>
    <w:rsid w:val="00705FC7"/>
    <w:rsid w:val="00710E80"/>
    <w:rsid w:val="0072540C"/>
    <w:rsid w:val="00735F42"/>
    <w:rsid w:val="007447C9"/>
    <w:rsid w:val="0075176F"/>
    <w:rsid w:val="00792482"/>
    <w:rsid w:val="007936F3"/>
    <w:rsid w:val="007C4148"/>
    <w:rsid w:val="007E6F28"/>
    <w:rsid w:val="0083095B"/>
    <w:rsid w:val="008457B3"/>
    <w:rsid w:val="0085266F"/>
    <w:rsid w:val="00892B01"/>
    <w:rsid w:val="008A1F62"/>
    <w:rsid w:val="008F0894"/>
    <w:rsid w:val="008F4921"/>
    <w:rsid w:val="009243F5"/>
    <w:rsid w:val="00925200"/>
    <w:rsid w:val="00943FD1"/>
    <w:rsid w:val="00944806"/>
    <w:rsid w:val="00966D5A"/>
    <w:rsid w:val="00977C79"/>
    <w:rsid w:val="009A1F6A"/>
    <w:rsid w:val="009E5FFA"/>
    <w:rsid w:val="009F59BD"/>
    <w:rsid w:val="00A31B8B"/>
    <w:rsid w:val="00A362EA"/>
    <w:rsid w:val="00A4238C"/>
    <w:rsid w:val="00A45B0B"/>
    <w:rsid w:val="00A73B05"/>
    <w:rsid w:val="00A85BD0"/>
    <w:rsid w:val="00A91B00"/>
    <w:rsid w:val="00A977D2"/>
    <w:rsid w:val="00AB0A30"/>
    <w:rsid w:val="00AB6FA1"/>
    <w:rsid w:val="00AC64B6"/>
    <w:rsid w:val="00AF0885"/>
    <w:rsid w:val="00B05299"/>
    <w:rsid w:val="00B176D6"/>
    <w:rsid w:val="00B25A00"/>
    <w:rsid w:val="00B26CC2"/>
    <w:rsid w:val="00B32BE4"/>
    <w:rsid w:val="00B63FC2"/>
    <w:rsid w:val="00B704B1"/>
    <w:rsid w:val="00B86F00"/>
    <w:rsid w:val="00BD5AA8"/>
    <w:rsid w:val="00BE1CC7"/>
    <w:rsid w:val="00BE6688"/>
    <w:rsid w:val="00BE7A8C"/>
    <w:rsid w:val="00BF2BD1"/>
    <w:rsid w:val="00C06DD4"/>
    <w:rsid w:val="00C22FB9"/>
    <w:rsid w:val="00C35A9E"/>
    <w:rsid w:val="00C6723D"/>
    <w:rsid w:val="00C84DA2"/>
    <w:rsid w:val="00CA04F4"/>
    <w:rsid w:val="00D63B02"/>
    <w:rsid w:val="00D712E7"/>
    <w:rsid w:val="00D91251"/>
    <w:rsid w:val="00D97D88"/>
    <w:rsid w:val="00DA6C98"/>
    <w:rsid w:val="00DD4163"/>
    <w:rsid w:val="00DD7AD2"/>
    <w:rsid w:val="00DF038B"/>
    <w:rsid w:val="00E015A2"/>
    <w:rsid w:val="00E128D7"/>
    <w:rsid w:val="00E32EE8"/>
    <w:rsid w:val="00E359FF"/>
    <w:rsid w:val="00E70024"/>
    <w:rsid w:val="00E83479"/>
    <w:rsid w:val="00E941DB"/>
    <w:rsid w:val="00E95A80"/>
    <w:rsid w:val="00EA7CE8"/>
    <w:rsid w:val="00EC2B59"/>
    <w:rsid w:val="00F053D4"/>
    <w:rsid w:val="00F16216"/>
    <w:rsid w:val="00F26405"/>
    <w:rsid w:val="00F31C41"/>
    <w:rsid w:val="00F61FAF"/>
    <w:rsid w:val="00F71C95"/>
    <w:rsid w:val="00F72133"/>
    <w:rsid w:val="00F81CA2"/>
    <w:rsid w:val="00FD3B7B"/>
    <w:rsid w:val="00FF41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6A5AC"/>
  <w15:chartTrackingRefBased/>
  <w15:docId w15:val="{FAB517A2-B437-4771-8126-21E02704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A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C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C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C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A3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C76"/>
    <w:rPr>
      <w:rFonts w:eastAsiaTheme="majorEastAsia" w:cstheme="majorBidi"/>
      <w:color w:val="272727" w:themeColor="text1" w:themeTint="D8"/>
    </w:rPr>
  </w:style>
  <w:style w:type="paragraph" w:styleId="Title">
    <w:name w:val="Title"/>
    <w:basedOn w:val="Normal"/>
    <w:next w:val="Normal"/>
    <w:link w:val="TitleChar"/>
    <w:uiPriority w:val="10"/>
    <w:qFormat/>
    <w:rsid w:val="001A3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C76"/>
    <w:pPr>
      <w:spacing w:before="160"/>
      <w:jc w:val="center"/>
    </w:pPr>
    <w:rPr>
      <w:i/>
      <w:iCs/>
      <w:color w:val="404040" w:themeColor="text1" w:themeTint="BF"/>
    </w:rPr>
  </w:style>
  <w:style w:type="character" w:customStyle="1" w:styleId="QuoteChar">
    <w:name w:val="Quote Char"/>
    <w:basedOn w:val="DefaultParagraphFont"/>
    <w:link w:val="Quote"/>
    <w:uiPriority w:val="29"/>
    <w:rsid w:val="001A3C76"/>
    <w:rPr>
      <w:i/>
      <w:iCs/>
      <w:color w:val="404040" w:themeColor="text1" w:themeTint="BF"/>
    </w:rPr>
  </w:style>
  <w:style w:type="paragraph" w:styleId="ListParagraph">
    <w:name w:val="List Paragraph"/>
    <w:basedOn w:val="Normal"/>
    <w:uiPriority w:val="34"/>
    <w:qFormat/>
    <w:rsid w:val="001A3C76"/>
    <w:pPr>
      <w:ind w:left="720"/>
      <w:contextualSpacing/>
    </w:pPr>
  </w:style>
  <w:style w:type="character" w:styleId="IntenseEmphasis">
    <w:name w:val="Intense Emphasis"/>
    <w:basedOn w:val="DefaultParagraphFont"/>
    <w:uiPriority w:val="21"/>
    <w:qFormat/>
    <w:rsid w:val="001A3C76"/>
    <w:rPr>
      <w:i/>
      <w:iCs/>
      <w:color w:val="2F5496" w:themeColor="accent1" w:themeShade="BF"/>
    </w:rPr>
  </w:style>
  <w:style w:type="paragraph" w:styleId="IntenseQuote">
    <w:name w:val="Intense Quote"/>
    <w:basedOn w:val="Normal"/>
    <w:next w:val="Normal"/>
    <w:link w:val="IntenseQuoteChar"/>
    <w:uiPriority w:val="30"/>
    <w:qFormat/>
    <w:rsid w:val="001A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C76"/>
    <w:rPr>
      <w:i/>
      <w:iCs/>
      <w:color w:val="2F5496" w:themeColor="accent1" w:themeShade="BF"/>
    </w:rPr>
  </w:style>
  <w:style w:type="character" w:styleId="IntenseReference">
    <w:name w:val="Intense Reference"/>
    <w:basedOn w:val="DefaultParagraphFont"/>
    <w:uiPriority w:val="32"/>
    <w:qFormat/>
    <w:rsid w:val="001A3C76"/>
    <w:rPr>
      <w:b/>
      <w:bCs/>
      <w:smallCaps/>
      <w:color w:val="2F5496" w:themeColor="accent1" w:themeShade="BF"/>
      <w:spacing w:val="5"/>
    </w:rPr>
  </w:style>
  <w:style w:type="character" w:styleId="Hyperlink">
    <w:name w:val="Hyperlink"/>
    <w:basedOn w:val="DefaultParagraphFont"/>
    <w:uiPriority w:val="99"/>
    <w:unhideWhenUsed/>
    <w:rsid w:val="001A3C76"/>
    <w:rPr>
      <w:color w:val="0563C1" w:themeColor="hyperlink"/>
      <w:u w:val="single"/>
    </w:rPr>
  </w:style>
  <w:style w:type="character" w:styleId="UnresolvedMention">
    <w:name w:val="Unresolved Mention"/>
    <w:basedOn w:val="DefaultParagraphFont"/>
    <w:uiPriority w:val="99"/>
    <w:semiHidden/>
    <w:unhideWhenUsed/>
    <w:rsid w:val="001A3C76"/>
    <w:rPr>
      <w:color w:val="605E5C"/>
      <w:shd w:val="clear" w:color="auto" w:fill="E1DFDD"/>
    </w:rPr>
  </w:style>
  <w:style w:type="paragraph" w:customStyle="1" w:styleId="mb-3">
    <w:name w:val="mb-3"/>
    <w:basedOn w:val="Normal"/>
    <w:rsid w:val="00AB0A3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NormalWeb">
    <w:name w:val="Normal (Web)"/>
    <w:basedOn w:val="Normal"/>
    <w:uiPriority w:val="99"/>
    <w:semiHidden/>
    <w:unhideWhenUsed/>
    <w:rsid w:val="00F16216"/>
    <w:rPr>
      <w:rFonts w:ascii="Times New Roman" w:hAnsi="Times New Roman" w:cs="Times New Roman"/>
    </w:rPr>
  </w:style>
  <w:style w:type="character" w:styleId="Emphasis">
    <w:name w:val="Emphasis"/>
    <w:basedOn w:val="DefaultParagraphFont"/>
    <w:uiPriority w:val="20"/>
    <w:qFormat/>
    <w:rsid w:val="00E128D7"/>
    <w:rPr>
      <w:i/>
      <w:iCs/>
    </w:rPr>
  </w:style>
  <w:style w:type="table" w:styleId="TableGrid">
    <w:name w:val="Table Grid"/>
    <w:basedOn w:val="TableNormal"/>
    <w:uiPriority w:val="39"/>
    <w:rsid w:val="00490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32"/>
  </w:style>
  <w:style w:type="paragraph" w:styleId="Footer">
    <w:name w:val="footer"/>
    <w:basedOn w:val="Normal"/>
    <w:link w:val="FooterChar"/>
    <w:uiPriority w:val="99"/>
    <w:unhideWhenUsed/>
    <w:rsid w:val="00640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5F62CE4-B65F-4CBB-B234-0CB277D4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20</Pages>
  <Words>51491</Words>
  <Characters>293504</Characters>
  <Application>Microsoft Office Word</Application>
  <DocSecurity>0</DocSecurity>
  <Lines>2445</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sharma</dc:creator>
  <cp:keywords/>
  <dc:description/>
  <cp:lastModifiedBy>Editor-11</cp:lastModifiedBy>
  <cp:revision>81</cp:revision>
  <dcterms:created xsi:type="dcterms:W3CDTF">2025-09-11T17:37:00Z</dcterms:created>
  <dcterms:modified xsi:type="dcterms:W3CDTF">2025-11-14T09:47:00Z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96573faf-bd5b-353e-aa42-bfa677aaf6e5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