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316AB" w14:textId="0C322026" w:rsidR="00DF063B" w:rsidRPr="00DF063B" w:rsidRDefault="00DF063B" w:rsidP="00DF063B">
      <w:pPr>
        <w:spacing w:after="0" w:line="360" w:lineRule="auto"/>
        <w:rPr>
          <w:rFonts w:ascii="Times New Roman" w:hAnsi="Times New Roman" w:cs="Times New Roman"/>
          <w:b/>
          <w:sz w:val="24"/>
          <w:szCs w:val="24"/>
          <w:u w:val="single"/>
        </w:rPr>
      </w:pPr>
      <w:r w:rsidRPr="00DF063B">
        <w:rPr>
          <w:rFonts w:ascii="Times New Roman" w:hAnsi="Times New Roman" w:cs="Times New Roman"/>
          <w:b/>
          <w:sz w:val="24"/>
          <w:szCs w:val="24"/>
          <w:u w:val="single"/>
        </w:rPr>
        <w:t>Review Article</w:t>
      </w:r>
    </w:p>
    <w:p w14:paraId="7B411D03" w14:textId="77777777" w:rsidR="0022224F" w:rsidRDefault="0022224F" w:rsidP="0022224F">
      <w:pPr>
        <w:spacing w:after="0" w:line="360" w:lineRule="auto"/>
        <w:rPr>
          <w:rFonts w:ascii="Times New Roman" w:hAnsi="Times New Roman" w:cs="Times New Roman"/>
          <w:b/>
          <w:sz w:val="24"/>
          <w:szCs w:val="24"/>
        </w:rPr>
      </w:pPr>
    </w:p>
    <w:p w14:paraId="02E26E1A" w14:textId="36E49BFD" w:rsidR="004F7964" w:rsidRPr="004F7964" w:rsidRDefault="004F7964" w:rsidP="0022224F">
      <w:pPr>
        <w:spacing w:after="0" w:line="360" w:lineRule="auto"/>
        <w:rPr>
          <w:rFonts w:ascii="Times New Roman" w:hAnsi="Times New Roman" w:cs="Times New Roman"/>
          <w:b/>
          <w:sz w:val="24"/>
          <w:szCs w:val="24"/>
        </w:rPr>
      </w:pPr>
      <w:r w:rsidRPr="004F7964">
        <w:rPr>
          <w:rFonts w:ascii="Times New Roman" w:hAnsi="Times New Roman" w:cs="Times New Roman"/>
          <w:b/>
          <w:sz w:val="24"/>
          <w:szCs w:val="24"/>
        </w:rPr>
        <w:t>PROTON PUMP INHIBITORS AND GUT MICROBIOTA: A COMPREHENSIVE REVIEW OF MICROBIAL ALTERATIONS AND CLINICAL IMPLICATIONS</w:t>
      </w:r>
    </w:p>
    <w:p w14:paraId="74404324" w14:textId="77777777" w:rsidR="004F7964" w:rsidRPr="004A7A0B" w:rsidRDefault="004F7964" w:rsidP="004A7A0B">
      <w:pPr>
        <w:spacing w:after="0" w:line="360" w:lineRule="auto"/>
        <w:rPr>
          <w:rFonts w:ascii="Times New Roman" w:hAnsi="Times New Roman" w:cs="Times New Roman"/>
          <w:sz w:val="24"/>
          <w:szCs w:val="24"/>
        </w:rPr>
      </w:pPr>
    </w:p>
    <w:p w14:paraId="605CAD71" w14:textId="77777777" w:rsidR="004F7964" w:rsidRPr="004A7A0B" w:rsidRDefault="004F7964" w:rsidP="004A7A0B">
      <w:pPr>
        <w:spacing w:after="0" w:line="360" w:lineRule="auto"/>
        <w:rPr>
          <w:rFonts w:ascii="Times New Roman" w:hAnsi="Times New Roman" w:cs="Times New Roman"/>
          <w:b/>
          <w:sz w:val="24"/>
          <w:szCs w:val="24"/>
        </w:rPr>
      </w:pPr>
      <w:r w:rsidRPr="004A7A0B">
        <w:rPr>
          <w:rFonts w:ascii="Times New Roman" w:hAnsi="Times New Roman" w:cs="Times New Roman"/>
          <w:b/>
          <w:sz w:val="24"/>
          <w:szCs w:val="24"/>
        </w:rPr>
        <w:t>ABSTRACT</w:t>
      </w:r>
    </w:p>
    <w:p w14:paraId="0CC3DC3E" w14:textId="77777777" w:rsidR="00FE12BF" w:rsidRDefault="0022224F" w:rsidP="004A7A0B">
      <w:pPr>
        <w:spacing w:after="0" w:line="360" w:lineRule="auto"/>
        <w:jc w:val="both"/>
        <w:rPr>
          <w:rFonts w:ascii="Times New Roman" w:hAnsi="Times New Roman" w:cs="Times New Roman"/>
          <w:sz w:val="24"/>
          <w:szCs w:val="24"/>
        </w:rPr>
      </w:pPr>
      <w:r w:rsidRPr="0022224F">
        <w:rPr>
          <w:rFonts w:ascii="Times New Roman" w:hAnsi="Times New Roman" w:cs="Times New Roman"/>
          <w:b/>
          <w:bCs/>
          <w:sz w:val="24"/>
          <w:szCs w:val="24"/>
        </w:rPr>
        <w:t>Background:</w:t>
      </w:r>
      <w:r>
        <w:rPr>
          <w:rFonts w:ascii="Times New Roman" w:hAnsi="Times New Roman" w:cs="Times New Roman"/>
          <w:sz w:val="24"/>
          <w:szCs w:val="24"/>
        </w:rPr>
        <w:t xml:space="preserve"> </w:t>
      </w:r>
      <w:r w:rsidR="004F7964" w:rsidRPr="004A7A0B">
        <w:rPr>
          <w:rFonts w:ascii="Times New Roman" w:hAnsi="Times New Roman" w:cs="Times New Roman"/>
          <w:sz w:val="24"/>
          <w:szCs w:val="24"/>
        </w:rPr>
        <w:t xml:space="preserve">Significant changes in the gut microbiota of PPI users were discovered in a study examining the effects of proton pump inhibitors (PPIs) on the gut flora. Among PPI users, the relative abundance of eighteen bacterial families, or 20% of the bacterial taxa, varied statistically significantly. </w:t>
      </w:r>
    </w:p>
    <w:p w14:paraId="5E76C182" w14:textId="41809A23" w:rsidR="004F7964" w:rsidRDefault="00FE12BF" w:rsidP="004A7A0B">
      <w:pPr>
        <w:spacing w:after="0" w:line="360" w:lineRule="auto"/>
        <w:jc w:val="both"/>
        <w:rPr>
          <w:rFonts w:ascii="Times New Roman" w:hAnsi="Times New Roman" w:cs="Times New Roman"/>
          <w:sz w:val="24"/>
          <w:szCs w:val="24"/>
        </w:rPr>
      </w:pPr>
      <w:r w:rsidRPr="00FE12BF">
        <w:rPr>
          <w:rFonts w:ascii="Times New Roman" w:hAnsi="Times New Roman" w:cs="Times New Roman"/>
          <w:b/>
          <w:bCs/>
          <w:sz w:val="24"/>
          <w:szCs w:val="24"/>
        </w:rPr>
        <w:t>Introduction:</w:t>
      </w:r>
      <w:r>
        <w:rPr>
          <w:rFonts w:ascii="Times New Roman" w:hAnsi="Times New Roman" w:cs="Times New Roman"/>
          <w:sz w:val="24"/>
          <w:szCs w:val="24"/>
        </w:rPr>
        <w:t xml:space="preserve"> </w:t>
      </w:r>
      <w:r w:rsidR="004F7964" w:rsidRPr="004A7A0B">
        <w:rPr>
          <w:rFonts w:ascii="Times New Roman" w:hAnsi="Times New Roman" w:cs="Times New Roman"/>
          <w:sz w:val="24"/>
          <w:szCs w:val="24"/>
        </w:rPr>
        <w:t xml:space="preserve">Proton pump inhibitors (PPIs) have the potential to produce dysbiosis, which is the underlying cause of gastrointestinal illnesses, as well as alter the gut microbiota, which is important for IBD (inflammatory bowel disorders). Prolonged hypergastrinemia can speed up colonic epithelial cell growth, and IBD patients are more likely to get bacterial </w:t>
      </w:r>
      <w:r w:rsidR="00E64DB5" w:rsidRPr="004A7A0B">
        <w:rPr>
          <w:rFonts w:ascii="Times New Roman" w:hAnsi="Times New Roman" w:cs="Times New Roman"/>
          <w:sz w:val="24"/>
          <w:szCs w:val="24"/>
        </w:rPr>
        <w:t>super infections</w:t>
      </w:r>
      <w:r w:rsidR="004F7964" w:rsidRPr="004A7A0B">
        <w:rPr>
          <w:rFonts w:ascii="Times New Roman" w:hAnsi="Times New Roman" w:cs="Times New Roman"/>
          <w:sz w:val="24"/>
          <w:szCs w:val="24"/>
        </w:rPr>
        <w:t>. In patients with cirrhosis, long-term PPI use raises the risk of IBS, SIBO, and hepatic encephalopathy. Treating H. pylori infection is recommended for all patients in order to lower the long-term risk of stomach cancer. Patients with Rheumatoid arthritis, celiac disease, liver cirrhosis, and systemic lupus erythematosus (SLE) may see changes in their gut flora when using proton pump inhibitors (PPIs). These drugs raise the chance of acquiring certain illnesses by inducing inflammation and immune complexes in different organs</w:t>
      </w:r>
      <w:r>
        <w:rPr>
          <w:rFonts w:ascii="Times New Roman" w:hAnsi="Times New Roman" w:cs="Times New Roman"/>
          <w:sz w:val="24"/>
          <w:szCs w:val="24"/>
        </w:rPr>
        <w:t xml:space="preserve">. </w:t>
      </w:r>
      <w:r w:rsidR="004F7964" w:rsidRPr="004A7A0B">
        <w:rPr>
          <w:rFonts w:ascii="Times New Roman" w:hAnsi="Times New Roman" w:cs="Times New Roman"/>
          <w:sz w:val="24"/>
          <w:szCs w:val="24"/>
        </w:rPr>
        <w:t>Proton pump inhibitors (PPIs) are indicated for severe medical conditions and are used to treat gastrointestinal ailments. In contrast to the safer histamine-2 receptor antagonists (H2RAs) than Proton Pump Inhibitors, continuous use raises the risk of pneumonia, enteric infections, and bowel disorders.</w:t>
      </w:r>
    </w:p>
    <w:p w14:paraId="3381D431" w14:textId="40DC77D7" w:rsidR="00FE12BF" w:rsidRPr="00FE12BF" w:rsidRDefault="00FE12BF" w:rsidP="00FE12BF">
      <w:pPr>
        <w:spacing w:after="0" w:line="360" w:lineRule="auto"/>
        <w:jc w:val="both"/>
        <w:rPr>
          <w:rFonts w:ascii="Times New Roman" w:hAnsi="Times New Roman" w:cs="Times New Roman"/>
          <w:sz w:val="24"/>
          <w:szCs w:val="24"/>
        </w:rPr>
      </w:pPr>
      <w:r w:rsidRPr="00FE12BF">
        <w:rPr>
          <w:rFonts w:ascii="Times New Roman" w:hAnsi="Times New Roman" w:cs="Times New Roman"/>
          <w:b/>
          <w:bCs/>
          <w:sz w:val="24"/>
          <w:szCs w:val="24"/>
        </w:rPr>
        <w:t>Objective</w:t>
      </w:r>
      <w:r>
        <w:rPr>
          <w:rFonts w:ascii="Times New Roman" w:hAnsi="Times New Roman" w:cs="Times New Roman"/>
          <w:sz w:val="24"/>
          <w:szCs w:val="24"/>
        </w:rPr>
        <w:t xml:space="preserve">: </w:t>
      </w:r>
      <w:r w:rsidRPr="00FE12BF">
        <w:rPr>
          <w:rFonts w:ascii="Times New Roman" w:hAnsi="Times New Roman" w:cs="Times New Roman"/>
          <w:sz w:val="24"/>
          <w:szCs w:val="24"/>
        </w:rPr>
        <w:t>This article focus on altered microbiota and gastrointestinal disorders, nutritional influences on the gut microbiota and the implications for gastrointestinal health, as well as improved understanding of gut-microbiota–brain communication, this review examines current knowledge and future perspectives on the composition and function of the human gut microbiota.</w:t>
      </w:r>
    </w:p>
    <w:p w14:paraId="0CEA82EE" w14:textId="77777777" w:rsidR="004F7964" w:rsidRPr="004A7A0B" w:rsidRDefault="004F7964" w:rsidP="004A7A0B">
      <w:pPr>
        <w:spacing w:after="0" w:line="360" w:lineRule="auto"/>
        <w:rPr>
          <w:rFonts w:ascii="Times New Roman" w:hAnsi="Times New Roman" w:cs="Times New Roman"/>
          <w:sz w:val="24"/>
          <w:szCs w:val="24"/>
        </w:rPr>
      </w:pPr>
    </w:p>
    <w:p w14:paraId="1BAD8AC0" w14:textId="699A2AF0" w:rsidR="004F7964" w:rsidRDefault="004F7964" w:rsidP="004A7A0B">
      <w:pPr>
        <w:spacing w:after="0" w:line="360" w:lineRule="auto"/>
        <w:rPr>
          <w:rFonts w:ascii="Times New Roman" w:hAnsi="Times New Roman" w:cs="Times New Roman"/>
          <w:sz w:val="24"/>
          <w:szCs w:val="24"/>
        </w:rPr>
      </w:pPr>
      <w:r w:rsidRPr="00295BAD">
        <w:rPr>
          <w:rFonts w:ascii="Times New Roman" w:hAnsi="Times New Roman" w:cs="Times New Roman"/>
          <w:b/>
          <w:sz w:val="24"/>
          <w:szCs w:val="24"/>
        </w:rPr>
        <w:t>Keywords:</w:t>
      </w:r>
      <w:r w:rsidRPr="004A7A0B">
        <w:rPr>
          <w:rFonts w:ascii="Times New Roman" w:hAnsi="Times New Roman" w:cs="Times New Roman"/>
          <w:sz w:val="24"/>
          <w:szCs w:val="24"/>
        </w:rPr>
        <w:t xml:space="preserve"> Gut Microbiota, Proton Pump Inhibitor users, Enteric infections, Bowel disorders.</w:t>
      </w:r>
    </w:p>
    <w:p w14:paraId="5A6E21F0" w14:textId="4E18CB7A" w:rsidR="00AB5083" w:rsidRDefault="00AB5083" w:rsidP="004A7A0B">
      <w:pPr>
        <w:spacing w:after="0" w:line="360" w:lineRule="auto"/>
        <w:rPr>
          <w:rFonts w:ascii="Times New Roman" w:hAnsi="Times New Roman" w:cs="Times New Roman"/>
          <w:sz w:val="24"/>
          <w:szCs w:val="24"/>
        </w:rPr>
      </w:pPr>
    </w:p>
    <w:p w14:paraId="6BB0BA9E" w14:textId="77777777" w:rsidR="00E64DB5" w:rsidRDefault="00E64DB5" w:rsidP="004A7A0B">
      <w:pPr>
        <w:spacing w:after="0" w:line="360" w:lineRule="auto"/>
        <w:rPr>
          <w:rFonts w:ascii="Times New Roman" w:hAnsi="Times New Roman" w:cs="Times New Roman"/>
          <w:sz w:val="24"/>
          <w:szCs w:val="24"/>
        </w:rPr>
      </w:pPr>
    </w:p>
    <w:p w14:paraId="1DB9B150" w14:textId="4CADE9FE" w:rsidR="00E828BF" w:rsidRDefault="00E828BF" w:rsidP="004A7A0B">
      <w:pPr>
        <w:spacing w:after="0" w:line="360" w:lineRule="auto"/>
        <w:rPr>
          <w:rFonts w:ascii="Times New Roman" w:hAnsi="Times New Roman" w:cs="Times New Roman"/>
          <w:b/>
          <w:bCs/>
          <w:sz w:val="24"/>
          <w:szCs w:val="24"/>
        </w:rPr>
      </w:pPr>
      <w:r w:rsidRPr="00E828BF">
        <w:rPr>
          <w:rFonts w:ascii="Times New Roman" w:hAnsi="Times New Roman" w:cs="Times New Roman"/>
          <w:b/>
          <w:bCs/>
          <w:sz w:val="24"/>
          <w:szCs w:val="24"/>
        </w:rPr>
        <w:lastRenderedPageBreak/>
        <w:t>ABBREVIATIONS</w:t>
      </w:r>
    </w:p>
    <w:p w14:paraId="7A3F2FD4" w14:textId="1481CB5C" w:rsidR="00E828BF" w:rsidRDefault="00E041D6" w:rsidP="004A7A0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PPIs:</w:t>
      </w:r>
      <w:r>
        <w:rPr>
          <w:rFonts w:ascii="Times New Roman" w:hAnsi="Times New Roman" w:cs="Times New Roman"/>
          <w:sz w:val="24"/>
          <w:szCs w:val="24"/>
        </w:rPr>
        <w:t xml:space="preserve"> </w:t>
      </w:r>
      <w:r w:rsidR="00E828BF" w:rsidRPr="004A7A0B">
        <w:rPr>
          <w:rFonts w:ascii="Times New Roman" w:hAnsi="Times New Roman" w:cs="Times New Roman"/>
          <w:sz w:val="24"/>
          <w:szCs w:val="24"/>
        </w:rPr>
        <w:t xml:space="preserve">Proton pump inhibitors </w:t>
      </w:r>
    </w:p>
    <w:p w14:paraId="140C7BFE" w14:textId="2919D11F" w:rsidR="00E828BF" w:rsidRDefault="00E041D6" w:rsidP="004A7A0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CDI</w:t>
      </w:r>
      <w:r>
        <w:rPr>
          <w:rFonts w:ascii="Times New Roman" w:hAnsi="Times New Roman" w:cs="Times New Roman"/>
          <w:sz w:val="24"/>
          <w:szCs w:val="24"/>
        </w:rPr>
        <w:t xml:space="preserve">: </w:t>
      </w:r>
      <w:r w:rsidR="00E828BF" w:rsidRPr="004A7A0B">
        <w:rPr>
          <w:rFonts w:ascii="Times New Roman" w:hAnsi="Times New Roman" w:cs="Times New Roman"/>
          <w:sz w:val="24"/>
          <w:szCs w:val="24"/>
        </w:rPr>
        <w:t xml:space="preserve">Clostridium difficile infection </w:t>
      </w:r>
    </w:p>
    <w:p w14:paraId="63745CF8" w14:textId="6AF7203B" w:rsidR="00E828BF" w:rsidRDefault="00E041D6" w:rsidP="004A7A0B">
      <w:pPr>
        <w:spacing w:after="0" w:line="360" w:lineRule="auto"/>
        <w:rPr>
          <w:rFonts w:ascii="Times New Roman" w:hAnsi="Times New Roman" w:cs="Times New Roman"/>
          <w:sz w:val="24"/>
          <w:szCs w:val="24"/>
        </w:rPr>
      </w:pPr>
      <w:r>
        <w:rPr>
          <w:rFonts w:ascii="Times New Roman" w:hAnsi="Times New Roman" w:cs="Times New Roman"/>
          <w:sz w:val="24"/>
          <w:szCs w:val="24"/>
        </w:rPr>
        <w:t>IBD: I</w:t>
      </w:r>
      <w:r w:rsidR="00E828BF" w:rsidRPr="004A7A0B">
        <w:rPr>
          <w:rFonts w:ascii="Times New Roman" w:hAnsi="Times New Roman" w:cs="Times New Roman"/>
          <w:sz w:val="24"/>
          <w:szCs w:val="24"/>
        </w:rPr>
        <w:t>nflam</w:t>
      </w:r>
      <w:r w:rsidR="00E828BF">
        <w:rPr>
          <w:rFonts w:ascii="Times New Roman" w:hAnsi="Times New Roman" w:cs="Times New Roman"/>
          <w:sz w:val="24"/>
          <w:szCs w:val="24"/>
        </w:rPr>
        <w:t xml:space="preserve">matory bowel disorders </w:t>
      </w:r>
      <w:r w:rsidR="00E828BF" w:rsidRPr="004A7A0B">
        <w:rPr>
          <w:rFonts w:ascii="Times New Roman" w:hAnsi="Times New Roman" w:cs="Times New Roman"/>
          <w:sz w:val="24"/>
          <w:szCs w:val="24"/>
        </w:rPr>
        <w:t xml:space="preserve"> </w:t>
      </w:r>
    </w:p>
    <w:p w14:paraId="1DF49044" w14:textId="46D56827" w:rsidR="00E828BF" w:rsidRDefault="00E828BF" w:rsidP="004A7A0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rRNA</w:t>
      </w:r>
      <w:r w:rsidR="00E041D6">
        <w:rPr>
          <w:rFonts w:ascii="Times New Roman" w:hAnsi="Times New Roman" w:cs="Times New Roman"/>
          <w:sz w:val="24"/>
          <w:szCs w:val="24"/>
        </w:rPr>
        <w:t>: Ribosomal ribonucleic acid</w:t>
      </w:r>
    </w:p>
    <w:p w14:paraId="1F89592B" w14:textId="04097657" w:rsidR="003A0091" w:rsidRDefault="00E041D6" w:rsidP="004A7A0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 Coli: </w:t>
      </w:r>
      <w:r w:rsidR="003A0091" w:rsidRPr="004A7A0B">
        <w:rPr>
          <w:rFonts w:ascii="Times New Roman" w:hAnsi="Times New Roman" w:cs="Times New Roman"/>
          <w:sz w:val="24"/>
          <w:szCs w:val="24"/>
        </w:rPr>
        <w:t>Escherichia coli</w:t>
      </w:r>
    </w:p>
    <w:p w14:paraId="519867C9" w14:textId="71631236" w:rsidR="003A0091" w:rsidRDefault="00E041D6" w:rsidP="004A7A0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CD</w:t>
      </w:r>
      <w:r>
        <w:rPr>
          <w:rFonts w:ascii="Times New Roman" w:hAnsi="Times New Roman" w:cs="Times New Roman"/>
          <w:sz w:val="24"/>
          <w:szCs w:val="24"/>
        </w:rPr>
        <w:t xml:space="preserve">: </w:t>
      </w:r>
      <w:r w:rsidR="003A0091" w:rsidRPr="004A7A0B">
        <w:rPr>
          <w:rFonts w:ascii="Times New Roman" w:hAnsi="Times New Roman" w:cs="Times New Roman"/>
          <w:sz w:val="24"/>
          <w:szCs w:val="24"/>
        </w:rPr>
        <w:t xml:space="preserve">Crohn's disease </w:t>
      </w:r>
    </w:p>
    <w:p w14:paraId="3DDCEED2" w14:textId="5CC6F2A9" w:rsidR="003A0091" w:rsidRDefault="00E041D6" w:rsidP="004A7A0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UC</w:t>
      </w:r>
      <w:r>
        <w:rPr>
          <w:rFonts w:ascii="Times New Roman" w:hAnsi="Times New Roman" w:cs="Times New Roman"/>
          <w:sz w:val="24"/>
          <w:szCs w:val="24"/>
        </w:rPr>
        <w:t>: U</w:t>
      </w:r>
      <w:r w:rsidR="003A0091" w:rsidRPr="004A7A0B">
        <w:rPr>
          <w:rFonts w:ascii="Times New Roman" w:hAnsi="Times New Roman" w:cs="Times New Roman"/>
          <w:sz w:val="24"/>
          <w:szCs w:val="24"/>
        </w:rPr>
        <w:t xml:space="preserve">lcerative colitis </w:t>
      </w:r>
    </w:p>
    <w:p w14:paraId="1EF444B3" w14:textId="60FF5868" w:rsidR="00E041D6" w:rsidRDefault="00E041D6" w:rsidP="004A7A0B">
      <w:pPr>
        <w:spacing w:after="0" w:line="360" w:lineRule="auto"/>
        <w:rPr>
          <w:rFonts w:ascii="Times New Roman" w:hAnsi="Times New Roman" w:cs="Times New Roman"/>
          <w:sz w:val="24"/>
          <w:szCs w:val="24"/>
        </w:rPr>
      </w:pPr>
      <w:r>
        <w:rPr>
          <w:rFonts w:ascii="Times New Roman" w:hAnsi="Times New Roman" w:cs="Times New Roman"/>
          <w:sz w:val="24"/>
          <w:szCs w:val="24"/>
        </w:rPr>
        <w:t>IBS: Inflammatory Bowel syndrome</w:t>
      </w:r>
    </w:p>
    <w:p w14:paraId="035F8DA8" w14:textId="0B031FFE" w:rsidR="003A0091" w:rsidRDefault="003A0091" w:rsidP="004A7A0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H. pylori</w:t>
      </w:r>
      <w:r w:rsidR="00E041D6">
        <w:rPr>
          <w:rFonts w:ascii="Times New Roman" w:hAnsi="Times New Roman" w:cs="Times New Roman"/>
          <w:sz w:val="24"/>
          <w:szCs w:val="24"/>
        </w:rPr>
        <w:t>: Helicobacter Pylori</w:t>
      </w:r>
    </w:p>
    <w:p w14:paraId="4FFC4375" w14:textId="2FD81416" w:rsidR="003A0091" w:rsidRDefault="00E041D6" w:rsidP="004A7A0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CR</w:t>
      </w:r>
      <w:r w:rsidR="009066B5">
        <w:rPr>
          <w:rFonts w:ascii="Times New Roman" w:hAnsi="Times New Roman" w:cs="Times New Roman"/>
          <w:sz w:val="24"/>
          <w:szCs w:val="24"/>
        </w:rPr>
        <w:t>C</w:t>
      </w:r>
      <w:r>
        <w:rPr>
          <w:rFonts w:ascii="Times New Roman" w:hAnsi="Times New Roman" w:cs="Times New Roman"/>
          <w:sz w:val="24"/>
          <w:szCs w:val="24"/>
        </w:rPr>
        <w:t xml:space="preserve">: </w:t>
      </w:r>
      <w:r w:rsidR="003A0091" w:rsidRPr="004A7A0B">
        <w:rPr>
          <w:rFonts w:ascii="Times New Roman" w:hAnsi="Times New Roman" w:cs="Times New Roman"/>
          <w:sz w:val="24"/>
          <w:szCs w:val="24"/>
        </w:rPr>
        <w:t xml:space="preserve">Colorectal Cancer </w:t>
      </w:r>
    </w:p>
    <w:p w14:paraId="608FD338" w14:textId="4D991D35" w:rsidR="003A0091" w:rsidRDefault="003A0091" w:rsidP="004A7A0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F. nucleatum</w:t>
      </w:r>
      <w:r w:rsidR="00E041D6">
        <w:rPr>
          <w:rFonts w:ascii="Times New Roman" w:hAnsi="Times New Roman" w:cs="Times New Roman"/>
          <w:sz w:val="24"/>
          <w:szCs w:val="24"/>
        </w:rPr>
        <w:t>: Fusobacterium nucleatum</w:t>
      </w:r>
    </w:p>
    <w:p w14:paraId="0C2BA3BA" w14:textId="1AF483AC" w:rsidR="00E041D6" w:rsidRDefault="003A0091" w:rsidP="004A7A0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Fap</w:t>
      </w:r>
      <w:r w:rsidR="004A3324">
        <w:rPr>
          <w:rFonts w:ascii="Times New Roman" w:hAnsi="Times New Roman" w:cs="Times New Roman"/>
          <w:sz w:val="24"/>
          <w:szCs w:val="24"/>
        </w:rPr>
        <w:t xml:space="preserve"> </w:t>
      </w:r>
      <w:r w:rsidRPr="004A7A0B">
        <w:rPr>
          <w:rFonts w:ascii="Times New Roman" w:hAnsi="Times New Roman" w:cs="Times New Roman"/>
          <w:sz w:val="24"/>
          <w:szCs w:val="24"/>
        </w:rPr>
        <w:t>A</w:t>
      </w:r>
      <w:r w:rsidR="005D20BA">
        <w:rPr>
          <w:rFonts w:ascii="Times New Roman" w:hAnsi="Times New Roman" w:cs="Times New Roman"/>
          <w:sz w:val="24"/>
          <w:szCs w:val="24"/>
        </w:rPr>
        <w:t>:</w:t>
      </w:r>
      <w:r w:rsidRPr="004A7A0B">
        <w:rPr>
          <w:rFonts w:ascii="Times New Roman" w:hAnsi="Times New Roman" w:cs="Times New Roman"/>
          <w:sz w:val="24"/>
          <w:szCs w:val="24"/>
        </w:rPr>
        <w:t xml:space="preserve"> </w:t>
      </w:r>
      <w:r w:rsidR="009066B5">
        <w:rPr>
          <w:rFonts w:ascii="Times New Roman" w:hAnsi="Times New Roman" w:cs="Times New Roman"/>
          <w:sz w:val="24"/>
          <w:szCs w:val="24"/>
        </w:rPr>
        <w:t>Fibroblast activation protein alpha</w:t>
      </w:r>
      <w:r w:rsidRPr="004A7A0B">
        <w:rPr>
          <w:rFonts w:ascii="Times New Roman" w:hAnsi="Times New Roman" w:cs="Times New Roman"/>
          <w:sz w:val="24"/>
          <w:szCs w:val="24"/>
        </w:rPr>
        <w:t xml:space="preserve"> </w:t>
      </w:r>
    </w:p>
    <w:p w14:paraId="0ABF6404" w14:textId="316C147C" w:rsidR="003A0091" w:rsidRDefault="003A0091" w:rsidP="004A7A0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Fad</w:t>
      </w:r>
      <w:r w:rsidR="004A3324">
        <w:rPr>
          <w:rFonts w:ascii="Times New Roman" w:hAnsi="Times New Roman" w:cs="Times New Roman"/>
          <w:sz w:val="24"/>
          <w:szCs w:val="24"/>
        </w:rPr>
        <w:t xml:space="preserve"> </w:t>
      </w:r>
      <w:r w:rsidRPr="004A7A0B">
        <w:rPr>
          <w:rFonts w:ascii="Times New Roman" w:hAnsi="Times New Roman" w:cs="Times New Roman"/>
          <w:sz w:val="24"/>
          <w:szCs w:val="24"/>
        </w:rPr>
        <w:t>A</w:t>
      </w:r>
      <w:r w:rsidR="005D20BA">
        <w:rPr>
          <w:rFonts w:ascii="Times New Roman" w:hAnsi="Times New Roman" w:cs="Times New Roman"/>
          <w:sz w:val="24"/>
          <w:szCs w:val="24"/>
        </w:rPr>
        <w:t>:</w:t>
      </w:r>
      <w:r w:rsidR="009066B5">
        <w:rPr>
          <w:rFonts w:ascii="Times New Roman" w:hAnsi="Times New Roman" w:cs="Times New Roman"/>
          <w:sz w:val="24"/>
          <w:szCs w:val="24"/>
        </w:rPr>
        <w:t xml:space="preserve"> Fusobacterium adhesin A</w:t>
      </w:r>
    </w:p>
    <w:p w14:paraId="48582230" w14:textId="7D2D4215" w:rsidR="003A0091" w:rsidRDefault="003A0091" w:rsidP="004A7A0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NF-κB</w:t>
      </w:r>
      <w:r w:rsidR="005D20BA">
        <w:rPr>
          <w:rFonts w:ascii="Times New Roman" w:hAnsi="Times New Roman" w:cs="Times New Roman"/>
          <w:sz w:val="24"/>
          <w:szCs w:val="24"/>
        </w:rPr>
        <w:t>: Nuclear factor kappa light chain enhancer of activated B cells</w:t>
      </w:r>
    </w:p>
    <w:p w14:paraId="69E9A44A" w14:textId="10414896" w:rsidR="005D20BA" w:rsidRDefault="003A0091" w:rsidP="004A7A0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TNF-α</w:t>
      </w:r>
      <w:r w:rsidR="005D20BA">
        <w:rPr>
          <w:rFonts w:ascii="Times New Roman" w:hAnsi="Times New Roman" w:cs="Times New Roman"/>
          <w:sz w:val="24"/>
          <w:szCs w:val="24"/>
        </w:rPr>
        <w:t xml:space="preserve">: </w:t>
      </w:r>
      <w:r w:rsidR="00F91A54">
        <w:rPr>
          <w:rFonts w:ascii="Times New Roman" w:hAnsi="Times New Roman" w:cs="Times New Roman"/>
          <w:sz w:val="24"/>
          <w:szCs w:val="24"/>
        </w:rPr>
        <w:t>Tumour</w:t>
      </w:r>
      <w:r w:rsidR="005D20BA">
        <w:rPr>
          <w:rFonts w:ascii="Times New Roman" w:hAnsi="Times New Roman" w:cs="Times New Roman"/>
          <w:sz w:val="24"/>
          <w:szCs w:val="24"/>
        </w:rPr>
        <w:t xml:space="preserve"> necrosis factor alpha</w:t>
      </w:r>
    </w:p>
    <w:p w14:paraId="29FF3DDA" w14:textId="46DCB9D6" w:rsidR="003A0091" w:rsidRDefault="003A0091" w:rsidP="004A7A0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IL</w:t>
      </w:r>
      <w:r w:rsidR="005D20BA">
        <w:rPr>
          <w:rFonts w:ascii="Times New Roman" w:hAnsi="Times New Roman" w:cs="Times New Roman"/>
          <w:sz w:val="24"/>
          <w:szCs w:val="24"/>
        </w:rPr>
        <w:t>: Interleukins</w:t>
      </w:r>
    </w:p>
    <w:p w14:paraId="119B8B6B" w14:textId="5AF74F00" w:rsidR="003A0091" w:rsidRDefault="003A0091" w:rsidP="004A7A0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T cells</w:t>
      </w:r>
      <w:r w:rsidR="00E041D6">
        <w:rPr>
          <w:rFonts w:ascii="Times New Roman" w:hAnsi="Times New Roman" w:cs="Times New Roman"/>
          <w:sz w:val="24"/>
          <w:szCs w:val="24"/>
        </w:rPr>
        <w:t>:</w:t>
      </w:r>
      <w:r w:rsidR="005D20BA">
        <w:rPr>
          <w:rFonts w:ascii="Times New Roman" w:hAnsi="Times New Roman" w:cs="Times New Roman"/>
          <w:sz w:val="24"/>
          <w:szCs w:val="24"/>
        </w:rPr>
        <w:t xml:space="preserve"> Thymus cells</w:t>
      </w:r>
    </w:p>
    <w:p w14:paraId="113B894A" w14:textId="028D9EC2" w:rsidR="003A0091" w:rsidRDefault="003A0091" w:rsidP="004A7A0B">
      <w:pPr>
        <w:spacing w:after="0" w:line="360" w:lineRule="auto"/>
        <w:rPr>
          <w:rFonts w:ascii="Times New Roman" w:hAnsi="Times New Roman" w:cs="Times New Roman"/>
          <w:sz w:val="24"/>
          <w:szCs w:val="24"/>
        </w:rPr>
      </w:pPr>
      <w:r>
        <w:rPr>
          <w:rFonts w:ascii="Times New Roman" w:hAnsi="Times New Roman" w:cs="Times New Roman"/>
          <w:sz w:val="24"/>
          <w:szCs w:val="24"/>
        </w:rPr>
        <w:t>IBS</w:t>
      </w:r>
      <w:r w:rsidR="00E041D6">
        <w:rPr>
          <w:rFonts w:ascii="Times New Roman" w:hAnsi="Times New Roman" w:cs="Times New Roman"/>
          <w:sz w:val="24"/>
          <w:szCs w:val="24"/>
        </w:rPr>
        <w:t>: Inflammatory bowel syndrome</w:t>
      </w:r>
    </w:p>
    <w:p w14:paraId="2B1548DD" w14:textId="43B654AD" w:rsidR="003A0091" w:rsidRDefault="003A0091" w:rsidP="004A7A0B">
      <w:pPr>
        <w:spacing w:after="0" w:line="360" w:lineRule="auto"/>
        <w:rPr>
          <w:rFonts w:ascii="Times New Roman" w:hAnsi="Times New Roman" w:cs="Times New Roman"/>
          <w:sz w:val="24"/>
          <w:szCs w:val="24"/>
        </w:rPr>
      </w:pPr>
      <w:r>
        <w:rPr>
          <w:rFonts w:ascii="Times New Roman" w:hAnsi="Times New Roman" w:cs="Times New Roman"/>
          <w:sz w:val="24"/>
          <w:szCs w:val="24"/>
        </w:rPr>
        <w:t>SIBO</w:t>
      </w:r>
      <w:r w:rsidR="00E041D6">
        <w:rPr>
          <w:rFonts w:ascii="Times New Roman" w:hAnsi="Times New Roman" w:cs="Times New Roman"/>
          <w:sz w:val="24"/>
          <w:szCs w:val="24"/>
        </w:rPr>
        <w:t>:</w:t>
      </w:r>
      <w:r w:rsidR="009066B5">
        <w:rPr>
          <w:rFonts w:ascii="Times New Roman" w:hAnsi="Times New Roman" w:cs="Times New Roman"/>
          <w:sz w:val="24"/>
          <w:szCs w:val="24"/>
        </w:rPr>
        <w:t xml:space="preserve"> Small intestine bacterial overgrowth</w:t>
      </w:r>
    </w:p>
    <w:p w14:paraId="778C8AE9" w14:textId="2A9C8005" w:rsidR="003A0091" w:rsidRDefault="00E041D6" w:rsidP="004A7A0B">
      <w:pPr>
        <w:spacing w:after="0" w:line="360" w:lineRule="auto"/>
        <w:rPr>
          <w:rFonts w:ascii="Times New Roman" w:hAnsi="Times New Roman" w:cs="Times New Roman"/>
          <w:sz w:val="24"/>
          <w:szCs w:val="24"/>
        </w:rPr>
      </w:pPr>
      <w:r w:rsidRPr="004A7A0B">
        <w:rPr>
          <w:rFonts w:ascii="Times New Roman" w:hAnsi="Times New Roman" w:cs="Times New Roman"/>
          <w:sz w:val="24"/>
          <w:szCs w:val="24"/>
        </w:rPr>
        <w:t>HE</w:t>
      </w:r>
      <w:r>
        <w:rPr>
          <w:rFonts w:ascii="Times New Roman" w:hAnsi="Times New Roman" w:cs="Times New Roman"/>
          <w:sz w:val="24"/>
          <w:szCs w:val="24"/>
        </w:rPr>
        <w:t>: H</w:t>
      </w:r>
      <w:r w:rsidR="003A0091" w:rsidRPr="004A7A0B">
        <w:rPr>
          <w:rFonts w:ascii="Times New Roman" w:hAnsi="Times New Roman" w:cs="Times New Roman"/>
          <w:sz w:val="24"/>
          <w:szCs w:val="24"/>
        </w:rPr>
        <w:t xml:space="preserve">epatic encephalopathy </w:t>
      </w:r>
    </w:p>
    <w:p w14:paraId="44499E0D" w14:textId="2F129AC0" w:rsidR="003A0091" w:rsidRDefault="00E041D6" w:rsidP="004A7A0B">
      <w:pPr>
        <w:spacing w:after="0" w:line="360" w:lineRule="auto"/>
        <w:rPr>
          <w:rFonts w:ascii="Times New Roman" w:hAnsi="Times New Roman" w:cs="Times New Roman"/>
          <w:sz w:val="24"/>
          <w:szCs w:val="24"/>
        </w:rPr>
      </w:pPr>
      <w:r>
        <w:rPr>
          <w:rFonts w:ascii="Times New Roman" w:hAnsi="Times New Roman" w:cs="Times New Roman"/>
          <w:sz w:val="24"/>
          <w:szCs w:val="24"/>
        </w:rPr>
        <w:t>SBP: S</w:t>
      </w:r>
      <w:r w:rsidR="003A0091" w:rsidRPr="004A7A0B">
        <w:rPr>
          <w:rFonts w:ascii="Times New Roman" w:hAnsi="Times New Roman" w:cs="Times New Roman"/>
          <w:sz w:val="24"/>
          <w:szCs w:val="24"/>
        </w:rPr>
        <w:t>pontaneous bac</w:t>
      </w:r>
      <w:r w:rsidR="003A0091">
        <w:rPr>
          <w:rFonts w:ascii="Times New Roman" w:hAnsi="Times New Roman" w:cs="Times New Roman"/>
          <w:sz w:val="24"/>
          <w:szCs w:val="24"/>
        </w:rPr>
        <w:t xml:space="preserve">terial peritonitis </w:t>
      </w:r>
    </w:p>
    <w:p w14:paraId="498B3BF3" w14:textId="2EF36C91" w:rsidR="003A0091" w:rsidRDefault="003A0091" w:rsidP="004A7A0B">
      <w:pPr>
        <w:spacing w:after="0" w:line="360" w:lineRule="auto"/>
        <w:rPr>
          <w:rFonts w:ascii="Times New Roman" w:hAnsi="Times New Roman" w:cs="Times New Roman"/>
          <w:sz w:val="24"/>
          <w:szCs w:val="24"/>
        </w:rPr>
      </w:pPr>
      <w:r>
        <w:rPr>
          <w:rFonts w:ascii="Times New Roman" w:hAnsi="Times New Roman" w:cs="Times New Roman"/>
          <w:sz w:val="24"/>
          <w:szCs w:val="24"/>
        </w:rPr>
        <w:t>SLE</w:t>
      </w:r>
      <w:r w:rsidR="00E041D6">
        <w:rPr>
          <w:rFonts w:ascii="Times New Roman" w:hAnsi="Times New Roman" w:cs="Times New Roman"/>
          <w:sz w:val="24"/>
          <w:szCs w:val="24"/>
        </w:rPr>
        <w:t>:</w:t>
      </w:r>
      <w:r>
        <w:rPr>
          <w:rFonts w:ascii="Times New Roman" w:hAnsi="Times New Roman" w:cs="Times New Roman"/>
          <w:sz w:val="24"/>
          <w:szCs w:val="24"/>
        </w:rPr>
        <w:t xml:space="preserve"> </w:t>
      </w:r>
      <w:r w:rsidR="00E041D6">
        <w:rPr>
          <w:rFonts w:ascii="Times New Roman" w:hAnsi="Times New Roman" w:cs="Times New Roman"/>
          <w:sz w:val="24"/>
          <w:szCs w:val="24"/>
        </w:rPr>
        <w:t>S</w:t>
      </w:r>
      <w:r w:rsidRPr="004A7A0B">
        <w:rPr>
          <w:rFonts w:ascii="Times New Roman" w:hAnsi="Times New Roman" w:cs="Times New Roman"/>
          <w:sz w:val="24"/>
          <w:szCs w:val="24"/>
        </w:rPr>
        <w:t>ystemic lupus erythematosus</w:t>
      </w:r>
    </w:p>
    <w:p w14:paraId="64335310" w14:textId="21348524" w:rsidR="003A0091" w:rsidRDefault="003A0091" w:rsidP="005D20BA">
      <w:pPr>
        <w:spacing w:after="0" w:line="360" w:lineRule="auto"/>
        <w:rPr>
          <w:rFonts w:ascii="Times New Roman" w:hAnsi="Times New Roman" w:cs="Times New Roman"/>
          <w:sz w:val="24"/>
          <w:szCs w:val="24"/>
        </w:rPr>
      </w:pPr>
      <w:r>
        <w:rPr>
          <w:rFonts w:ascii="Times New Roman" w:hAnsi="Times New Roman" w:cs="Times New Roman"/>
          <w:sz w:val="24"/>
          <w:szCs w:val="24"/>
        </w:rPr>
        <w:t>NSAIDS</w:t>
      </w:r>
      <w:r w:rsidR="00E041D6">
        <w:rPr>
          <w:rFonts w:ascii="Times New Roman" w:hAnsi="Times New Roman" w:cs="Times New Roman"/>
          <w:sz w:val="24"/>
          <w:szCs w:val="24"/>
        </w:rPr>
        <w:t>:</w:t>
      </w:r>
      <w:r>
        <w:rPr>
          <w:rFonts w:ascii="Times New Roman" w:hAnsi="Times New Roman" w:cs="Times New Roman"/>
          <w:sz w:val="24"/>
          <w:szCs w:val="24"/>
        </w:rPr>
        <w:t xml:space="preserve"> </w:t>
      </w:r>
      <w:r w:rsidR="00E041D6">
        <w:rPr>
          <w:rFonts w:ascii="Times New Roman" w:hAnsi="Times New Roman" w:cs="Times New Roman"/>
          <w:sz w:val="24"/>
          <w:szCs w:val="24"/>
        </w:rPr>
        <w:t>N</w:t>
      </w:r>
      <w:r w:rsidRPr="004A7A0B">
        <w:rPr>
          <w:rFonts w:ascii="Times New Roman" w:hAnsi="Times New Roman" w:cs="Times New Roman"/>
          <w:sz w:val="24"/>
          <w:szCs w:val="24"/>
        </w:rPr>
        <w:t>onsteroidal anti-inflammatory drugs</w:t>
      </w:r>
    </w:p>
    <w:p w14:paraId="1336B36B" w14:textId="1E9DF3DE" w:rsidR="003A0091" w:rsidRDefault="00E041D6" w:rsidP="004A7A0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RA: </w:t>
      </w:r>
      <w:r w:rsidR="003A0091" w:rsidRPr="003A0091">
        <w:rPr>
          <w:rFonts w:ascii="Times New Roman" w:hAnsi="Times New Roman" w:cs="Times New Roman"/>
          <w:sz w:val="24"/>
          <w:szCs w:val="24"/>
        </w:rPr>
        <w:t xml:space="preserve">Rheumatoid </w:t>
      </w:r>
      <w:r>
        <w:rPr>
          <w:rFonts w:ascii="Times New Roman" w:hAnsi="Times New Roman" w:cs="Times New Roman"/>
          <w:sz w:val="24"/>
          <w:szCs w:val="24"/>
        </w:rPr>
        <w:t>a</w:t>
      </w:r>
      <w:r w:rsidR="003A0091" w:rsidRPr="003A0091">
        <w:rPr>
          <w:rFonts w:ascii="Times New Roman" w:hAnsi="Times New Roman" w:cs="Times New Roman"/>
          <w:sz w:val="24"/>
          <w:szCs w:val="24"/>
        </w:rPr>
        <w:t>rthritis</w:t>
      </w:r>
    </w:p>
    <w:p w14:paraId="7CCA26BB" w14:textId="357E0A22" w:rsidR="003A0091" w:rsidRDefault="003A0091" w:rsidP="004A7A0B">
      <w:pPr>
        <w:spacing w:after="0" w:line="360" w:lineRule="auto"/>
        <w:rPr>
          <w:rFonts w:ascii="Times New Roman" w:hAnsi="Times New Roman" w:cs="Times New Roman"/>
          <w:sz w:val="24"/>
          <w:szCs w:val="24"/>
        </w:rPr>
      </w:pPr>
      <w:r>
        <w:rPr>
          <w:rFonts w:ascii="Times New Roman" w:hAnsi="Times New Roman" w:cs="Times New Roman"/>
          <w:sz w:val="24"/>
          <w:szCs w:val="24"/>
        </w:rPr>
        <w:t>DMARDS</w:t>
      </w:r>
      <w:r w:rsidR="00E041D6">
        <w:rPr>
          <w:rFonts w:ascii="Times New Roman" w:hAnsi="Times New Roman" w:cs="Times New Roman"/>
          <w:sz w:val="24"/>
          <w:szCs w:val="24"/>
        </w:rPr>
        <w:t>: Disease modifying anti-rheumatic drugs</w:t>
      </w:r>
    </w:p>
    <w:p w14:paraId="015BFF61" w14:textId="15C844C8" w:rsidR="003A0091" w:rsidRDefault="003A0091" w:rsidP="004A7A0B">
      <w:pPr>
        <w:spacing w:after="0" w:line="360" w:lineRule="auto"/>
        <w:rPr>
          <w:rFonts w:ascii="Times New Roman" w:hAnsi="Times New Roman" w:cs="Times New Roman"/>
          <w:sz w:val="24"/>
          <w:szCs w:val="24"/>
        </w:rPr>
      </w:pPr>
      <w:r>
        <w:rPr>
          <w:rFonts w:ascii="Times New Roman" w:hAnsi="Times New Roman" w:cs="Times New Roman"/>
          <w:sz w:val="24"/>
          <w:szCs w:val="24"/>
        </w:rPr>
        <w:t>LES</w:t>
      </w:r>
      <w:r w:rsidR="00E041D6">
        <w:rPr>
          <w:rFonts w:ascii="Times New Roman" w:hAnsi="Times New Roman" w:cs="Times New Roman"/>
          <w:sz w:val="24"/>
          <w:szCs w:val="24"/>
        </w:rPr>
        <w:t>: Lower oesophageal sphincter</w:t>
      </w:r>
    </w:p>
    <w:p w14:paraId="6FE3CCAC" w14:textId="506C5665" w:rsidR="003A0091" w:rsidRDefault="003A0091" w:rsidP="004A7A0B">
      <w:pPr>
        <w:spacing w:after="0" w:line="360" w:lineRule="auto"/>
        <w:rPr>
          <w:rFonts w:ascii="Times New Roman" w:hAnsi="Times New Roman" w:cs="Times New Roman"/>
          <w:sz w:val="24"/>
          <w:szCs w:val="24"/>
        </w:rPr>
      </w:pPr>
      <w:r>
        <w:rPr>
          <w:rFonts w:ascii="Times New Roman" w:hAnsi="Times New Roman" w:cs="Times New Roman"/>
          <w:sz w:val="24"/>
          <w:szCs w:val="24"/>
        </w:rPr>
        <w:t>GERD</w:t>
      </w:r>
      <w:r w:rsidR="00E041D6">
        <w:rPr>
          <w:rFonts w:ascii="Times New Roman" w:hAnsi="Times New Roman" w:cs="Times New Roman"/>
          <w:sz w:val="24"/>
          <w:szCs w:val="24"/>
        </w:rPr>
        <w:t>: Gastro oesophageal reflux disease</w:t>
      </w:r>
    </w:p>
    <w:p w14:paraId="082AF8F9" w14:textId="53345D84" w:rsidR="003A0091" w:rsidRDefault="00E041D6" w:rsidP="004A332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H2RA: </w:t>
      </w:r>
      <w:r w:rsidR="003A0091" w:rsidRPr="004A7A0B">
        <w:rPr>
          <w:rFonts w:ascii="Times New Roman" w:hAnsi="Times New Roman" w:cs="Times New Roman"/>
          <w:sz w:val="24"/>
          <w:szCs w:val="24"/>
        </w:rPr>
        <w:t>histamine 2 (H2)-receptor antagonists</w:t>
      </w:r>
    </w:p>
    <w:p w14:paraId="74B054EB" w14:textId="77777777" w:rsidR="00985916" w:rsidRPr="003A0091" w:rsidRDefault="00985916" w:rsidP="003A0091">
      <w:pPr>
        <w:spacing w:after="0" w:line="360" w:lineRule="auto"/>
        <w:rPr>
          <w:rFonts w:ascii="Times New Roman" w:hAnsi="Times New Roman" w:cs="Times New Roman"/>
          <w:sz w:val="24"/>
          <w:szCs w:val="24"/>
        </w:rPr>
      </w:pPr>
    </w:p>
    <w:p w14:paraId="75F43B8D" w14:textId="77777777" w:rsidR="004F7964" w:rsidRPr="004A7A0B" w:rsidRDefault="004F7964" w:rsidP="004A7A0B">
      <w:pPr>
        <w:spacing w:after="0" w:line="360" w:lineRule="auto"/>
        <w:rPr>
          <w:rFonts w:ascii="Times New Roman" w:hAnsi="Times New Roman" w:cs="Times New Roman"/>
          <w:b/>
          <w:sz w:val="24"/>
          <w:szCs w:val="24"/>
        </w:rPr>
      </w:pPr>
      <w:r w:rsidRPr="004A7A0B">
        <w:rPr>
          <w:rFonts w:ascii="Times New Roman" w:hAnsi="Times New Roman" w:cs="Times New Roman"/>
          <w:b/>
          <w:sz w:val="24"/>
          <w:szCs w:val="24"/>
        </w:rPr>
        <w:t>INTRODUCTION</w:t>
      </w:r>
    </w:p>
    <w:p w14:paraId="359D8FAD" w14:textId="77777777" w:rsidR="004F7964" w:rsidRPr="004A7A0B" w:rsidRDefault="004F7964" w:rsidP="00E64DB5">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 xml:space="preserve">Proton pump inhibitors (PPIs) have been linked to Clostridium difficile infection (CDI), yet it is unclear how PPIs and CDI are related. Antibiotics with a broad spectrum of action are the primary cause of gastrointestinal tract microbiome loss and a major risk factor for CDI. One </w:t>
      </w:r>
      <w:r w:rsidRPr="004A7A0B">
        <w:rPr>
          <w:rFonts w:ascii="Times New Roman" w:hAnsi="Times New Roman" w:cs="Times New Roman"/>
          <w:sz w:val="24"/>
          <w:szCs w:val="24"/>
        </w:rPr>
        <w:lastRenderedPageBreak/>
        <w:t>additionally, the microbiome undergoes more targeted alterations before to CDI. At the time of hospital admission, there is a correlation between an increased risk of developing CDI later on with increases in Enterococcaceae and declines wit</w:t>
      </w:r>
      <w:r w:rsidR="00295BAD">
        <w:rPr>
          <w:rFonts w:ascii="Times New Roman" w:hAnsi="Times New Roman" w:cs="Times New Roman"/>
          <w:sz w:val="24"/>
          <w:szCs w:val="24"/>
        </w:rPr>
        <w:t xml:space="preserve">hin important Clostridial taxa </w:t>
      </w:r>
      <w:r w:rsidR="007243C9">
        <w:rPr>
          <w:rFonts w:ascii="Times New Roman" w:hAnsi="Times New Roman" w:cs="Times New Roman"/>
          <w:sz w:val="24"/>
          <w:szCs w:val="24"/>
        </w:rPr>
        <w:t>(</w:t>
      </w:r>
      <w:r w:rsidR="00295BAD">
        <w:rPr>
          <w:rFonts w:ascii="Times New Roman" w:hAnsi="Times New Roman" w:cs="Times New Roman"/>
          <w:sz w:val="24"/>
          <w:szCs w:val="24"/>
        </w:rPr>
        <w:t>Manges</w:t>
      </w:r>
      <w:r w:rsidR="00295BAD">
        <w:rPr>
          <w:rFonts w:ascii="Times New Roman" w:eastAsia="Times New Roman" w:hAnsi="Times New Roman" w:cs="Times New Roman"/>
          <w:sz w:val="24"/>
          <w:szCs w:val="24"/>
          <w:lang w:eastAsia="en-IN"/>
        </w:rPr>
        <w:t xml:space="preserve"> et al</w:t>
      </w:r>
      <w:r w:rsidRPr="004A7A0B">
        <w:rPr>
          <w:rFonts w:ascii="Times New Roman" w:hAnsi="Times New Roman" w:cs="Times New Roman"/>
          <w:sz w:val="24"/>
          <w:szCs w:val="24"/>
        </w:rPr>
        <w:t xml:space="preserve"> </w:t>
      </w:r>
      <w:r w:rsidR="00295BAD">
        <w:rPr>
          <w:rFonts w:ascii="Times New Roman" w:hAnsi="Times New Roman" w:cs="Times New Roman"/>
          <w:sz w:val="24"/>
          <w:szCs w:val="24"/>
        </w:rPr>
        <w:t>2010)</w:t>
      </w:r>
      <w:r w:rsidR="00583865">
        <w:rPr>
          <w:rFonts w:ascii="Times New Roman" w:hAnsi="Times New Roman" w:cs="Times New Roman"/>
          <w:sz w:val="24"/>
          <w:szCs w:val="24"/>
        </w:rPr>
        <w:t>.</w:t>
      </w:r>
      <w:r w:rsidR="00295BAD">
        <w:rPr>
          <w:rFonts w:ascii="Times New Roman" w:hAnsi="Times New Roman" w:cs="Times New Roman"/>
          <w:sz w:val="24"/>
          <w:szCs w:val="24"/>
        </w:rPr>
        <w:t xml:space="preserve"> </w:t>
      </w:r>
      <w:r w:rsidRPr="004A7A0B">
        <w:rPr>
          <w:rFonts w:ascii="Times New Roman" w:hAnsi="Times New Roman" w:cs="Times New Roman"/>
          <w:sz w:val="24"/>
          <w:szCs w:val="24"/>
        </w:rPr>
        <w:t>According to reports, the effects of PPIs on the gut microbiome can be attributed to a combination of two mechanisms: the indirect stimulation of the growth of some common oral bacteria, which is mediated by the rise in gastrointestinal pH, and the direct inhibition of some commensal gut bacteria, such as R</w:t>
      </w:r>
      <w:r w:rsidR="00312A4B">
        <w:rPr>
          <w:rFonts w:ascii="Times New Roman" w:hAnsi="Times New Roman" w:cs="Times New Roman"/>
          <w:sz w:val="24"/>
          <w:szCs w:val="24"/>
        </w:rPr>
        <w:t xml:space="preserve">uminococcus and Dorea species </w:t>
      </w:r>
      <w:r w:rsidR="007243C9">
        <w:rPr>
          <w:rFonts w:ascii="Times New Roman" w:hAnsi="Times New Roman" w:cs="Times New Roman"/>
          <w:sz w:val="24"/>
          <w:szCs w:val="24"/>
        </w:rPr>
        <w:t>(</w:t>
      </w:r>
      <w:r w:rsidR="00312A4B" w:rsidRPr="00D43EE5">
        <w:rPr>
          <w:rFonts w:ascii="Times New Roman" w:eastAsia="Times New Roman" w:hAnsi="Times New Roman" w:cs="Times New Roman"/>
          <w:sz w:val="24"/>
          <w:szCs w:val="24"/>
          <w:lang w:eastAsia="en-IN"/>
        </w:rPr>
        <w:t>Zhang, J</w:t>
      </w:r>
      <w:r w:rsidR="00312A4B">
        <w:rPr>
          <w:rFonts w:ascii="Times New Roman" w:eastAsia="Times New Roman" w:hAnsi="Times New Roman" w:cs="Times New Roman"/>
          <w:sz w:val="24"/>
          <w:szCs w:val="24"/>
          <w:lang w:eastAsia="en-IN"/>
        </w:rPr>
        <w:t xml:space="preserve"> et al 2023). </w:t>
      </w:r>
    </w:p>
    <w:p w14:paraId="789DB8A2" w14:textId="77777777" w:rsidR="004F7964" w:rsidRPr="004A7A0B" w:rsidRDefault="004F7964" w:rsidP="00E64DB5">
      <w:pPr>
        <w:spacing w:after="0" w:line="360" w:lineRule="auto"/>
        <w:jc w:val="both"/>
        <w:rPr>
          <w:rFonts w:ascii="Times New Roman" w:hAnsi="Times New Roman" w:cs="Times New Roman"/>
          <w:b/>
          <w:sz w:val="24"/>
          <w:szCs w:val="24"/>
        </w:rPr>
      </w:pPr>
      <w:r w:rsidRPr="004A7A0B">
        <w:rPr>
          <w:rFonts w:ascii="Times New Roman" w:hAnsi="Times New Roman" w:cs="Times New Roman"/>
          <w:b/>
          <w:sz w:val="24"/>
          <w:szCs w:val="24"/>
        </w:rPr>
        <w:t>1. Proton Pump Inhibitors affect the gut microbiota</w:t>
      </w:r>
    </w:p>
    <w:p w14:paraId="55C1286B" w14:textId="10620065" w:rsidR="004F7964" w:rsidRPr="004A7A0B" w:rsidRDefault="004F7964" w:rsidP="00E64DB5">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We looked into how PPI use affected the gut microbiota because its makeup can either raise or lower the risk of enteric infections. We discovered significant alterations in the gut microbiota of PPI users using the 16S rRNA sequencing of stool samples from 1815 people over three separate cohorts. When compared to the relative abundances in samples from non-users, the relative abundance of 20% of the bacterial taxa, or 18 bacterial families, was statistically substantially different among PPI users</w:t>
      </w:r>
      <w:r w:rsidR="00583865">
        <w:rPr>
          <w:rFonts w:ascii="Times New Roman" w:hAnsi="Times New Roman" w:cs="Times New Roman"/>
          <w:sz w:val="24"/>
          <w:szCs w:val="24"/>
        </w:rPr>
        <w:t xml:space="preserve"> (either raised or decreased) (</w:t>
      </w:r>
      <w:r w:rsidR="00583865" w:rsidRPr="00D43EE5">
        <w:rPr>
          <w:rFonts w:ascii="Times New Roman" w:eastAsia="Times New Roman" w:hAnsi="Times New Roman" w:cs="Times New Roman"/>
          <w:sz w:val="24"/>
          <w:szCs w:val="24"/>
          <w:lang w:eastAsia="en-IN"/>
        </w:rPr>
        <w:t>Imhann, F.,</w:t>
      </w:r>
      <w:r w:rsidR="00583865">
        <w:rPr>
          <w:rFonts w:ascii="Times New Roman" w:eastAsia="Times New Roman" w:hAnsi="Times New Roman" w:cs="Times New Roman"/>
          <w:sz w:val="24"/>
          <w:szCs w:val="24"/>
          <w:lang w:eastAsia="en-IN"/>
        </w:rPr>
        <w:t xml:space="preserve"> et al. 2015</w:t>
      </w:r>
      <w:r w:rsidRPr="004A7A0B">
        <w:rPr>
          <w:rFonts w:ascii="Times New Roman" w:hAnsi="Times New Roman" w:cs="Times New Roman"/>
          <w:sz w:val="24"/>
          <w:szCs w:val="24"/>
        </w:rPr>
        <w:t>). Other organizations were also looking into the impact of PPIs on the gut flora at the same time as we were</w:t>
      </w:r>
      <w:r w:rsidR="00E828BF">
        <w:rPr>
          <w:rFonts w:ascii="Times New Roman" w:hAnsi="Times New Roman" w:cs="Times New Roman"/>
          <w:sz w:val="24"/>
          <w:szCs w:val="24"/>
        </w:rPr>
        <w:t xml:space="preserve"> j</w:t>
      </w:r>
      <w:r w:rsidRPr="004A7A0B">
        <w:rPr>
          <w:rFonts w:ascii="Times New Roman" w:hAnsi="Times New Roman" w:cs="Times New Roman"/>
          <w:sz w:val="24"/>
          <w:szCs w:val="24"/>
        </w:rPr>
        <w:t>ust a few months before to our study, a modest intervention trial was published, and the same issue of Gut published an observational st</w:t>
      </w:r>
      <w:r w:rsidR="004A7A0B">
        <w:rPr>
          <w:rFonts w:ascii="Times New Roman" w:hAnsi="Times New Roman" w:cs="Times New Roman"/>
          <w:sz w:val="24"/>
          <w:szCs w:val="24"/>
        </w:rPr>
        <w:t>udy that was compa</w:t>
      </w:r>
      <w:r w:rsidR="00583865">
        <w:rPr>
          <w:rFonts w:ascii="Times New Roman" w:hAnsi="Times New Roman" w:cs="Times New Roman"/>
          <w:sz w:val="24"/>
          <w:szCs w:val="24"/>
        </w:rPr>
        <w:t>rable. (</w:t>
      </w:r>
      <w:r w:rsidR="00583865" w:rsidRPr="00D43EE5">
        <w:rPr>
          <w:rFonts w:ascii="Times New Roman" w:eastAsia="Times New Roman" w:hAnsi="Times New Roman" w:cs="Times New Roman"/>
          <w:sz w:val="24"/>
          <w:szCs w:val="24"/>
          <w:lang w:eastAsia="en-IN"/>
        </w:rPr>
        <w:t>Freedberg, D. E.,</w:t>
      </w:r>
      <w:r w:rsidR="00583865">
        <w:rPr>
          <w:rFonts w:ascii="Times New Roman" w:eastAsia="Times New Roman" w:hAnsi="Times New Roman" w:cs="Times New Roman"/>
          <w:sz w:val="24"/>
          <w:szCs w:val="24"/>
          <w:lang w:eastAsia="en-IN"/>
        </w:rPr>
        <w:t xml:space="preserve"> et al. 2015</w:t>
      </w:r>
      <w:r w:rsidR="004A7A0B">
        <w:rPr>
          <w:rFonts w:ascii="Times New Roman" w:hAnsi="Times New Roman" w:cs="Times New Roman"/>
          <w:sz w:val="24"/>
          <w:szCs w:val="24"/>
        </w:rPr>
        <w:t xml:space="preserve">, </w:t>
      </w:r>
      <w:r w:rsidR="00583865" w:rsidRPr="00D43EE5">
        <w:rPr>
          <w:rFonts w:ascii="Times New Roman" w:eastAsia="Times New Roman" w:hAnsi="Times New Roman" w:cs="Times New Roman"/>
          <w:sz w:val="24"/>
          <w:szCs w:val="24"/>
          <w:lang w:eastAsia="en-IN"/>
        </w:rPr>
        <w:t>Jackson, M. A.,</w:t>
      </w:r>
      <w:r w:rsidR="00583865">
        <w:rPr>
          <w:rFonts w:ascii="Times New Roman" w:eastAsia="Times New Roman" w:hAnsi="Times New Roman" w:cs="Times New Roman"/>
          <w:sz w:val="24"/>
          <w:szCs w:val="24"/>
          <w:lang w:eastAsia="en-IN"/>
        </w:rPr>
        <w:t xml:space="preserve"> et al. 2016</w:t>
      </w:r>
      <w:r w:rsidR="004A7A0B">
        <w:rPr>
          <w:rFonts w:ascii="Times New Roman" w:hAnsi="Times New Roman" w:cs="Times New Roman"/>
          <w:sz w:val="24"/>
          <w:szCs w:val="24"/>
        </w:rPr>
        <w:t>)</w:t>
      </w:r>
      <w:r w:rsidR="00583865">
        <w:rPr>
          <w:rFonts w:ascii="Times New Roman" w:hAnsi="Times New Roman" w:cs="Times New Roman"/>
          <w:sz w:val="24"/>
          <w:szCs w:val="24"/>
        </w:rPr>
        <w:t>.</w:t>
      </w:r>
    </w:p>
    <w:p w14:paraId="6E387D97" w14:textId="77777777" w:rsidR="004F7964" w:rsidRPr="004A7A0B" w:rsidRDefault="004F7964" w:rsidP="00E64DB5">
      <w:pPr>
        <w:spacing w:after="0" w:line="360" w:lineRule="auto"/>
        <w:jc w:val="both"/>
        <w:rPr>
          <w:rFonts w:ascii="Times New Roman" w:hAnsi="Times New Roman" w:cs="Times New Roman"/>
          <w:b/>
          <w:sz w:val="24"/>
          <w:szCs w:val="24"/>
        </w:rPr>
      </w:pPr>
      <w:r w:rsidRPr="004A7A0B">
        <w:rPr>
          <w:rFonts w:ascii="Times New Roman" w:hAnsi="Times New Roman" w:cs="Times New Roman"/>
          <w:b/>
          <w:sz w:val="24"/>
          <w:szCs w:val="24"/>
        </w:rPr>
        <w:t>2. Proton Pump In</w:t>
      </w:r>
      <w:r w:rsidR="004A7A0B">
        <w:rPr>
          <w:rFonts w:ascii="Times New Roman" w:hAnsi="Times New Roman" w:cs="Times New Roman"/>
          <w:b/>
          <w:sz w:val="24"/>
          <w:szCs w:val="24"/>
        </w:rPr>
        <w:t>hibitors - associated dysbiosis</w:t>
      </w:r>
    </w:p>
    <w:p w14:paraId="0836F934" w14:textId="77777777" w:rsidR="004F7964" w:rsidRPr="004A7A0B" w:rsidRDefault="004F7964" w:rsidP="00E64DB5">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A crucial part of maintaining human health is the gut microbiome. Proton pump inhibitors, among other medications, are known to induce dysbiosis, which is the root cause of a number of extra-intestinal and intestinal disorders. A current literature analysis was carried out to determine alterations in the makeup of the gut microbiota associated with long-term proton pump inhibitor medication and to emphasize the potential pathogenic role of dysbiosis</w:t>
      </w:r>
      <w:r w:rsidR="004A7A0B">
        <w:rPr>
          <w:rFonts w:ascii="Times New Roman" w:hAnsi="Times New Roman" w:cs="Times New Roman"/>
          <w:sz w:val="24"/>
          <w:szCs w:val="24"/>
        </w:rPr>
        <w:t xml:space="preserve"> in gastrointestinal illnesses.</w:t>
      </w:r>
    </w:p>
    <w:p w14:paraId="4002F05F" w14:textId="77777777" w:rsidR="004F7964" w:rsidRPr="004A7A0B" w:rsidRDefault="004F7964" w:rsidP="00E64DB5">
      <w:pPr>
        <w:spacing w:after="0" w:line="360" w:lineRule="auto"/>
        <w:jc w:val="both"/>
        <w:rPr>
          <w:rFonts w:ascii="Times New Roman" w:hAnsi="Times New Roman" w:cs="Times New Roman"/>
          <w:b/>
          <w:sz w:val="24"/>
          <w:szCs w:val="24"/>
        </w:rPr>
      </w:pPr>
      <w:r w:rsidRPr="004A7A0B">
        <w:rPr>
          <w:rFonts w:ascii="Times New Roman" w:hAnsi="Times New Roman" w:cs="Times New Roman"/>
          <w:b/>
          <w:sz w:val="24"/>
          <w:szCs w:val="24"/>
        </w:rPr>
        <w:t>3. Effect on large intestine</w:t>
      </w:r>
    </w:p>
    <w:p w14:paraId="4BCC33FE" w14:textId="42BC1FCF" w:rsidR="004F7964" w:rsidRPr="004A7A0B" w:rsidRDefault="004F7964" w:rsidP="00E64DB5">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According to recent research, acid-suppressive drugs may affect immune system function or cause changes in the gut microbiota, which are both important aspects of the pathophysiology of inflam</w:t>
      </w:r>
      <w:r w:rsidR="00583865">
        <w:rPr>
          <w:rFonts w:ascii="Times New Roman" w:hAnsi="Times New Roman" w:cs="Times New Roman"/>
          <w:sz w:val="24"/>
          <w:szCs w:val="24"/>
        </w:rPr>
        <w:t>matory bowel dis</w:t>
      </w:r>
      <w:r w:rsidR="00E828BF">
        <w:rPr>
          <w:rFonts w:ascii="Times New Roman" w:hAnsi="Times New Roman" w:cs="Times New Roman"/>
          <w:sz w:val="24"/>
          <w:szCs w:val="24"/>
        </w:rPr>
        <w:t>ease</w:t>
      </w:r>
      <w:r w:rsidR="00583865">
        <w:rPr>
          <w:rFonts w:ascii="Times New Roman" w:hAnsi="Times New Roman" w:cs="Times New Roman"/>
          <w:sz w:val="24"/>
          <w:szCs w:val="24"/>
        </w:rPr>
        <w:t xml:space="preserve"> (IBD). (</w:t>
      </w:r>
      <w:r w:rsidR="00583865" w:rsidRPr="00D43EE5">
        <w:rPr>
          <w:rFonts w:ascii="Times New Roman" w:eastAsia="Times New Roman" w:hAnsi="Times New Roman" w:cs="Times New Roman"/>
          <w:sz w:val="24"/>
          <w:szCs w:val="24"/>
          <w:lang w:eastAsia="en-IN"/>
        </w:rPr>
        <w:t>Juillerat, P.,</w:t>
      </w:r>
      <w:r w:rsidR="00583865">
        <w:rPr>
          <w:rFonts w:ascii="Times New Roman" w:eastAsia="Times New Roman" w:hAnsi="Times New Roman" w:cs="Times New Roman"/>
          <w:sz w:val="24"/>
          <w:szCs w:val="24"/>
          <w:lang w:eastAsia="en-IN"/>
        </w:rPr>
        <w:t xml:space="preserve"> et al. 2012</w:t>
      </w:r>
      <w:r w:rsidRPr="004A7A0B">
        <w:rPr>
          <w:rFonts w:ascii="Times New Roman" w:hAnsi="Times New Roman" w:cs="Times New Roman"/>
          <w:sz w:val="24"/>
          <w:szCs w:val="24"/>
        </w:rPr>
        <w:t xml:space="preserve">) Because of genetic polymorphisms and changes in the microbiota's composition, the gastrointestinal microbiota is being investigated for the etiology of inflammatory bowel disease (IBD). Research on microbial diversity indicates that the Proteobacteria phylum is more prevalent in IBD patients, and the disease has been associated with adherent-invasive Escherichia coli, </w:t>
      </w:r>
      <w:r w:rsidRPr="004A7A0B">
        <w:rPr>
          <w:rFonts w:ascii="Times New Roman" w:hAnsi="Times New Roman" w:cs="Times New Roman"/>
          <w:sz w:val="24"/>
          <w:szCs w:val="24"/>
        </w:rPr>
        <w:lastRenderedPageBreak/>
        <w:t>Campylobacter concisus, and Helicobacter. Recognizing patterns in the immune response of the host is essential, since Proteobacteria can tak</w:t>
      </w:r>
      <w:r w:rsidR="00583865">
        <w:rPr>
          <w:rFonts w:ascii="Times New Roman" w:hAnsi="Times New Roman" w:cs="Times New Roman"/>
          <w:sz w:val="24"/>
          <w:szCs w:val="24"/>
        </w:rPr>
        <w:t>e advantage of host defenses. (</w:t>
      </w:r>
      <w:r w:rsidR="00583865" w:rsidRPr="00D43EE5">
        <w:rPr>
          <w:rFonts w:ascii="Times New Roman" w:eastAsia="Times New Roman" w:hAnsi="Times New Roman" w:cs="Times New Roman"/>
          <w:sz w:val="24"/>
          <w:szCs w:val="24"/>
          <w:lang w:eastAsia="en-IN"/>
        </w:rPr>
        <w:t>Mukhopadhya, I.,</w:t>
      </w:r>
      <w:r w:rsidR="00583865">
        <w:rPr>
          <w:rFonts w:ascii="Times New Roman" w:eastAsia="Times New Roman" w:hAnsi="Times New Roman" w:cs="Times New Roman"/>
          <w:sz w:val="24"/>
          <w:szCs w:val="24"/>
          <w:lang w:eastAsia="en-IN"/>
        </w:rPr>
        <w:t xml:space="preserve"> et al. 2012</w:t>
      </w:r>
      <w:r w:rsidRPr="004A7A0B">
        <w:rPr>
          <w:rFonts w:ascii="Times New Roman" w:hAnsi="Times New Roman" w:cs="Times New Roman"/>
          <w:sz w:val="24"/>
          <w:szCs w:val="24"/>
        </w:rPr>
        <w:t>)</w:t>
      </w:r>
      <w:r w:rsidR="00583865">
        <w:rPr>
          <w:rFonts w:ascii="Times New Roman" w:hAnsi="Times New Roman" w:cs="Times New Roman"/>
          <w:sz w:val="24"/>
          <w:szCs w:val="24"/>
        </w:rPr>
        <w:t>.</w:t>
      </w:r>
      <w:r w:rsidRPr="004A7A0B">
        <w:rPr>
          <w:rFonts w:ascii="Times New Roman" w:hAnsi="Times New Roman" w:cs="Times New Roman"/>
          <w:sz w:val="24"/>
          <w:szCs w:val="24"/>
        </w:rPr>
        <w:t xml:space="preserve"> It is believed that during IBD, pro-inflammatory bacteria proliferate and defensive bacteria decrease simultaneously. Higher E. Coli concentrations have been seen in both Crohn's disease (CD) and ulcerative colitis (UC), especially in adherent-invasive E. Coli, a type that can colonize the ileal mucosa and is in charge of</w:t>
      </w:r>
      <w:r w:rsidR="00583865">
        <w:rPr>
          <w:rFonts w:ascii="Times New Roman" w:hAnsi="Times New Roman" w:cs="Times New Roman"/>
          <w:sz w:val="24"/>
          <w:szCs w:val="24"/>
        </w:rPr>
        <w:t xml:space="preserve"> the early inflammatory state.(</w:t>
      </w:r>
      <w:r w:rsidR="00583865" w:rsidRPr="00583865">
        <w:rPr>
          <w:rFonts w:ascii="Times New Roman" w:eastAsia="Times New Roman" w:hAnsi="Times New Roman" w:cs="Times New Roman"/>
          <w:sz w:val="24"/>
          <w:szCs w:val="24"/>
          <w:lang w:eastAsia="en-IN"/>
        </w:rPr>
        <w:t xml:space="preserve"> </w:t>
      </w:r>
      <w:r w:rsidR="00583865" w:rsidRPr="00D43EE5">
        <w:rPr>
          <w:rFonts w:ascii="Times New Roman" w:eastAsia="Times New Roman" w:hAnsi="Times New Roman" w:cs="Times New Roman"/>
          <w:sz w:val="24"/>
          <w:szCs w:val="24"/>
          <w:lang w:eastAsia="en-IN"/>
        </w:rPr>
        <w:t>Darfeuille-Michaud, A.,</w:t>
      </w:r>
      <w:r w:rsidR="00583865">
        <w:rPr>
          <w:rFonts w:ascii="Times New Roman" w:eastAsia="Times New Roman" w:hAnsi="Times New Roman" w:cs="Times New Roman"/>
          <w:sz w:val="24"/>
          <w:szCs w:val="24"/>
          <w:lang w:eastAsia="en-IN"/>
        </w:rPr>
        <w:t xml:space="preserve"> et al. 2004</w:t>
      </w:r>
      <w:r w:rsidRPr="004A7A0B">
        <w:rPr>
          <w:rFonts w:ascii="Times New Roman" w:hAnsi="Times New Roman" w:cs="Times New Roman"/>
          <w:sz w:val="24"/>
          <w:szCs w:val="24"/>
        </w:rPr>
        <w:t>)</w:t>
      </w:r>
      <w:r w:rsidR="00583865">
        <w:rPr>
          <w:rFonts w:ascii="Times New Roman" w:hAnsi="Times New Roman" w:cs="Times New Roman"/>
          <w:sz w:val="24"/>
          <w:szCs w:val="24"/>
        </w:rPr>
        <w:t>.</w:t>
      </w:r>
      <w:r w:rsidRPr="004A7A0B">
        <w:rPr>
          <w:rFonts w:ascii="Times New Roman" w:hAnsi="Times New Roman" w:cs="Times New Roman"/>
          <w:sz w:val="24"/>
          <w:szCs w:val="24"/>
        </w:rPr>
        <w:t xml:space="preserve">  More precisely, in CD sample studies linked to unidentified species of Clostridium, a decrease in anti-inflammatory bacteria, including </w:t>
      </w:r>
      <w:r w:rsidR="00E64DB5" w:rsidRPr="004A7A0B">
        <w:rPr>
          <w:rFonts w:ascii="Times New Roman" w:hAnsi="Times New Roman" w:cs="Times New Roman"/>
          <w:sz w:val="24"/>
          <w:szCs w:val="24"/>
        </w:rPr>
        <w:t>Faecal bacterium</w:t>
      </w:r>
      <w:r w:rsidRPr="004A7A0B">
        <w:rPr>
          <w:rFonts w:ascii="Times New Roman" w:hAnsi="Times New Roman" w:cs="Times New Roman"/>
          <w:sz w:val="24"/>
          <w:szCs w:val="24"/>
        </w:rPr>
        <w:t xml:space="preserve"> prausnitzii, Bifidobacterium adolescentis, and Dialister invisus, has been noted (partic</w:t>
      </w:r>
      <w:r w:rsidR="00583865">
        <w:rPr>
          <w:rFonts w:ascii="Times New Roman" w:hAnsi="Times New Roman" w:cs="Times New Roman"/>
          <w:sz w:val="24"/>
          <w:szCs w:val="24"/>
        </w:rPr>
        <w:t>ularly clusters IV and XIVa). (</w:t>
      </w:r>
      <w:r w:rsidR="00583865" w:rsidRPr="00D43EE5">
        <w:rPr>
          <w:rFonts w:ascii="Times New Roman" w:eastAsia="Times New Roman" w:hAnsi="Times New Roman" w:cs="Times New Roman"/>
          <w:sz w:val="24"/>
          <w:szCs w:val="24"/>
          <w:lang w:eastAsia="en-IN"/>
        </w:rPr>
        <w:t>Joossens, M.,</w:t>
      </w:r>
      <w:r w:rsidR="00583865">
        <w:rPr>
          <w:rFonts w:ascii="Times New Roman" w:eastAsia="Times New Roman" w:hAnsi="Times New Roman" w:cs="Times New Roman"/>
          <w:sz w:val="24"/>
          <w:szCs w:val="24"/>
          <w:lang w:eastAsia="en-IN"/>
        </w:rPr>
        <w:t xml:space="preserve"> et al. 2011).</w:t>
      </w:r>
      <w:r w:rsidRPr="004A7A0B">
        <w:rPr>
          <w:rFonts w:ascii="Times New Roman" w:hAnsi="Times New Roman" w:cs="Times New Roman"/>
          <w:sz w:val="24"/>
          <w:szCs w:val="24"/>
        </w:rPr>
        <w:t xml:space="preserve"> It has been shown in ulcerative colitis (UC) that Fusobacterium species have increased while Roseburia, </w:t>
      </w:r>
      <w:r w:rsidR="00E64DB5" w:rsidRPr="004A7A0B">
        <w:rPr>
          <w:rFonts w:ascii="Times New Roman" w:hAnsi="Times New Roman" w:cs="Times New Roman"/>
          <w:sz w:val="24"/>
          <w:szCs w:val="24"/>
        </w:rPr>
        <w:t>Faecal bacterium</w:t>
      </w:r>
      <w:r w:rsidRPr="004A7A0B">
        <w:rPr>
          <w:rFonts w:ascii="Times New Roman" w:hAnsi="Times New Roman" w:cs="Times New Roman"/>
          <w:sz w:val="24"/>
          <w:szCs w:val="24"/>
        </w:rPr>
        <w:t xml:space="preserve"> prausnitzii, and Akkermansia</w:t>
      </w:r>
      <w:r w:rsidR="00583865">
        <w:rPr>
          <w:rFonts w:ascii="Times New Roman" w:hAnsi="Times New Roman" w:cs="Times New Roman"/>
          <w:sz w:val="24"/>
          <w:szCs w:val="24"/>
        </w:rPr>
        <w:t xml:space="preserve"> muciniphila have decreased. (</w:t>
      </w:r>
      <w:r w:rsidR="00583865" w:rsidRPr="00D43EE5">
        <w:rPr>
          <w:rFonts w:ascii="Times New Roman" w:eastAsia="Times New Roman" w:hAnsi="Times New Roman" w:cs="Times New Roman"/>
          <w:sz w:val="24"/>
          <w:szCs w:val="24"/>
          <w:lang w:eastAsia="en-IN"/>
        </w:rPr>
        <w:t>Machiels, K.,</w:t>
      </w:r>
      <w:r w:rsidR="00583865">
        <w:rPr>
          <w:rFonts w:ascii="Times New Roman" w:eastAsia="Times New Roman" w:hAnsi="Times New Roman" w:cs="Times New Roman"/>
          <w:sz w:val="24"/>
          <w:szCs w:val="24"/>
          <w:lang w:eastAsia="en-IN"/>
        </w:rPr>
        <w:t xml:space="preserve"> et al. 2014</w:t>
      </w:r>
      <w:r w:rsidRPr="004A7A0B">
        <w:rPr>
          <w:rFonts w:ascii="Times New Roman" w:hAnsi="Times New Roman" w:cs="Times New Roman"/>
          <w:sz w:val="24"/>
          <w:szCs w:val="24"/>
        </w:rPr>
        <w:t>)</w:t>
      </w:r>
      <w:r w:rsidR="00583865">
        <w:rPr>
          <w:rFonts w:ascii="Times New Roman" w:hAnsi="Times New Roman" w:cs="Times New Roman"/>
          <w:sz w:val="24"/>
          <w:szCs w:val="24"/>
        </w:rPr>
        <w:t>.</w:t>
      </w:r>
      <w:r w:rsidRPr="004A7A0B">
        <w:rPr>
          <w:rFonts w:ascii="Times New Roman" w:hAnsi="Times New Roman" w:cs="Times New Roman"/>
          <w:sz w:val="24"/>
          <w:szCs w:val="24"/>
        </w:rPr>
        <w:t xml:space="preserve"> PPIs may cause IBD flare-ups that last only a few days when dysbiosis is present. This is probably because individuals with inflammatory bowel disease (IBD) are more prone to developing bacterial </w:t>
      </w:r>
      <w:r w:rsidR="00E64DB5" w:rsidRPr="004A7A0B">
        <w:rPr>
          <w:rFonts w:ascii="Times New Roman" w:hAnsi="Times New Roman" w:cs="Times New Roman"/>
          <w:sz w:val="24"/>
          <w:szCs w:val="24"/>
        </w:rPr>
        <w:t>super infections</w:t>
      </w:r>
      <w:r w:rsidRPr="004A7A0B">
        <w:rPr>
          <w:rFonts w:ascii="Times New Roman" w:hAnsi="Times New Roman" w:cs="Times New Roman"/>
          <w:sz w:val="24"/>
          <w:szCs w:val="24"/>
        </w:rPr>
        <w:t>. These include infections caused by Clostridium difficile, Campylobacter, Salmonella, Shigella, and Entamoeba histolytica, which are harmful agents that can trigger a relapse of the disease in an already c</w:t>
      </w:r>
      <w:r w:rsidR="00583865">
        <w:rPr>
          <w:rFonts w:ascii="Times New Roman" w:hAnsi="Times New Roman" w:cs="Times New Roman"/>
          <w:sz w:val="24"/>
          <w:szCs w:val="24"/>
        </w:rPr>
        <w:t>ompromised microenvironment. (</w:t>
      </w:r>
      <w:r w:rsidR="00583865" w:rsidRPr="00D43EE5">
        <w:rPr>
          <w:rFonts w:ascii="Times New Roman" w:eastAsia="Times New Roman" w:hAnsi="Times New Roman" w:cs="Times New Roman"/>
          <w:sz w:val="24"/>
          <w:szCs w:val="24"/>
          <w:lang w:eastAsia="en-IN"/>
        </w:rPr>
        <w:t>Singh, S.,</w:t>
      </w:r>
      <w:r w:rsidR="00583865">
        <w:rPr>
          <w:rFonts w:ascii="Times New Roman" w:eastAsia="Times New Roman" w:hAnsi="Times New Roman" w:cs="Times New Roman"/>
          <w:sz w:val="24"/>
          <w:szCs w:val="24"/>
          <w:lang w:eastAsia="en-IN"/>
        </w:rPr>
        <w:t xml:space="preserve"> et al. 2009</w:t>
      </w:r>
      <w:r w:rsidR="00583865">
        <w:rPr>
          <w:rFonts w:ascii="Times New Roman" w:hAnsi="Times New Roman" w:cs="Times New Roman"/>
          <w:sz w:val="24"/>
          <w:szCs w:val="24"/>
        </w:rPr>
        <w:t>) (</w:t>
      </w:r>
      <w:r w:rsidR="00583865" w:rsidRPr="00D43EE5">
        <w:rPr>
          <w:rFonts w:ascii="Times New Roman" w:eastAsia="Times New Roman" w:hAnsi="Times New Roman" w:cs="Times New Roman"/>
          <w:sz w:val="24"/>
          <w:szCs w:val="24"/>
          <w:lang w:eastAsia="en-IN"/>
        </w:rPr>
        <w:t>Mylonaki, M.,</w:t>
      </w:r>
      <w:r w:rsidR="00583865">
        <w:rPr>
          <w:rFonts w:ascii="Times New Roman" w:eastAsia="Times New Roman" w:hAnsi="Times New Roman" w:cs="Times New Roman"/>
          <w:sz w:val="24"/>
          <w:szCs w:val="24"/>
          <w:lang w:eastAsia="en-IN"/>
        </w:rPr>
        <w:t xml:space="preserve"> et al. 2004</w:t>
      </w:r>
      <w:r w:rsidRPr="004A7A0B">
        <w:rPr>
          <w:rFonts w:ascii="Times New Roman" w:hAnsi="Times New Roman" w:cs="Times New Roman"/>
          <w:sz w:val="24"/>
          <w:szCs w:val="24"/>
        </w:rPr>
        <w:t>)</w:t>
      </w:r>
      <w:r w:rsidR="00583865">
        <w:rPr>
          <w:rFonts w:ascii="Times New Roman" w:hAnsi="Times New Roman" w:cs="Times New Roman"/>
          <w:sz w:val="24"/>
          <w:szCs w:val="24"/>
        </w:rPr>
        <w:t>.</w:t>
      </w:r>
    </w:p>
    <w:p w14:paraId="73F37C0D" w14:textId="5E8FE35A" w:rsidR="004F7964" w:rsidRPr="004A7A0B" w:rsidRDefault="004F7964" w:rsidP="00E64DB5">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 xml:space="preserve"> It is now commonly known that H. pylori is the only microbe that directly and primarily contributes to the formation of GI cancers or Colorectal Cancer (CR</w:t>
      </w:r>
      <w:r w:rsidR="009066B5">
        <w:rPr>
          <w:rFonts w:ascii="Times New Roman" w:hAnsi="Times New Roman" w:cs="Times New Roman"/>
          <w:sz w:val="24"/>
          <w:szCs w:val="24"/>
        </w:rPr>
        <w:t>C</w:t>
      </w:r>
      <w:r w:rsidRPr="004A7A0B">
        <w:rPr>
          <w:rFonts w:ascii="Times New Roman" w:hAnsi="Times New Roman" w:cs="Times New Roman"/>
          <w:sz w:val="24"/>
          <w:szCs w:val="24"/>
        </w:rPr>
        <w:t>). Yet, as more information becomes available, scientists are becoming increasingly interested in the complex and comprehensive role that an imbalance in gut microbiota can have in influencing the colon milie</w:t>
      </w:r>
      <w:r w:rsidR="0018201F">
        <w:rPr>
          <w:rFonts w:ascii="Times New Roman" w:hAnsi="Times New Roman" w:cs="Times New Roman"/>
          <w:sz w:val="24"/>
          <w:szCs w:val="24"/>
        </w:rPr>
        <w:t>u and promoting oncogenesis. (</w:t>
      </w:r>
      <w:r w:rsidR="0018201F">
        <w:rPr>
          <w:rFonts w:ascii="Times New Roman" w:eastAsia="Times New Roman" w:hAnsi="Times New Roman" w:cs="Times New Roman"/>
          <w:sz w:val="24"/>
          <w:szCs w:val="24"/>
          <w:lang w:eastAsia="en-IN"/>
        </w:rPr>
        <w:t>Jobin, C</w:t>
      </w:r>
      <w:r w:rsidR="0018201F" w:rsidRPr="00D43EE5">
        <w:rPr>
          <w:rFonts w:ascii="Times New Roman" w:eastAsia="Times New Roman" w:hAnsi="Times New Roman" w:cs="Times New Roman"/>
          <w:sz w:val="24"/>
          <w:szCs w:val="24"/>
          <w:lang w:eastAsia="en-IN"/>
        </w:rPr>
        <w:t>.</w:t>
      </w:r>
      <w:r w:rsidR="0018201F">
        <w:rPr>
          <w:rFonts w:ascii="Times New Roman" w:eastAsia="Times New Roman" w:hAnsi="Times New Roman" w:cs="Times New Roman"/>
          <w:sz w:val="24"/>
          <w:szCs w:val="24"/>
          <w:lang w:eastAsia="en-IN"/>
        </w:rPr>
        <w:t xml:space="preserve"> 2013</w:t>
      </w:r>
      <w:r w:rsidR="0018201F">
        <w:rPr>
          <w:rFonts w:ascii="Times New Roman" w:hAnsi="Times New Roman" w:cs="Times New Roman"/>
          <w:sz w:val="24"/>
          <w:szCs w:val="24"/>
        </w:rPr>
        <w:t>) (</w:t>
      </w:r>
      <w:r w:rsidR="0018201F" w:rsidRPr="00D43EE5">
        <w:rPr>
          <w:rFonts w:ascii="Times New Roman" w:eastAsia="Times New Roman" w:hAnsi="Times New Roman" w:cs="Times New Roman"/>
          <w:sz w:val="24"/>
          <w:szCs w:val="24"/>
          <w:lang w:eastAsia="en-IN"/>
        </w:rPr>
        <w:t>Raskov, H.,</w:t>
      </w:r>
      <w:r w:rsidR="0018201F">
        <w:rPr>
          <w:rFonts w:ascii="Times New Roman" w:eastAsia="Times New Roman" w:hAnsi="Times New Roman" w:cs="Times New Roman"/>
          <w:sz w:val="24"/>
          <w:szCs w:val="24"/>
          <w:lang w:eastAsia="en-IN"/>
        </w:rPr>
        <w:t xml:space="preserve"> et al. 2017</w:t>
      </w:r>
      <w:r w:rsidRPr="004A7A0B">
        <w:rPr>
          <w:rFonts w:ascii="Times New Roman" w:hAnsi="Times New Roman" w:cs="Times New Roman"/>
          <w:sz w:val="24"/>
          <w:szCs w:val="24"/>
        </w:rPr>
        <w:t>)</w:t>
      </w:r>
      <w:r w:rsidR="0018201F">
        <w:rPr>
          <w:rFonts w:ascii="Times New Roman" w:hAnsi="Times New Roman" w:cs="Times New Roman"/>
          <w:sz w:val="24"/>
          <w:szCs w:val="24"/>
        </w:rPr>
        <w:t>.</w:t>
      </w:r>
      <w:r w:rsidRPr="004A7A0B">
        <w:rPr>
          <w:rFonts w:ascii="Times New Roman" w:hAnsi="Times New Roman" w:cs="Times New Roman"/>
          <w:sz w:val="24"/>
          <w:szCs w:val="24"/>
        </w:rPr>
        <w:t xml:space="preserve"> The intestinal mucosa's pro-inflammatory properties have been extensively documented, and its existence may have an association with the cour</w:t>
      </w:r>
      <w:r w:rsidR="0018201F">
        <w:rPr>
          <w:rFonts w:ascii="Times New Roman" w:hAnsi="Times New Roman" w:cs="Times New Roman"/>
          <w:sz w:val="24"/>
          <w:szCs w:val="24"/>
        </w:rPr>
        <w:t>se of a patient's treatment. (</w:t>
      </w:r>
      <w:r w:rsidR="0018201F" w:rsidRPr="00D43EE5">
        <w:rPr>
          <w:rFonts w:ascii="Times New Roman" w:eastAsia="Times New Roman" w:hAnsi="Times New Roman" w:cs="Times New Roman"/>
          <w:sz w:val="24"/>
          <w:szCs w:val="24"/>
          <w:lang w:eastAsia="en-IN"/>
        </w:rPr>
        <w:t>Flanagan, L.,</w:t>
      </w:r>
      <w:r w:rsidR="0018201F">
        <w:rPr>
          <w:rFonts w:ascii="Times New Roman" w:eastAsia="Times New Roman" w:hAnsi="Times New Roman" w:cs="Times New Roman"/>
          <w:sz w:val="24"/>
          <w:szCs w:val="24"/>
          <w:lang w:eastAsia="en-IN"/>
        </w:rPr>
        <w:t xml:space="preserve"> et al. 2014</w:t>
      </w:r>
      <w:r w:rsidR="0018201F">
        <w:rPr>
          <w:rFonts w:ascii="Times New Roman" w:hAnsi="Times New Roman" w:cs="Times New Roman"/>
          <w:sz w:val="24"/>
          <w:szCs w:val="24"/>
        </w:rPr>
        <w:t>) (</w:t>
      </w:r>
      <w:r w:rsidR="0018201F" w:rsidRPr="00D43EE5">
        <w:rPr>
          <w:rFonts w:ascii="Times New Roman" w:eastAsia="Times New Roman" w:hAnsi="Times New Roman" w:cs="Times New Roman"/>
          <w:sz w:val="24"/>
          <w:szCs w:val="24"/>
          <w:lang w:eastAsia="en-IN"/>
        </w:rPr>
        <w:t>Tilg, H.,</w:t>
      </w:r>
      <w:r w:rsidR="0018201F">
        <w:rPr>
          <w:rFonts w:ascii="Times New Roman" w:eastAsia="Times New Roman" w:hAnsi="Times New Roman" w:cs="Times New Roman"/>
          <w:sz w:val="24"/>
          <w:szCs w:val="24"/>
          <w:lang w:eastAsia="en-IN"/>
        </w:rPr>
        <w:t xml:space="preserve"> et al. 2018</w:t>
      </w:r>
      <w:r w:rsidRPr="004A7A0B">
        <w:rPr>
          <w:rFonts w:ascii="Times New Roman" w:hAnsi="Times New Roman" w:cs="Times New Roman"/>
          <w:sz w:val="24"/>
          <w:szCs w:val="24"/>
        </w:rPr>
        <w:t>)</w:t>
      </w:r>
      <w:r w:rsidR="0018201F">
        <w:rPr>
          <w:rFonts w:ascii="Times New Roman" w:hAnsi="Times New Roman" w:cs="Times New Roman"/>
          <w:sz w:val="24"/>
          <w:szCs w:val="24"/>
        </w:rPr>
        <w:t>.</w:t>
      </w:r>
      <w:r w:rsidRPr="004A7A0B">
        <w:rPr>
          <w:rFonts w:ascii="Times New Roman" w:hAnsi="Times New Roman" w:cs="Times New Roman"/>
          <w:sz w:val="24"/>
          <w:szCs w:val="24"/>
        </w:rPr>
        <w:t xml:space="preserve"> It is important to carefully consider F. nucleatum's participation in this situation. Large concentrations of the commensal anaerobic oral cavity bacterium F. nucleatum, which is linked to periodontal diseases</w:t>
      </w:r>
      <w:r w:rsidR="0018201F">
        <w:rPr>
          <w:rFonts w:ascii="Times New Roman" w:hAnsi="Times New Roman" w:cs="Times New Roman"/>
          <w:sz w:val="24"/>
          <w:szCs w:val="24"/>
        </w:rPr>
        <w:t>, have been detected in CRC. (</w:t>
      </w:r>
      <w:r w:rsidR="0018201F" w:rsidRPr="00D43EE5">
        <w:rPr>
          <w:rFonts w:ascii="Times New Roman" w:eastAsia="Times New Roman" w:hAnsi="Times New Roman" w:cs="Times New Roman"/>
          <w:sz w:val="24"/>
          <w:szCs w:val="24"/>
          <w:lang w:eastAsia="en-IN"/>
        </w:rPr>
        <w:t>Shang, F. M.,</w:t>
      </w:r>
      <w:r w:rsidR="0018201F">
        <w:rPr>
          <w:rFonts w:ascii="Times New Roman" w:eastAsia="Times New Roman" w:hAnsi="Times New Roman" w:cs="Times New Roman"/>
          <w:sz w:val="24"/>
          <w:szCs w:val="24"/>
          <w:lang w:eastAsia="en-IN"/>
        </w:rPr>
        <w:t xml:space="preserve"> et al. 2018</w:t>
      </w:r>
      <w:r w:rsidRPr="004A7A0B">
        <w:rPr>
          <w:rFonts w:ascii="Times New Roman" w:hAnsi="Times New Roman" w:cs="Times New Roman"/>
          <w:sz w:val="24"/>
          <w:szCs w:val="24"/>
        </w:rPr>
        <w:t>)</w:t>
      </w:r>
      <w:r w:rsidR="0018201F">
        <w:rPr>
          <w:rFonts w:ascii="Times New Roman" w:hAnsi="Times New Roman" w:cs="Times New Roman"/>
          <w:sz w:val="24"/>
          <w:szCs w:val="24"/>
        </w:rPr>
        <w:t>.</w:t>
      </w:r>
      <w:r w:rsidRPr="004A7A0B">
        <w:rPr>
          <w:rFonts w:ascii="Times New Roman" w:hAnsi="Times New Roman" w:cs="Times New Roman"/>
          <w:sz w:val="24"/>
          <w:szCs w:val="24"/>
        </w:rPr>
        <w:t xml:space="preserve"> Two adhesion proteins, FapA and FadA, are present in this microbe; the latter facilitates the bacterium's entry into the intestinal epithelium. The upshot of this incursion is the stimulation of NF-κB signaling and the production of several cytokines, including TNF-α, IL-6, IL-8, IL-10, and IL-18. Overall, these modifications lead to the development of a pro-inflammatory environment that promotes </w:t>
      </w:r>
      <w:r w:rsidR="00F91A54" w:rsidRPr="004A7A0B">
        <w:rPr>
          <w:rFonts w:ascii="Times New Roman" w:hAnsi="Times New Roman" w:cs="Times New Roman"/>
          <w:sz w:val="24"/>
          <w:szCs w:val="24"/>
        </w:rPr>
        <w:t>tumour</w:t>
      </w:r>
      <w:r w:rsidRPr="004A7A0B">
        <w:rPr>
          <w:rFonts w:ascii="Times New Roman" w:hAnsi="Times New Roman" w:cs="Times New Roman"/>
          <w:sz w:val="24"/>
          <w:szCs w:val="24"/>
        </w:rPr>
        <w:t xml:space="preserve"> growth, which is supported by the inhibition of T cells' cy</w:t>
      </w:r>
      <w:r w:rsidR="0018201F">
        <w:rPr>
          <w:rFonts w:ascii="Times New Roman" w:hAnsi="Times New Roman" w:cs="Times New Roman"/>
          <w:sz w:val="24"/>
          <w:szCs w:val="24"/>
        </w:rPr>
        <w:t>totoxic action through FapA. (</w:t>
      </w:r>
      <w:r w:rsidR="0018201F" w:rsidRPr="00D43EE5">
        <w:rPr>
          <w:rFonts w:ascii="Times New Roman" w:eastAsia="Times New Roman" w:hAnsi="Times New Roman" w:cs="Times New Roman"/>
          <w:sz w:val="24"/>
          <w:szCs w:val="24"/>
          <w:lang w:eastAsia="en-IN"/>
        </w:rPr>
        <w:t>Gao, R.,</w:t>
      </w:r>
      <w:r w:rsidR="0018201F">
        <w:rPr>
          <w:rFonts w:ascii="Times New Roman" w:eastAsia="Times New Roman" w:hAnsi="Times New Roman" w:cs="Times New Roman"/>
          <w:sz w:val="24"/>
          <w:szCs w:val="24"/>
          <w:lang w:eastAsia="en-IN"/>
        </w:rPr>
        <w:t xml:space="preserve"> et al. </w:t>
      </w:r>
      <w:r w:rsidR="0018201F">
        <w:rPr>
          <w:rFonts w:ascii="Times New Roman" w:eastAsia="Times New Roman" w:hAnsi="Times New Roman" w:cs="Times New Roman"/>
          <w:sz w:val="24"/>
          <w:szCs w:val="24"/>
          <w:lang w:eastAsia="en-IN"/>
        </w:rPr>
        <w:lastRenderedPageBreak/>
        <w:t>2017</w:t>
      </w:r>
      <w:r w:rsidRPr="004A7A0B">
        <w:rPr>
          <w:rFonts w:ascii="Times New Roman" w:hAnsi="Times New Roman" w:cs="Times New Roman"/>
          <w:sz w:val="24"/>
          <w:szCs w:val="24"/>
        </w:rPr>
        <w:t>)</w:t>
      </w:r>
      <w:r w:rsidR="0018201F">
        <w:rPr>
          <w:rFonts w:ascii="Times New Roman" w:hAnsi="Times New Roman" w:cs="Times New Roman"/>
          <w:sz w:val="24"/>
          <w:szCs w:val="24"/>
        </w:rPr>
        <w:t>.</w:t>
      </w:r>
      <w:r w:rsidRPr="004A7A0B">
        <w:rPr>
          <w:rFonts w:ascii="Times New Roman" w:hAnsi="Times New Roman" w:cs="Times New Roman"/>
          <w:sz w:val="24"/>
          <w:szCs w:val="24"/>
        </w:rPr>
        <w:t xml:space="preserve"> Chronic hypergastrinemia, which is often associated with PPI usage, can accelerate the proliferation of cancerous colonic epithelial cells, which can have a detrimental effect on a</w:t>
      </w:r>
      <w:r w:rsidR="0018201F">
        <w:rPr>
          <w:rFonts w:ascii="Times New Roman" w:hAnsi="Times New Roman" w:cs="Times New Roman"/>
          <w:sz w:val="24"/>
          <w:szCs w:val="24"/>
        </w:rPr>
        <w:t>denoma-carcinoma sequencing. (</w:t>
      </w:r>
      <w:r w:rsidR="0018201F" w:rsidRPr="00D43EE5">
        <w:rPr>
          <w:rFonts w:ascii="Times New Roman" w:eastAsia="Times New Roman" w:hAnsi="Times New Roman" w:cs="Times New Roman"/>
          <w:sz w:val="24"/>
          <w:szCs w:val="24"/>
          <w:lang w:eastAsia="en-IN"/>
        </w:rPr>
        <w:t>Joshi, S. N.,</w:t>
      </w:r>
      <w:r w:rsidR="0018201F">
        <w:rPr>
          <w:rFonts w:ascii="Times New Roman" w:eastAsia="Times New Roman" w:hAnsi="Times New Roman" w:cs="Times New Roman"/>
          <w:sz w:val="24"/>
          <w:szCs w:val="24"/>
          <w:lang w:eastAsia="en-IN"/>
        </w:rPr>
        <w:t xml:space="preserve"> et al. 1996</w:t>
      </w:r>
      <w:r w:rsidRPr="004A7A0B">
        <w:rPr>
          <w:rFonts w:ascii="Times New Roman" w:hAnsi="Times New Roman" w:cs="Times New Roman"/>
          <w:sz w:val="24"/>
          <w:szCs w:val="24"/>
        </w:rPr>
        <w:t>)</w:t>
      </w:r>
      <w:r w:rsidR="0018201F">
        <w:rPr>
          <w:rFonts w:ascii="Times New Roman" w:hAnsi="Times New Roman" w:cs="Times New Roman"/>
          <w:sz w:val="24"/>
          <w:szCs w:val="24"/>
        </w:rPr>
        <w:t>.</w:t>
      </w:r>
      <w:r w:rsidRPr="004A7A0B">
        <w:rPr>
          <w:rFonts w:ascii="Times New Roman" w:hAnsi="Times New Roman" w:cs="Times New Roman"/>
          <w:sz w:val="24"/>
          <w:szCs w:val="24"/>
        </w:rPr>
        <w:t xml:space="preserve"> However, it is crucial to emphasize that several studies conducted over the years have failed to find a direct link between the use of PPIs in clinical practice and a higher risk of co</w:t>
      </w:r>
      <w:r w:rsidR="0018201F">
        <w:rPr>
          <w:rFonts w:ascii="Times New Roman" w:hAnsi="Times New Roman" w:cs="Times New Roman"/>
          <w:sz w:val="24"/>
          <w:szCs w:val="24"/>
        </w:rPr>
        <w:t>lorectal cancer. (</w:t>
      </w:r>
      <w:r w:rsidR="0018201F" w:rsidRPr="00D43EE5">
        <w:rPr>
          <w:rFonts w:ascii="Times New Roman" w:eastAsia="Times New Roman" w:hAnsi="Times New Roman" w:cs="Times New Roman"/>
          <w:sz w:val="24"/>
          <w:szCs w:val="24"/>
          <w:lang w:eastAsia="en-IN"/>
        </w:rPr>
        <w:t>Distrutti, E.,</w:t>
      </w:r>
      <w:r w:rsidR="0018201F">
        <w:rPr>
          <w:rFonts w:ascii="Times New Roman" w:eastAsia="Times New Roman" w:hAnsi="Times New Roman" w:cs="Times New Roman"/>
          <w:sz w:val="24"/>
          <w:szCs w:val="24"/>
          <w:lang w:eastAsia="en-IN"/>
        </w:rPr>
        <w:t xml:space="preserve"> et al. 2016</w:t>
      </w:r>
      <w:r w:rsidRPr="004A7A0B">
        <w:rPr>
          <w:rFonts w:ascii="Times New Roman" w:hAnsi="Times New Roman" w:cs="Times New Roman"/>
          <w:sz w:val="24"/>
          <w:szCs w:val="24"/>
        </w:rPr>
        <w:t>)</w:t>
      </w:r>
      <w:r w:rsidR="0018201F">
        <w:rPr>
          <w:rFonts w:ascii="Times New Roman" w:hAnsi="Times New Roman" w:cs="Times New Roman"/>
          <w:sz w:val="24"/>
          <w:szCs w:val="24"/>
        </w:rPr>
        <w:t>.</w:t>
      </w:r>
      <w:r w:rsidRPr="004A7A0B">
        <w:rPr>
          <w:rFonts w:ascii="Times New Roman" w:hAnsi="Times New Roman" w:cs="Times New Roman"/>
          <w:sz w:val="24"/>
          <w:szCs w:val="24"/>
        </w:rPr>
        <w:t xml:space="preserve"> PPI use probably puts patients at risk for developing IBS. As previously mentioned, long-term PPI usage promotes the development of enteric infection. Additionally, these medications may affect the activities of the gut-brain axis, causing the emergence of IBS, through secondary changes in the co</w:t>
      </w:r>
      <w:r w:rsidR="0018201F">
        <w:rPr>
          <w:rFonts w:ascii="Times New Roman" w:hAnsi="Times New Roman" w:cs="Times New Roman"/>
          <w:sz w:val="24"/>
          <w:szCs w:val="24"/>
        </w:rPr>
        <w:t>mposition of the microbiota. (</w:t>
      </w:r>
      <w:r w:rsidR="0018201F" w:rsidRPr="007243C9">
        <w:rPr>
          <w:rStyle w:val="selectable-text"/>
          <w:rFonts w:ascii="Times New Roman" w:hAnsi="Times New Roman" w:cs="Times New Roman"/>
          <w:sz w:val="24"/>
        </w:rPr>
        <w:t>Carabotti</w:t>
      </w:r>
      <w:r w:rsidR="007243C9" w:rsidRPr="007243C9">
        <w:rPr>
          <w:rStyle w:val="selectable-text"/>
          <w:rFonts w:ascii="Times New Roman" w:hAnsi="Times New Roman" w:cs="Times New Roman"/>
          <w:sz w:val="24"/>
        </w:rPr>
        <w:t>,</w:t>
      </w:r>
      <w:r w:rsidR="0018201F" w:rsidRPr="007243C9">
        <w:rPr>
          <w:rStyle w:val="selectable-text"/>
          <w:rFonts w:ascii="Times New Roman" w:hAnsi="Times New Roman" w:cs="Times New Roman"/>
          <w:sz w:val="24"/>
        </w:rPr>
        <w:t xml:space="preserve"> M</w:t>
      </w:r>
      <w:r w:rsidR="007243C9" w:rsidRPr="007243C9">
        <w:rPr>
          <w:rStyle w:val="selectable-text"/>
          <w:rFonts w:ascii="Times New Roman" w:hAnsi="Times New Roman" w:cs="Times New Roman"/>
          <w:sz w:val="24"/>
        </w:rPr>
        <w:t>.</w:t>
      </w:r>
      <w:r w:rsidR="0018201F" w:rsidRPr="007243C9">
        <w:rPr>
          <w:rStyle w:val="selectable-text"/>
          <w:rFonts w:ascii="Times New Roman" w:hAnsi="Times New Roman" w:cs="Times New Roman"/>
          <w:sz w:val="24"/>
        </w:rPr>
        <w:t>, et al. 2015</w:t>
      </w:r>
      <w:r w:rsidRPr="007243C9">
        <w:rPr>
          <w:rFonts w:ascii="Times New Roman" w:hAnsi="Times New Roman" w:cs="Times New Roman"/>
          <w:sz w:val="24"/>
          <w:szCs w:val="24"/>
        </w:rPr>
        <w:t>)</w:t>
      </w:r>
      <w:r w:rsidR="007243C9" w:rsidRPr="007243C9">
        <w:rPr>
          <w:rFonts w:ascii="Times New Roman" w:hAnsi="Times New Roman" w:cs="Times New Roman"/>
          <w:sz w:val="24"/>
          <w:szCs w:val="24"/>
        </w:rPr>
        <w:t>.</w:t>
      </w:r>
      <w:r w:rsidR="0018201F" w:rsidRPr="007243C9">
        <w:rPr>
          <w:rFonts w:ascii="Times New Roman" w:hAnsi="Times New Roman" w:cs="Times New Roman"/>
          <w:sz w:val="24"/>
          <w:szCs w:val="24"/>
        </w:rPr>
        <w:t xml:space="preserve"> (</w:t>
      </w:r>
      <w:r w:rsidR="0018201F" w:rsidRPr="007243C9">
        <w:rPr>
          <w:rFonts w:ascii="Times New Roman" w:eastAsia="Times New Roman" w:hAnsi="Times New Roman" w:cs="Times New Roman"/>
          <w:sz w:val="24"/>
          <w:szCs w:val="24"/>
          <w:lang w:eastAsia="en-IN"/>
        </w:rPr>
        <w:t>Si, J. M., et al. 2004</w:t>
      </w:r>
      <w:r w:rsidRPr="007243C9">
        <w:rPr>
          <w:rFonts w:ascii="Times New Roman" w:hAnsi="Times New Roman" w:cs="Times New Roman"/>
          <w:sz w:val="24"/>
          <w:szCs w:val="24"/>
        </w:rPr>
        <w:t>)</w:t>
      </w:r>
      <w:r w:rsidR="0018201F" w:rsidRPr="007243C9">
        <w:rPr>
          <w:rFonts w:ascii="Times New Roman" w:hAnsi="Times New Roman" w:cs="Times New Roman"/>
          <w:sz w:val="24"/>
          <w:szCs w:val="24"/>
        </w:rPr>
        <w:t>.</w:t>
      </w:r>
      <w:r w:rsidRPr="004A7A0B">
        <w:rPr>
          <w:rFonts w:ascii="Times New Roman" w:hAnsi="Times New Roman" w:cs="Times New Roman"/>
          <w:sz w:val="24"/>
          <w:szCs w:val="24"/>
        </w:rPr>
        <w:t xml:space="preserve"> Reduced alpha diversity and an imbalance between microbial groups—represented by a deficiency of Bifidobacteria and Lactobacilli members and an excess of potentially dangerous Enterobacteriaceae, including E. coli—are the main featu</w:t>
      </w:r>
      <w:r w:rsidR="0018201F">
        <w:rPr>
          <w:rFonts w:ascii="Times New Roman" w:hAnsi="Times New Roman" w:cs="Times New Roman"/>
          <w:sz w:val="24"/>
          <w:szCs w:val="24"/>
        </w:rPr>
        <w:t>res of IBS dysbiosis. (</w:t>
      </w:r>
      <w:r w:rsidR="0018201F" w:rsidRPr="00E64DB5">
        <w:rPr>
          <w:rFonts w:ascii="Times New Roman" w:eastAsia="Times New Roman" w:hAnsi="Times New Roman" w:cs="Times New Roman"/>
          <w:sz w:val="24"/>
          <w:szCs w:val="24"/>
          <w:lang w:eastAsia="en-IN"/>
        </w:rPr>
        <w:t xml:space="preserve">El-Salhy, M. </w:t>
      </w:r>
      <w:r w:rsidR="0018201F">
        <w:rPr>
          <w:rFonts w:ascii="Times New Roman" w:eastAsia="Times New Roman" w:hAnsi="Times New Roman" w:cs="Times New Roman"/>
          <w:sz w:val="24"/>
          <w:szCs w:val="24"/>
          <w:lang w:eastAsia="en-IN"/>
        </w:rPr>
        <w:t>2015</w:t>
      </w:r>
      <w:r w:rsidR="00997518">
        <w:rPr>
          <w:rFonts w:ascii="Times New Roman" w:hAnsi="Times New Roman" w:cs="Times New Roman"/>
          <w:sz w:val="24"/>
          <w:szCs w:val="24"/>
        </w:rPr>
        <w:t>) (</w:t>
      </w:r>
      <w:r w:rsidR="00997518" w:rsidRPr="00E64DB5">
        <w:rPr>
          <w:rFonts w:ascii="Times New Roman" w:eastAsia="Times New Roman" w:hAnsi="Times New Roman" w:cs="Times New Roman"/>
          <w:sz w:val="24"/>
          <w:szCs w:val="24"/>
          <w:lang w:eastAsia="en-IN"/>
        </w:rPr>
        <w:t>Fujimori, S</w:t>
      </w:r>
      <w:r w:rsidR="00997518">
        <w:rPr>
          <w:rFonts w:ascii="Times New Roman" w:eastAsia="Times New Roman" w:hAnsi="Times New Roman" w:cs="Times New Roman"/>
          <w:sz w:val="24"/>
          <w:szCs w:val="24"/>
          <w:lang w:eastAsia="en-IN"/>
        </w:rPr>
        <w:t>. 2015</w:t>
      </w:r>
      <w:r w:rsidR="004A7A0B">
        <w:rPr>
          <w:rFonts w:ascii="Times New Roman" w:hAnsi="Times New Roman" w:cs="Times New Roman"/>
          <w:sz w:val="24"/>
          <w:szCs w:val="24"/>
        </w:rPr>
        <w:t>)</w:t>
      </w:r>
      <w:r w:rsidR="00997518">
        <w:rPr>
          <w:rFonts w:ascii="Times New Roman" w:hAnsi="Times New Roman" w:cs="Times New Roman"/>
          <w:sz w:val="24"/>
          <w:szCs w:val="24"/>
        </w:rPr>
        <w:t>.</w:t>
      </w:r>
    </w:p>
    <w:p w14:paraId="5EEAE453" w14:textId="77777777" w:rsidR="004F7964" w:rsidRPr="004A7A0B" w:rsidRDefault="004F7964" w:rsidP="00E64DB5">
      <w:pPr>
        <w:spacing w:after="0" w:line="360" w:lineRule="auto"/>
        <w:jc w:val="both"/>
        <w:rPr>
          <w:rFonts w:ascii="Times New Roman" w:hAnsi="Times New Roman" w:cs="Times New Roman"/>
          <w:b/>
          <w:sz w:val="24"/>
          <w:szCs w:val="24"/>
        </w:rPr>
      </w:pPr>
      <w:r w:rsidRPr="004A7A0B">
        <w:rPr>
          <w:rFonts w:ascii="Times New Roman" w:hAnsi="Times New Roman" w:cs="Times New Roman"/>
          <w:b/>
          <w:sz w:val="24"/>
          <w:szCs w:val="24"/>
        </w:rPr>
        <w:t xml:space="preserve">4. Effect of Small Intestine associated with PPI Use </w:t>
      </w:r>
    </w:p>
    <w:p w14:paraId="744629AD" w14:textId="691AAE20" w:rsidR="004F7964" w:rsidRPr="004A7A0B" w:rsidRDefault="004F7964" w:rsidP="0054174C">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Prolonged use of PPIs has a significant negative effect on the microbiota of the small intestine and, in particular, results in SIBO, which is most likely caused by the breakdown of the g</w:t>
      </w:r>
      <w:r w:rsidR="00997518">
        <w:rPr>
          <w:rFonts w:ascii="Times New Roman" w:hAnsi="Times New Roman" w:cs="Times New Roman"/>
          <w:sz w:val="24"/>
          <w:szCs w:val="24"/>
        </w:rPr>
        <w:t>astric acid defense barrier. (</w:t>
      </w:r>
      <w:r w:rsidR="00997518" w:rsidRPr="00E64DB5">
        <w:rPr>
          <w:rFonts w:ascii="Times New Roman" w:eastAsia="Times New Roman" w:hAnsi="Times New Roman" w:cs="Times New Roman"/>
          <w:sz w:val="24"/>
          <w:szCs w:val="24"/>
          <w:lang w:eastAsia="en-IN"/>
        </w:rPr>
        <w:t>Lo, W. K.,</w:t>
      </w:r>
      <w:r w:rsidR="00997518">
        <w:rPr>
          <w:rFonts w:ascii="Times New Roman" w:eastAsia="Times New Roman" w:hAnsi="Times New Roman" w:cs="Times New Roman"/>
          <w:sz w:val="24"/>
          <w:szCs w:val="24"/>
          <w:lang w:eastAsia="en-IN"/>
        </w:rPr>
        <w:t xml:space="preserve"> et al. 2013</w:t>
      </w:r>
      <w:r w:rsidR="00997518">
        <w:rPr>
          <w:rFonts w:ascii="Times New Roman" w:hAnsi="Times New Roman" w:cs="Times New Roman"/>
          <w:sz w:val="24"/>
          <w:szCs w:val="24"/>
        </w:rPr>
        <w:t>) (</w:t>
      </w:r>
      <w:r w:rsidR="00997518" w:rsidRPr="00E64DB5">
        <w:rPr>
          <w:rFonts w:ascii="Times New Roman" w:eastAsia="Times New Roman" w:hAnsi="Times New Roman" w:cs="Times New Roman"/>
          <w:sz w:val="24"/>
          <w:szCs w:val="24"/>
          <w:lang w:eastAsia="en-IN"/>
        </w:rPr>
        <w:t>Nardelli, S.,</w:t>
      </w:r>
      <w:r w:rsidR="00997518">
        <w:rPr>
          <w:rFonts w:ascii="Times New Roman" w:eastAsia="Times New Roman" w:hAnsi="Times New Roman" w:cs="Times New Roman"/>
          <w:sz w:val="24"/>
          <w:szCs w:val="24"/>
          <w:lang w:eastAsia="en-IN"/>
        </w:rPr>
        <w:t xml:space="preserve"> et al. 2019</w:t>
      </w:r>
      <w:r w:rsidRPr="004A7A0B">
        <w:rPr>
          <w:rFonts w:ascii="Times New Roman" w:hAnsi="Times New Roman" w:cs="Times New Roman"/>
          <w:sz w:val="24"/>
          <w:szCs w:val="24"/>
        </w:rPr>
        <w:t>)</w:t>
      </w:r>
      <w:r w:rsidR="00997518">
        <w:rPr>
          <w:rFonts w:ascii="Times New Roman" w:hAnsi="Times New Roman" w:cs="Times New Roman"/>
          <w:sz w:val="24"/>
          <w:szCs w:val="24"/>
        </w:rPr>
        <w:t>.</w:t>
      </w:r>
      <w:r w:rsidRPr="004A7A0B">
        <w:rPr>
          <w:rFonts w:ascii="Times New Roman" w:hAnsi="Times New Roman" w:cs="Times New Roman"/>
          <w:sz w:val="24"/>
          <w:szCs w:val="24"/>
        </w:rPr>
        <w:t xml:space="preserve"> </w:t>
      </w:r>
      <w:r w:rsidR="0054174C" w:rsidRPr="0054174C">
        <w:rPr>
          <w:rFonts w:ascii="Times New Roman" w:hAnsi="Times New Roman" w:cs="Times New Roman"/>
          <w:sz w:val="24"/>
          <w:szCs w:val="24"/>
        </w:rPr>
        <w:t>Individuals with a genetic predisposition develop inflammatory bowel disease (IBD) due to an inappropriate immune response to the intestinal microbiota.</w:t>
      </w:r>
      <w:r w:rsidR="0054174C">
        <w:rPr>
          <w:rFonts w:ascii="Times New Roman" w:hAnsi="Times New Roman" w:cs="Times New Roman"/>
          <w:sz w:val="24"/>
          <w:szCs w:val="24"/>
        </w:rPr>
        <w:t xml:space="preserve"> (Rohini, S et al. 2024). </w:t>
      </w:r>
      <w:r w:rsidRPr="004A7A0B">
        <w:rPr>
          <w:rFonts w:ascii="Times New Roman" w:hAnsi="Times New Roman" w:cs="Times New Roman"/>
          <w:sz w:val="24"/>
          <w:szCs w:val="24"/>
        </w:rPr>
        <w:t>In patients with cirrhosis, PPI-induced dysbiosis may be a risk factor for hepatic encephalopathy (HE) and spontaneous bac</w:t>
      </w:r>
      <w:r w:rsidR="00997518">
        <w:rPr>
          <w:rFonts w:ascii="Times New Roman" w:hAnsi="Times New Roman" w:cs="Times New Roman"/>
          <w:sz w:val="24"/>
          <w:szCs w:val="24"/>
        </w:rPr>
        <w:t>terial peritonitis (SBP). (</w:t>
      </w:r>
      <w:r w:rsidR="00997518" w:rsidRPr="00E64DB5">
        <w:rPr>
          <w:rFonts w:ascii="Times New Roman" w:eastAsia="Times New Roman" w:hAnsi="Times New Roman" w:cs="Times New Roman"/>
          <w:sz w:val="24"/>
          <w:szCs w:val="24"/>
          <w:lang w:eastAsia="en-IN"/>
        </w:rPr>
        <w:t>Dam, G.,</w:t>
      </w:r>
      <w:r w:rsidR="00997518">
        <w:rPr>
          <w:rFonts w:ascii="Times New Roman" w:eastAsia="Times New Roman" w:hAnsi="Times New Roman" w:cs="Times New Roman"/>
          <w:sz w:val="24"/>
          <w:szCs w:val="24"/>
          <w:lang w:eastAsia="en-IN"/>
        </w:rPr>
        <w:t xml:space="preserve"> et al. 2016</w:t>
      </w:r>
      <w:r w:rsidRPr="004A7A0B">
        <w:rPr>
          <w:rFonts w:ascii="Times New Roman" w:hAnsi="Times New Roman" w:cs="Times New Roman"/>
          <w:sz w:val="24"/>
          <w:szCs w:val="24"/>
        </w:rPr>
        <w:t>)</w:t>
      </w:r>
      <w:r w:rsidR="00997518">
        <w:rPr>
          <w:rFonts w:ascii="Times New Roman" w:hAnsi="Times New Roman" w:cs="Times New Roman"/>
          <w:sz w:val="24"/>
          <w:szCs w:val="24"/>
        </w:rPr>
        <w:t xml:space="preserve"> (</w:t>
      </w:r>
      <w:r w:rsidR="00997518" w:rsidRPr="00E64DB5">
        <w:rPr>
          <w:rFonts w:ascii="Times New Roman" w:eastAsia="Times New Roman" w:hAnsi="Times New Roman" w:cs="Times New Roman"/>
          <w:sz w:val="24"/>
          <w:szCs w:val="24"/>
          <w:lang w:eastAsia="en-IN"/>
        </w:rPr>
        <w:t>Bajaj, J. S.,</w:t>
      </w:r>
      <w:r w:rsidR="00997518">
        <w:rPr>
          <w:rFonts w:ascii="Times New Roman" w:eastAsia="Times New Roman" w:hAnsi="Times New Roman" w:cs="Times New Roman"/>
          <w:sz w:val="24"/>
          <w:szCs w:val="24"/>
          <w:lang w:eastAsia="en-IN"/>
        </w:rPr>
        <w:t xml:space="preserve"> et al. 2014</w:t>
      </w:r>
      <w:r w:rsidRPr="004A7A0B">
        <w:rPr>
          <w:rFonts w:ascii="Times New Roman" w:hAnsi="Times New Roman" w:cs="Times New Roman"/>
          <w:sz w:val="24"/>
          <w:szCs w:val="24"/>
        </w:rPr>
        <w:t>)</w:t>
      </w:r>
      <w:r w:rsidR="00997518">
        <w:rPr>
          <w:rFonts w:ascii="Times New Roman" w:hAnsi="Times New Roman" w:cs="Times New Roman"/>
          <w:sz w:val="24"/>
          <w:szCs w:val="24"/>
        </w:rPr>
        <w:t>.</w:t>
      </w:r>
      <w:r w:rsidRPr="004A7A0B">
        <w:rPr>
          <w:rFonts w:ascii="Times New Roman" w:hAnsi="Times New Roman" w:cs="Times New Roman"/>
          <w:sz w:val="24"/>
          <w:szCs w:val="24"/>
        </w:rPr>
        <w:t xml:space="preserve"> Notably, some of the microbial changes brought on by PPIs are the same as those that patients with cirrhosis already have, particularly those with decompensated cirrhosis. These changes include a relative increase in potentially harmful bacteria like Staphylococcaeae, Enterobacter</w:t>
      </w:r>
      <w:r w:rsidR="00997518">
        <w:rPr>
          <w:rFonts w:ascii="Times New Roman" w:hAnsi="Times New Roman" w:cs="Times New Roman"/>
          <w:sz w:val="24"/>
          <w:szCs w:val="24"/>
        </w:rPr>
        <w:t>iaceae, and Enterococcaceae. (</w:t>
      </w:r>
      <w:r w:rsidR="00997518" w:rsidRPr="00E64DB5">
        <w:rPr>
          <w:rFonts w:ascii="Times New Roman" w:eastAsia="Times New Roman" w:hAnsi="Times New Roman" w:cs="Times New Roman"/>
          <w:sz w:val="24"/>
          <w:szCs w:val="24"/>
          <w:lang w:eastAsia="en-IN"/>
        </w:rPr>
        <w:t>Vilstrup, H.,</w:t>
      </w:r>
      <w:r w:rsidR="00997518">
        <w:rPr>
          <w:rFonts w:ascii="Times New Roman" w:eastAsia="Times New Roman" w:hAnsi="Times New Roman" w:cs="Times New Roman"/>
          <w:sz w:val="24"/>
          <w:szCs w:val="24"/>
          <w:lang w:eastAsia="en-IN"/>
        </w:rPr>
        <w:t xml:space="preserve"> 2014</w:t>
      </w:r>
      <w:r w:rsidRPr="004A7A0B">
        <w:rPr>
          <w:rFonts w:ascii="Times New Roman" w:hAnsi="Times New Roman" w:cs="Times New Roman"/>
          <w:sz w:val="24"/>
          <w:szCs w:val="24"/>
        </w:rPr>
        <w:t>)</w:t>
      </w:r>
      <w:r w:rsidR="00997518">
        <w:rPr>
          <w:rFonts w:ascii="Times New Roman" w:hAnsi="Times New Roman" w:cs="Times New Roman"/>
          <w:sz w:val="24"/>
          <w:szCs w:val="24"/>
        </w:rPr>
        <w:t>.</w:t>
      </w:r>
      <w:r w:rsidRPr="004A7A0B">
        <w:rPr>
          <w:rFonts w:ascii="Times New Roman" w:hAnsi="Times New Roman" w:cs="Times New Roman"/>
          <w:sz w:val="24"/>
          <w:szCs w:val="24"/>
        </w:rPr>
        <w:t xml:space="preserve"> A poor prognosis and rapid disease progression are implied by the findings that this dysbiosis is linked to the incidence of HE and SBP. Hence, the foundation of treatment for HE is the use of prebiotics such lactulose and little absorbed</w:t>
      </w:r>
      <w:r w:rsidR="00997518">
        <w:rPr>
          <w:rFonts w:ascii="Times New Roman" w:hAnsi="Times New Roman" w:cs="Times New Roman"/>
          <w:sz w:val="24"/>
          <w:szCs w:val="24"/>
        </w:rPr>
        <w:t xml:space="preserve"> antibiotics like rifaximin. (</w:t>
      </w:r>
      <w:r w:rsidR="00997518" w:rsidRPr="00E64DB5">
        <w:rPr>
          <w:rFonts w:ascii="Times New Roman" w:eastAsia="Times New Roman" w:hAnsi="Times New Roman" w:cs="Times New Roman"/>
          <w:sz w:val="24"/>
          <w:szCs w:val="24"/>
          <w:lang w:eastAsia="en-IN"/>
        </w:rPr>
        <w:t>Malfertheiner, P.,</w:t>
      </w:r>
      <w:r w:rsidR="00997518">
        <w:rPr>
          <w:rFonts w:ascii="Times New Roman" w:eastAsia="Times New Roman" w:hAnsi="Times New Roman" w:cs="Times New Roman"/>
          <w:sz w:val="24"/>
          <w:szCs w:val="24"/>
          <w:lang w:eastAsia="en-IN"/>
        </w:rPr>
        <w:t xml:space="preserve"> et al. 2017</w:t>
      </w:r>
      <w:r w:rsidRPr="004A7A0B">
        <w:rPr>
          <w:rFonts w:ascii="Times New Roman" w:hAnsi="Times New Roman" w:cs="Times New Roman"/>
          <w:sz w:val="24"/>
          <w:szCs w:val="24"/>
        </w:rPr>
        <w:t>)</w:t>
      </w:r>
      <w:r w:rsidR="00997518">
        <w:rPr>
          <w:rFonts w:ascii="Times New Roman" w:hAnsi="Times New Roman" w:cs="Times New Roman"/>
          <w:sz w:val="24"/>
          <w:szCs w:val="24"/>
        </w:rPr>
        <w:t>.</w:t>
      </w:r>
    </w:p>
    <w:p w14:paraId="42B9D6C5" w14:textId="77777777" w:rsidR="004F7964" w:rsidRPr="004A7A0B" w:rsidRDefault="004F7964" w:rsidP="00E64DB5">
      <w:pPr>
        <w:spacing w:after="0" w:line="360" w:lineRule="auto"/>
        <w:jc w:val="both"/>
        <w:rPr>
          <w:rFonts w:ascii="Times New Roman" w:hAnsi="Times New Roman" w:cs="Times New Roman"/>
          <w:b/>
          <w:sz w:val="24"/>
          <w:szCs w:val="24"/>
        </w:rPr>
      </w:pPr>
      <w:r w:rsidRPr="004A7A0B">
        <w:rPr>
          <w:rFonts w:ascii="Times New Roman" w:hAnsi="Times New Roman" w:cs="Times New Roman"/>
          <w:b/>
          <w:sz w:val="24"/>
          <w:szCs w:val="24"/>
        </w:rPr>
        <w:t xml:space="preserve">5. Effect of Stomach associated with PPI Use </w:t>
      </w:r>
    </w:p>
    <w:p w14:paraId="6E712665" w14:textId="77777777" w:rsidR="004F7964" w:rsidRPr="004A7A0B" w:rsidRDefault="004F7964" w:rsidP="00E64DB5">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Research has indicated that prolonged usage of proton pump inhibitors (PPIs) increases the frequency of bacterial migration from the antru</w:t>
      </w:r>
      <w:r w:rsidR="00997518">
        <w:rPr>
          <w:rFonts w:ascii="Times New Roman" w:hAnsi="Times New Roman" w:cs="Times New Roman"/>
          <w:sz w:val="24"/>
          <w:szCs w:val="24"/>
        </w:rPr>
        <w:t>m to the stomach and fundus. (</w:t>
      </w:r>
      <w:r w:rsidR="00997518" w:rsidRPr="00E64DB5">
        <w:rPr>
          <w:rFonts w:ascii="Times New Roman" w:eastAsia="Times New Roman" w:hAnsi="Times New Roman" w:cs="Times New Roman"/>
          <w:sz w:val="24"/>
          <w:szCs w:val="24"/>
          <w:lang w:eastAsia="en-IN"/>
        </w:rPr>
        <w:t>Ford, A. C.,</w:t>
      </w:r>
      <w:r w:rsidR="00997518">
        <w:rPr>
          <w:rFonts w:ascii="Times New Roman" w:eastAsia="Times New Roman" w:hAnsi="Times New Roman" w:cs="Times New Roman"/>
          <w:sz w:val="24"/>
          <w:szCs w:val="24"/>
          <w:lang w:eastAsia="en-IN"/>
        </w:rPr>
        <w:t xml:space="preserve"> et al. 2014</w:t>
      </w:r>
      <w:r w:rsidRPr="004A7A0B">
        <w:rPr>
          <w:rFonts w:ascii="Times New Roman" w:hAnsi="Times New Roman" w:cs="Times New Roman"/>
          <w:sz w:val="24"/>
          <w:szCs w:val="24"/>
        </w:rPr>
        <w:t>)</w:t>
      </w:r>
      <w:r w:rsidR="00997518">
        <w:rPr>
          <w:rFonts w:ascii="Times New Roman" w:hAnsi="Times New Roman" w:cs="Times New Roman"/>
          <w:sz w:val="24"/>
          <w:szCs w:val="24"/>
        </w:rPr>
        <w:t>.</w:t>
      </w:r>
      <w:r w:rsidRPr="004A7A0B">
        <w:rPr>
          <w:rFonts w:ascii="Times New Roman" w:hAnsi="Times New Roman" w:cs="Times New Roman"/>
          <w:sz w:val="24"/>
          <w:szCs w:val="24"/>
        </w:rPr>
        <w:t xml:space="preserve"> For this reason, it is advised to treat all patients with an H. pylori infection in order to eliminate the pro-inflammatory stimulus and lower the risk of gastric cancer in th</w:t>
      </w:r>
      <w:r w:rsidR="00997518">
        <w:rPr>
          <w:rFonts w:ascii="Times New Roman" w:hAnsi="Times New Roman" w:cs="Times New Roman"/>
          <w:sz w:val="24"/>
          <w:szCs w:val="24"/>
        </w:rPr>
        <w:t>e long run. (</w:t>
      </w:r>
      <w:r w:rsidR="00997518" w:rsidRPr="00E64DB5">
        <w:rPr>
          <w:rFonts w:ascii="Times New Roman" w:eastAsia="Times New Roman" w:hAnsi="Times New Roman" w:cs="Times New Roman"/>
          <w:sz w:val="24"/>
          <w:szCs w:val="24"/>
          <w:lang w:eastAsia="en-IN"/>
        </w:rPr>
        <w:t>Durcan, L.,</w:t>
      </w:r>
      <w:r w:rsidR="00997518">
        <w:rPr>
          <w:rFonts w:ascii="Times New Roman" w:eastAsia="Times New Roman" w:hAnsi="Times New Roman" w:cs="Times New Roman"/>
          <w:sz w:val="24"/>
          <w:szCs w:val="24"/>
          <w:lang w:eastAsia="en-IN"/>
        </w:rPr>
        <w:t xml:space="preserve"> et al. 2019</w:t>
      </w:r>
      <w:r w:rsidRPr="004A7A0B">
        <w:rPr>
          <w:rFonts w:ascii="Times New Roman" w:hAnsi="Times New Roman" w:cs="Times New Roman"/>
          <w:sz w:val="24"/>
          <w:szCs w:val="24"/>
        </w:rPr>
        <w:t>)</w:t>
      </w:r>
      <w:r w:rsidR="00997518">
        <w:rPr>
          <w:rFonts w:ascii="Times New Roman" w:hAnsi="Times New Roman" w:cs="Times New Roman"/>
          <w:sz w:val="24"/>
          <w:szCs w:val="24"/>
        </w:rPr>
        <w:t>.</w:t>
      </w:r>
    </w:p>
    <w:p w14:paraId="05DAE0F0" w14:textId="77777777" w:rsidR="004F7964" w:rsidRPr="004A7A0B" w:rsidRDefault="004F7964" w:rsidP="00E64DB5">
      <w:pPr>
        <w:spacing w:after="0" w:line="360" w:lineRule="auto"/>
        <w:jc w:val="both"/>
        <w:rPr>
          <w:rFonts w:ascii="Times New Roman" w:hAnsi="Times New Roman" w:cs="Times New Roman"/>
          <w:b/>
          <w:sz w:val="24"/>
          <w:szCs w:val="24"/>
        </w:rPr>
      </w:pPr>
      <w:r w:rsidRPr="004A7A0B">
        <w:rPr>
          <w:rFonts w:ascii="Times New Roman" w:hAnsi="Times New Roman" w:cs="Times New Roman"/>
          <w:b/>
          <w:sz w:val="24"/>
          <w:szCs w:val="24"/>
        </w:rPr>
        <w:lastRenderedPageBreak/>
        <w:t>6. In patients with systemic lupus erythematosus, proton pump inhibitors alter the composition of the gut microbiome</w:t>
      </w:r>
    </w:p>
    <w:p w14:paraId="38F40E8F" w14:textId="77777777" w:rsidR="004F7964" w:rsidRPr="004A7A0B" w:rsidRDefault="004F7964" w:rsidP="00E64DB5">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An extremely serious autoimmune condition called systemic lupus erythematosus (SLE) causes inflammation and the development of immune complexes in a</w:t>
      </w:r>
      <w:r w:rsidR="00997518">
        <w:rPr>
          <w:rFonts w:ascii="Times New Roman" w:hAnsi="Times New Roman" w:cs="Times New Roman"/>
          <w:sz w:val="24"/>
          <w:szCs w:val="24"/>
        </w:rPr>
        <w:t xml:space="preserve"> number of different organs. (</w:t>
      </w:r>
      <w:r w:rsidR="00997518" w:rsidRPr="00E64DB5">
        <w:rPr>
          <w:rFonts w:ascii="Times New Roman" w:eastAsia="Times New Roman" w:hAnsi="Times New Roman" w:cs="Times New Roman"/>
          <w:sz w:val="24"/>
          <w:szCs w:val="24"/>
          <w:lang w:eastAsia="en-IN"/>
        </w:rPr>
        <w:t>Kiriakidou, M.,</w:t>
      </w:r>
      <w:r w:rsidR="00997518">
        <w:rPr>
          <w:rFonts w:ascii="Times New Roman" w:eastAsia="Times New Roman" w:hAnsi="Times New Roman" w:cs="Times New Roman"/>
          <w:sz w:val="24"/>
          <w:szCs w:val="24"/>
          <w:lang w:eastAsia="en-IN"/>
        </w:rPr>
        <w:t xml:space="preserve"> et al. 2020</w:t>
      </w:r>
      <w:r w:rsidRPr="004A7A0B">
        <w:rPr>
          <w:rFonts w:ascii="Times New Roman" w:hAnsi="Times New Roman" w:cs="Times New Roman"/>
          <w:sz w:val="24"/>
          <w:szCs w:val="24"/>
        </w:rPr>
        <w:t>)</w:t>
      </w:r>
      <w:r w:rsidR="00997518">
        <w:rPr>
          <w:rFonts w:ascii="Times New Roman" w:hAnsi="Times New Roman" w:cs="Times New Roman"/>
          <w:sz w:val="24"/>
          <w:szCs w:val="24"/>
        </w:rPr>
        <w:t>.</w:t>
      </w:r>
      <w:r w:rsidRPr="004A7A0B">
        <w:rPr>
          <w:rFonts w:ascii="Times New Roman" w:hAnsi="Times New Roman" w:cs="Times New Roman"/>
          <w:sz w:val="24"/>
          <w:szCs w:val="24"/>
        </w:rPr>
        <w:t xml:space="preserve"> Antimalarial medications, glucocorticoids, nonsteroidal anti-inflammatory drugs (NSAIDs), immunosuppressive therapies, B cell-targeting biological agents, and also PPI are generally used to treat gastric ulcers in SLE Patients. These are just a few of the therapeutic agents that have been utilized to induce remission in SLE. It has been discovered that these medications dramatically change the</w:t>
      </w:r>
      <w:r w:rsidR="00997518">
        <w:rPr>
          <w:rFonts w:ascii="Times New Roman" w:hAnsi="Times New Roman" w:cs="Times New Roman"/>
          <w:sz w:val="24"/>
          <w:szCs w:val="24"/>
        </w:rPr>
        <w:t xml:space="preserve"> gut microbiota's structure. (</w:t>
      </w:r>
      <w:r w:rsidR="00997518" w:rsidRPr="00E64DB5">
        <w:rPr>
          <w:rFonts w:ascii="Times New Roman" w:eastAsia="Times New Roman" w:hAnsi="Times New Roman" w:cs="Times New Roman"/>
          <w:sz w:val="24"/>
          <w:szCs w:val="24"/>
          <w:lang w:eastAsia="en-IN"/>
        </w:rPr>
        <w:t>Guo, M.,</w:t>
      </w:r>
      <w:r w:rsidR="00997518">
        <w:rPr>
          <w:rFonts w:ascii="Times New Roman" w:eastAsia="Times New Roman" w:hAnsi="Times New Roman" w:cs="Times New Roman"/>
          <w:sz w:val="24"/>
          <w:szCs w:val="24"/>
          <w:lang w:eastAsia="en-IN"/>
        </w:rPr>
        <w:t xml:space="preserve"> et al. 2020</w:t>
      </w:r>
      <w:r w:rsidR="00997518">
        <w:rPr>
          <w:rFonts w:ascii="Times New Roman" w:hAnsi="Times New Roman" w:cs="Times New Roman"/>
          <w:sz w:val="24"/>
          <w:szCs w:val="24"/>
        </w:rPr>
        <w:t>) (</w:t>
      </w:r>
      <w:r w:rsidR="00997518" w:rsidRPr="00E64DB5">
        <w:rPr>
          <w:rFonts w:ascii="Times New Roman" w:eastAsia="Times New Roman" w:hAnsi="Times New Roman" w:cs="Times New Roman"/>
          <w:sz w:val="24"/>
          <w:szCs w:val="24"/>
          <w:lang w:eastAsia="en-IN"/>
        </w:rPr>
        <w:t>Jang, S.,</w:t>
      </w:r>
      <w:r w:rsidR="00997518">
        <w:rPr>
          <w:rFonts w:ascii="Times New Roman" w:eastAsia="Times New Roman" w:hAnsi="Times New Roman" w:cs="Times New Roman"/>
          <w:sz w:val="24"/>
          <w:szCs w:val="24"/>
          <w:lang w:eastAsia="en-IN"/>
        </w:rPr>
        <w:t xml:space="preserve"> et al. 2020</w:t>
      </w:r>
      <w:r w:rsidRPr="004A7A0B">
        <w:rPr>
          <w:rFonts w:ascii="Times New Roman" w:hAnsi="Times New Roman" w:cs="Times New Roman"/>
          <w:sz w:val="24"/>
          <w:szCs w:val="24"/>
        </w:rPr>
        <w:t>)</w:t>
      </w:r>
      <w:r w:rsidR="00997518">
        <w:rPr>
          <w:rFonts w:ascii="Times New Roman" w:hAnsi="Times New Roman" w:cs="Times New Roman"/>
          <w:sz w:val="24"/>
          <w:szCs w:val="24"/>
        </w:rPr>
        <w:t>.</w:t>
      </w:r>
    </w:p>
    <w:p w14:paraId="05DF66B5" w14:textId="77777777" w:rsidR="004F7964" w:rsidRPr="004A7A0B" w:rsidRDefault="004F7964" w:rsidP="00E64DB5">
      <w:pPr>
        <w:spacing w:after="0" w:line="360" w:lineRule="auto"/>
        <w:jc w:val="both"/>
        <w:rPr>
          <w:rFonts w:ascii="Times New Roman" w:hAnsi="Times New Roman" w:cs="Times New Roman"/>
          <w:b/>
          <w:sz w:val="24"/>
          <w:szCs w:val="24"/>
        </w:rPr>
      </w:pPr>
      <w:r w:rsidRPr="004A7A0B">
        <w:rPr>
          <w:rFonts w:ascii="Times New Roman" w:hAnsi="Times New Roman" w:cs="Times New Roman"/>
          <w:b/>
          <w:sz w:val="24"/>
          <w:szCs w:val="24"/>
        </w:rPr>
        <w:t>7. After using proton pump inhibitors, celiac disease serology and gut microbiota</w:t>
      </w:r>
    </w:p>
    <w:p w14:paraId="6673F0AA" w14:textId="36DB0658" w:rsidR="004F7964" w:rsidRPr="004A7A0B" w:rsidRDefault="004F7964" w:rsidP="00E64DB5">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 xml:space="preserve">An abnormal immune response to ingested gluten in genetically susceptible individuals is the hallmark of celiac disease, an autoimmune enteropathy. Research indicates that the incidence of celiac disease has increased in the last several years. Dietary modifications and drug usage have been proposed as potential variables that may affect the gut flora. It was recently discovered that there is a higher chance of developing celiac disease later on in life if one is exposed to proton pump inhibitors (PPIs). By </w:t>
      </w:r>
      <w:r w:rsidR="00F91A54" w:rsidRPr="004A7A0B">
        <w:rPr>
          <w:rFonts w:ascii="Times New Roman" w:hAnsi="Times New Roman" w:cs="Times New Roman"/>
          <w:sz w:val="24"/>
          <w:szCs w:val="24"/>
        </w:rPr>
        <w:t>analysing</w:t>
      </w:r>
      <w:r w:rsidRPr="004A7A0B">
        <w:rPr>
          <w:rFonts w:ascii="Times New Roman" w:hAnsi="Times New Roman" w:cs="Times New Roman"/>
          <w:sz w:val="24"/>
          <w:szCs w:val="24"/>
        </w:rPr>
        <w:t xml:space="preserve"> the connection between PPI usage and immunological responses associated to gluten in the context of alterations in the gut microbiota, we sought to explore plausible reasons underl</w:t>
      </w:r>
      <w:r w:rsidR="00997518">
        <w:rPr>
          <w:rFonts w:ascii="Times New Roman" w:hAnsi="Times New Roman" w:cs="Times New Roman"/>
          <w:sz w:val="24"/>
          <w:szCs w:val="24"/>
        </w:rPr>
        <w:t>ying this connection. (</w:t>
      </w:r>
      <w:r w:rsidR="00997518" w:rsidRPr="00E64DB5">
        <w:rPr>
          <w:rFonts w:ascii="Times New Roman" w:eastAsia="Times New Roman" w:hAnsi="Times New Roman" w:cs="Times New Roman"/>
          <w:sz w:val="24"/>
          <w:szCs w:val="24"/>
          <w:lang w:eastAsia="en-IN"/>
        </w:rPr>
        <w:t>Qin, N.,</w:t>
      </w:r>
      <w:r w:rsidR="00997518">
        <w:rPr>
          <w:rFonts w:ascii="Times New Roman" w:eastAsia="Times New Roman" w:hAnsi="Times New Roman" w:cs="Times New Roman"/>
          <w:sz w:val="24"/>
          <w:szCs w:val="24"/>
          <w:lang w:eastAsia="en-IN"/>
        </w:rPr>
        <w:t xml:space="preserve"> et al. 2014</w:t>
      </w:r>
      <w:r w:rsidRPr="004A7A0B">
        <w:rPr>
          <w:rFonts w:ascii="Times New Roman" w:hAnsi="Times New Roman" w:cs="Times New Roman"/>
          <w:sz w:val="24"/>
          <w:szCs w:val="24"/>
        </w:rPr>
        <w:t>)</w:t>
      </w:r>
      <w:r w:rsidR="00997518">
        <w:rPr>
          <w:rFonts w:ascii="Times New Roman" w:hAnsi="Times New Roman" w:cs="Times New Roman"/>
          <w:sz w:val="24"/>
          <w:szCs w:val="24"/>
        </w:rPr>
        <w:t>.</w:t>
      </w:r>
    </w:p>
    <w:p w14:paraId="08E48B78" w14:textId="77777777" w:rsidR="004F7964" w:rsidRPr="004A7A0B" w:rsidRDefault="004F7964" w:rsidP="00E64DB5">
      <w:pPr>
        <w:spacing w:after="0" w:line="360" w:lineRule="auto"/>
        <w:jc w:val="both"/>
        <w:rPr>
          <w:rFonts w:ascii="Times New Roman" w:hAnsi="Times New Roman" w:cs="Times New Roman"/>
          <w:b/>
          <w:sz w:val="24"/>
          <w:szCs w:val="24"/>
        </w:rPr>
      </w:pPr>
      <w:r w:rsidRPr="004A7A0B">
        <w:rPr>
          <w:rFonts w:ascii="Times New Roman" w:hAnsi="Times New Roman" w:cs="Times New Roman"/>
          <w:b/>
          <w:sz w:val="24"/>
          <w:szCs w:val="24"/>
        </w:rPr>
        <w:t>8. Use of proton pump inhibitors most affects the makeup of the stool flora in liver cirrhosis</w:t>
      </w:r>
    </w:p>
    <w:p w14:paraId="42C728AD" w14:textId="77777777" w:rsidR="004F7964" w:rsidRPr="004A7A0B" w:rsidRDefault="004F7964" w:rsidP="00E64DB5">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With a high likelihood of complications, liver cirrhosis is a condition that is becoming more and more frequent. As a result, patients, their families, and the healthcare system bear a heavier medical burden and experience a decline in quality of life. There are structural and functional alterations in the gut mic</w:t>
      </w:r>
      <w:r w:rsidR="00997518">
        <w:rPr>
          <w:rFonts w:ascii="Times New Roman" w:hAnsi="Times New Roman" w:cs="Times New Roman"/>
          <w:sz w:val="24"/>
          <w:szCs w:val="24"/>
        </w:rPr>
        <w:t>robiota linked to cirrhosis. (</w:t>
      </w:r>
      <w:r w:rsidR="00997518" w:rsidRPr="00E64DB5">
        <w:rPr>
          <w:rFonts w:ascii="Times New Roman" w:eastAsia="Times New Roman" w:hAnsi="Times New Roman" w:cs="Times New Roman"/>
          <w:sz w:val="24"/>
          <w:szCs w:val="24"/>
          <w:lang w:eastAsia="en-IN"/>
        </w:rPr>
        <w:t>Zhernakova, A.,</w:t>
      </w:r>
      <w:r w:rsidR="00997518">
        <w:rPr>
          <w:rFonts w:ascii="Times New Roman" w:eastAsia="Times New Roman" w:hAnsi="Times New Roman" w:cs="Times New Roman"/>
          <w:sz w:val="24"/>
          <w:szCs w:val="24"/>
          <w:lang w:eastAsia="en-IN"/>
        </w:rPr>
        <w:t xml:space="preserve"> et al. 2016</w:t>
      </w:r>
      <w:r w:rsidRPr="004A7A0B">
        <w:rPr>
          <w:rFonts w:ascii="Times New Roman" w:hAnsi="Times New Roman" w:cs="Times New Roman"/>
          <w:sz w:val="24"/>
          <w:szCs w:val="24"/>
        </w:rPr>
        <w:t>)</w:t>
      </w:r>
      <w:r w:rsidR="00997518">
        <w:rPr>
          <w:rFonts w:ascii="Times New Roman" w:hAnsi="Times New Roman" w:cs="Times New Roman"/>
          <w:sz w:val="24"/>
          <w:szCs w:val="24"/>
        </w:rPr>
        <w:t>.</w:t>
      </w:r>
      <w:r w:rsidRPr="004A7A0B">
        <w:rPr>
          <w:rFonts w:ascii="Times New Roman" w:hAnsi="Times New Roman" w:cs="Times New Roman"/>
          <w:sz w:val="24"/>
          <w:szCs w:val="24"/>
        </w:rPr>
        <w:t xml:space="preserve"> A population‐based deep sequencing study of the faecal microbiome revealed that proton pump inhibitors (PPI) were associated with the most profound microbiome changes, followed by statins, antibiotics, </w:t>
      </w:r>
      <w:r w:rsidR="00997518">
        <w:rPr>
          <w:rFonts w:ascii="Times New Roman" w:hAnsi="Times New Roman" w:cs="Times New Roman"/>
          <w:sz w:val="24"/>
          <w:szCs w:val="24"/>
        </w:rPr>
        <w:t>laxatives and beta blockers. (</w:t>
      </w:r>
      <w:r w:rsidR="00997518" w:rsidRPr="00E64DB5">
        <w:rPr>
          <w:rFonts w:ascii="Times New Roman" w:eastAsia="Times New Roman" w:hAnsi="Times New Roman" w:cs="Times New Roman"/>
          <w:sz w:val="24"/>
          <w:szCs w:val="24"/>
          <w:lang w:eastAsia="en-IN"/>
        </w:rPr>
        <w:t>Jeong, Y.,</w:t>
      </w:r>
      <w:r w:rsidR="00997518">
        <w:rPr>
          <w:rFonts w:ascii="Times New Roman" w:eastAsia="Times New Roman" w:hAnsi="Times New Roman" w:cs="Times New Roman"/>
          <w:sz w:val="24"/>
          <w:szCs w:val="24"/>
          <w:lang w:eastAsia="en-IN"/>
        </w:rPr>
        <w:t xml:space="preserve"> et al. 2019</w:t>
      </w:r>
      <w:r w:rsidRPr="004A7A0B">
        <w:rPr>
          <w:rFonts w:ascii="Times New Roman" w:hAnsi="Times New Roman" w:cs="Times New Roman"/>
          <w:sz w:val="24"/>
          <w:szCs w:val="24"/>
        </w:rPr>
        <w:t>)</w:t>
      </w:r>
      <w:r w:rsidR="00997518">
        <w:rPr>
          <w:rFonts w:ascii="Times New Roman" w:hAnsi="Times New Roman" w:cs="Times New Roman"/>
          <w:sz w:val="24"/>
          <w:szCs w:val="24"/>
        </w:rPr>
        <w:t>.</w:t>
      </w:r>
    </w:p>
    <w:p w14:paraId="6D704385" w14:textId="77777777" w:rsidR="004F7964" w:rsidRPr="004A7A0B" w:rsidRDefault="004F7964" w:rsidP="00E64DB5">
      <w:pPr>
        <w:spacing w:after="0" w:line="360" w:lineRule="auto"/>
        <w:jc w:val="both"/>
        <w:rPr>
          <w:rFonts w:ascii="Times New Roman" w:hAnsi="Times New Roman" w:cs="Times New Roman"/>
          <w:b/>
          <w:sz w:val="24"/>
          <w:szCs w:val="24"/>
        </w:rPr>
      </w:pPr>
      <w:r w:rsidRPr="004A7A0B">
        <w:rPr>
          <w:rFonts w:ascii="Times New Roman" w:hAnsi="Times New Roman" w:cs="Times New Roman"/>
          <w:b/>
          <w:sz w:val="24"/>
          <w:szCs w:val="24"/>
        </w:rPr>
        <w:t xml:space="preserve">9. </w:t>
      </w:r>
      <w:bookmarkStart w:id="0" w:name="_Hlk213757121"/>
      <w:r w:rsidRPr="004A7A0B">
        <w:rPr>
          <w:rFonts w:ascii="Times New Roman" w:hAnsi="Times New Roman" w:cs="Times New Roman"/>
          <w:b/>
          <w:sz w:val="24"/>
          <w:szCs w:val="24"/>
        </w:rPr>
        <w:t xml:space="preserve">Rheumatoid Arthritis </w:t>
      </w:r>
      <w:bookmarkEnd w:id="0"/>
      <w:r w:rsidRPr="004A7A0B">
        <w:rPr>
          <w:rFonts w:ascii="Times New Roman" w:hAnsi="Times New Roman" w:cs="Times New Roman"/>
          <w:b/>
          <w:sz w:val="24"/>
          <w:szCs w:val="24"/>
        </w:rPr>
        <w:t>patient’s gut microbiota makeup can be changed by proton pump inhibitors</w:t>
      </w:r>
    </w:p>
    <w:p w14:paraId="06DB3AE2" w14:textId="045F3736" w:rsidR="004F7964" w:rsidRPr="004A7A0B" w:rsidRDefault="004F7964" w:rsidP="00E64DB5">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The gut microbiota is one environmental factor that contributes to the onset of RA. The pathophysiology of RA has been linked to changes in the gut microbiota be</w:t>
      </w:r>
      <w:r w:rsidR="00997518">
        <w:rPr>
          <w:rFonts w:ascii="Times New Roman" w:hAnsi="Times New Roman" w:cs="Times New Roman"/>
          <w:sz w:val="24"/>
          <w:szCs w:val="24"/>
        </w:rPr>
        <w:t>fore the onset of arthritis. (</w:t>
      </w:r>
      <w:r w:rsidR="00997518" w:rsidRPr="00E64DB5">
        <w:rPr>
          <w:rFonts w:ascii="Times New Roman" w:eastAsia="Times New Roman" w:hAnsi="Times New Roman" w:cs="Times New Roman"/>
          <w:sz w:val="24"/>
          <w:szCs w:val="24"/>
          <w:lang w:eastAsia="en-IN"/>
        </w:rPr>
        <w:t>Kim, J. W.,</w:t>
      </w:r>
      <w:r w:rsidR="00997518">
        <w:rPr>
          <w:rFonts w:ascii="Times New Roman" w:eastAsia="Times New Roman" w:hAnsi="Times New Roman" w:cs="Times New Roman"/>
          <w:sz w:val="24"/>
          <w:szCs w:val="24"/>
          <w:lang w:eastAsia="en-IN"/>
        </w:rPr>
        <w:t xml:space="preserve"> et al. 2021</w:t>
      </w:r>
      <w:r w:rsidRPr="004A7A0B">
        <w:rPr>
          <w:rFonts w:ascii="Times New Roman" w:hAnsi="Times New Roman" w:cs="Times New Roman"/>
          <w:sz w:val="24"/>
          <w:szCs w:val="24"/>
        </w:rPr>
        <w:t>)</w:t>
      </w:r>
      <w:r w:rsidR="00997518">
        <w:rPr>
          <w:rFonts w:ascii="Times New Roman" w:hAnsi="Times New Roman" w:cs="Times New Roman"/>
          <w:sz w:val="24"/>
          <w:szCs w:val="24"/>
        </w:rPr>
        <w:t>.</w:t>
      </w:r>
      <w:r w:rsidRPr="004A7A0B">
        <w:rPr>
          <w:rFonts w:ascii="Times New Roman" w:hAnsi="Times New Roman" w:cs="Times New Roman"/>
          <w:sz w:val="24"/>
          <w:szCs w:val="24"/>
        </w:rPr>
        <w:t xml:space="preserve"> Treatment for RA involves the use of a variety of </w:t>
      </w:r>
      <w:r w:rsidRPr="004A7A0B">
        <w:rPr>
          <w:rFonts w:ascii="Times New Roman" w:hAnsi="Times New Roman" w:cs="Times New Roman"/>
          <w:sz w:val="24"/>
          <w:szCs w:val="24"/>
        </w:rPr>
        <w:lastRenderedPageBreak/>
        <w:t xml:space="preserve">therapeutic drugs, including glucocorticoids, NSAIDs, and DMARDs. When RA patients are receiving therapy with several treatments, acid-suppressing medications, including as proton pump inhibitors (PPIs) and histamine 2 (H2)-receptor antagonists, are frequently recommended for the prevention and treatment of stomach ulcers. On the other hand, long-term PPI usage raised the chance of developing CDI and other gastrointestinal infections. Acid-suppressive medications may cause the natural flora of the gut to be disrupted and may cause the colonization of unsuitable microorganisms. Recent large-scale cohort studies have shown that PPI users had altered gut </w:t>
      </w:r>
      <w:r w:rsidR="00E64DB5" w:rsidRPr="004A7A0B">
        <w:rPr>
          <w:rFonts w:ascii="Times New Roman" w:hAnsi="Times New Roman" w:cs="Times New Roman"/>
          <w:sz w:val="24"/>
          <w:szCs w:val="24"/>
        </w:rPr>
        <w:t>micro biomes</w:t>
      </w:r>
      <w:r w:rsidRPr="004A7A0B">
        <w:rPr>
          <w:rFonts w:ascii="Times New Roman" w:hAnsi="Times New Roman" w:cs="Times New Roman"/>
          <w:sz w:val="24"/>
          <w:szCs w:val="24"/>
        </w:rPr>
        <w:t xml:space="preserve"> and decreased alpha-diversity. The use of PPIs has been linked to an increase in the oral commensa</w:t>
      </w:r>
      <w:r w:rsidR="007243C9">
        <w:rPr>
          <w:rFonts w:ascii="Times New Roman" w:hAnsi="Times New Roman" w:cs="Times New Roman"/>
          <w:sz w:val="24"/>
          <w:szCs w:val="24"/>
        </w:rPr>
        <w:t>l bacteria Streptococcaceae. (</w:t>
      </w:r>
      <w:r w:rsidR="007243C9">
        <w:rPr>
          <w:rFonts w:ascii="Times New Roman" w:eastAsia="Times New Roman" w:hAnsi="Times New Roman" w:cs="Times New Roman"/>
          <w:sz w:val="24"/>
          <w:szCs w:val="24"/>
          <w:lang w:eastAsia="en-IN"/>
        </w:rPr>
        <w:t>Ve</w:t>
      </w:r>
      <w:r w:rsidR="007243C9" w:rsidRPr="00E64DB5">
        <w:rPr>
          <w:rFonts w:ascii="Times New Roman" w:eastAsia="Times New Roman" w:hAnsi="Times New Roman" w:cs="Times New Roman"/>
          <w:sz w:val="24"/>
          <w:szCs w:val="24"/>
          <w:lang w:eastAsia="en-IN"/>
        </w:rPr>
        <w:t>ndenplas, Y.,</w:t>
      </w:r>
      <w:r w:rsidR="007243C9">
        <w:rPr>
          <w:rFonts w:ascii="Times New Roman" w:eastAsia="Times New Roman" w:hAnsi="Times New Roman" w:cs="Times New Roman"/>
          <w:sz w:val="24"/>
          <w:szCs w:val="24"/>
          <w:lang w:eastAsia="en-IN"/>
        </w:rPr>
        <w:t xml:space="preserve"> et al. 2007</w:t>
      </w:r>
      <w:r w:rsidRPr="004A7A0B">
        <w:rPr>
          <w:rFonts w:ascii="Times New Roman" w:hAnsi="Times New Roman" w:cs="Times New Roman"/>
          <w:sz w:val="24"/>
          <w:szCs w:val="24"/>
        </w:rPr>
        <w:t>)</w:t>
      </w:r>
      <w:r w:rsidR="007243C9">
        <w:rPr>
          <w:rFonts w:ascii="Times New Roman" w:hAnsi="Times New Roman" w:cs="Times New Roman"/>
          <w:sz w:val="24"/>
          <w:szCs w:val="24"/>
        </w:rPr>
        <w:t>.</w:t>
      </w:r>
    </w:p>
    <w:p w14:paraId="236EA36E" w14:textId="1B6E1B60" w:rsidR="004F7964" w:rsidRPr="004A7A0B" w:rsidRDefault="004F7964" w:rsidP="00E64DB5">
      <w:pPr>
        <w:spacing w:after="0" w:line="360" w:lineRule="auto"/>
        <w:jc w:val="both"/>
        <w:rPr>
          <w:rFonts w:ascii="Times New Roman" w:hAnsi="Times New Roman" w:cs="Times New Roman"/>
          <w:b/>
          <w:sz w:val="24"/>
          <w:szCs w:val="24"/>
        </w:rPr>
      </w:pPr>
      <w:r w:rsidRPr="004A7A0B">
        <w:rPr>
          <w:rFonts w:ascii="Times New Roman" w:hAnsi="Times New Roman" w:cs="Times New Roman"/>
          <w:sz w:val="24"/>
          <w:szCs w:val="24"/>
        </w:rPr>
        <w:t xml:space="preserve"> </w:t>
      </w:r>
      <w:r w:rsidRPr="004A7A0B">
        <w:rPr>
          <w:rFonts w:ascii="Times New Roman" w:hAnsi="Times New Roman" w:cs="Times New Roman"/>
          <w:b/>
          <w:sz w:val="24"/>
          <w:szCs w:val="24"/>
        </w:rPr>
        <w:t xml:space="preserve">10. Proton pump inhibitors' effects on newborns with reflux disease's </w:t>
      </w:r>
      <w:r w:rsidR="00F91A54" w:rsidRPr="004A7A0B">
        <w:rPr>
          <w:rFonts w:ascii="Times New Roman" w:hAnsi="Times New Roman" w:cs="Times New Roman"/>
          <w:b/>
          <w:sz w:val="24"/>
          <w:szCs w:val="24"/>
        </w:rPr>
        <w:t>faecal</w:t>
      </w:r>
      <w:r w:rsidRPr="004A7A0B">
        <w:rPr>
          <w:rFonts w:ascii="Times New Roman" w:hAnsi="Times New Roman" w:cs="Times New Roman"/>
          <w:b/>
          <w:sz w:val="24"/>
          <w:szCs w:val="24"/>
        </w:rPr>
        <w:t xml:space="preserve"> microbiota </w:t>
      </w:r>
    </w:p>
    <w:p w14:paraId="668076B2" w14:textId="3034A76C" w:rsidR="004F7964" w:rsidRPr="004A7A0B" w:rsidRDefault="004F7964" w:rsidP="00E64DB5">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 xml:space="preserve">The transient relaxation of the immature lower </w:t>
      </w:r>
      <w:r w:rsidR="00F91A54" w:rsidRPr="004A7A0B">
        <w:rPr>
          <w:rFonts w:ascii="Times New Roman" w:hAnsi="Times New Roman" w:cs="Times New Roman"/>
          <w:sz w:val="24"/>
          <w:szCs w:val="24"/>
        </w:rPr>
        <w:t>oesophageal</w:t>
      </w:r>
      <w:r w:rsidRPr="004A7A0B">
        <w:rPr>
          <w:rFonts w:ascii="Times New Roman" w:hAnsi="Times New Roman" w:cs="Times New Roman"/>
          <w:sz w:val="24"/>
          <w:szCs w:val="24"/>
        </w:rPr>
        <w:t xml:space="preserve"> sphincter (LES) results in gastroesophageal reflux disease (GERD), a typical occurrence in babies. GER occurrences frequently decline as the LES matures throughout the first year of life. GERD, or gastroesophageal reflux disease, can cause vomiting, feeding difficulties, pain, esophagitis, failure to thrive, and/or recurrent respiratory inf</w:t>
      </w:r>
      <w:r w:rsidR="007243C9">
        <w:rPr>
          <w:rFonts w:ascii="Times New Roman" w:hAnsi="Times New Roman" w:cs="Times New Roman"/>
          <w:sz w:val="24"/>
          <w:szCs w:val="24"/>
        </w:rPr>
        <w:t>ections in certain newborns. (</w:t>
      </w:r>
      <w:r w:rsidR="007243C9" w:rsidRPr="00E64DB5">
        <w:rPr>
          <w:rFonts w:ascii="Times New Roman" w:eastAsia="Times New Roman" w:hAnsi="Times New Roman" w:cs="Times New Roman"/>
          <w:sz w:val="24"/>
          <w:szCs w:val="24"/>
          <w:lang w:eastAsia="en-IN"/>
        </w:rPr>
        <w:t>Rudolph, C. D.,</w:t>
      </w:r>
      <w:r w:rsidR="007243C9">
        <w:rPr>
          <w:rFonts w:ascii="Times New Roman" w:eastAsia="Times New Roman" w:hAnsi="Times New Roman" w:cs="Times New Roman"/>
          <w:sz w:val="24"/>
          <w:szCs w:val="24"/>
          <w:lang w:eastAsia="en-IN"/>
        </w:rPr>
        <w:t xml:space="preserve"> et al. 2001</w:t>
      </w:r>
      <w:r w:rsidRPr="004A7A0B">
        <w:rPr>
          <w:rFonts w:ascii="Times New Roman" w:hAnsi="Times New Roman" w:cs="Times New Roman"/>
          <w:sz w:val="24"/>
          <w:szCs w:val="24"/>
        </w:rPr>
        <w:t>)</w:t>
      </w:r>
      <w:r w:rsidR="007243C9">
        <w:rPr>
          <w:rFonts w:ascii="Times New Roman" w:hAnsi="Times New Roman" w:cs="Times New Roman"/>
          <w:sz w:val="24"/>
          <w:szCs w:val="24"/>
        </w:rPr>
        <w:t>.</w:t>
      </w:r>
    </w:p>
    <w:p w14:paraId="69566C4B" w14:textId="210D9C04" w:rsidR="004F7964" w:rsidRPr="004A7A0B" w:rsidRDefault="004F7964" w:rsidP="00E64DB5">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 xml:space="preserve">The standard treatment for gastroesophageal reflux disease is proton pump inhibitors (PPIs). In adults, PPI treatment is linked to Clostridium difficile infections (CDI). Unlike adults, infants' </w:t>
      </w:r>
      <w:r w:rsidR="00E64DB5" w:rsidRPr="004A7A0B">
        <w:rPr>
          <w:rFonts w:ascii="Times New Roman" w:hAnsi="Times New Roman" w:cs="Times New Roman"/>
          <w:sz w:val="24"/>
          <w:szCs w:val="24"/>
        </w:rPr>
        <w:t>micro biomes</w:t>
      </w:r>
      <w:r w:rsidRPr="004A7A0B">
        <w:rPr>
          <w:rFonts w:ascii="Times New Roman" w:hAnsi="Times New Roman" w:cs="Times New Roman"/>
          <w:sz w:val="24"/>
          <w:szCs w:val="24"/>
        </w:rPr>
        <w:t xml:space="preserve"> develop from sterility at birth toward an adult-like profile in the first years of life; the impact of PPIs on this developing microbiome has never been studied. The purpose of this study was to ascertain the impact of oral PPIs on the </w:t>
      </w:r>
      <w:r w:rsidR="00F91A54" w:rsidRPr="004A7A0B">
        <w:rPr>
          <w:rFonts w:ascii="Times New Roman" w:hAnsi="Times New Roman" w:cs="Times New Roman"/>
          <w:sz w:val="24"/>
          <w:szCs w:val="24"/>
        </w:rPr>
        <w:t>faecal</w:t>
      </w:r>
      <w:r w:rsidRPr="004A7A0B">
        <w:rPr>
          <w:rFonts w:ascii="Times New Roman" w:hAnsi="Times New Roman" w:cs="Times New Roman"/>
          <w:sz w:val="24"/>
          <w:szCs w:val="24"/>
        </w:rPr>
        <w:t xml:space="preserve"> microbiome in infants with gastroesophageal reflux disease (GERD). Doctors frequently refer patients with gastroesophageal reflux disease to paediatricians. stomach acid-buffering agents, mucosal surface barriers, and stomach anti-secretory agents are examples of current pharmaceuticals. The use of proton pump inhibitors (PPIs) in paediatric treatment has expanded, while there is still discussion over these drugs' ef</w:t>
      </w:r>
      <w:r w:rsidR="007243C9">
        <w:rPr>
          <w:rFonts w:ascii="Times New Roman" w:hAnsi="Times New Roman" w:cs="Times New Roman"/>
          <w:sz w:val="24"/>
          <w:szCs w:val="24"/>
        </w:rPr>
        <w:t>ficacy and long-term safety. (</w:t>
      </w:r>
      <w:r w:rsidR="007243C9" w:rsidRPr="00E64DB5">
        <w:rPr>
          <w:rFonts w:ascii="Times New Roman" w:eastAsia="Times New Roman" w:hAnsi="Times New Roman" w:cs="Times New Roman"/>
          <w:sz w:val="24"/>
          <w:szCs w:val="24"/>
          <w:lang w:eastAsia="en-IN"/>
        </w:rPr>
        <w:t>Kierkus, J.,</w:t>
      </w:r>
      <w:r w:rsidR="007243C9">
        <w:rPr>
          <w:rFonts w:ascii="Times New Roman" w:eastAsia="Times New Roman" w:hAnsi="Times New Roman" w:cs="Times New Roman"/>
          <w:sz w:val="24"/>
          <w:szCs w:val="24"/>
          <w:lang w:eastAsia="en-IN"/>
        </w:rPr>
        <w:t xml:space="preserve"> et al. 2014</w:t>
      </w:r>
      <w:r w:rsidRPr="004A7A0B">
        <w:rPr>
          <w:rFonts w:ascii="Times New Roman" w:hAnsi="Times New Roman" w:cs="Times New Roman"/>
          <w:sz w:val="24"/>
          <w:szCs w:val="24"/>
        </w:rPr>
        <w:t>)</w:t>
      </w:r>
      <w:r w:rsidR="007243C9">
        <w:rPr>
          <w:rFonts w:ascii="Times New Roman" w:hAnsi="Times New Roman" w:cs="Times New Roman"/>
          <w:sz w:val="24"/>
          <w:szCs w:val="24"/>
        </w:rPr>
        <w:t>.</w:t>
      </w:r>
    </w:p>
    <w:p w14:paraId="33856D16" w14:textId="77777777" w:rsidR="004F7964" w:rsidRPr="004A7A0B" w:rsidRDefault="004F7964" w:rsidP="00E64DB5">
      <w:pPr>
        <w:spacing w:after="0" w:line="360" w:lineRule="auto"/>
        <w:jc w:val="both"/>
        <w:rPr>
          <w:rFonts w:ascii="Times New Roman" w:hAnsi="Times New Roman" w:cs="Times New Roman"/>
          <w:b/>
          <w:sz w:val="24"/>
          <w:szCs w:val="24"/>
        </w:rPr>
      </w:pPr>
      <w:r w:rsidRPr="004A7A0B">
        <w:rPr>
          <w:rFonts w:ascii="Times New Roman" w:hAnsi="Times New Roman" w:cs="Times New Roman"/>
          <w:b/>
          <w:sz w:val="24"/>
          <w:szCs w:val="24"/>
        </w:rPr>
        <w:t>11. Compared to histamine-2 receptor antagonist, proton pump inhibitors alter the gut microbiota and oral-to-gut microbial transmission more.</w:t>
      </w:r>
    </w:p>
    <w:p w14:paraId="20B6B7CA" w14:textId="77777777" w:rsidR="004F7964" w:rsidRDefault="004F7964" w:rsidP="00E64DB5">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 xml:space="preserve">Gastric acid suppressants like PPIs and H2RAs are used to manage gastrointestinal disorders like dyspepsia, peptic ulceration, and GERD. They are prescribed for patients with cancer, liver diseases, or other serious medical conditions. However, prolonged use of PPIs increases the risk of bowel diseases, pneumonia, and enteric infections than H2RAs which is widely considered </w:t>
      </w:r>
      <w:r w:rsidR="00D43EE5">
        <w:rPr>
          <w:rFonts w:ascii="Times New Roman" w:hAnsi="Times New Roman" w:cs="Times New Roman"/>
          <w:sz w:val="24"/>
          <w:szCs w:val="24"/>
        </w:rPr>
        <w:t>to be a safer alternative.</w:t>
      </w:r>
      <w:r w:rsidR="007243C9">
        <w:rPr>
          <w:rFonts w:ascii="Times New Roman" w:hAnsi="Times New Roman" w:cs="Times New Roman"/>
          <w:sz w:val="24"/>
          <w:szCs w:val="24"/>
        </w:rPr>
        <w:t xml:space="preserve"> (</w:t>
      </w:r>
      <w:r w:rsidR="007243C9" w:rsidRPr="00E64DB5">
        <w:rPr>
          <w:rFonts w:ascii="Times New Roman" w:eastAsia="Times New Roman" w:hAnsi="Times New Roman" w:cs="Times New Roman"/>
          <w:sz w:val="24"/>
          <w:szCs w:val="24"/>
          <w:lang w:eastAsia="en-IN"/>
        </w:rPr>
        <w:t>Park, J.-H.,</w:t>
      </w:r>
      <w:r w:rsidR="007243C9">
        <w:rPr>
          <w:rFonts w:ascii="Times New Roman" w:eastAsia="Times New Roman" w:hAnsi="Times New Roman" w:cs="Times New Roman"/>
          <w:sz w:val="24"/>
          <w:szCs w:val="24"/>
          <w:lang w:eastAsia="en-IN"/>
        </w:rPr>
        <w:t xml:space="preserve"> et al. 2020</w:t>
      </w:r>
      <w:r w:rsidR="00D43EE5">
        <w:rPr>
          <w:rFonts w:ascii="Times New Roman" w:hAnsi="Times New Roman" w:cs="Times New Roman"/>
          <w:sz w:val="24"/>
          <w:szCs w:val="24"/>
        </w:rPr>
        <w:t>)</w:t>
      </w:r>
      <w:r w:rsidR="007243C9">
        <w:rPr>
          <w:rFonts w:ascii="Times New Roman" w:hAnsi="Times New Roman" w:cs="Times New Roman"/>
          <w:sz w:val="24"/>
          <w:szCs w:val="24"/>
        </w:rPr>
        <w:t>.</w:t>
      </w:r>
    </w:p>
    <w:p w14:paraId="1CB58F36" w14:textId="3BEC239D" w:rsidR="007243C9" w:rsidRDefault="000D127F" w:rsidP="000D127F">
      <w:pPr>
        <w:spacing w:after="0" w:line="360" w:lineRule="auto"/>
        <w:jc w:val="both"/>
        <w:rPr>
          <w:rFonts w:ascii="Times New Roman" w:hAnsi="Times New Roman" w:cs="Times New Roman"/>
          <w:b/>
          <w:bCs/>
          <w:sz w:val="24"/>
          <w:szCs w:val="24"/>
        </w:rPr>
      </w:pPr>
      <w:r w:rsidRPr="000D127F">
        <w:rPr>
          <w:rFonts w:ascii="Times New Roman" w:hAnsi="Times New Roman" w:cs="Times New Roman"/>
          <w:b/>
          <w:bCs/>
          <w:sz w:val="24"/>
          <w:szCs w:val="24"/>
        </w:rPr>
        <w:lastRenderedPageBreak/>
        <w:t xml:space="preserve">12. </w:t>
      </w:r>
      <w:r w:rsidRPr="000D127F">
        <w:rPr>
          <w:rFonts w:ascii="Times New Roman" w:hAnsi="Times New Roman" w:cs="Times New Roman"/>
          <w:b/>
          <w:bCs/>
          <w:sz w:val="24"/>
          <w:szCs w:val="24"/>
        </w:rPr>
        <w:t>Brain-gut connection and microbiota in health and illness</w:t>
      </w:r>
    </w:p>
    <w:p w14:paraId="75AD206C" w14:textId="5DBC5B5A" w:rsidR="000D127F" w:rsidRPr="002049B4" w:rsidRDefault="000D127F" w:rsidP="002049B4">
      <w:pPr>
        <w:spacing w:after="0" w:line="360" w:lineRule="auto"/>
        <w:jc w:val="both"/>
        <w:rPr>
          <w:rFonts w:ascii="Times New Roman" w:hAnsi="Times New Roman" w:cs="Times New Roman"/>
          <w:sz w:val="24"/>
          <w:szCs w:val="24"/>
        </w:rPr>
      </w:pPr>
      <w:r w:rsidRPr="000D127F">
        <w:rPr>
          <w:rFonts w:ascii="Times New Roman" w:hAnsi="Times New Roman" w:cs="Times New Roman"/>
          <w:sz w:val="24"/>
          <w:szCs w:val="24"/>
        </w:rPr>
        <w:t>The gut microbiota is now included in the well-known homeostatic concept known as the brain-gut axis. The microbiota-gut-brain axis, which recognizes the gut microbiota's capacity to interact with both the gut and the brain, is becoming a fascinating idea in health, offering new possibilities for possible intervention in GI disease states and functional disorders.</w:t>
      </w:r>
      <w:r w:rsidRPr="000D127F">
        <w:rPr>
          <w:rFonts w:ascii="Times New Roman" w:eastAsia="Times New Roman" w:hAnsi="Times New Roman" w:cs="Times New Roman"/>
          <w:sz w:val="24"/>
          <w:szCs w:val="24"/>
          <w:lang w:eastAsia="en-IN"/>
        </w:rPr>
        <w:t xml:space="preserve"> </w:t>
      </w:r>
      <w:r w:rsidRPr="000D127F">
        <w:rPr>
          <w:rFonts w:ascii="Times New Roman" w:hAnsi="Times New Roman" w:cs="Times New Roman"/>
          <w:sz w:val="24"/>
          <w:szCs w:val="24"/>
        </w:rPr>
        <w:t xml:space="preserve">The microbiota-gut-brain axis is a bidirectional system that includes the central nervous system, the neuroendocrine and neuroimmune systems, the autonomic nervous system, the enteric nervous system, and the intestinal microbiota. The gastrointestinal tract's motor, sensory, and secretory modalities can be influenced by brain signals, and the brain's function can be influenced by visceral messages from the gastrointestinal system. The brain can either directly affect microbiota through neuronally </w:t>
      </w:r>
      <w:r w:rsidR="00F91A54" w:rsidRPr="000D127F">
        <w:rPr>
          <w:rFonts w:ascii="Times New Roman" w:hAnsi="Times New Roman" w:cs="Times New Roman"/>
          <w:sz w:val="24"/>
          <w:szCs w:val="24"/>
        </w:rPr>
        <w:t>signalled</w:t>
      </w:r>
      <w:r w:rsidRPr="000D127F">
        <w:rPr>
          <w:rFonts w:ascii="Times New Roman" w:hAnsi="Times New Roman" w:cs="Times New Roman"/>
          <w:sz w:val="24"/>
          <w:szCs w:val="24"/>
        </w:rPr>
        <w:t xml:space="preserve"> release of molecules from enterochromaffin cells, neurons, and immune cells, or indirectly through changes in gastrointestinal motility, secretion, and/or intestinal permeability. Conversely, enteric microbiota can interact with the brain through a variety of pathways, such as vagal afferents, enterochromaffin-cell signaling, direct stimulation of receptor-mediated signaling, and the recently identified humoral route.</w:t>
      </w:r>
      <w:r>
        <w:rPr>
          <w:rFonts w:ascii="Times New Roman" w:hAnsi="Times New Roman" w:cs="Times New Roman"/>
          <w:sz w:val="24"/>
          <w:szCs w:val="24"/>
        </w:rPr>
        <w:t xml:space="preserve"> </w:t>
      </w:r>
      <w:r w:rsidR="00311BC3" w:rsidRPr="00311BC3">
        <w:rPr>
          <w:rFonts w:ascii="Times New Roman" w:hAnsi="Times New Roman" w:cs="Times New Roman"/>
          <w:sz w:val="24"/>
          <w:szCs w:val="24"/>
        </w:rPr>
        <w:t xml:space="preserve">Brain shape and neurochemistry, including GABA and serotonin levels, can be changed by this gut-brain transmission. Pain perception, immune response modulation, and emotional regulation are all linked to this microbiota-related brain communication. Numerous lines of evidence point to the gut microbiota's impact on CNS </w:t>
      </w:r>
      <w:r w:rsidR="00F91A54" w:rsidRPr="00311BC3">
        <w:rPr>
          <w:rFonts w:ascii="Times New Roman" w:hAnsi="Times New Roman" w:cs="Times New Roman"/>
          <w:sz w:val="24"/>
          <w:szCs w:val="24"/>
        </w:rPr>
        <w:t>signalling</w:t>
      </w:r>
      <w:r w:rsidR="00311BC3" w:rsidRPr="00311BC3">
        <w:rPr>
          <w:rFonts w:ascii="Times New Roman" w:hAnsi="Times New Roman" w:cs="Times New Roman"/>
          <w:sz w:val="24"/>
          <w:szCs w:val="24"/>
        </w:rPr>
        <w:t xml:space="preserve">. For example, research using germ-free mice (GFM) has demonstrated the significance of gut microbiota in the development of the hypothalamus pituitary adrenal (HPA) axis. For example, when GFM were recolonized with </w:t>
      </w:r>
      <w:r w:rsidR="00F91A54" w:rsidRPr="00311BC3">
        <w:rPr>
          <w:rFonts w:ascii="Times New Roman" w:hAnsi="Times New Roman" w:cs="Times New Roman"/>
          <w:sz w:val="24"/>
          <w:szCs w:val="24"/>
        </w:rPr>
        <w:t>faecal</w:t>
      </w:r>
      <w:r w:rsidR="00311BC3" w:rsidRPr="00311BC3">
        <w:rPr>
          <w:rFonts w:ascii="Times New Roman" w:hAnsi="Times New Roman" w:cs="Times New Roman"/>
          <w:sz w:val="24"/>
          <w:szCs w:val="24"/>
        </w:rPr>
        <w:t xml:space="preserve"> matter control mice and given Bifidobacterium infantis in a time-dependent manner, the increased HPA response generated by restricted stress was largely reversed.</w:t>
      </w:r>
      <w:r w:rsidR="00146447">
        <w:rPr>
          <w:rFonts w:ascii="Times New Roman" w:hAnsi="Times New Roman" w:cs="Times New Roman"/>
          <w:sz w:val="24"/>
          <w:szCs w:val="24"/>
        </w:rPr>
        <w:t xml:space="preserve"> </w:t>
      </w:r>
      <w:r w:rsidR="00311BC3">
        <w:rPr>
          <w:rFonts w:ascii="Times New Roman" w:hAnsi="Times New Roman" w:cs="Times New Roman"/>
          <w:sz w:val="24"/>
          <w:szCs w:val="24"/>
        </w:rPr>
        <w:t>(</w:t>
      </w:r>
      <w:r w:rsidR="00311BC3" w:rsidRPr="007957F4">
        <w:rPr>
          <w:rFonts w:ascii="Times New Roman" w:hAnsi="Times New Roman" w:cs="Times New Roman"/>
          <w:sz w:val="24"/>
          <w:szCs w:val="24"/>
        </w:rPr>
        <w:t>Q. Aziz et al.</w:t>
      </w:r>
      <w:r w:rsidR="00311BC3">
        <w:rPr>
          <w:rFonts w:ascii="Times New Roman" w:hAnsi="Times New Roman" w:cs="Times New Roman"/>
          <w:sz w:val="24"/>
          <w:szCs w:val="24"/>
        </w:rPr>
        <w:t xml:space="preserve"> 2013)</w:t>
      </w:r>
    </w:p>
    <w:p w14:paraId="7C43C163" w14:textId="77777777" w:rsidR="004F7964" w:rsidRPr="004A7A0B" w:rsidRDefault="004A7A0B" w:rsidP="00E64D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2A5EB90F" w14:textId="24E075E7" w:rsidR="00D43EE5" w:rsidRDefault="004F7964" w:rsidP="00F02A9A">
      <w:pPr>
        <w:spacing w:after="0" w:line="360" w:lineRule="auto"/>
        <w:jc w:val="both"/>
        <w:rPr>
          <w:rFonts w:ascii="Times New Roman" w:hAnsi="Times New Roman" w:cs="Times New Roman"/>
          <w:sz w:val="24"/>
          <w:szCs w:val="24"/>
        </w:rPr>
      </w:pPr>
      <w:r w:rsidRPr="004A7A0B">
        <w:rPr>
          <w:rFonts w:ascii="Times New Roman" w:hAnsi="Times New Roman" w:cs="Times New Roman"/>
          <w:sz w:val="24"/>
          <w:szCs w:val="24"/>
        </w:rPr>
        <w:t xml:space="preserve">Knowing which medications are changing the microbiota of the gut or its microbes appears to be particularly important. Many medications are available that cause changes to the bacteria in the gut. Nevertheless, a multitude of studies suggest that proton pump inhibitors (PPIs), which are commonly utilized in the field of gastroenterology, may impact the gut microbiota or result in dysbiosis. These studies concentrate on distinct regions of the gastrointestinal (GI) tract. It has been observed that patients taking proton pump inhibitors (PPIs) have altered gut flora. These patients include those with systemic lupus erythematosus (SLE), rheumatoid arthritis, celiac disease, and liver disorders. The common symptoms of new-born GERD, which are the source of faecal microbiota, are not well treated by PPI medication. Physicians </w:t>
      </w:r>
      <w:r w:rsidRPr="004A7A0B">
        <w:rPr>
          <w:rFonts w:ascii="Times New Roman" w:hAnsi="Times New Roman" w:cs="Times New Roman"/>
          <w:sz w:val="24"/>
          <w:szCs w:val="24"/>
        </w:rPr>
        <w:lastRenderedPageBreak/>
        <w:t xml:space="preserve">usually send patients to paediatricians to manage gastroesophageal reflux disease. Who take contemporary drugs like mucosal surface barriers, stomach anti-secretory medicines, and stomach acid-buffering agents. The gut microbiota and oral-to-gut microbial transmission are altered more by proton pump inhibitors than by histamine-2 receptor antagonists. </w:t>
      </w:r>
    </w:p>
    <w:p w14:paraId="5A327CA6" w14:textId="77777777" w:rsidR="00303E22" w:rsidRPr="00305B81" w:rsidRDefault="00303E22" w:rsidP="00303E22">
      <w:pPr>
        <w:spacing w:after="0" w:line="360" w:lineRule="auto"/>
        <w:jc w:val="both"/>
        <w:rPr>
          <w:rFonts w:ascii="Times New Roman" w:hAnsi="Times New Roman" w:cs="Times New Roman"/>
          <w:b/>
          <w:sz w:val="24"/>
          <w:szCs w:val="24"/>
        </w:rPr>
      </w:pPr>
      <w:r w:rsidRPr="00305B81">
        <w:rPr>
          <w:rFonts w:ascii="Times New Roman" w:hAnsi="Times New Roman" w:cs="Times New Roman"/>
          <w:b/>
          <w:sz w:val="24"/>
          <w:szCs w:val="24"/>
        </w:rPr>
        <w:t xml:space="preserve">CONSENT </w:t>
      </w:r>
    </w:p>
    <w:p w14:paraId="5DE4D820" w14:textId="40654BD1" w:rsidR="00303E22" w:rsidRPr="00305B81" w:rsidRDefault="00303E22" w:rsidP="00303E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not applicable for this study.</w:t>
      </w:r>
    </w:p>
    <w:p w14:paraId="2F442C14" w14:textId="77777777" w:rsidR="00303E22" w:rsidRPr="00305B81" w:rsidRDefault="00303E22" w:rsidP="00303E22">
      <w:pPr>
        <w:spacing w:after="0" w:line="360" w:lineRule="auto"/>
        <w:jc w:val="both"/>
        <w:rPr>
          <w:rFonts w:ascii="Times New Roman" w:hAnsi="Times New Roman" w:cs="Times New Roman"/>
          <w:b/>
          <w:sz w:val="24"/>
          <w:szCs w:val="24"/>
        </w:rPr>
      </w:pPr>
      <w:r w:rsidRPr="00305B81">
        <w:rPr>
          <w:rFonts w:ascii="Times New Roman" w:hAnsi="Times New Roman" w:cs="Times New Roman"/>
          <w:b/>
          <w:sz w:val="24"/>
          <w:szCs w:val="24"/>
        </w:rPr>
        <w:t>ETHICAL APPROVAL</w:t>
      </w:r>
    </w:p>
    <w:p w14:paraId="1FC92F20" w14:textId="77777777" w:rsidR="00303E22" w:rsidRPr="00305B81" w:rsidRDefault="00303E22" w:rsidP="00303E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not applicable for this study.</w:t>
      </w:r>
    </w:p>
    <w:p w14:paraId="3DAF4ACE" w14:textId="77777777" w:rsidR="00303E22" w:rsidRPr="00305B81" w:rsidRDefault="00303E22" w:rsidP="00303E22">
      <w:pPr>
        <w:spacing w:after="0" w:line="360" w:lineRule="auto"/>
        <w:jc w:val="both"/>
        <w:rPr>
          <w:rFonts w:ascii="Times New Roman" w:hAnsi="Times New Roman" w:cs="Times New Roman"/>
          <w:b/>
          <w:sz w:val="24"/>
          <w:szCs w:val="24"/>
        </w:rPr>
      </w:pPr>
      <w:r w:rsidRPr="00305B81">
        <w:rPr>
          <w:rFonts w:ascii="Times New Roman" w:hAnsi="Times New Roman" w:cs="Times New Roman"/>
          <w:b/>
          <w:sz w:val="24"/>
          <w:szCs w:val="24"/>
        </w:rPr>
        <w:t xml:space="preserve">DISCLAIMER (ARTIFICIAL INTELLIGENCE) </w:t>
      </w:r>
    </w:p>
    <w:p w14:paraId="2B5FFBC6" w14:textId="0C02EFB5" w:rsidR="00D41DB8" w:rsidRDefault="00303E22" w:rsidP="0022224F">
      <w:pPr>
        <w:spacing w:after="0" w:line="360" w:lineRule="auto"/>
        <w:jc w:val="both"/>
        <w:rPr>
          <w:rFonts w:ascii="Times New Roman" w:hAnsi="Times New Roman" w:cs="Times New Roman"/>
          <w:sz w:val="24"/>
          <w:szCs w:val="24"/>
        </w:rPr>
      </w:pPr>
      <w:r w:rsidRPr="00303E22">
        <w:rPr>
          <w:rFonts w:ascii="Times New Roman" w:hAnsi="Times New Roman" w:cs="Times New Roman"/>
          <w:sz w:val="24"/>
          <w:szCs w:val="24"/>
        </w:rPr>
        <w:t>The authors hereby attest that this work was not generated or altered with any generative AI tools, such as text-to-image generators or Large Language Models (Chat GPT, COPILOT, and so forth).</w:t>
      </w:r>
    </w:p>
    <w:p w14:paraId="7C1056A1" w14:textId="77777777" w:rsidR="00D41DB8" w:rsidRPr="0022224F" w:rsidRDefault="00D41DB8" w:rsidP="00D41DB8">
      <w:pPr>
        <w:spacing w:after="0" w:line="360" w:lineRule="auto"/>
        <w:jc w:val="both"/>
        <w:rPr>
          <w:rFonts w:ascii="Times New Roman" w:hAnsi="Times New Roman" w:cs="Times New Roman"/>
          <w:b/>
          <w:bCs/>
          <w:sz w:val="24"/>
          <w:szCs w:val="24"/>
        </w:rPr>
      </w:pPr>
      <w:r w:rsidRPr="0022224F">
        <w:rPr>
          <w:rFonts w:ascii="Times New Roman" w:hAnsi="Times New Roman" w:cs="Times New Roman"/>
          <w:b/>
          <w:bCs/>
          <w:sz w:val="24"/>
          <w:szCs w:val="24"/>
        </w:rPr>
        <w:t>COMPETING INTERESTS DISCLAIMER:</w:t>
      </w:r>
    </w:p>
    <w:p w14:paraId="67EE5A95" w14:textId="11E6C911" w:rsidR="00D41DB8" w:rsidRPr="004A7A0B" w:rsidRDefault="00D41DB8" w:rsidP="002049B4">
      <w:pPr>
        <w:spacing w:after="0" w:line="360" w:lineRule="auto"/>
        <w:jc w:val="both"/>
        <w:rPr>
          <w:rFonts w:ascii="Times New Roman" w:hAnsi="Times New Roman" w:cs="Times New Roman"/>
          <w:sz w:val="24"/>
          <w:szCs w:val="24"/>
        </w:rPr>
      </w:pPr>
      <w:r w:rsidRPr="00D41DB8">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0EEE3ABC" w14:textId="77777777" w:rsidR="00E64DB5" w:rsidRDefault="004F7964" w:rsidP="00FD3B37">
      <w:pPr>
        <w:spacing w:after="0" w:line="360" w:lineRule="auto"/>
        <w:rPr>
          <w:rFonts w:ascii="Times New Roman" w:hAnsi="Times New Roman" w:cs="Times New Roman"/>
          <w:b/>
          <w:sz w:val="24"/>
          <w:szCs w:val="24"/>
        </w:rPr>
      </w:pPr>
      <w:r w:rsidRPr="004A7A0B">
        <w:rPr>
          <w:rFonts w:ascii="Times New Roman" w:hAnsi="Times New Roman" w:cs="Times New Roman"/>
          <w:b/>
          <w:sz w:val="24"/>
          <w:szCs w:val="24"/>
        </w:rPr>
        <w:t>REFERENCES</w:t>
      </w:r>
    </w:p>
    <w:p w14:paraId="01DE3AB6" w14:textId="37DB01A6" w:rsidR="007957F4" w:rsidRDefault="007957F4" w:rsidP="007957F4">
      <w:pPr>
        <w:rPr>
          <w:rFonts w:ascii="Times New Roman" w:eastAsia="Times New Roman" w:hAnsi="Times New Roman" w:cs="Times New Roman"/>
          <w:sz w:val="24"/>
          <w:szCs w:val="24"/>
          <w:lang w:eastAsia="en-IN"/>
        </w:rPr>
      </w:pPr>
      <w:r w:rsidRPr="0022224F">
        <w:rPr>
          <w:rFonts w:ascii="Times New Roman" w:eastAsia="Times New Roman" w:hAnsi="Times New Roman" w:cs="Times New Roman"/>
          <w:sz w:val="24"/>
          <w:szCs w:val="24"/>
          <w:lang w:eastAsia="en-IN"/>
        </w:rPr>
        <w:t>Aziz, Q., Doré, J., Emmanuel, A., Guarner, F., &amp; Quigley, E. M. M. (2013). Gut microbiota and gastrointestinal health: current concepts and future directions. Neurogastroenterology &amp; Motility, 25(1), 4-15.</w:t>
      </w:r>
    </w:p>
    <w:p w14:paraId="6450004F" w14:textId="5D28D0C7" w:rsidR="00FD3B37" w:rsidRPr="00E64DB5"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64DB5">
        <w:rPr>
          <w:rFonts w:ascii="Times New Roman" w:eastAsia="Times New Roman" w:hAnsi="Times New Roman" w:cs="Times New Roman"/>
          <w:sz w:val="24"/>
          <w:szCs w:val="24"/>
          <w:lang w:eastAsia="en-IN"/>
        </w:rPr>
        <w:t xml:space="preserve">Bajaj, J. S., Heuman, D. M., Hylemon, P. B., Sanyal, A. J., White, M. B., Monteith, P., et al. (2014). Altered profile of human gut microbiome is associated with cirrhosis and its complications. </w:t>
      </w:r>
      <w:r w:rsidRPr="00E64DB5">
        <w:rPr>
          <w:rFonts w:ascii="Times New Roman" w:eastAsia="Times New Roman" w:hAnsi="Times New Roman" w:cs="Times New Roman"/>
          <w:i/>
          <w:iCs/>
          <w:sz w:val="24"/>
          <w:szCs w:val="24"/>
          <w:lang w:eastAsia="en-IN"/>
        </w:rPr>
        <w:t>Journal of Hepatology</w:t>
      </w:r>
      <w:r w:rsidRPr="00E64DB5">
        <w:rPr>
          <w:rFonts w:ascii="Times New Roman" w:eastAsia="Times New Roman" w:hAnsi="Times New Roman" w:cs="Times New Roman"/>
          <w:sz w:val="24"/>
          <w:szCs w:val="24"/>
          <w:lang w:eastAsia="en-IN"/>
        </w:rPr>
        <w:t xml:space="preserve">, 60(5), 940–947. </w:t>
      </w:r>
      <w:hyperlink r:id="rId7" w:history="1">
        <w:r w:rsidRPr="00E64DB5">
          <w:rPr>
            <w:rFonts w:ascii="Times New Roman" w:eastAsia="Times New Roman" w:hAnsi="Times New Roman" w:cs="Times New Roman"/>
            <w:color w:val="0000FF"/>
            <w:sz w:val="24"/>
            <w:szCs w:val="24"/>
            <w:u w:val="single"/>
            <w:lang w:eastAsia="en-IN"/>
          </w:rPr>
          <w:t>https://doi.org/10.1016/j.jhep.2013.12.019</w:t>
        </w:r>
      </w:hyperlink>
    </w:p>
    <w:p w14:paraId="6C28B183"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7243C9">
        <w:rPr>
          <w:rStyle w:val="selectable-text"/>
          <w:rFonts w:ascii="Times New Roman" w:hAnsi="Times New Roman" w:cs="Times New Roman"/>
          <w:sz w:val="24"/>
        </w:rPr>
        <w:t xml:space="preserve">Carabotti, M., Scirocco, A., Maselli, MA., et al. </w:t>
      </w:r>
      <w:r>
        <w:rPr>
          <w:rStyle w:val="selectable-text"/>
          <w:rFonts w:ascii="Times New Roman" w:hAnsi="Times New Roman" w:cs="Times New Roman"/>
          <w:sz w:val="24"/>
        </w:rPr>
        <w:t xml:space="preserve">(2015). </w:t>
      </w:r>
      <w:r w:rsidRPr="007243C9">
        <w:rPr>
          <w:rStyle w:val="selectable-text"/>
          <w:rFonts w:ascii="Times New Roman" w:hAnsi="Times New Roman" w:cs="Times New Roman"/>
          <w:sz w:val="24"/>
        </w:rPr>
        <w:t>The gut-brain axis: interactions between enteric microbiota, central and enteric nervous systems. Ann Gastroenterol, 28(2): 203-209.</w:t>
      </w:r>
      <w:r>
        <w:rPr>
          <w:rStyle w:val="selectable-text"/>
          <w:rFonts w:ascii="Times New Roman" w:hAnsi="Times New Roman" w:cs="Times New Roman"/>
          <w:sz w:val="24"/>
        </w:rPr>
        <w:t xml:space="preserve"> </w:t>
      </w:r>
      <w:hyperlink r:id="rId8" w:history="1">
        <w:r w:rsidRPr="009D4403">
          <w:rPr>
            <w:rStyle w:val="Hyperlink"/>
            <w:rFonts w:ascii="Times New Roman" w:hAnsi="Times New Roman" w:cs="Times New Roman"/>
            <w:sz w:val="24"/>
          </w:rPr>
          <w:t>https://doi.org/10.37212/jcnos.610103</w:t>
        </w:r>
      </w:hyperlink>
    </w:p>
    <w:p w14:paraId="702ECE1F" w14:textId="77777777" w:rsidR="00FD3B37" w:rsidRPr="00021488" w:rsidRDefault="00FD3B37" w:rsidP="00FD3B37">
      <w:pPr>
        <w:spacing w:before="100" w:beforeAutospacing="1" w:after="100" w:afterAutospacing="1" w:line="360" w:lineRule="auto"/>
        <w:jc w:val="both"/>
        <w:rPr>
          <w:rStyle w:val="selectable-text"/>
          <w:rFonts w:ascii="Times New Roman" w:hAnsi="Times New Roman" w:cs="Times New Roman"/>
          <w:sz w:val="24"/>
        </w:rPr>
      </w:pPr>
      <w:r w:rsidRPr="00E64DB5">
        <w:rPr>
          <w:rFonts w:ascii="Times New Roman" w:eastAsia="Times New Roman" w:hAnsi="Times New Roman" w:cs="Times New Roman"/>
          <w:sz w:val="24"/>
          <w:szCs w:val="24"/>
          <w:lang w:eastAsia="en-IN"/>
        </w:rPr>
        <w:t xml:space="preserve">Dam, G., Vilstrup, H., Watson, H., Jepsen, P., &amp; Ott, P. (2016). Proton pump inhibitors as a risk factor for hepatic encephalopathy and spontaneous bacterial peritonitis in patients with cirrhosis with ascites. </w:t>
      </w:r>
      <w:r w:rsidRPr="00E64DB5">
        <w:rPr>
          <w:rFonts w:ascii="Times New Roman" w:eastAsia="Times New Roman" w:hAnsi="Times New Roman" w:cs="Times New Roman"/>
          <w:i/>
          <w:iCs/>
          <w:sz w:val="24"/>
          <w:szCs w:val="24"/>
          <w:lang w:eastAsia="en-IN"/>
        </w:rPr>
        <w:t>Hepatology</w:t>
      </w:r>
      <w:r w:rsidRPr="00E64DB5">
        <w:rPr>
          <w:rFonts w:ascii="Times New Roman" w:eastAsia="Times New Roman" w:hAnsi="Times New Roman" w:cs="Times New Roman"/>
          <w:sz w:val="24"/>
          <w:szCs w:val="24"/>
          <w:lang w:eastAsia="en-IN"/>
        </w:rPr>
        <w:t xml:space="preserve">, 64(4), 1265–1272. </w:t>
      </w:r>
      <w:hyperlink r:id="rId9" w:history="1">
        <w:r w:rsidRPr="00E64DB5">
          <w:rPr>
            <w:rFonts w:ascii="Times New Roman" w:eastAsia="Times New Roman" w:hAnsi="Times New Roman" w:cs="Times New Roman"/>
            <w:color w:val="0000FF"/>
            <w:sz w:val="24"/>
            <w:szCs w:val="24"/>
            <w:u w:val="single"/>
            <w:lang w:eastAsia="en-IN"/>
          </w:rPr>
          <w:t>https://doi.org/10.1002/hep.28737</w:t>
        </w:r>
      </w:hyperlink>
    </w:p>
    <w:p w14:paraId="4EA66BE1"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D43EE5">
        <w:rPr>
          <w:rFonts w:ascii="Times New Roman" w:eastAsia="Times New Roman" w:hAnsi="Times New Roman" w:cs="Times New Roman"/>
          <w:sz w:val="24"/>
          <w:szCs w:val="24"/>
          <w:lang w:eastAsia="en-IN"/>
        </w:rPr>
        <w:t xml:space="preserve">Darfeuille-Michaud, A., Boudeau, J., Bulois, P., Neut, C., Glasser, A.-L., Barnich, N., et al. (2004). High prevalence of adherent-invasive </w:t>
      </w:r>
      <w:r w:rsidRPr="00E64DB5">
        <w:rPr>
          <w:rFonts w:ascii="Times New Roman" w:eastAsia="Times New Roman" w:hAnsi="Times New Roman" w:cs="Times New Roman"/>
          <w:i/>
          <w:iCs/>
          <w:sz w:val="24"/>
          <w:szCs w:val="24"/>
          <w:lang w:eastAsia="en-IN"/>
        </w:rPr>
        <w:t>Escherichia coli</w:t>
      </w:r>
      <w:r w:rsidRPr="00D43EE5">
        <w:rPr>
          <w:rFonts w:ascii="Times New Roman" w:eastAsia="Times New Roman" w:hAnsi="Times New Roman" w:cs="Times New Roman"/>
          <w:sz w:val="24"/>
          <w:szCs w:val="24"/>
          <w:lang w:eastAsia="en-IN"/>
        </w:rPr>
        <w:t xml:space="preserve"> associated with ileal mucosa </w:t>
      </w:r>
      <w:r w:rsidRPr="00D43EE5">
        <w:rPr>
          <w:rFonts w:ascii="Times New Roman" w:eastAsia="Times New Roman" w:hAnsi="Times New Roman" w:cs="Times New Roman"/>
          <w:sz w:val="24"/>
          <w:szCs w:val="24"/>
          <w:lang w:eastAsia="en-IN"/>
        </w:rPr>
        <w:lastRenderedPageBreak/>
        <w:t xml:space="preserve">in Crohn’s disease. </w:t>
      </w:r>
      <w:r w:rsidRPr="00E64DB5">
        <w:rPr>
          <w:rFonts w:ascii="Times New Roman" w:eastAsia="Times New Roman" w:hAnsi="Times New Roman" w:cs="Times New Roman"/>
          <w:i/>
          <w:iCs/>
          <w:sz w:val="24"/>
          <w:szCs w:val="24"/>
          <w:lang w:eastAsia="en-IN"/>
        </w:rPr>
        <w:t>Gastroenterology</w:t>
      </w:r>
      <w:r w:rsidRPr="00D43EE5">
        <w:rPr>
          <w:rFonts w:ascii="Times New Roman" w:eastAsia="Times New Roman" w:hAnsi="Times New Roman" w:cs="Times New Roman"/>
          <w:sz w:val="24"/>
          <w:szCs w:val="24"/>
          <w:lang w:eastAsia="en-IN"/>
        </w:rPr>
        <w:t xml:space="preserve">, 127(2), 412–421. </w:t>
      </w:r>
      <w:hyperlink r:id="rId10" w:history="1">
        <w:r w:rsidRPr="00E64DB5">
          <w:rPr>
            <w:rFonts w:ascii="Times New Roman" w:eastAsia="Times New Roman" w:hAnsi="Times New Roman" w:cs="Times New Roman"/>
            <w:color w:val="0000FF"/>
            <w:sz w:val="24"/>
            <w:szCs w:val="24"/>
            <w:u w:val="single"/>
            <w:lang w:eastAsia="en-IN"/>
          </w:rPr>
          <w:t>https://doi.org/10.1053/j.gastro.2004.04.061</w:t>
        </w:r>
      </w:hyperlink>
    </w:p>
    <w:p w14:paraId="618570E0"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D43EE5">
        <w:rPr>
          <w:rFonts w:ascii="Times New Roman" w:eastAsia="Times New Roman" w:hAnsi="Times New Roman" w:cs="Times New Roman"/>
          <w:sz w:val="24"/>
          <w:szCs w:val="24"/>
          <w:lang w:eastAsia="en-IN"/>
        </w:rPr>
        <w:t xml:space="preserve">Distrutti, E., Monaldi, L., Ricci, P., &amp; Fiorucci, S. (2016). Gut microbiota role in irritable bowel syndrome: New therapeutic strategies. </w:t>
      </w:r>
      <w:r w:rsidRPr="00E64DB5">
        <w:rPr>
          <w:rFonts w:ascii="Times New Roman" w:eastAsia="Times New Roman" w:hAnsi="Times New Roman" w:cs="Times New Roman"/>
          <w:i/>
          <w:iCs/>
          <w:sz w:val="24"/>
          <w:szCs w:val="24"/>
          <w:lang w:eastAsia="en-IN"/>
        </w:rPr>
        <w:t>World Journal of Gastroenterology</w:t>
      </w:r>
      <w:r w:rsidRPr="00D43EE5">
        <w:rPr>
          <w:rFonts w:ascii="Times New Roman" w:eastAsia="Times New Roman" w:hAnsi="Times New Roman" w:cs="Times New Roman"/>
          <w:sz w:val="24"/>
          <w:szCs w:val="24"/>
          <w:lang w:eastAsia="en-IN"/>
        </w:rPr>
        <w:t xml:space="preserve">, 22(7), 2219–2231. </w:t>
      </w:r>
      <w:hyperlink r:id="rId11" w:history="1">
        <w:r w:rsidRPr="00E64DB5">
          <w:rPr>
            <w:rFonts w:ascii="Times New Roman" w:eastAsia="Times New Roman" w:hAnsi="Times New Roman" w:cs="Times New Roman"/>
            <w:color w:val="0000FF"/>
            <w:sz w:val="24"/>
            <w:szCs w:val="24"/>
            <w:u w:val="single"/>
            <w:lang w:eastAsia="en-IN"/>
          </w:rPr>
          <w:t>https://doi.org/10.3748/wjg.v22.i7.2219</w:t>
        </w:r>
      </w:hyperlink>
    </w:p>
    <w:p w14:paraId="57482EEB" w14:textId="77777777" w:rsidR="00FD3B37" w:rsidRPr="00021488"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64DB5">
        <w:rPr>
          <w:rFonts w:ascii="Times New Roman" w:eastAsia="Times New Roman" w:hAnsi="Times New Roman" w:cs="Times New Roman"/>
          <w:sz w:val="24"/>
          <w:szCs w:val="24"/>
          <w:lang w:eastAsia="en-IN"/>
        </w:rPr>
        <w:t xml:space="preserve">Durcan, L., O’Dwyer, T., &amp; Petri, M. (2019). Management strategies and future directions for systemic lupus erythematosus in adults. </w:t>
      </w:r>
      <w:r w:rsidRPr="00E64DB5">
        <w:rPr>
          <w:rFonts w:ascii="Times New Roman" w:eastAsia="Times New Roman" w:hAnsi="Times New Roman" w:cs="Times New Roman"/>
          <w:i/>
          <w:iCs/>
          <w:sz w:val="24"/>
          <w:szCs w:val="24"/>
          <w:lang w:eastAsia="en-IN"/>
        </w:rPr>
        <w:t>The Lancet</w:t>
      </w:r>
      <w:r w:rsidRPr="00E64DB5">
        <w:rPr>
          <w:rFonts w:ascii="Times New Roman" w:eastAsia="Times New Roman" w:hAnsi="Times New Roman" w:cs="Times New Roman"/>
          <w:sz w:val="24"/>
          <w:szCs w:val="24"/>
          <w:lang w:eastAsia="en-IN"/>
        </w:rPr>
        <w:t xml:space="preserve">, 393(10188), 2332–2343. </w:t>
      </w:r>
      <w:hyperlink r:id="rId12" w:history="1">
        <w:r w:rsidRPr="00E64DB5">
          <w:rPr>
            <w:rFonts w:ascii="Times New Roman" w:eastAsia="Times New Roman" w:hAnsi="Times New Roman" w:cs="Times New Roman"/>
            <w:color w:val="0000FF"/>
            <w:sz w:val="24"/>
            <w:szCs w:val="24"/>
            <w:u w:val="single"/>
            <w:lang w:eastAsia="en-IN"/>
          </w:rPr>
          <w:t>https://doi.org/10.1016/S0140-6736(19)30237-5</w:t>
        </w:r>
      </w:hyperlink>
    </w:p>
    <w:p w14:paraId="073CDCA5" w14:textId="77777777" w:rsidR="00FD3B37" w:rsidRPr="00E71733"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64DB5">
        <w:rPr>
          <w:rFonts w:ascii="Times New Roman" w:eastAsia="Times New Roman" w:hAnsi="Times New Roman" w:cs="Times New Roman"/>
          <w:sz w:val="24"/>
          <w:szCs w:val="24"/>
          <w:lang w:eastAsia="en-IN"/>
        </w:rPr>
        <w:t xml:space="preserve">El-Salhy, M. (2015). Recent developments in the pathophysiology of irritable bowel syndrome. </w:t>
      </w:r>
      <w:r w:rsidRPr="00E64DB5">
        <w:rPr>
          <w:rFonts w:ascii="Times New Roman" w:eastAsia="Times New Roman" w:hAnsi="Times New Roman" w:cs="Times New Roman"/>
          <w:i/>
          <w:iCs/>
          <w:sz w:val="24"/>
          <w:szCs w:val="24"/>
          <w:lang w:eastAsia="en-IN"/>
        </w:rPr>
        <w:t>World Journal of Gastroenterology</w:t>
      </w:r>
      <w:r w:rsidRPr="00E64DB5">
        <w:rPr>
          <w:rFonts w:ascii="Times New Roman" w:eastAsia="Times New Roman" w:hAnsi="Times New Roman" w:cs="Times New Roman"/>
          <w:sz w:val="24"/>
          <w:szCs w:val="24"/>
          <w:lang w:eastAsia="en-IN"/>
        </w:rPr>
        <w:t xml:space="preserve">, 21(25), 7621–7636. </w:t>
      </w:r>
      <w:hyperlink r:id="rId13" w:history="1">
        <w:r w:rsidRPr="00E64DB5">
          <w:rPr>
            <w:rFonts w:ascii="Times New Roman" w:eastAsia="Times New Roman" w:hAnsi="Times New Roman" w:cs="Times New Roman"/>
            <w:color w:val="0000FF"/>
            <w:sz w:val="24"/>
            <w:szCs w:val="24"/>
            <w:u w:val="single"/>
            <w:lang w:eastAsia="en-IN"/>
          </w:rPr>
          <w:t>https://doi.org/10.3748/wjg.v21.i25.7621</w:t>
        </w:r>
      </w:hyperlink>
    </w:p>
    <w:p w14:paraId="44E94F4D"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D43EE5">
        <w:rPr>
          <w:rFonts w:ascii="Times New Roman" w:eastAsia="Times New Roman" w:hAnsi="Times New Roman" w:cs="Times New Roman"/>
          <w:sz w:val="24"/>
          <w:szCs w:val="24"/>
          <w:lang w:eastAsia="en-IN"/>
        </w:rPr>
        <w:t xml:space="preserve">Flanagan, L., Schmid, J., Ebert, M., Soucek, P., Kunicka, T., Liska, V., Bruha, J., Neary, P., Dezeeuw, N., Tomkin, A., &amp; Shanahan, F. (2014). </w:t>
      </w:r>
      <w:r w:rsidRPr="00E64DB5">
        <w:rPr>
          <w:rFonts w:ascii="Times New Roman" w:eastAsia="Times New Roman" w:hAnsi="Times New Roman" w:cs="Times New Roman"/>
          <w:i/>
          <w:iCs/>
          <w:sz w:val="24"/>
          <w:szCs w:val="24"/>
          <w:lang w:eastAsia="en-IN"/>
        </w:rPr>
        <w:t>Fusobacterium nucleatum</w:t>
      </w:r>
      <w:r w:rsidRPr="00D43EE5">
        <w:rPr>
          <w:rFonts w:ascii="Times New Roman" w:eastAsia="Times New Roman" w:hAnsi="Times New Roman" w:cs="Times New Roman"/>
          <w:sz w:val="24"/>
          <w:szCs w:val="24"/>
          <w:lang w:eastAsia="en-IN"/>
        </w:rPr>
        <w:t xml:space="preserve"> associates with stages of colorectal neoplasia development, colorectal cancer and disease outcome. </w:t>
      </w:r>
      <w:r w:rsidRPr="00E64DB5">
        <w:rPr>
          <w:rFonts w:ascii="Times New Roman" w:eastAsia="Times New Roman" w:hAnsi="Times New Roman" w:cs="Times New Roman"/>
          <w:i/>
          <w:iCs/>
          <w:sz w:val="24"/>
          <w:szCs w:val="24"/>
          <w:lang w:eastAsia="en-IN"/>
        </w:rPr>
        <w:t>European Journal of Clinical Microbiology &amp; Infectious Diseases</w:t>
      </w:r>
      <w:r w:rsidRPr="00D43EE5">
        <w:rPr>
          <w:rFonts w:ascii="Times New Roman" w:eastAsia="Times New Roman" w:hAnsi="Times New Roman" w:cs="Times New Roman"/>
          <w:sz w:val="24"/>
          <w:szCs w:val="24"/>
          <w:lang w:eastAsia="en-IN"/>
        </w:rPr>
        <w:t xml:space="preserve">, 33(8), 1381–1390. </w:t>
      </w:r>
      <w:hyperlink r:id="rId14" w:history="1">
        <w:r w:rsidRPr="00E64DB5">
          <w:rPr>
            <w:rFonts w:ascii="Times New Roman" w:eastAsia="Times New Roman" w:hAnsi="Times New Roman" w:cs="Times New Roman"/>
            <w:color w:val="0000FF"/>
            <w:sz w:val="24"/>
            <w:szCs w:val="24"/>
            <w:u w:val="single"/>
            <w:lang w:eastAsia="en-IN"/>
          </w:rPr>
          <w:t>https://doi.org/10.1007/s10096-014-2081-3</w:t>
        </w:r>
      </w:hyperlink>
    </w:p>
    <w:p w14:paraId="45942100"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64DB5">
        <w:rPr>
          <w:rFonts w:ascii="Times New Roman" w:eastAsia="Times New Roman" w:hAnsi="Times New Roman" w:cs="Times New Roman"/>
          <w:sz w:val="24"/>
          <w:szCs w:val="24"/>
          <w:lang w:eastAsia="en-IN"/>
        </w:rPr>
        <w:t xml:space="preserve">Ford, A. C., Forman, D., Hunt, R. H., Yuan, Y., Moayyedi, P. (2014). </w:t>
      </w:r>
      <w:r w:rsidRPr="00E64DB5">
        <w:rPr>
          <w:rFonts w:ascii="Times New Roman" w:eastAsia="Times New Roman" w:hAnsi="Times New Roman" w:cs="Times New Roman"/>
          <w:i/>
          <w:iCs/>
          <w:sz w:val="24"/>
          <w:szCs w:val="24"/>
          <w:lang w:eastAsia="en-IN"/>
        </w:rPr>
        <w:t>Helicobacter pylori</w:t>
      </w:r>
      <w:r w:rsidRPr="00E64DB5">
        <w:rPr>
          <w:rFonts w:ascii="Times New Roman" w:eastAsia="Times New Roman" w:hAnsi="Times New Roman" w:cs="Times New Roman"/>
          <w:sz w:val="24"/>
          <w:szCs w:val="24"/>
          <w:lang w:eastAsia="en-IN"/>
        </w:rPr>
        <w:t xml:space="preserve"> eradication therapy to prevent gastric cancer in healthy asymptomatic infected individuals: Systematic review and meta-analysis of randomised controlled trials. </w:t>
      </w:r>
      <w:r w:rsidRPr="00E64DB5">
        <w:rPr>
          <w:rFonts w:ascii="Times New Roman" w:eastAsia="Times New Roman" w:hAnsi="Times New Roman" w:cs="Times New Roman"/>
          <w:i/>
          <w:iCs/>
          <w:sz w:val="24"/>
          <w:szCs w:val="24"/>
          <w:lang w:eastAsia="en-IN"/>
        </w:rPr>
        <w:t>BMJ</w:t>
      </w:r>
      <w:r w:rsidRPr="00E64DB5">
        <w:rPr>
          <w:rFonts w:ascii="Times New Roman" w:eastAsia="Times New Roman" w:hAnsi="Times New Roman" w:cs="Times New Roman"/>
          <w:sz w:val="24"/>
          <w:szCs w:val="24"/>
          <w:lang w:eastAsia="en-IN"/>
        </w:rPr>
        <w:t xml:space="preserve">, 348, g3174. </w:t>
      </w:r>
      <w:hyperlink r:id="rId15" w:history="1">
        <w:r w:rsidRPr="00E64DB5">
          <w:rPr>
            <w:rFonts w:ascii="Times New Roman" w:eastAsia="Times New Roman" w:hAnsi="Times New Roman" w:cs="Times New Roman"/>
            <w:color w:val="0000FF"/>
            <w:sz w:val="24"/>
            <w:szCs w:val="24"/>
            <w:u w:val="single"/>
            <w:lang w:eastAsia="en-IN"/>
          </w:rPr>
          <w:t>https://doi.org/10.1136/bmj.g3174</w:t>
        </w:r>
      </w:hyperlink>
    </w:p>
    <w:p w14:paraId="5EC2E9A5"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D43EE5">
        <w:rPr>
          <w:rFonts w:ascii="Times New Roman" w:eastAsia="Times New Roman" w:hAnsi="Times New Roman" w:cs="Times New Roman"/>
          <w:sz w:val="24"/>
          <w:szCs w:val="24"/>
          <w:lang w:eastAsia="en-IN"/>
        </w:rPr>
        <w:t xml:space="preserve">Freedberg, D. E., Toussaint, N. C., Chen, S. P., Ratner, A. J., Whittier, S., Wang, T. C., et al. (2015). Proton pump inhibitors alter specific taxa in the human gastrointestinal microbiome: A crossover trial. </w:t>
      </w:r>
      <w:r w:rsidRPr="00E64DB5">
        <w:rPr>
          <w:rFonts w:ascii="Times New Roman" w:eastAsia="Times New Roman" w:hAnsi="Times New Roman" w:cs="Times New Roman"/>
          <w:i/>
          <w:iCs/>
          <w:sz w:val="24"/>
          <w:szCs w:val="24"/>
          <w:lang w:eastAsia="en-IN"/>
        </w:rPr>
        <w:t>Gastroenterology</w:t>
      </w:r>
      <w:r w:rsidRPr="00D43EE5">
        <w:rPr>
          <w:rFonts w:ascii="Times New Roman" w:eastAsia="Times New Roman" w:hAnsi="Times New Roman" w:cs="Times New Roman"/>
          <w:sz w:val="24"/>
          <w:szCs w:val="24"/>
          <w:lang w:eastAsia="en-IN"/>
        </w:rPr>
        <w:t xml:space="preserve">, 149(4), 883–885. </w:t>
      </w:r>
      <w:hyperlink r:id="rId16" w:history="1">
        <w:r w:rsidRPr="00E64DB5">
          <w:rPr>
            <w:rFonts w:ascii="Times New Roman" w:eastAsia="Times New Roman" w:hAnsi="Times New Roman" w:cs="Times New Roman"/>
            <w:color w:val="0000FF"/>
            <w:sz w:val="24"/>
            <w:szCs w:val="24"/>
            <w:u w:val="single"/>
            <w:lang w:eastAsia="en-IN"/>
          </w:rPr>
          <w:t>https://doi.org/10.1053/j.gastro.2015.06.043</w:t>
        </w:r>
      </w:hyperlink>
    </w:p>
    <w:p w14:paraId="768A4750" w14:textId="77777777" w:rsidR="00FD3B37" w:rsidRPr="00021488" w:rsidRDefault="00FD3B37" w:rsidP="00FD3B37">
      <w:p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E64DB5">
        <w:rPr>
          <w:rFonts w:ascii="Times New Roman" w:eastAsia="Times New Roman" w:hAnsi="Times New Roman" w:cs="Times New Roman"/>
          <w:sz w:val="24"/>
          <w:szCs w:val="24"/>
          <w:lang w:eastAsia="en-IN"/>
        </w:rPr>
        <w:t xml:space="preserve">Fujimori, S. (2015). What are the effects of proton pump inhibitors on the small intestine? </w:t>
      </w:r>
      <w:r w:rsidRPr="00E64DB5">
        <w:rPr>
          <w:rFonts w:ascii="Times New Roman" w:eastAsia="Times New Roman" w:hAnsi="Times New Roman" w:cs="Times New Roman"/>
          <w:i/>
          <w:iCs/>
          <w:sz w:val="24"/>
          <w:szCs w:val="24"/>
          <w:lang w:eastAsia="en-IN"/>
        </w:rPr>
        <w:t>World Journal of Gastroenterology</w:t>
      </w:r>
      <w:r w:rsidRPr="00E64DB5">
        <w:rPr>
          <w:rFonts w:ascii="Times New Roman" w:eastAsia="Times New Roman" w:hAnsi="Times New Roman" w:cs="Times New Roman"/>
          <w:sz w:val="24"/>
          <w:szCs w:val="24"/>
          <w:lang w:eastAsia="en-IN"/>
        </w:rPr>
        <w:t xml:space="preserve">, 21(22), 6817–6819. </w:t>
      </w:r>
      <w:hyperlink r:id="rId17" w:history="1">
        <w:r w:rsidRPr="00E64DB5">
          <w:rPr>
            <w:rFonts w:ascii="Times New Roman" w:eastAsia="Times New Roman" w:hAnsi="Times New Roman" w:cs="Times New Roman"/>
            <w:color w:val="0000FF"/>
            <w:sz w:val="24"/>
            <w:szCs w:val="24"/>
            <w:u w:val="single"/>
            <w:lang w:eastAsia="en-IN"/>
          </w:rPr>
          <w:t>https://doi.org/10.3748/wjg.v21.i22.6817</w:t>
        </w:r>
      </w:hyperlink>
    </w:p>
    <w:p w14:paraId="31DEC93D"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D43EE5">
        <w:rPr>
          <w:rFonts w:ascii="Times New Roman" w:eastAsia="Times New Roman" w:hAnsi="Times New Roman" w:cs="Times New Roman"/>
          <w:sz w:val="24"/>
          <w:szCs w:val="24"/>
          <w:lang w:eastAsia="en-IN"/>
        </w:rPr>
        <w:lastRenderedPageBreak/>
        <w:t xml:space="preserve">Gao, R., Gao, Z., Huang, L., &amp; Qin, H. (2017). Gut microbiota and colorectal cancer. </w:t>
      </w:r>
      <w:r w:rsidRPr="00E64DB5">
        <w:rPr>
          <w:rFonts w:ascii="Times New Roman" w:eastAsia="Times New Roman" w:hAnsi="Times New Roman" w:cs="Times New Roman"/>
          <w:i/>
          <w:iCs/>
          <w:sz w:val="24"/>
          <w:szCs w:val="24"/>
          <w:lang w:eastAsia="en-IN"/>
        </w:rPr>
        <w:t>European Journal of Clinical Microbiology &amp; Infectious Diseases</w:t>
      </w:r>
      <w:r w:rsidRPr="00D43EE5">
        <w:rPr>
          <w:rFonts w:ascii="Times New Roman" w:eastAsia="Times New Roman" w:hAnsi="Times New Roman" w:cs="Times New Roman"/>
          <w:sz w:val="24"/>
          <w:szCs w:val="24"/>
          <w:lang w:eastAsia="en-IN"/>
        </w:rPr>
        <w:t xml:space="preserve">, 36(5), 757–769. </w:t>
      </w:r>
      <w:hyperlink r:id="rId18" w:history="1">
        <w:r w:rsidRPr="00E64DB5">
          <w:rPr>
            <w:rFonts w:ascii="Times New Roman" w:eastAsia="Times New Roman" w:hAnsi="Times New Roman" w:cs="Times New Roman"/>
            <w:color w:val="0000FF"/>
            <w:sz w:val="24"/>
            <w:szCs w:val="24"/>
            <w:u w:val="single"/>
            <w:lang w:eastAsia="en-IN"/>
          </w:rPr>
          <w:t>https://doi.org/10.1007/s10096-016-2881-8</w:t>
        </w:r>
      </w:hyperlink>
    </w:p>
    <w:p w14:paraId="4ADB08B2" w14:textId="77777777" w:rsidR="00FD3B37" w:rsidRPr="00D43EE5"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64DB5">
        <w:rPr>
          <w:rFonts w:ascii="Times New Roman" w:eastAsia="Times New Roman" w:hAnsi="Times New Roman" w:cs="Times New Roman"/>
          <w:sz w:val="24"/>
          <w:szCs w:val="24"/>
          <w:lang w:eastAsia="en-IN"/>
        </w:rPr>
        <w:t xml:space="preserve">Guo, M., Wang, H., Xu, S., Zhuang, Y., An, J., Su, C., et al. (2020). Alteration in gut microbiota is associated with dysregulation of cytokines and glucocorticoid therapy in systemic lupus erythematosus. </w:t>
      </w:r>
      <w:r w:rsidRPr="00E64DB5">
        <w:rPr>
          <w:rFonts w:ascii="Times New Roman" w:eastAsia="Times New Roman" w:hAnsi="Times New Roman" w:cs="Times New Roman"/>
          <w:i/>
          <w:iCs/>
          <w:sz w:val="24"/>
          <w:szCs w:val="24"/>
          <w:lang w:eastAsia="en-IN"/>
        </w:rPr>
        <w:t>Gut Microbes</w:t>
      </w:r>
      <w:r w:rsidRPr="00E64DB5">
        <w:rPr>
          <w:rFonts w:ascii="Times New Roman" w:eastAsia="Times New Roman" w:hAnsi="Times New Roman" w:cs="Times New Roman"/>
          <w:sz w:val="24"/>
          <w:szCs w:val="24"/>
          <w:lang w:eastAsia="en-IN"/>
        </w:rPr>
        <w:t xml:space="preserve">, 11(6), 1758–1773. </w:t>
      </w:r>
      <w:hyperlink r:id="rId19" w:history="1">
        <w:r w:rsidRPr="00E64DB5">
          <w:rPr>
            <w:rFonts w:ascii="Times New Roman" w:eastAsia="Times New Roman" w:hAnsi="Times New Roman" w:cs="Times New Roman"/>
            <w:color w:val="0000FF"/>
            <w:sz w:val="24"/>
            <w:szCs w:val="24"/>
            <w:u w:val="single"/>
            <w:lang w:eastAsia="en-IN"/>
          </w:rPr>
          <w:t>https://doi.org/10.1080/19490976.2020.1785804</w:t>
        </w:r>
      </w:hyperlink>
    </w:p>
    <w:p w14:paraId="4FE95ED8" w14:textId="77777777" w:rsidR="00FD3B37" w:rsidRPr="00D43EE5"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43EE5">
        <w:rPr>
          <w:rFonts w:ascii="Times New Roman" w:eastAsia="Times New Roman" w:hAnsi="Times New Roman" w:cs="Times New Roman"/>
          <w:sz w:val="24"/>
          <w:szCs w:val="24"/>
          <w:lang w:eastAsia="en-IN"/>
        </w:rPr>
        <w:t xml:space="preserve">Imhann, F., Bonder, M. J., Vich Vila, A., Fu, J., Jankipersadsing, S. A., Cenit, M. C., et al. (2015). Proton pump inhibitors affect the gut microbiome. </w:t>
      </w:r>
      <w:r w:rsidRPr="00E64DB5">
        <w:rPr>
          <w:rFonts w:ascii="Times New Roman" w:eastAsia="Times New Roman" w:hAnsi="Times New Roman" w:cs="Times New Roman"/>
          <w:i/>
          <w:iCs/>
          <w:sz w:val="24"/>
          <w:szCs w:val="24"/>
          <w:lang w:eastAsia="en-IN"/>
        </w:rPr>
        <w:t>Gut</w:t>
      </w:r>
      <w:r w:rsidRPr="00D43EE5">
        <w:rPr>
          <w:rFonts w:ascii="Times New Roman" w:eastAsia="Times New Roman" w:hAnsi="Times New Roman" w:cs="Times New Roman"/>
          <w:sz w:val="24"/>
          <w:szCs w:val="24"/>
          <w:lang w:eastAsia="en-IN"/>
        </w:rPr>
        <w:t xml:space="preserve">, 65(5), 740–748. </w:t>
      </w:r>
      <w:hyperlink r:id="rId20" w:history="1">
        <w:r w:rsidRPr="00E64DB5">
          <w:rPr>
            <w:rFonts w:ascii="Times New Roman" w:eastAsia="Times New Roman" w:hAnsi="Times New Roman" w:cs="Times New Roman"/>
            <w:color w:val="0000FF"/>
            <w:sz w:val="24"/>
            <w:szCs w:val="24"/>
            <w:u w:val="single"/>
            <w:lang w:eastAsia="en-IN"/>
          </w:rPr>
          <w:t>https://doi.org/10.1136/gutjnl-2015-310376</w:t>
        </w:r>
      </w:hyperlink>
    </w:p>
    <w:p w14:paraId="46E85790"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D43EE5">
        <w:rPr>
          <w:rFonts w:ascii="Times New Roman" w:eastAsia="Times New Roman" w:hAnsi="Times New Roman" w:cs="Times New Roman"/>
          <w:sz w:val="24"/>
          <w:szCs w:val="24"/>
          <w:lang w:eastAsia="en-IN"/>
        </w:rPr>
        <w:t xml:space="preserve">Jackson, M. A., Goodrich, J. K., Maxan, M. E., Freedberg, D. E., Abrams, J. A., Poole, A. C., et al. (2016). Proton pump inhibitors alter the composition of the gut microbiota. </w:t>
      </w:r>
      <w:r w:rsidRPr="00E64DB5">
        <w:rPr>
          <w:rFonts w:ascii="Times New Roman" w:eastAsia="Times New Roman" w:hAnsi="Times New Roman" w:cs="Times New Roman"/>
          <w:i/>
          <w:iCs/>
          <w:sz w:val="24"/>
          <w:szCs w:val="24"/>
          <w:lang w:eastAsia="en-IN"/>
        </w:rPr>
        <w:t>Gut</w:t>
      </w:r>
      <w:r w:rsidRPr="00D43EE5">
        <w:rPr>
          <w:rFonts w:ascii="Times New Roman" w:eastAsia="Times New Roman" w:hAnsi="Times New Roman" w:cs="Times New Roman"/>
          <w:sz w:val="24"/>
          <w:szCs w:val="24"/>
          <w:lang w:eastAsia="en-IN"/>
        </w:rPr>
        <w:t xml:space="preserve">, 65(5), 749–756. </w:t>
      </w:r>
      <w:hyperlink r:id="rId21" w:history="1">
        <w:r w:rsidRPr="00E64DB5">
          <w:rPr>
            <w:rFonts w:ascii="Times New Roman" w:eastAsia="Times New Roman" w:hAnsi="Times New Roman" w:cs="Times New Roman"/>
            <w:color w:val="0000FF"/>
            <w:sz w:val="24"/>
            <w:szCs w:val="24"/>
            <w:u w:val="single"/>
            <w:lang w:eastAsia="en-IN"/>
          </w:rPr>
          <w:t>https://doi.org/10.1136/gutjnl-2015-310861</w:t>
        </w:r>
      </w:hyperlink>
    </w:p>
    <w:p w14:paraId="5A741A02"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E64DB5">
        <w:rPr>
          <w:rFonts w:ascii="Times New Roman" w:eastAsia="Times New Roman" w:hAnsi="Times New Roman" w:cs="Times New Roman"/>
          <w:sz w:val="24"/>
          <w:szCs w:val="24"/>
          <w:lang w:eastAsia="en-IN"/>
        </w:rPr>
        <w:t xml:space="preserve">Jang, S., Lebwohl, B., Abrams, J. A., Green, P. H. R., &amp; Alaedini, A. (2020). Celiac disease serology and gut microbiome following proton pump inhibitor treatment. </w:t>
      </w:r>
      <w:r w:rsidRPr="00E64DB5">
        <w:rPr>
          <w:rFonts w:ascii="Times New Roman" w:eastAsia="Times New Roman" w:hAnsi="Times New Roman" w:cs="Times New Roman"/>
          <w:i/>
          <w:iCs/>
          <w:sz w:val="24"/>
          <w:szCs w:val="24"/>
          <w:lang w:eastAsia="en-IN"/>
        </w:rPr>
        <w:t>Medicine (Baltimore)</w:t>
      </w:r>
      <w:r w:rsidRPr="00E64DB5">
        <w:rPr>
          <w:rFonts w:ascii="Times New Roman" w:eastAsia="Times New Roman" w:hAnsi="Times New Roman" w:cs="Times New Roman"/>
          <w:sz w:val="24"/>
          <w:szCs w:val="24"/>
          <w:lang w:eastAsia="en-IN"/>
        </w:rPr>
        <w:t xml:space="preserve">, 99(35), e21488. </w:t>
      </w:r>
      <w:hyperlink r:id="rId22" w:history="1">
        <w:r w:rsidRPr="00E64DB5">
          <w:rPr>
            <w:rFonts w:ascii="Times New Roman" w:eastAsia="Times New Roman" w:hAnsi="Times New Roman" w:cs="Times New Roman"/>
            <w:color w:val="0000FF"/>
            <w:sz w:val="24"/>
            <w:szCs w:val="24"/>
            <w:u w:val="single"/>
            <w:lang w:eastAsia="en-IN"/>
          </w:rPr>
          <w:t>https://doi.org/10.1097/MD.0000000000021488</w:t>
        </w:r>
      </w:hyperlink>
    </w:p>
    <w:p w14:paraId="3316B1BE" w14:textId="77777777" w:rsidR="00FD3B37" w:rsidRPr="00021488"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64DB5">
        <w:rPr>
          <w:rFonts w:ascii="Times New Roman" w:eastAsia="Times New Roman" w:hAnsi="Times New Roman" w:cs="Times New Roman"/>
          <w:sz w:val="24"/>
          <w:szCs w:val="24"/>
          <w:lang w:eastAsia="en-IN"/>
        </w:rPr>
        <w:t xml:space="preserve">Jeong, Y., Kim, J. W., You, H. J., Park, S. J., Lee, J., Ju, J. H., et al. (2019). Gut microbial composition and function are altered in patients with early rheumatoid arthritis. </w:t>
      </w:r>
      <w:r w:rsidRPr="00E64DB5">
        <w:rPr>
          <w:rFonts w:ascii="Times New Roman" w:eastAsia="Times New Roman" w:hAnsi="Times New Roman" w:cs="Times New Roman"/>
          <w:i/>
          <w:iCs/>
          <w:sz w:val="24"/>
          <w:szCs w:val="24"/>
          <w:lang w:eastAsia="en-IN"/>
        </w:rPr>
        <w:t>Journal of Clinical Medicine</w:t>
      </w:r>
      <w:r w:rsidRPr="00E64DB5">
        <w:rPr>
          <w:rFonts w:ascii="Times New Roman" w:eastAsia="Times New Roman" w:hAnsi="Times New Roman" w:cs="Times New Roman"/>
          <w:sz w:val="24"/>
          <w:szCs w:val="24"/>
          <w:lang w:eastAsia="en-IN"/>
        </w:rPr>
        <w:t xml:space="preserve">, 8(5), 693. </w:t>
      </w:r>
      <w:hyperlink r:id="rId23" w:history="1">
        <w:r w:rsidRPr="00E64DB5">
          <w:rPr>
            <w:rFonts w:ascii="Times New Roman" w:eastAsia="Times New Roman" w:hAnsi="Times New Roman" w:cs="Times New Roman"/>
            <w:color w:val="0000FF"/>
            <w:sz w:val="24"/>
            <w:szCs w:val="24"/>
            <w:u w:val="single"/>
            <w:lang w:eastAsia="en-IN"/>
          </w:rPr>
          <w:t>https://doi.org/10.3390/jcm8050693</w:t>
        </w:r>
      </w:hyperlink>
    </w:p>
    <w:p w14:paraId="08AD98E6" w14:textId="77777777" w:rsidR="00FD3B37" w:rsidRPr="00D43EE5"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Jobin, C</w:t>
      </w:r>
      <w:r w:rsidRPr="00D43EE5">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(2013)</w:t>
      </w:r>
      <w:r w:rsidRPr="00D43EE5">
        <w:rPr>
          <w:rFonts w:ascii="Times New Roman" w:eastAsia="Times New Roman" w:hAnsi="Times New Roman" w:cs="Times New Roman"/>
          <w:sz w:val="24"/>
          <w:szCs w:val="24"/>
          <w:lang w:eastAsia="en-IN"/>
        </w:rPr>
        <w:t xml:space="preserve"> Colorectal cancer: Looking for answers in the microbiota. </w:t>
      </w:r>
      <w:r w:rsidRPr="00E64DB5">
        <w:rPr>
          <w:rFonts w:ascii="Times New Roman" w:eastAsia="Times New Roman" w:hAnsi="Times New Roman" w:cs="Times New Roman"/>
          <w:i/>
          <w:iCs/>
          <w:sz w:val="24"/>
          <w:szCs w:val="24"/>
          <w:lang w:eastAsia="en-IN"/>
        </w:rPr>
        <w:t>Cancer Discovery</w:t>
      </w:r>
      <w:r w:rsidRPr="00D43EE5">
        <w:rPr>
          <w:rFonts w:ascii="Times New Roman" w:eastAsia="Times New Roman" w:hAnsi="Times New Roman" w:cs="Times New Roman"/>
          <w:sz w:val="24"/>
          <w:szCs w:val="24"/>
          <w:lang w:eastAsia="en-IN"/>
        </w:rPr>
        <w:t xml:space="preserve">, 3(4), 384–387. </w:t>
      </w:r>
      <w:hyperlink r:id="rId24" w:history="1">
        <w:r w:rsidRPr="00E64DB5">
          <w:rPr>
            <w:rFonts w:ascii="Times New Roman" w:eastAsia="Times New Roman" w:hAnsi="Times New Roman" w:cs="Times New Roman"/>
            <w:color w:val="0000FF"/>
            <w:sz w:val="24"/>
            <w:szCs w:val="24"/>
            <w:u w:val="single"/>
            <w:lang w:eastAsia="en-IN"/>
          </w:rPr>
          <w:t>https://doi.org/10.1158/2159-8290.CD-13-0073</w:t>
        </w:r>
      </w:hyperlink>
    </w:p>
    <w:p w14:paraId="06CF5EFD"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D43EE5">
        <w:rPr>
          <w:rFonts w:ascii="Times New Roman" w:eastAsia="Times New Roman" w:hAnsi="Times New Roman" w:cs="Times New Roman"/>
          <w:sz w:val="24"/>
          <w:szCs w:val="24"/>
          <w:lang w:eastAsia="en-IN"/>
        </w:rPr>
        <w:t xml:space="preserve">Joossens, M., Huys, G., Cnockaert, M., De Preter, V., Verbeke, K., Rutgeerts, P., et al. (2011). Dysbiosis of the faecal microbiota in patients with Crohn’s disease and their unaffected relatives. </w:t>
      </w:r>
      <w:r w:rsidRPr="00E64DB5">
        <w:rPr>
          <w:rFonts w:ascii="Times New Roman" w:eastAsia="Times New Roman" w:hAnsi="Times New Roman" w:cs="Times New Roman"/>
          <w:i/>
          <w:iCs/>
          <w:sz w:val="24"/>
          <w:szCs w:val="24"/>
          <w:lang w:eastAsia="en-IN"/>
        </w:rPr>
        <w:t>Gut</w:t>
      </w:r>
      <w:r w:rsidRPr="00D43EE5">
        <w:rPr>
          <w:rFonts w:ascii="Times New Roman" w:eastAsia="Times New Roman" w:hAnsi="Times New Roman" w:cs="Times New Roman"/>
          <w:sz w:val="24"/>
          <w:szCs w:val="24"/>
          <w:lang w:eastAsia="en-IN"/>
        </w:rPr>
        <w:t xml:space="preserve">, 60(5), 631–637. </w:t>
      </w:r>
      <w:hyperlink r:id="rId25" w:history="1">
        <w:r w:rsidRPr="00E64DB5">
          <w:rPr>
            <w:rFonts w:ascii="Times New Roman" w:eastAsia="Times New Roman" w:hAnsi="Times New Roman" w:cs="Times New Roman"/>
            <w:color w:val="0000FF"/>
            <w:sz w:val="24"/>
            <w:szCs w:val="24"/>
            <w:u w:val="single"/>
            <w:lang w:eastAsia="en-IN"/>
          </w:rPr>
          <w:t>https://doi.org/10.1136/gut.2010.223263</w:t>
        </w:r>
      </w:hyperlink>
    </w:p>
    <w:p w14:paraId="5C7BC28F"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43EE5">
        <w:rPr>
          <w:rFonts w:ascii="Times New Roman" w:eastAsia="Times New Roman" w:hAnsi="Times New Roman" w:cs="Times New Roman"/>
          <w:sz w:val="24"/>
          <w:szCs w:val="24"/>
          <w:lang w:eastAsia="en-IN"/>
        </w:rPr>
        <w:t xml:space="preserve">Joshi, S. N., &amp; Gardner, J. D. (1996). Gastrin and colon cancer: A unifying hypothesis. </w:t>
      </w:r>
      <w:r w:rsidRPr="00E64DB5">
        <w:rPr>
          <w:rFonts w:ascii="Times New Roman" w:eastAsia="Times New Roman" w:hAnsi="Times New Roman" w:cs="Times New Roman"/>
          <w:i/>
          <w:iCs/>
          <w:sz w:val="24"/>
          <w:szCs w:val="24"/>
          <w:lang w:eastAsia="en-IN"/>
        </w:rPr>
        <w:t>Digestive Diseases</w:t>
      </w:r>
      <w:r w:rsidRPr="00D43EE5">
        <w:rPr>
          <w:rFonts w:ascii="Times New Roman" w:eastAsia="Times New Roman" w:hAnsi="Times New Roman" w:cs="Times New Roman"/>
          <w:sz w:val="24"/>
          <w:szCs w:val="24"/>
          <w:lang w:eastAsia="en-IN"/>
        </w:rPr>
        <w:t xml:space="preserve">, 14(6), 334–344. </w:t>
      </w:r>
      <w:hyperlink r:id="rId26" w:history="1">
        <w:r w:rsidRPr="00E64DB5">
          <w:rPr>
            <w:rFonts w:ascii="Times New Roman" w:eastAsia="Times New Roman" w:hAnsi="Times New Roman" w:cs="Times New Roman"/>
            <w:color w:val="0000FF"/>
            <w:sz w:val="24"/>
            <w:szCs w:val="24"/>
            <w:u w:val="single"/>
            <w:lang w:eastAsia="en-IN"/>
          </w:rPr>
          <w:t>https://doi.org/10.1159/000171537</w:t>
        </w:r>
      </w:hyperlink>
    </w:p>
    <w:p w14:paraId="12E3E010"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D43EE5">
        <w:rPr>
          <w:rFonts w:ascii="Times New Roman" w:eastAsia="Times New Roman" w:hAnsi="Times New Roman" w:cs="Times New Roman"/>
          <w:sz w:val="24"/>
          <w:szCs w:val="24"/>
          <w:lang w:eastAsia="en-IN"/>
        </w:rPr>
        <w:lastRenderedPageBreak/>
        <w:t xml:space="preserve">Juillerat, P., Schneeweiss, S., Cook, E. F., Grau, M. M., Logeart, D., Hoffmann, P., et al. (2012). Drugs that inhibit gastric acid secretion may alter the course of inflammatory bowel disease. </w:t>
      </w:r>
      <w:r w:rsidRPr="00E64DB5">
        <w:rPr>
          <w:rFonts w:ascii="Times New Roman" w:eastAsia="Times New Roman" w:hAnsi="Times New Roman" w:cs="Times New Roman"/>
          <w:i/>
          <w:iCs/>
          <w:sz w:val="24"/>
          <w:szCs w:val="24"/>
          <w:lang w:eastAsia="en-IN"/>
        </w:rPr>
        <w:t>Alimentary Pharmacology &amp; Therapeutics</w:t>
      </w:r>
      <w:r w:rsidRPr="00D43EE5">
        <w:rPr>
          <w:rFonts w:ascii="Times New Roman" w:eastAsia="Times New Roman" w:hAnsi="Times New Roman" w:cs="Times New Roman"/>
          <w:sz w:val="24"/>
          <w:szCs w:val="24"/>
          <w:lang w:eastAsia="en-IN"/>
        </w:rPr>
        <w:t xml:space="preserve">, 36(3), 239–247. </w:t>
      </w:r>
      <w:hyperlink r:id="rId27" w:history="1">
        <w:r w:rsidRPr="00E64DB5">
          <w:rPr>
            <w:rFonts w:ascii="Times New Roman" w:eastAsia="Times New Roman" w:hAnsi="Times New Roman" w:cs="Times New Roman"/>
            <w:color w:val="0000FF"/>
            <w:sz w:val="24"/>
            <w:szCs w:val="24"/>
            <w:u w:val="single"/>
            <w:lang w:eastAsia="en-IN"/>
          </w:rPr>
          <w:t>https://doi.org/10.1111/j.1365-2036.2012.05166.x</w:t>
        </w:r>
      </w:hyperlink>
    </w:p>
    <w:p w14:paraId="4B177FCF" w14:textId="77777777" w:rsidR="00FD3B37" w:rsidRPr="00021488"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64DB5">
        <w:rPr>
          <w:rFonts w:ascii="Times New Roman" w:eastAsia="Times New Roman" w:hAnsi="Times New Roman" w:cs="Times New Roman"/>
          <w:sz w:val="24"/>
          <w:szCs w:val="24"/>
          <w:lang w:eastAsia="en-IN"/>
        </w:rPr>
        <w:t xml:space="preserve">Kierkus, J., Oracz, G., Korczowski, B., Jarocka-Cyrta, E., Książyk, J., &amp; Cichy, W. (2014). Comparative safety and efficacy of proton pump inhibitors in paediatric gastroesophageal reflux disease. </w:t>
      </w:r>
      <w:r w:rsidRPr="00E64DB5">
        <w:rPr>
          <w:rFonts w:ascii="Times New Roman" w:eastAsia="Times New Roman" w:hAnsi="Times New Roman" w:cs="Times New Roman"/>
          <w:i/>
          <w:iCs/>
          <w:sz w:val="24"/>
          <w:szCs w:val="24"/>
          <w:lang w:eastAsia="en-IN"/>
        </w:rPr>
        <w:t>Drug Safety</w:t>
      </w:r>
      <w:r w:rsidRPr="00E64DB5">
        <w:rPr>
          <w:rFonts w:ascii="Times New Roman" w:eastAsia="Times New Roman" w:hAnsi="Times New Roman" w:cs="Times New Roman"/>
          <w:sz w:val="24"/>
          <w:szCs w:val="24"/>
          <w:lang w:eastAsia="en-IN"/>
        </w:rPr>
        <w:t xml:space="preserve">, 37(5), 309–316. </w:t>
      </w:r>
      <w:hyperlink r:id="rId28" w:history="1">
        <w:r w:rsidRPr="00E64DB5">
          <w:rPr>
            <w:rFonts w:ascii="Times New Roman" w:eastAsia="Times New Roman" w:hAnsi="Times New Roman" w:cs="Times New Roman"/>
            <w:color w:val="0000FF"/>
            <w:sz w:val="24"/>
            <w:szCs w:val="24"/>
            <w:u w:val="single"/>
            <w:lang w:eastAsia="en-IN"/>
          </w:rPr>
          <w:t>https://doi.org/10.1007/s40264-014-0156-2</w:t>
        </w:r>
      </w:hyperlink>
    </w:p>
    <w:p w14:paraId="5F8EF24D" w14:textId="77777777" w:rsidR="00FD3B37" w:rsidRPr="00021488"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64DB5">
        <w:rPr>
          <w:rFonts w:ascii="Times New Roman" w:eastAsia="Times New Roman" w:hAnsi="Times New Roman" w:cs="Times New Roman"/>
          <w:sz w:val="24"/>
          <w:szCs w:val="24"/>
          <w:lang w:eastAsia="en-IN"/>
        </w:rPr>
        <w:t xml:space="preserve">Kim, J. W., Jeong, Y., Park, S. J., Lee, J., Ju, J. H., &amp; Han, M. (2021). Influence of proton pump inhibitor or rebamipide use on gut microbiota of rheumatoid arthritis patients. </w:t>
      </w:r>
      <w:r w:rsidRPr="00E64DB5">
        <w:rPr>
          <w:rFonts w:ascii="Times New Roman" w:eastAsia="Times New Roman" w:hAnsi="Times New Roman" w:cs="Times New Roman"/>
          <w:i/>
          <w:iCs/>
          <w:sz w:val="24"/>
          <w:szCs w:val="24"/>
          <w:lang w:eastAsia="en-IN"/>
        </w:rPr>
        <w:t>Rheumatology (Oxford)</w:t>
      </w:r>
      <w:r w:rsidRPr="00E64DB5">
        <w:rPr>
          <w:rFonts w:ascii="Times New Roman" w:eastAsia="Times New Roman" w:hAnsi="Times New Roman" w:cs="Times New Roman"/>
          <w:sz w:val="24"/>
          <w:szCs w:val="24"/>
          <w:lang w:eastAsia="en-IN"/>
        </w:rPr>
        <w:t xml:space="preserve">, 60(2), 708–716. </w:t>
      </w:r>
      <w:hyperlink r:id="rId29" w:history="1">
        <w:r w:rsidRPr="00E64DB5">
          <w:rPr>
            <w:rFonts w:ascii="Times New Roman" w:eastAsia="Times New Roman" w:hAnsi="Times New Roman" w:cs="Times New Roman"/>
            <w:color w:val="0000FF"/>
            <w:sz w:val="24"/>
            <w:szCs w:val="24"/>
            <w:u w:val="single"/>
            <w:lang w:eastAsia="en-IN"/>
          </w:rPr>
          <w:t>https://doi.org/10.1093/rheumatology/keaa376</w:t>
        </w:r>
      </w:hyperlink>
    </w:p>
    <w:p w14:paraId="09F26677" w14:textId="77777777" w:rsidR="00FD3B37" w:rsidRPr="00021488"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64DB5">
        <w:rPr>
          <w:rFonts w:ascii="Times New Roman" w:eastAsia="Times New Roman" w:hAnsi="Times New Roman" w:cs="Times New Roman"/>
          <w:sz w:val="24"/>
          <w:szCs w:val="24"/>
          <w:lang w:eastAsia="en-IN"/>
        </w:rPr>
        <w:t xml:space="preserve">Kiriakidou, M., &amp; Ching, C. L. (2020). Systemic lupus erythematosus. </w:t>
      </w:r>
      <w:r w:rsidRPr="00E64DB5">
        <w:rPr>
          <w:rFonts w:ascii="Times New Roman" w:eastAsia="Times New Roman" w:hAnsi="Times New Roman" w:cs="Times New Roman"/>
          <w:i/>
          <w:iCs/>
          <w:sz w:val="24"/>
          <w:szCs w:val="24"/>
          <w:lang w:eastAsia="en-IN"/>
        </w:rPr>
        <w:t>Annals of Internal Medicine</w:t>
      </w:r>
      <w:r w:rsidRPr="00E64DB5">
        <w:rPr>
          <w:rFonts w:ascii="Times New Roman" w:eastAsia="Times New Roman" w:hAnsi="Times New Roman" w:cs="Times New Roman"/>
          <w:sz w:val="24"/>
          <w:szCs w:val="24"/>
          <w:lang w:eastAsia="en-IN"/>
        </w:rPr>
        <w:t xml:space="preserve">, 172(11), ITC81–ITC96. </w:t>
      </w:r>
      <w:hyperlink r:id="rId30" w:history="1">
        <w:r w:rsidRPr="00E64DB5">
          <w:rPr>
            <w:rFonts w:ascii="Times New Roman" w:eastAsia="Times New Roman" w:hAnsi="Times New Roman" w:cs="Times New Roman"/>
            <w:color w:val="0000FF"/>
            <w:sz w:val="24"/>
            <w:szCs w:val="24"/>
            <w:u w:val="single"/>
            <w:lang w:eastAsia="en-IN"/>
          </w:rPr>
          <w:t>https://doi.org/10.7326/AITC202006020</w:t>
        </w:r>
      </w:hyperlink>
    </w:p>
    <w:p w14:paraId="3351ABB0" w14:textId="77777777" w:rsidR="00FD3B37" w:rsidRPr="00E71733"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64DB5">
        <w:rPr>
          <w:rFonts w:ascii="Times New Roman" w:eastAsia="Times New Roman" w:hAnsi="Times New Roman" w:cs="Times New Roman"/>
          <w:sz w:val="24"/>
          <w:szCs w:val="24"/>
          <w:lang w:eastAsia="en-IN"/>
        </w:rPr>
        <w:t xml:space="preserve">Lo, W. K., &amp; Chan, W. W. (2013). Proton pump inhibitor use and the risk of small intestinal bacterial overgrowth: A meta-analysis. </w:t>
      </w:r>
      <w:r w:rsidRPr="00E64DB5">
        <w:rPr>
          <w:rFonts w:ascii="Times New Roman" w:eastAsia="Times New Roman" w:hAnsi="Times New Roman" w:cs="Times New Roman"/>
          <w:i/>
          <w:iCs/>
          <w:sz w:val="24"/>
          <w:szCs w:val="24"/>
          <w:lang w:eastAsia="en-IN"/>
        </w:rPr>
        <w:t>Clinical Gastroenterology and Hepatology</w:t>
      </w:r>
      <w:r w:rsidRPr="00E64DB5">
        <w:rPr>
          <w:rFonts w:ascii="Times New Roman" w:eastAsia="Times New Roman" w:hAnsi="Times New Roman" w:cs="Times New Roman"/>
          <w:sz w:val="24"/>
          <w:szCs w:val="24"/>
          <w:lang w:eastAsia="en-IN"/>
        </w:rPr>
        <w:t xml:space="preserve">, 11(5), 483–490. </w:t>
      </w:r>
      <w:hyperlink r:id="rId31" w:history="1">
        <w:r w:rsidRPr="00E64DB5">
          <w:rPr>
            <w:rFonts w:ascii="Times New Roman" w:eastAsia="Times New Roman" w:hAnsi="Times New Roman" w:cs="Times New Roman"/>
            <w:color w:val="0000FF"/>
            <w:sz w:val="24"/>
            <w:szCs w:val="24"/>
            <w:u w:val="single"/>
            <w:lang w:eastAsia="en-IN"/>
          </w:rPr>
          <w:t>https://doi.org/10.1016/j.cgh.2012.12.011</w:t>
        </w:r>
      </w:hyperlink>
    </w:p>
    <w:p w14:paraId="5F344B37" w14:textId="078396CD" w:rsidR="00FD3B37" w:rsidRDefault="00FD3B37" w:rsidP="00FD3B37">
      <w:p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D43EE5">
        <w:rPr>
          <w:rFonts w:ascii="Times New Roman" w:eastAsia="Times New Roman" w:hAnsi="Times New Roman" w:cs="Times New Roman"/>
          <w:sz w:val="24"/>
          <w:szCs w:val="24"/>
          <w:lang w:eastAsia="en-IN"/>
        </w:rPr>
        <w:t xml:space="preserve">Machiels, K., Joossens, M., Sabino, J., De Preter, V., Arijs, I., Eeckhaut, V., et al. (2014). A decrease of the butyrate-producing species </w:t>
      </w:r>
      <w:r w:rsidRPr="00E64DB5">
        <w:rPr>
          <w:rFonts w:ascii="Times New Roman" w:eastAsia="Times New Roman" w:hAnsi="Times New Roman" w:cs="Times New Roman"/>
          <w:i/>
          <w:iCs/>
          <w:sz w:val="24"/>
          <w:szCs w:val="24"/>
          <w:lang w:eastAsia="en-IN"/>
        </w:rPr>
        <w:t>Roseburia hominis</w:t>
      </w:r>
      <w:r w:rsidRPr="00D43EE5">
        <w:rPr>
          <w:rFonts w:ascii="Times New Roman" w:eastAsia="Times New Roman" w:hAnsi="Times New Roman" w:cs="Times New Roman"/>
          <w:sz w:val="24"/>
          <w:szCs w:val="24"/>
          <w:lang w:eastAsia="en-IN"/>
        </w:rPr>
        <w:t xml:space="preserve"> and </w:t>
      </w:r>
      <w:r w:rsidR="00F91A54" w:rsidRPr="00E64DB5">
        <w:rPr>
          <w:rFonts w:ascii="Times New Roman" w:eastAsia="Times New Roman" w:hAnsi="Times New Roman" w:cs="Times New Roman"/>
          <w:i/>
          <w:iCs/>
          <w:sz w:val="24"/>
          <w:szCs w:val="24"/>
          <w:lang w:eastAsia="en-IN"/>
        </w:rPr>
        <w:t>Faecal bacterium</w:t>
      </w:r>
      <w:r w:rsidRPr="00E64DB5">
        <w:rPr>
          <w:rFonts w:ascii="Times New Roman" w:eastAsia="Times New Roman" w:hAnsi="Times New Roman" w:cs="Times New Roman"/>
          <w:i/>
          <w:iCs/>
          <w:sz w:val="24"/>
          <w:szCs w:val="24"/>
          <w:lang w:eastAsia="en-IN"/>
        </w:rPr>
        <w:t xml:space="preserve"> prausnitzii</w:t>
      </w:r>
      <w:r w:rsidRPr="00D43EE5">
        <w:rPr>
          <w:rFonts w:ascii="Times New Roman" w:eastAsia="Times New Roman" w:hAnsi="Times New Roman" w:cs="Times New Roman"/>
          <w:sz w:val="24"/>
          <w:szCs w:val="24"/>
          <w:lang w:eastAsia="en-IN"/>
        </w:rPr>
        <w:t xml:space="preserve"> defines dysbiosis in patients with ulcerative colitis. </w:t>
      </w:r>
      <w:r w:rsidRPr="00E64DB5">
        <w:rPr>
          <w:rFonts w:ascii="Times New Roman" w:eastAsia="Times New Roman" w:hAnsi="Times New Roman" w:cs="Times New Roman"/>
          <w:i/>
          <w:iCs/>
          <w:sz w:val="24"/>
          <w:szCs w:val="24"/>
          <w:lang w:eastAsia="en-IN"/>
        </w:rPr>
        <w:t>Gut</w:t>
      </w:r>
      <w:r w:rsidRPr="00D43EE5">
        <w:rPr>
          <w:rFonts w:ascii="Times New Roman" w:eastAsia="Times New Roman" w:hAnsi="Times New Roman" w:cs="Times New Roman"/>
          <w:sz w:val="24"/>
          <w:szCs w:val="24"/>
          <w:lang w:eastAsia="en-IN"/>
        </w:rPr>
        <w:t xml:space="preserve">, 63(8), 1275–1283. </w:t>
      </w:r>
      <w:hyperlink r:id="rId32" w:history="1">
        <w:r w:rsidRPr="00E64DB5">
          <w:rPr>
            <w:rFonts w:ascii="Times New Roman" w:eastAsia="Times New Roman" w:hAnsi="Times New Roman" w:cs="Times New Roman"/>
            <w:color w:val="0000FF"/>
            <w:sz w:val="24"/>
            <w:szCs w:val="24"/>
            <w:u w:val="single"/>
            <w:lang w:eastAsia="en-IN"/>
          </w:rPr>
          <w:t>https://doi.org/10.1136/gutjnl-2013-304833</w:t>
        </w:r>
      </w:hyperlink>
    </w:p>
    <w:p w14:paraId="7436535F"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64DB5">
        <w:rPr>
          <w:rFonts w:ascii="Times New Roman" w:eastAsia="Times New Roman" w:hAnsi="Times New Roman" w:cs="Times New Roman"/>
          <w:sz w:val="24"/>
          <w:szCs w:val="24"/>
          <w:lang w:eastAsia="en-IN"/>
        </w:rPr>
        <w:t xml:space="preserve">Malfertheiner, P., Kandulski, A., &amp; Venerito, M. (2017). Proton-pump inhibitors: Understanding the complications and risks. </w:t>
      </w:r>
      <w:r w:rsidRPr="00E64DB5">
        <w:rPr>
          <w:rFonts w:ascii="Times New Roman" w:eastAsia="Times New Roman" w:hAnsi="Times New Roman" w:cs="Times New Roman"/>
          <w:i/>
          <w:iCs/>
          <w:sz w:val="24"/>
          <w:szCs w:val="24"/>
          <w:lang w:eastAsia="en-IN"/>
        </w:rPr>
        <w:t>Nature Reviews Gastroenterology &amp; Hepatology</w:t>
      </w:r>
      <w:r w:rsidRPr="00E64DB5">
        <w:rPr>
          <w:rFonts w:ascii="Times New Roman" w:eastAsia="Times New Roman" w:hAnsi="Times New Roman" w:cs="Times New Roman"/>
          <w:sz w:val="24"/>
          <w:szCs w:val="24"/>
          <w:lang w:eastAsia="en-IN"/>
        </w:rPr>
        <w:t xml:space="preserve">, 14(12), 697–710. </w:t>
      </w:r>
      <w:hyperlink r:id="rId33" w:history="1">
        <w:r w:rsidRPr="00E64DB5">
          <w:rPr>
            <w:rFonts w:ascii="Times New Roman" w:eastAsia="Times New Roman" w:hAnsi="Times New Roman" w:cs="Times New Roman"/>
            <w:color w:val="0000FF"/>
            <w:sz w:val="24"/>
            <w:szCs w:val="24"/>
            <w:u w:val="single"/>
            <w:lang w:eastAsia="en-IN"/>
          </w:rPr>
          <w:t>https://doi.org/10.1038/nrgastro.2017.117</w:t>
        </w:r>
      </w:hyperlink>
    </w:p>
    <w:p w14:paraId="63294DE8"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D43EE5">
        <w:rPr>
          <w:rFonts w:ascii="Times New Roman" w:eastAsia="Times New Roman" w:hAnsi="Times New Roman" w:cs="Times New Roman"/>
          <w:sz w:val="24"/>
          <w:szCs w:val="24"/>
          <w:lang w:eastAsia="en-IN"/>
        </w:rPr>
        <w:t xml:space="preserve">Manges, A. R., Labbe, A., Loo, V. G., Atherton, J. K., Behr, M. A., Masson, L., Tellis, P. A., &amp; Brousseau, R. (2010). Comparative metagenomic study of alterations to the intestinal microbiota and risk of nosocomial </w:t>
      </w:r>
      <w:r w:rsidRPr="00E64DB5">
        <w:rPr>
          <w:rFonts w:ascii="Times New Roman" w:eastAsia="Times New Roman" w:hAnsi="Times New Roman" w:cs="Times New Roman"/>
          <w:i/>
          <w:iCs/>
          <w:sz w:val="24"/>
          <w:szCs w:val="24"/>
          <w:lang w:eastAsia="en-IN"/>
        </w:rPr>
        <w:t>Clostridium difficile</w:t>
      </w:r>
      <w:r w:rsidRPr="00D43EE5">
        <w:rPr>
          <w:rFonts w:ascii="Times New Roman" w:eastAsia="Times New Roman" w:hAnsi="Times New Roman" w:cs="Times New Roman"/>
          <w:sz w:val="24"/>
          <w:szCs w:val="24"/>
          <w:lang w:eastAsia="en-IN"/>
        </w:rPr>
        <w:t xml:space="preserve">-associated disease. </w:t>
      </w:r>
      <w:r w:rsidRPr="00E64DB5">
        <w:rPr>
          <w:rFonts w:ascii="Times New Roman" w:eastAsia="Times New Roman" w:hAnsi="Times New Roman" w:cs="Times New Roman"/>
          <w:i/>
          <w:iCs/>
          <w:sz w:val="24"/>
          <w:szCs w:val="24"/>
          <w:lang w:eastAsia="en-IN"/>
        </w:rPr>
        <w:t>Journal of Infectious Diseases</w:t>
      </w:r>
      <w:r w:rsidRPr="00D43EE5">
        <w:rPr>
          <w:rFonts w:ascii="Times New Roman" w:eastAsia="Times New Roman" w:hAnsi="Times New Roman" w:cs="Times New Roman"/>
          <w:sz w:val="24"/>
          <w:szCs w:val="24"/>
          <w:lang w:eastAsia="en-IN"/>
        </w:rPr>
        <w:t xml:space="preserve">, 202(12), 1877–1884. </w:t>
      </w:r>
      <w:hyperlink r:id="rId34" w:history="1">
        <w:r w:rsidRPr="00E64DB5">
          <w:rPr>
            <w:rFonts w:ascii="Times New Roman" w:eastAsia="Times New Roman" w:hAnsi="Times New Roman" w:cs="Times New Roman"/>
            <w:color w:val="0000FF"/>
            <w:sz w:val="24"/>
            <w:szCs w:val="24"/>
            <w:u w:val="single"/>
            <w:lang w:eastAsia="en-IN"/>
          </w:rPr>
          <w:t>https://doi.org/10.1086/657319</w:t>
        </w:r>
      </w:hyperlink>
    </w:p>
    <w:p w14:paraId="429EBAC9"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D43EE5">
        <w:rPr>
          <w:rFonts w:ascii="Times New Roman" w:eastAsia="Times New Roman" w:hAnsi="Times New Roman" w:cs="Times New Roman"/>
          <w:sz w:val="24"/>
          <w:szCs w:val="24"/>
          <w:lang w:eastAsia="en-IN"/>
        </w:rPr>
        <w:lastRenderedPageBreak/>
        <w:t xml:space="preserve">Mukhopadhya, I., Hansen, R., El-Omar, E. M., &amp; Hold, G. L. (2012). IBD — what role do </w:t>
      </w:r>
      <w:r w:rsidRPr="00E64DB5">
        <w:rPr>
          <w:rFonts w:ascii="Times New Roman" w:eastAsia="Times New Roman" w:hAnsi="Times New Roman" w:cs="Times New Roman"/>
          <w:i/>
          <w:iCs/>
          <w:sz w:val="24"/>
          <w:szCs w:val="24"/>
          <w:lang w:eastAsia="en-IN"/>
        </w:rPr>
        <w:t>Proteobacteria</w:t>
      </w:r>
      <w:r w:rsidRPr="00D43EE5">
        <w:rPr>
          <w:rFonts w:ascii="Times New Roman" w:eastAsia="Times New Roman" w:hAnsi="Times New Roman" w:cs="Times New Roman"/>
          <w:sz w:val="24"/>
          <w:szCs w:val="24"/>
          <w:lang w:eastAsia="en-IN"/>
        </w:rPr>
        <w:t xml:space="preserve"> play? </w:t>
      </w:r>
      <w:r w:rsidRPr="00E64DB5">
        <w:rPr>
          <w:rFonts w:ascii="Times New Roman" w:eastAsia="Times New Roman" w:hAnsi="Times New Roman" w:cs="Times New Roman"/>
          <w:i/>
          <w:iCs/>
          <w:sz w:val="24"/>
          <w:szCs w:val="24"/>
          <w:lang w:eastAsia="en-IN"/>
        </w:rPr>
        <w:t>Nature Reviews Gastroenterology &amp; Hepatology</w:t>
      </w:r>
      <w:r w:rsidRPr="00D43EE5">
        <w:rPr>
          <w:rFonts w:ascii="Times New Roman" w:eastAsia="Times New Roman" w:hAnsi="Times New Roman" w:cs="Times New Roman"/>
          <w:sz w:val="24"/>
          <w:szCs w:val="24"/>
          <w:lang w:eastAsia="en-IN"/>
        </w:rPr>
        <w:t xml:space="preserve">, 9(4), 219–230. </w:t>
      </w:r>
      <w:hyperlink r:id="rId35" w:history="1">
        <w:r w:rsidRPr="00E64DB5">
          <w:rPr>
            <w:rFonts w:ascii="Times New Roman" w:eastAsia="Times New Roman" w:hAnsi="Times New Roman" w:cs="Times New Roman"/>
            <w:color w:val="0000FF"/>
            <w:sz w:val="24"/>
            <w:szCs w:val="24"/>
            <w:u w:val="single"/>
            <w:lang w:eastAsia="en-IN"/>
          </w:rPr>
          <w:t>https://doi.org/10.1038/nrgastro.2012.14</w:t>
        </w:r>
      </w:hyperlink>
    </w:p>
    <w:p w14:paraId="5E70945F"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D43EE5">
        <w:rPr>
          <w:rFonts w:ascii="Times New Roman" w:eastAsia="Times New Roman" w:hAnsi="Times New Roman" w:cs="Times New Roman"/>
          <w:sz w:val="24"/>
          <w:szCs w:val="24"/>
          <w:lang w:eastAsia="en-IN"/>
        </w:rPr>
        <w:t xml:space="preserve">Mylonaki, M., Langmead, L., Pantes, A., Johnson, F., &amp; Rampton, D. S. (2004). Enteric infection in relapse of inflammatory bowel disease: Importance of microbiological examination of stool. </w:t>
      </w:r>
      <w:r w:rsidRPr="00E64DB5">
        <w:rPr>
          <w:rFonts w:ascii="Times New Roman" w:eastAsia="Times New Roman" w:hAnsi="Times New Roman" w:cs="Times New Roman"/>
          <w:i/>
          <w:iCs/>
          <w:sz w:val="24"/>
          <w:szCs w:val="24"/>
          <w:lang w:eastAsia="en-IN"/>
        </w:rPr>
        <w:t>European Journal of Gastroenterology &amp; Hepatology</w:t>
      </w:r>
      <w:r w:rsidRPr="00D43EE5">
        <w:rPr>
          <w:rFonts w:ascii="Times New Roman" w:eastAsia="Times New Roman" w:hAnsi="Times New Roman" w:cs="Times New Roman"/>
          <w:sz w:val="24"/>
          <w:szCs w:val="24"/>
          <w:lang w:eastAsia="en-IN"/>
        </w:rPr>
        <w:t xml:space="preserve">, 16(8), 775–778. </w:t>
      </w:r>
      <w:hyperlink r:id="rId36" w:history="1">
        <w:r w:rsidRPr="00E64DB5">
          <w:rPr>
            <w:rFonts w:ascii="Times New Roman" w:eastAsia="Times New Roman" w:hAnsi="Times New Roman" w:cs="Times New Roman"/>
            <w:color w:val="0000FF"/>
            <w:sz w:val="24"/>
            <w:szCs w:val="24"/>
            <w:u w:val="single"/>
            <w:lang w:eastAsia="en-IN"/>
          </w:rPr>
          <w:t>https://doi.org/10.1097/00042737-200408000-00007</w:t>
        </w:r>
      </w:hyperlink>
    </w:p>
    <w:p w14:paraId="1FF8FB2C"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E64DB5">
        <w:rPr>
          <w:rFonts w:ascii="Times New Roman" w:eastAsia="Times New Roman" w:hAnsi="Times New Roman" w:cs="Times New Roman"/>
          <w:sz w:val="24"/>
          <w:szCs w:val="24"/>
          <w:lang w:eastAsia="en-IN"/>
        </w:rPr>
        <w:t xml:space="preserve">Nardelli, S., Gioia, S., Ridola, L., Farcomeni, A., Merli, M., &amp; Riggio, O. (2019). Proton pump inhibitors are associated with minimal and overt hepatic encephalopathy and increased mortality in patients with cirrhosis. </w:t>
      </w:r>
      <w:r w:rsidRPr="00E64DB5">
        <w:rPr>
          <w:rFonts w:ascii="Times New Roman" w:eastAsia="Times New Roman" w:hAnsi="Times New Roman" w:cs="Times New Roman"/>
          <w:i/>
          <w:iCs/>
          <w:sz w:val="24"/>
          <w:szCs w:val="24"/>
          <w:lang w:eastAsia="en-IN"/>
        </w:rPr>
        <w:t>Hepatology</w:t>
      </w:r>
      <w:r w:rsidRPr="00E64DB5">
        <w:rPr>
          <w:rFonts w:ascii="Times New Roman" w:eastAsia="Times New Roman" w:hAnsi="Times New Roman" w:cs="Times New Roman"/>
          <w:sz w:val="24"/>
          <w:szCs w:val="24"/>
          <w:lang w:eastAsia="en-IN"/>
        </w:rPr>
        <w:t xml:space="preserve">, 70(2), 640–649. </w:t>
      </w:r>
      <w:hyperlink r:id="rId37" w:history="1">
        <w:r w:rsidRPr="00E64DB5">
          <w:rPr>
            <w:rFonts w:ascii="Times New Roman" w:eastAsia="Times New Roman" w:hAnsi="Times New Roman" w:cs="Times New Roman"/>
            <w:color w:val="0000FF"/>
            <w:sz w:val="24"/>
            <w:szCs w:val="24"/>
            <w:u w:val="single"/>
            <w:lang w:eastAsia="en-IN"/>
          </w:rPr>
          <w:t>https://doi.org/10.1002/hep.30304</w:t>
        </w:r>
      </w:hyperlink>
    </w:p>
    <w:p w14:paraId="2DC887B9" w14:textId="77777777" w:rsidR="00FD3B37" w:rsidRPr="00021488"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64DB5">
        <w:rPr>
          <w:rFonts w:ascii="Times New Roman" w:eastAsia="Times New Roman" w:hAnsi="Times New Roman" w:cs="Times New Roman"/>
          <w:sz w:val="24"/>
          <w:szCs w:val="24"/>
          <w:lang w:eastAsia="en-IN"/>
        </w:rPr>
        <w:t xml:space="preserve">Park, J.-H., Lee, J., Yu, S.-Y., Lee, Y.-H., Choi, J.-S., Kim, H. J., &amp; Kwon, J.-W. (2020). comparing proton pump inhibitors with histamine-2 receptor blockers regarding the risk of osteoporotic fractures: A nested case-control study of more than 350,000 Korean patients with GERD and peptic ulcer disease. </w:t>
      </w:r>
      <w:r w:rsidRPr="00E64DB5">
        <w:rPr>
          <w:rFonts w:ascii="Times New Roman" w:eastAsia="Times New Roman" w:hAnsi="Times New Roman" w:cs="Times New Roman"/>
          <w:i/>
          <w:iCs/>
          <w:sz w:val="24"/>
          <w:szCs w:val="24"/>
          <w:lang w:eastAsia="en-IN"/>
        </w:rPr>
        <w:t>BMC Geriatrics</w:t>
      </w:r>
      <w:r w:rsidRPr="00E64DB5">
        <w:rPr>
          <w:rFonts w:ascii="Times New Roman" w:eastAsia="Times New Roman" w:hAnsi="Times New Roman" w:cs="Times New Roman"/>
          <w:sz w:val="24"/>
          <w:szCs w:val="24"/>
          <w:lang w:eastAsia="en-IN"/>
        </w:rPr>
        <w:t xml:space="preserve">, 20(1), 407. </w:t>
      </w:r>
      <w:hyperlink r:id="rId38" w:history="1">
        <w:r w:rsidRPr="00E64DB5">
          <w:rPr>
            <w:rFonts w:ascii="Times New Roman" w:eastAsia="Times New Roman" w:hAnsi="Times New Roman" w:cs="Times New Roman"/>
            <w:color w:val="0000FF"/>
            <w:sz w:val="24"/>
            <w:szCs w:val="24"/>
            <w:u w:val="single"/>
            <w:lang w:eastAsia="en-IN"/>
          </w:rPr>
          <w:t>https://doi.org/10.1186/s12877-020-01833-2</w:t>
        </w:r>
      </w:hyperlink>
    </w:p>
    <w:p w14:paraId="010B9BA7" w14:textId="77777777" w:rsidR="00FD3B37" w:rsidRPr="00E71733"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64DB5">
        <w:rPr>
          <w:rFonts w:ascii="Times New Roman" w:eastAsia="Times New Roman" w:hAnsi="Times New Roman" w:cs="Times New Roman"/>
          <w:sz w:val="24"/>
          <w:szCs w:val="24"/>
          <w:lang w:eastAsia="en-IN"/>
        </w:rPr>
        <w:t xml:space="preserve">Qin, N., Yang, F., Li, A., Prifti, E., Chen, Y., Shao, L., et al. (2014). Alterations of the human gut microbiome in liver cirrhosis. </w:t>
      </w:r>
      <w:r w:rsidRPr="00E64DB5">
        <w:rPr>
          <w:rFonts w:ascii="Times New Roman" w:eastAsia="Times New Roman" w:hAnsi="Times New Roman" w:cs="Times New Roman"/>
          <w:i/>
          <w:iCs/>
          <w:sz w:val="24"/>
          <w:szCs w:val="24"/>
          <w:lang w:eastAsia="en-IN"/>
        </w:rPr>
        <w:t>Nature</w:t>
      </w:r>
      <w:r w:rsidRPr="00E64DB5">
        <w:rPr>
          <w:rFonts w:ascii="Times New Roman" w:eastAsia="Times New Roman" w:hAnsi="Times New Roman" w:cs="Times New Roman"/>
          <w:sz w:val="24"/>
          <w:szCs w:val="24"/>
          <w:lang w:eastAsia="en-IN"/>
        </w:rPr>
        <w:t xml:space="preserve">, 513(7516), 59–64. </w:t>
      </w:r>
      <w:hyperlink r:id="rId39" w:history="1">
        <w:r w:rsidRPr="00E64DB5">
          <w:rPr>
            <w:rFonts w:ascii="Times New Roman" w:eastAsia="Times New Roman" w:hAnsi="Times New Roman" w:cs="Times New Roman"/>
            <w:color w:val="0000FF"/>
            <w:sz w:val="24"/>
            <w:szCs w:val="24"/>
            <w:u w:val="single"/>
            <w:lang w:eastAsia="en-IN"/>
          </w:rPr>
          <w:t>https://doi.org/10.1038/nature13568</w:t>
        </w:r>
      </w:hyperlink>
    </w:p>
    <w:p w14:paraId="355F082C" w14:textId="77777777" w:rsidR="00FD3B37" w:rsidRDefault="00FD3B37" w:rsidP="00FD3B37">
      <w:pPr>
        <w:spacing w:before="100" w:beforeAutospacing="1" w:after="100" w:afterAutospacing="1" w:line="360" w:lineRule="auto"/>
        <w:jc w:val="both"/>
      </w:pPr>
      <w:r w:rsidRPr="00D43EE5">
        <w:rPr>
          <w:rFonts w:ascii="Times New Roman" w:eastAsia="Times New Roman" w:hAnsi="Times New Roman" w:cs="Times New Roman"/>
          <w:sz w:val="24"/>
          <w:szCs w:val="24"/>
          <w:lang w:eastAsia="en-IN"/>
        </w:rPr>
        <w:t xml:space="preserve">Raskov, H., Burcharth, J., &amp; Pommergaard, H. C. (2017). Linking gut microbiota to colorectal cancer. </w:t>
      </w:r>
      <w:r w:rsidRPr="00E64DB5">
        <w:rPr>
          <w:rFonts w:ascii="Times New Roman" w:eastAsia="Times New Roman" w:hAnsi="Times New Roman" w:cs="Times New Roman"/>
          <w:i/>
          <w:iCs/>
          <w:sz w:val="24"/>
          <w:szCs w:val="24"/>
          <w:lang w:eastAsia="en-IN"/>
        </w:rPr>
        <w:t>Journal of Cancer</w:t>
      </w:r>
      <w:r w:rsidRPr="00D43EE5">
        <w:rPr>
          <w:rFonts w:ascii="Times New Roman" w:eastAsia="Times New Roman" w:hAnsi="Times New Roman" w:cs="Times New Roman"/>
          <w:sz w:val="24"/>
          <w:szCs w:val="24"/>
          <w:lang w:eastAsia="en-IN"/>
        </w:rPr>
        <w:t xml:space="preserve">, 8(17), 3378–3395. </w:t>
      </w:r>
      <w:hyperlink r:id="rId40" w:history="1">
        <w:r w:rsidRPr="00E64DB5">
          <w:rPr>
            <w:rFonts w:ascii="Times New Roman" w:eastAsia="Times New Roman" w:hAnsi="Times New Roman" w:cs="Times New Roman"/>
            <w:color w:val="0000FF"/>
            <w:sz w:val="24"/>
            <w:szCs w:val="24"/>
            <w:u w:val="single"/>
            <w:lang w:eastAsia="en-IN"/>
          </w:rPr>
          <w:t>https://doi.org/10.7150/jca.20497</w:t>
        </w:r>
      </w:hyperlink>
    </w:p>
    <w:p w14:paraId="70586B10" w14:textId="0D6A2594" w:rsidR="00FF772D" w:rsidRPr="00FF772D" w:rsidRDefault="00FF772D" w:rsidP="00FF772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F772D">
        <w:rPr>
          <w:rFonts w:ascii="Times New Roman" w:eastAsia="Times New Roman" w:hAnsi="Times New Roman" w:cs="Times New Roman"/>
          <w:sz w:val="24"/>
          <w:szCs w:val="24"/>
          <w:lang w:eastAsia="en-IN"/>
        </w:rPr>
        <w:t>Rohini, S. Chiranjit Das, Sandeep Goud Mitta (2024). A Case Report on Arthritis Induced Inflammatory Bowel Disease. Glob Acad J Med Sci, 6.</w:t>
      </w:r>
      <w:r>
        <w:rPr>
          <w:rFonts w:ascii="Times New Roman" w:eastAsia="Times New Roman" w:hAnsi="Times New Roman" w:cs="Times New Roman"/>
          <w:sz w:val="24"/>
          <w:szCs w:val="24"/>
          <w:lang w:eastAsia="en-IN"/>
        </w:rPr>
        <w:t xml:space="preserve"> </w:t>
      </w:r>
      <w:hyperlink r:id="rId41" w:history="1">
        <w:r w:rsidRPr="000F7FC9">
          <w:rPr>
            <w:rStyle w:val="Hyperlink"/>
            <w:rFonts w:ascii="Times New Roman" w:eastAsia="Times New Roman" w:hAnsi="Times New Roman" w:cs="Times New Roman"/>
            <w:sz w:val="24"/>
            <w:szCs w:val="24"/>
            <w:lang w:eastAsia="en-IN"/>
          </w:rPr>
          <w:t>https://doi.org/10.36348/gajms.2024.v06i05.006</w:t>
        </w:r>
      </w:hyperlink>
      <w:r>
        <w:rPr>
          <w:rFonts w:ascii="Times New Roman" w:eastAsia="Times New Roman" w:hAnsi="Times New Roman" w:cs="Times New Roman"/>
          <w:sz w:val="24"/>
          <w:szCs w:val="24"/>
          <w:lang w:eastAsia="en-IN"/>
        </w:rPr>
        <w:t xml:space="preserve">. </w:t>
      </w:r>
    </w:p>
    <w:p w14:paraId="19C943CC" w14:textId="209DC828" w:rsidR="00FD3B37" w:rsidRPr="00021488"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64DB5">
        <w:rPr>
          <w:rFonts w:ascii="Times New Roman" w:eastAsia="Times New Roman" w:hAnsi="Times New Roman" w:cs="Times New Roman"/>
          <w:sz w:val="24"/>
          <w:szCs w:val="24"/>
          <w:lang w:eastAsia="en-IN"/>
        </w:rPr>
        <w:t xml:space="preserve">Rudolph, C. D., Mazur, L. J., Liptak, G. S., Baker, R. D., Boyle, J. T., Colletti, R. B., et al. (2001). Guidelines for evaluation and treatment of gastroesophageal reflux in infants and children: Recommendations of the North American Society for </w:t>
      </w:r>
      <w:r w:rsidR="00F91A54" w:rsidRPr="00E64DB5">
        <w:rPr>
          <w:rFonts w:ascii="Times New Roman" w:eastAsia="Times New Roman" w:hAnsi="Times New Roman" w:cs="Times New Roman"/>
          <w:sz w:val="24"/>
          <w:szCs w:val="24"/>
          <w:lang w:eastAsia="en-IN"/>
        </w:rPr>
        <w:t>Paediatric</w:t>
      </w:r>
      <w:r w:rsidRPr="00E64DB5">
        <w:rPr>
          <w:rFonts w:ascii="Times New Roman" w:eastAsia="Times New Roman" w:hAnsi="Times New Roman" w:cs="Times New Roman"/>
          <w:sz w:val="24"/>
          <w:szCs w:val="24"/>
          <w:lang w:eastAsia="en-IN"/>
        </w:rPr>
        <w:t xml:space="preserve"> Gastroenterology and Nutrition. </w:t>
      </w:r>
      <w:r w:rsidRPr="00E64DB5">
        <w:rPr>
          <w:rFonts w:ascii="Times New Roman" w:eastAsia="Times New Roman" w:hAnsi="Times New Roman" w:cs="Times New Roman"/>
          <w:i/>
          <w:iCs/>
          <w:sz w:val="24"/>
          <w:szCs w:val="24"/>
          <w:lang w:eastAsia="en-IN"/>
        </w:rPr>
        <w:t xml:space="preserve">Journal of </w:t>
      </w:r>
      <w:r w:rsidR="00F91A54" w:rsidRPr="00E64DB5">
        <w:rPr>
          <w:rFonts w:ascii="Times New Roman" w:eastAsia="Times New Roman" w:hAnsi="Times New Roman" w:cs="Times New Roman"/>
          <w:i/>
          <w:iCs/>
          <w:sz w:val="24"/>
          <w:szCs w:val="24"/>
          <w:lang w:eastAsia="en-IN"/>
        </w:rPr>
        <w:t>Paediatric</w:t>
      </w:r>
      <w:r w:rsidRPr="00E64DB5">
        <w:rPr>
          <w:rFonts w:ascii="Times New Roman" w:eastAsia="Times New Roman" w:hAnsi="Times New Roman" w:cs="Times New Roman"/>
          <w:i/>
          <w:iCs/>
          <w:sz w:val="24"/>
          <w:szCs w:val="24"/>
          <w:lang w:eastAsia="en-IN"/>
        </w:rPr>
        <w:t xml:space="preserve"> Gastroenterology and Nutrition</w:t>
      </w:r>
      <w:r w:rsidRPr="00E64DB5">
        <w:rPr>
          <w:rFonts w:ascii="Times New Roman" w:eastAsia="Times New Roman" w:hAnsi="Times New Roman" w:cs="Times New Roman"/>
          <w:sz w:val="24"/>
          <w:szCs w:val="24"/>
          <w:lang w:eastAsia="en-IN"/>
        </w:rPr>
        <w:t xml:space="preserve">, 32(Suppl 2), S1–S31. </w:t>
      </w:r>
      <w:hyperlink r:id="rId42" w:history="1">
        <w:r w:rsidRPr="00E64DB5">
          <w:rPr>
            <w:rFonts w:ascii="Times New Roman" w:eastAsia="Times New Roman" w:hAnsi="Times New Roman" w:cs="Times New Roman"/>
            <w:color w:val="0000FF"/>
            <w:sz w:val="24"/>
            <w:szCs w:val="24"/>
            <w:u w:val="single"/>
            <w:lang w:eastAsia="en-IN"/>
          </w:rPr>
          <w:t>https://doi.org/10.1097/00005176-200102001-00001</w:t>
        </w:r>
      </w:hyperlink>
    </w:p>
    <w:p w14:paraId="593AB6D9" w14:textId="77777777" w:rsidR="00FD3B37" w:rsidRPr="00E71733"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43EE5">
        <w:rPr>
          <w:rFonts w:ascii="Times New Roman" w:eastAsia="Times New Roman" w:hAnsi="Times New Roman" w:cs="Times New Roman"/>
          <w:sz w:val="24"/>
          <w:szCs w:val="24"/>
          <w:lang w:eastAsia="en-IN"/>
        </w:rPr>
        <w:lastRenderedPageBreak/>
        <w:t xml:space="preserve">Shang, F. M., &amp; Liu, H. L. (2018). </w:t>
      </w:r>
      <w:r w:rsidRPr="00E64DB5">
        <w:rPr>
          <w:rFonts w:ascii="Times New Roman" w:eastAsia="Times New Roman" w:hAnsi="Times New Roman" w:cs="Times New Roman"/>
          <w:i/>
          <w:iCs/>
          <w:sz w:val="24"/>
          <w:szCs w:val="24"/>
          <w:lang w:eastAsia="en-IN"/>
        </w:rPr>
        <w:t>Fusobacterium nucleatum</w:t>
      </w:r>
      <w:r w:rsidRPr="00D43EE5">
        <w:rPr>
          <w:rFonts w:ascii="Times New Roman" w:eastAsia="Times New Roman" w:hAnsi="Times New Roman" w:cs="Times New Roman"/>
          <w:sz w:val="24"/>
          <w:szCs w:val="24"/>
          <w:lang w:eastAsia="en-IN"/>
        </w:rPr>
        <w:t xml:space="preserve"> and colorectal cancer: A review. </w:t>
      </w:r>
      <w:r w:rsidRPr="00E64DB5">
        <w:rPr>
          <w:rFonts w:ascii="Times New Roman" w:eastAsia="Times New Roman" w:hAnsi="Times New Roman" w:cs="Times New Roman"/>
          <w:i/>
          <w:iCs/>
          <w:sz w:val="24"/>
          <w:szCs w:val="24"/>
          <w:lang w:eastAsia="en-IN"/>
        </w:rPr>
        <w:t>World Journal of Gastrointestinal Oncology</w:t>
      </w:r>
      <w:r w:rsidRPr="00D43EE5">
        <w:rPr>
          <w:rFonts w:ascii="Times New Roman" w:eastAsia="Times New Roman" w:hAnsi="Times New Roman" w:cs="Times New Roman"/>
          <w:sz w:val="24"/>
          <w:szCs w:val="24"/>
          <w:lang w:eastAsia="en-IN"/>
        </w:rPr>
        <w:t xml:space="preserve">, 10(3), 71–81. </w:t>
      </w:r>
      <w:hyperlink r:id="rId43" w:history="1">
        <w:r w:rsidRPr="00E64DB5">
          <w:rPr>
            <w:rFonts w:ascii="Times New Roman" w:eastAsia="Times New Roman" w:hAnsi="Times New Roman" w:cs="Times New Roman"/>
            <w:color w:val="0000FF"/>
            <w:sz w:val="24"/>
            <w:szCs w:val="24"/>
            <w:u w:val="single"/>
            <w:lang w:eastAsia="en-IN"/>
          </w:rPr>
          <w:t>https://doi.org/10.4251/wjgo.v10.i3.71</w:t>
        </w:r>
      </w:hyperlink>
    </w:p>
    <w:p w14:paraId="3C857AD6"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E64DB5">
        <w:rPr>
          <w:rFonts w:ascii="Times New Roman" w:eastAsia="Times New Roman" w:hAnsi="Times New Roman" w:cs="Times New Roman"/>
          <w:sz w:val="24"/>
          <w:szCs w:val="24"/>
          <w:lang w:eastAsia="en-IN"/>
        </w:rPr>
        <w:t xml:space="preserve">Si, J. M., Yu, Y. C., Fan, Y. J., &amp; Chen, S. J. (2004). Intestinal microecology and quality of life in irritable bowel syndrome patients. </w:t>
      </w:r>
      <w:r w:rsidRPr="00E64DB5">
        <w:rPr>
          <w:rFonts w:ascii="Times New Roman" w:eastAsia="Times New Roman" w:hAnsi="Times New Roman" w:cs="Times New Roman"/>
          <w:i/>
          <w:iCs/>
          <w:sz w:val="24"/>
          <w:szCs w:val="24"/>
          <w:lang w:eastAsia="en-IN"/>
        </w:rPr>
        <w:t>World Journal of Gastroenterology</w:t>
      </w:r>
      <w:r w:rsidRPr="00E64DB5">
        <w:rPr>
          <w:rFonts w:ascii="Times New Roman" w:eastAsia="Times New Roman" w:hAnsi="Times New Roman" w:cs="Times New Roman"/>
          <w:sz w:val="24"/>
          <w:szCs w:val="24"/>
          <w:lang w:eastAsia="en-IN"/>
        </w:rPr>
        <w:t xml:space="preserve">, 10(12), 1802–1805. </w:t>
      </w:r>
      <w:hyperlink r:id="rId44" w:history="1">
        <w:r w:rsidRPr="00E64DB5">
          <w:rPr>
            <w:rFonts w:ascii="Times New Roman" w:eastAsia="Times New Roman" w:hAnsi="Times New Roman" w:cs="Times New Roman"/>
            <w:color w:val="0000FF"/>
            <w:sz w:val="24"/>
            <w:szCs w:val="24"/>
            <w:u w:val="single"/>
            <w:lang w:eastAsia="en-IN"/>
          </w:rPr>
          <w:t>https://doi.org/10.3748/wjg.v10.i12.1802</w:t>
        </w:r>
      </w:hyperlink>
    </w:p>
    <w:p w14:paraId="67C6375C" w14:textId="77777777" w:rsidR="00FD3B37" w:rsidRPr="00E71733" w:rsidRDefault="00FD3B37" w:rsidP="00FD3B37">
      <w:p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D43EE5">
        <w:rPr>
          <w:rFonts w:ascii="Times New Roman" w:eastAsia="Times New Roman" w:hAnsi="Times New Roman" w:cs="Times New Roman"/>
          <w:sz w:val="24"/>
          <w:szCs w:val="24"/>
          <w:lang w:eastAsia="en-IN"/>
        </w:rPr>
        <w:t xml:space="preserve">Singh, S., Graff, L. A., &amp; Bernstein, C. N. (2009). Do NSAIDs, antibiotics, infections, or stress trigger flares in IBD? </w:t>
      </w:r>
      <w:r w:rsidRPr="00E64DB5">
        <w:rPr>
          <w:rFonts w:ascii="Times New Roman" w:eastAsia="Times New Roman" w:hAnsi="Times New Roman" w:cs="Times New Roman"/>
          <w:i/>
          <w:iCs/>
          <w:sz w:val="24"/>
          <w:szCs w:val="24"/>
          <w:lang w:eastAsia="en-IN"/>
        </w:rPr>
        <w:t>American Journal of Gastroenterology</w:t>
      </w:r>
      <w:r w:rsidRPr="00D43EE5">
        <w:rPr>
          <w:rFonts w:ascii="Times New Roman" w:eastAsia="Times New Roman" w:hAnsi="Times New Roman" w:cs="Times New Roman"/>
          <w:sz w:val="24"/>
          <w:szCs w:val="24"/>
          <w:lang w:eastAsia="en-IN"/>
        </w:rPr>
        <w:t xml:space="preserve">, 104(5), 1298–1313. </w:t>
      </w:r>
      <w:hyperlink r:id="rId45" w:history="1">
        <w:r w:rsidRPr="00E64DB5">
          <w:rPr>
            <w:rFonts w:ascii="Times New Roman" w:eastAsia="Times New Roman" w:hAnsi="Times New Roman" w:cs="Times New Roman"/>
            <w:color w:val="0000FF"/>
            <w:sz w:val="24"/>
            <w:szCs w:val="24"/>
            <w:u w:val="single"/>
            <w:lang w:eastAsia="en-IN"/>
          </w:rPr>
          <w:t>https://doi.org/10.1038/ajg.2009.15</w:t>
        </w:r>
      </w:hyperlink>
    </w:p>
    <w:p w14:paraId="3A46B989" w14:textId="77777777" w:rsidR="00FD3B37" w:rsidRDefault="00FD3B37" w:rsidP="00FD3B37">
      <w:pPr>
        <w:spacing w:before="100" w:beforeAutospacing="1" w:after="100" w:afterAutospacing="1" w:line="360" w:lineRule="auto"/>
        <w:jc w:val="both"/>
        <w:rPr>
          <w:rFonts w:ascii="Times New Roman" w:eastAsia="Times New Roman" w:hAnsi="Times New Roman" w:cs="Times New Roman"/>
          <w:color w:val="0000FF"/>
          <w:sz w:val="24"/>
          <w:szCs w:val="24"/>
          <w:u w:val="single"/>
          <w:lang w:eastAsia="en-IN"/>
        </w:rPr>
      </w:pPr>
      <w:r w:rsidRPr="00D43EE5">
        <w:rPr>
          <w:rFonts w:ascii="Times New Roman" w:eastAsia="Times New Roman" w:hAnsi="Times New Roman" w:cs="Times New Roman"/>
          <w:sz w:val="24"/>
          <w:szCs w:val="24"/>
          <w:lang w:eastAsia="en-IN"/>
        </w:rPr>
        <w:t xml:space="preserve">Tilg, H., Adolph, T. E., Gerner, R. R., &amp; Moschen, A. R. (2018). The intestinal microbiota in colorectal cancer. </w:t>
      </w:r>
      <w:r w:rsidRPr="00E64DB5">
        <w:rPr>
          <w:rFonts w:ascii="Times New Roman" w:eastAsia="Times New Roman" w:hAnsi="Times New Roman" w:cs="Times New Roman"/>
          <w:i/>
          <w:iCs/>
          <w:sz w:val="24"/>
          <w:szCs w:val="24"/>
          <w:lang w:eastAsia="en-IN"/>
        </w:rPr>
        <w:t>Cancer Cell</w:t>
      </w:r>
      <w:r w:rsidRPr="00D43EE5">
        <w:rPr>
          <w:rFonts w:ascii="Times New Roman" w:eastAsia="Times New Roman" w:hAnsi="Times New Roman" w:cs="Times New Roman"/>
          <w:sz w:val="24"/>
          <w:szCs w:val="24"/>
          <w:lang w:eastAsia="en-IN"/>
        </w:rPr>
        <w:t xml:space="preserve">, 33(6), 954–964. </w:t>
      </w:r>
      <w:hyperlink r:id="rId46" w:history="1">
        <w:r w:rsidRPr="00E64DB5">
          <w:rPr>
            <w:rFonts w:ascii="Times New Roman" w:eastAsia="Times New Roman" w:hAnsi="Times New Roman" w:cs="Times New Roman"/>
            <w:color w:val="0000FF"/>
            <w:sz w:val="24"/>
            <w:szCs w:val="24"/>
            <w:u w:val="single"/>
            <w:lang w:eastAsia="en-IN"/>
          </w:rPr>
          <w:t>https://doi.org/10.1016/j.ccell.2018.03.004</w:t>
        </w:r>
      </w:hyperlink>
    </w:p>
    <w:p w14:paraId="464892F0" w14:textId="77777777" w:rsidR="00FD3B37" w:rsidRPr="00021488"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Ve</w:t>
      </w:r>
      <w:r w:rsidRPr="00E64DB5">
        <w:rPr>
          <w:rFonts w:ascii="Times New Roman" w:eastAsia="Times New Roman" w:hAnsi="Times New Roman" w:cs="Times New Roman"/>
          <w:sz w:val="24"/>
          <w:szCs w:val="24"/>
          <w:lang w:eastAsia="en-IN"/>
        </w:rPr>
        <w:t xml:space="preserve">ndenplas, Y., Salvatore, S., Devreker, T., &amp; Hauser, B. (2007). Gastro-oesophageal reflux disease: Oesophageal impedance versus pH monitoring. </w:t>
      </w:r>
      <w:r w:rsidRPr="00E64DB5">
        <w:rPr>
          <w:rFonts w:ascii="Times New Roman" w:eastAsia="Times New Roman" w:hAnsi="Times New Roman" w:cs="Times New Roman"/>
          <w:i/>
          <w:iCs/>
          <w:sz w:val="24"/>
          <w:szCs w:val="24"/>
          <w:lang w:eastAsia="en-IN"/>
        </w:rPr>
        <w:t>Acta Paediatrica</w:t>
      </w:r>
      <w:r w:rsidRPr="00E64DB5">
        <w:rPr>
          <w:rFonts w:ascii="Times New Roman" w:eastAsia="Times New Roman" w:hAnsi="Times New Roman" w:cs="Times New Roman"/>
          <w:sz w:val="24"/>
          <w:szCs w:val="24"/>
          <w:lang w:eastAsia="en-IN"/>
        </w:rPr>
        <w:t xml:space="preserve">, 96(7), 956–962. </w:t>
      </w:r>
      <w:hyperlink r:id="rId47" w:history="1">
        <w:r w:rsidRPr="00E64DB5">
          <w:rPr>
            <w:rFonts w:ascii="Times New Roman" w:eastAsia="Times New Roman" w:hAnsi="Times New Roman" w:cs="Times New Roman"/>
            <w:color w:val="0000FF"/>
            <w:sz w:val="24"/>
            <w:szCs w:val="24"/>
            <w:u w:val="single"/>
            <w:lang w:eastAsia="en-IN"/>
          </w:rPr>
          <w:t>https://doi.org/10.1111/j.1651-2227.2007.00285.x</w:t>
        </w:r>
      </w:hyperlink>
    </w:p>
    <w:p w14:paraId="6939D6AE" w14:textId="77777777" w:rsidR="00FD3B37" w:rsidRPr="00D43EE5"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64DB5">
        <w:rPr>
          <w:rFonts w:ascii="Times New Roman" w:eastAsia="Times New Roman" w:hAnsi="Times New Roman" w:cs="Times New Roman"/>
          <w:sz w:val="24"/>
          <w:szCs w:val="24"/>
          <w:lang w:eastAsia="en-IN"/>
        </w:rPr>
        <w:t xml:space="preserve">Vilstrup, H., Amodio, P., Bajaj, J., Cordoba, J., Ferenci, P., Mullen, K. D., et al. (2014). Hepatic encephalopathy in chronic liver disease: 2014 Practice Guideline by the American Association for the Study of Liver Diseases and the European Association for the Study of the Liver. </w:t>
      </w:r>
      <w:r w:rsidRPr="00E64DB5">
        <w:rPr>
          <w:rFonts w:ascii="Times New Roman" w:eastAsia="Times New Roman" w:hAnsi="Times New Roman" w:cs="Times New Roman"/>
          <w:i/>
          <w:iCs/>
          <w:sz w:val="24"/>
          <w:szCs w:val="24"/>
          <w:lang w:eastAsia="en-IN"/>
        </w:rPr>
        <w:t>Hepatology</w:t>
      </w:r>
      <w:r w:rsidRPr="00E64DB5">
        <w:rPr>
          <w:rFonts w:ascii="Times New Roman" w:eastAsia="Times New Roman" w:hAnsi="Times New Roman" w:cs="Times New Roman"/>
          <w:sz w:val="24"/>
          <w:szCs w:val="24"/>
          <w:lang w:eastAsia="en-IN"/>
        </w:rPr>
        <w:t xml:space="preserve">, 60(2), 715–735. </w:t>
      </w:r>
      <w:hyperlink r:id="rId48" w:history="1">
        <w:r w:rsidRPr="00E64DB5">
          <w:rPr>
            <w:rFonts w:ascii="Times New Roman" w:eastAsia="Times New Roman" w:hAnsi="Times New Roman" w:cs="Times New Roman"/>
            <w:color w:val="0000FF"/>
            <w:sz w:val="24"/>
            <w:szCs w:val="24"/>
            <w:u w:val="single"/>
            <w:lang w:eastAsia="en-IN"/>
          </w:rPr>
          <w:t>https://doi.org/10.1002/hep.27210</w:t>
        </w:r>
      </w:hyperlink>
    </w:p>
    <w:p w14:paraId="6AEDB4B7" w14:textId="77777777" w:rsidR="00FD3B37" w:rsidRPr="00D43EE5"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43EE5">
        <w:rPr>
          <w:rFonts w:ascii="Times New Roman" w:eastAsia="Times New Roman" w:hAnsi="Times New Roman" w:cs="Times New Roman"/>
          <w:sz w:val="24"/>
          <w:szCs w:val="24"/>
          <w:lang w:eastAsia="en-IN"/>
        </w:rPr>
        <w:t xml:space="preserve">Zhang, J., Zhang, C., Zhang, Q., Yu, L., Chen, W., Xue, Y., &amp; Zhai, Q. (2023). Meta-analysis of the effects of proton pump inhibitors on the human gut microbiota. </w:t>
      </w:r>
      <w:r w:rsidRPr="00E64DB5">
        <w:rPr>
          <w:rFonts w:ascii="Times New Roman" w:eastAsia="Times New Roman" w:hAnsi="Times New Roman" w:cs="Times New Roman"/>
          <w:i/>
          <w:iCs/>
          <w:sz w:val="24"/>
          <w:szCs w:val="24"/>
          <w:lang w:eastAsia="en-IN"/>
        </w:rPr>
        <w:t>BMC Microbiology</w:t>
      </w:r>
      <w:r w:rsidRPr="00D43EE5">
        <w:rPr>
          <w:rFonts w:ascii="Times New Roman" w:eastAsia="Times New Roman" w:hAnsi="Times New Roman" w:cs="Times New Roman"/>
          <w:sz w:val="24"/>
          <w:szCs w:val="24"/>
          <w:lang w:eastAsia="en-IN"/>
        </w:rPr>
        <w:t xml:space="preserve">, 23(1), 171. </w:t>
      </w:r>
      <w:hyperlink r:id="rId49" w:history="1">
        <w:r w:rsidRPr="00E64DB5">
          <w:rPr>
            <w:rFonts w:ascii="Times New Roman" w:eastAsia="Times New Roman" w:hAnsi="Times New Roman" w:cs="Times New Roman"/>
            <w:color w:val="0000FF"/>
            <w:sz w:val="24"/>
            <w:szCs w:val="24"/>
            <w:u w:val="single"/>
            <w:lang w:eastAsia="en-IN"/>
          </w:rPr>
          <w:t>https://doi.org/10.1186/s12866-023-02895-w</w:t>
        </w:r>
      </w:hyperlink>
    </w:p>
    <w:p w14:paraId="3C3AB2B6" w14:textId="77777777" w:rsidR="00FD3B37" w:rsidRPr="00E64DB5" w:rsidRDefault="00FD3B37" w:rsidP="00FD3B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64DB5">
        <w:rPr>
          <w:rFonts w:ascii="Times New Roman" w:eastAsia="Times New Roman" w:hAnsi="Times New Roman" w:cs="Times New Roman"/>
          <w:sz w:val="24"/>
          <w:szCs w:val="24"/>
          <w:lang w:eastAsia="en-IN"/>
        </w:rPr>
        <w:t xml:space="preserve">Zhernakova, A., Kurilshikov, A., Bonder, M. J., Tigchelaar, E. F., Schirmer, M., Vatanen, T., et al. (2016). Population-based metagenomics analysis reveals markers for gut microbiome composition and diversity. </w:t>
      </w:r>
      <w:r w:rsidRPr="00E64DB5">
        <w:rPr>
          <w:rFonts w:ascii="Times New Roman" w:eastAsia="Times New Roman" w:hAnsi="Times New Roman" w:cs="Times New Roman"/>
          <w:i/>
          <w:iCs/>
          <w:sz w:val="24"/>
          <w:szCs w:val="24"/>
          <w:lang w:eastAsia="en-IN"/>
        </w:rPr>
        <w:t>Science</w:t>
      </w:r>
      <w:r w:rsidRPr="00E64DB5">
        <w:rPr>
          <w:rFonts w:ascii="Times New Roman" w:eastAsia="Times New Roman" w:hAnsi="Times New Roman" w:cs="Times New Roman"/>
          <w:sz w:val="24"/>
          <w:szCs w:val="24"/>
          <w:lang w:eastAsia="en-IN"/>
        </w:rPr>
        <w:t xml:space="preserve">, 352(6285), 565–569. </w:t>
      </w:r>
      <w:hyperlink r:id="rId50" w:history="1">
        <w:r w:rsidRPr="00E64DB5">
          <w:rPr>
            <w:rFonts w:ascii="Times New Roman" w:eastAsia="Times New Roman" w:hAnsi="Times New Roman" w:cs="Times New Roman"/>
            <w:color w:val="0000FF"/>
            <w:sz w:val="24"/>
            <w:szCs w:val="24"/>
            <w:u w:val="single"/>
            <w:lang w:eastAsia="en-IN"/>
          </w:rPr>
          <w:t>https://doi.org/10.1126/science.aad3369</w:t>
        </w:r>
      </w:hyperlink>
    </w:p>
    <w:sectPr w:rsidR="00FD3B37" w:rsidRPr="00E64DB5">
      <w:headerReference w:type="even" r:id="rId51"/>
      <w:headerReference w:type="default" r:id="rId52"/>
      <w:footerReference w:type="even" r:id="rId53"/>
      <w:footerReference w:type="default" r:id="rId54"/>
      <w:headerReference w:type="first" r:id="rId55"/>
      <w:footerReference w:type="first" r:id="rId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EB2A" w14:textId="77777777" w:rsidR="00BD688E" w:rsidRDefault="00BD688E" w:rsidP="00AB5083">
      <w:pPr>
        <w:spacing w:after="0" w:line="240" w:lineRule="auto"/>
      </w:pPr>
      <w:r>
        <w:separator/>
      </w:r>
    </w:p>
  </w:endnote>
  <w:endnote w:type="continuationSeparator" w:id="0">
    <w:p w14:paraId="30860D70" w14:textId="77777777" w:rsidR="00BD688E" w:rsidRDefault="00BD688E" w:rsidP="00AB5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AC55" w14:textId="77777777" w:rsidR="00AB5083" w:rsidRDefault="00AB5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0ED6D" w14:textId="77777777" w:rsidR="00AB5083" w:rsidRDefault="00AB50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D2A8" w14:textId="77777777" w:rsidR="00AB5083" w:rsidRDefault="00AB5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4A87E" w14:textId="77777777" w:rsidR="00BD688E" w:rsidRDefault="00BD688E" w:rsidP="00AB5083">
      <w:pPr>
        <w:spacing w:after="0" w:line="240" w:lineRule="auto"/>
      </w:pPr>
      <w:r>
        <w:separator/>
      </w:r>
    </w:p>
  </w:footnote>
  <w:footnote w:type="continuationSeparator" w:id="0">
    <w:p w14:paraId="344DE200" w14:textId="77777777" w:rsidR="00BD688E" w:rsidRDefault="00BD688E" w:rsidP="00AB5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D472" w14:textId="07502814" w:rsidR="00AB5083" w:rsidRDefault="00000000">
    <w:pPr>
      <w:pStyle w:val="Header"/>
    </w:pPr>
    <w:r>
      <w:rPr>
        <w:noProof/>
      </w:rPr>
      <w:pict w14:anchorId="2008A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20593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4F81" w14:textId="60023395" w:rsidR="00AB5083" w:rsidRDefault="00000000">
    <w:pPr>
      <w:pStyle w:val="Header"/>
    </w:pPr>
    <w:r>
      <w:rPr>
        <w:noProof/>
      </w:rPr>
      <w:pict w14:anchorId="3A40B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20593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78BB" w14:textId="76F0C6D8" w:rsidR="00AB5083" w:rsidRDefault="00000000">
    <w:pPr>
      <w:pStyle w:val="Header"/>
    </w:pPr>
    <w:r>
      <w:rPr>
        <w:noProof/>
      </w:rPr>
      <w:pict w14:anchorId="783A7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20593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37A7C"/>
    <w:multiLevelType w:val="multilevel"/>
    <w:tmpl w:val="76AC48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5B1126"/>
    <w:multiLevelType w:val="multilevel"/>
    <w:tmpl w:val="469A004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15636F"/>
    <w:multiLevelType w:val="multilevel"/>
    <w:tmpl w:val="C6AA169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6C1D6A"/>
    <w:multiLevelType w:val="multilevel"/>
    <w:tmpl w:val="4FAAA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1165117">
    <w:abstractNumId w:val="3"/>
  </w:num>
  <w:num w:numId="2" w16cid:durableId="639114624">
    <w:abstractNumId w:val="0"/>
  </w:num>
  <w:num w:numId="3" w16cid:durableId="250314633">
    <w:abstractNumId w:val="1"/>
  </w:num>
  <w:num w:numId="4" w16cid:durableId="1889611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19F"/>
    <w:rsid w:val="00053C33"/>
    <w:rsid w:val="000D127F"/>
    <w:rsid w:val="00146447"/>
    <w:rsid w:val="0017371D"/>
    <w:rsid w:val="0018201F"/>
    <w:rsid w:val="002049B4"/>
    <w:rsid w:val="0022224F"/>
    <w:rsid w:val="00272264"/>
    <w:rsid w:val="00295BAD"/>
    <w:rsid w:val="00303E22"/>
    <w:rsid w:val="00311BC3"/>
    <w:rsid w:val="00312A4B"/>
    <w:rsid w:val="003A0091"/>
    <w:rsid w:val="003A6B8E"/>
    <w:rsid w:val="00493C9B"/>
    <w:rsid w:val="004A3324"/>
    <w:rsid w:val="004A7A0B"/>
    <w:rsid w:val="004C2403"/>
    <w:rsid w:val="004F7964"/>
    <w:rsid w:val="0054174C"/>
    <w:rsid w:val="00583865"/>
    <w:rsid w:val="0059712A"/>
    <w:rsid w:val="005D20BA"/>
    <w:rsid w:val="006816F0"/>
    <w:rsid w:val="006A1308"/>
    <w:rsid w:val="006A5012"/>
    <w:rsid w:val="006B6371"/>
    <w:rsid w:val="0071701E"/>
    <w:rsid w:val="007243C9"/>
    <w:rsid w:val="00746D07"/>
    <w:rsid w:val="007957F4"/>
    <w:rsid w:val="00843A2A"/>
    <w:rsid w:val="009066B5"/>
    <w:rsid w:val="00985916"/>
    <w:rsid w:val="00997518"/>
    <w:rsid w:val="009B40F8"/>
    <w:rsid w:val="00AB5083"/>
    <w:rsid w:val="00BB119F"/>
    <w:rsid w:val="00BB2E29"/>
    <w:rsid w:val="00BD688E"/>
    <w:rsid w:val="00C052EE"/>
    <w:rsid w:val="00D41DB8"/>
    <w:rsid w:val="00D43EE5"/>
    <w:rsid w:val="00D654AC"/>
    <w:rsid w:val="00DF063B"/>
    <w:rsid w:val="00E041D6"/>
    <w:rsid w:val="00E64DB5"/>
    <w:rsid w:val="00E828BF"/>
    <w:rsid w:val="00F02A9A"/>
    <w:rsid w:val="00F17CA0"/>
    <w:rsid w:val="00F80612"/>
    <w:rsid w:val="00F91A54"/>
    <w:rsid w:val="00FA28CC"/>
    <w:rsid w:val="00FD3B37"/>
    <w:rsid w:val="00FE12BF"/>
    <w:rsid w:val="00FF1E0C"/>
    <w:rsid w:val="00FF772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2BBA0"/>
  <w15:docId w15:val="{179EE7AC-669C-4FA6-BE86-DE262323A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43EE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3EE5"/>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D43EE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43EE5"/>
    <w:rPr>
      <w:b/>
      <w:bCs/>
    </w:rPr>
  </w:style>
  <w:style w:type="character" w:styleId="Emphasis">
    <w:name w:val="Emphasis"/>
    <w:basedOn w:val="DefaultParagraphFont"/>
    <w:uiPriority w:val="20"/>
    <w:qFormat/>
    <w:rsid w:val="00D43EE5"/>
    <w:rPr>
      <w:i/>
      <w:iCs/>
    </w:rPr>
  </w:style>
  <w:style w:type="character" w:styleId="Hyperlink">
    <w:name w:val="Hyperlink"/>
    <w:basedOn w:val="DefaultParagraphFont"/>
    <w:uiPriority w:val="99"/>
    <w:unhideWhenUsed/>
    <w:rsid w:val="00D43EE5"/>
    <w:rPr>
      <w:color w:val="0000FF"/>
      <w:u w:val="single"/>
    </w:rPr>
  </w:style>
  <w:style w:type="character" w:customStyle="1" w:styleId="selectable-text">
    <w:name w:val="selectable-text"/>
    <w:basedOn w:val="DefaultParagraphFont"/>
    <w:rsid w:val="0018201F"/>
  </w:style>
  <w:style w:type="character" w:styleId="UnresolvedMention">
    <w:name w:val="Unresolved Mention"/>
    <w:basedOn w:val="DefaultParagraphFont"/>
    <w:uiPriority w:val="99"/>
    <w:semiHidden/>
    <w:unhideWhenUsed/>
    <w:rsid w:val="00FF772D"/>
    <w:rPr>
      <w:color w:val="605E5C"/>
      <w:shd w:val="clear" w:color="auto" w:fill="E1DFDD"/>
    </w:rPr>
  </w:style>
  <w:style w:type="paragraph" w:styleId="Header">
    <w:name w:val="header"/>
    <w:basedOn w:val="Normal"/>
    <w:link w:val="HeaderChar"/>
    <w:uiPriority w:val="99"/>
    <w:unhideWhenUsed/>
    <w:rsid w:val="00AB5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083"/>
  </w:style>
  <w:style w:type="paragraph" w:styleId="Footer">
    <w:name w:val="footer"/>
    <w:basedOn w:val="Normal"/>
    <w:link w:val="FooterChar"/>
    <w:uiPriority w:val="99"/>
    <w:unhideWhenUsed/>
    <w:rsid w:val="00AB5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034075">
      <w:bodyDiv w:val="1"/>
      <w:marLeft w:val="0"/>
      <w:marRight w:val="0"/>
      <w:marTop w:val="0"/>
      <w:marBottom w:val="0"/>
      <w:divBdr>
        <w:top w:val="none" w:sz="0" w:space="0" w:color="auto"/>
        <w:left w:val="none" w:sz="0" w:space="0" w:color="auto"/>
        <w:bottom w:val="none" w:sz="0" w:space="0" w:color="auto"/>
        <w:right w:val="none" w:sz="0" w:space="0" w:color="auto"/>
      </w:divBdr>
    </w:div>
    <w:div w:id="1057320297">
      <w:bodyDiv w:val="1"/>
      <w:marLeft w:val="0"/>
      <w:marRight w:val="0"/>
      <w:marTop w:val="0"/>
      <w:marBottom w:val="0"/>
      <w:divBdr>
        <w:top w:val="none" w:sz="0" w:space="0" w:color="auto"/>
        <w:left w:val="none" w:sz="0" w:space="0" w:color="auto"/>
        <w:bottom w:val="none" w:sz="0" w:space="0" w:color="auto"/>
        <w:right w:val="none" w:sz="0" w:space="0" w:color="auto"/>
      </w:divBdr>
    </w:div>
    <w:div w:id="1437166704">
      <w:bodyDiv w:val="1"/>
      <w:marLeft w:val="0"/>
      <w:marRight w:val="0"/>
      <w:marTop w:val="0"/>
      <w:marBottom w:val="0"/>
      <w:divBdr>
        <w:top w:val="none" w:sz="0" w:space="0" w:color="auto"/>
        <w:left w:val="none" w:sz="0" w:space="0" w:color="auto"/>
        <w:bottom w:val="none" w:sz="0" w:space="0" w:color="auto"/>
        <w:right w:val="none" w:sz="0" w:space="0" w:color="auto"/>
      </w:divBdr>
    </w:div>
    <w:div w:id="172694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748/wjg.v21.i25.7621" TargetMode="External"/><Relationship Id="rId18" Type="http://schemas.openxmlformats.org/officeDocument/2006/relationships/hyperlink" Target="https://doi.org/10.1007/s10096-016-2881-8" TargetMode="External"/><Relationship Id="rId26" Type="http://schemas.openxmlformats.org/officeDocument/2006/relationships/hyperlink" Target="https://doi.org/10.1159/000171537" TargetMode="External"/><Relationship Id="rId39" Type="http://schemas.openxmlformats.org/officeDocument/2006/relationships/hyperlink" Target="https://doi.org/10.1038/nature13568" TargetMode="External"/><Relationship Id="rId21" Type="http://schemas.openxmlformats.org/officeDocument/2006/relationships/hyperlink" Target="https://doi.org/10.1136/gutjnl-2015-310861" TargetMode="External"/><Relationship Id="rId34" Type="http://schemas.openxmlformats.org/officeDocument/2006/relationships/hyperlink" Target="https://doi.org/10.1086/657319" TargetMode="External"/><Relationship Id="rId42" Type="http://schemas.openxmlformats.org/officeDocument/2006/relationships/hyperlink" Target="https://doi.org/10.1097/00005176-200102001-00001" TargetMode="External"/><Relationship Id="rId47" Type="http://schemas.openxmlformats.org/officeDocument/2006/relationships/hyperlink" Target="https://doi.org/10.1111/j.1651-2227.2007.00285.x" TargetMode="External"/><Relationship Id="rId50" Type="http://schemas.openxmlformats.org/officeDocument/2006/relationships/hyperlink" Target="https://doi.org/10.1126/science.aad3369" TargetMode="External"/><Relationship Id="rId55" Type="http://schemas.openxmlformats.org/officeDocument/2006/relationships/header" Target="header3.xml"/><Relationship Id="rId7" Type="http://schemas.openxmlformats.org/officeDocument/2006/relationships/hyperlink" Target="https://doi.org/10.1016/j.jhep.2013.12.019" TargetMode="External"/><Relationship Id="rId2" Type="http://schemas.openxmlformats.org/officeDocument/2006/relationships/styles" Target="styles.xml"/><Relationship Id="rId16" Type="http://schemas.openxmlformats.org/officeDocument/2006/relationships/hyperlink" Target="https://doi.org/10.1053/j.gastro.2015.06.043" TargetMode="External"/><Relationship Id="rId29" Type="http://schemas.openxmlformats.org/officeDocument/2006/relationships/hyperlink" Target="https://doi.org/10.1093/rheumatology/keaa376" TargetMode="External"/><Relationship Id="rId11" Type="http://schemas.openxmlformats.org/officeDocument/2006/relationships/hyperlink" Target="https://doi.org/10.3748/wjg.v22.i7.2219" TargetMode="External"/><Relationship Id="rId24" Type="http://schemas.openxmlformats.org/officeDocument/2006/relationships/hyperlink" Target="https://doi.org/10.1158/2159-8290.CD-13-0073" TargetMode="External"/><Relationship Id="rId32" Type="http://schemas.openxmlformats.org/officeDocument/2006/relationships/hyperlink" Target="https://doi.org/10.1136/gutjnl-2013-304833" TargetMode="External"/><Relationship Id="rId37" Type="http://schemas.openxmlformats.org/officeDocument/2006/relationships/hyperlink" Target="https://doi.org/10.1002/hep.30304" TargetMode="External"/><Relationship Id="rId40" Type="http://schemas.openxmlformats.org/officeDocument/2006/relationships/hyperlink" Target="https://doi.org/10.7150/jca.20497" TargetMode="External"/><Relationship Id="rId45" Type="http://schemas.openxmlformats.org/officeDocument/2006/relationships/hyperlink" Target="https://doi.org/10.1038/ajg.2009.15"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doi.org/10.1080/19490976.2020.1785804" TargetMode="External"/><Relationship Id="rId4" Type="http://schemas.openxmlformats.org/officeDocument/2006/relationships/webSettings" Target="webSettings.xml"/><Relationship Id="rId9" Type="http://schemas.openxmlformats.org/officeDocument/2006/relationships/hyperlink" Target="https://doi.org/10.1002/hep.28737" TargetMode="External"/><Relationship Id="rId14" Type="http://schemas.openxmlformats.org/officeDocument/2006/relationships/hyperlink" Target="https://doi.org/10.1007/s10096-014-2081-3" TargetMode="External"/><Relationship Id="rId22" Type="http://schemas.openxmlformats.org/officeDocument/2006/relationships/hyperlink" Target="https://doi.org/10.1097/MD.0000000000021488" TargetMode="External"/><Relationship Id="rId27" Type="http://schemas.openxmlformats.org/officeDocument/2006/relationships/hyperlink" Target="https://doi.org/10.1111/j.1365-2036.2012.05166.x" TargetMode="External"/><Relationship Id="rId30" Type="http://schemas.openxmlformats.org/officeDocument/2006/relationships/hyperlink" Target="https://doi.org/10.7326/AITC202006020" TargetMode="External"/><Relationship Id="rId35" Type="http://schemas.openxmlformats.org/officeDocument/2006/relationships/hyperlink" Target="https://doi.org/10.1038/nrgastro.2012.14" TargetMode="External"/><Relationship Id="rId43" Type="http://schemas.openxmlformats.org/officeDocument/2006/relationships/hyperlink" Target="https://doi.org/10.4251/wjgo.v10.i3.71" TargetMode="External"/><Relationship Id="rId48" Type="http://schemas.openxmlformats.org/officeDocument/2006/relationships/hyperlink" Target="https://doi.org/10.1002/hep.27210" TargetMode="External"/><Relationship Id="rId56" Type="http://schemas.openxmlformats.org/officeDocument/2006/relationships/footer" Target="footer3.xml"/><Relationship Id="rId8" Type="http://schemas.openxmlformats.org/officeDocument/2006/relationships/hyperlink" Target="https://doi.org/10.37212/jcnos.610103"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doi.org/10.1016/S0140-6736(19)30237-5" TargetMode="External"/><Relationship Id="rId17" Type="http://schemas.openxmlformats.org/officeDocument/2006/relationships/hyperlink" Target="https://doi.org/10.3748/wjg.v21.i22.6817" TargetMode="External"/><Relationship Id="rId25" Type="http://schemas.openxmlformats.org/officeDocument/2006/relationships/hyperlink" Target="https://doi.org/10.1136/gut.2010.223263" TargetMode="External"/><Relationship Id="rId33" Type="http://schemas.openxmlformats.org/officeDocument/2006/relationships/hyperlink" Target="https://doi.org/10.1038/nrgastro.2017.117" TargetMode="External"/><Relationship Id="rId38" Type="http://schemas.openxmlformats.org/officeDocument/2006/relationships/hyperlink" Target="https://doi.org/10.1186/s12877-020-01833-2" TargetMode="External"/><Relationship Id="rId46" Type="http://schemas.openxmlformats.org/officeDocument/2006/relationships/hyperlink" Target="https://doi.org/10.1016/j.ccell.2018.03.004" TargetMode="External"/><Relationship Id="rId20" Type="http://schemas.openxmlformats.org/officeDocument/2006/relationships/hyperlink" Target="https://doi.org/10.1136/gutjnl-2015-310376" TargetMode="External"/><Relationship Id="rId41" Type="http://schemas.openxmlformats.org/officeDocument/2006/relationships/hyperlink" Target="https://doi.org/10.36348/gajms.2024.v06i05.006"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36/bmj.g3174" TargetMode="External"/><Relationship Id="rId23" Type="http://schemas.openxmlformats.org/officeDocument/2006/relationships/hyperlink" Target="https://doi.org/10.3390/jcm8050693" TargetMode="External"/><Relationship Id="rId28" Type="http://schemas.openxmlformats.org/officeDocument/2006/relationships/hyperlink" Target="https://doi.org/10.1007/s40264-014-0156-2" TargetMode="External"/><Relationship Id="rId36" Type="http://schemas.openxmlformats.org/officeDocument/2006/relationships/hyperlink" Target="https://doi.org/10.1097/00042737-200408000-00007" TargetMode="External"/><Relationship Id="rId49" Type="http://schemas.openxmlformats.org/officeDocument/2006/relationships/hyperlink" Target="https://doi.org/10.1186/s12866-023-02895-w" TargetMode="External"/><Relationship Id="rId57" Type="http://schemas.openxmlformats.org/officeDocument/2006/relationships/fontTable" Target="fontTable.xml"/><Relationship Id="rId10" Type="http://schemas.openxmlformats.org/officeDocument/2006/relationships/hyperlink" Target="https://doi.org/10.1053/j.gastro.2004.04.061" TargetMode="External"/><Relationship Id="rId31" Type="http://schemas.openxmlformats.org/officeDocument/2006/relationships/hyperlink" Target="https://doi.org/10.1016/j.cgh.2012.12.011" TargetMode="External"/><Relationship Id="rId44" Type="http://schemas.openxmlformats.org/officeDocument/2006/relationships/hyperlink" Target="https://doi.org/10.3748/wjg.v10.i12.1802" TargetMode="External"/><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14</Pages>
  <Words>5281</Words>
  <Characters>30103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sandeep goud mitta</cp:lastModifiedBy>
  <cp:revision>47</cp:revision>
  <dcterms:created xsi:type="dcterms:W3CDTF">2025-11-10T13:38:00Z</dcterms:created>
  <dcterms:modified xsi:type="dcterms:W3CDTF">2025-11-17T17:14:00Z</dcterms:modified>
</cp:coreProperties>
</file>