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D6CA" w14:textId="77777777" w:rsidR="0023308B" w:rsidRPr="00524B65" w:rsidRDefault="00DF4A22">
      <w:pPr>
        <w:spacing w:line="256" w:lineRule="auto"/>
        <w:jc w:val="center"/>
        <w:rPr>
          <w:b/>
          <w:lang w:val="en-IN"/>
        </w:rPr>
      </w:pPr>
      <w:r w:rsidRPr="00524B65">
        <w:rPr>
          <w:rFonts w:ascii="Calibri" w:eastAsia="Calibri" w:hAnsi="Calibri" w:cs="Times New Roman" w:hint="eastAsia"/>
          <w:b/>
          <w:bCs/>
          <w:lang w:val="en-IN" w:eastAsia="zh-CN" w:bidi="ar"/>
        </w:rPr>
        <w:t>Non-endoscopic prediction of the presence of esophageal varices in cirrhotic patients at Gabriel Touré University Hospital</w:t>
      </w:r>
    </w:p>
    <w:p w14:paraId="6ECFDF64" w14:textId="77777777" w:rsidR="00481594" w:rsidRPr="00524B65" w:rsidRDefault="00481594">
      <w:pPr>
        <w:spacing w:line="256" w:lineRule="auto"/>
        <w:rPr>
          <w:rFonts w:ascii="Calibri" w:eastAsia="Calibri" w:hAnsi="Calibri" w:cs="Times New Roman"/>
          <w:lang w:val="en-IN" w:eastAsia="zh-CN" w:bidi="ar"/>
        </w:rPr>
      </w:pPr>
    </w:p>
    <w:p w14:paraId="37BA01A1" w14:textId="77777777" w:rsidR="0023308B" w:rsidRPr="00524B65" w:rsidRDefault="00481594">
      <w:pPr>
        <w:spacing w:line="256" w:lineRule="auto"/>
        <w:rPr>
          <w:lang w:val="en-IN"/>
        </w:rPr>
      </w:pPr>
      <w:r w:rsidRPr="00524B65">
        <w:rPr>
          <w:rFonts w:ascii="Calibri" w:eastAsia="Calibri" w:hAnsi="Calibri" w:cs="Times New Roman"/>
          <w:lang w:val="en-IN" w:eastAsia="zh-CN" w:bidi="ar"/>
        </w:rPr>
        <w:t>ABSTRACT</w:t>
      </w:r>
      <w:r w:rsidR="00DF4A22" w:rsidRPr="00524B65">
        <w:rPr>
          <w:rFonts w:ascii="Calibri" w:eastAsia="Calibri" w:hAnsi="Calibri" w:cs="Times New Roman" w:hint="eastAsia"/>
          <w:lang w:val="en-IN" w:eastAsia="zh-CN" w:bidi="ar"/>
        </w:rPr>
        <w:t xml:space="preserve">: </w:t>
      </w:r>
    </w:p>
    <w:p w14:paraId="75DD5287"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Introduction: Digestive </w:t>
      </w:r>
      <w:proofErr w:type="spellStart"/>
      <w:r w:rsidRPr="00524B65">
        <w:rPr>
          <w:rFonts w:ascii="Calibri" w:eastAsia="Calibri" w:hAnsi="Calibri" w:cs="Times New Roman" w:hint="eastAsia"/>
          <w:lang w:val="en-IN" w:eastAsia="zh-CN" w:bidi="ar"/>
        </w:rPr>
        <w:t>hemorrhage</w:t>
      </w:r>
      <w:proofErr w:type="spellEnd"/>
      <w:r w:rsidRPr="00524B65">
        <w:rPr>
          <w:rFonts w:ascii="Calibri" w:eastAsia="Calibri" w:hAnsi="Calibri" w:cs="Times New Roman" w:hint="eastAsia"/>
          <w:lang w:val="en-IN" w:eastAsia="zh-CN" w:bidi="ar"/>
        </w:rPr>
        <w:t xml:space="preserve"> due to ruptured </w:t>
      </w:r>
      <w:proofErr w:type="spellStart"/>
      <w:r w:rsidRPr="00524B65">
        <w:rPr>
          <w:rFonts w:ascii="Calibri" w:eastAsia="Calibri" w:hAnsi="Calibri" w:cs="Times New Roman" w:hint="eastAsia"/>
          <w:lang w:val="en-IN" w:eastAsia="zh-CN" w:bidi="ar"/>
        </w:rPr>
        <w:t>esophageal</w:t>
      </w:r>
      <w:proofErr w:type="spellEnd"/>
      <w:r w:rsidRPr="00524B65">
        <w:rPr>
          <w:rFonts w:ascii="Calibri" w:eastAsia="Calibri" w:hAnsi="Calibri" w:cs="Times New Roman" w:hint="eastAsia"/>
          <w:lang w:val="en-IN" w:eastAsia="zh-CN" w:bidi="ar"/>
        </w:rPr>
        <w:t xml:space="preserve"> varices (EV) is a serious progressive complication. The diagnosis of these EVs is identified through upper digestive endoscopy, which is an invasive procedure. </w:t>
      </w:r>
    </w:p>
    <w:p w14:paraId="46B40B77"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Objective: The aim of this study was to determine non-endoscopic factors predictive of the presence of EVs in patients with chronic liver disease in a hospital setting.</w:t>
      </w:r>
    </w:p>
    <w:p w14:paraId="0428A8FA"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Methods:</w:t>
      </w:r>
    </w:p>
    <w:p w14:paraId="26E74302"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This was a cross-sectional study conducted in the Hepato-Gastroenterology Department of Gabriel Touré University Hospital, from July 2017 to July 2019. The study focused on patients with chronic liver disease, who were compared according to the presence or absence of VO. All patients underwent upper digestive endoscopy and also benefited from non-invasive examinations. The Chi-square test was used to compare our results, which were considered significant for a probability of p&lt;0.05.</w:t>
      </w:r>
    </w:p>
    <w:p w14:paraId="11026272"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Results:</w:t>
      </w:r>
    </w:p>
    <w:p w14:paraId="2387642A"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We collected 54 cases of chronic liver disease with the presence of varices, including 35 men and 19 women, with a mean age of 48.7 ± 14.4 years, which were compared to 54 other cases of liver disease without varices, with a mean age of 42.6 years. Hematemesis was the reason for consultation in 33.3% of patients with varices (p = 3×10^-5); liver disease was incidentally discovered in 22.3% of cases without varices (p = 2×10^-3). Clinically, the presentation in the presence of varices was dominated by low blood pressure (p = 0.0021), ascites (p = 0.018), hematemesis (p = 10^-7), melena (p = 10^-7), and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(p = 0.0002); in the absence of varices, hepatomegaly (p = 0.6830), ascites (p = 0.0018), and jaundice (p = 0.6674) were most frequently reported. Biologically, 83.3% of patients with varices had anemia (p = 0.00005). Cytolysis (51%) and anemia (46.3%) were present in the absence of variceal bleeding (VO) with respective p-values of 0.0275 and 0.00005. The severity of liver disease, classified as Child-Pugh B and C, was predictive of the presence of VO at 37% and 24.1%, respectively. On abdominal ultrasound, ascites (77.8%), a heterogeneous liver (66.7%), and a dilated portal trunk (33.3%) were significantly associated with the presence of VO. Anemia associated with ascites (PPV=72.5%) or with a central venous catheter (CVC) (PPV=100%) was predictive of VO. An atrophic liver and a dilated portal trunk associated with a CVC strongly predicted the presence of VO (PPV=100%). Any hepatic abnormality identified on abdominal ultrasound, when associated with anemia and a CVC, had a positive predictive value (PPV) of 100% for the presence of VO.</w:t>
      </w:r>
    </w:p>
    <w:p w14:paraId="1C1A744E"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Conclusion: Since upper gastrointestinal endoscopy is an invasive procedure, it would be valuable to use non-invasive methods to predict the presence of </w:t>
      </w:r>
      <w:proofErr w:type="spellStart"/>
      <w:r w:rsidRPr="00524B65">
        <w:rPr>
          <w:rFonts w:ascii="Calibri" w:eastAsia="Calibri" w:hAnsi="Calibri" w:cs="Times New Roman" w:hint="eastAsia"/>
          <w:lang w:val="en-IN" w:eastAsia="zh-CN" w:bidi="ar"/>
        </w:rPr>
        <w:t>esophageal</w:t>
      </w:r>
      <w:proofErr w:type="spellEnd"/>
      <w:r w:rsidRPr="00524B65">
        <w:rPr>
          <w:rFonts w:ascii="Calibri" w:eastAsia="Calibri" w:hAnsi="Calibri" w:cs="Times New Roman" w:hint="eastAsia"/>
          <w:lang w:val="en-IN" w:eastAsia="zh-CN" w:bidi="ar"/>
        </w:rPr>
        <w:t xml:space="preserve"> varices. Our results could serve as a useful tool to limit the indication for gastroscopy to only those patients who are truly likely to have esophageal varices. </w:t>
      </w:r>
    </w:p>
    <w:p w14:paraId="3DEC8E08"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Keywords: </w:t>
      </w:r>
      <w:proofErr w:type="spellStart"/>
      <w:r w:rsidRPr="00524B65">
        <w:rPr>
          <w:rFonts w:ascii="Calibri" w:eastAsia="Calibri" w:hAnsi="Calibri" w:cs="Times New Roman" w:hint="eastAsia"/>
          <w:lang w:val="en-IN" w:eastAsia="zh-CN" w:bidi="ar"/>
        </w:rPr>
        <w:t>esophageal</w:t>
      </w:r>
      <w:proofErr w:type="spellEnd"/>
      <w:r w:rsidRPr="00524B65">
        <w:rPr>
          <w:rFonts w:ascii="Calibri" w:eastAsia="Calibri" w:hAnsi="Calibri" w:cs="Times New Roman" w:hint="eastAsia"/>
          <w:lang w:val="en-IN" w:eastAsia="zh-CN" w:bidi="ar"/>
        </w:rPr>
        <w:t xml:space="preserve"> varices, chronic liver disease.</w:t>
      </w:r>
    </w:p>
    <w:p w14:paraId="37119D80" w14:textId="77777777" w:rsidR="0023308B" w:rsidRDefault="00DF4A22">
      <w:pPr>
        <w:spacing w:line="256" w:lineRule="auto"/>
        <w:rPr>
          <w:lang w:val="fr"/>
        </w:rPr>
      </w:pPr>
      <w:r>
        <w:rPr>
          <w:rFonts w:ascii="Calibri" w:eastAsia="Calibri" w:hAnsi="Calibri" w:cs="Times New Roman" w:hint="eastAsia"/>
          <w:lang w:val="fr" w:eastAsia="zh-CN" w:bidi="ar"/>
        </w:rPr>
        <w:lastRenderedPageBreak/>
        <w:t>1-INTRODUCTION</w:t>
      </w:r>
    </w:p>
    <w:p w14:paraId="39D4141D" w14:textId="02EFD3D9" w:rsidR="0023308B" w:rsidRPr="00524B65" w:rsidRDefault="00BC565D">
      <w:pPr>
        <w:spacing w:line="256" w:lineRule="auto"/>
        <w:rPr>
          <w:bCs/>
          <w:lang w:val="en-IN"/>
        </w:rPr>
      </w:pPr>
      <w:r w:rsidRPr="00BC565D">
        <w:rPr>
          <w:rFonts w:ascii="Calibri" w:eastAsia="Calibri" w:hAnsi="Calibri" w:cs="Times New Roman"/>
          <w:lang w:val="en-IN" w:eastAsia="zh-CN" w:bidi="ar"/>
        </w:rPr>
        <w:t xml:space="preserve">Portal hypertension </w:t>
      </w:r>
      <w:r w:rsidR="00DF4A22" w:rsidRPr="00524B65">
        <w:rPr>
          <w:rFonts w:ascii="Calibri" w:eastAsia="Calibri" w:hAnsi="Calibri" w:cs="Times New Roman" w:hint="eastAsia"/>
          <w:lang w:val="en-IN" w:eastAsia="zh-CN" w:bidi="ar"/>
        </w:rPr>
        <w:t xml:space="preserve">(PH) is one of the primary complications of chronic liver diseases in general, and of cirrhosis in particular. It remains a serious progressive condition [1]. Indeed, gastrointestinal </w:t>
      </w:r>
      <w:proofErr w:type="spellStart"/>
      <w:r w:rsidR="00DF4A22" w:rsidRPr="00524B65">
        <w:rPr>
          <w:rFonts w:ascii="Calibri" w:eastAsia="Calibri" w:hAnsi="Calibri" w:cs="Times New Roman" w:hint="eastAsia"/>
          <w:lang w:val="en-IN" w:eastAsia="zh-CN" w:bidi="ar"/>
        </w:rPr>
        <w:t>hemorrhages</w:t>
      </w:r>
      <w:proofErr w:type="spellEnd"/>
      <w:r w:rsidR="00DF4A22" w:rsidRPr="00524B65">
        <w:rPr>
          <w:rFonts w:ascii="Calibri" w:eastAsia="Calibri" w:hAnsi="Calibri" w:cs="Times New Roman" w:hint="eastAsia"/>
          <w:lang w:val="en-IN" w:eastAsia="zh-CN" w:bidi="ar"/>
        </w:rPr>
        <w:t xml:space="preserve"> due to the rupture of </w:t>
      </w:r>
      <w:proofErr w:type="spellStart"/>
      <w:r w:rsidR="00DF4A22" w:rsidRPr="00524B65">
        <w:rPr>
          <w:rFonts w:ascii="Calibri" w:eastAsia="Calibri" w:hAnsi="Calibri" w:cs="Times New Roman" w:hint="eastAsia"/>
          <w:lang w:val="en-IN" w:eastAsia="zh-CN" w:bidi="ar"/>
        </w:rPr>
        <w:t>esophageal</w:t>
      </w:r>
      <w:proofErr w:type="spellEnd"/>
      <w:r w:rsidR="00DF4A22" w:rsidRPr="00524B65">
        <w:rPr>
          <w:rFonts w:ascii="Calibri" w:eastAsia="Calibri" w:hAnsi="Calibri" w:cs="Times New Roman" w:hint="eastAsia"/>
          <w:lang w:val="en-IN" w:eastAsia="zh-CN" w:bidi="ar"/>
        </w:rPr>
        <w:t xml:space="preserve"> varices can be life-threatening despite the availability of effective therapeutic options at present [2].Hepatic clearance of portal blood flow may be compromised by portosystemic shunts, thereby leading to hepatic encephalopathy. Furthermore, hypersplenism and circulatory hyperkinesis can be responsible for significant hemodynamic disturbances [1]. In our context, certain studies have reported on the role of portal hypertension (PH) in cirrhosis and in upper gastrointestinal bleeding [3,4,5,6]. Indeed, ultrasound has demonstrated its usefulness in the diagnosis of cirrhosis, with positive predictive values ranging from 66% to 100% depending on the sonographic features [6]. Endoscopic signs of PH also showed good predictive value for the diagnosis of cirrhosis [4]. </w:t>
      </w:r>
      <w:proofErr w:type="spellStart"/>
      <w:r w:rsidR="00DF4A22" w:rsidRPr="00524B65">
        <w:rPr>
          <w:rFonts w:ascii="Calibri" w:eastAsia="Calibri" w:hAnsi="Calibri" w:cs="Times New Roman" w:hint="eastAsia"/>
          <w:lang w:val="en-IN" w:eastAsia="zh-CN" w:bidi="ar"/>
        </w:rPr>
        <w:t>Esophageal</w:t>
      </w:r>
      <w:proofErr w:type="spellEnd"/>
      <w:r w:rsidR="00DF4A22" w:rsidRPr="00524B65">
        <w:rPr>
          <w:rFonts w:ascii="Calibri" w:eastAsia="Calibri" w:hAnsi="Calibri" w:cs="Times New Roman" w:hint="eastAsia"/>
          <w:lang w:val="en-IN" w:eastAsia="zh-CN" w:bidi="ar"/>
        </w:rPr>
        <w:t xml:space="preserve"> varices (EV) are the most frequent endoscopic signs of PH. Furthermore, </w:t>
      </w:r>
      <w:proofErr w:type="spellStart"/>
      <w:r w:rsidR="00DF4A22" w:rsidRPr="00524B65">
        <w:rPr>
          <w:rFonts w:ascii="Calibri" w:eastAsia="Calibri" w:hAnsi="Calibri" w:cs="Times New Roman" w:hint="eastAsia"/>
          <w:lang w:val="en-IN" w:eastAsia="zh-CN" w:bidi="ar"/>
        </w:rPr>
        <w:t>esophageal</w:t>
      </w:r>
      <w:proofErr w:type="spellEnd"/>
      <w:r w:rsidR="00DF4A22" w:rsidRPr="00524B65">
        <w:rPr>
          <w:rFonts w:ascii="Calibri" w:eastAsia="Calibri" w:hAnsi="Calibri" w:cs="Times New Roman" w:hint="eastAsia"/>
          <w:lang w:val="en-IN" w:eastAsia="zh-CN" w:bidi="ar"/>
        </w:rPr>
        <w:t xml:space="preserve"> variceal rupture accounted for 57.6% of the causes of upper gastrointestinal bleeding (UGB) in hospital settings [5]. The best screening tool for these EVs is upper gastrointestinal endoscopy; however, the invasive nature, limited availability, and high cost of this examination restrict its use. The aim of this study was to evaluate the relationship between non-endoscopic signs of cirrhosis and the presence of EVs in order to determine the non-endoscopic factors </w:t>
      </w:r>
      <w:r w:rsidR="00DF4A22" w:rsidRPr="00524B65">
        <w:rPr>
          <w:rFonts w:ascii="Calibri" w:eastAsia="Calibri" w:hAnsi="Calibri" w:cs="Times New Roman" w:hint="eastAsia"/>
          <w:bCs/>
          <w:lang w:val="en-IN" w:eastAsia="zh-CN" w:bidi="ar"/>
        </w:rPr>
        <w:t>Predictive of the presence of VO.</w:t>
      </w:r>
    </w:p>
    <w:p w14:paraId="1814637F" w14:textId="77777777" w:rsidR="0023308B" w:rsidRDefault="00DF4A22">
      <w:pPr>
        <w:spacing w:line="256" w:lineRule="auto"/>
        <w:rPr>
          <w:lang w:val="fr"/>
        </w:rPr>
      </w:pPr>
      <w:r>
        <w:rPr>
          <w:rFonts w:ascii="Calibri" w:eastAsia="Calibri" w:hAnsi="Calibri" w:cs="Times New Roman" w:hint="eastAsia"/>
          <w:lang w:val="fr" w:eastAsia="zh-CN" w:bidi="ar"/>
        </w:rPr>
        <w:t>3. METHODS</w:t>
      </w:r>
    </w:p>
    <w:p w14:paraId="6139B323"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This was a case-control study involving patients with chronic liver disease presenting variceal lesions on endoscopy. These patients were compared to controls with chronic liver disease but without endoscopically confirmed varices. The study was conducted from July 2017 to July 2019 in the Hepato-Gastroenterology Department of CHU Gabriel Touré in Bamako and focused on patients with chronic liver disease, with or without the presence of varices. Inclusion criteria were the presence of chronic liver disease and the performance of an upper digestive endoscopy. All patients underwent a clinical examination including: a medical history investigating past incidences of jaundice, bilharzia, hepatitis, other liver diseases, and upper gastrointestinal bleeding; as well as functional signs such as hematemesis, melena, abdominal pain, </w:t>
      </w:r>
      <w:proofErr w:type="spellStart"/>
      <w:r w:rsidRPr="00524B65">
        <w:rPr>
          <w:rFonts w:ascii="Calibri" w:eastAsia="Calibri" w:hAnsi="Calibri" w:cs="Times New Roman" w:hint="eastAsia"/>
          <w:lang w:val="en-IN" w:eastAsia="zh-CN" w:bidi="ar"/>
        </w:rPr>
        <w:t>dyspnea</w:t>
      </w:r>
      <w:proofErr w:type="spellEnd"/>
      <w:r w:rsidRPr="00524B65">
        <w:rPr>
          <w:rFonts w:ascii="Calibri" w:eastAsia="Calibri" w:hAnsi="Calibri" w:cs="Times New Roman" w:hint="eastAsia"/>
          <w:lang w:val="en-IN" w:eastAsia="zh-CN" w:bidi="ar"/>
        </w:rPr>
        <w:t>, and abdominal distension.</w:t>
      </w:r>
    </w:p>
    <w:p w14:paraId="7D9A21CC" w14:textId="77777777" w:rsidR="0023308B" w:rsidRPr="00524B65" w:rsidRDefault="00DF4A22">
      <w:pPr>
        <w:spacing w:line="256" w:lineRule="auto"/>
        <w:rPr>
          <w:bCs/>
          <w:lang w:val="en-IN"/>
        </w:rPr>
      </w:pPr>
      <w:r w:rsidRPr="00524B65">
        <w:rPr>
          <w:rFonts w:ascii="Calibri" w:eastAsia="Calibri" w:hAnsi="Calibri" w:cs="Times New Roman" w:hint="eastAsia"/>
          <w:lang w:val="en-IN" w:eastAsia="zh-CN" w:bidi="ar"/>
        </w:rPr>
        <w:t xml:space="preserve">-A physical examination searching for signs of portal hypertension: such as abdominal collateral venous circulation, splenomegaly, and ascites; </w:t>
      </w:r>
      <w:r w:rsidRPr="00524B65">
        <w:rPr>
          <w:rFonts w:ascii="Calibri" w:eastAsia="Calibri" w:hAnsi="Calibri" w:cs="Times New Roman" w:hint="eastAsia"/>
          <w:lang w:val="en-IN" w:eastAsia="zh-CN" w:bidi="ar"/>
        </w:rPr>
        <w:br/>
        <w:t xml:space="preserve">Signs of hepatocellular insufficiency: jaundice,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asterixis, spider angioma, palmar erythema, white nails, digital clubbing, gynecomastia, ascites, epistaxis; on rectal examination: melena, </w:t>
      </w:r>
      <w:proofErr w:type="spellStart"/>
      <w:r w:rsidRPr="00524B65">
        <w:rPr>
          <w:rFonts w:ascii="Calibri" w:eastAsia="Calibri" w:hAnsi="Calibri" w:cs="Times New Roman" w:hint="eastAsia"/>
          <w:lang w:val="en-IN" w:eastAsia="zh-CN" w:bidi="ar"/>
        </w:rPr>
        <w:t>hematochezia</w:t>
      </w:r>
      <w:proofErr w:type="spellEnd"/>
      <w:r w:rsidRPr="00524B65">
        <w:rPr>
          <w:rFonts w:ascii="Calibri" w:eastAsia="Calibri" w:hAnsi="Calibri" w:cs="Times New Roman" w:hint="eastAsia"/>
          <w:lang w:val="en-IN" w:eastAsia="zh-CN" w:bidi="ar"/>
        </w:rPr>
        <w:t xml:space="preserve"> (rectal bleeding). </w:t>
      </w:r>
      <w:r w:rsidRPr="00524B65">
        <w:rPr>
          <w:rFonts w:ascii="Calibri" w:eastAsia="Calibri" w:hAnsi="Calibri" w:cs="Times New Roman" w:hint="eastAsia"/>
          <w:lang w:val="en-IN" w:eastAsia="zh-CN" w:bidi="ar"/>
        </w:rPr>
        <w:br/>
        <w:t xml:space="preserve">Paraclinical examinations included: </w:t>
      </w:r>
      <w:r w:rsidRPr="00524B65">
        <w:rPr>
          <w:rFonts w:ascii="Calibri" w:eastAsia="Calibri" w:hAnsi="Calibri" w:cs="Times New Roman" w:hint="eastAsia"/>
          <w:lang w:val="en-IN" w:eastAsia="zh-CN" w:bidi="ar"/>
        </w:rPr>
        <w:br/>
        <w:t xml:space="preserve">*Biology: complete blood count to search for anemia, leukopenia, thrombocytopenia, or even pancytopenia; measurement of prothrombin level, albumin, and bilirubin to evaluate hepatocellular function; alpha-fetoprotein assay for hepatocellular carcinoma (HCC) screening; transaminase level measurement to detect cytolysis; creatinine measurement along with glomerular filtration rate (GFR) calculation, blood ionogram to assess renal function; cytological, chemical, and bacteriological examination </w:t>
      </w:r>
      <w:r w:rsidRPr="00524B65">
        <w:rPr>
          <w:rFonts w:ascii="Calibri" w:eastAsia="Calibri" w:hAnsi="Calibri" w:cs="Times New Roman" w:hint="eastAsia"/>
          <w:bCs/>
          <w:lang w:val="en-IN" w:eastAsia="zh-CN" w:bidi="ar"/>
        </w:rPr>
        <w:t>Ascitic fluid analysis to investigate an infection in the ascitic fluid.</w:t>
      </w:r>
    </w:p>
    <w:p w14:paraId="1D0F9861"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*Morphology: </w:t>
      </w:r>
      <w:proofErr w:type="spellStart"/>
      <w:r w:rsidRPr="00524B65">
        <w:rPr>
          <w:rFonts w:ascii="Calibri" w:eastAsia="Calibri" w:hAnsi="Calibri" w:cs="Times New Roman" w:hint="eastAsia"/>
          <w:lang w:val="en-IN" w:eastAsia="zh-CN" w:bidi="ar"/>
        </w:rPr>
        <w:t>Oesogastroduodenal</w:t>
      </w:r>
      <w:proofErr w:type="spellEnd"/>
      <w:r w:rsidRPr="00524B65">
        <w:rPr>
          <w:rFonts w:ascii="Calibri" w:eastAsia="Calibri" w:hAnsi="Calibri" w:cs="Times New Roman" w:hint="eastAsia"/>
          <w:lang w:val="en-IN" w:eastAsia="zh-CN" w:bidi="ar"/>
        </w:rPr>
        <w:t xml:space="preserve"> </w:t>
      </w:r>
      <w:proofErr w:type="spellStart"/>
      <w:r w:rsidRPr="00524B65">
        <w:rPr>
          <w:rFonts w:ascii="Calibri" w:eastAsia="Calibri" w:hAnsi="Calibri" w:cs="Times New Roman" w:hint="eastAsia"/>
          <w:lang w:val="en-IN" w:eastAsia="zh-CN" w:bidi="ar"/>
        </w:rPr>
        <w:t>fibroscopy</w:t>
      </w:r>
      <w:proofErr w:type="spellEnd"/>
      <w:r w:rsidRPr="00524B65">
        <w:rPr>
          <w:rFonts w:ascii="Calibri" w:eastAsia="Calibri" w:hAnsi="Calibri" w:cs="Times New Roman" w:hint="eastAsia"/>
          <w:lang w:val="en-IN" w:eastAsia="zh-CN" w:bidi="ar"/>
        </w:rPr>
        <w:t xml:space="preserve"> to confirm the presence or absence of varices; abdominal ultrasound: to search for splenomegaly, ascites, dilation of the portal trunk, the splenic vein, hepatic structural abnormalities, and the morphology of other solid organs above the mesocolon.</w:t>
      </w:r>
    </w:p>
    <w:p w14:paraId="7A559215" w14:textId="77777777" w:rsidR="0023308B" w:rsidRPr="00524B65" w:rsidRDefault="0023308B">
      <w:pPr>
        <w:spacing w:line="256" w:lineRule="auto"/>
        <w:rPr>
          <w:lang w:val="en-IN"/>
        </w:rPr>
      </w:pPr>
    </w:p>
    <w:p w14:paraId="3FD22F75" w14:textId="77777777" w:rsidR="0023308B" w:rsidRDefault="00DF4A22">
      <w:pPr>
        <w:spacing w:line="256" w:lineRule="auto"/>
        <w:rPr>
          <w:lang w:val="fr"/>
        </w:rPr>
      </w:pPr>
      <w:r>
        <w:rPr>
          <w:rFonts w:ascii="Calibri" w:eastAsia="Calibri" w:hAnsi="Calibri" w:cs="Times New Roman" w:hint="eastAsia"/>
          <w:lang w:val="fr" w:eastAsia="zh-CN" w:bidi="ar"/>
        </w:rPr>
        <w:t>4- RESULTS</w:t>
      </w:r>
    </w:p>
    <w:p w14:paraId="7D7370D8" w14:textId="77777777" w:rsidR="0023308B" w:rsidRPr="00524B65" w:rsidRDefault="00DF4A22">
      <w:pPr>
        <w:spacing w:line="256" w:lineRule="auto"/>
        <w:rPr>
          <w:lang w:val="en-IN"/>
        </w:rPr>
      </w:pPr>
      <w:r w:rsidRPr="00524B65">
        <w:rPr>
          <w:rFonts w:ascii="Calibri" w:eastAsia="Calibri" w:hAnsi="Calibri" w:cs="Times New Roman" w:hint="eastAsia"/>
          <w:lang w:val="en-IN" w:eastAsia="zh-CN" w:bidi="ar"/>
        </w:rPr>
        <w:t xml:space="preserve">We collected 54 cases of chronic liver disease with the presence of varices, including 35 men and 19 women, with a mean age of 48.7 +/- 14.4 years, which were compared to 54 other cases of chronic liver disease without varices, with a mean age of 42.6 years. The age was not significantly different between the two groups. There was no statistically significant difference in terms of sex between the two groups, being 1.8 for the presence of varices and 2.1 for their absence, respectively. Jaundice was the most frequently observed antecedent in patients with varices, without a statistically significant difference in patients without varices. A consultation for hematemesis during chronic liver disease is predictive of the presence of varices (p=3×10⁻⁵), whereas they were significantly absent in the absence of clinical signs indicative of liver disease (p=2×10⁻³) (Table I). Liver disease was incidentally discovered in 22.3% of cases in the absence of varices (p=2×10⁻³). Clinically, Low blood pressure (p=10^-3), the presence of ascites (p=18×10^-4), hematemesis (p=10^-7), melena (p=10^-7), and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(p=2×10^-4) were significantly associated with the presence of varices; in the absence of varices, hepatomegaly (p=0.6830), ascites (p=0.0018), and jaundice (p=0.6674) were the most frequently reported (Table II). Biologically, only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was significantly associated with the presence of varices. The type of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was not statistically significant in chronic liver disease; cytolysis (51%) and </w:t>
      </w:r>
      <w:proofErr w:type="spellStart"/>
      <w:r w:rsidRPr="00524B65">
        <w:rPr>
          <w:rFonts w:ascii="Calibri" w:eastAsia="Calibri" w:hAnsi="Calibri" w:cs="Times New Roman" w:hint="eastAsia"/>
          <w:lang w:val="en-IN" w:eastAsia="zh-CN" w:bidi="ar"/>
        </w:rPr>
        <w:t>anemia</w:t>
      </w:r>
      <w:proofErr w:type="spellEnd"/>
      <w:r w:rsidRPr="00524B65">
        <w:rPr>
          <w:rFonts w:ascii="Calibri" w:eastAsia="Calibri" w:hAnsi="Calibri" w:cs="Times New Roman" w:hint="eastAsia"/>
          <w:lang w:val="en-IN" w:eastAsia="zh-CN" w:bidi="ar"/>
        </w:rPr>
        <w:t xml:space="preserve"> (46.3%) were present in the absence of varices, with p-values of 0.0275 and 0.00005, respectively (Table III). The severity of liver disease, Child B and C, was predictive of the presence of varices in 37% and 24.1% of cases, respectively. On abdominal ultrasound, ascites (77.8%), heterogeneous liver (66.7%), and a dilated portal vein trunk (33.3%) were significantly associated with the presence of varices (Table IV). The positive predictive value (PPV) of variceal presence was over 72% when the hemoglobin (Hb) level was below 12 g/dl and was associated with ascites or a central venous catheter (CVC). The PPV for the presence of varices was 100% when the CVC was accompanied by an atrophic liver or a dilated portal trunk. The presence of a CVC and a low Hb level had a PPV of 100% for the presence of varices, regardless of the presence of observed ultrasonographic abnormalities (Table V).</w:t>
      </w:r>
    </w:p>
    <w:p w14:paraId="50BD0A66" w14:textId="77777777" w:rsidR="0023308B" w:rsidRDefault="00DF4A22">
      <w:pPr>
        <w:spacing w:line="256" w:lineRule="auto"/>
        <w:rPr>
          <w:lang w:val="fr"/>
        </w:rPr>
      </w:pPr>
      <w:r>
        <w:rPr>
          <w:rFonts w:ascii="Calibri" w:eastAsia="Calibri" w:hAnsi="Calibri" w:cs="Times New Roman" w:hint="eastAsia"/>
          <w:lang w:val="fr" w:eastAsia="zh-CN" w:bidi="ar"/>
        </w:rPr>
        <w:t>4. DISCUSSIONS</w:t>
      </w:r>
    </w:p>
    <w:p w14:paraId="7F44D5AD" w14:textId="77777777" w:rsidR="0023308B" w:rsidRPr="00524B65" w:rsidRDefault="00DF4A22">
      <w:pPr>
        <w:spacing w:line="256" w:lineRule="auto"/>
        <w:rPr>
          <w:bCs/>
          <w:lang w:val="en-IN"/>
        </w:rPr>
      </w:pPr>
      <w:r w:rsidRPr="00524B65">
        <w:rPr>
          <w:rFonts w:ascii="Calibri" w:eastAsia="Calibri" w:hAnsi="Calibri" w:cs="Times New Roman" w:hint="eastAsia"/>
          <w:lang w:val="en-IN" w:eastAsia="zh-CN" w:bidi="ar"/>
        </w:rPr>
        <w:t xml:space="preserve">This prospective study, conducted from July 2017 to July 2019, involved 54 cases of chronic liver disease with the presence of VO, which were compared to 54 other cases of chronic liver disease without VO. Our sample is underestimated because some patients were unable to complete the additional examinations necessary for their inclusion. However, this sample size allowed us to conduct an analysis that led to the proposal of a predictive model for the presence of VO in chronic liver disease. The mean age of the patients did not differ significantly between the two groups (VO+: 48.7 years, ±14.4, ranging from 18 to 75 years; VO-: 42.6 years, ±14.7, ranging from 15 to 78 years). This result is comparable to that of </w:t>
      </w:r>
      <w:proofErr w:type="spellStart"/>
      <w:r w:rsidRPr="00524B65">
        <w:rPr>
          <w:rFonts w:ascii="Calibri" w:eastAsia="Calibri" w:hAnsi="Calibri" w:cs="Times New Roman" w:hint="eastAsia"/>
          <w:lang w:val="en-IN" w:eastAsia="zh-CN" w:bidi="ar"/>
        </w:rPr>
        <w:t>Madhotra</w:t>
      </w:r>
      <w:proofErr w:type="spellEnd"/>
      <w:r w:rsidRPr="00524B65">
        <w:rPr>
          <w:rFonts w:ascii="Calibri" w:eastAsia="Calibri" w:hAnsi="Calibri" w:cs="Times New Roman" w:hint="eastAsia"/>
          <w:lang w:val="en-IN" w:eastAsia="zh-CN" w:bidi="ar"/>
        </w:rPr>
        <w:t xml:space="preserve"> et al. </w:t>
      </w:r>
      <w:r>
        <w:rPr>
          <w:rFonts w:ascii="Calibri" w:eastAsia="Calibri" w:hAnsi="Calibri" w:cs="Times New Roman" w:hint="eastAsia"/>
          <w:lang w:val="fr" w:eastAsia="zh-CN" w:bidi="ar"/>
        </w:rPr>
        <w:t xml:space="preserve">[7], </w:t>
      </w:r>
      <w:proofErr w:type="spellStart"/>
      <w:r>
        <w:rPr>
          <w:rFonts w:ascii="Calibri" w:eastAsia="Calibri" w:hAnsi="Calibri" w:cs="Times New Roman" w:hint="eastAsia"/>
          <w:lang w:val="fr" w:eastAsia="zh-CN" w:bidi="ar"/>
        </w:rPr>
        <w:t>who</w:t>
      </w:r>
      <w:proofErr w:type="spellEnd"/>
      <w:r>
        <w:rPr>
          <w:rFonts w:ascii="Calibri" w:eastAsia="Calibri" w:hAnsi="Calibri" w:cs="Times New Roman" w:hint="eastAsia"/>
          <w:lang w:val="fr" w:eastAsia="zh-CN" w:bidi="ar"/>
        </w:rPr>
        <w:t xml:space="preserve"> </w:t>
      </w:r>
      <w:proofErr w:type="spellStart"/>
      <w:r>
        <w:rPr>
          <w:rFonts w:ascii="Calibri" w:eastAsia="Calibri" w:hAnsi="Calibri" w:cs="Times New Roman" w:hint="eastAsia"/>
          <w:lang w:val="fr" w:eastAsia="zh-CN" w:bidi="ar"/>
        </w:rPr>
        <w:t>reported</w:t>
      </w:r>
      <w:proofErr w:type="spellEnd"/>
      <w:r>
        <w:rPr>
          <w:rFonts w:ascii="Calibri" w:eastAsia="Calibri" w:hAnsi="Calibri" w:cs="Times New Roman" w:hint="eastAsia"/>
          <w:lang w:val="fr" w:eastAsia="zh-CN" w:bidi="ar"/>
        </w:rPr>
        <w:t xml:space="preserve"> a </w:t>
      </w:r>
      <w:proofErr w:type="spellStart"/>
      <w:r>
        <w:rPr>
          <w:rFonts w:ascii="Calibri" w:eastAsia="Calibri" w:hAnsi="Calibri" w:cs="Times New Roman" w:hint="eastAsia"/>
          <w:lang w:val="fr" w:eastAsia="zh-CN" w:bidi="ar"/>
        </w:rPr>
        <w:t>mean</w:t>
      </w:r>
      <w:proofErr w:type="spellEnd"/>
      <w:r>
        <w:rPr>
          <w:rFonts w:ascii="Calibri" w:eastAsia="Calibri" w:hAnsi="Calibri" w:cs="Times New Roman" w:hint="eastAsia"/>
          <w:lang w:val="fr" w:eastAsia="zh-CN" w:bidi="ar"/>
        </w:rPr>
        <w:t xml:space="preserve"> </w:t>
      </w:r>
      <w:proofErr w:type="spellStart"/>
      <w:r>
        <w:rPr>
          <w:rFonts w:ascii="Calibri" w:eastAsia="Calibri" w:hAnsi="Calibri" w:cs="Times New Roman" w:hint="eastAsia"/>
          <w:lang w:val="fr" w:eastAsia="zh-CN" w:bidi="ar"/>
        </w:rPr>
        <w:t>age</w:t>
      </w:r>
      <w:proofErr w:type="spellEnd"/>
      <w:r>
        <w:rPr>
          <w:rFonts w:ascii="Calibri" w:eastAsia="Calibri" w:hAnsi="Calibri" w:cs="Times New Roman" w:hint="eastAsia"/>
          <w:lang w:val="fr" w:eastAsia="zh-CN" w:bidi="ar"/>
        </w:rPr>
        <w:t xml:space="preserve"> of 51 </w:t>
      </w:r>
      <w:proofErr w:type="spellStart"/>
      <w:r>
        <w:rPr>
          <w:rFonts w:ascii="Calibri" w:eastAsia="Calibri" w:hAnsi="Calibri" w:cs="Times New Roman" w:hint="eastAsia"/>
          <w:lang w:val="fr" w:eastAsia="zh-CN" w:bidi="ar"/>
        </w:rPr>
        <w:t>years</w:t>
      </w:r>
      <w:proofErr w:type="spellEnd"/>
      <w:r>
        <w:rPr>
          <w:rFonts w:ascii="Calibri" w:eastAsia="Calibri" w:hAnsi="Calibri" w:cs="Times New Roman" w:hint="eastAsia"/>
          <w:lang w:val="fr" w:eastAsia="zh-CN" w:bidi="ar"/>
        </w:rPr>
        <w:t xml:space="preserve">. </w:t>
      </w:r>
      <w:r w:rsidRPr="00524B65">
        <w:rPr>
          <w:rFonts w:ascii="Calibri" w:eastAsia="Calibri" w:hAnsi="Calibri" w:cs="Times New Roman" w:hint="eastAsia"/>
          <w:lang w:val="en-IN" w:eastAsia="zh-CN" w:bidi="ar"/>
        </w:rPr>
        <w:t xml:space="preserve">The sex ratio in this study showed a male predominance in both groups. </w:t>
      </w:r>
      <w:proofErr w:type="spellStart"/>
      <w:r w:rsidRPr="00524B65">
        <w:rPr>
          <w:rFonts w:ascii="Calibri" w:eastAsia="Calibri" w:hAnsi="Calibri" w:cs="Times New Roman" w:hint="eastAsia"/>
          <w:lang w:val="en-IN" w:eastAsia="zh-CN" w:bidi="ar"/>
        </w:rPr>
        <w:t>Madhotra</w:t>
      </w:r>
      <w:proofErr w:type="spellEnd"/>
      <w:r w:rsidRPr="00524B65">
        <w:rPr>
          <w:rFonts w:ascii="Calibri" w:eastAsia="Calibri" w:hAnsi="Calibri" w:cs="Times New Roman" w:hint="eastAsia"/>
          <w:lang w:val="en-IN" w:eastAsia="zh-CN" w:bidi="ar"/>
        </w:rPr>
        <w:t xml:space="preserve"> et al. [7] also found a sex ratio of 1.7. This male prevalence could be explained </w:t>
      </w:r>
      <w:r w:rsidRPr="00524B65">
        <w:rPr>
          <w:rFonts w:ascii="Calibri" w:eastAsia="Calibri" w:hAnsi="Calibri" w:cs="Times New Roman" w:hint="eastAsia"/>
          <w:bCs/>
          <w:lang w:val="en-IN" w:eastAsia="zh-CN" w:bidi="ar"/>
        </w:rPr>
        <w:t xml:space="preserve">due to the more frequent exposure of individuals to risk factors for the development of chronic liver disease. The most common medical history was jaundice (14.8%). This frequency was confirmed by several studies [8 and 9], although they reported significantly higher rates (26.3% and 26.4%, respectively). This history could be explained by the occurrence of viral hepatitis in our context. Ascites (57.4%), hematemesis (48.1%), and arterial hypotension (29.6%) were the most frequently observed clinical signs among our patients with VO. Biologically, only anemia was significantly </w:t>
      </w:r>
      <w:r w:rsidRPr="00524B65">
        <w:rPr>
          <w:rFonts w:ascii="Calibri" w:eastAsia="Calibri" w:hAnsi="Calibri" w:cs="Times New Roman" w:hint="eastAsia"/>
          <w:bCs/>
          <w:lang w:val="en-IN" w:eastAsia="zh-CN" w:bidi="ar"/>
        </w:rPr>
        <w:lastRenderedPageBreak/>
        <w:t xml:space="preserve">associated with the presence of VO (P=5.10⁻⁵). A low platelet count was not considered a predictive factor for VO, which contrasts with the findings of Nina et al. [10] and Asma et al. [11], where a low platelet count was identified as a predictive factor for VO. In our study, a prothrombin time (PT) of less than 50% was not significantly associated with the presence of VO [p=0.06]; however, a low PT constitutes a positive predictive factor for The presence of VO in those reported by Asma et al. </w:t>
      </w:r>
      <w:r>
        <w:rPr>
          <w:rFonts w:ascii="Calibri" w:eastAsia="Calibri" w:hAnsi="Calibri" w:cs="Times New Roman" w:hint="eastAsia"/>
          <w:bCs/>
          <w:lang w:val="fr" w:eastAsia="zh-CN" w:bidi="ar"/>
        </w:rPr>
        <w:t xml:space="preserve">[11] (p &lt; 0.05). </w:t>
      </w:r>
      <w:r w:rsidRPr="00524B65">
        <w:rPr>
          <w:rFonts w:ascii="Calibri" w:eastAsia="Calibri" w:hAnsi="Calibri" w:cs="Times New Roman" w:hint="eastAsia"/>
          <w:bCs/>
          <w:lang w:val="en-IN" w:eastAsia="zh-CN" w:bidi="ar"/>
        </w:rPr>
        <w:t>The presence of VO was statistically significant in cases of advanced liver disease (CHILD B and C, with p values of 5×10^-7 and 6.7×10^-3, respectively). This observation could be attributed to the fact that in Sub-Saharan Africa, patients generally seek medical consultation only when the disease is already advanced, due to financial difficulties and limited access to specialized care, among other factors.</w:t>
      </w:r>
      <w:r w:rsidRPr="00524B65">
        <w:rPr>
          <w:rFonts w:ascii="Helvetica" w:eastAsia="Helvetica" w:hAnsi="Helvetica" w:cs="Helvetica"/>
          <w:color w:val="005BA1"/>
          <w:sz w:val="20"/>
          <w:szCs w:val="20"/>
          <w:shd w:val="clear" w:color="auto" w:fill="EBF6FF"/>
          <w:lang w:val="en-IN" w:eastAsia="zh-CN" w:bidi="ar"/>
        </w:rPr>
        <w:t xml:space="preserve"> </w:t>
      </w:r>
      <w:r w:rsidRPr="00524B65">
        <w:rPr>
          <w:rFonts w:ascii="Calibri" w:eastAsia="Calibri" w:hAnsi="Calibri" w:cs="Times New Roman" w:hint="eastAsia"/>
          <w:bCs/>
          <w:lang w:val="en-IN" w:eastAsia="zh-CN" w:bidi="ar"/>
        </w:rPr>
        <w:t>According to Jú</w:t>
      </w:r>
      <w:proofErr w:type="spellStart"/>
      <w:r w:rsidRPr="00524B65">
        <w:rPr>
          <w:rFonts w:ascii="Calibri" w:eastAsia="Calibri" w:hAnsi="Calibri" w:cs="Times New Roman" w:hint="eastAsia"/>
          <w:bCs/>
          <w:lang w:val="en-IN" w:eastAsia="zh-CN" w:bidi="ar"/>
        </w:rPr>
        <w:t>lio</w:t>
      </w:r>
      <w:proofErr w:type="spellEnd"/>
      <w:r w:rsidRPr="00524B65">
        <w:rPr>
          <w:rFonts w:ascii="Calibri" w:eastAsia="Calibri" w:hAnsi="Calibri" w:cs="Times New Roman" w:hint="eastAsia"/>
          <w:bCs/>
          <w:lang w:val="en-IN" w:eastAsia="zh-CN" w:bidi="ar"/>
        </w:rPr>
        <w:t xml:space="preserve"> et al. [12], the rupture of </w:t>
      </w:r>
      <w:proofErr w:type="spellStart"/>
      <w:r w:rsidRPr="00524B65">
        <w:rPr>
          <w:rFonts w:ascii="Calibri" w:eastAsia="Calibri" w:hAnsi="Calibri" w:cs="Times New Roman" w:hint="eastAsia"/>
          <w:bCs/>
          <w:lang w:val="en-IN" w:eastAsia="zh-CN" w:bidi="ar"/>
        </w:rPr>
        <w:t>esophageal</w:t>
      </w:r>
      <w:proofErr w:type="spellEnd"/>
      <w:r w:rsidRPr="00524B65">
        <w:rPr>
          <w:rFonts w:ascii="Calibri" w:eastAsia="Calibri" w:hAnsi="Calibri" w:cs="Times New Roman" w:hint="eastAsia"/>
          <w:bCs/>
          <w:lang w:val="en-IN" w:eastAsia="zh-CN" w:bidi="ar"/>
        </w:rPr>
        <w:t xml:space="preserve"> varices (EV) was significantly associated with an advanced stage of cirrhotic disease (p&lt;0.05). A dilated portal trunk on abdominal ultrasound was significantly associated with the presence of EV (p=0.005). This confirms the results reported by Gorka [13] (p&lt;0.02), Medha [14] (p&lt;0.05), and </w:t>
      </w:r>
      <w:proofErr w:type="spellStart"/>
      <w:r w:rsidRPr="00524B65">
        <w:rPr>
          <w:rFonts w:ascii="Calibri" w:eastAsia="Calibri" w:hAnsi="Calibri" w:cs="Times New Roman" w:hint="eastAsia"/>
          <w:bCs/>
          <w:lang w:val="en-IN" w:eastAsia="zh-CN" w:bidi="ar"/>
        </w:rPr>
        <w:t>Schepsis</w:t>
      </w:r>
      <w:proofErr w:type="spellEnd"/>
      <w:r w:rsidRPr="00524B65">
        <w:rPr>
          <w:rFonts w:ascii="Calibri" w:eastAsia="Calibri" w:hAnsi="Calibri" w:cs="Times New Roman" w:hint="eastAsia"/>
          <w:bCs/>
          <w:lang w:val="en-IN" w:eastAsia="zh-CN" w:bidi="ar"/>
        </w:rPr>
        <w:t xml:space="preserve"> [15] (p=0.0002). In 77.8% of cases, ascites was associated with the presence of EV. This result is comparable to that of Lavergne et al. </w:t>
      </w:r>
      <w:r>
        <w:rPr>
          <w:rFonts w:ascii="Calibri" w:eastAsia="Calibri" w:hAnsi="Calibri" w:cs="Times New Roman" w:hint="eastAsia"/>
          <w:bCs/>
          <w:lang w:val="fr" w:eastAsia="zh-CN" w:bidi="ar"/>
        </w:rPr>
        <w:t xml:space="preserve">[16], </w:t>
      </w:r>
      <w:proofErr w:type="spellStart"/>
      <w:r>
        <w:rPr>
          <w:rFonts w:ascii="Calibri" w:eastAsia="Calibri" w:hAnsi="Calibri" w:cs="Times New Roman" w:hint="eastAsia"/>
          <w:bCs/>
          <w:lang w:val="fr" w:eastAsia="zh-CN" w:bidi="ar"/>
        </w:rPr>
        <w:t>which</w:t>
      </w:r>
      <w:proofErr w:type="spellEnd"/>
      <w:r>
        <w:rPr>
          <w:rFonts w:ascii="Calibri" w:eastAsia="Calibri" w:hAnsi="Calibri" w:cs="Times New Roman" w:hint="eastAsia"/>
          <w:bCs/>
          <w:lang w:val="fr" w:eastAsia="zh-CN" w:bidi="ar"/>
        </w:rPr>
        <w:t xml:space="preserve"> </w:t>
      </w:r>
      <w:proofErr w:type="spellStart"/>
      <w:r>
        <w:rPr>
          <w:rFonts w:ascii="Calibri" w:eastAsia="Calibri" w:hAnsi="Calibri" w:cs="Times New Roman" w:hint="eastAsia"/>
          <w:bCs/>
          <w:lang w:val="fr" w:eastAsia="zh-CN" w:bidi="ar"/>
        </w:rPr>
        <w:t>was</w:t>
      </w:r>
      <w:proofErr w:type="spellEnd"/>
      <w:r>
        <w:rPr>
          <w:rFonts w:ascii="Calibri" w:eastAsia="Calibri" w:hAnsi="Calibri" w:cs="Times New Roman" w:hint="eastAsia"/>
          <w:bCs/>
          <w:lang w:val="fr" w:eastAsia="zh-CN" w:bidi="ar"/>
        </w:rPr>
        <w:t xml:space="preserve"> 79%. </w:t>
      </w:r>
      <w:r w:rsidRPr="00524B65">
        <w:rPr>
          <w:rFonts w:ascii="Calibri" w:eastAsia="Calibri" w:hAnsi="Calibri" w:cs="Times New Roman" w:hint="eastAsia"/>
          <w:bCs/>
          <w:lang w:val="en-IN" w:eastAsia="zh-CN" w:bidi="ar"/>
        </w:rPr>
        <w:t xml:space="preserve">Splenomegaly did not emerge as a predictive factor for the presence of EV (p=0.08), unlike Medhat [14] (p&lt;0.01) and </w:t>
      </w:r>
      <w:proofErr w:type="spellStart"/>
      <w:r w:rsidRPr="00524B65">
        <w:rPr>
          <w:rFonts w:ascii="Calibri" w:eastAsia="Calibri" w:hAnsi="Calibri" w:cs="Times New Roman" w:hint="eastAsia"/>
          <w:bCs/>
          <w:lang w:val="en-IN" w:eastAsia="zh-CN" w:bidi="ar"/>
        </w:rPr>
        <w:t>Schepsis</w:t>
      </w:r>
      <w:proofErr w:type="spellEnd"/>
      <w:r w:rsidRPr="00524B65">
        <w:rPr>
          <w:rFonts w:ascii="Calibri" w:eastAsia="Calibri" w:hAnsi="Calibri" w:cs="Times New Roman" w:hint="eastAsia"/>
          <w:bCs/>
          <w:lang w:val="en-IN" w:eastAsia="zh-CN" w:bidi="ar"/>
        </w:rPr>
        <w:t xml:space="preserve"> [15] (p&lt;0.0002), where splenomegaly was found to be a predictive factor for EV. This difference can be explained by its lack of sensitivity in tropical regions where many infectious or parasitic diseases may cause its occurrence. Ascites and heterogeneous hepatomegaly associated with a </w:t>
      </w:r>
      <w:proofErr w:type="spellStart"/>
      <w:r w:rsidRPr="00524B65">
        <w:rPr>
          <w:rFonts w:ascii="Calibri" w:eastAsia="Calibri" w:hAnsi="Calibri" w:cs="Times New Roman" w:hint="eastAsia"/>
          <w:bCs/>
          <w:lang w:val="en-IN" w:eastAsia="zh-CN" w:bidi="ar"/>
        </w:rPr>
        <w:t>hemoglobin</w:t>
      </w:r>
      <w:proofErr w:type="spellEnd"/>
      <w:r w:rsidRPr="00524B65">
        <w:rPr>
          <w:rFonts w:ascii="Calibri" w:eastAsia="Calibri" w:hAnsi="Calibri" w:cs="Times New Roman" w:hint="eastAsia"/>
          <w:bCs/>
          <w:lang w:val="en-IN" w:eastAsia="zh-CN" w:bidi="ar"/>
        </w:rPr>
        <w:t xml:space="preserve"> level below  at 12 g/dl, they had a good positive predictive value for the presence of VO. Our result differs from Thomopoulos's prediction model for the presence of VO [17], which is based on ascites, splenomegaly, and a low platelet count. The CVC associated with a dilated portal trunk and a hemoglobin level below 12 g/dl are predictive of the presence of VO in 100% of cases.</w:t>
      </w:r>
    </w:p>
    <w:p w14:paraId="0EC639E6" w14:textId="77777777" w:rsidR="0023308B" w:rsidRDefault="00DF4A22">
      <w:pPr>
        <w:spacing w:line="256" w:lineRule="auto"/>
        <w:rPr>
          <w:bCs/>
          <w:lang w:val="fr"/>
        </w:rPr>
      </w:pPr>
      <w:r>
        <w:rPr>
          <w:rFonts w:ascii="Calibri" w:eastAsia="Calibri" w:hAnsi="Calibri" w:cs="Times New Roman" w:hint="eastAsia"/>
          <w:bCs/>
          <w:lang w:val="fr" w:eastAsia="zh-CN" w:bidi="ar"/>
        </w:rPr>
        <w:t>CONCLUSION</w:t>
      </w:r>
    </w:p>
    <w:p w14:paraId="65A7DD55" w14:textId="77777777" w:rsidR="0023308B" w:rsidRPr="00524B65" w:rsidRDefault="00DF4A22">
      <w:pPr>
        <w:spacing w:line="256" w:lineRule="auto"/>
        <w:rPr>
          <w:rFonts w:ascii="Calibri" w:eastAsia="Calibri" w:hAnsi="Calibri" w:cs="Times New Roman"/>
          <w:bCs/>
          <w:lang w:val="en-IN" w:eastAsia="zh-CN" w:bidi="ar"/>
        </w:rPr>
      </w:pPr>
      <w:r w:rsidRPr="00524B65">
        <w:rPr>
          <w:rFonts w:ascii="Calibri" w:eastAsia="Calibri" w:hAnsi="Calibri" w:cs="Times New Roman" w:hint="eastAsia"/>
          <w:bCs/>
          <w:lang w:val="en-IN" w:eastAsia="zh-CN" w:bidi="ar"/>
        </w:rPr>
        <w:t>Currently, the BAVENO VI consensus conference recommends universal endoscopic screening for varices in patients with cirrhosis, combined with selective primary prevention. However, universal screening for varices is, on one hand, relatively invasive and burdensome, and on the other, costly. It is therefore important to be able to reevaluate screening strategies in light of decision analyses that consider effectiveness, cost, and acceptability in order to determine their feasibility; this requires studying the role of non-invasive diagnosis of varices within these strategies. Our results could serve as a useful tool to restrict gastroscopy indications to only those patients who are truly likely to have varices.</w:t>
      </w:r>
    </w:p>
    <w:p w14:paraId="73E2E93B" w14:textId="77777777" w:rsidR="002F607E" w:rsidRPr="00524B65" w:rsidRDefault="002F607E">
      <w:pPr>
        <w:spacing w:line="256" w:lineRule="auto"/>
        <w:rPr>
          <w:rFonts w:ascii="Calibri" w:eastAsia="Calibri" w:hAnsi="Calibri" w:cs="Times New Roman"/>
          <w:bCs/>
          <w:lang w:val="en-IN" w:eastAsia="zh-CN" w:bidi="ar"/>
        </w:rPr>
      </w:pPr>
    </w:p>
    <w:p w14:paraId="631A7717" w14:textId="77777777" w:rsidR="002F607E" w:rsidRDefault="002F607E" w:rsidP="002F607E">
      <w:pPr>
        <w:rPr>
          <w:highlight w:val="yellow"/>
        </w:rPr>
      </w:pPr>
      <w:r>
        <w:rPr>
          <w:highlight w:val="yellow"/>
        </w:rPr>
        <w:t>Disclaimer (Artificial intelligence)</w:t>
      </w:r>
    </w:p>
    <w:p w14:paraId="09579489" w14:textId="77777777" w:rsidR="002F607E" w:rsidRDefault="002F607E" w:rsidP="002F607E">
      <w:pPr>
        <w:rPr>
          <w:highlight w:val="yellow"/>
        </w:rPr>
      </w:pPr>
      <w:r>
        <w:rPr>
          <w:highlight w:val="yellow"/>
        </w:rPr>
        <w:t xml:space="preserve">Option 1: </w:t>
      </w:r>
    </w:p>
    <w:p w14:paraId="7FEA03D0" w14:textId="77777777" w:rsidR="002F607E" w:rsidRDefault="002F607E" w:rsidP="002F607E">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FA13DAB" w14:textId="77777777" w:rsidR="002F607E" w:rsidRPr="00524B65" w:rsidRDefault="002F607E">
      <w:pPr>
        <w:spacing w:line="256" w:lineRule="auto"/>
        <w:rPr>
          <w:rFonts w:ascii="Calibri" w:eastAsia="Calibri" w:hAnsi="Calibri" w:cs="Times New Roman"/>
          <w:bCs/>
          <w:lang w:val="en-IN" w:eastAsia="zh-CN" w:bidi="ar"/>
        </w:rPr>
      </w:pPr>
    </w:p>
    <w:p w14:paraId="77C7B3BE" w14:textId="77777777" w:rsidR="0023308B" w:rsidRDefault="00DF4A22">
      <w:pPr>
        <w:spacing w:line="256" w:lineRule="auto"/>
        <w:rPr>
          <w:rFonts w:ascii="Calibri" w:eastAsia="Calibri" w:hAnsi="Calibri" w:cs="Times New Roman"/>
          <w:bCs/>
          <w:lang w:val="fr" w:eastAsia="zh-CN" w:bidi="ar"/>
        </w:rPr>
      </w:pPr>
      <w:r>
        <w:rPr>
          <w:rFonts w:ascii="Calibri" w:eastAsia="Calibri" w:hAnsi="Calibri" w:cs="Times New Roman" w:hint="eastAsia"/>
          <w:bCs/>
          <w:lang w:val="fr" w:eastAsia="zh-CN" w:bidi="ar"/>
        </w:rPr>
        <w:t>7-References</w:t>
      </w:r>
    </w:p>
    <w:p w14:paraId="477BE33A" w14:textId="77777777" w:rsidR="00BC565D" w:rsidRDefault="00BC565D">
      <w:pPr>
        <w:pStyle w:val="NormalWeb"/>
        <w:numPr>
          <w:ilvl w:val="0"/>
          <w:numId w:val="1"/>
        </w:numPr>
        <w:ind w:left="0"/>
        <w:rPr>
          <w:bCs/>
          <w:lang w:val="fr"/>
        </w:rPr>
      </w:pPr>
      <w:proofErr w:type="spellStart"/>
      <w:r w:rsidRPr="00BC565D">
        <w:rPr>
          <w:bCs/>
          <w:lang w:val="fr"/>
        </w:rPr>
        <w:lastRenderedPageBreak/>
        <w:t>Dajti</w:t>
      </w:r>
      <w:proofErr w:type="spellEnd"/>
      <w:r w:rsidRPr="00BC565D">
        <w:rPr>
          <w:bCs/>
          <w:lang w:val="fr"/>
        </w:rPr>
        <w:t xml:space="preserve"> E, </w:t>
      </w:r>
      <w:proofErr w:type="spellStart"/>
      <w:r w:rsidRPr="00BC565D">
        <w:rPr>
          <w:bCs/>
          <w:lang w:val="fr"/>
        </w:rPr>
        <w:t>Ravaioli</w:t>
      </w:r>
      <w:proofErr w:type="spellEnd"/>
      <w:r w:rsidRPr="00BC565D">
        <w:rPr>
          <w:bCs/>
          <w:lang w:val="fr"/>
        </w:rPr>
        <w:t xml:space="preserve"> F, </w:t>
      </w:r>
      <w:proofErr w:type="spellStart"/>
      <w:r w:rsidRPr="00BC565D">
        <w:rPr>
          <w:bCs/>
          <w:lang w:val="fr"/>
        </w:rPr>
        <w:t>Zykus</w:t>
      </w:r>
      <w:proofErr w:type="spellEnd"/>
      <w:r w:rsidRPr="00BC565D">
        <w:rPr>
          <w:bCs/>
          <w:lang w:val="fr"/>
        </w:rPr>
        <w:t xml:space="preserve"> R, </w:t>
      </w:r>
      <w:proofErr w:type="spellStart"/>
      <w:r w:rsidRPr="00BC565D">
        <w:rPr>
          <w:bCs/>
          <w:lang w:val="fr"/>
        </w:rPr>
        <w:t>Rautou</w:t>
      </w:r>
      <w:proofErr w:type="spellEnd"/>
      <w:r w:rsidRPr="00BC565D">
        <w:rPr>
          <w:bCs/>
          <w:lang w:val="fr"/>
        </w:rPr>
        <w:t xml:space="preserve"> PE, </w:t>
      </w:r>
      <w:proofErr w:type="spellStart"/>
      <w:r w:rsidRPr="00BC565D">
        <w:rPr>
          <w:bCs/>
          <w:lang w:val="fr"/>
        </w:rPr>
        <w:t>Elkrief</w:t>
      </w:r>
      <w:proofErr w:type="spellEnd"/>
      <w:r w:rsidRPr="00BC565D">
        <w:rPr>
          <w:bCs/>
          <w:lang w:val="fr"/>
        </w:rPr>
        <w:t xml:space="preserve"> L, </w:t>
      </w:r>
      <w:proofErr w:type="spellStart"/>
      <w:r w:rsidRPr="00BC565D">
        <w:rPr>
          <w:bCs/>
          <w:lang w:val="fr"/>
        </w:rPr>
        <w:t>Grgurevic</w:t>
      </w:r>
      <w:proofErr w:type="spellEnd"/>
      <w:r w:rsidRPr="00BC565D">
        <w:rPr>
          <w:bCs/>
          <w:lang w:val="fr"/>
        </w:rPr>
        <w:t xml:space="preserve"> I, </w:t>
      </w:r>
      <w:proofErr w:type="spellStart"/>
      <w:r w:rsidRPr="00BC565D">
        <w:rPr>
          <w:bCs/>
          <w:lang w:val="fr"/>
        </w:rPr>
        <w:t>Stefanescu</w:t>
      </w:r>
      <w:proofErr w:type="spellEnd"/>
      <w:r w:rsidRPr="00BC565D">
        <w:rPr>
          <w:bCs/>
          <w:lang w:val="fr"/>
        </w:rPr>
        <w:t xml:space="preserve"> H, </w:t>
      </w:r>
      <w:proofErr w:type="spellStart"/>
      <w:r w:rsidRPr="00BC565D">
        <w:rPr>
          <w:bCs/>
          <w:lang w:val="fr"/>
        </w:rPr>
        <w:t>Hirooka</w:t>
      </w:r>
      <w:proofErr w:type="spellEnd"/>
      <w:r w:rsidRPr="00BC565D">
        <w:rPr>
          <w:bCs/>
          <w:lang w:val="fr"/>
        </w:rPr>
        <w:t xml:space="preserve"> M, </w:t>
      </w:r>
      <w:proofErr w:type="spellStart"/>
      <w:r w:rsidRPr="00BC565D">
        <w:rPr>
          <w:bCs/>
          <w:lang w:val="fr"/>
        </w:rPr>
        <w:t>Fraquelli</w:t>
      </w:r>
      <w:proofErr w:type="spellEnd"/>
      <w:r w:rsidRPr="00BC565D">
        <w:rPr>
          <w:bCs/>
          <w:lang w:val="fr"/>
        </w:rPr>
        <w:t xml:space="preserve"> M, Rosselli M, Chang PE. </w:t>
      </w:r>
      <w:proofErr w:type="spellStart"/>
      <w:r w:rsidRPr="00BC565D">
        <w:rPr>
          <w:bCs/>
          <w:lang w:val="fr"/>
        </w:rPr>
        <w:t>Accuracy</w:t>
      </w:r>
      <w:proofErr w:type="spellEnd"/>
      <w:r w:rsidRPr="00BC565D">
        <w:rPr>
          <w:bCs/>
          <w:lang w:val="fr"/>
        </w:rPr>
        <w:t xml:space="preserve"> of spleen </w:t>
      </w:r>
      <w:proofErr w:type="spellStart"/>
      <w:r w:rsidRPr="00BC565D">
        <w:rPr>
          <w:bCs/>
          <w:lang w:val="fr"/>
        </w:rPr>
        <w:t>stiffness</w:t>
      </w:r>
      <w:proofErr w:type="spellEnd"/>
      <w:r w:rsidRPr="00BC565D">
        <w:rPr>
          <w:bCs/>
          <w:lang w:val="fr"/>
        </w:rPr>
        <w:t xml:space="preserve"> </w:t>
      </w:r>
      <w:proofErr w:type="spellStart"/>
      <w:r w:rsidRPr="00BC565D">
        <w:rPr>
          <w:bCs/>
          <w:lang w:val="fr"/>
        </w:rPr>
        <w:t>measurement</w:t>
      </w:r>
      <w:proofErr w:type="spellEnd"/>
      <w:r w:rsidRPr="00BC565D">
        <w:rPr>
          <w:bCs/>
          <w:lang w:val="fr"/>
        </w:rPr>
        <w:t xml:space="preserve"> for the </w:t>
      </w:r>
      <w:proofErr w:type="spellStart"/>
      <w:r w:rsidRPr="00BC565D">
        <w:rPr>
          <w:bCs/>
          <w:lang w:val="fr"/>
        </w:rPr>
        <w:t>diagnosis</w:t>
      </w:r>
      <w:proofErr w:type="spellEnd"/>
      <w:r w:rsidRPr="00BC565D">
        <w:rPr>
          <w:bCs/>
          <w:lang w:val="fr"/>
        </w:rPr>
        <w:t xml:space="preserve"> of </w:t>
      </w:r>
      <w:proofErr w:type="spellStart"/>
      <w:r w:rsidRPr="00BC565D">
        <w:rPr>
          <w:bCs/>
          <w:lang w:val="fr"/>
        </w:rPr>
        <w:t>clinically</w:t>
      </w:r>
      <w:proofErr w:type="spellEnd"/>
      <w:r w:rsidRPr="00BC565D">
        <w:rPr>
          <w:bCs/>
          <w:lang w:val="fr"/>
        </w:rPr>
        <w:t xml:space="preserve"> </w:t>
      </w:r>
      <w:proofErr w:type="spellStart"/>
      <w:r w:rsidRPr="00BC565D">
        <w:rPr>
          <w:bCs/>
          <w:lang w:val="fr"/>
        </w:rPr>
        <w:t>significant</w:t>
      </w:r>
      <w:proofErr w:type="spellEnd"/>
      <w:r w:rsidRPr="00BC565D">
        <w:rPr>
          <w:bCs/>
          <w:lang w:val="fr"/>
        </w:rPr>
        <w:t xml:space="preserve"> portal hypertension in patients </w:t>
      </w:r>
      <w:proofErr w:type="spellStart"/>
      <w:r w:rsidRPr="00BC565D">
        <w:rPr>
          <w:bCs/>
          <w:lang w:val="fr"/>
        </w:rPr>
        <w:t>with</w:t>
      </w:r>
      <w:proofErr w:type="spellEnd"/>
      <w:r w:rsidRPr="00BC565D">
        <w:rPr>
          <w:bCs/>
          <w:lang w:val="fr"/>
        </w:rPr>
        <w:t xml:space="preserve"> </w:t>
      </w:r>
      <w:proofErr w:type="spellStart"/>
      <w:r w:rsidRPr="00BC565D">
        <w:rPr>
          <w:bCs/>
          <w:lang w:val="fr"/>
        </w:rPr>
        <w:t>compensated</w:t>
      </w:r>
      <w:proofErr w:type="spellEnd"/>
      <w:r w:rsidRPr="00BC565D">
        <w:rPr>
          <w:bCs/>
          <w:lang w:val="fr"/>
        </w:rPr>
        <w:t xml:space="preserve"> </w:t>
      </w:r>
      <w:proofErr w:type="spellStart"/>
      <w:r w:rsidRPr="00BC565D">
        <w:rPr>
          <w:bCs/>
          <w:lang w:val="fr"/>
        </w:rPr>
        <w:t>advanced</w:t>
      </w:r>
      <w:proofErr w:type="spellEnd"/>
      <w:r w:rsidRPr="00BC565D">
        <w:rPr>
          <w:bCs/>
          <w:lang w:val="fr"/>
        </w:rPr>
        <w:t xml:space="preserve"> </w:t>
      </w:r>
      <w:proofErr w:type="spellStart"/>
      <w:r w:rsidRPr="00BC565D">
        <w:rPr>
          <w:bCs/>
          <w:lang w:val="fr"/>
        </w:rPr>
        <w:t>chronic</w:t>
      </w:r>
      <w:proofErr w:type="spellEnd"/>
      <w:r w:rsidRPr="00BC565D">
        <w:rPr>
          <w:bCs/>
          <w:lang w:val="fr"/>
        </w:rPr>
        <w:t xml:space="preserve"> </w:t>
      </w:r>
      <w:proofErr w:type="spellStart"/>
      <w:r w:rsidRPr="00BC565D">
        <w:rPr>
          <w:bCs/>
          <w:lang w:val="fr"/>
        </w:rPr>
        <w:t>liver</w:t>
      </w:r>
      <w:proofErr w:type="spellEnd"/>
      <w:r w:rsidRPr="00BC565D">
        <w:rPr>
          <w:bCs/>
          <w:lang w:val="fr"/>
        </w:rPr>
        <w:t xml:space="preserve"> </w:t>
      </w:r>
      <w:proofErr w:type="spellStart"/>
      <w:r w:rsidRPr="00BC565D">
        <w:rPr>
          <w:bCs/>
          <w:lang w:val="fr"/>
        </w:rPr>
        <w:t>disease</w:t>
      </w:r>
      <w:proofErr w:type="spellEnd"/>
      <w:r w:rsidRPr="00BC565D">
        <w:rPr>
          <w:bCs/>
          <w:lang w:val="fr"/>
        </w:rPr>
        <w:t xml:space="preserve">: </w:t>
      </w:r>
      <w:proofErr w:type="spellStart"/>
      <w:r w:rsidRPr="00BC565D">
        <w:rPr>
          <w:bCs/>
          <w:lang w:val="fr"/>
        </w:rPr>
        <w:t>a</w:t>
      </w:r>
      <w:proofErr w:type="spellEnd"/>
      <w:r w:rsidRPr="00BC565D">
        <w:rPr>
          <w:bCs/>
          <w:lang w:val="fr"/>
        </w:rPr>
        <w:t xml:space="preserve"> </w:t>
      </w:r>
      <w:proofErr w:type="spellStart"/>
      <w:r w:rsidRPr="00BC565D">
        <w:rPr>
          <w:bCs/>
          <w:lang w:val="fr"/>
        </w:rPr>
        <w:t>systematic</w:t>
      </w:r>
      <w:proofErr w:type="spellEnd"/>
      <w:r w:rsidRPr="00BC565D">
        <w:rPr>
          <w:bCs/>
          <w:lang w:val="fr"/>
        </w:rPr>
        <w:t xml:space="preserve"> </w:t>
      </w:r>
      <w:proofErr w:type="spellStart"/>
      <w:r w:rsidRPr="00BC565D">
        <w:rPr>
          <w:bCs/>
          <w:lang w:val="fr"/>
        </w:rPr>
        <w:t>review</w:t>
      </w:r>
      <w:proofErr w:type="spellEnd"/>
      <w:r w:rsidRPr="00BC565D">
        <w:rPr>
          <w:bCs/>
          <w:lang w:val="fr"/>
        </w:rPr>
        <w:t xml:space="preserve"> and </w:t>
      </w:r>
      <w:proofErr w:type="spellStart"/>
      <w:r w:rsidRPr="00BC565D">
        <w:rPr>
          <w:bCs/>
          <w:lang w:val="fr"/>
        </w:rPr>
        <w:t>individual</w:t>
      </w:r>
      <w:proofErr w:type="spellEnd"/>
      <w:r w:rsidRPr="00BC565D">
        <w:rPr>
          <w:bCs/>
          <w:lang w:val="fr"/>
        </w:rPr>
        <w:t xml:space="preserve"> patient data </w:t>
      </w:r>
      <w:proofErr w:type="spellStart"/>
      <w:r w:rsidRPr="00BC565D">
        <w:rPr>
          <w:bCs/>
          <w:lang w:val="fr"/>
        </w:rPr>
        <w:t>meta-analysis</w:t>
      </w:r>
      <w:proofErr w:type="spellEnd"/>
      <w:r w:rsidRPr="00BC565D">
        <w:rPr>
          <w:bCs/>
          <w:lang w:val="fr"/>
        </w:rPr>
        <w:t xml:space="preserve">. The Lancet </w:t>
      </w:r>
      <w:proofErr w:type="spellStart"/>
      <w:r w:rsidRPr="00BC565D">
        <w:rPr>
          <w:bCs/>
          <w:lang w:val="fr"/>
        </w:rPr>
        <w:t>Gastroenterology</w:t>
      </w:r>
      <w:proofErr w:type="spellEnd"/>
      <w:r w:rsidRPr="00BC565D">
        <w:rPr>
          <w:bCs/>
          <w:lang w:val="fr"/>
        </w:rPr>
        <w:t xml:space="preserve"> &amp; </w:t>
      </w:r>
      <w:proofErr w:type="spellStart"/>
      <w:r w:rsidRPr="00BC565D">
        <w:rPr>
          <w:bCs/>
          <w:lang w:val="fr"/>
        </w:rPr>
        <w:t>Hepatology</w:t>
      </w:r>
      <w:proofErr w:type="spellEnd"/>
      <w:r w:rsidRPr="00BC565D">
        <w:rPr>
          <w:bCs/>
          <w:lang w:val="fr"/>
        </w:rPr>
        <w:t>. 2023 Sep 1;8(9):816-28.</w:t>
      </w:r>
    </w:p>
    <w:p w14:paraId="2609C5AF" w14:textId="76C90654" w:rsidR="0023308B" w:rsidRPr="00BC565D" w:rsidRDefault="00DF4A22" w:rsidP="00BC565D">
      <w:pPr>
        <w:pStyle w:val="NormalWeb"/>
        <w:numPr>
          <w:ilvl w:val="0"/>
          <w:numId w:val="1"/>
        </w:numPr>
        <w:ind w:left="0"/>
        <w:rPr>
          <w:bCs/>
          <w:lang w:val="fr"/>
        </w:rPr>
      </w:pPr>
      <w:r w:rsidRPr="00BC565D">
        <w:rPr>
          <w:bCs/>
          <w:lang w:val="fr"/>
        </w:rPr>
        <w:t xml:space="preserve">Guillaume M, </w:t>
      </w:r>
      <w:proofErr w:type="spellStart"/>
      <w:r w:rsidRPr="00BC565D">
        <w:rPr>
          <w:bCs/>
          <w:lang w:val="fr"/>
        </w:rPr>
        <w:t>Cervoni</w:t>
      </w:r>
      <w:proofErr w:type="spellEnd"/>
      <w:r w:rsidRPr="00BC565D">
        <w:rPr>
          <w:bCs/>
          <w:lang w:val="fr"/>
        </w:rPr>
        <w:t xml:space="preserve"> JP, </w:t>
      </w:r>
      <w:proofErr w:type="spellStart"/>
      <w:r w:rsidRPr="00BC565D">
        <w:rPr>
          <w:bCs/>
          <w:lang w:val="fr"/>
        </w:rPr>
        <w:t>Chagneau</w:t>
      </w:r>
      <w:proofErr w:type="spellEnd"/>
      <w:r w:rsidRPr="00BC565D">
        <w:rPr>
          <w:bCs/>
          <w:lang w:val="fr"/>
        </w:rPr>
        <w:t xml:space="preserve"> </w:t>
      </w:r>
      <w:proofErr w:type="spellStart"/>
      <w:r w:rsidRPr="00BC565D">
        <w:rPr>
          <w:bCs/>
          <w:lang w:val="fr"/>
        </w:rPr>
        <w:t>Derrode</w:t>
      </w:r>
      <w:proofErr w:type="spellEnd"/>
      <w:r w:rsidRPr="00BC565D">
        <w:rPr>
          <w:bCs/>
          <w:lang w:val="fr"/>
        </w:rPr>
        <w:t xml:space="preserve"> C, Plessier A, </w:t>
      </w:r>
      <w:proofErr w:type="spellStart"/>
      <w:r w:rsidRPr="00BC565D">
        <w:rPr>
          <w:bCs/>
          <w:lang w:val="fr"/>
        </w:rPr>
        <w:t>Cardonell</w:t>
      </w:r>
      <w:proofErr w:type="spellEnd"/>
      <w:r w:rsidRPr="00BC565D">
        <w:rPr>
          <w:bCs/>
          <w:lang w:val="fr"/>
        </w:rPr>
        <w:t xml:space="preserve"> N. Portal hypertension: </w:t>
      </w:r>
      <w:proofErr w:type="spellStart"/>
      <w:r w:rsidRPr="00BC565D">
        <w:rPr>
          <w:bCs/>
          <w:lang w:val="fr"/>
        </w:rPr>
        <w:t>pathophysiology</w:t>
      </w:r>
      <w:proofErr w:type="spellEnd"/>
      <w:r w:rsidRPr="00BC565D">
        <w:rPr>
          <w:bCs/>
          <w:lang w:val="fr"/>
        </w:rPr>
        <w:t xml:space="preserve">, causes, </w:t>
      </w:r>
      <w:proofErr w:type="spellStart"/>
      <w:r w:rsidRPr="00BC565D">
        <w:rPr>
          <w:bCs/>
          <w:lang w:val="fr"/>
        </w:rPr>
        <w:t>diagnosis</w:t>
      </w:r>
      <w:proofErr w:type="spellEnd"/>
      <w:r w:rsidRPr="00BC565D">
        <w:rPr>
          <w:bCs/>
          <w:lang w:val="fr"/>
        </w:rPr>
        <w:t xml:space="preserve">, and </w:t>
      </w:r>
      <w:proofErr w:type="spellStart"/>
      <w:r w:rsidRPr="00BC565D">
        <w:rPr>
          <w:bCs/>
          <w:lang w:val="fr"/>
        </w:rPr>
        <w:t>treatment</w:t>
      </w:r>
      <w:proofErr w:type="spellEnd"/>
      <w:r w:rsidRPr="00BC565D">
        <w:rPr>
          <w:bCs/>
          <w:lang w:val="fr"/>
        </w:rPr>
        <w:t xml:space="preserve">. </w:t>
      </w:r>
      <w:proofErr w:type="spellStart"/>
      <w:r w:rsidRPr="00BC565D">
        <w:rPr>
          <w:bCs/>
          <w:lang w:val="fr"/>
        </w:rPr>
        <w:t>Hepato</w:t>
      </w:r>
      <w:proofErr w:type="spellEnd"/>
      <w:r w:rsidRPr="00BC565D">
        <w:rPr>
          <w:bCs/>
          <w:lang w:val="fr"/>
        </w:rPr>
        <w:t xml:space="preserve"> Gastro 2015; 22: 40-56</w:t>
      </w:r>
    </w:p>
    <w:p w14:paraId="5FF18790" w14:textId="77777777" w:rsidR="0023308B" w:rsidRPr="00524B65" w:rsidRDefault="00DF4A22">
      <w:pPr>
        <w:pStyle w:val="NormalWeb"/>
        <w:numPr>
          <w:ilvl w:val="0"/>
          <w:numId w:val="1"/>
        </w:numPr>
        <w:ind w:left="0"/>
        <w:rPr>
          <w:lang w:val="en-IN"/>
        </w:rPr>
      </w:pPr>
      <w:r w:rsidRPr="00524B65">
        <w:rPr>
          <w:lang w:val="pt-BR"/>
        </w:rPr>
        <w:t xml:space="preserve">Dembélé M, D Minta, Sidibé S, Maiga MY, Traoré A, Traoré H A, et al. </w:t>
      </w:r>
      <w:proofErr w:type="spellStart"/>
      <w:r w:rsidRPr="00524B65">
        <w:rPr>
          <w:lang w:val="en-IN"/>
        </w:rPr>
        <w:t>Etiologies</w:t>
      </w:r>
      <w:proofErr w:type="spellEnd"/>
      <w:r w:rsidRPr="00524B65">
        <w:rPr>
          <w:lang w:val="en-IN"/>
        </w:rPr>
        <w:t xml:space="preserve"> of portal hypertension syndrome in tropical settings. Acta </w:t>
      </w:r>
      <w:proofErr w:type="spellStart"/>
      <w:r w:rsidRPr="00524B65">
        <w:rPr>
          <w:lang w:val="en-IN"/>
        </w:rPr>
        <w:t>Endoscopica</w:t>
      </w:r>
      <w:proofErr w:type="spellEnd"/>
      <w:r w:rsidRPr="00524B65">
        <w:rPr>
          <w:lang w:val="en-IN"/>
        </w:rPr>
        <w:t xml:space="preserve"> 2005; 35: 779-784.</w:t>
      </w:r>
    </w:p>
    <w:p w14:paraId="4FEA99F8" w14:textId="77777777" w:rsidR="0023308B" w:rsidRDefault="00DF4A22">
      <w:pPr>
        <w:pStyle w:val="NormalWeb"/>
        <w:numPr>
          <w:ilvl w:val="0"/>
          <w:numId w:val="1"/>
        </w:numPr>
        <w:ind w:left="0"/>
        <w:rPr>
          <w:lang w:val="fr"/>
        </w:rPr>
      </w:pPr>
      <w:r w:rsidRPr="00524B65">
        <w:rPr>
          <w:lang w:val="en-IN"/>
        </w:rPr>
        <w:t xml:space="preserve"> Maiga MY, M Dembélé M, Diallo F, Traoré HA, Traoré AK, Guindo A. Diagnostic value of upper endoscopy during cirrhosis. </w:t>
      </w:r>
      <w:r>
        <w:rPr>
          <w:lang w:val="fr"/>
        </w:rPr>
        <w:t xml:space="preserve">Acta </w:t>
      </w:r>
      <w:proofErr w:type="spellStart"/>
      <w:r>
        <w:rPr>
          <w:lang w:val="fr"/>
        </w:rPr>
        <w:t>Endoscopica</w:t>
      </w:r>
      <w:proofErr w:type="spellEnd"/>
      <w:r>
        <w:rPr>
          <w:lang w:val="fr"/>
        </w:rPr>
        <w:t xml:space="preserve"> 2002; 32: 211-214.</w:t>
      </w:r>
    </w:p>
    <w:p w14:paraId="1827901B" w14:textId="77777777" w:rsidR="00554666" w:rsidRPr="00554666" w:rsidRDefault="00554666">
      <w:pPr>
        <w:pStyle w:val="NormalWeb"/>
        <w:numPr>
          <w:ilvl w:val="0"/>
          <w:numId w:val="1"/>
        </w:numPr>
        <w:ind w:left="0"/>
        <w:rPr>
          <w:lang w:val="fr"/>
        </w:rPr>
      </w:pPr>
      <w:r w:rsidRPr="00554666">
        <w:rPr>
          <w:lang w:val="en-IN"/>
        </w:rPr>
        <w:t>Orpen-Palmer J, Stanley AJ. Update on the management of upper gastrointestinal bleeding. BMJ medicine. 2022 Sep 28;1(1):e000202.</w:t>
      </w:r>
    </w:p>
    <w:p w14:paraId="0FAFC7F8" w14:textId="229DBB4F" w:rsidR="00554666" w:rsidRDefault="00554666">
      <w:pPr>
        <w:pStyle w:val="NormalWeb"/>
        <w:numPr>
          <w:ilvl w:val="0"/>
          <w:numId w:val="1"/>
        </w:numPr>
        <w:ind w:left="0"/>
        <w:rPr>
          <w:lang w:val="fr"/>
        </w:rPr>
      </w:pPr>
      <w:proofErr w:type="spellStart"/>
      <w:r w:rsidRPr="00554666">
        <w:rPr>
          <w:lang w:val="fr"/>
        </w:rPr>
        <w:t>Leibenguth</w:t>
      </w:r>
      <w:proofErr w:type="spellEnd"/>
      <w:r w:rsidRPr="00554666">
        <w:rPr>
          <w:lang w:val="fr"/>
        </w:rPr>
        <w:t xml:space="preserve"> MT, Coulibaly JT, </w:t>
      </w:r>
      <w:proofErr w:type="spellStart"/>
      <w:r w:rsidRPr="00554666">
        <w:rPr>
          <w:lang w:val="fr"/>
        </w:rPr>
        <w:t>Silué</w:t>
      </w:r>
      <w:proofErr w:type="spellEnd"/>
      <w:r w:rsidRPr="00554666">
        <w:rPr>
          <w:lang w:val="fr"/>
        </w:rPr>
        <w:t xml:space="preserve"> KD, N’</w:t>
      </w:r>
      <w:proofErr w:type="spellStart"/>
      <w:r w:rsidRPr="00554666">
        <w:rPr>
          <w:lang w:val="fr"/>
        </w:rPr>
        <w:t>Gbesso</w:t>
      </w:r>
      <w:proofErr w:type="spellEnd"/>
      <w:r w:rsidRPr="00554666">
        <w:rPr>
          <w:lang w:val="fr"/>
        </w:rPr>
        <w:t xml:space="preserve"> YK, El </w:t>
      </w:r>
      <w:proofErr w:type="spellStart"/>
      <w:r w:rsidRPr="00554666">
        <w:rPr>
          <w:lang w:val="fr"/>
        </w:rPr>
        <w:t>Wahed</w:t>
      </w:r>
      <w:proofErr w:type="spellEnd"/>
      <w:r w:rsidRPr="00554666">
        <w:rPr>
          <w:lang w:val="fr"/>
        </w:rPr>
        <w:t xml:space="preserve"> AA, </w:t>
      </w:r>
      <w:proofErr w:type="spellStart"/>
      <w:r w:rsidRPr="00554666">
        <w:rPr>
          <w:lang w:val="fr"/>
        </w:rPr>
        <w:t>Utzinger</w:t>
      </w:r>
      <w:proofErr w:type="spellEnd"/>
      <w:r w:rsidRPr="00554666">
        <w:rPr>
          <w:lang w:val="fr"/>
        </w:rPr>
        <w:t xml:space="preserve"> J, Becker SL, </w:t>
      </w:r>
      <w:proofErr w:type="spellStart"/>
      <w:r w:rsidRPr="00554666">
        <w:rPr>
          <w:lang w:val="fr"/>
        </w:rPr>
        <w:t>Schneitler</w:t>
      </w:r>
      <w:proofErr w:type="spellEnd"/>
      <w:r w:rsidRPr="00554666">
        <w:rPr>
          <w:lang w:val="fr"/>
        </w:rPr>
        <w:t xml:space="preserve"> S. Rapid </w:t>
      </w:r>
      <w:proofErr w:type="spellStart"/>
      <w:r w:rsidRPr="00554666">
        <w:rPr>
          <w:lang w:val="fr"/>
        </w:rPr>
        <w:t>appraisal</w:t>
      </w:r>
      <w:proofErr w:type="spellEnd"/>
      <w:r w:rsidRPr="00554666">
        <w:rPr>
          <w:lang w:val="fr"/>
        </w:rPr>
        <w:t xml:space="preserve"> of </w:t>
      </w:r>
      <w:proofErr w:type="spellStart"/>
      <w:r w:rsidRPr="00554666">
        <w:rPr>
          <w:lang w:val="fr"/>
        </w:rPr>
        <w:t>liver</w:t>
      </w:r>
      <w:proofErr w:type="spellEnd"/>
      <w:r w:rsidRPr="00554666">
        <w:rPr>
          <w:lang w:val="fr"/>
        </w:rPr>
        <w:t xml:space="preserve"> </w:t>
      </w:r>
      <w:proofErr w:type="spellStart"/>
      <w:r w:rsidRPr="00554666">
        <w:rPr>
          <w:lang w:val="fr"/>
        </w:rPr>
        <w:t>diseases</w:t>
      </w:r>
      <w:proofErr w:type="spellEnd"/>
      <w:r w:rsidRPr="00554666">
        <w:rPr>
          <w:lang w:val="fr"/>
        </w:rPr>
        <w:t xml:space="preserve"> </w:t>
      </w:r>
      <w:proofErr w:type="spellStart"/>
      <w:r w:rsidRPr="00554666">
        <w:rPr>
          <w:lang w:val="fr"/>
        </w:rPr>
        <w:t>using</w:t>
      </w:r>
      <w:proofErr w:type="spellEnd"/>
      <w:r w:rsidRPr="00554666">
        <w:rPr>
          <w:lang w:val="fr"/>
        </w:rPr>
        <w:t xml:space="preserve"> transient </w:t>
      </w:r>
      <w:proofErr w:type="spellStart"/>
      <w:r w:rsidRPr="00554666">
        <w:rPr>
          <w:lang w:val="fr"/>
        </w:rPr>
        <w:t>elastography</w:t>
      </w:r>
      <w:proofErr w:type="spellEnd"/>
      <w:r w:rsidRPr="00554666">
        <w:rPr>
          <w:lang w:val="fr"/>
        </w:rPr>
        <w:t xml:space="preserve">, abdominal </w:t>
      </w:r>
      <w:proofErr w:type="spellStart"/>
      <w:r w:rsidRPr="00554666">
        <w:rPr>
          <w:lang w:val="fr"/>
        </w:rPr>
        <w:t>ultrasound</w:t>
      </w:r>
      <w:proofErr w:type="spellEnd"/>
      <w:r w:rsidRPr="00554666">
        <w:rPr>
          <w:lang w:val="fr"/>
        </w:rPr>
        <w:t xml:space="preserve">, and </w:t>
      </w:r>
      <w:proofErr w:type="spellStart"/>
      <w:r w:rsidRPr="00554666">
        <w:rPr>
          <w:lang w:val="fr"/>
        </w:rPr>
        <w:t>microbiology</w:t>
      </w:r>
      <w:proofErr w:type="spellEnd"/>
      <w:r w:rsidRPr="00554666">
        <w:rPr>
          <w:lang w:val="fr"/>
        </w:rPr>
        <w:t xml:space="preserve"> in Côte d’Ivoire: A single-center </w:t>
      </w:r>
      <w:proofErr w:type="spellStart"/>
      <w:r w:rsidRPr="00554666">
        <w:rPr>
          <w:lang w:val="fr"/>
        </w:rPr>
        <w:t>study</w:t>
      </w:r>
      <w:proofErr w:type="spellEnd"/>
      <w:r w:rsidRPr="00554666">
        <w:rPr>
          <w:lang w:val="fr"/>
        </w:rPr>
        <w:t xml:space="preserve">. PLOS </w:t>
      </w:r>
      <w:proofErr w:type="spellStart"/>
      <w:r w:rsidRPr="00554666">
        <w:rPr>
          <w:lang w:val="fr"/>
        </w:rPr>
        <w:t>Neglected</w:t>
      </w:r>
      <w:proofErr w:type="spellEnd"/>
      <w:r w:rsidRPr="00554666">
        <w:rPr>
          <w:lang w:val="fr"/>
        </w:rPr>
        <w:t xml:space="preserve"> Tropical </w:t>
      </w:r>
      <w:proofErr w:type="spellStart"/>
      <w:r w:rsidRPr="00554666">
        <w:rPr>
          <w:lang w:val="fr"/>
        </w:rPr>
        <w:t>Diseases</w:t>
      </w:r>
      <w:proofErr w:type="spellEnd"/>
      <w:r w:rsidRPr="00554666">
        <w:rPr>
          <w:lang w:val="fr"/>
        </w:rPr>
        <w:t>. 2024 Jun 20;18(6):e0012262.</w:t>
      </w:r>
    </w:p>
    <w:p w14:paraId="681E4A3F" w14:textId="66240A66" w:rsidR="0023308B" w:rsidRDefault="00DF4A22">
      <w:pPr>
        <w:pStyle w:val="NormalWeb"/>
        <w:numPr>
          <w:ilvl w:val="0"/>
          <w:numId w:val="1"/>
        </w:numPr>
        <w:ind w:left="0"/>
        <w:rPr>
          <w:lang w:val="fr"/>
        </w:rPr>
      </w:pPr>
      <w:r w:rsidRPr="00524B65">
        <w:rPr>
          <w:lang w:val="en-IN"/>
        </w:rPr>
        <w:t xml:space="preserve"> </w:t>
      </w:r>
      <w:proofErr w:type="spellStart"/>
      <w:r w:rsidRPr="00524B65">
        <w:rPr>
          <w:lang w:val="en-IN"/>
        </w:rPr>
        <w:t>Madhotra</w:t>
      </w:r>
      <w:proofErr w:type="spellEnd"/>
      <w:r w:rsidRPr="00524B65">
        <w:rPr>
          <w:lang w:val="en-IN"/>
        </w:rPr>
        <w:t xml:space="preserve"> R, </w:t>
      </w:r>
      <w:proofErr w:type="spellStart"/>
      <w:r w:rsidRPr="00524B65">
        <w:rPr>
          <w:lang w:val="en-IN"/>
        </w:rPr>
        <w:t>Mucalhy</w:t>
      </w:r>
      <w:proofErr w:type="spellEnd"/>
      <w:r w:rsidRPr="00524B65">
        <w:rPr>
          <w:lang w:val="en-IN"/>
        </w:rPr>
        <w:t xml:space="preserve"> HE, Willner I, Reuben A. Prediction of </w:t>
      </w:r>
      <w:proofErr w:type="spellStart"/>
      <w:r w:rsidRPr="00524B65">
        <w:rPr>
          <w:lang w:val="en-IN"/>
        </w:rPr>
        <w:t>esophageal</w:t>
      </w:r>
      <w:proofErr w:type="spellEnd"/>
      <w:r w:rsidRPr="00524B65">
        <w:rPr>
          <w:lang w:val="en-IN"/>
        </w:rPr>
        <w:t xml:space="preserve"> varices in patients with cirrhosis. </w:t>
      </w:r>
      <w:r>
        <w:rPr>
          <w:lang w:val="fr"/>
        </w:rPr>
        <w:t xml:space="preserve">J Clin </w:t>
      </w:r>
      <w:proofErr w:type="spellStart"/>
      <w:r>
        <w:rPr>
          <w:lang w:val="fr"/>
        </w:rPr>
        <w:t>Gastroenterol</w:t>
      </w:r>
      <w:proofErr w:type="spellEnd"/>
      <w:r>
        <w:rPr>
          <w:lang w:val="fr"/>
        </w:rPr>
        <w:t xml:space="preserve"> 2002; 34: 81-85.8. </w:t>
      </w:r>
    </w:p>
    <w:p w14:paraId="6C0D5B02" w14:textId="77777777" w:rsidR="00554666" w:rsidRPr="00554666" w:rsidRDefault="00554666">
      <w:pPr>
        <w:pStyle w:val="NormalWeb"/>
        <w:numPr>
          <w:ilvl w:val="0"/>
          <w:numId w:val="1"/>
        </w:numPr>
        <w:ind w:left="0"/>
        <w:rPr>
          <w:lang w:val="fr"/>
        </w:rPr>
      </w:pPr>
      <w:r w:rsidRPr="00554666">
        <w:rPr>
          <w:lang w:val="en-IN"/>
        </w:rPr>
        <w:t>Toure B, Diouf MN, Gueye MN, Niang N, Fall AA, Diouf G, Dia D, Mbengue M, TOURE B, Diouf MN, NIANG N. Hepatic Encephalopathy in the Hepato-Gastroenterology and Internal Medicine Department of General Idrissa Pouye Hospital: A Retrospective Prognostic Study of 69 Cases. Cureus. 2025 Sep 20;17(9).</w:t>
      </w:r>
    </w:p>
    <w:p w14:paraId="1725A506" w14:textId="2B836D85" w:rsidR="0023308B" w:rsidRDefault="00DF4A22">
      <w:pPr>
        <w:pStyle w:val="NormalWeb"/>
        <w:numPr>
          <w:ilvl w:val="0"/>
          <w:numId w:val="1"/>
        </w:numPr>
        <w:ind w:left="0"/>
        <w:rPr>
          <w:lang w:val="fr"/>
        </w:rPr>
      </w:pPr>
      <w:r w:rsidRPr="00524B65">
        <w:rPr>
          <w:lang w:val="en-IN"/>
        </w:rPr>
        <w:t xml:space="preserve">Doumbia, H. Sow, M. Y. Dicko, S. D. Sanogo, M. S. Tounkara, K. </w:t>
      </w:r>
      <w:proofErr w:type="spellStart"/>
      <w:r w:rsidRPr="00524B65">
        <w:rPr>
          <w:lang w:val="en-IN"/>
        </w:rPr>
        <w:t>Péliaba</w:t>
      </w:r>
      <w:proofErr w:type="spellEnd"/>
      <w:r w:rsidRPr="00524B65">
        <w:rPr>
          <w:lang w:val="en-IN"/>
        </w:rPr>
        <w:t xml:space="preserve"> et al. Digestive bleeding due to rupture of </w:t>
      </w:r>
      <w:proofErr w:type="spellStart"/>
      <w:r w:rsidRPr="00524B65">
        <w:rPr>
          <w:lang w:val="en-IN"/>
        </w:rPr>
        <w:t>esophageal</w:t>
      </w:r>
      <w:proofErr w:type="spellEnd"/>
      <w:r w:rsidRPr="00524B65">
        <w:rPr>
          <w:lang w:val="en-IN"/>
        </w:rPr>
        <w:t xml:space="preserve"> varices and prognostic value of blood transfusion in the </w:t>
      </w:r>
      <w:proofErr w:type="spellStart"/>
      <w:r w:rsidRPr="00524B65">
        <w:rPr>
          <w:lang w:val="en-IN"/>
        </w:rPr>
        <w:t>hepatogastroenterology</w:t>
      </w:r>
      <w:proofErr w:type="spellEnd"/>
      <w:r w:rsidRPr="00524B65">
        <w:rPr>
          <w:lang w:val="en-IN"/>
        </w:rPr>
        <w:t xml:space="preserve"> department of Gabriel Toure Hospital. </w:t>
      </w:r>
      <w:r>
        <w:rPr>
          <w:lang w:val="fr"/>
        </w:rPr>
        <w:t xml:space="preserve">Open Journal of </w:t>
      </w:r>
      <w:proofErr w:type="spellStart"/>
      <w:r>
        <w:rPr>
          <w:lang w:val="fr"/>
        </w:rPr>
        <w:t>Gastroenterology</w:t>
      </w:r>
      <w:proofErr w:type="spellEnd"/>
      <w:r>
        <w:rPr>
          <w:lang w:val="fr"/>
        </w:rPr>
        <w:t xml:space="preserve"> 2021; 11: 75-8010.</w:t>
      </w:r>
    </w:p>
    <w:p w14:paraId="1A38A0FD" w14:textId="77777777" w:rsidR="0023308B" w:rsidRDefault="00DF4A22">
      <w:pPr>
        <w:pStyle w:val="NormalWeb"/>
        <w:numPr>
          <w:ilvl w:val="0"/>
          <w:numId w:val="1"/>
        </w:numPr>
        <w:ind w:left="0"/>
        <w:rPr>
          <w:lang w:val="fr"/>
        </w:rPr>
      </w:pPr>
      <w:r w:rsidRPr="00524B65">
        <w:rPr>
          <w:lang w:val="en-IN"/>
        </w:rPr>
        <w:t xml:space="preserve">Nina D, Anselme K, Frédéric O, Paul C. Non-invasive diagnosis of portal hypertension during cirrhosis. CHU, Angers. </w:t>
      </w:r>
      <w:proofErr w:type="spellStart"/>
      <w:r>
        <w:rPr>
          <w:lang w:val="fr"/>
        </w:rPr>
        <w:t>Gastroenterol</w:t>
      </w:r>
      <w:proofErr w:type="spellEnd"/>
      <w:r>
        <w:rPr>
          <w:lang w:val="fr"/>
        </w:rPr>
        <w:t xml:space="preserve"> Clin Biol 2005; 29: 975-987</w:t>
      </w:r>
    </w:p>
    <w:p w14:paraId="0984BA2B" w14:textId="77777777" w:rsidR="0023308B" w:rsidRDefault="00DF4A22">
      <w:pPr>
        <w:pStyle w:val="NormalWeb"/>
        <w:numPr>
          <w:ilvl w:val="0"/>
          <w:numId w:val="1"/>
        </w:numPr>
        <w:ind w:left="0"/>
        <w:rPr>
          <w:lang w:val="fr"/>
        </w:rPr>
      </w:pPr>
      <w:r>
        <w:rPr>
          <w:lang w:val="fr"/>
        </w:rPr>
        <w:t xml:space="preserve">Asma </w:t>
      </w:r>
      <w:proofErr w:type="spellStart"/>
      <w:r>
        <w:rPr>
          <w:lang w:val="fr"/>
        </w:rPr>
        <w:t>Mensi</w:t>
      </w:r>
      <w:proofErr w:type="spellEnd"/>
      <w:r>
        <w:rPr>
          <w:lang w:val="fr"/>
        </w:rPr>
        <w:t xml:space="preserve">, Amel </w:t>
      </w:r>
      <w:proofErr w:type="spellStart"/>
      <w:r>
        <w:rPr>
          <w:lang w:val="fr"/>
        </w:rPr>
        <w:t>Medhioub</w:t>
      </w:r>
      <w:proofErr w:type="spellEnd"/>
      <w:r>
        <w:rPr>
          <w:lang w:val="fr"/>
        </w:rPr>
        <w:t xml:space="preserve">, </w:t>
      </w:r>
      <w:proofErr w:type="spellStart"/>
      <w:r>
        <w:rPr>
          <w:lang w:val="fr"/>
        </w:rPr>
        <w:t>Nouha</w:t>
      </w:r>
      <w:proofErr w:type="spellEnd"/>
      <w:r>
        <w:rPr>
          <w:lang w:val="fr"/>
        </w:rPr>
        <w:t xml:space="preserve"> Trad, Emna Bel Haj Mabrouk, </w:t>
      </w:r>
      <w:proofErr w:type="spellStart"/>
      <w:r>
        <w:rPr>
          <w:lang w:val="fr"/>
        </w:rPr>
        <w:t>Yosra</w:t>
      </w:r>
      <w:proofErr w:type="spellEnd"/>
      <w:r>
        <w:rPr>
          <w:lang w:val="fr"/>
        </w:rPr>
        <w:t xml:space="preserve"> Said, </w:t>
      </w:r>
      <w:proofErr w:type="spellStart"/>
      <w:r>
        <w:rPr>
          <w:lang w:val="fr"/>
        </w:rPr>
        <w:t>Radhouane</w:t>
      </w:r>
      <w:proofErr w:type="spellEnd"/>
      <w:r>
        <w:rPr>
          <w:lang w:val="fr"/>
        </w:rPr>
        <w:t xml:space="preserve"> </w:t>
      </w:r>
      <w:proofErr w:type="spellStart"/>
      <w:r>
        <w:rPr>
          <w:lang w:val="fr"/>
        </w:rPr>
        <w:t>Debbeche</w:t>
      </w:r>
      <w:proofErr w:type="spellEnd"/>
      <w:r>
        <w:rPr>
          <w:lang w:val="fr"/>
        </w:rPr>
        <w:t xml:space="preserve">. </w:t>
      </w:r>
      <w:r w:rsidRPr="00524B65">
        <w:rPr>
          <w:lang w:val="en-IN"/>
        </w:rPr>
        <w:t xml:space="preserve">Diagnosis of </w:t>
      </w:r>
      <w:proofErr w:type="spellStart"/>
      <w:r w:rsidRPr="00524B65">
        <w:rPr>
          <w:lang w:val="en-IN"/>
        </w:rPr>
        <w:t>esophageal</w:t>
      </w:r>
      <w:proofErr w:type="spellEnd"/>
      <w:r w:rsidRPr="00524B65">
        <w:rPr>
          <w:lang w:val="en-IN"/>
        </w:rPr>
        <w:t xml:space="preserve"> varices: Correlation between non-invasive tests and digestive endoscopy. </w:t>
      </w:r>
      <w:r>
        <w:rPr>
          <w:lang w:val="fr"/>
        </w:rPr>
        <w:t>Tunis Med 2024;102(10):635–640.</w:t>
      </w:r>
    </w:p>
    <w:p w14:paraId="43E6B633" w14:textId="77777777" w:rsidR="0023308B" w:rsidRDefault="00DF4A22">
      <w:pPr>
        <w:pStyle w:val="NormalWeb"/>
        <w:numPr>
          <w:ilvl w:val="0"/>
          <w:numId w:val="1"/>
        </w:numPr>
        <w:ind w:left="0"/>
        <w:rPr>
          <w:lang w:val="fr"/>
        </w:rPr>
      </w:pPr>
      <w:r w:rsidRPr="00524B65">
        <w:rPr>
          <w:lang w:val="pt-BR"/>
        </w:rPr>
        <w:t xml:space="preserve">Pimenta, J. R., Ferreira, A. R., Fagundes, E. D., Queiroz, T. C., Baptista, R. A., de Araújo Moreira, E. G., ... </w:t>
      </w:r>
      <w:r w:rsidRPr="00524B65">
        <w:rPr>
          <w:lang w:val="en-IN"/>
        </w:rPr>
        <w:t xml:space="preserve">&amp; Penna, F. J. (2017). Factors associated with bleeding secondary to rupture of esophageal varices in children and adolescents with cirrhosis. </w:t>
      </w:r>
      <w:r>
        <w:rPr>
          <w:lang w:val="fr"/>
        </w:rPr>
        <w:t xml:space="preserve">Journal of </w:t>
      </w:r>
      <w:proofErr w:type="spellStart"/>
      <w:r>
        <w:rPr>
          <w:lang w:val="fr"/>
        </w:rPr>
        <w:t>Pediatric</w:t>
      </w:r>
      <w:proofErr w:type="spellEnd"/>
      <w:r>
        <w:rPr>
          <w:lang w:val="fr"/>
        </w:rPr>
        <w:t xml:space="preserve"> </w:t>
      </w:r>
      <w:proofErr w:type="spellStart"/>
      <w:r>
        <w:rPr>
          <w:lang w:val="fr"/>
        </w:rPr>
        <w:t>Gastroenterology</w:t>
      </w:r>
      <w:proofErr w:type="spellEnd"/>
      <w:r>
        <w:rPr>
          <w:lang w:val="fr"/>
        </w:rPr>
        <w:t xml:space="preserve"> and Nutrition, 64(2), e44-e48.</w:t>
      </w:r>
    </w:p>
    <w:p w14:paraId="04E88D4F" w14:textId="77777777" w:rsidR="0023308B" w:rsidRDefault="00DF4A22">
      <w:pPr>
        <w:pStyle w:val="NormalWeb"/>
        <w:numPr>
          <w:ilvl w:val="0"/>
          <w:numId w:val="1"/>
        </w:numPr>
        <w:ind w:left="0"/>
        <w:rPr>
          <w:lang w:val="fr"/>
        </w:rPr>
      </w:pPr>
      <w:r w:rsidRPr="00524B65">
        <w:rPr>
          <w:lang w:val="en-IN"/>
        </w:rPr>
        <w:t xml:space="preserve">Gorka W, Al Mulla A, Al </w:t>
      </w:r>
      <w:proofErr w:type="spellStart"/>
      <w:r w:rsidRPr="00524B65">
        <w:rPr>
          <w:lang w:val="en-IN"/>
        </w:rPr>
        <w:t>Sebaye</w:t>
      </w:r>
      <w:proofErr w:type="spellEnd"/>
      <w:r w:rsidRPr="00524B65">
        <w:rPr>
          <w:lang w:val="en-IN"/>
        </w:rPr>
        <w:t xml:space="preserve"> M, Al </w:t>
      </w:r>
      <w:proofErr w:type="spellStart"/>
      <w:r w:rsidRPr="00524B65">
        <w:rPr>
          <w:lang w:val="en-IN"/>
        </w:rPr>
        <w:t>Traif</w:t>
      </w:r>
      <w:proofErr w:type="spellEnd"/>
      <w:r w:rsidRPr="00524B65">
        <w:rPr>
          <w:lang w:val="en-IN"/>
        </w:rPr>
        <w:t xml:space="preserve"> I, Gorka TS. Qualitative hepatic venous Doppler sonography versus portal flowmetry in predicting the severity of </w:t>
      </w:r>
      <w:proofErr w:type="spellStart"/>
      <w:r w:rsidRPr="00524B65">
        <w:rPr>
          <w:lang w:val="en-IN"/>
        </w:rPr>
        <w:t>esophageal</w:t>
      </w:r>
      <w:proofErr w:type="spellEnd"/>
      <w:r w:rsidRPr="00524B65">
        <w:rPr>
          <w:lang w:val="en-IN"/>
        </w:rPr>
        <w:t xml:space="preserve"> varices in hepatitis C cirrhosis. </w:t>
      </w:r>
      <w:r>
        <w:rPr>
          <w:lang w:val="fr"/>
        </w:rPr>
        <w:t xml:space="preserve">American Journal of </w:t>
      </w:r>
      <w:proofErr w:type="spellStart"/>
      <w:r>
        <w:rPr>
          <w:lang w:val="fr"/>
        </w:rPr>
        <w:t>Roentgenology</w:t>
      </w:r>
      <w:proofErr w:type="spellEnd"/>
      <w:r>
        <w:rPr>
          <w:lang w:val="fr"/>
        </w:rPr>
        <w:t xml:space="preserve"> 1997; 169: 511-5</w:t>
      </w:r>
    </w:p>
    <w:p w14:paraId="3A07805F" w14:textId="77777777" w:rsidR="00554666" w:rsidRPr="00554666" w:rsidRDefault="00554666">
      <w:pPr>
        <w:pStyle w:val="NormalWeb"/>
        <w:numPr>
          <w:ilvl w:val="0"/>
          <w:numId w:val="1"/>
        </w:numPr>
        <w:ind w:left="0"/>
        <w:rPr>
          <w:lang w:val="fr"/>
        </w:rPr>
      </w:pPr>
      <w:r w:rsidRPr="00554666">
        <w:rPr>
          <w:lang w:val="en-IN"/>
        </w:rPr>
        <w:t xml:space="preserve">Kato T, Hikichi T, Nakamura J, </w:t>
      </w:r>
      <w:proofErr w:type="spellStart"/>
      <w:r w:rsidRPr="00554666">
        <w:rPr>
          <w:lang w:val="en-IN"/>
        </w:rPr>
        <w:t>Takasumi</w:t>
      </w:r>
      <w:proofErr w:type="spellEnd"/>
      <w:r w:rsidRPr="00554666">
        <w:rPr>
          <w:lang w:val="en-IN"/>
        </w:rPr>
        <w:t xml:space="preserve"> M, Hashimoto M, Kobashi R, </w:t>
      </w:r>
      <w:proofErr w:type="spellStart"/>
      <w:r w:rsidRPr="00554666">
        <w:rPr>
          <w:lang w:val="en-IN"/>
        </w:rPr>
        <w:t>Yanagita</w:t>
      </w:r>
      <w:proofErr w:type="spellEnd"/>
      <w:r w:rsidRPr="00554666">
        <w:rPr>
          <w:lang w:val="en-IN"/>
        </w:rPr>
        <w:t xml:space="preserve"> T, Takagi T, Suzuki R, Sugimoto M, Sato Y. Usefulness of endoscopic ultrasound with the jelly-filling method for </w:t>
      </w:r>
      <w:proofErr w:type="spellStart"/>
      <w:r w:rsidRPr="00554666">
        <w:rPr>
          <w:lang w:val="en-IN"/>
        </w:rPr>
        <w:t>esophageal</w:t>
      </w:r>
      <w:proofErr w:type="spellEnd"/>
      <w:r w:rsidRPr="00554666">
        <w:rPr>
          <w:lang w:val="en-IN"/>
        </w:rPr>
        <w:t xml:space="preserve"> varices. Diagnostics. 2021 Sep 20;11(9):1726.</w:t>
      </w:r>
    </w:p>
    <w:p w14:paraId="56C194A7" w14:textId="0183D824" w:rsidR="0023308B" w:rsidRDefault="00DF4A22">
      <w:pPr>
        <w:pStyle w:val="NormalWeb"/>
        <w:numPr>
          <w:ilvl w:val="0"/>
          <w:numId w:val="1"/>
        </w:numPr>
        <w:ind w:left="0"/>
        <w:rPr>
          <w:lang w:val="fr"/>
        </w:rPr>
      </w:pPr>
      <w:r w:rsidRPr="00524B65">
        <w:rPr>
          <w:lang w:val="en-IN"/>
        </w:rPr>
        <w:lastRenderedPageBreak/>
        <w:t xml:space="preserve">Schepis F, Camma C, </w:t>
      </w:r>
      <w:proofErr w:type="spellStart"/>
      <w:r w:rsidRPr="00524B65">
        <w:rPr>
          <w:lang w:val="en-IN"/>
        </w:rPr>
        <w:t>Niceforo</w:t>
      </w:r>
      <w:proofErr w:type="spellEnd"/>
      <w:r w:rsidRPr="00524B65">
        <w:rPr>
          <w:lang w:val="en-IN"/>
        </w:rPr>
        <w:t xml:space="preserve"> D, Magnano A, </w:t>
      </w:r>
      <w:proofErr w:type="spellStart"/>
      <w:r w:rsidRPr="00524B65">
        <w:rPr>
          <w:lang w:val="en-IN"/>
        </w:rPr>
        <w:t>Pallio</w:t>
      </w:r>
      <w:proofErr w:type="spellEnd"/>
      <w:r w:rsidRPr="00524B65">
        <w:rPr>
          <w:lang w:val="en-IN"/>
        </w:rPr>
        <w:t xml:space="preserve"> S, Cinquegrani M et al. Which patients with cirrhosis should undergo endoscopic screening for </w:t>
      </w:r>
      <w:proofErr w:type="spellStart"/>
      <w:r w:rsidRPr="00524B65">
        <w:rPr>
          <w:lang w:val="en-IN"/>
        </w:rPr>
        <w:t>esophageal</w:t>
      </w:r>
      <w:proofErr w:type="spellEnd"/>
      <w:r w:rsidRPr="00524B65">
        <w:rPr>
          <w:lang w:val="en-IN"/>
        </w:rPr>
        <w:t xml:space="preserve"> varices detection? </w:t>
      </w:r>
      <w:proofErr w:type="spellStart"/>
      <w:r>
        <w:rPr>
          <w:lang w:val="fr"/>
        </w:rPr>
        <w:t>Hepatology</w:t>
      </w:r>
      <w:proofErr w:type="spellEnd"/>
      <w:r>
        <w:rPr>
          <w:lang w:val="fr"/>
        </w:rPr>
        <w:t xml:space="preserve"> 2001; 33: 333-8</w:t>
      </w:r>
    </w:p>
    <w:p w14:paraId="5B70C0AE" w14:textId="77777777" w:rsidR="0023308B" w:rsidRDefault="00DF4A22">
      <w:pPr>
        <w:pStyle w:val="NormalWeb"/>
        <w:numPr>
          <w:ilvl w:val="0"/>
          <w:numId w:val="1"/>
        </w:numPr>
        <w:ind w:left="0"/>
        <w:rPr>
          <w:lang w:val="fr"/>
        </w:rPr>
      </w:pPr>
      <w:r w:rsidRPr="00524B65">
        <w:rPr>
          <w:lang w:val="en-IN"/>
        </w:rPr>
        <w:t xml:space="preserve">Lavergne J, Molina E, Reddy KR, </w:t>
      </w:r>
      <w:proofErr w:type="spellStart"/>
      <w:r w:rsidRPr="00524B65">
        <w:rPr>
          <w:lang w:val="en-IN"/>
        </w:rPr>
        <w:t>Jefferes</w:t>
      </w:r>
      <w:proofErr w:type="spellEnd"/>
      <w:r w:rsidRPr="00524B65">
        <w:rPr>
          <w:lang w:val="en-IN"/>
        </w:rPr>
        <w:t xml:space="preserve"> L, Leon R, Nader AK et al. Ascites predicts the presence of high-grade varices through screening gastroscopy. </w:t>
      </w:r>
      <w:proofErr w:type="spellStart"/>
      <w:r>
        <w:rPr>
          <w:lang w:val="fr"/>
        </w:rPr>
        <w:t>Gastrointest</w:t>
      </w:r>
      <w:proofErr w:type="spellEnd"/>
      <w:r>
        <w:rPr>
          <w:lang w:val="fr"/>
        </w:rPr>
        <w:t xml:space="preserve"> </w:t>
      </w:r>
      <w:proofErr w:type="spellStart"/>
      <w:r>
        <w:rPr>
          <w:lang w:val="fr"/>
        </w:rPr>
        <w:t>Endosc</w:t>
      </w:r>
      <w:proofErr w:type="spellEnd"/>
      <w:r>
        <w:rPr>
          <w:lang w:val="fr"/>
        </w:rPr>
        <w:t xml:space="preserve"> 1997; 45: AB 187. </w:t>
      </w:r>
    </w:p>
    <w:p w14:paraId="0F9CB046" w14:textId="77777777" w:rsidR="0023308B" w:rsidRDefault="00DF4A22">
      <w:pPr>
        <w:pStyle w:val="NormalWeb"/>
        <w:numPr>
          <w:ilvl w:val="0"/>
          <w:numId w:val="1"/>
        </w:numPr>
        <w:ind w:left="0"/>
        <w:rPr>
          <w:lang w:val="fr"/>
        </w:rPr>
      </w:pPr>
      <w:proofErr w:type="spellStart"/>
      <w:r>
        <w:rPr>
          <w:lang w:val="fr"/>
        </w:rPr>
        <w:t>Thomopoulos</w:t>
      </w:r>
      <w:proofErr w:type="spellEnd"/>
      <w:r>
        <w:rPr>
          <w:lang w:val="fr"/>
        </w:rPr>
        <w:t xml:space="preserve"> KC, </w:t>
      </w:r>
      <w:proofErr w:type="spellStart"/>
      <w:r>
        <w:rPr>
          <w:lang w:val="fr"/>
        </w:rPr>
        <w:t>Labropuolo</w:t>
      </w:r>
      <w:proofErr w:type="spellEnd"/>
      <w:r>
        <w:rPr>
          <w:lang w:val="fr"/>
        </w:rPr>
        <w:t xml:space="preserve"> KC, </w:t>
      </w:r>
      <w:proofErr w:type="spellStart"/>
      <w:r>
        <w:rPr>
          <w:lang w:val="fr"/>
        </w:rPr>
        <w:t>Mimidis</w:t>
      </w:r>
      <w:proofErr w:type="spellEnd"/>
      <w:r>
        <w:rPr>
          <w:lang w:val="fr"/>
        </w:rPr>
        <w:t xml:space="preserve"> KP, </w:t>
      </w:r>
      <w:proofErr w:type="spellStart"/>
      <w:r>
        <w:rPr>
          <w:lang w:val="fr"/>
        </w:rPr>
        <w:t>Katsakoulis</w:t>
      </w:r>
      <w:proofErr w:type="spellEnd"/>
      <w:r>
        <w:rPr>
          <w:lang w:val="fr"/>
        </w:rPr>
        <w:t xml:space="preserve"> EC, </w:t>
      </w:r>
      <w:proofErr w:type="spellStart"/>
      <w:r>
        <w:rPr>
          <w:lang w:val="fr"/>
        </w:rPr>
        <w:t>Iconomou</w:t>
      </w:r>
      <w:proofErr w:type="spellEnd"/>
      <w:r>
        <w:rPr>
          <w:lang w:val="fr"/>
        </w:rPr>
        <w:t xml:space="preserve"> G, </w:t>
      </w:r>
      <w:proofErr w:type="spellStart"/>
      <w:r>
        <w:rPr>
          <w:lang w:val="fr"/>
        </w:rPr>
        <w:t>Nikolopoulo</w:t>
      </w:r>
      <w:proofErr w:type="spellEnd"/>
      <w:r>
        <w:rPr>
          <w:lang w:val="fr"/>
        </w:rPr>
        <w:t xml:space="preserve"> VN. </w:t>
      </w:r>
      <w:r w:rsidRPr="00524B65">
        <w:rPr>
          <w:lang w:val="en-IN"/>
        </w:rPr>
        <w:t xml:space="preserve">Non-invasive predictors of the presence of large </w:t>
      </w:r>
      <w:proofErr w:type="spellStart"/>
      <w:r w:rsidRPr="00524B65">
        <w:rPr>
          <w:lang w:val="en-IN"/>
        </w:rPr>
        <w:t>esophageal</w:t>
      </w:r>
      <w:proofErr w:type="spellEnd"/>
      <w:r w:rsidRPr="00524B65">
        <w:rPr>
          <w:lang w:val="en-IN"/>
        </w:rPr>
        <w:t xml:space="preserve"> varices in patients with cirrhosis. </w:t>
      </w:r>
      <w:proofErr w:type="spellStart"/>
      <w:r>
        <w:rPr>
          <w:lang w:val="fr"/>
        </w:rPr>
        <w:t>Dig</w:t>
      </w:r>
      <w:proofErr w:type="spellEnd"/>
      <w:r>
        <w:rPr>
          <w:lang w:val="fr"/>
        </w:rPr>
        <w:t xml:space="preserve"> </w:t>
      </w:r>
      <w:proofErr w:type="spellStart"/>
      <w:r>
        <w:rPr>
          <w:lang w:val="fr"/>
        </w:rPr>
        <w:t>Liver</w:t>
      </w:r>
      <w:proofErr w:type="spellEnd"/>
      <w:r>
        <w:rPr>
          <w:lang w:val="fr"/>
        </w:rPr>
        <w:t xml:space="preserve"> Dis 2003; 35: 473-8.</w:t>
      </w:r>
    </w:p>
    <w:p w14:paraId="092337D6" w14:textId="77777777" w:rsidR="0023308B" w:rsidRDefault="0023308B">
      <w:pPr>
        <w:rPr>
          <w:bCs/>
          <w:sz w:val="32"/>
          <w:szCs w:val="32"/>
        </w:rPr>
      </w:pPr>
    </w:p>
    <w:p w14:paraId="2721CE62" w14:textId="77777777" w:rsidR="0023308B" w:rsidRDefault="00DF4A22">
      <w:r>
        <w:rPr>
          <w:highlight w:val="yellow"/>
        </w:rPr>
        <w:t>.</w:t>
      </w:r>
    </w:p>
    <w:p w14:paraId="56F73D92" w14:textId="77777777" w:rsidR="0023308B" w:rsidRDefault="0023308B">
      <w:pPr>
        <w:rPr>
          <w:b/>
          <w:sz w:val="32"/>
          <w:szCs w:val="32"/>
        </w:rPr>
      </w:pPr>
    </w:p>
    <w:p w14:paraId="6601FE2D" w14:textId="77777777" w:rsidR="0023308B" w:rsidRDefault="0023308B">
      <w:pPr>
        <w:rPr>
          <w:b/>
          <w:sz w:val="32"/>
          <w:szCs w:val="32"/>
        </w:rPr>
      </w:pPr>
    </w:p>
    <w:p w14:paraId="7580F304" w14:textId="77777777" w:rsidR="0023308B" w:rsidRDefault="0023308B">
      <w:pPr>
        <w:rPr>
          <w:b/>
          <w:sz w:val="32"/>
          <w:szCs w:val="32"/>
        </w:rPr>
      </w:pPr>
    </w:p>
    <w:p w14:paraId="6EF7C527" w14:textId="77777777" w:rsidR="0023308B" w:rsidRDefault="0023308B">
      <w:pPr>
        <w:rPr>
          <w:bCs/>
          <w:sz w:val="32"/>
          <w:szCs w:val="32"/>
        </w:rPr>
      </w:pPr>
    </w:p>
    <w:p w14:paraId="32536E2B" w14:textId="77777777" w:rsidR="0023308B" w:rsidRDefault="0023308B">
      <w:pPr>
        <w:rPr>
          <w:bCs/>
          <w:sz w:val="32"/>
          <w:szCs w:val="32"/>
        </w:rPr>
      </w:pPr>
    </w:p>
    <w:p w14:paraId="45B62AFB" w14:textId="77777777" w:rsidR="0023308B" w:rsidRDefault="0023308B">
      <w:pPr>
        <w:rPr>
          <w:rFonts w:ascii="Calibri" w:eastAsia="Calibri" w:hAnsi="Calibri" w:cs="Times New Roman"/>
          <w:b/>
          <w:kern w:val="2"/>
          <w:lang w:val="fr-FR"/>
          <w14:ligatures w14:val="standardContextual"/>
        </w:rPr>
      </w:pPr>
    </w:p>
    <w:p w14:paraId="789BC455" w14:textId="77777777" w:rsidR="0023308B" w:rsidRDefault="0023308B">
      <w:pPr>
        <w:rPr>
          <w:rFonts w:ascii="Calibri" w:eastAsia="Calibri" w:hAnsi="Calibri" w:cs="Times New Roman"/>
          <w:b/>
          <w:kern w:val="2"/>
          <w:lang w:val="fr-FR"/>
          <w14:ligatures w14:val="standardContextual"/>
        </w:rPr>
      </w:pPr>
    </w:p>
    <w:p w14:paraId="0AC7F954" w14:textId="77777777" w:rsidR="0023308B" w:rsidRDefault="0023308B">
      <w:pPr>
        <w:rPr>
          <w:rFonts w:ascii="Calibri" w:eastAsia="Calibri" w:hAnsi="Calibri" w:cs="Times New Roman"/>
          <w:b/>
          <w:kern w:val="2"/>
          <w:lang w:val="fr-FR"/>
          <w14:ligatures w14:val="standardContextual"/>
        </w:rPr>
      </w:pPr>
    </w:p>
    <w:p w14:paraId="34B4B627" w14:textId="77777777" w:rsidR="0023308B" w:rsidRDefault="0023308B">
      <w:pPr>
        <w:rPr>
          <w:rFonts w:ascii="Calibri" w:eastAsia="Calibri" w:hAnsi="Calibri" w:cs="Times New Roman"/>
          <w:b/>
          <w:kern w:val="2"/>
          <w:lang w:val="fr-FR"/>
          <w14:ligatures w14:val="standardContextual"/>
        </w:rPr>
      </w:pPr>
    </w:p>
    <w:p w14:paraId="13BCB735" w14:textId="77777777" w:rsidR="0023308B" w:rsidRDefault="0023308B">
      <w:pPr>
        <w:rPr>
          <w:rFonts w:ascii="Calibri" w:eastAsia="Calibri" w:hAnsi="Calibri" w:cs="Times New Roman"/>
          <w:b/>
          <w:kern w:val="2"/>
          <w:lang w:val="fr-FR"/>
          <w14:ligatures w14:val="standardContextual"/>
        </w:rPr>
      </w:pPr>
    </w:p>
    <w:p w14:paraId="49CD3934" w14:textId="77777777" w:rsidR="0023308B" w:rsidRDefault="0023308B">
      <w:pPr>
        <w:rPr>
          <w:rFonts w:ascii="Calibri" w:eastAsia="Calibri" w:hAnsi="Calibri" w:cs="Times New Roman"/>
          <w:b/>
          <w:kern w:val="2"/>
          <w:lang w:val="fr-FR"/>
          <w14:ligatures w14:val="standardContextual"/>
        </w:rPr>
      </w:pPr>
    </w:p>
    <w:p w14:paraId="61186EA2" w14:textId="77777777" w:rsidR="0023308B" w:rsidRDefault="0023308B">
      <w:pPr>
        <w:rPr>
          <w:rFonts w:ascii="Calibri" w:eastAsia="Calibri" w:hAnsi="Calibri" w:cs="Times New Roman"/>
          <w:b/>
          <w:kern w:val="2"/>
          <w:lang w:val="fr-FR"/>
          <w14:ligatures w14:val="standardContextual"/>
        </w:rPr>
      </w:pPr>
    </w:p>
    <w:p w14:paraId="01592887" w14:textId="77777777" w:rsidR="0023308B" w:rsidRDefault="0023308B">
      <w:pPr>
        <w:rPr>
          <w:rFonts w:ascii="Calibri" w:eastAsia="Calibri" w:hAnsi="Calibri" w:cs="Times New Roman"/>
          <w:b/>
          <w:kern w:val="2"/>
          <w:lang w:val="fr-FR"/>
          <w14:ligatures w14:val="standardContextual"/>
        </w:rPr>
      </w:pPr>
    </w:p>
    <w:p w14:paraId="54747731" w14:textId="77777777" w:rsidR="0023308B" w:rsidRDefault="0023308B">
      <w:pPr>
        <w:rPr>
          <w:rFonts w:ascii="Calibri" w:eastAsia="Calibri" w:hAnsi="Calibri" w:cs="Times New Roman"/>
          <w:b/>
          <w:kern w:val="2"/>
          <w:lang w:val="fr-FR"/>
          <w14:ligatures w14:val="standardContextual"/>
        </w:rPr>
      </w:pPr>
    </w:p>
    <w:p w14:paraId="130D7CD4" w14:textId="77777777" w:rsidR="0023308B" w:rsidRDefault="0023308B">
      <w:pPr>
        <w:rPr>
          <w:rFonts w:ascii="Calibri" w:eastAsia="Calibri" w:hAnsi="Calibri" w:cs="Times New Roman"/>
          <w:b/>
          <w:kern w:val="2"/>
          <w:lang w:val="fr-FR"/>
          <w14:ligatures w14:val="standardContextual"/>
        </w:rPr>
      </w:pPr>
    </w:p>
    <w:p w14:paraId="077A90C9" w14:textId="77777777" w:rsidR="0023308B" w:rsidRDefault="0023308B">
      <w:pPr>
        <w:rPr>
          <w:rFonts w:ascii="Calibri" w:eastAsia="Calibri" w:hAnsi="Calibri" w:cs="Times New Roman"/>
          <w:b/>
          <w:kern w:val="2"/>
          <w:lang w:val="fr-FR"/>
          <w14:ligatures w14:val="standardContextual"/>
        </w:rPr>
      </w:pPr>
    </w:p>
    <w:p w14:paraId="0411123D" w14:textId="77777777" w:rsidR="0023308B" w:rsidRDefault="0023308B">
      <w:pPr>
        <w:rPr>
          <w:rFonts w:ascii="Calibri" w:eastAsia="Calibri" w:hAnsi="Calibri" w:cs="Times New Roman"/>
          <w:b/>
          <w:kern w:val="2"/>
          <w:lang w:val="fr-FR"/>
          <w14:ligatures w14:val="standardContextual"/>
        </w:rPr>
      </w:pPr>
    </w:p>
    <w:p w14:paraId="1DF56FE0" w14:textId="77777777" w:rsidR="0023308B" w:rsidRDefault="0023308B">
      <w:pPr>
        <w:rPr>
          <w:rFonts w:ascii="Calibri" w:eastAsia="Calibri" w:hAnsi="Calibri" w:cs="Times New Roman"/>
          <w:b/>
          <w:kern w:val="2"/>
          <w:lang w:val="fr-FR"/>
          <w14:ligatures w14:val="standardContextual"/>
        </w:rPr>
      </w:pPr>
    </w:p>
    <w:p w14:paraId="6BD1A350" w14:textId="77777777" w:rsidR="0023308B" w:rsidRDefault="0023308B">
      <w:pPr>
        <w:rPr>
          <w:rFonts w:ascii="Calibri" w:eastAsia="Calibri" w:hAnsi="Calibri" w:cs="Times New Roman"/>
          <w:b/>
          <w:kern w:val="2"/>
          <w:lang w:val="fr-FR"/>
          <w14:ligatures w14:val="standardContextual"/>
        </w:rPr>
      </w:pPr>
    </w:p>
    <w:p w14:paraId="64732414" w14:textId="77777777" w:rsidR="0023308B" w:rsidRDefault="0023308B">
      <w:pPr>
        <w:rPr>
          <w:rFonts w:ascii="Calibri" w:eastAsia="Calibri" w:hAnsi="Calibri" w:cs="Times New Roman"/>
          <w:b/>
          <w:kern w:val="2"/>
          <w:lang w:val="fr-FR"/>
          <w14:ligatures w14:val="standardContextual"/>
        </w:rPr>
      </w:pPr>
    </w:p>
    <w:p w14:paraId="303C0263" w14:textId="77777777" w:rsidR="0023308B" w:rsidRDefault="0023308B">
      <w:pPr>
        <w:rPr>
          <w:rFonts w:ascii="Calibri" w:eastAsia="Calibri" w:hAnsi="Calibri" w:cs="Times New Roman"/>
          <w:b/>
          <w:kern w:val="2"/>
          <w:lang w:val="fr-FR"/>
          <w14:ligatures w14:val="standardContextual"/>
        </w:rPr>
      </w:pPr>
    </w:p>
    <w:p w14:paraId="093451C1" w14:textId="77777777" w:rsidR="0023308B" w:rsidRDefault="0023308B">
      <w:pPr>
        <w:rPr>
          <w:rFonts w:ascii="Calibri" w:eastAsia="Calibri" w:hAnsi="Calibri" w:cs="Times New Roman"/>
          <w:b/>
          <w:kern w:val="2"/>
          <w:lang w:val="fr-FR"/>
          <w14:ligatures w14:val="standardContextual"/>
        </w:rPr>
      </w:pPr>
    </w:p>
    <w:p w14:paraId="37311F06" w14:textId="77777777" w:rsidR="0023308B" w:rsidRDefault="0023308B">
      <w:pPr>
        <w:rPr>
          <w:rFonts w:ascii="Calibri" w:eastAsia="Calibri" w:hAnsi="Calibri" w:cs="Times New Roman"/>
          <w:b/>
          <w:kern w:val="2"/>
          <w:lang w:val="fr-FR"/>
          <w14:ligatures w14:val="standardContextual"/>
        </w:rPr>
      </w:pPr>
    </w:p>
    <w:p w14:paraId="727FEEB6" w14:textId="77777777" w:rsidR="0023308B" w:rsidRDefault="0023308B">
      <w:pPr>
        <w:rPr>
          <w:rFonts w:ascii="Calibri" w:eastAsia="Calibri" w:hAnsi="Calibri" w:cs="Times New Roman"/>
          <w:b/>
          <w:kern w:val="2"/>
          <w:lang w:val="fr-FR"/>
          <w14:ligatures w14:val="standardContextual"/>
        </w:rPr>
      </w:pPr>
    </w:p>
    <w:p w14:paraId="30F5AB89" w14:textId="77777777" w:rsidR="0023308B" w:rsidRDefault="0023308B">
      <w:pPr>
        <w:rPr>
          <w:rFonts w:ascii="Calibri" w:eastAsia="Calibri" w:hAnsi="Calibri" w:cs="Times New Roman"/>
          <w:b/>
          <w:kern w:val="2"/>
          <w:lang w:val="fr-FR"/>
          <w14:ligatures w14:val="standardContextual"/>
        </w:rPr>
      </w:pPr>
    </w:p>
    <w:p w14:paraId="5BC28481"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Table 1</w:t>
      </w:r>
      <w:r w:rsidRPr="00524B65">
        <w:rPr>
          <w:rFonts w:ascii="Calibri" w:eastAsia="Calibri" w:hAnsi="Calibri" w:cs="Times New Roman"/>
          <w:kern w:val="2"/>
          <w:lang w:val="en-IN"/>
          <w14:ligatures w14:val="standardContextual"/>
        </w:rPr>
        <w:t> : Distribution of patients according to clinical signs</w:t>
      </w:r>
    </w:p>
    <w:tbl>
      <w:tblPr>
        <w:tblW w:w="10632" w:type="dxa"/>
        <w:tblInd w:w="-601" w:type="dxa"/>
        <w:tblLook w:val="04A0" w:firstRow="1" w:lastRow="0" w:firstColumn="1" w:lastColumn="0" w:noHBand="0" w:noVBand="1"/>
      </w:tblPr>
      <w:tblGrid>
        <w:gridCol w:w="2051"/>
        <w:gridCol w:w="1298"/>
        <w:gridCol w:w="1194"/>
        <w:gridCol w:w="820"/>
        <w:gridCol w:w="1173"/>
        <w:gridCol w:w="923"/>
        <w:gridCol w:w="1165"/>
        <w:gridCol w:w="2008"/>
      </w:tblGrid>
      <w:tr w:rsidR="0023308B" w14:paraId="61AD2C8F" w14:textId="77777777">
        <w:trPr>
          <w:trHeight w:val="345"/>
        </w:trPr>
        <w:tc>
          <w:tcPr>
            <w:tcW w:w="3380" w:type="dxa"/>
            <w:gridSpan w:val="2"/>
            <w:vMerge w:val="restart"/>
          </w:tcPr>
          <w:p w14:paraId="50622B9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Clinical signs </w:t>
            </w:r>
          </w:p>
        </w:tc>
        <w:tc>
          <w:tcPr>
            <w:tcW w:w="1992" w:type="dxa"/>
            <w:gridSpan w:val="2"/>
          </w:tcPr>
          <w:p w14:paraId="613035A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Presence VO</w:t>
            </w:r>
          </w:p>
        </w:tc>
        <w:tc>
          <w:tcPr>
            <w:tcW w:w="2047" w:type="dxa"/>
            <w:gridSpan w:val="2"/>
          </w:tcPr>
          <w:p w14:paraId="1187E93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Absence VO</w:t>
            </w:r>
          </w:p>
        </w:tc>
        <w:tc>
          <w:tcPr>
            <w:tcW w:w="3213" w:type="dxa"/>
            <w:gridSpan w:val="2"/>
          </w:tcPr>
          <w:p w14:paraId="2609D13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Statistical test </w:t>
            </w:r>
          </w:p>
        </w:tc>
      </w:tr>
      <w:tr w:rsidR="0023308B" w14:paraId="1DC88B8C" w14:textId="77777777">
        <w:trPr>
          <w:trHeight w:val="345"/>
        </w:trPr>
        <w:tc>
          <w:tcPr>
            <w:tcW w:w="3380" w:type="dxa"/>
            <w:gridSpan w:val="2"/>
            <w:vMerge/>
            <w:tcBorders>
              <w:top w:val="single" w:sz="18" w:space="0" w:color="auto"/>
              <w:bottom w:val="single" w:sz="18" w:space="0" w:color="auto"/>
              <w:right w:val="single" w:sz="18" w:space="0" w:color="auto"/>
            </w:tcBorders>
          </w:tcPr>
          <w:p w14:paraId="4B935F83" w14:textId="77777777" w:rsidR="0023308B" w:rsidRDefault="0023308B">
            <w:pPr>
              <w:rPr>
                <w:rFonts w:ascii="Calibri" w:eastAsia="Calibri" w:hAnsi="Calibri" w:cs="Times New Roman"/>
                <w:kern w:val="2"/>
                <w14:ligatures w14:val="standardContextual"/>
              </w:rPr>
            </w:pPr>
          </w:p>
        </w:tc>
        <w:tc>
          <w:tcPr>
            <w:tcW w:w="1157" w:type="dxa"/>
            <w:tcBorders>
              <w:top w:val="nil"/>
              <w:left w:val="single" w:sz="18" w:space="0" w:color="auto"/>
              <w:bottom w:val="nil"/>
            </w:tcBorders>
            <w:shd w:val="clear" w:color="auto" w:fill="FFFFFF"/>
          </w:tcPr>
          <w:p w14:paraId="6FC3FE3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Headcount</w:t>
            </w:r>
          </w:p>
        </w:tc>
        <w:tc>
          <w:tcPr>
            <w:tcW w:w="835" w:type="dxa"/>
            <w:tcBorders>
              <w:top w:val="nil"/>
              <w:bottom w:val="nil"/>
            </w:tcBorders>
            <w:shd w:val="clear" w:color="auto" w:fill="FFFFFF"/>
          </w:tcPr>
          <w:p w14:paraId="4CFBF40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102" w:type="dxa"/>
            <w:tcBorders>
              <w:top w:val="nil"/>
              <w:bottom w:val="nil"/>
            </w:tcBorders>
            <w:shd w:val="clear" w:color="auto" w:fill="FFFFFF"/>
          </w:tcPr>
          <w:p w14:paraId="78CD49A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headcount</w:t>
            </w:r>
          </w:p>
        </w:tc>
        <w:tc>
          <w:tcPr>
            <w:tcW w:w="945" w:type="dxa"/>
            <w:tcBorders>
              <w:top w:val="nil"/>
              <w:bottom w:val="nil"/>
            </w:tcBorders>
            <w:shd w:val="clear" w:color="auto" w:fill="FFFFFF"/>
          </w:tcPr>
          <w:p w14:paraId="768F130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151" w:type="dxa"/>
            <w:tcBorders>
              <w:top w:val="nil"/>
              <w:bottom w:val="nil"/>
            </w:tcBorders>
            <w:shd w:val="clear" w:color="auto" w:fill="FFFFFF"/>
          </w:tcPr>
          <w:p w14:paraId="69D92C6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P</w:t>
            </w:r>
          </w:p>
        </w:tc>
        <w:tc>
          <w:tcPr>
            <w:tcW w:w="2062" w:type="dxa"/>
            <w:tcBorders>
              <w:top w:val="nil"/>
              <w:bottom w:val="nil"/>
            </w:tcBorders>
            <w:shd w:val="clear" w:color="auto" w:fill="FFFFFF"/>
          </w:tcPr>
          <w:p w14:paraId="4B8A902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OR-IC</w:t>
            </w:r>
          </w:p>
        </w:tc>
      </w:tr>
      <w:tr w:rsidR="0023308B" w14:paraId="5597B10A" w14:textId="77777777">
        <w:tc>
          <w:tcPr>
            <w:tcW w:w="2080" w:type="dxa"/>
            <w:vMerge w:val="restart"/>
            <w:tcBorders>
              <w:top w:val="single" w:sz="18" w:space="0" w:color="auto"/>
            </w:tcBorders>
          </w:tcPr>
          <w:p w14:paraId="319E44DD" w14:textId="77777777" w:rsidR="0023308B" w:rsidRDefault="0023308B">
            <w:pPr>
              <w:rPr>
                <w:rFonts w:ascii="Calibri" w:eastAsia="Calibri" w:hAnsi="Calibri" w:cs="Times New Roman"/>
                <w:kern w:val="2"/>
                <w14:ligatures w14:val="standardContextual"/>
              </w:rPr>
            </w:pPr>
          </w:p>
          <w:p w14:paraId="1FC4A54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Arterial pressure</w:t>
            </w:r>
          </w:p>
          <w:p w14:paraId="56068511" w14:textId="77777777" w:rsidR="0023308B" w:rsidRDefault="0023308B">
            <w:pPr>
              <w:rPr>
                <w:rFonts w:ascii="Calibri" w:eastAsia="Calibri" w:hAnsi="Calibri" w:cs="Times New Roman"/>
                <w:kern w:val="2"/>
                <w14:ligatures w14:val="standardContextual"/>
              </w:rPr>
            </w:pPr>
          </w:p>
        </w:tc>
        <w:tc>
          <w:tcPr>
            <w:tcW w:w="1300" w:type="dxa"/>
            <w:tcBorders>
              <w:top w:val="single" w:sz="18" w:space="0" w:color="auto"/>
              <w:bottom w:val="nil"/>
              <w:right w:val="single" w:sz="18" w:space="0" w:color="auto"/>
            </w:tcBorders>
          </w:tcPr>
          <w:p w14:paraId="532BADF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Low </w:t>
            </w:r>
          </w:p>
        </w:tc>
        <w:tc>
          <w:tcPr>
            <w:tcW w:w="1157" w:type="dxa"/>
            <w:tcBorders>
              <w:top w:val="nil"/>
              <w:left w:val="single" w:sz="18" w:space="0" w:color="auto"/>
              <w:bottom w:val="nil"/>
            </w:tcBorders>
            <w:shd w:val="clear" w:color="auto" w:fill="FFFFFF"/>
          </w:tcPr>
          <w:p w14:paraId="4DBD15C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16</w:t>
            </w:r>
          </w:p>
        </w:tc>
        <w:tc>
          <w:tcPr>
            <w:tcW w:w="835" w:type="dxa"/>
            <w:tcBorders>
              <w:top w:val="nil"/>
              <w:bottom w:val="nil"/>
            </w:tcBorders>
            <w:shd w:val="clear" w:color="auto" w:fill="FFFFFF"/>
          </w:tcPr>
          <w:p w14:paraId="69F9263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29,6</w:t>
            </w:r>
          </w:p>
        </w:tc>
        <w:tc>
          <w:tcPr>
            <w:tcW w:w="1102" w:type="dxa"/>
            <w:tcBorders>
              <w:top w:val="nil"/>
              <w:bottom w:val="nil"/>
            </w:tcBorders>
            <w:shd w:val="clear" w:color="auto" w:fill="FFFFFF"/>
          </w:tcPr>
          <w:p w14:paraId="163D062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w:t>
            </w:r>
          </w:p>
        </w:tc>
        <w:tc>
          <w:tcPr>
            <w:tcW w:w="945" w:type="dxa"/>
            <w:tcBorders>
              <w:top w:val="nil"/>
              <w:bottom w:val="nil"/>
            </w:tcBorders>
            <w:shd w:val="clear" w:color="auto" w:fill="FFFFFF"/>
          </w:tcPr>
          <w:p w14:paraId="3E21895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w:t>
            </w:r>
          </w:p>
        </w:tc>
        <w:tc>
          <w:tcPr>
            <w:tcW w:w="1151" w:type="dxa"/>
            <w:tcBorders>
              <w:top w:val="nil"/>
              <w:bottom w:val="nil"/>
            </w:tcBorders>
            <w:shd w:val="clear" w:color="auto" w:fill="FFFFFF"/>
          </w:tcPr>
          <w:p w14:paraId="279DB408" w14:textId="77777777" w:rsidR="0023308B" w:rsidRDefault="00DF4A22">
            <w:pPr>
              <w:rPr>
                <w:rFonts w:ascii="Calibri" w:eastAsia="Calibri" w:hAnsi="Calibri" w:cs="Times New Roman"/>
                <w:b/>
                <w:kern w:val="2"/>
                <w14:ligatures w14:val="standardContextual"/>
              </w:rPr>
            </w:pPr>
            <w:r>
              <w:rPr>
                <w:rFonts w:ascii="Calibri" w:eastAsia="Calibri" w:hAnsi="Calibri" w:cs="Times New Roman"/>
                <w:b/>
                <w:kern w:val="2"/>
                <w14:ligatures w14:val="standardContextual"/>
              </w:rPr>
              <w:t>0,0010</w:t>
            </w:r>
          </w:p>
        </w:tc>
        <w:tc>
          <w:tcPr>
            <w:tcW w:w="2062" w:type="dxa"/>
            <w:tcBorders>
              <w:top w:val="nil"/>
              <w:bottom w:val="nil"/>
            </w:tcBorders>
            <w:shd w:val="clear" w:color="auto" w:fill="FFFFFF"/>
          </w:tcPr>
          <w:p w14:paraId="681054F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7,16[1,83-30,35]</w:t>
            </w:r>
          </w:p>
        </w:tc>
      </w:tr>
      <w:tr w:rsidR="0023308B" w14:paraId="5B520078" w14:textId="77777777">
        <w:tc>
          <w:tcPr>
            <w:tcW w:w="2080" w:type="dxa"/>
            <w:vMerge/>
            <w:tcBorders>
              <w:top w:val="nil"/>
            </w:tcBorders>
          </w:tcPr>
          <w:p w14:paraId="376FA067"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50696C1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776515B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33</w:t>
            </w:r>
          </w:p>
        </w:tc>
        <w:tc>
          <w:tcPr>
            <w:tcW w:w="835" w:type="dxa"/>
            <w:tcBorders>
              <w:top w:val="nil"/>
              <w:bottom w:val="nil"/>
            </w:tcBorders>
            <w:shd w:val="clear" w:color="auto" w:fill="FFFFFF"/>
          </w:tcPr>
          <w:p w14:paraId="7BFFA38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61,1</w:t>
            </w:r>
          </w:p>
        </w:tc>
        <w:tc>
          <w:tcPr>
            <w:tcW w:w="1102" w:type="dxa"/>
            <w:tcBorders>
              <w:top w:val="nil"/>
              <w:bottom w:val="nil"/>
            </w:tcBorders>
            <w:shd w:val="clear" w:color="auto" w:fill="FFFFFF"/>
          </w:tcPr>
          <w:p w14:paraId="1931C1A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47</w:t>
            </w:r>
          </w:p>
        </w:tc>
        <w:tc>
          <w:tcPr>
            <w:tcW w:w="945" w:type="dxa"/>
            <w:tcBorders>
              <w:top w:val="nil"/>
              <w:bottom w:val="nil"/>
            </w:tcBorders>
            <w:shd w:val="clear" w:color="auto" w:fill="FFFFFF"/>
          </w:tcPr>
          <w:p w14:paraId="24DFA38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87</w:t>
            </w:r>
          </w:p>
        </w:tc>
        <w:tc>
          <w:tcPr>
            <w:tcW w:w="1151" w:type="dxa"/>
            <w:tcBorders>
              <w:top w:val="nil"/>
              <w:bottom w:val="nil"/>
            </w:tcBorders>
            <w:shd w:val="clear" w:color="auto" w:fill="FFFFFF"/>
          </w:tcPr>
          <w:p w14:paraId="3292175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0,0021</w:t>
            </w:r>
          </w:p>
        </w:tc>
        <w:tc>
          <w:tcPr>
            <w:tcW w:w="2062" w:type="dxa"/>
            <w:tcBorders>
              <w:top w:val="nil"/>
              <w:bottom w:val="nil"/>
            </w:tcBorders>
            <w:shd w:val="clear" w:color="auto" w:fill="FFFFFF"/>
          </w:tcPr>
          <w:p w14:paraId="29952FA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0,23[0,08-0,66]</w:t>
            </w:r>
          </w:p>
        </w:tc>
      </w:tr>
      <w:tr w:rsidR="0023308B" w14:paraId="67F6D5F4" w14:textId="77777777">
        <w:tc>
          <w:tcPr>
            <w:tcW w:w="2080" w:type="dxa"/>
            <w:vMerge/>
            <w:tcBorders>
              <w:top w:val="nil"/>
            </w:tcBorders>
          </w:tcPr>
          <w:p w14:paraId="73E8DD86"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4787470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high </w:t>
            </w:r>
          </w:p>
        </w:tc>
        <w:tc>
          <w:tcPr>
            <w:tcW w:w="1157" w:type="dxa"/>
            <w:tcBorders>
              <w:top w:val="nil"/>
              <w:left w:val="single" w:sz="18" w:space="0" w:color="auto"/>
              <w:bottom w:val="nil"/>
            </w:tcBorders>
            <w:shd w:val="clear" w:color="auto" w:fill="FFFFFF"/>
          </w:tcPr>
          <w:p w14:paraId="2BBCC05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w:t>
            </w:r>
          </w:p>
        </w:tc>
        <w:tc>
          <w:tcPr>
            <w:tcW w:w="835" w:type="dxa"/>
            <w:tcBorders>
              <w:top w:val="nil"/>
              <w:bottom w:val="nil"/>
            </w:tcBorders>
            <w:shd w:val="clear" w:color="auto" w:fill="FFFFFF"/>
          </w:tcPr>
          <w:p w14:paraId="032CB46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9,3</w:t>
            </w:r>
          </w:p>
        </w:tc>
        <w:tc>
          <w:tcPr>
            <w:tcW w:w="1102" w:type="dxa"/>
            <w:tcBorders>
              <w:top w:val="nil"/>
              <w:bottom w:val="nil"/>
            </w:tcBorders>
            <w:shd w:val="clear" w:color="auto" w:fill="FFFFFF"/>
          </w:tcPr>
          <w:p w14:paraId="6511E6F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w:t>
            </w:r>
          </w:p>
        </w:tc>
        <w:tc>
          <w:tcPr>
            <w:tcW w:w="945" w:type="dxa"/>
            <w:tcBorders>
              <w:top w:val="nil"/>
              <w:bottom w:val="nil"/>
            </w:tcBorders>
            <w:shd w:val="clear" w:color="auto" w:fill="FFFFFF"/>
          </w:tcPr>
          <w:p w14:paraId="7AD5EB1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7,4</w:t>
            </w:r>
          </w:p>
        </w:tc>
        <w:tc>
          <w:tcPr>
            <w:tcW w:w="1151" w:type="dxa"/>
            <w:tcBorders>
              <w:top w:val="nil"/>
              <w:bottom w:val="nil"/>
            </w:tcBorders>
            <w:shd w:val="clear" w:color="auto" w:fill="FFFFFF"/>
          </w:tcPr>
          <w:p w14:paraId="7BA7E681" w14:textId="77777777" w:rsidR="0023308B" w:rsidRDefault="0023308B">
            <w:pPr>
              <w:rPr>
                <w:rFonts w:ascii="Calibri" w:eastAsia="Calibri" w:hAnsi="Calibri" w:cs="Times New Roman"/>
                <w:kern w:val="2"/>
                <w14:ligatures w14:val="standardContextual"/>
              </w:rPr>
            </w:pPr>
          </w:p>
        </w:tc>
        <w:tc>
          <w:tcPr>
            <w:tcW w:w="2062" w:type="dxa"/>
            <w:tcBorders>
              <w:top w:val="nil"/>
              <w:bottom w:val="nil"/>
            </w:tcBorders>
            <w:shd w:val="clear" w:color="auto" w:fill="FFFFFF"/>
          </w:tcPr>
          <w:p w14:paraId="7342E277" w14:textId="77777777" w:rsidR="0023308B" w:rsidRDefault="0023308B">
            <w:pPr>
              <w:rPr>
                <w:rFonts w:ascii="Calibri" w:eastAsia="Calibri" w:hAnsi="Calibri" w:cs="Times New Roman"/>
                <w:kern w:val="2"/>
                <w14:ligatures w14:val="standardContextual"/>
              </w:rPr>
            </w:pPr>
          </w:p>
        </w:tc>
      </w:tr>
      <w:tr w:rsidR="0023308B" w14:paraId="1C517A09" w14:textId="77777777">
        <w:tc>
          <w:tcPr>
            <w:tcW w:w="2080" w:type="dxa"/>
            <w:vMerge w:val="restart"/>
            <w:tcBorders>
              <w:top w:val="nil"/>
            </w:tcBorders>
          </w:tcPr>
          <w:p w14:paraId="037AF30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Pulse </w:t>
            </w:r>
          </w:p>
        </w:tc>
        <w:tc>
          <w:tcPr>
            <w:tcW w:w="1300" w:type="dxa"/>
            <w:tcBorders>
              <w:top w:val="nil"/>
              <w:bottom w:val="nil"/>
              <w:right w:val="single" w:sz="18" w:space="0" w:color="auto"/>
            </w:tcBorders>
          </w:tcPr>
          <w:p w14:paraId="1ECABB1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627785B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1E51B81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400F1DF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26</w:t>
            </w:r>
          </w:p>
        </w:tc>
        <w:tc>
          <w:tcPr>
            <w:tcW w:w="945" w:type="dxa"/>
            <w:tcBorders>
              <w:top w:val="nil"/>
              <w:bottom w:val="nil"/>
            </w:tcBorders>
            <w:shd w:val="clear" w:color="auto" w:fill="FFFFFF"/>
          </w:tcPr>
          <w:p w14:paraId="1EFCA87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48,1</w:t>
            </w:r>
          </w:p>
        </w:tc>
        <w:tc>
          <w:tcPr>
            <w:tcW w:w="1151" w:type="dxa"/>
            <w:tcBorders>
              <w:top w:val="nil"/>
              <w:bottom w:val="nil"/>
            </w:tcBorders>
            <w:shd w:val="clear" w:color="auto" w:fill="FFFFFF"/>
          </w:tcPr>
          <w:p w14:paraId="5DD828C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0,3351</w:t>
            </w:r>
          </w:p>
        </w:tc>
        <w:tc>
          <w:tcPr>
            <w:tcW w:w="2062" w:type="dxa"/>
            <w:tcBorders>
              <w:top w:val="nil"/>
              <w:bottom w:val="nil"/>
            </w:tcBorders>
            <w:shd w:val="clear" w:color="auto" w:fill="FFFFFF"/>
          </w:tcPr>
          <w:p w14:paraId="48A27AE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1,45[0,64-3,32]</w:t>
            </w:r>
          </w:p>
        </w:tc>
      </w:tr>
      <w:tr w:rsidR="0023308B" w14:paraId="01410900" w14:textId="77777777">
        <w:tc>
          <w:tcPr>
            <w:tcW w:w="2080" w:type="dxa"/>
            <w:vMerge/>
            <w:tcBorders>
              <w:top w:val="nil"/>
            </w:tcBorders>
          </w:tcPr>
          <w:p w14:paraId="7CC372BF"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7116148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Accelerated</w:t>
            </w:r>
          </w:p>
        </w:tc>
        <w:tc>
          <w:tcPr>
            <w:tcW w:w="1157" w:type="dxa"/>
            <w:tcBorders>
              <w:top w:val="nil"/>
              <w:left w:val="single" w:sz="18" w:space="0" w:color="auto"/>
              <w:bottom w:val="nil"/>
            </w:tcBorders>
            <w:shd w:val="clear" w:color="auto" w:fill="FFFFFF"/>
          </w:tcPr>
          <w:p w14:paraId="771E64B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23</w:t>
            </w:r>
          </w:p>
        </w:tc>
        <w:tc>
          <w:tcPr>
            <w:tcW w:w="835" w:type="dxa"/>
            <w:tcBorders>
              <w:top w:val="nil"/>
              <w:bottom w:val="nil"/>
            </w:tcBorders>
            <w:shd w:val="clear" w:color="auto" w:fill="FFFFFF"/>
          </w:tcPr>
          <w:p w14:paraId="640AD36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42,6</w:t>
            </w:r>
          </w:p>
        </w:tc>
        <w:tc>
          <w:tcPr>
            <w:tcW w:w="1102" w:type="dxa"/>
            <w:tcBorders>
              <w:top w:val="nil"/>
              <w:bottom w:val="nil"/>
            </w:tcBorders>
            <w:shd w:val="clear" w:color="auto" w:fill="FFFFFF"/>
          </w:tcPr>
          <w:p w14:paraId="0E5D6AF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27</w:t>
            </w:r>
          </w:p>
        </w:tc>
        <w:tc>
          <w:tcPr>
            <w:tcW w:w="945" w:type="dxa"/>
            <w:tcBorders>
              <w:top w:val="nil"/>
              <w:bottom w:val="nil"/>
            </w:tcBorders>
            <w:shd w:val="clear" w:color="auto" w:fill="FFFFFF"/>
          </w:tcPr>
          <w:p w14:paraId="30DE51D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50</w:t>
            </w:r>
          </w:p>
        </w:tc>
        <w:tc>
          <w:tcPr>
            <w:tcW w:w="1151" w:type="dxa"/>
            <w:tcBorders>
              <w:top w:val="nil"/>
              <w:bottom w:val="nil"/>
            </w:tcBorders>
            <w:shd w:val="clear" w:color="auto" w:fill="FFFFFF"/>
          </w:tcPr>
          <w:p w14:paraId="5BF5739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0,4401</w:t>
            </w:r>
          </w:p>
        </w:tc>
        <w:tc>
          <w:tcPr>
            <w:tcW w:w="2062" w:type="dxa"/>
            <w:tcBorders>
              <w:top w:val="nil"/>
              <w:bottom w:val="nil"/>
            </w:tcBorders>
            <w:shd w:val="clear" w:color="auto" w:fill="FFFFFF"/>
          </w:tcPr>
          <w:p w14:paraId="7260A90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0,74[0,32-1,69]</w:t>
            </w:r>
          </w:p>
        </w:tc>
      </w:tr>
      <w:tr w:rsidR="0023308B" w14:paraId="02F9A682" w14:textId="77777777">
        <w:tc>
          <w:tcPr>
            <w:tcW w:w="2080" w:type="dxa"/>
            <w:vMerge w:val="restart"/>
            <w:tcBorders>
              <w:top w:val="nil"/>
            </w:tcBorders>
          </w:tcPr>
          <w:p w14:paraId="3702F2EF" w14:textId="77777777" w:rsidR="0023308B" w:rsidRDefault="0023308B">
            <w:pPr>
              <w:rPr>
                <w:rFonts w:ascii="Calibri" w:eastAsia="Calibri" w:hAnsi="Calibri" w:cs="Times New Roman"/>
                <w:kern w:val="2"/>
                <w14:ligatures w14:val="standardContextual"/>
              </w:rPr>
            </w:pPr>
          </w:p>
          <w:p w14:paraId="072E7B9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Temperature </w:t>
            </w:r>
          </w:p>
        </w:tc>
        <w:tc>
          <w:tcPr>
            <w:tcW w:w="1300" w:type="dxa"/>
            <w:tcBorders>
              <w:top w:val="nil"/>
              <w:bottom w:val="nil"/>
              <w:right w:val="single" w:sz="18" w:space="0" w:color="auto"/>
            </w:tcBorders>
          </w:tcPr>
          <w:p w14:paraId="1D47263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Low </w:t>
            </w:r>
          </w:p>
        </w:tc>
        <w:tc>
          <w:tcPr>
            <w:tcW w:w="1157" w:type="dxa"/>
            <w:tcBorders>
              <w:top w:val="nil"/>
              <w:left w:val="single" w:sz="18" w:space="0" w:color="auto"/>
              <w:bottom w:val="nil"/>
            </w:tcBorders>
            <w:shd w:val="clear" w:color="auto" w:fill="FFFFFF"/>
          </w:tcPr>
          <w:p w14:paraId="4D92033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7591484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618E2DE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13</w:t>
            </w:r>
          </w:p>
        </w:tc>
        <w:tc>
          <w:tcPr>
            <w:tcW w:w="945" w:type="dxa"/>
            <w:tcBorders>
              <w:top w:val="nil"/>
              <w:bottom w:val="nil"/>
            </w:tcBorders>
            <w:shd w:val="clear" w:color="auto" w:fill="FFFFFF"/>
          </w:tcPr>
          <w:p w14:paraId="2683984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24,1</w:t>
            </w:r>
          </w:p>
        </w:tc>
        <w:tc>
          <w:tcPr>
            <w:tcW w:w="1151" w:type="dxa"/>
            <w:tcBorders>
              <w:top w:val="nil"/>
              <w:bottom w:val="nil"/>
            </w:tcBorders>
            <w:shd w:val="clear" w:color="auto" w:fill="FFFFFF"/>
          </w:tcPr>
          <w:p w14:paraId="217515A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0,0004</w:t>
            </w:r>
          </w:p>
        </w:tc>
        <w:tc>
          <w:tcPr>
            <w:tcW w:w="2062" w:type="dxa"/>
            <w:tcBorders>
              <w:top w:val="nil"/>
              <w:bottom w:val="nil"/>
            </w:tcBorders>
            <w:shd w:val="clear" w:color="auto" w:fill="FFFFFF"/>
          </w:tcPr>
          <w:p w14:paraId="23CCCDA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4,25[1,73-10,61]</w:t>
            </w:r>
          </w:p>
        </w:tc>
      </w:tr>
      <w:tr w:rsidR="0023308B" w14:paraId="1994E6B5" w14:textId="77777777">
        <w:tc>
          <w:tcPr>
            <w:tcW w:w="2080" w:type="dxa"/>
            <w:vMerge/>
            <w:tcBorders>
              <w:top w:val="nil"/>
            </w:tcBorders>
          </w:tcPr>
          <w:p w14:paraId="3E7576DC"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3B5DA12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11FC2DB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w:t>
            </w:r>
          </w:p>
        </w:tc>
        <w:tc>
          <w:tcPr>
            <w:tcW w:w="835" w:type="dxa"/>
            <w:tcBorders>
              <w:top w:val="nil"/>
              <w:bottom w:val="nil"/>
            </w:tcBorders>
            <w:shd w:val="clear" w:color="auto" w:fill="FFFFFF"/>
          </w:tcPr>
          <w:p w14:paraId="1273539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25,9</w:t>
            </w:r>
          </w:p>
        </w:tc>
        <w:tc>
          <w:tcPr>
            <w:tcW w:w="1102" w:type="dxa"/>
            <w:tcBorders>
              <w:top w:val="nil"/>
              <w:bottom w:val="nil"/>
            </w:tcBorders>
            <w:shd w:val="clear" w:color="auto" w:fill="FFFFFF"/>
          </w:tcPr>
          <w:p w14:paraId="6D5AE74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37</w:t>
            </w:r>
          </w:p>
        </w:tc>
        <w:tc>
          <w:tcPr>
            <w:tcW w:w="945" w:type="dxa"/>
            <w:tcBorders>
              <w:top w:val="nil"/>
              <w:bottom w:val="nil"/>
            </w:tcBorders>
            <w:shd w:val="clear" w:color="auto" w:fill="FFFFFF"/>
          </w:tcPr>
          <w:p w14:paraId="5368633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68,5</w:t>
            </w:r>
          </w:p>
        </w:tc>
        <w:tc>
          <w:tcPr>
            <w:tcW w:w="1151" w:type="dxa"/>
            <w:tcBorders>
              <w:top w:val="nil"/>
              <w:bottom w:val="nil"/>
            </w:tcBorders>
            <w:shd w:val="clear" w:color="auto" w:fill="FFFFFF"/>
          </w:tcPr>
          <w:p w14:paraId="66B2302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0,000009</w:t>
            </w:r>
          </w:p>
        </w:tc>
        <w:tc>
          <w:tcPr>
            <w:tcW w:w="2062" w:type="dxa"/>
            <w:tcBorders>
              <w:top w:val="nil"/>
              <w:bottom w:val="nil"/>
            </w:tcBorders>
            <w:shd w:val="clear" w:color="auto" w:fill="FFFFFF"/>
          </w:tcPr>
          <w:p w14:paraId="5CED605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0,16[0,06-0,40]</w:t>
            </w:r>
          </w:p>
        </w:tc>
      </w:tr>
      <w:tr w:rsidR="0023308B" w14:paraId="7051A25D" w14:textId="77777777">
        <w:tc>
          <w:tcPr>
            <w:tcW w:w="2080" w:type="dxa"/>
            <w:vMerge/>
            <w:tcBorders>
              <w:top w:val="nil"/>
            </w:tcBorders>
          </w:tcPr>
          <w:p w14:paraId="00637B16"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0375997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high </w:t>
            </w:r>
          </w:p>
        </w:tc>
        <w:tc>
          <w:tcPr>
            <w:tcW w:w="1157" w:type="dxa"/>
            <w:tcBorders>
              <w:top w:val="nil"/>
              <w:left w:val="single" w:sz="18" w:space="0" w:color="auto"/>
              <w:bottom w:val="nil"/>
            </w:tcBorders>
            <w:shd w:val="clear" w:color="auto" w:fill="FFFFFF"/>
          </w:tcPr>
          <w:p w14:paraId="518E277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w:t>
            </w:r>
          </w:p>
        </w:tc>
        <w:tc>
          <w:tcPr>
            <w:tcW w:w="835" w:type="dxa"/>
            <w:tcBorders>
              <w:top w:val="nil"/>
              <w:bottom w:val="nil"/>
            </w:tcBorders>
            <w:shd w:val="clear" w:color="auto" w:fill="FFFFFF"/>
          </w:tcPr>
          <w:p w14:paraId="558D5E1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16,7</w:t>
            </w:r>
          </w:p>
        </w:tc>
        <w:tc>
          <w:tcPr>
            <w:tcW w:w="1102" w:type="dxa"/>
            <w:tcBorders>
              <w:top w:val="nil"/>
              <w:bottom w:val="nil"/>
            </w:tcBorders>
            <w:shd w:val="clear" w:color="auto" w:fill="FFFFFF"/>
          </w:tcPr>
          <w:p w14:paraId="2B5F086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w:t>
            </w:r>
          </w:p>
        </w:tc>
        <w:tc>
          <w:tcPr>
            <w:tcW w:w="945" w:type="dxa"/>
            <w:tcBorders>
              <w:top w:val="nil"/>
              <w:bottom w:val="nil"/>
            </w:tcBorders>
            <w:shd w:val="clear" w:color="auto" w:fill="FFFFFF"/>
          </w:tcPr>
          <w:p w14:paraId="77D1F07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7,4</w:t>
            </w:r>
          </w:p>
        </w:tc>
        <w:tc>
          <w:tcPr>
            <w:tcW w:w="1151" w:type="dxa"/>
            <w:tcBorders>
              <w:top w:val="nil"/>
              <w:bottom w:val="nil"/>
            </w:tcBorders>
            <w:shd w:val="clear" w:color="auto" w:fill="FFFFFF"/>
          </w:tcPr>
          <w:p w14:paraId="4C02128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0,1392</w:t>
            </w:r>
          </w:p>
        </w:tc>
        <w:tc>
          <w:tcPr>
            <w:tcW w:w="2062" w:type="dxa"/>
            <w:tcBorders>
              <w:top w:val="nil"/>
              <w:bottom w:val="nil"/>
            </w:tcBorders>
            <w:shd w:val="clear" w:color="auto" w:fill="FFFFFF"/>
          </w:tcPr>
          <w:p w14:paraId="068D285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2,50[0,64-11,79]</w:t>
            </w:r>
          </w:p>
        </w:tc>
      </w:tr>
      <w:tr w:rsidR="0023308B" w14:paraId="711A781B" w14:textId="77777777">
        <w:tc>
          <w:tcPr>
            <w:tcW w:w="2080" w:type="dxa"/>
            <w:vMerge w:val="restart"/>
            <w:tcBorders>
              <w:top w:val="nil"/>
            </w:tcBorders>
          </w:tcPr>
          <w:p w14:paraId="06CEC74B"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Encéphalopathy</w:t>
            </w:r>
            <w:proofErr w:type="spellEnd"/>
            <w:r>
              <w:rPr>
                <w:rFonts w:ascii="Calibri" w:eastAsia="Calibri" w:hAnsi="Calibri" w:cs="Times New Roman"/>
                <w:kern w:val="2"/>
                <w14:ligatures w14:val="standardContextual"/>
              </w:rPr>
              <w:t xml:space="preserve"> </w:t>
            </w:r>
          </w:p>
        </w:tc>
        <w:tc>
          <w:tcPr>
            <w:tcW w:w="1300" w:type="dxa"/>
            <w:tcBorders>
              <w:top w:val="nil"/>
              <w:bottom w:val="nil"/>
              <w:right w:val="single" w:sz="18" w:space="0" w:color="auto"/>
            </w:tcBorders>
          </w:tcPr>
          <w:p w14:paraId="45C0455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Absent </w:t>
            </w:r>
          </w:p>
        </w:tc>
        <w:tc>
          <w:tcPr>
            <w:tcW w:w="1157" w:type="dxa"/>
            <w:tcBorders>
              <w:top w:val="nil"/>
              <w:left w:val="single" w:sz="18" w:space="0" w:color="auto"/>
              <w:bottom w:val="nil"/>
            </w:tcBorders>
            <w:shd w:val="clear" w:color="auto" w:fill="FFFFFF"/>
          </w:tcPr>
          <w:p w14:paraId="7C2FE95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50</w:t>
            </w:r>
          </w:p>
        </w:tc>
        <w:tc>
          <w:tcPr>
            <w:tcW w:w="835" w:type="dxa"/>
            <w:tcBorders>
              <w:top w:val="nil"/>
              <w:bottom w:val="nil"/>
            </w:tcBorders>
            <w:shd w:val="clear" w:color="auto" w:fill="FFFFFF"/>
          </w:tcPr>
          <w:p w14:paraId="5516F82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92,6</w:t>
            </w:r>
          </w:p>
        </w:tc>
        <w:tc>
          <w:tcPr>
            <w:tcW w:w="1102" w:type="dxa"/>
            <w:tcBorders>
              <w:top w:val="nil"/>
              <w:bottom w:val="nil"/>
            </w:tcBorders>
            <w:shd w:val="clear" w:color="auto" w:fill="FFFFFF"/>
          </w:tcPr>
          <w:p w14:paraId="6D3A083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50</w:t>
            </w:r>
          </w:p>
        </w:tc>
        <w:tc>
          <w:tcPr>
            <w:tcW w:w="945" w:type="dxa"/>
            <w:tcBorders>
              <w:top w:val="nil"/>
              <w:bottom w:val="nil"/>
            </w:tcBorders>
            <w:shd w:val="clear" w:color="auto" w:fill="FFFFFF"/>
          </w:tcPr>
          <w:p w14:paraId="665B0ED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92,6</w:t>
            </w:r>
          </w:p>
        </w:tc>
        <w:tc>
          <w:tcPr>
            <w:tcW w:w="1151" w:type="dxa"/>
            <w:tcBorders>
              <w:top w:val="nil"/>
              <w:bottom w:val="nil"/>
            </w:tcBorders>
            <w:shd w:val="clear" w:color="auto" w:fill="FFFFFF"/>
          </w:tcPr>
          <w:p w14:paraId="4E54F93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2CE89149" w14:textId="77777777" w:rsidR="0023308B" w:rsidRDefault="0023308B">
            <w:pPr>
              <w:rPr>
                <w:rFonts w:ascii="Calibri" w:eastAsia="Calibri" w:hAnsi="Calibri" w:cs="Times New Roman"/>
                <w:kern w:val="2"/>
                <w14:ligatures w14:val="standardContextual"/>
              </w:rPr>
            </w:pPr>
          </w:p>
        </w:tc>
      </w:tr>
      <w:tr w:rsidR="0023308B" w14:paraId="2773395B" w14:textId="77777777">
        <w:tc>
          <w:tcPr>
            <w:tcW w:w="2080" w:type="dxa"/>
            <w:vMerge/>
            <w:tcBorders>
              <w:top w:val="nil"/>
            </w:tcBorders>
          </w:tcPr>
          <w:p w14:paraId="1F7E94CE"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561F530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Asterixis</w:t>
            </w:r>
          </w:p>
        </w:tc>
        <w:tc>
          <w:tcPr>
            <w:tcW w:w="1157" w:type="dxa"/>
            <w:tcBorders>
              <w:top w:val="nil"/>
              <w:left w:val="single" w:sz="18" w:space="0" w:color="auto"/>
              <w:bottom w:val="nil"/>
            </w:tcBorders>
            <w:shd w:val="clear" w:color="auto" w:fill="FFFFFF"/>
          </w:tcPr>
          <w:p w14:paraId="0AC0926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835" w:type="dxa"/>
            <w:tcBorders>
              <w:top w:val="nil"/>
              <w:bottom w:val="nil"/>
            </w:tcBorders>
            <w:shd w:val="clear" w:color="auto" w:fill="FFFFFF"/>
          </w:tcPr>
          <w:p w14:paraId="18BE2E8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02" w:type="dxa"/>
            <w:tcBorders>
              <w:top w:val="nil"/>
              <w:bottom w:val="nil"/>
            </w:tcBorders>
            <w:shd w:val="clear" w:color="auto" w:fill="FFFFFF"/>
          </w:tcPr>
          <w:p w14:paraId="530AA23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59FEF1C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248E1D3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7B026F42" w14:textId="77777777" w:rsidR="0023308B" w:rsidRDefault="0023308B">
            <w:pPr>
              <w:rPr>
                <w:rFonts w:ascii="Calibri" w:eastAsia="Calibri" w:hAnsi="Calibri" w:cs="Times New Roman"/>
                <w:kern w:val="2"/>
                <w14:ligatures w14:val="standardContextual"/>
              </w:rPr>
            </w:pPr>
          </w:p>
        </w:tc>
      </w:tr>
      <w:tr w:rsidR="0023308B" w14:paraId="31EA02D5" w14:textId="77777777">
        <w:tc>
          <w:tcPr>
            <w:tcW w:w="2080" w:type="dxa"/>
            <w:vMerge/>
            <w:tcBorders>
              <w:top w:val="nil"/>
            </w:tcBorders>
          </w:tcPr>
          <w:p w14:paraId="0A6C0DA3"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6E53D4D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Confusion </w:t>
            </w:r>
          </w:p>
        </w:tc>
        <w:tc>
          <w:tcPr>
            <w:tcW w:w="1157" w:type="dxa"/>
            <w:tcBorders>
              <w:top w:val="nil"/>
              <w:left w:val="single" w:sz="18" w:space="0" w:color="auto"/>
              <w:bottom w:val="nil"/>
            </w:tcBorders>
            <w:shd w:val="clear" w:color="auto" w:fill="FFFFFF"/>
          </w:tcPr>
          <w:p w14:paraId="2118556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w:t>
            </w:r>
          </w:p>
        </w:tc>
        <w:tc>
          <w:tcPr>
            <w:tcW w:w="835" w:type="dxa"/>
            <w:tcBorders>
              <w:top w:val="nil"/>
              <w:bottom w:val="nil"/>
            </w:tcBorders>
            <w:shd w:val="clear" w:color="auto" w:fill="FFFFFF"/>
          </w:tcPr>
          <w:p w14:paraId="3D90430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7,4</w:t>
            </w:r>
          </w:p>
        </w:tc>
        <w:tc>
          <w:tcPr>
            <w:tcW w:w="1102" w:type="dxa"/>
            <w:tcBorders>
              <w:top w:val="nil"/>
              <w:bottom w:val="nil"/>
            </w:tcBorders>
            <w:shd w:val="clear" w:color="auto" w:fill="FFFFFF"/>
          </w:tcPr>
          <w:p w14:paraId="626846B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w:t>
            </w:r>
          </w:p>
        </w:tc>
        <w:tc>
          <w:tcPr>
            <w:tcW w:w="945" w:type="dxa"/>
            <w:tcBorders>
              <w:top w:val="nil"/>
              <w:bottom w:val="nil"/>
            </w:tcBorders>
            <w:shd w:val="clear" w:color="auto" w:fill="FFFFFF"/>
          </w:tcPr>
          <w:p w14:paraId="556EFA1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w:t>
            </w:r>
          </w:p>
        </w:tc>
        <w:tc>
          <w:tcPr>
            <w:tcW w:w="1151" w:type="dxa"/>
            <w:tcBorders>
              <w:top w:val="nil"/>
              <w:bottom w:val="nil"/>
            </w:tcBorders>
            <w:shd w:val="clear" w:color="auto" w:fill="FFFFFF"/>
          </w:tcPr>
          <w:p w14:paraId="1D7DCD2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7E3427DB" w14:textId="77777777" w:rsidR="0023308B" w:rsidRDefault="0023308B">
            <w:pPr>
              <w:rPr>
                <w:rFonts w:ascii="Calibri" w:eastAsia="Calibri" w:hAnsi="Calibri" w:cs="Times New Roman"/>
                <w:kern w:val="2"/>
                <w14:ligatures w14:val="standardContextual"/>
              </w:rPr>
            </w:pPr>
          </w:p>
        </w:tc>
      </w:tr>
      <w:tr w:rsidR="0023308B" w14:paraId="23C8BAB6" w14:textId="77777777">
        <w:tc>
          <w:tcPr>
            <w:tcW w:w="2080" w:type="dxa"/>
            <w:vMerge/>
            <w:tcBorders>
              <w:top w:val="nil"/>
            </w:tcBorders>
          </w:tcPr>
          <w:p w14:paraId="797B6C08" w14:textId="77777777" w:rsidR="0023308B" w:rsidRDefault="0023308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0EEC7A2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Coma </w:t>
            </w:r>
          </w:p>
        </w:tc>
        <w:tc>
          <w:tcPr>
            <w:tcW w:w="1157" w:type="dxa"/>
            <w:tcBorders>
              <w:top w:val="nil"/>
              <w:left w:val="single" w:sz="18" w:space="0" w:color="auto"/>
              <w:bottom w:val="nil"/>
            </w:tcBorders>
            <w:shd w:val="clear" w:color="auto" w:fill="FFFFFF"/>
          </w:tcPr>
          <w:p w14:paraId="2115E3F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835" w:type="dxa"/>
            <w:tcBorders>
              <w:top w:val="nil"/>
              <w:bottom w:val="nil"/>
            </w:tcBorders>
            <w:shd w:val="clear" w:color="auto" w:fill="FFFFFF"/>
          </w:tcPr>
          <w:p w14:paraId="5FD8038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02" w:type="dxa"/>
            <w:tcBorders>
              <w:top w:val="nil"/>
              <w:bottom w:val="nil"/>
            </w:tcBorders>
            <w:shd w:val="clear" w:color="auto" w:fill="FFFFFF"/>
          </w:tcPr>
          <w:p w14:paraId="7D0C28B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945" w:type="dxa"/>
            <w:tcBorders>
              <w:top w:val="nil"/>
              <w:bottom w:val="nil"/>
            </w:tcBorders>
            <w:shd w:val="clear" w:color="auto" w:fill="FFFFFF"/>
          </w:tcPr>
          <w:p w14:paraId="5683943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51" w:type="dxa"/>
            <w:tcBorders>
              <w:top w:val="nil"/>
              <w:bottom w:val="nil"/>
            </w:tcBorders>
            <w:shd w:val="clear" w:color="auto" w:fill="FFFFFF"/>
          </w:tcPr>
          <w:p w14:paraId="10D97BE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02737E81" w14:textId="77777777" w:rsidR="0023308B" w:rsidRDefault="0023308B">
            <w:pPr>
              <w:rPr>
                <w:rFonts w:ascii="Calibri" w:eastAsia="Calibri" w:hAnsi="Calibri" w:cs="Times New Roman"/>
                <w:kern w:val="2"/>
                <w14:ligatures w14:val="standardContextual"/>
              </w:rPr>
            </w:pPr>
          </w:p>
        </w:tc>
      </w:tr>
      <w:tr w:rsidR="0023308B" w14:paraId="541D08E5" w14:textId="77777777">
        <w:tc>
          <w:tcPr>
            <w:tcW w:w="3380" w:type="dxa"/>
            <w:gridSpan w:val="2"/>
            <w:tcBorders>
              <w:top w:val="nil"/>
              <w:right w:val="single" w:sz="18" w:space="0" w:color="auto"/>
            </w:tcBorders>
          </w:tcPr>
          <w:p w14:paraId="66AF932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Abdominal pain  </w:t>
            </w:r>
          </w:p>
        </w:tc>
        <w:tc>
          <w:tcPr>
            <w:tcW w:w="1157" w:type="dxa"/>
            <w:tcBorders>
              <w:top w:val="nil"/>
              <w:left w:val="single" w:sz="18" w:space="0" w:color="auto"/>
              <w:bottom w:val="nil"/>
            </w:tcBorders>
            <w:shd w:val="clear" w:color="auto" w:fill="FFFFFF"/>
          </w:tcPr>
          <w:p w14:paraId="78AD81D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12</w:t>
            </w:r>
          </w:p>
        </w:tc>
        <w:tc>
          <w:tcPr>
            <w:tcW w:w="835" w:type="dxa"/>
            <w:tcBorders>
              <w:top w:val="nil"/>
              <w:bottom w:val="nil"/>
            </w:tcBorders>
            <w:shd w:val="clear" w:color="auto" w:fill="FFFFFF"/>
          </w:tcPr>
          <w:p w14:paraId="335A9E7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22,2</w:t>
            </w:r>
          </w:p>
        </w:tc>
        <w:tc>
          <w:tcPr>
            <w:tcW w:w="1102" w:type="dxa"/>
            <w:tcBorders>
              <w:top w:val="nil"/>
              <w:bottom w:val="nil"/>
            </w:tcBorders>
            <w:shd w:val="clear" w:color="auto" w:fill="FFFFFF"/>
          </w:tcPr>
          <w:p w14:paraId="367E568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w:t>
            </w:r>
          </w:p>
        </w:tc>
        <w:tc>
          <w:tcPr>
            <w:tcW w:w="945" w:type="dxa"/>
            <w:tcBorders>
              <w:top w:val="nil"/>
              <w:bottom w:val="nil"/>
            </w:tcBorders>
            <w:shd w:val="clear" w:color="auto" w:fill="FFFFFF"/>
          </w:tcPr>
          <w:p w14:paraId="27CB742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20,4</w:t>
            </w:r>
          </w:p>
        </w:tc>
        <w:tc>
          <w:tcPr>
            <w:tcW w:w="1151" w:type="dxa"/>
            <w:tcBorders>
              <w:top w:val="nil"/>
              <w:bottom w:val="nil"/>
            </w:tcBorders>
            <w:shd w:val="clear" w:color="auto" w:fill="FFFFFF"/>
          </w:tcPr>
          <w:p w14:paraId="4334E67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0,8141</w:t>
            </w:r>
          </w:p>
        </w:tc>
        <w:tc>
          <w:tcPr>
            <w:tcW w:w="2062" w:type="dxa"/>
            <w:tcBorders>
              <w:top w:val="nil"/>
              <w:bottom w:val="nil"/>
            </w:tcBorders>
            <w:shd w:val="clear" w:color="auto" w:fill="FFFFFF"/>
          </w:tcPr>
          <w:p w14:paraId="5F79862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1,12[0,40-3,13]</w:t>
            </w:r>
          </w:p>
        </w:tc>
      </w:tr>
      <w:tr w:rsidR="0023308B" w14:paraId="348D3C44" w14:textId="77777777">
        <w:tc>
          <w:tcPr>
            <w:tcW w:w="3380" w:type="dxa"/>
            <w:gridSpan w:val="2"/>
            <w:tcBorders>
              <w:top w:val="nil"/>
              <w:right w:val="single" w:sz="18" w:space="0" w:color="auto"/>
            </w:tcBorders>
          </w:tcPr>
          <w:p w14:paraId="78EB1AE5"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Hépatomegaly</w:t>
            </w:r>
            <w:proofErr w:type="spellEnd"/>
          </w:p>
        </w:tc>
        <w:tc>
          <w:tcPr>
            <w:tcW w:w="1157" w:type="dxa"/>
            <w:tcBorders>
              <w:top w:val="nil"/>
              <w:left w:val="single" w:sz="18" w:space="0" w:color="auto"/>
              <w:bottom w:val="nil"/>
            </w:tcBorders>
            <w:shd w:val="clear" w:color="auto" w:fill="FFFFFF"/>
          </w:tcPr>
          <w:p w14:paraId="6E73BDF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17</w:t>
            </w:r>
          </w:p>
        </w:tc>
        <w:tc>
          <w:tcPr>
            <w:tcW w:w="835" w:type="dxa"/>
            <w:tcBorders>
              <w:top w:val="nil"/>
              <w:bottom w:val="nil"/>
            </w:tcBorders>
            <w:shd w:val="clear" w:color="auto" w:fill="FFFFFF"/>
          </w:tcPr>
          <w:p w14:paraId="694CD4B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31,5</w:t>
            </w:r>
          </w:p>
        </w:tc>
        <w:tc>
          <w:tcPr>
            <w:tcW w:w="1102" w:type="dxa"/>
            <w:tcBorders>
              <w:top w:val="nil"/>
              <w:bottom w:val="nil"/>
            </w:tcBorders>
            <w:shd w:val="clear" w:color="auto" w:fill="FFFFFF"/>
          </w:tcPr>
          <w:p w14:paraId="438A9FF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19</w:t>
            </w:r>
          </w:p>
        </w:tc>
        <w:tc>
          <w:tcPr>
            <w:tcW w:w="945" w:type="dxa"/>
            <w:tcBorders>
              <w:top w:val="nil"/>
              <w:bottom w:val="nil"/>
            </w:tcBorders>
            <w:shd w:val="clear" w:color="auto" w:fill="FFFFFF"/>
          </w:tcPr>
          <w:p w14:paraId="3828AFB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35,2</w:t>
            </w:r>
          </w:p>
        </w:tc>
        <w:tc>
          <w:tcPr>
            <w:tcW w:w="1151" w:type="dxa"/>
            <w:tcBorders>
              <w:top w:val="nil"/>
              <w:bottom w:val="nil"/>
            </w:tcBorders>
            <w:shd w:val="clear" w:color="auto" w:fill="FFFFFF"/>
          </w:tcPr>
          <w:p w14:paraId="0BEA9EA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0,6830</w:t>
            </w:r>
          </w:p>
        </w:tc>
        <w:tc>
          <w:tcPr>
            <w:tcW w:w="2062" w:type="dxa"/>
            <w:tcBorders>
              <w:top w:val="nil"/>
              <w:bottom w:val="nil"/>
            </w:tcBorders>
            <w:shd w:val="clear" w:color="auto" w:fill="FFFFFF"/>
          </w:tcPr>
          <w:p w14:paraId="42D65BD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0,85[0,35-2,03]</w:t>
            </w:r>
          </w:p>
        </w:tc>
      </w:tr>
      <w:tr w:rsidR="0023308B" w14:paraId="1264E16E" w14:textId="77777777">
        <w:tc>
          <w:tcPr>
            <w:tcW w:w="3380" w:type="dxa"/>
            <w:gridSpan w:val="2"/>
            <w:tcBorders>
              <w:top w:val="nil"/>
              <w:right w:val="single" w:sz="18" w:space="0" w:color="auto"/>
            </w:tcBorders>
          </w:tcPr>
          <w:p w14:paraId="294DC04A"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Splénomegaly</w:t>
            </w:r>
            <w:proofErr w:type="spellEnd"/>
            <w:r>
              <w:rPr>
                <w:rFonts w:ascii="Calibri" w:eastAsia="Calibri" w:hAnsi="Calibri" w:cs="Times New Roman"/>
                <w:kern w:val="2"/>
                <w14:ligatures w14:val="standardContextual"/>
              </w:rPr>
              <w:t xml:space="preserve"> </w:t>
            </w:r>
          </w:p>
        </w:tc>
        <w:tc>
          <w:tcPr>
            <w:tcW w:w="1157" w:type="dxa"/>
            <w:tcBorders>
              <w:top w:val="nil"/>
              <w:left w:val="single" w:sz="18" w:space="0" w:color="auto"/>
              <w:bottom w:val="nil"/>
            </w:tcBorders>
            <w:shd w:val="clear" w:color="auto" w:fill="FFFFFF"/>
          </w:tcPr>
          <w:p w14:paraId="26D6AA9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10</w:t>
            </w:r>
          </w:p>
        </w:tc>
        <w:tc>
          <w:tcPr>
            <w:tcW w:w="835" w:type="dxa"/>
            <w:tcBorders>
              <w:top w:val="nil"/>
              <w:bottom w:val="nil"/>
            </w:tcBorders>
            <w:shd w:val="clear" w:color="auto" w:fill="FFFFFF"/>
          </w:tcPr>
          <w:p w14:paraId="145AC57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18,5</w:t>
            </w:r>
          </w:p>
        </w:tc>
        <w:tc>
          <w:tcPr>
            <w:tcW w:w="1102" w:type="dxa"/>
            <w:tcBorders>
              <w:top w:val="nil"/>
              <w:bottom w:val="nil"/>
            </w:tcBorders>
            <w:shd w:val="clear" w:color="auto" w:fill="FFFFFF"/>
          </w:tcPr>
          <w:p w14:paraId="7956F81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w:t>
            </w:r>
          </w:p>
        </w:tc>
        <w:tc>
          <w:tcPr>
            <w:tcW w:w="945" w:type="dxa"/>
            <w:tcBorders>
              <w:top w:val="nil"/>
              <w:bottom w:val="nil"/>
            </w:tcBorders>
            <w:shd w:val="clear" w:color="auto" w:fill="FFFFFF"/>
          </w:tcPr>
          <w:p w14:paraId="1878869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14,8</w:t>
            </w:r>
          </w:p>
        </w:tc>
        <w:tc>
          <w:tcPr>
            <w:tcW w:w="1151" w:type="dxa"/>
            <w:tcBorders>
              <w:top w:val="nil"/>
              <w:bottom w:val="nil"/>
            </w:tcBorders>
            <w:shd w:val="clear" w:color="auto" w:fill="FFFFFF"/>
          </w:tcPr>
          <w:p w14:paraId="62D008A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0,6055</w:t>
            </w:r>
          </w:p>
        </w:tc>
        <w:tc>
          <w:tcPr>
            <w:tcW w:w="2062" w:type="dxa"/>
            <w:tcBorders>
              <w:top w:val="nil"/>
              <w:bottom w:val="nil"/>
            </w:tcBorders>
            <w:shd w:val="clear" w:color="auto" w:fill="FFFFFF"/>
          </w:tcPr>
          <w:p w14:paraId="61E7BDB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1,31[0,42-4,18]</w:t>
            </w:r>
          </w:p>
        </w:tc>
      </w:tr>
      <w:tr w:rsidR="0023308B" w14:paraId="587C2337" w14:textId="77777777">
        <w:tc>
          <w:tcPr>
            <w:tcW w:w="3380" w:type="dxa"/>
            <w:gridSpan w:val="2"/>
            <w:tcBorders>
              <w:top w:val="nil"/>
              <w:right w:val="single" w:sz="18" w:space="0" w:color="auto"/>
            </w:tcBorders>
          </w:tcPr>
          <w:p w14:paraId="4329004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Ascites </w:t>
            </w:r>
          </w:p>
        </w:tc>
        <w:tc>
          <w:tcPr>
            <w:tcW w:w="1157" w:type="dxa"/>
            <w:tcBorders>
              <w:top w:val="nil"/>
              <w:left w:val="single" w:sz="18" w:space="0" w:color="auto"/>
              <w:bottom w:val="nil"/>
            </w:tcBorders>
            <w:shd w:val="clear" w:color="auto" w:fill="FFFFFF"/>
          </w:tcPr>
          <w:p w14:paraId="16FD141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05F87DD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29005F8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15</w:t>
            </w:r>
          </w:p>
        </w:tc>
        <w:tc>
          <w:tcPr>
            <w:tcW w:w="945" w:type="dxa"/>
            <w:tcBorders>
              <w:top w:val="nil"/>
              <w:bottom w:val="nil"/>
            </w:tcBorders>
            <w:shd w:val="clear" w:color="auto" w:fill="FFFFFF"/>
          </w:tcPr>
          <w:p w14:paraId="0E5D56E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27,8</w:t>
            </w:r>
          </w:p>
        </w:tc>
        <w:tc>
          <w:tcPr>
            <w:tcW w:w="1151" w:type="dxa"/>
            <w:tcBorders>
              <w:top w:val="nil"/>
              <w:bottom w:val="nil"/>
            </w:tcBorders>
            <w:shd w:val="clear" w:color="auto" w:fill="FFFFFF"/>
          </w:tcPr>
          <w:p w14:paraId="2DDC5AE6" w14:textId="77777777" w:rsidR="0023308B" w:rsidRDefault="00DF4A22">
            <w:pPr>
              <w:rPr>
                <w:rFonts w:ascii="Calibri" w:eastAsia="Calibri" w:hAnsi="Calibri" w:cs="Times New Roman"/>
                <w:b/>
                <w:kern w:val="2"/>
                <w14:ligatures w14:val="standardContextual"/>
              </w:rPr>
            </w:pPr>
            <w:r>
              <w:rPr>
                <w:rFonts w:ascii="Calibri" w:eastAsia="Calibri" w:hAnsi="Calibri" w:cs="Times New Roman"/>
                <w:b/>
                <w:kern w:val="2"/>
                <w14:ligatures w14:val="standardContextual"/>
              </w:rPr>
              <w:t>0,0018</w:t>
            </w:r>
          </w:p>
        </w:tc>
        <w:tc>
          <w:tcPr>
            <w:tcW w:w="2062" w:type="dxa"/>
            <w:tcBorders>
              <w:top w:val="nil"/>
              <w:bottom w:val="nil"/>
            </w:tcBorders>
            <w:shd w:val="clear" w:color="auto" w:fill="FFFFFF"/>
          </w:tcPr>
          <w:p w14:paraId="7998081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3,50[1,46-8,50]</w:t>
            </w:r>
          </w:p>
        </w:tc>
      </w:tr>
      <w:tr w:rsidR="0023308B" w14:paraId="1B99F3DE" w14:textId="77777777">
        <w:tc>
          <w:tcPr>
            <w:tcW w:w="3380" w:type="dxa"/>
            <w:gridSpan w:val="2"/>
            <w:tcBorders>
              <w:top w:val="nil"/>
              <w:right w:val="single" w:sz="18" w:space="0" w:color="auto"/>
            </w:tcBorders>
          </w:tcPr>
          <w:p w14:paraId="2D5FD75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CVC</w:t>
            </w:r>
          </w:p>
        </w:tc>
        <w:tc>
          <w:tcPr>
            <w:tcW w:w="1157" w:type="dxa"/>
            <w:tcBorders>
              <w:top w:val="nil"/>
              <w:left w:val="single" w:sz="18" w:space="0" w:color="auto"/>
              <w:bottom w:val="nil"/>
            </w:tcBorders>
            <w:shd w:val="clear" w:color="auto" w:fill="FFFFFF"/>
          </w:tcPr>
          <w:p w14:paraId="50D5D13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w:t>
            </w:r>
          </w:p>
        </w:tc>
        <w:tc>
          <w:tcPr>
            <w:tcW w:w="835" w:type="dxa"/>
            <w:tcBorders>
              <w:top w:val="nil"/>
              <w:bottom w:val="nil"/>
            </w:tcBorders>
            <w:shd w:val="clear" w:color="auto" w:fill="FFFFFF"/>
          </w:tcPr>
          <w:p w14:paraId="35C8214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11,1</w:t>
            </w:r>
          </w:p>
        </w:tc>
        <w:tc>
          <w:tcPr>
            <w:tcW w:w="1102" w:type="dxa"/>
            <w:tcBorders>
              <w:top w:val="nil"/>
              <w:bottom w:val="nil"/>
            </w:tcBorders>
            <w:shd w:val="clear" w:color="auto" w:fill="FFFFFF"/>
          </w:tcPr>
          <w:p w14:paraId="59B20CD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1EA28E3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5D3670C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0,0506</w:t>
            </w:r>
          </w:p>
        </w:tc>
        <w:tc>
          <w:tcPr>
            <w:tcW w:w="2062" w:type="dxa"/>
            <w:tcBorders>
              <w:top w:val="nil"/>
              <w:bottom w:val="nil"/>
            </w:tcBorders>
            <w:shd w:val="clear" w:color="auto" w:fill="FFFFFF"/>
          </w:tcPr>
          <w:p w14:paraId="0C906C5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6,63[0,75-40,35]</w:t>
            </w:r>
          </w:p>
        </w:tc>
      </w:tr>
      <w:tr w:rsidR="0023308B" w14:paraId="0F59DFA2" w14:textId="77777777">
        <w:tc>
          <w:tcPr>
            <w:tcW w:w="3380" w:type="dxa"/>
            <w:gridSpan w:val="2"/>
            <w:tcBorders>
              <w:top w:val="nil"/>
              <w:right w:val="single" w:sz="18" w:space="0" w:color="auto"/>
            </w:tcBorders>
          </w:tcPr>
          <w:p w14:paraId="7C2D5B7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Jaundice </w:t>
            </w:r>
          </w:p>
        </w:tc>
        <w:tc>
          <w:tcPr>
            <w:tcW w:w="1157" w:type="dxa"/>
            <w:tcBorders>
              <w:top w:val="nil"/>
              <w:left w:val="single" w:sz="18" w:space="0" w:color="auto"/>
              <w:bottom w:val="nil"/>
            </w:tcBorders>
            <w:shd w:val="clear" w:color="auto" w:fill="FFFFFF"/>
          </w:tcPr>
          <w:p w14:paraId="731A0F6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16</w:t>
            </w:r>
          </w:p>
        </w:tc>
        <w:tc>
          <w:tcPr>
            <w:tcW w:w="835" w:type="dxa"/>
            <w:tcBorders>
              <w:top w:val="nil"/>
              <w:bottom w:val="nil"/>
            </w:tcBorders>
            <w:shd w:val="clear" w:color="auto" w:fill="FFFFFF"/>
          </w:tcPr>
          <w:p w14:paraId="49CE17A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29,6</w:t>
            </w:r>
          </w:p>
        </w:tc>
        <w:tc>
          <w:tcPr>
            <w:tcW w:w="1102" w:type="dxa"/>
            <w:tcBorders>
              <w:top w:val="nil"/>
              <w:bottom w:val="nil"/>
            </w:tcBorders>
            <w:shd w:val="clear" w:color="auto" w:fill="FFFFFF"/>
          </w:tcPr>
          <w:p w14:paraId="026EE3F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w:t>
            </w:r>
          </w:p>
        </w:tc>
        <w:tc>
          <w:tcPr>
            <w:tcW w:w="945" w:type="dxa"/>
            <w:tcBorders>
              <w:top w:val="nil"/>
              <w:bottom w:val="nil"/>
            </w:tcBorders>
            <w:shd w:val="clear" w:color="auto" w:fill="FFFFFF"/>
          </w:tcPr>
          <w:p w14:paraId="732B992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25,9</w:t>
            </w:r>
          </w:p>
        </w:tc>
        <w:tc>
          <w:tcPr>
            <w:tcW w:w="1151" w:type="dxa"/>
            <w:tcBorders>
              <w:top w:val="nil"/>
              <w:bottom w:val="nil"/>
            </w:tcBorders>
            <w:shd w:val="clear" w:color="auto" w:fill="FFFFFF"/>
          </w:tcPr>
          <w:p w14:paraId="6AA01A2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0,6674</w:t>
            </w:r>
          </w:p>
        </w:tc>
        <w:tc>
          <w:tcPr>
            <w:tcW w:w="2062" w:type="dxa"/>
            <w:tcBorders>
              <w:top w:val="nil"/>
              <w:bottom w:val="nil"/>
            </w:tcBorders>
            <w:shd w:val="clear" w:color="auto" w:fill="FFFFFF"/>
          </w:tcPr>
          <w:p w14:paraId="1B1853F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1,20[0,48-3,06]</w:t>
            </w:r>
          </w:p>
        </w:tc>
      </w:tr>
      <w:tr w:rsidR="0023308B" w14:paraId="635E49EA" w14:textId="77777777">
        <w:tc>
          <w:tcPr>
            <w:tcW w:w="3380" w:type="dxa"/>
            <w:gridSpan w:val="2"/>
            <w:tcBorders>
              <w:top w:val="nil"/>
              <w:right w:val="single" w:sz="18" w:space="0" w:color="auto"/>
            </w:tcBorders>
          </w:tcPr>
          <w:p w14:paraId="05E5067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Hematemesis </w:t>
            </w:r>
          </w:p>
        </w:tc>
        <w:tc>
          <w:tcPr>
            <w:tcW w:w="1157" w:type="dxa"/>
            <w:tcBorders>
              <w:top w:val="nil"/>
              <w:left w:val="single" w:sz="18" w:space="0" w:color="auto"/>
              <w:bottom w:val="nil"/>
            </w:tcBorders>
            <w:shd w:val="clear" w:color="auto" w:fill="FFFFFF"/>
          </w:tcPr>
          <w:p w14:paraId="3E36016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26</w:t>
            </w:r>
          </w:p>
        </w:tc>
        <w:tc>
          <w:tcPr>
            <w:tcW w:w="835" w:type="dxa"/>
            <w:tcBorders>
              <w:top w:val="nil"/>
              <w:bottom w:val="nil"/>
            </w:tcBorders>
            <w:shd w:val="clear" w:color="auto" w:fill="FFFFFF"/>
          </w:tcPr>
          <w:p w14:paraId="38E0EE7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48,1</w:t>
            </w:r>
          </w:p>
        </w:tc>
        <w:tc>
          <w:tcPr>
            <w:tcW w:w="1102" w:type="dxa"/>
            <w:tcBorders>
              <w:top w:val="nil"/>
              <w:bottom w:val="nil"/>
            </w:tcBorders>
            <w:shd w:val="clear" w:color="auto" w:fill="FFFFFF"/>
          </w:tcPr>
          <w:p w14:paraId="282A06F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6F5A8F4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00380E5C" w14:textId="77777777" w:rsidR="0023308B" w:rsidRDefault="00DF4A22">
            <w:pPr>
              <w:rPr>
                <w:rFonts w:ascii="Calibri" w:eastAsia="Calibri" w:hAnsi="Calibri" w:cs="Times New Roman"/>
                <w:b/>
                <w:kern w:val="2"/>
                <w14:ligatures w14:val="standardContextual"/>
              </w:rPr>
            </w:pPr>
            <w:r>
              <w:rPr>
                <w:rFonts w:ascii="Calibri" w:eastAsia="Calibri" w:hAnsi="Calibri" w:cs="Times New Roman"/>
                <w:b/>
                <w:kern w:val="2"/>
                <w14:ligatures w14:val="standardContextual"/>
              </w:rPr>
              <w:t>10</w:t>
            </w:r>
            <w:r>
              <w:rPr>
                <w:rFonts w:ascii="Calibri" w:eastAsia="Calibri" w:hAnsi="Calibri" w:cs="Times New Roman"/>
                <w:b/>
                <w:kern w:val="2"/>
                <w:vertAlign w:val="superscript"/>
                <w14:ligatures w14:val="standardContextual"/>
              </w:rPr>
              <w:t>-7</w:t>
            </w:r>
          </w:p>
        </w:tc>
        <w:tc>
          <w:tcPr>
            <w:tcW w:w="2062" w:type="dxa"/>
            <w:tcBorders>
              <w:top w:val="nil"/>
              <w:bottom w:val="nil"/>
            </w:tcBorders>
            <w:shd w:val="clear" w:color="auto" w:fill="FFFFFF"/>
          </w:tcPr>
          <w:p w14:paraId="018B984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49,21[7,09-100,44]</w:t>
            </w:r>
          </w:p>
        </w:tc>
      </w:tr>
      <w:tr w:rsidR="0023308B" w14:paraId="519FCDB9" w14:textId="77777777">
        <w:tc>
          <w:tcPr>
            <w:tcW w:w="3380" w:type="dxa"/>
            <w:gridSpan w:val="2"/>
            <w:tcBorders>
              <w:top w:val="nil"/>
              <w:right w:val="single" w:sz="18" w:space="0" w:color="auto"/>
            </w:tcBorders>
          </w:tcPr>
          <w:p w14:paraId="334687F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lastRenderedPageBreak/>
              <w:t xml:space="preserve">Melena </w:t>
            </w:r>
          </w:p>
        </w:tc>
        <w:tc>
          <w:tcPr>
            <w:tcW w:w="1157" w:type="dxa"/>
            <w:tcBorders>
              <w:top w:val="nil"/>
              <w:left w:val="single" w:sz="18" w:space="0" w:color="auto"/>
              <w:bottom w:val="nil"/>
            </w:tcBorders>
            <w:shd w:val="clear" w:color="auto" w:fill="FFFFFF"/>
          </w:tcPr>
          <w:p w14:paraId="33DAC16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22</w:t>
            </w:r>
          </w:p>
        </w:tc>
        <w:tc>
          <w:tcPr>
            <w:tcW w:w="835" w:type="dxa"/>
            <w:tcBorders>
              <w:top w:val="nil"/>
              <w:bottom w:val="nil"/>
            </w:tcBorders>
            <w:shd w:val="clear" w:color="auto" w:fill="FFFFFF"/>
          </w:tcPr>
          <w:p w14:paraId="6A399E5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40,7</w:t>
            </w:r>
          </w:p>
        </w:tc>
        <w:tc>
          <w:tcPr>
            <w:tcW w:w="1102" w:type="dxa"/>
            <w:tcBorders>
              <w:top w:val="nil"/>
              <w:bottom w:val="nil"/>
            </w:tcBorders>
            <w:shd w:val="clear" w:color="auto" w:fill="FFFFFF"/>
          </w:tcPr>
          <w:p w14:paraId="3F7C9CB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945" w:type="dxa"/>
            <w:tcBorders>
              <w:top w:val="nil"/>
              <w:bottom w:val="nil"/>
            </w:tcBorders>
            <w:shd w:val="clear" w:color="auto" w:fill="FFFFFF"/>
          </w:tcPr>
          <w:p w14:paraId="2A93FC6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51" w:type="dxa"/>
            <w:tcBorders>
              <w:top w:val="nil"/>
              <w:bottom w:val="nil"/>
            </w:tcBorders>
            <w:shd w:val="clear" w:color="auto" w:fill="FFFFFF"/>
          </w:tcPr>
          <w:p w14:paraId="0A46EDE9" w14:textId="77777777" w:rsidR="0023308B" w:rsidRDefault="00DF4A22">
            <w:pPr>
              <w:rPr>
                <w:rFonts w:ascii="Calibri" w:eastAsia="Calibri" w:hAnsi="Calibri" w:cs="Times New Roman"/>
                <w:b/>
                <w:kern w:val="2"/>
                <w14:ligatures w14:val="standardContextual"/>
              </w:rPr>
            </w:pPr>
            <w:r>
              <w:rPr>
                <w:rFonts w:ascii="Calibri" w:eastAsia="Calibri" w:hAnsi="Calibri" w:cs="Times New Roman"/>
                <w:b/>
                <w:kern w:val="2"/>
                <w14:ligatures w14:val="standardContextual"/>
              </w:rPr>
              <w:t>0,0000001</w:t>
            </w:r>
          </w:p>
        </w:tc>
        <w:tc>
          <w:tcPr>
            <w:tcW w:w="2062" w:type="dxa"/>
            <w:tcBorders>
              <w:top w:val="nil"/>
              <w:bottom w:val="nil"/>
            </w:tcBorders>
            <w:shd w:val="clear" w:color="auto" w:fill="FFFFFF"/>
          </w:tcPr>
          <w:p w14:paraId="5E21CC1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r>
      <w:tr w:rsidR="0023308B" w14:paraId="72CFFA2D" w14:textId="77777777">
        <w:tc>
          <w:tcPr>
            <w:tcW w:w="3380" w:type="dxa"/>
            <w:gridSpan w:val="2"/>
            <w:tcBorders>
              <w:top w:val="nil"/>
              <w:right w:val="single" w:sz="18" w:space="0" w:color="auto"/>
            </w:tcBorders>
          </w:tcPr>
          <w:p w14:paraId="7AA4089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Anemia </w:t>
            </w:r>
          </w:p>
        </w:tc>
        <w:tc>
          <w:tcPr>
            <w:tcW w:w="1157" w:type="dxa"/>
            <w:tcBorders>
              <w:top w:val="nil"/>
              <w:left w:val="single" w:sz="18" w:space="0" w:color="auto"/>
              <w:bottom w:val="nil"/>
            </w:tcBorders>
            <w:shd w:val="clear" w:color="auto" w:fill="FFFFFF"/>
          </w:tcPr>
          <w:p w14:paraId="01EABFF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41</w:t>
            </w:r>
          </w:p>
        </w:tc>
        <w:tc>
          <w:tcPr>
            <w:tcW w:w="835" w:type="dxa"/>
            <w:tcBorders>
              <w:top w:val="nil"/>
              <w:bottom w:val="nil"/>
            </w:tcBorders>
            <w:shd w:val="clear" w:color="auto" w:fill="FFFFFF"/>
          </w:tcPr>
          <w:p w14:paraId="25D3D75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75,9</w:t>
            </w:r>
          </w:p>
        </w:tc>
        <w:tc>
          <w:tcPr>
            <w:tcW w:w="1102" w:type="dxa"/>
            <w:tcBorders>
              <w:top w:val="nil"/>
              <w:bottom w:val="nil"/>
            </w:tcBorders>
            <w:shd w:val="clear" w:color="auto" w:fill="FFFFFF"/>
          </w:tcPr>
          <w:p w14:paraId="4AF86E8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22</w:t>
            </w:r>
          </w:p>
        </w:tc>
        <w:tc>
          <w:tcPr>
            <w:tcW w:w="945" w:type="dxa"/>
            <w:tcBorders>
              <w:top w:val="nil"/>
              <w:bottom w:val="nil"/>
            </w:tcBorders>
            <w:shd w:val="clear" w:color="auto" w:fill="FFFFFF"/>
          </w:tcPr>
          <w:p w14:paraId="37B45C8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40,7</w:t>
            </w:r>
          </w:p>
        </w:tc>
        <w:tc>
          <w:tcPr>
            <w:tcW w:w="1151" w:type="dxa"/>
            <w:tcBorders>
              <w:top w:val="nil"/>
              <w:bottom w:val="nil"/>
            </w:tcBorders>
            <w:shd w:val="clear" w:color="auto" w:fill="FFFFFF"/>
          </w:tcPr>
          <w:p w14:paraId="1D4E5EB8" w14:textId="77777777" w:rsidR="0023308B" w:rsidRDefault="00DF4A22">
            <w:pPr>
              <w:rPr>
                <w:rFonts w:ascii="Calibri" w:eastAsia="Calibri" w:hAnsi="Calibri" w:cs="Times New Roman"/>
                <w:b/>
                <w:kern w:val="2"/>
                <w14:ligatures w14:val="standardContextual"/>
              </w:rPr>
            </w:pPr>
            <w:r>
              <w:rPr>
                <w:rFonts w:ascii="Calibri" w:eastAsia="Calibri" w:hAnsi="Calibri" w:cs="Times New Roman"/>
                <w:b/>
                <w:kern w:val="2"/>
                <w14:ligatures w14:val="standardContextual"/>
              </w:rPr>
              <w:t>0,0002</w:t>
            </w:r>
          </w:p>
        </w:tc>
        <w:tc>
          <w:tcPr>
            <w:tcW w:w="2062" w:type="dxa"/>
            <w:tcBorders>
              <w:top w:val="nil"/>
              <w:bottom w:val="nil"/>
            </w:tcBorders>
            <w:shd w:val="clear" w:color="auto" w:fill="FFFFFF"/>
          </w:tcPr>
          <w:p w14:paraId="62946AB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4,59[1,87-11,47]</w:t>
            </w:r>
          </w:p>
        </w:tc>
      </w:tr>
      <w:tr w:rsidR="0023308B" w14:paraId="26E622BC" w14:textId="77777777">
        <w:tc>
          <w:tcPr>
            <w:tcW w:w="3380" w:type="dxa"/>
            <w:gridSpan w:val="2"/>
            <w:tcBorders>
              <w:top w:val="nil"/>
              <w:right w:val="single" w:sz="18" w:space="0" w:color="auto"/>
            </w:tcBorders>
          </w:tcPr>
          <w:p w14:paraId="2FBD738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Weight loss </w:t>
            </w:r>
          </w:p>
        </w:tc>
        <w:tc>
          <w:tcPr>
            <w:tcW w:w="1157" w:type="dxa"/>
            <w:tcBorders>
              <w:top w:val="nil"/>
              <w:left w:val="single" w:sz="18" w:space="0" w:color="auto"/>
              <w:bottom w:val="single" w:sz="18" w:space="0" w:color="auto"/>
            </w:tcBorders>
            <w:shd w:val="clear" w:color="auto" w:fill="FFFFFF"/>
          </w:tcPr>
          <w:p w14:paraId="1206D4F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w:t>
            </w:r>
          </w:p>
        </w:tc>
        <w:tc>
          <w:tcPr>
            <w:tcW w:w="835" w:type="dxa"/>
            <w:tcBorders>
              <w:top w:val="nil"/>
              <w:bottom w:val="single" w:sz="18" w:space="0" w:color="auto"/>
            </w:tcBorders>
            <w:shd w:val="clear" w:color="auto" w:fill="FFFFFF"/>
          </w:tcPr>
          <w:p w14:paraId="2B2410E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w:t>
            </w:r>
          </w:p>
        </w:tc>
        <w:tc>
          <w:tcPr>
            <w:tcW w:w="1102" w:type="dxa"/>
            <w:tcBorders>
              <w:top w:val="nil"/>
              <w:bottom w:val="single" w:sz="18" w:space="0" w:color="auto"/>
            </w:tcBorders>
            <w:shd w:val="clear" w:color="auto" w:fill="FFFFFF"/>
          </w:tcPr>
          <w:p w14:paraId="21A8F7E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945" w:type="dxa"/>
            <w:tcBorders>
              <w:top w:val="nil"/>
              <w:bottom w:val="single" w:sz="18" w:space="0" w:color="auto"/>
            </w:tcBorders>
            <w:shd w:val="clear" w:color="auto" w:fill="FFFFFF"/>
          </w:tcPr>
          <w:p w14:paraId="6A3A790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51" w:type="dxa"/>
            <w:tcBorders>
              <w:top w:val="nil"/>
              <w:bottom w:val="single" w:sz="18" w:space="0" w:color="auto"/>
            </w:tcBorders>
            <w:shd w:val="clear" w:color="auto" w:fill="FFFFFF"/>
          </w:tcPr>
          <w:p w14:paraId="60412EB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0,0789</w:t>
            </w:r>
          </w:p>
        </w:tc>
        <w:tc>
          <w:tcPr>
            <w:tcW w:w="2062" w:type="dxa"/>
            <w:tcBorders>
              <w:top w:val="nil"/>
              <w:bottom w:val="single" w:sz="18" w:space="0" w:color="auto"/>
            </w:tcBorders>
            <w:shd w:val="clear" w:color="auto" w:fill="FFFFFF"/>
          </w:tcPr>
          <w:p w14:paraId="3FAB3A3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r>
    </w:tbl>
    <w:p w14:paraId="65CF4157" w14:textId="77777777" w:rsidR="0023308B" w:rsidRDefault="0023308B">
      <w:pPr>
        <w:rPr>
          <w:rFonts w:ascii="Calibri" w:eastAsia="Calibri" w:hAnsi="Calibri" w:cs="Times New Roman"/>
          <w:b/>
          <w:kern w:val="2"/>
          <w14:ligatures w14:val="standardContextual"/>
        </w:rPr>
      </w:pPr>
    </w:p>
    <w:p w14:paraId="5B0A858A" w14:textId="77777777" w:rsidR="0023308B" w:rsidRDefault="0023308B">
      <w:pPr>
        <w:rPr>
          <w:rFonts w:ascii="Calibri" w:eastAsia="Calibri" w:hAnsi="Calibri" w:cs="Times New Roman"/>
          <w:b/>
          <w:kern w:val="2"/>
          <w:lang w:val="fr-FR"/>
          <w14:ligatures w14:val="standardContextual"/>
        </w:rPr>
      </w:pPr>
    </w:p>
    <w:p w14:paraId="3DB1DE4B" w14:textId="77777777" w:rsidR="0023308B" w:rsidRDefault="0023308B">
      <w:pPr>
        <w:rPr>
          <w:rFonts w:ascii="Calibri" w:eastAsia="Calibri" w:hAnsi="Calibri" w:cs="Times New Roman"/>
          <w:b/>
          <w:kern w:val="2"/>
          <w:lang w:val="fr-FR"/>
          <w14:ligatures w14:val="standardContextual"/>
        </w:rPr>
      </w:pPr>
    </w:p>
    <w:p w14:paraId="6BA9B0F2" w14:textId="77777777" w:rsidR="0023308B" w:rsidRDefault="0023308B">
      <w:pPr>
        <w:rPr>
          <w:rFonts w:ascii="Calibri" w:eastAsia="Calibri" w:hAnsi="Calibri" w:cs="Times New Roman"/>
          <w:b/>
          <w:kern w:val="2"/>
          <w:lang w:val="fr-FR"/>
          <w14:ligatures w14:val="standardContextual"/>
        </w:rPr>
      </w:pPr>
    </w:p>
    <w:p w14:paraId="67F61B9D" w14:textId="77777777" w:rsidR="0023308B" w:rsidRDefault="0023308B">
      <w:pPr>
        <w:rPr>
          <w:rFonts w:ascii="Calibri" w:eastAsia="Calibri" w:hAnsi="Calibri" w:cs="Times New Roman"/>
          <w:b/>
          <w:kern w:val="2"/>
          <w:lang w:val="fr-FR"/>
          <w14:ligatures w14:val="standardContextual"/>
        </w:rPr>
      </w:pPr>
    </w:p>
    <w:p w14:paraId="678E3EDC" w14:textId="77777777" w:rsidR="0023308B" w:rsidRDefault="0023308B">
      <w:pPr>
        <w:rPr>
          <w:rFonts w:ascii="Calibri" w:eastAsia="Calibri" w:hAnsi="Calibri" w:cs="Times New Roman"/>
          <w:b/>
          <w:kern w:val="2"/>
          <w:lang w:val="fr-FR"/>
          <w14:ligatures w14:val="standardContextual"/>
        </w:rPr>
      </w:pPr>
    </w:p>
    <w:p w14:paraId="570E5C2E"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Table 2</w:t>
      </w:r>
      <w:r w:rsidRPr="00524B65">
        <w:rPr>
          <w:rFonts w:ascii="Calibri" w:eastAsia="Calibri" w:hAnsi="Calibri" w:cs="Times New Roman"/>
          <w:kern w:val="2"/>
          <w:lang w:val="en-IN"/>
          <w14:ligatures w14:val="standardContextual"/>
        </w:rPr>
        <w:t> : Distribution of patients according to ultrasound signs</w:t>
      </w:r>
    </w:p>
    <w:tbl>
      <w:tblPr>
        <w:tblW w:w="11022" w:type="dxa"/>
        <w:tblInd w:w="-849" w:type="dxa"/>
        <w:tblLayout w:type="fixed"/>
        <w:tblLook w:val="04A0" w:firstRow="1" w:lastRow="0" w:firstColumn="1" w:lastColumn="0" w:noHBand="0" w:noVBand="1"/>
      </w:tblPr>
      <w:tblGrid>
        <w:gridCol w:w="1808"/>
        <w:gridCol w:w="1878"/>
        <w:gridCol w:w="1274"/>
        <w:gridCol w:w="142"/>
        <w:gridCol w:w="567"/>
        <w:gridCol w:w="1277"/>
        <w:gridCol w:w="993"/>
        <w:gridCol w:w="1240"/>
        <w:gridCol w:w="1843"/>
      </w:tblGrid>
      <w:tr w:rsidR="0023308B" w14:paraId="5734B3F5" w14:textId="77777777">
        <w:trPr>
          <w:trHeight w:val="345"/>
        </w:trPr>
        <w:tc>
          <w:tcPr>
            <w:tcW w:w="3686" w:type="dxa"/>
            <w:gridSpan w:val="2"/>
            <w:vMerge w:val="restart"/>
            <w:tcBorders>
              <w:bottom w:val="single" w:sz="4" w:space="0" w:color="auto"/>
              <w:right w:val="single" w:sz="18" w:space="0" w:color="auto"/>
            </w:tcBorders>
          </w:tcPr>
          <w:p w14:paraId="5CF33DE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Ultrasound signs </w:t>
            </w:r>
          </w:p>
        </w:tc>
        <w:tc>
          <w:tcPr>
            <w:tcW w:w="1983" w:type="dxa"/>
            <w:gridSpan w:val="3"/>
            <w:tcBorders>
              <w:left w:val="single" w:sz="18" w:space="0" w:color="auto"/>
            </w:tcBorders>
          </w:tcPr>
          <w:p w14:paraId="7A99D38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Présence VO</w:t>
            </w:r>
          </w:p>
        </w:tc>
        <w:tc>
          <w:tcPr>
            <w:tcW w:w="2270" w:type="dxa"/>
            <w:gridSpan w:val="2"/>
          </w:tcPr>
          <w:p w14:paraId="7A54C65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Absence VO</w:t>
            </w:r>
          </w:p>
        </w:tc>
        <w:tc>
          <w:tcPr>
            <w:tcW w:w="3083" w:type="dxa"/>
            <w:gridSpan w:val="2"/>
          </w:tcPr>
          <w:p w14:paraId="214B0CB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statistic test </w:t>
            </w:r>
          </w:p>
        </w:tc>
      </w:tr>
      <w:tr w:rsidR="0023308B" w14:paraId="403C1F89" w14:textId="77777777">
        <w:trPr>
          <w:trHeight w:val="345"/>
        </w:trPr>
        <w:tc>
          <w:tcPr>
            <w:tcW w:w="3686" w:type="dxa"/>
            <w:gridSpan w:val="2"/>
            <w:vMerge/>
            <w:tcBorders>
              <w:top w:val="single" w:sz="18" w:space="0" w:color="auto"/>
              <w:bottom w:val="single" w:sz="4" w:space="0" w:color="auto"/>
              <w:right w:val="single" w:sz="18" w:space="0" w:color="auto"/>
            </w:tcBorders>
          </w:tcPr>
          <w:p w14:paraId="1BE89D2A" w14:textId="77777777" w:rsidR="0023308B" w:rsidRDefault="0023308B">
            <w:pPr>
              <w:rPr>
                <w:rFonts w:ascii="Calibri" w:eastAsia="Calibri" w:hAnsi="Calibri" w:cs="Times New Roman"/>
                <w:kern w:val="2"/>
                <w14:ligatures w14:val="standardContextual"/>
              </w:rPr>
            </w:pPr>
          </w:p>
        </w:tc>
        <w:tc>
          <w:tcPr>
            <w:tcW w:w="1274" w:type="dxa"/>
            <w:tcBorders>
              <w:top w:val="single" w:sz="18" w:space="0" w:color="auto"/>
              <w:left w:val="single" w:sz="18" w:space="0" w:color="auto"/>
              <w:bottom w:val="nil"/>
            </w:tcBorders>
          </w:tcPr>
          <w:p w14:paraId="45E221F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Headcount</w:t>
            </w:r>
          </w:p>
        </w:tc>
        <w:tc>
          <w:tcPr>
            <w:tcW w:w="709" w:type="dxa"/>
            <w:gridSpan w:val="2"/>
            <w:tcBorders>
              <w:top w:val="single" w:sz="18" w:space="0" w:color="auto"/>
              <w:bottom w:val="nil"/>
            </w:tcBorders>
          </w:tcPr>
          <w:p w14:paraId="0F3D9BB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277" w:type="dxa"/>
            <w:tcBorders>
              <w:top w:val="single" w:sz="18" w:space="0" w:color="auto"/>
              <w:bottom w:val="nil"/>
            </w:tcBorders>
          </w:tcPr>
          <w:p w14:paraId="498B313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Headcount</w:t>
            </w:r>
          </w:p>
        </w:tc>
        <w:tc>
          <w:tcPr>
            <w:tcW w:w="993" w:type="dxa"/>
            <w:tcBorders>
              <w:top w:val="single" w:sz="18" w:space="0" w:color="auto"/>
              <w:bottom w:val="nil"/>
            </w:tcBorders>
          </w:tcPr>
          <w:p w14:paraId="7BEBE93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240" w:type="dxa"/>
            <w:tcBorders>
              <w:top w:val="single" w:sz="18" w:space="0" w:color="auto"/>
              <w:bottom w:val="nil"/>
            </w:tcBorders>
          </w:tcPr>
          <w:p w14:paraId="245FB65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P</w:t>
            </w:r>
          </w:p>
        </w:tc>
        <w:tc>
          <w:tcPr>
            <w:tcW w:w="1843" w:type="dxa"/>
            <w:tcBorders>
              <w:top w:val="single" w:sz="18" w:space="0" w:color="auto"/>
              <w:bottom w:val="nil"/>
            </w:tcBorders>
          </w:tcPr>
          <w:p w14:paraId="06E2A76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OR-IC</w:t>
            </w:r>
          </w:p>
        </w:tc>
      </w:tr>
      <w:tr w:rsidR="0023308B" w14:paraId="162B371F" w14:textId="77777777">
        <w:tc>
          <w:tcPr>
            <w:tcW w:w="1808" w:type="dxa"/>
            <w:tcBorders>
              <w:top w:val="single" w:sz="18" w:space="0" w:color="auto"/>
            </w:tcBorders>
          </w:tcPr>
          <w:p w14:paraId="5D92A8CE" w14:textId="77777777" w:rsidR="0023308B" w:rsidRDefault="0023308B">
            <w:pPr>
              <w:rPr>
                <w:rFonts w:ascii="Calibri" w:eastAsia="Calibri" w:hAnsi="Calibri" w:cs="Times New Roman"/>
                <w:kern w:val="2"/>
                <w14:ligatures w14:val="standardContextual"/>
              </w:rPr>
            </w:pPr>
          </w:p>
          <w:p w14:paraId="5E62BF1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Liver size </w:t>
            </w:r>
          </w:p>
        </w:tc>
        <w:tc>
          <w:tcPr>
            <w:tcW w:w="1878" w:type="dxa"/>
            <w:tcBorders>
              <w:top w:val="single" w:sz="18" w:space="0" w:color="auto"/>
              <w:bottom w:val="nil"/>
              <w:right w:val="single" w:sz="18" w:space="0" w:color="auto"/>
            </w:tcBorders>
          </w:tcPr>
          <w:p w14:paraId="0D4A213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Normal </w:t>
            </w:r>
          </w:p>
        </w:tc>
        <w:tc>
          <w:tcPr>
            <w:tcW w:w="1416" w:type="dxa"/>
            <w:gridSpan w:val="2"/>
            <w:tcBorders>
              <w:top w:val="nil"/>
              <w:left w:val="single" w:sz="18" w:space="0" w:color="auto"/>
              <w:bottom w:val="nil"/>
            </w:tcBorders>
          </w:tcPr>
          <w:p w14:paraId="6FE9DE0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26</w:t>
            </w:r>
          </w:p>
        </w:tc>
        <w:tc>
          <w:tcPr>
            <w:tcW w:w="567" w:type="dxa"/>
            <w:tcBorders>
              <w:top w:val="nil"/>
              <w:bottom w:val="nil"/>
            </w:tcBorders>
          </w:tcPr>
          <w:p w14:paraId="79F692B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48,1</w:t>
            </w:r>
          </w:p>
        </w:tc>
        <w:tc>
          <w:tcPr>
            <w:tcW w:w="1277" w:type="dxa"/>
            <w:tcBorders>
              <w:top w:val="nil"/>
              <w:bottom w:val="nil"/>
            </w:tcBorders>
          </w:tcPr>
          <w:p w14:paraId="03678C4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32</w:t>
            </w:r>
          </w:p>
        </w:tc>
        <w:tc>
          <w:tcPr>
            <w:tcW w:w="993" w:type="dxa"/>
            <w:tcBorders>
              <w:top w:val="nil"/>
              <w:bottom w:val="nil"/>
            </w:tcBorders>
          </w:tcPr>
          <w:p w14:paraId="367CC41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59,2</w:t>
            </w:r>
          </w:p>
        </w:tc>
        <w:tc>
          <w:tcPr>
            <w:tcW w:w="1240" w:type="dxa"/>
            <w:tcBorders>
              <w:top w:val="nil"/>
              <w:bottom w:val="nil"/>
            </w:tcBorders>
          </w:tcPr>
          <w:p w14:paraId="6B7AEFA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0,2469</w:t>
            </w:r>
          </w:p>
        </w:tc>
        <w:tc>
          <w:tcPr>
            <w:tcW w:w="1843" w:type="dxa"/>
            <w:tcBorders>
              <w:top w:val="nil"/>
              <w:bottom w:val="nil"/>
            </w:tcBorders>
          </w:tcPr>
          <w:p w14:paraId="6648E94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0,64[0,28-1,46]</w:t>
            </w:r>
          </w:p>
        </w:tc>
      </w:tr>
      <w:tr w:rsidR="0023308B" w14:paraId="6BE8C00A" w14:textId="77777777">
        <w:tc>
          <w:tcPr>
            <w:tcW w:w="1808" w:type="dxa"/>
            <w:tcBorders>
              <w:top w:val="nil"/>
            </w:tcBorders>
          </w:tcPr>
          <w:p w14:paraId="12EE5550" w14:textId="77777777" w:rsidR="0023308B" w:rsidRDefault="0023308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5C4BA89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Hypertrophied</w:t>
            </w:r>
          </w:p>
        </w:tc>
        <w:tc>
          <w:tcPr>
            <w:tcW w:w="1416" w:type="dxa"/>
            <w:gridSpan w:val="2"/>
            <w:tcBorders>
              <w:top w:val="nil"/>
              <w:left w:val="single" w:sz="18" w:space="0" w:color="auto"/>
              <w:bottom w:val="nil"/>
            </w:tcBorders>
          </w:tcPr>
          <w:p w14:paraId="5D9084F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w:t>
            </w:r>
          </w:p>
        </w:tc>
        <w:tc>
          <w:tcPr>
            <w:tcW w:w="567" w:type="dxa"/>
            <w:tcBorders>
              <w:top w:val="nil"/>
              <w:bottom w:val="nil"/>
            </w:tcBorders>
          </w:tcPr>
          <w:p w14:paraId="0C4A1A8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46,3</w:t>
            </w:r>
          </w:p>
        </w:tc>
        <w:tc>
          <w:tcPr>
            <w:tcW w:w="1277" w:type="dxa"/>
            <w:tcBorders>
              <w:top w:val="nil"/>
              <w:bottom w:val="nil"/>
            </w:tcBorders>
          </w:tcPr>
          <w:p w14:paraId="11E961C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20</w:t>
            </w:r>
          </w:p>
        </w:tc>
        <w:tc>
          <w:tcPr>
            <w:tcW w:w="993" w:type="dxa"/>
            <w:tcBorders>
              <w:top w:val="nil"/>
              <w:bottom w:val="nil"/>
            </w:tcBorders>
          </w:tcPr>
          <w:p w14:paraId="4157C40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37</w:t>
            </w:r>
          </w:p>
        </w:tc>
        <w:tc>
          <w:tcPr>
            <w:tcW w:w="1240" w:type="dxa"/>
            <w:tcBorders>
              <w:top w:val="nil"/>
              <w:bottom w:val="nil"/>
            </w:tcBorders>
          </w:tcPr>
          <w:p w14:paraId="5F0788F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0,3291</w:t>
            </w:r>
          </w:p>
        </w:tc>
        <w:tc>
          <w:tcPr>
            <w:tcW w:w="1843" w:type="dxa"/>
            <w:tcBorders>
              <w:top w:val="nil"/>
              <w:bottom w:val="nil"/>
            </w:tcBorders>
          </w:tcPr>
          <w:p w14:paraId="3F1D8E4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1,47[0,61-3,40]</w:t>
            </w:r>
          </w:p>
        </w:tc>
      </w:tr>
      <w:tr w:rsidR="0023308B" w14:paraId="55811382" w14:textId="77777777">
        <w:tc>
          <w:tcPr>
            <w:tcW w:w="1808" w:type="dxa"/>
            <w:tcBorders>
              <w:top w:val="nil"/>
              <w:bottom w:val="single" w:sz="18" w:space="0" w:color="auto"/>
            </w:tcBorders>
          </w:tcPr>
          <w:p w14:paraId="5B1C35F1" w14:textId="77777777" w:rsidR="0023308B" w:rsidRDefault="0023308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644E578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Atrophied </w:t>
            </w:r>
          </w:p>
        </w:tc>
        <w:tc>
          <w:tcPr>
            <w:tcW w:w="1416" w:type="dxa"/>
            <w:gridSpan w:val="2"/>
            <w:tcBorders>
              <w:top w:val="nil"/>
              <w:left w:val="single" w:sz="18" w:space="0" w:color="auto"/>
              <w:bottom w:val="nil"/>
            </w:tcBorders>
          </w:tcPr>
          <w:p w14:paraId="2C81F03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w:t>
            </w:r>
          </w:p>
        </w:tc>
        <w:tc>
          <w:tcPr>
            <w:tcW w:w="567" w:type="dxa"/>
            <w:tcBorders>
              <w:top w:val="nil"/>
              <w:bottom w:val="nil"/>
            </w:tcBorders>
          </w:tcPr>
          <w:p w14:paraId="0FE8B9E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w:t>
            </w:r>
          </w:p>
        </w:tc>
        <w:tc>
          <w:tcPr>
            <w:tcW w:w="1277" w:type="dxa"/>
            <w:tcBorders>
              <w:top w:val="nil"/>
              <w:bottom w:val="nil"/>
            </w:tcBorders>
          </w:tcPr>
          <w:p w14:paraId="6E30C9E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w:t>
            </w:r>
          </w:p>
        </w:tc>
        <w:tc>
          <w:tcPr>
            <w:tcW w:w="993" w:type="dxa"/>
            <w:tcBorders>
              <w:top w:val="nil"/>
              <w:bottom w:val="nil"/>
            </w:tcBorders>
          </w:tcPr>
          <w:p w14:paraId="60BE8DD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3,7</w:t>
            </w:r>
          </w:p>
        </w:tc>
        <w:tc>
          <w:tcPr>
            <w:tcW w:w="1240" w:type="dxa"/>
            <w:tcBorders>
              <w:top w:val="nil"/>
              <w:bottom w:val="nil"/>
            </w:tcBorders>
          </w:tcPr>
          <w:p w14:paraId="095452B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843" w:type="dxa"/>
            <w:tcBorders>
              <w:top w:val="nil"/>
              <w:bottom w:val="nil"/>
            </w:tcBorders>
          </w:tcPr>
          <w:p w14:paraId="02F6EA24" w14:textId="77777777" w:rsidR="0023308B" w:rsidRDefault="0023308B">
            <w:pPr>
              <w:rPr>
                <w:rFonts w:ascii="Calibri" w:eastAsia="Calibri" w:hAnsi="Calibri" w:cs="Times New Roman"/>
                <w:kern w:val="2"/>
                <w14:ligatures w14:val="standardContextual"/>
              </w:rPr>
            </w:pPr>
          </w:p>
        </w:tc>
      </w:tr>
      <w:tr w:rsidR="0023308B" w14:paraId="1B9DE6B8" w14:textId="77777777">
        <w:tc>
          <w:tcPr>
            <w:tcW w:w="1808" w:type="dxa"/>
            <w:vMerge w:val="restart"/>
            <w:tcBorders>
              <w:top w:val="nil"/>
              <w:bottom w:val="single" w:sz="18" w:space="0" w:color="auto"/>
            </w:tcBorders>
          </w:tcPr>
          <w:p w14:paraId="53D6576A"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Echostructure</w:t>
            </w:r>
            <w:proofErr w:type="spellEnd"/>
            <w:r>
              <w:rPr>
                <w:rFonts w:ascii="Calibri" w:eastAsia="Calibri" w:hAnsi="Calibri" w:cs="Times New Roman"/>
                <w:kern w:val="2"/>
                <w14:ligatures w14:val="standardContextual"/>
              </w:rPr>
              <w:t xml:space="preserve"> of the liver</w:t>
            </w:r>
          </w:p>
        </w:tc>
        <w:tc>
          <w:tcPr>
            <w:tcW w:w="1878" w:type="dxa"/>
            <w:tcBorders>
              <w:top w:val="single" w:sz="18" w:space="0" w:color="auto"/>
              <w:bottom w:val="nil"/>
              <w:right w:val="single" w:sz="18" w:space="0" w:color="auto"/>
            </w:tcBorders>
          </w:tcPr>
          <w:p w14:paraId="60E471A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Hypoechoic</w:t>
            </w:r>
          </w:p>
        </w:tc>
        <w:tc>
          <w:tcPr>
            <w:tcW w:w="1416" w:type="dxa"/>
            <w:gridSpan w:val="2"/>
            <w:tcBorders>
              <w:top w:val="single" w:sz="18" w:space="0" w:color="auto"/>
              <w:left w:val="single" w:sz="18" w:space="0" w:color="auto"/>
              <w:bottom w:val="nil"/>
            </w:tcBorders>
          </w:tcPr>
          <w:p w14:paraId="36E8B59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w:t>
            </w:r>
          </w:p>
        </w:tc>
        <w:tc>
          <w:tcPr>
            <w:tcW w:w="567" w:type="dxa"/>
            <w:tcBorders>
              <w:top w:val="single" w:sz="18" w:space="0" w:color="auto"/>
              <w:bottom w:val="nil"/>
            </w:tcBorders>
          </w:tcPr>
          <w:p w14:paraId="188C066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w:t>
            </w:r>
          </w:p>
        </w:tc>
        <w:tc>
          <w:tcPr>
            <w:tcW w:w="1277" w:type="dxa"/>
            <w:tcBorders>
              <w:top w:val="single" w:sz="18" w:space="0" w:color="auto"/>
              <w:bottom w:val="nil"/>
            </w:tcBorders>
          </w:tcPr>
          <w:p w14:paraId="4EDD6F8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993" w:type="dxa"/>
            <w:tcBorders>
              <w:top w:val="single" w:sz="18" w:space="0" w:color="auto"/>
              <w:bottom w:val="nil"/>
            </w:tcBorders>
          </w:tcPr>
          <w:p w14:paraId="200BB7E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240" w:type="dxa"/>
            <w:tcBorders>
              <w:top w:val="single" w:sz="18" w:space="0" w:color="auto"/>
              <w:bottom w:val="nil"/>
            </w:tcBorders>
          </w:tcPr>
          <w:p w14:paraId="7C99EA8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843" w:type="dxa"/>
            <w:tcBorders>
              <w:top w:val="single" w:sz="18" w:space="0" w:color="auto"/>
              <w:bottom w:val="nil"/>
            </w:tcBorders>
          </w:tcPr>
          <w:p w14:paraId="37C85627" w14:textId="77777777" w:rsidR="0023308B" w:rsidRDefault="0023308B">
            <w:pPr>
              <w:rPr>
                <w:rFonts w:ascii="Calibri" w:eastAsia="Calibri" w:hAnsi="Calibri" w:cs="Times New Roman"/>
                <w:kern w:val="2"/>
                <w14:ligatures w14:val="standardContextual"/>
              </w:rPr>
            </w:pPr>
          </w:p>
        </w:tc>
      </w:tr>
      <w:tr w:rsidR="0023308B" w14:paraId="44231498" w14:textId="77777777">
        <w:tc>
          <w:tcPr>
            <w:tcW w:w="1808" w:type="dxa"/>
            <w:vMerge/>
            <w:tcBorders>
              <w:top w:val="nil"/>
              <w:bottom w:val="single" w:sz="18" w:space="0" w:color="auto"/>
            </w:tcBorders>
          </w:tcPr>
          <w:p w14:paraId="13A8DE70" w14:textId="77777777" w:rsidR="0023308B" w:rsidRDefault="0023308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506A2E0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Hyperechoic</w:t>
            </w:r>
          </w:p>
        </w:tc>
        <w:tc>
          <w:tcPr>
            <w:tcW w:w="1416" w:type="dxa"/>
            <w:gridSpan w:val="2"/>
            <w:tcBorders>
              <w:top w:val="nil"/>
              <w:left w:val="single" w:sz="18" w:space="0" w:color="auto"/>
              <w:bottom w:val="nil"/>
            </w:tcBorders>
          </w:tcPr>
          <w:p w14:paraId="1473A28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w:t>
            </w:r>
          </w:p>
        </w:tc>
        <w:tc>
          <w:tcPr>
            <w:tcW w:w="567" w:type="dxa"/>
            <w:tcBorders>
              <w:top w:val="nil"/>
              <w:bottom w:val="nil"/>
            </w:tcBorders>
          </w:tcPr>
          <w:p w14:paraId="332DBC9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1277" w:type="dxa"/>
            <w:tcBorders>
              <w:top w:val="nil"/>
              <w:bottom w:val="nil"/>
            </w:tcBorders>
          </w:tcPr>
          <w:p w14:paraId="7CA8367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w:t>
            </w:r>
          </w:p>
        </w:tc>
        <w:tc>
          <w:tcPr>
            <w:tcW w:w="993" w:type="dxa"/>
            <w:tcBorders>
              <w:top w:val="nil"/>
              <w:bottom w:val="nil"/>
            </w:tcBorders>
          </w:tcPr>
          <w:p w14:paraId="5C3E054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9,3</w:t>
            </w:r>
          </w:p>
        </w:tc>
        <w:tc>
          <w:tcPr>
            <w:tcW w:w="1240" w:type="dxa"/>
            <w:tcBorders>
              <w:top w:val="nil"/>
              <w:bottom w:val="nil"/>
            </w:tcBorders>
          </w:tcPr>
          <w:p w14:paraId="525DB92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843" w:type="dxa"/>
            <w:tcBorders>
              <w:top w:val="nil"/>
              <w:bottom w:val="nil"/>
            </w:tcBorders>
          </w:tcPr>
          <w:p w14:paraId="7095F69F" w14:textId="77777777" w:rsidR="0023308B" w:rsidRDefault="0023308B">
            <w:pPr>
              <w:rPr>
                <w:rFonts w:ascii="Calibri" w:eastAsia="Calibri" w:hAnsi="Calibri" w:cs="Times New Roman"/>
                <w:kern w:val="2"/>
                <w14:ligatures w14:val="standardContextual"/>
              </w:rPr>
            </w:pPr>
          </w:p>
        </w:tc>
      </w:tr>
      <w:tr w:rsidR="0023308B" w14:paraId="26A12DB8" w14:textId="77777777">
        <w:tc>
          <w:tcPr>
            <w:tcW w:w="1808" w:type="dxa"/>
            <w:vMerge/>
            <w:tcBorders>
              <w:top w:val="nil"/>
              <w:bottom w:val="single" w:sz="18" w:space="0" w:color="auto"/>
            </w:tcBorders>
          </w:tcPr>
          <w:p w14:paraId="10D9D52D" w14:textId="77777777" w:rsidR="0023308B" w:rsidRDefault="0023308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0FD3DD8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Heterogenous </w:t>
            </w:r>
          </w:p>
        </w:tc>
        <w:tc>
          <w:tcPr>
            <w:tcW w:w="1416" w:type="dxa"/>
            <w:gridSpan w:val="2"/>
            <w:tcBorders>
              <w:top w:val="nil"/>
              <w:left w:val="single" w:sz="18" w:space="0" w:color="auto"/>
              <w:bottom w:val="nil"/>
            </w:tcBorders>
          </w:tcPr>
          <w:p w14:paraId="4DE6C7D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36</w:t>
            </w:r>
          </w:p>
        </w:tc>
        <w:tc>
          <w:tcPr>
            <w:tcW w:w="567" w:type="dxa"/>
            <w:tcBorders>
              <w:top w:val="nil"/>
              <w:bottom w:val="nil"/>
            </w:tcBorders>
          </w:tcPr>
          <w:p w14:paraId="298D01E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66,7</w:t>
            </w:r>
          </w:p>
        </w:tc>
        <w:tc>
          <w:tcPr>
            <w:tcW w:w="1277" w:type="dxa"/>
            <w:tcBorders>
              <w:top w:val="nil"/>
              <w:bottom w:val="nil"/>
            </w:tcBorders>
          </w:tcPr>
          <w:p w14:paraId="218EFEB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21</w:t>
            </w:r>
          </w:p>
        </w:tc>
        <w:tc>
          <w:tcPr>
            <w:tcW w:w="993" w:type="dxa"/>
            <w:tcBorders>
              <w:top w:val="nil"/>
              <w:bottom w:val="nil"/>
            </w:tcBorders>
          </w:tcPr>
          <w:p w14:paraId="05CE9FB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38,9</w:t>
            </w:r>
          </w:p>
        </w:tc>
        <w:tc>
          <w:tcPr>
            <w:tcW w:w="1240" w:type="dxa"/>
            <w:tcBorders>
              <w:top w:val="nil"/>
              <w:bottom w:val="nil"/>
            </w:tcBorders>
          </w:tcPr>
          <w:p w14:paraId="62D275F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0,0038</w:t>
            </w:r>
          </w:p>
        </w:tc>
        <w:tc>
          <w:tcPr>
            <w:tcW w:w="1843" w:type="dxa"/>
            <w:tcBorders>
              <w:top w:val="nil"/>
              <w:bottom w:val="nil"/>
            </w:tcBorders>
          </w:tcPr>
          <w:p w14:paraId="3F0464F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3,14[1,34-7,45]</w:t>
            </w:r>
          </w:p>
        </w:tc>
      </w:tr>
      <w:tr w:rsidR="0023308B" w14:paraId="63EF383D" w14:textId="77777777">
        <w:tc>
          <w:tcPr>
            <w:tcW w:w="1808" w:type="dxa"/>
            <w:vMerge/>
            <w:tcBorders>
              <w:top w:val="nil"/>
              <w:bottom w:val="single" w:sz="18" w:space="0" w:color="auto"/>
            </w:tcBorders>
          </w:tcPr>
          <w:p w14:paraId="1063C037" w14:textId="77777777" w:rsidR="0023308B" w:rsidRDefault="0023308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5DD1C5A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Homogenous </w:t>
            </w:r>
          </w:p>
        </w:tc>
        <w:tc>
          <w:tcPr>
            <w:tcW w:w="1416" w:type="dxa"/>
            <w:gridSpan w:val="2"/>
            <w:tcBorders>
              <w:top w:val="nil"/>
              <w:left w:val="single" w:sz="18" w:space="0" w:color="auto"/>
              <w:bottom w:val="single" w:sz="18" w:space="0" w:color="auto"/>
            </w:tcBorders>
          </w:tcPr>
          <w:p w14:paraId="5399C44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w:t>
            </w:r>
          </w:p>
        </w:tc>
        <w:tc>
          <w:tcPr>
            <w:tcW w:w="567" w:type="dxa"/>
            <w:tcBorders>
              <w:top w:val="nil"/>
              <w:bottom w:val="single" w:sz="18" w:space="0" w:color="auto"/>
            </w:tcBorders>
          </w:tcPr>
          <w:p w14:paraId="4D0AF13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25,9</w:t>
            </w:r>
          </w:p>
        </w:tc>
        <w:tc>
          <w:tcPr>
            <w:tcW w:w="1277" w:type="dxa"/>
            <w:tcBorders>
              <w:top w:val="nil"/>
              <w:bottom w:val="single" w:sz="18" w:space="0" w:color="auto"/>
            </w:tcBorders>
          </w:tcPr>
          <w:p w14:paraId="37D4B1A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28</w:t>
            </w:r>
          </w:p>
        </w:tc>
        <w:tc>
          <w:tcPr>
            <w:tcW w:w="993" w:type="dxa"/>
            <w:tcBorders>
              <w:top w:val="nil"/>
              <w:bottom w:val="single" w:sz="18" w:space="0" w:color="auto"/>
            </w:tcBorders>
          </w:tcPr>
          <w:p w14:paraId="75AF67D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51,8</w:t>
            </w:r>
          </w:p>
        </w:tc>
        <w:tc>
          <w:tcPr>
            <w:tcW w:w="1240" w:type="dxa"/>
            <w:tcBorders>
              <w:top w:val="nil"/>
              <w:bottom w:val="single" w:sz="18" w:space="0" w:color="auto"/>
            </w:tcBorders>
          </w:tcPr>
          <w:p w14:paraId="652FBB0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0,0057</w:t>
            </w:r>
          </w:p>
        </w:tc>
        <w:tc>
          <w:tcPr>
            <w:tcW w:w="1843" w:type="dxa"/>
            <w:tcBorders>
              <w:top w:val="nil"/>
              <w:bottom w:val="single" w:sz="18" w:space="0" w:color="auto"/>
            </w:tcBorders>
          </w:tcPr>
          <w:p w14:paraId="7328165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0,32[0,13-0,78]</w:t>
            </w:r>
          </w:p>
        </w:tc>
      </w:tr>
      <w:tr w:rsidR="0023308B" w14:paraId="5DC1E873" w14:textId="77777777">
        <w:tc>
          <w:tcPr>
            <w:tcW w:w="1808" w:type="dxa"/>
            <w:vMerge w:val="restart"/>
            <w:tcBorders>
              <w:top w:val="nil"/>
              <w:bottom w:val="single" w:sz="18" w:space="0" w:color="auto"/>
            </w:tcBorders>
          </w:tcPr>
          <w:p w14:paraId="6B4D749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permeability </w:t>
            </w:r>
          </w:p>
        </w:tc>
        <w:tc>
          <w:tcPr>
            <w:tcW w:w="1878" w:type="dxa"/>
            <w:tcBorders>
              <w:top w:val="single" w:sz="18" w:space="0" w:color="auto"/>
              <w:bottom w:val="nil"/>
              <w:right w:val="single" w:sz="18" w:space="0" w:color="auto"/>
            </w:tcBorders>
          </w:tcPr>
          <w:p w14:paraId="157DDAE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yes </w:t>
            </w:r>
          </w:p>
        </w:tc>
        <w:tc>
          <w:tcPr>
            <w:tcW w:w="1416" w:type="dxa"/>
            <w:gridSpan w:val="2"/>
            <w:tcBorders>
              <w:top w:val="single" w:sz="18" w:space="0" w:color="auto"/>
              <w:left w:val="single" w:sz="18" w:space="0" w:color="auto"/>
              <w:bottom w:val="nil"/>
            </w:tcBorders>
          </w:tcPr>
          <w:p w14:paraId="1843D66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32</w:t>
            </w:r>
          </w:p>
        </w:tc>
        <w:tc>
          <w:tcPr>
            <w:tcW w:w="567" w:type="dxa"/>
            <w:tcBorders>
              <w:top w:val="single" w:sz="18" w:space="0" w:color="auto"/>
              <w:bottom w:val="nil"/>
            </w:tcBorders>
          </w:tcPr>
          <w:p w14:paraId="7D857C1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59,3</w:t>
            </w:r>
          </w:p>
        </w:tc>
        <w:tc>
          <w:tcPr>
            <w:tcW w:w="1277" w:type="dxa"/>
            <w:tcBorders>
              <w:top w:val="single" w:sz="18" w:space="0" w:color="auto"/>
              <w:bottom w:val="nil"/>
            </w:tcBorders>
          </w:tcPr>
          <w:p w14:paraId="04F5970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47</w:t>
            </w:r>
          </w:p>
        </w:tc>
        <w:tc>
          <w:tcPr>
            <w:tcW w:w="993" w:type="dxa"/>
            <w:tcBorders>
              <w:top w:val="single" w:sz="18" w:space="0" w:color="auto"/>
              <w:bottom w:val="nil"/>
            </w:tcBorders>
          </w:tcPr>
          <w:p w14:paraId="5CAFD55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87</w:t>
            </w:r>
          </w:p>
        </w:tc>
        <w:tc>
          <w:tcPr>
            <w:tcW w:w="1240" w:type="dxa"/>
            <w:tcBorders>
              <w:top w:val="single" w:sz="18" w:space="0" w:color="auto"/>
              <w:bottom w:val="nil"/>
            </w:tcBorders>
          </w:tcPr>
          <w:p w14:paraId="60973BD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0,0011</w:t>
            </w:r>
          </w:p>
        </w:tc>
        <w:tc>
          <w:tcPr>
            <w:tcW w:w="1843" w:type="dxa"/>
            <w:tcBorders>
              <w:top w:val="single" w:sz="18" w:space="0" w:color="auto"/>
              <w:bottom w:val="nil"/>
            </w:tcBorders>
          </w:tcPr>
          <w:p w14:paraId="24E0C3B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0,22[0,07-0,61]</w:t>
            </w:r>
          </w:p>
        </w:tc>
      </w:tr>
      <w:tr w:rsidR="0023308B" w14:paraId="47493512" w14:textId="77777777">
        <w:tc>
          <w:tcPr>
            <w:tcW w:w="1808" w:type="dxa"/>
            <w:vMerge/>
            <w:tcBorders>
              <w:top w:val="nil"/>
              <w:bottom w:val="single" w:sz="18" w:space="0" w:color="auto"/>
            </w:tcBorders>
          </w:tcPr>
          <w:p w14:paraId="72FF65DB" w14:textId="77777777" w:rsidR="0023308B" w:rsidRDefault="0023308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4AF379D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 </w:t>
            </w:r>
          </w:p>
        </w:tc>
        <w:tc>
          <w:tcPr>
            <w:tcW w:w="1416" w:type="dxa"/>
            <w:gridSpan w:val="2"/>
            <w:tcBorders>
              <w:top w:val="nil"/>
              <w:left w:val="single" w:sz="18" w:space="0" w:color="auto"/>
              <w:bottom w:val="single" w:sz="18" w:space="0" w:color="auto"/>
            </w:tcBorders>
          </w:tcPr>
          <w:p w14:paraId="799633E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22</w:t>
            </w:r>
          </w:p>
        </w:tc>
        <w:tc>
          <w:tcPr>
            <w:tcW w:w="567" w:type="dxa"/>
            <w:tcBorders>
              <w:top w:val="nil"/>
              <w:bottom w:val="single" w:sz="18" w:space="0" w:color="auto"/>
            </w:tcBorders>
          </w:tcPr>
          <w:p w14:paraId="1251F5F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40,7</w:t>
            </w:r>
          </w:p>
        </w:tc>
        <w:tc>
          <w:tcPr>
            <w:tcW w:w="1277" w:type="dxa"/>
            <w:tcBorders>
              <w:top w:val="nil"/>
              <w:bottom w:val="single" w:sz="18" w:space="0" w:color="auto"/>
            </w:tcBorders>
          </w:tcPr>
          <w:p w14:paraId="6D56D96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w:t>
            </w:r>
          </w:p>
        </w:tc>
        <w:tc>
          <w:tcPr>
            <w:tcW w:w="993" w:type="dxa"/>
            <w:tcBorders>
              <w:top w:val="nil"/>
              <w:bottom w:val="single" w:sz="18" w:space="0" w:color="auto"/>
            </w:tcBorders>
          </w:tcPr>
          <w:p w14:paraId="37E027B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13</w:t>
            </w:r>
          </w:p>
        </w:tc>
        <w:tc>
          <w:tcPr>
            <w:tcW w:w="1240" w:type="dxa"/>
            <w:tcBorders>
              <w:top w:val="nil"/>
              <w:bottom w:val="single" w:sz="18" w:space="0" w:color="auto"/>
            </w:tcBorders>
          </w:tcPr>
          <w:p w14:paraId="2D60F19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0,0011</w:t>
            </w:r>
          </w:p>
        </w:tc>
        <w:tc>
          <w:tcPr>
            <w:tcW w:w="1843" w:type="dxa"/>
            <w:tcBorders>
              <w:top w:val="nil"/>
              <w:bottom w:val="single" w:sz="18" w:space="0" w:color="auto"/>
            </w:tcBorders>
          </w:tcPr>
          <w:p w14:paraId="7B214B0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4,62[1,64-14,17]</w:t>
            </w:r>
          </w:p>
        </w:tc>
      </w:tr>
      <w:tr w:rsidR="0023308B" w14:paraId="48DBDF2A" w14:textId="77777777">
        <w:tc>
          <w:tcPr>
            <w:tcW w:w="1808" w:type="dxa"/>
            <w:vMerge w:val="restart"/>
            <w:tcBorders>
              <w:top w:val="single" w:sz="18" w:space="0" w:color="auto"/>
              <w:bottom w:val="single" w:sz="18" w:space="0" w:color="auto"/>
            </w:tcBorders>
          </w:tcPr>
          <w:p w14:paraId="5E85DD6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caliber portal trunk  </w:t>
            </w:r>
          </w:p>
        </w:tc>
        <w:tc>
          <w:tcPr>
            <w:tcW w:w="1878" w:type="dxa"/>
            <w:tcBorders>
              <w:top w:val="single" w:sz="18" w:space="0" w:color="auto"/>
              <w:bottom w:val="nil"/>
              <w:right w:val="single" w:sz="18" w:space="0" w:color="auto"/>
            </w:tcBorders>
          </w:tcPr>
          <w:p w14:paraId="508BF83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Normal </w:t>
            </w:r>
          </w:p>
        </w:tc>
        <w:tc>
          <w:tcPr>
            <w:tcW w:w="1416" w:type="dxa"/>
            <w:gridSpan w:val="2"/>
            <w:tcBorders>
              <w:top w:val="single" w:sz="18" w:space="0" w:color="auto"/>
              <w:left w:val="single" w:sz="18" w:space="0" w:color="auto"/>
              <w:bottom w:val="nil"/>
            </w:tcBorders>
          </w:tcPr>
          <w:p w14:paraId="24BEEFA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36</w:t>
            </w:r>
          </w:p>
        </w:tc>
        <w:tc>
          <w:tcPr>
            <w:tcW w:w="567" w:type="dxa"/>
            <w:tcBorders>
              <w:top w:val="single" w:sz="18" w:space="0" w:color="auto"/>
              <w:bottom w:val="nil"/>
            </w:tcBorders>
          </w:tcPr>
          <w:p w14:paraId="4BFC11E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66,7</w:t>
            </w:r>
          </w:p>
        </w:tc>
        <w:tc>
          <w:tcPr>
            <w:tcW w:w="1277" w:type="dxa"/>
            <w:tcBorders>
              <w:top w:val="single" w:sz="18" w:space="0" w:color="auto"/>
              <w:bottom w:val="nil"/>
            </w:tcBorders>
          </w:tcPr>
          <w:p w14:paraId="20470AD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48</w:t>
            </w:r>
          </w:p>
        </w:tc>
        <w:tc>
          <w:tcPr>
            <w:tcW w:w="993" w:type="dxa"/>
            <w:tcBorders>
              <w:top w:val="single" w:sz="18" w:space="0" w:color="auto"/>
              <w:bottom w:val="nil"/>
            </w:tcBorders>
          </w:tcPr>
          <w:p w14:paraId="607841C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88,9</w:t>
            </w:r>
          </w:p>
        </w:tc>
        <w:tc>
          <w:tcPr>
            <w:tcW w:w="1240" w:type="dxa"/>
            <w:tcBorders>
              <w:top w:val="single" w:sz="18" w:space="0" w:color="auto"/>
              <w:bottom w:val="nil"/>
            </w:tcBorders>
          </w:tcPr>
          <w:p w14:paraId="008087C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0,0054</w:t>
            </w:r>
          </w:p>
        </w:tc>
        <w:tc>
          <w:tcPr>
            <w:tcW w:w="1843" w:type="dxa"/>
            <w:tcBorders>
              <w:top w:val="single" w:sz="18" w:space="0" w:color="auto"/>
              <w:bottom w:val="nil"/>
            </w:tcBorders>
          </w:tcPr>
          <w:p w14:paraId="5DE582E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0,25[0,07-0,75]</w:t>
            </w:r>
          </w:p>
        </w:tc>
      </w:tr>
      <w:tr w:rsidR="0023308B" w14:paraId="4EE4FFC5" w14:textId="77777777">
        <w:tc>
          <w:tcPr>
            <w:tcW w:w="1808" w:type="dxa"/>
            <w:vMerge/>
            <w:tcBorders>
              <w:top w:val="single" w:sz="18" w:space="0" w:color="auto"/>
              <w:bottom w:val="single" w:sz="18" w:space="0" w:color="auto"/>
            </w:tcBorders>
          </w:tcPr>
          <w:p w14:paraId="360D2E3E" w14:textId="77777777" w:rsidR="0023308B" w:rsidRDefault="0023308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32B3CE2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high </w:t>
            </w:r>
          </w:p>
        </w:tc>
        <w:tc>
          <w:tcPr>
            <w:tcW w:w="1416" w:type="dxa"/>
            <w:gridSpan w:val="2"/>
            <w:tcBorders>
              <w:top w:val="nil"/>
              <w:left w:val="single" w:sz="18" w:space="0" w:color="auto"/>
              <w:bottom w:val="single" w:sz="18" w:space="0" w:color="auto"/>
            </w:tcBorders>
          </w:tcPr>
          <w:p w14:paraId="36F8688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567" w:type="dxa"/>
            <w:tcBorders>
              <w:top w:val="nil"/>
              <w:bottom w:val="single" w:sz="18" w:space="0" w:color="auto"/>
            </w:tcBorders>
          </w:tcPr>
          <w:p w14:paraId="72CF3CB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33,3</w:t>
            </w:r>
          </w:p>
        </w:tc>
        <w:tc>
          <w:tcPr>
            <w:tcW w:w="1277" w:type="dxa"/>
            <w:tcBorders>
              <w:top w:val="nil"/>
              <w:bottom w:val="single" w:sz="18" w:space="0" w:color="auto"/>
            </w:tcBorders>
          </w:tcPr>
          <w:p w14:paraId="1359165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w:t>
            </w:r>
          </w:p>
        </w:tc>
        <w:tc>
          <w:tcPr>
            <w:tcW w:w="993" w:type="dxa"/>
            <w:tcBorders>
              <w:top w:val="nil"/>
              <w:bottom w:val="single" w:sz="18" w:space="0" w:color="auto"/>
            </w:tcBorders>
          </w:tcPr>
          <w:p w14:paraId="5BBBDE8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11,1</w:t>
            </w:r>
          </w:p>
        </w:tc>
        <w:tc>
          <w:tcPr>
            <w:tcW w:w="1240" w:type="dxa"/>
            <w:tcBorders>
              <w:top w:val="nil"/>
              <w:bottom w:val="single" w:sz="18" w:space="0" w:color="auto"/>
            </w:tcBorders>
          </w:tcPr>
          <w:p w14:paraId="5155AF3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0,0054</w:t>
            </w:r>
          </w:p>
        </w:tc>
        <w:tc>
          <w:tcPr>
            <w:tcW w:w="1843" w:type="dxa"/>
            <w:tcBorders>
              <w:top w:val="nil"/>
              <w:bottom w:val="single" w:sz="18" w:space="0" w:color="auto"/>
            </w:tcBorders>
          </w:tcPr>
          <w:p w14:paraId="5F2FFC0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4,00[1,33-13,43]</w:t>
            </w:r>
          </w:p>
        </w:tc>
      </w:tr>
      <w:tr w:rsidR="0023308B" w14:paraId="71568A52" w14:textId="77777777">
        <w:tc>
          <w:tcPr>
            <w:tcW w:w="3686" w:type="dxa"/>
            <w:gridSpan w:val="2"/>
            <w:tcBorders>
              <w:top w:val="nil"/>
              <w:bottom w:val="single" w:sz="18" w:space="0" w:color="auto"/>
              <w:right w:val="single" w:sz="18" w:space="0" w:color="auto"/>
            </w:tcBorders>
          </w:tcPr>
          <w:p w14:paraId="4235173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Ascites </w:t>
            </w:r>
          </w:p>
        </w:tc>
        <w:tc>
          <w:tcPr>
            <w:tcW w:w="1416" w:type="dxa"/>
            <w:gridSpan w:val="2"/>
            <w:tcBorders>
              <w:top w:val="single" w:sz="18" w:space="0" w:color="auto"/>
              <w:left w:val="single" w:sz="18" w:space="0" w:color="auto"/>
              <w:bottom w:val="single" w:sz="18" w:space="0" w:color="auto"/>
            </w:tcBorders>
          </w:tcPr>
          <w:p w14:paraId="09C93D8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42</w:t>
            </w:r>
          </w:p>
        </w:tc>
        <w:tc>
          <w:tcPr>
            <w:tcW w:w="567" w:type="dxa"/>
            <w:tcBorders>
              <w:top w:val="single" w:sz="18" w:space="0" w:color="auto"/>
              <w:bottom w:val="single" w:sz="18" w:space="0" w:color="auto"/>
            </w:tcBorders>
          </w:tcPr>
          <w:p w14:paraId="0849362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77,8</w:t>
            </w:r>
          </w:p>
        </w:tc>
        <w:tc>
          <w:tcPr>
            <w:tcW w:w="1277" w:type="dxa"/>
            <w:tcBorders>
              <w:top w:val="single" w:sz="18" w:space="0" w:color="auto"/>
              <w:bottom w:val="single" w:sz="18" w:space="0" w:color="auto"/>
            </w:tcBorders>
          </w:tcPr>
          <w:p w14:paraId="7BAE9FF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15</w:t>
            </w:r>
          </w:p>
        </w:tc>
        <w:tc>
          <w:tcPr>
            <w:tcW w:w="993" w:type="dxa"/>
            <w:tcBorders>
              <w:top w:val="single" w:sz="18" w:space="0" w:color="auto"/>
              <w:bottom w:val="single" w:sz="18" w:space="0" w:color="auto"/>
            </w:tcBorders>
          </w:tcPr>
          <w:p w14:paraId="753CFE2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27,8</w:t>
            </w:r>
          </w:p>
        </w:tc>
        <w:tc>
          <w:tcPr>
            <w:tcW w:w="1240" w:type="dxa"/>
            <w:tcBorders>
              <w:top w:val="single" w:sz="18" w:space="0" w:color="auto"/>
              <w:bottom w:val="single" w:sz="18" w:space="0" w:color="auto"/>
            </w:tcBorders>
          </w:tcPr>
          <w:p w14:paraId="3FF0375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0,0000002</w:t>
            </w:r>
          </w:p>
        </w:tc>
        <w:tc>
          <w:tcPr>
            <w:tcW w:w="1843" w:type="dxa"/>
            <w:tcBorders>
              <w:top w:val="single" w:sz="18" w:space="0" w:color="auto"/>
              <w:bottom w:val="single" w:sz="18" w:space="0" w:color="auto"/>
            </w:tcBorders>
          </w:tcPr>
          <w:p w14:paraId="7D884F4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9,10[3,50-24,08]</w:t>
            </w:r>
          </w:p>
        </w:tc>
      </w:tr>
      <w:tr w:rsidR="0023308B" w14:paraId="5D5996AA" w14:textId="77777777">
        <w:tc>
          <w:tcPr>
            <w:tcW w:w="3686" w:type="dxa"/>
            <w:gridSpan w:val="2"/>
            <w:tcBorders>
              <w:top w:val="single" w:sz="18" w:space="0" w:color="auto"/>
              <w:right w:val="single" w:sz="18" w:space="0" w:color="auto"/>
            </w:tcBorders>
          </w:tcPr>
          <w:p w14:paraId="20054DB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Splenomegaly </w:t>
            </w:r>
          </w:p>
        </w:tc>
        <w:tc>
          <w:tcPr>
            <w:tcW w:w="1416" w:type="dxa"/>
            <w:gridSpan w:val="2"/>
            <w:tcBorders>
              <w:top w:val="nil"/>
              <w:left w:val="single" w:sz="18" w:space="0" w:color="auto"/>
              <w:bottom w:val="single" w:sz="18" w:space="0" w:color="auto"/>
            </w:tcBorders>
          </w:tcPr>
          <w:p w14:paraId="0683754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w:t>
            </w:r>
          </w:p>
        </w:tc>
        <w:tc>
          <w:tcPr>
            <w:tcW w:w="567" w:type="dxa"/>
            <w:tcBorders>
              <w:top w:val="single" w:sz="18" w:space="0" w:color="auto"/>
              <w:bottom w:val="single" w:sz="18" w:space="0" w:color="auto"/>
            </w:tcBorders>
          </w:tcPr>
          <w:p w14:paraId="7C36A15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25,9</w:t>
            </w:r>
          </w:p>
        </w:tc>
        <w:tc>
          <w:tcPr>
            <w:tcW w:w="1277" w:type="dxa"/>
            <w:tcBorders>
              <w:top w:val="single" w:sz="18" w:space="0" w:color="auto"/>
              <w:bottom w:val="single" w:sz="18" w:space="0" w:color="auto"/>
            </w:tcBorders>
          </w:tcPr>
          <w:p w14:paraId="56D89F8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w:t>
            </w:r>
          </w:p>
        </w:tc>
        <w:tc>
          <w:tcPr>
            <w:tcW w:w="993" w:type="dxa"/>
            <w:tcBorders>
              <w:top w:val="single" w:sz="18" w:space="0" w:color="auto"/>
              <w:bottom w:val="single" w:sz="18" w:space="0" w:color="auto"/>
            </w:tcBorders>
          </w:tcPr>
          <w:p w14:paraId="4F6D1A4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12,9</w:t>
            </w:r>
          </w:p>
        </w:tc>
        <w:tc>
          <w:tcPr>
            <w:tcW w:w="1240" w:type="dxa"/>
            <w:tcBorders>
              <w:top w:val="single" w:sz="18" w:space="0" w:color="auto"/>
              <w:bottom w:val="single" w:sz="18" w:space="0" w:color="auto"/>
            </w:tcBorders>
          </w:tcPr>
          <w:p w14:paraId="2795983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0,0887</w:t>
            </w:r>
          </w:p>
        </w:tc>
        <w:tc>
          <w:tcPr>
            <w:tcW w:w="1843" w:type="dxa"/>
            <w:tcBorders>
              <w:top w:val="single" w:sz="18" w:space="0" w:color="auto"/>
              <w:bottom w:val="single" w:sz="18" w:space="0" w:color="auto"/>
            </w:tcBorders>
          </w:tcPr>
          <w:p w14:paraId="30FC627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2,35[0,79-7,53]</w:t>
            </w:r>
          </w:p>
        </w:tc>
      </w:tr>
    </w:tbl>
    <w:p w14:paraId="50F5DD23" w14:textId="77777777" w:rsidR="0023308B" w:rsidRDefault="0023308B">
      <w:pPr>
        <w:rPr>
          <w:rFonts w:ascii="Calibri" w:eastAsia="Calibri" w:hAnsi="Calibri" w:cs="Times New Roman"/>
          <w:kern w:val="2"/>
          <w:lang w:val="fr-FR"/>
          <w14:ligatures w14:val="standardContextual"/>
        </w:rPr>
      </w:pPr>
    </w:p>
    <w:p w14:paraId="03315857" w14:textId="77777777" w:rsidR="0023308B" w:rsidRDefault="0023308B">
      <w:pPr>
        <w:rPr>
          <w:rFonts w:ascii="Calibri" w:eastAsia="Calibri" w:hAnsi="Calibri" w:cs="Times New Roman"/>
          <w:kern w:val="2"/>
          <w:lang w:val="fr-FR"/>
          <w14:ligatures w14:val="standardContextual"/>
        </w:rPr>
      </w:pPr>
    </w:p>
    <w:p w14:paraId="1716C62B" w14:textId="77777777" w:rsidR="0023308B" w:rsidRDefault="0023308B">
      <w:pPr>
        <w:rPr>
          <w:rFonts w:ascii="Calibri" w:eastAsia="Calibri" w:hAnsi="Calibri" w:cs="Times New Roman"/>
          <w:kern w:val="2"/>
          <w:lang w:val="fr-FR"/>
          <w14:ligatures w14:val="standardContextual"/>
        </w:rPr>
      </w:pPr>
    </w:p>
    <w:p w14:paraId="5FBD1AD1" w14:textId="77777777" w:rsidR="0023308B" w:rsidRPr="00524B65" w:rsidRDefault="00DF4A22">
      <w:pPr>
        <w:rPr>
          <w:rFonts w:ascii="Calibri" w:eastAsia="Calibri" w:hAnsi="Calibri" w:cs="Times New Roman"/>
          <w:kern w:val="2"/>
          <w:lang w:val="en-IN"/>
          <w14:ligatures w14:val="standardContextual"/>
        </w:rPr>
      </w:pPr>
      <w:r w:rsidRPr="00524B65">
        <w:rPr>
          <w:rFonts w:ascii="Calibri" w:eastAsia="Calibri" w:hAnsi="Calibri" w:cs="Times New Roman"/>
          <w:b/>
          <w:kern w:val="2"/>
          <w:lang w:val="en-IN"/>
          <w14:ligatures w14:val="standardContextual"/>
        </w:rPr>
        <w:t>Table 3</w:t>
      </w:r>
      <w:r w:rsidRPr="00524B65">
        <w:rPr>
          <w:rFonts w:ascii="Calibri" w:eastAsia="Calibri" w:hAnsi="Calibri" w:cs="Times New Roman"/>
          <w:kern w:val="2"/>
          <w:lang w:val="en-IN"/>
          <w14:ligatures w14:val="standardContextual"/>
        </w:rPr>
        <w:t> : Distribution of clinical, ultrasound and biological signs according to the status of VO</w:t>
      </w:r>
    </w:p>
    <w:tbl>
      <w:tblPr>
        <w:tblW w:w="11057" w:type="dxa"/>
        <w:tblInd w:w="-743" w:type="dxa"/>
        <w:tblLayout w:type="fixed"/>
        <w:tblLook w:val="04A0" w:firstRow="1" w:lastRow="0" w:firstColumn="1" w:lastColumn="0" w:noHBand="0" w:noVBand="1"/>
      </w:tblPr>
      <w:tblGrid>
        <w:gridCol w:w="5529"/>
        <w:gridCol w:w="992"/>
        <w:gridCol w:w="1134"/>
        <w:gridCol w:w="1134"/>
        <w:gridCol w:w="1134"/>
        <w:gridCol w:w="1134"/>
      </w:tblGrid>
      <w:tr w:rsidR="0023308B" w14:paraId="7054F69F" w14:textId="77777777">
        <w:trPr>
          <w:trHeight w:val="345"/>
        </w:trPr>
        <w:tc>
          <w:tcPr>
            <w:tcW w:w="5529" w:type="dxa"/>
            <w:vMerge w:val="restart"/>
            <w:tcBorders>
              <w:tl2br w:val="single" w:sz="18" w:space="0" w:color="auto"/>
            </w:tcBorders>
          </w:tcPr>
          <w:p w14:paraId="74BAA16F" w14:textId="77777777" w:rsidR="0023308B" w:rsidRDefault="00DF4A22">
            <w:pPr>
              <w:rPr>
                <w:rFonts w:ascii="Calibri" w:eastAsia="Calibri" w:hAnsi="Calibri" w:cs="Times New Roman"/>
                <w:b/>
                <w:kern w:val="2"/>
                <w:lang w:val="fr-FR"/>
                <w14:ligatures w14:val="standardContextual"/>
              </w:rPr>
            </w:pPr>
            <w:r w:rsidRPr="00524B65">
              <w:rPr>
                <w:rFonts w:ascii="Calibri" w:eastAsia="Calibri" w:hAnsi="Calibri" w:cs="Times New Roman"/>
                <w:b/>
                <w:kern w:val="2"/>
                <w:lang w:val="en-IN"/>
                <w14:ligatures w14:val="standardContextual"/>
              </w:rPr>
              <w:t xml:space="preserve">                   </w:t>
            </w:r>
            <w:r>
              <w:rPr>
                <w:rFonts w:ascii="Calibri" w:eastAsia="Calibri" w:hAnsi="Calibri" w:cs="Times New Roman"/>
                <w:b/>
                <w:kern w:val="2"/>
                <w:lang w:val="fr-FR"/>
                <w14:ligatures w14:val="standardContextual"/>
              </w:rPr>
              <w:t xml:space="preserve">Statut VO </w:t>
            </w:r>
          </w:p>
          <w:p w14:paraId="36D0138A" w14:textId="77777777" w:rsidR="0023308B" w:rsidRDefault="0023308B">
            <w:pPr>
              <w:rPr>
                <w:rFonts w:ascii="Calibri" w:eastAsia="Calibri" w:hAnsi="Calibri" w:cs="Times New Roman"/>
                <w:b/>
                <w:kern w:val="2"/>
                <w:lang w:val="fr-FR"/>
                <w14:ligatures w14:val="standardContextual"/>
              </w:rPr>
            </w:pPr>
          </w:p>
          <w:p w14:paraId="678A647B"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 xml:space="preserve">Association </w:t>
            </w:r>
            <w:proofErr w:type="spellStart"/>
            <w:r>
              <w:rPr>
                <w:rFonts w:ascii="Calibri" w:eastAsia="Calibri" w:hAnsi="Calibri" w:cs="Times New Roman"/>
                <w:b/>
                <w:kern w:val="2"/>
                <w:lang w:val="fr-FR"/>
                <w14:ligatures w14:val="standardContextual"/>
              </w:rPr>
              <w:t>signs</w:t>
            </w:r>
            <w:proofErr w:type="spellEnd"/>
            <w:r>
              <w:rPr>
                <w:rFonts w:ascii="Calibri" w:eastAsia="Calibri" w:hAnsi="Calibri" w:cs="Times New Roman"/>
                <w:b/>
                <w:kern w:val="2"/>
                <w:lang w:val="fr-FR"/>
                <w14:ligatures w14:val="standardContextual"/>
              </w:rPr>
              <w:t xml:space="preserve"> </w:t>
            </w:r>
          </w:p>
          <w:p w14:paraId="433DAA3C" w14:textId="77777777" w:rsidR="0023308B" w:rsidRDefault="00DF4A22">
            <w:pPr>
              <w:rPr>
                <w:rFonts w:ascii="Calibri" w:eastAsia="Calibri" w:hAnsi="Calibri" w:cs="Times New Roman"/>
                <w:b/>
                <w:kern w:val="2"/>
                <w:lang w:val="fr-FR"/>
                <w14:ligatures w14:val="standardContextual"/>
              </w:rPr>
            </w:pPr>
            <w:proofErr w:type="spellStart"/>
            <w:r>
              <w:rPr>
                <w:rFonts w:ascii="Calibri" w:eastAsia="Calibri" w:hAnsi="Calibri" w:cs="Times New Roman"/>
                <w:b/>
                <w:kern w:val="2"/>
                <w:lang w:val="fr-FR"/>
                <w14:ligatures w14:val="standardContextual"/>
              </w:rPr>
              <w:t>clinical</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ultrasound</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biological</w:t>
            </w:r>
            <w:proofErr w:type="spellEnd"/>
          </w:p>
        </w:tc>
        <w:tc>
          <w:tcPr>
            <w:tcW w:w="2126" w:type="dxa"/>
            <w:gridSpan w:val="2"/>
          </w:tcPr>
          <w:p w14:paraId="2FB89AB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Presence VO</w:t>
            </w:r>
          </w:p>
        </w:tc>
        <w:tc>
          <w:tcPr>
            <w:tcW w:w="2268" w:type="dxa"/>
            <w:gridSpan w:val="2"/>
          </w:tcPr>
          <w:p w14:paraId="5813121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Absence VO</w:t>
            </w:r>
          </w:p>
        </w:tc>
        <w:tc>
          <w:tcPr>
            <w:tcW w:w="1134" w:type="dxa"/>
          </w:tcPr>
          <w:p w14:paraId="6EA94F52" w14:textId="77777777" w:rsidR="0023308B" w:rsidRDefault="0023308B">
            <w:pPr>
              <w:rPr>
                <w:rFonts w:ascii="Calibri" w:eastAsia="Calibri" w:hAnsi="Calibri" w:cs="Times New Roman"/>
                <w:b/>
                <w:bCs/>
                <w:kern w:val="2"/>
                <w14:ligatures w14:val="standardContextual"/>
              </w:rPr>
            </w:pPr>
          </w:p>
        </w:tc>
      </w:tr>
      <w:tr w:rsidR="0023308B" w14:paraId="4A56A8FE" w14:textId="77777777">
        <w:trPr>
          <w:trHeight w:val="614"/>
        </w:trPr>
        <w:tc>
          <w:tcPr>
            <w:tcW w:w="5529" w:type="dxa"/>
            <w:vMerge/>
            <w:tcBorders>
              <w:bottom w:val="single" w:sz="18" w:space="0" w:color="auto"/>
              <w:tl2br w:val="single" w:sz="18" w:space="0" w:color="auto"/>
            </w:tcBorders>
          </w:tcPr>
          <w:p w14:paraId="06861917" w14:textId="77777777" w:rsidR="0023308B" w:rsidRDefault="0023308B">
            <w:pPr>
              <w:rPr>
                <w:rFonts w:ascii="Calibri" w:eastAsia="Calibri" w:hAnsi="Calibri" w:cs="Times New Roman"/>
                <w:b/>
                <w:kern w:val="2"/>
                <w14:ligatures w14:val="standardContextual"/>
              </w:rPr>
            </w:pPr>
          </w:p>
        </w:tc>
        <w:tc>
          <w:tcPr>
            <w:tcW w:w="992" w:type="dxa"/>
            <w:tcBorders>
              <w:top w:val="nil"/>
            </w:tcBorders>
            <w:shd w:val="clear" w:color="auto" w:fill="FFFFFF"/>
          </w:tcPr>
          <w:p w14:paraId="617D4D69"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Effectif</w:t>
            </w:r>
            <w:proofErr w:type="spellEnd"/>
            <w:r>
              <w:rPr>
                <w:rFonts w:ascii="Calibri" w:eastAsia="Calibri" w:hAnsi="Calibri" w:cs="Times New Roman"/>
                <w:kern w:val="2"/>
                <w14:ligatures w14:val="standardContextual"/>
              </w:rPr>
              <w:t xml:space="preserve"> </w:t>
            </w:r>
          </w:p>
        </w:tc>
        <w:tc>
          <w:tcPr>
            <w:tcW w:w="1134" w:type="dxa"/>
            <w:tcBorders>
              <w:top w:val="nil"/>
            </w:tcBorders>
            <w:shd w:val="clear" w:color="auto" w:fill="FFFFFF"/>
          </w:tcPr>
          <w:p w14:paraId="1F0FAEF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134" w:type="dxa"/>
            <w:tcBorders>
              <w:top w:val="nil"/>
            </w:tcBorders>
            <w:shd w:val="clear" w:color="auto" w:fill="FFFFFF"/>
          </w:tcPr>
          <w:p w14:paraId="37B893FF" w14:textId="77777777" w:rsidR="0023308B" w:rsidRDefault="00DF4A22">
            <w:pPr>
              <w:rPr>
                <w:rFonts w:ascii="Calibri" w:eastAsia="Calibri" w:hAnsi="Calibri" w:cs="Times New Roman"/>
                <w:kern w:val="2"/>
                <w14:ligatures w14:val="standardContextual"/>
              </w:rPr>
            </w:pPr>
            <w:proofErr w:type="spellStart"/>
            <w:r>
              <w:rPr>
                <w:rFonts w:ascii="Calibri" w:eastAsia="Calibri" w:hAnsi="Calibri" w:cs="Times New Roman"/>
                <w:kern w:val="2"/>
                <w14:ligatures w14:val="standardContextual"/>
              </w:rPr>
              <w:t>Effectif</w:t>
            </w:r>
            <w:proofErr w:type="spellEnd"/>
            <w:r>
              <w:rPr>
                <w:rFonts w:ascii="Calibri" w:eastAsia="Calibri" w:hAnsi="Calibri" w:cs="Times New Roman"/>
                <w:kern w:val="2"/>
                <w14:ligatures w14:val="standardContextual"/>
              </w:rPr>
              <w:t xml:space="preserve"> </w:t>
            </w:r>
          </w:p>
        </w:tc>
        <w:tc>
          <w:tcPr>
            <w:tcW w:w="1134" w:type="dxa"/>
            <w:tcBorders>
              <w:top w:val="nil"/>
            </w:tcBorders>
            <w:shd w:val="clear" w:color="auto" w:fill="FFFFFF"/>
          </w:tcPr>
          <w:p w14:paraId="3F127C0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tc>
        <w:tc>
          <w:tcPr>
            <w:tcW w:w="1134" w:type="dxa"/>
            <w:tcBorders>
              <w:top w:val="nil"/>
            </w:tcBorders>
            <w:shd w:val="clear" w:color="auto" w:fill="FFFFFF"/>
          </w:tcPr>
          <w:p w14:paraId="432DAD1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VPP</w:t>
            </w:r>
          </w:p>
        </w:tc>
      </w:tr>
      <w:tr w:rsidR="0023308B" w14:paraId="6433B41D" w14:textId="77777777">
        <w:tc>
          <w:tcPr>
            <w:tcW w:w="5529" w:type="dxa"/>
            <w:tcBorders>
              <w:top w:val="nil"/>
              <w:right w:val="single" w:sz="18" w:space="0" w:color="auto"/>
            </w:tcBorders>
          </w:tcPr>
          <w:p w14:paraId="799DFD59"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Ascites +</w:t>
            </w:r>
            <w:proofErr w:type="spellStart"/>
            <w:r>
              <w:rPr>
                <w:rFonts w:ascii="Calibri" w:eastAsia="Calibri" w:hAnsi="Calibri" w:cs="Times New Roman"/>
                <w:b/>
                <w:kern w:val="2"/>
                <w:lang w:val="fr-FR"/>
                <w14:ligatures w14:val="standardContextual"/>
              </w:rPr>
              <w:t>heterogenous</w:t>
            </w:r>
            <w:proofErr w:type="spellEnd"/>
            <w:r>
              <w:rPr>
                <w:rFonts w:ascii="Calibri" w:eastAsia="Calibri" w:hAnsi="Calibri" w:cs="Times New Roman"/>
                <w:b/>
                <w:kern w:val="2"/>
                <w:lang w:val="fr-FR"/>
                <w14:ligatures w14:val="standardContextual"/>
              </w:rPr>
              <w:t xml:space="preserve"> </w:t>
            </w:r>
            <w:proofErr w:type="spellStart"/>
            <w:r>
              <w:rPr>
                <w:rFonts w:ascii="Calibri" w:eastAsia="Calibri" w:hAnsi="Calibri" w:cs="Times New Roman"/>
                <w:b/>
                <w:kern w:val="2"/>
                <w:lang w:val="fr-FR"/>
                <w14:ligatures w14:val="standardContextual"/>
              </w:rPr>
              <w:t>liver</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Hb</w:t>
            </w:r>
            <w:proofErr w:type="spellEnd"/>
            <w:r>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3D0D40C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24/30</w:t>
            </w:r>
          </w:p>
        </w:tc>
        <w:tc>
          <w:tcPr>
            <w:tcW w:w="1134" w:type="dxa"/>
            <w:tcBorders>
              <w:top w:val="nil"/>
              <w:bottom w:val="nil"/>
            </w:tcBorders>
            <w:shd w:val="clear" w:color="auto" w:fill="FFFFFF"/>
          </w:tcPr>
          <w:p w14:paraId="407C1A3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80</w:t>
            </w:r>
          </w:p>
        </w:tc>
        <w:tc>
          <w:tcPr>
            <w:tcW w:w="1134" w:type="dxa"/>
            <w:tcBorders>
              <w:top w:val="nil"/>
              <w:bottom w:val="nil"/>
            </w:tcBorders>
            <w:shd w:val="clear" w:color="auto" w:fill="FFFFFF"/>
          </w:tcPr>
          <w:p w14:paraId="74079C9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6/10</w:t>
            </w:r>
          </w:p>
        </w:tc>
        <w:tc>
          <w:tcPr>
            <w:tcW w:w="1134" w:type="dxa"/>
            <w:tcBorders>
              <w:top w:val="nil"/>
              <w:bottom w:val="nil"/>
            </w:tcBorders>
            <w:shd w:val="clear" w:color="auto" w:fill="FFFFFF"/>
          </w:tcPr>
          <w:p w14:paraId="630ED4B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80</w:t>
            </w:r>
          </w:p>
        </w:tc>
        <w:tc>
          <w:tcPr>
            <w:tcW w:w="1134" w:type="dxa"/>
            <w:tcBorders>
              <w:top w:val="nil"/>
              <w:bottom w:val="nil"/>
            </w:tcBorders>
            <w:shd w:val="clear" w:color="auto" w:fill="FFFFFF"/>
          </w:tcPr>
          <w:p w14:paraId="4B0399E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80</w:t>
            </w:r>
          </w:p>
        </w:tc>
      </w:tr>
      <w:tr w:rsidR="0023308B" w14:paraId="37B4FF4A" w14:textId="77777777">
        <w:tc>
          <w:tcPr>
            <w:tcW w:w="5529" w:type="dxa"/>
            <w:tcBorders>
              <w:top w:val="nil"/>
              <w:right w:val="single" w:sz="18" w:space="0" w:color="auto"/>
            </w:tcBorders>
          </w:tcPr>
          <w:p w14:paraId="2E91B924"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 xml:space="preserve">Ascites + </w:t>
            </w:r>
            <w:proofErr w:type="spellStart"/>
            <w:r>
              <w:rPr>
                <w:rFonts w:ascii="Calibri" w:eastAsia="Calibri" w:hAnsi="Calibri" w:cs="Times New Roman"/>
                <w:b/>
                <w:kern w:val="2"/>
                <w:lang w:val="fr-FR"/>
                <w14:ligatures w14:val="standardContextual"/>
              </w:rPr>
              <w:t>hypertrophic</w:t>
            </w:r>
            <w:proofErr w:type="spellEnd"/>
            <w:r>
              <w:rPr>
                <w:rFonts w:ascii="Calibri" w:eastAsia="Calibri" w:hAnsi="Calibri" w:cs="Times New Roman"/>
                <w:b/>
                <w:kern w:val="2"/>
                <w:lang w:val="fr-FR"/>
                <w14:ligatures w14:val="standardContextual"/>
              </w:rPr>
              <w:t xml:space="preserve"> </w:t>
            </w:r>
            <w:proofErr w:type="spellStart"/>
            <w:r>
              <w:rPr>
                <w:rFonts w:ascii="Calibri" w:eastAsia="Calibri" w:hAnsi="Calibri" w:cs="Times New Roman"/>
                <w:b/>
                <w:kern w:val="2"/>
                <w:lang w:val="fr-FR"/>
                <w14:ligatures w14:val="standardContextual"/>
              </w:rPr>
              <w:t>liver</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Hb</w:t>
            </w:r>
            <w:proofErr w:type="spellEnd"/>
            <w:r>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2778768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17/30</w:t>
            </w:r>
          </w:p>
        </w:tc>
        <w:tc>
          <w:tcPr>
            <w:tcW w:w="1134" w:type="dxa"/>
            <w:tcBorders>
              <w:top w:val="nil"/>
              <w:bottom w:val="nil"/>
            </w:tcBorders>
            <w:shd w:val="clear" w:color="auto" w:fill="FFFFFF"/>
          </w:tcPr>
          <w:p w14:paraId="53686B8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56,7</w:t>
            </w:r>
          </w:p>
        </w:tc>
        <w:tc>
          <w:tcPr>
            <w:tcW w:w="1134" w:type="dxa"/>
            <w:tcBorders>
              <w:top w:val="nil"/>
              <w:bottom w:val="nil"/>
            </w:tcBorders>
            <w:shd w:val="clear" w:color="auto" w:fill="FFFFFF"/>
          </w:tcPr>
          <w:p w14:paraId="67F1898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2/10</w:t>
            </w:r>
          </w:p>
        </w:tc>
        <w:tc>
          <w:tcPr>
            <w:tcW w:w="1134" w:type="dxa"/>
            <w:tcBorders>
              <w:top w:val="nil"/>
              <w:bottom w:val="nil"/>
            </w:tcBorders>
            <w:shd w:val="clear" w:color="auto" w:fill="FFFFFF"/>
          </w:tcPr>
          <w:p w14:paraId="38370E4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20</w:t>
            </w:r>
          </w:p>
        </w:tc>
        <w:tc>
          <w:tcPr>
            <w:tcW w:w="1134" w:type="dxa"/>
            <w:tcBorders>
              <w:top w:val="nil"/>
              <w:bottom w:val="nil"/>
            </w:tcBorders>
            <w:shd w:val="clear" w:color="auto" w:fill="FFFFFF"/>
          </w:tcPr>
          <w:p w14:paraId="332BF07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89,5</w:t>
            </w:r>
          </w:p>
        </w:tc>
      </w:tr>
      <w:tr w:rsidR="0023308B" w14:paraId="2A37E6B6" w14:textId="77777777">
        <w:tc>
          <w:tcPr>
            <w:tcW w:w="5529" w:type="dxa"/>
            <w:tcBorders>
              <w:top w:val="nil"/>
              <w:right w:val="single" w:sz="18" w:space="0" w:color="auto"/>
            </w:tcBorders>
          </w:tcPr>
          <w:p w14:paraId="35B28F9A"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 xml:space="preserve">Ascites + </w:t>
            </w:r>
            <w:proofErr w:type="spellStart"/>
            <w:r>
              <w:rPr>
                <w:rFonts w:ascii="Calibri" w:eastAsia="Calibri" w:hAnsi="Calibri" w:cs="Times New Roman"/>
                <w:b/>
                <w:kern w:val="2"/>
                <w:lang w:val="fr-FR"/>
                <w14:ligatures w14:val="standardContextual"/>
              </w:rPr>
              <w:t>atrophic</w:t>
            </w:r>
            <w:proofErr w:type="spellEnd"/>
            <w:r>
              <w:rPr>
                <w:rFonts w:ascii="Calibri" w:eastAsia="Calibri" w:hAnsi="Calibri" w:cs="Times New Roman"/>
                <w:b/>
                <w:kern w:val="2"/>
                <w:lang w:val="fr-FR"/>
                <w14:ligatures w14:val="standardContextual"/>
              </w:rPr>
              <w:t xml:space="preserve"> </w:t>
            </w:r>
            <w:proofErr w:type="spellStart"/>
            <w:r>
              <w:rPr>
                <w:rFonts w:ascii="Calibri" w:eastAsia="Calibri" w:hAnsi="Calibri" w:cs="Times New Roman"/>
                <w:b/>
                <w:kern w:val="2"/>
                <w:lang w:val="fr-FR"/>
                <w14:ligatures w14:val="standardContextual"/>
              </w:rPr>
              <w:t>liver</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Hb</w:t>
            </w:r>
            <w:proofErr w:type="spellEnd"/>
            <w:r>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1E3BD8F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2/30</w:t>
            </w:r>
          </w:p>
        </w:tc>
        <w:tc>
          <w:tcPr>
            <w:tcW w:w="1134" w:type="dxa"/>
            <w:tcBorders>
              <w:top w:val="nil"/>
              <w:bottom w:val="nil"/>
            </w:tcBorders>
            <w:shd w:val="clear" w:color="auto" w:fill="FFFFFF"/>
          </w:tcPr>
          <w:p w14:paraId="79005E2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6,7</w:t>
            </w:r>
          </w:p>
        </w:tc>
        <w:tc>
          <w:tcPr>
            <w:tcW w:w="1134" w:type="dxa"/>
            <w:tcBorders>
              <w:top w:val="nil"/>
              <w:bottom w:val="nil"/>
              <w:right w:val="nil"/>
            </w:tcBorders>
            <w:shd w:val="clear" w:color="auto" w:fill="FFFFFF"/>
          </w:tcPr>
          <w:p w14:paraId="1E286B1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2/10</w:t>
            </w:r>
          </w:p>
        </w:tc>
        <w:tc>
          <w:tcPr>
            <w:tcW w:w="1134" w:type="dxa"/>
            <w:tcBorders>
              <w:top w:val="nil"/>
              <w:left w:val="nil"/>
              <w:bottom w:val="nil"/>
            </w:tcBorders>
            <w:shd w:val="clear" w:color="auto" w:fill="FFFFFF"/>
          </w:tcPr>
          <w:p w14:paraId="0FA0128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20</w:t>
            </w:r>
          </w:p>
        </w:tc>
        <w:tc>
          <w:tcPr>
            <w:tcW w:w="1134" w:type="dxa"/>
            <w:tcBorders>
              <w:top w:val="nil"/>
              <w:bottom w:val="nil"/>
            </w:tcBorders>
            <w:shd w:val="clear" w:color="auto" w:fill="FFFFFF"/>
          </w:tcPr>
          <w:p w14:paraId="0AF3134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50</w:t>
            </w:r>
          </w:p>
        </w:tc>
      </w:tr>
      <w:tr w:rsidR="0023308B" w14:paraId="2DD60F34" w14:textId="77777777">
        <w:tc>
          <w:tcPr>
            <w:tcW w:w="5529" w:type="dxa"/>
            <w:tcBorders>
              <w:top w:val="nil"/>
              <w:bottom w:val="single" w:sz="12" w:space="0" w:color="auto"/>
              <w:right w:val="single" w:sz="18" w:space="0" w:color="auto"/>
            </w:tcBorders>
          </w:tcPr>
          <w:p w14:paraId="3D9A8C04"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 xml:space="preserve">Ascites + </w:t>
            </w:r>
            <w:proofErr w:type="spellStart"/>
            <w:r>
              <w:rPr>
                <w:rFonts w:ascii="Calibri" w:eastAsia="Calibri" w:hAnsi="Calibri" w:cs="Times New Roman"/>
                <w:b/>
                <w:kern w:val="2"/>
                <w:lang w:val="fr-FR"/>
                <w14:ligatures w14:val="standardContextual"/>
              </w:rPr>
              <w:t>dilated</w:t>
            </w:r>
            <w:proofErr w:type="spellEnd"/>
            <w:r>
              <w:rPr>
                <w:rFonts w:ascii="Calibri" w:eastAsia="Calibri" w:hAnsi="Calibri" w:cs="Times New Roman"/>
                <w:b/>
                <w:kern w:val="2"/>
                <w:lang w:val="fr-FR"/>
                <w14:ligatures w14:val="standardContextual"/>
              </w:rPr>
              <w:t xml:space="preserve"> portal </w:t>
            </w:r>
            <w:proofErr w:type="spellStart"/>
            <w:r>
              <w:rPr>
                <w:rFonts w:ascii="Calibri" w:eastAsia="Calibri" w:hAnsi="Calibri" w:cs="Times New Roman"/>
                <w:b/>
                <w:kern w:val="2"/>
                <w:lang w:val="fr-FR"/>
                <w14:ligatures w14:val="standardContextual"/>
              </w:rPr>
              <w:t>trunk</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Hb</w:t>
            </w:r>
            <w:proofErr w:type="spellEnd"/>
            <w:r>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single" w:sz="12" w:space="0" w:color="auto"/>
            </w:tcBorders>
            <w:shd w:val="clear" w:color="auto" w:fill="FFFFFF"/>
          </w:tcPr>
          <w:p w14:paraId="6CFA3C4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7/30</w:t>
            </w:r>
          </w:p>
        </w:tc>
        <w:tc>
          <w:tcPr>
            <w:tcW w:w="1134" w:type="dxa"/>
            <w:tcBorders>
              <w:top w:val="nil"/>
              <w:bottom w:val="single" w:sz="12" w:space="0" w:color="auto"/>
            </w:tcBorders>
            <w:shd w:val="clear" w:color="auto" w:fill="FFFFFF"/>
          </w:tcPr>
          <w:p w14:paraId="56E6A2C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23,3</w:t>
            </w:r>
          </w:p>
        </w:tc>
        <w:tc>
          <w:tcPr>
            <w:tcW w:w="1134" w:type="dxa"/>
            <w:tcBorders>
              <w:top w:val="nil"/>
              <w:bottom w:val="single" w:sz="12" w:space="0" w:color="auto"/>
              <w:right w:val="nil"/>
            </w:tcBorders>
            <w:shd w:val="clear" w:color="auto" w:fill="FFFFFF"/>
          </w:tcPr>
          <w:p w14:paraId="68FF1D8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2/10</w:t>
            </w:r>
          </w:p>
        </w:tc>
        <w:tc>
          <w:tcPr>
            <w:tcW w:w="1134" w:type="dxa"/>
            <w:tcBorders>
              <w:top w:val="nil"/>
              <w:left w:val="nil"/>
              <w:bottom w:val="single" w:sz="12" w:space="0" w:color="auto"/>
            </w:tcBorders>
            <w:shd w:val="clear" w:color="auto" w:fill="FFFFFF"/>
          </w:tcPr>
          <w:p w14:paraId="1E1CCC9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20</w:t>
            </w:r>
          </w:p>
        </w:tc>
        <w:tc>
          <w:tcPr>
            <w:tcW w:w="1134" w:type="dxa"/>
            <w:tcBorders>
              <w:top w:val="nil"/>
              <w:bottom w:val="single" w:sz="12" w:space="0" w:color="auto"/>
            </w:tcBorders>
            <w:shd w:val="clear" w:color="auto" w:fill="FFFFFF"/>
          </w:tcPr>
          <w:p w14:paraId="51E0883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77,8</w:t>
            </w:r>
          </w:p>
        </w:tc>
      </w:tr>
      <w:tr w:rsidR="0023308B" w14:paraId="27F24F4A" w14:textId="77777777">
        <w:tc>
          <w:tcPr>
            <w:tcW w:w="5529" w:type="dxa"/>
            <w:tcBorders>
              <w:top w:val="single" w:sz="12" w:space="0" w:color="auto"/>
              <w:right w:val="single" w:sz="18" w:space="0" w:color="auto"/>
            </w:tcBorders>
          </w:tcPr>
          <w:p w14:paraId="08120F57"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Splenomegaly + heterogenous liver + Hb&lt;12 g/dl</w:t>
            </w:r>
          </w:p>
        </w:tc>
        <w:tc>
          <w:tcPr>
            <w:tcW w:w="992" w:type="dxa"/>
            <w:tcBorders>
              <w:top w:val="single" w:sz="12" w:space="0" w:color="auto"/>
              <w:left w:val="single" w:sz="18" w:space="0" w:color="auto"/>
              <w:bottom w:val="nil"/>
            </w:tcBorders>
            <w:shd w:val="clear" w:color="auto" w:fill="FFFFFF"/>
          </w:tcPr>
          <w:p w14:paraId="37E3411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5/9</w:t>
            </w:r>
          </w:p>
        </w:tc>
        <w:tc>
          <w:tcPr>
            <w:tcW w:w="1134" w:type="dxa"/>
            <w:tcBorders>
              <w:top w:val="single" w:sz="12" w:space="0" w:color="auto"/>
              <w:bottom w:val="nil"/>
            </w:tcBorders>
            <w:shd w:val="clear" w:color="auto" w:fill="FFFFFF"/>
          </w:tcPr>
          <w:p w14:paraId="2444E9F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55,6</w:t>
            </w:r>
          </w:p>
        </w:tc>
        <w:tc>
          <w:tcPr>
            <w:tcW w:w="1134" w:type="dxa"/>
            <w:tcBorders>
              <w:top w:val="single" w:sz="12" w:space="0" w:color="auto"/>
              <w:bottom w:val="nil"/>
              <w:right w:val="nil"/>
            </w:tcBorders>
            <w:shd w:val="clear" w:color="auto" w:fill="FFFFFF"/>
          </w:tcPr>
          <w:p w14:paraId="02CFB38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6/8</w:t>
            </w:r>
          </w:p>
        </w:tc>
        <w:tc>
          <w:tcPr>
            <w:tcW w:w="1134" w:type="dxa"/>
            <w:tcBorders>
              <w:top w:val="single" w:sz="12" w:space="0" w:color="auto"/>
              <w:left w:val="nil"/>
              <w:bottom w:val="nil"/>
            </w:tcBorders>
            <w:shd w:val="clear" w:color="auto" w:fill="FFFFFF"/>
          </w:tcPr>
          <w:p w14:paraId="7527B20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75</w:t>
            </w:r>
          </w:p>
        </w:tc>
        <w:tc>
          <w:tcPr>
            <w:tcW w:w="1134" w:type="dxa"/>
            <w:tcBorders>
              <w:top w:val="single" w:sz="12" w:space="0" w:color="auto"/>
              <w:bottom w:val="nil"/>
            </w:tcBorders>
            <w:shd w:val="clear" w:color="auto" w:fill="FFFFFF"/>
          </w:tcPr>
          <w:p w14:paraId="0EE5FB9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45,4</w:t>
            </w:r>
          </w:p>
        </w:tc>
      </w:tr>
      <w:tr w:rsidR="0023308B" w14:paraId="0C73D712" w14:textId="77777777">
        <w:tc>
          <w:tcPr>
            <w:tcW w:w="5529" w:type="dxa"/>
            <w:tcBorders>
              <w:top w:val="nil"/>
              <w:right w:val="single" w:sz="18" w:space="0" w:color="auto"/>
            </w:tcBorders>
          </w:tcPr>
          <w:p w14:paraId="15D88587"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Splenomegaly + hypertrophic liver + Hb&lt;12 g/dl</w:t>
            </w:r>
          </w:p>
        </w:tc>
        <w:tc>
          <w:tcPr>
            <w:tcW w:w="992" w:type="dxa"/>
            <w:tcBorders>
              <w:top w:val="nil"/>
              <w:left w:val="single" w:sz="18" w:space="0" w:color="auto"/>
              <w:bottom w:val="nil"/>
            </w:tcBorders>
            <w:shd w:val="clear" w:color="auto" w:fill="FFFFFF"/>
          </w:tcPr>
          <w:p w14:paraId="2E875600"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4/9</w:t>
            </w:r>
          </w:p>
        </w:tc>
        <w:tc>
          <w:tcPr>
            <w:tcW w:w="1134" w:type="dxa"/>
            <w:tcBorders>
              <w:top w:val="nil"/>
              <w:bottom w:val="nil"/>
            </w:tcBorders>
            <w:shd w:val="clear" w:color="auto" w:fill="FFFFFF"/>
          </w:tcPr>
          <w:p w14:paraId="18FAFC31"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44,4</w:t>
            </w:r>
          </w:p>
        </w:tc>
        <w:tc>
          <w:tcPr>
            <w:tcW w:w="1134" w:type="dxa"/>
            <w:tcBorders>
              <w:top w:val="nil"/>
              <w:bottom w:val="nil"/>
              <w:right w:val="nil"/>
            </w:tcBorders>
            <w:shd w:val="clear" w:color="auto" w:fill="FFFFFF"/>
          </w:tcPr>
          <w:p w14:paraId="6FA9B47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5/8</w:t>
            </w:r>
          </w:p>
        </w:tc>
        <w:tc>
          <w:tcPr>
            <w:tcW w:w="1134" w:type="dxa"/>
            <w:tcBorders>
              <w:top w:val="nil"/>
              <w:left w:val="nil"/>
              <w:bottom w:val="nil"/>
            </w:tcBorders>
            <w:shd w:val="clear" w:color="auto" w:fill="FFFFFF"/>
          </w:tcPr>
          <w:p w14:paraId="5C7E5E0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62,5</w:t>
            </w:r>
          </w:p>
        </w:tc>
        <w:tc>
          <w:tcPr>
            <w:tcW w:w="1134" w:type="dxa"/>
            <w:tcBorders>
              <w:top w:val="nil"/>
              <w:bottom w:val="nil"/>
            </w:tcBorders>
            <w:shd w:val="clear" w:color="auto" w:fill="FFFFFF"/>
          </w:tcPr>
          <w:p w14:paraId="76EA0FF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44,4</w:t>
            </w:r>
          </w:p>
        </w:tc>
      </w:tr>
      <w:tr w:rsidR="0023308B" w14:paraId="68A224DD" w14:textId="77777777">
        <w:tc>
          <w:tcPr>
            <w:tcW w:w="5529" w:type="dxa"/>
            <w:tcBorders>
              <w:top w:val="nil"/>
              <w:right w:val="single" w:sz="18" w:space="0" w:color="auto"/>
            </w:tcBorders>
          </w:tcPr>
          <w:p w14:paraId="530E7AB8"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Splenomegaly + atrophic liver + Hb&lt;12 g/dl</w:t>
            </w:r>
          </w:p>
        </w:tc>
        <w:tc>
          <w:tcPr>
            <w:tcW w:w="992" w:type="dxa"/>
            <w:tcBorders>
              <w:top w:val="nil"/>
              <w:left w:val="single" w:sz="18" w:space="0" w:color="auto"/>
              <w:bottom w:val="nil"/>
            </w:tcBorders>
            <w:shd w:val="clear" w:color="auto" w:fill="FFFFFF"/>
          </w:tcPr>
          <w:p w14:paraId="6D86D2F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1/9</w:t>
            </w:r>
          </w:p>
        </w:tc>
        <w:tc>
          <w:tcPr>
            <w:tcW w:w="1134" w:type="dxa"/>
            <w:tcBorders>
              <w:top w:val="nil"/>
              <w:bottom w:val="nil"/>
            </w:tcBorders>
            <w:shd w:val="clear" w:color="auto" w:fill="FFFFFF"/>
          </w:tcPr>
          <w:p w14:paraId="68590E3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11,1</w:t>
            </w:r>
          </w:p>
        </w:tc>
        <w:tc>
          <w:tcPr>
            <w:tcW w:w="1134" w:type="dxa"/>
            <w:tcBorders>
              <w:top w:val="nil"/>
              <w:bottom w:val="nil"/>
              <w:right w:val="nil"/>
            </w:tcBorders>
            <w:shd w:val="clear" w:color="auto" w:fill="FFFFFF"/>
          </w:tcPr>
          <w:p w14:paraId="3B828FB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w:t>
            </w:r>
          </w:p>
        </w:tc>
        <w:tc>
          <w:tcPr>
            <w:tcW w:w="1134" w:type="dxa"/>
            <w:tcBorders>
              <w:top w:val="nil"/>
              <w:left w:val="nil"/>
              <w:bottom w:val="nil"/>
            </w:tcBorders>
            <w:shd w:val="clear" w:color="auto" w:fill="FFFFFF"/>
          </w:tcPr>
          <w:p w14:paraId="1AD073D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12,5</w:t>
            </w:r>
          </w:p>
        </w:tc>
        <w:tc>
          <w:tcPr>
            <w:tcW w:w="1134" w:type="dxa"/>
            <w:tcBorders>
              <w:top w:val="nil"/>
              <w:bottom w:val="nil"/>
            </w:tcBorders>
            <w:shd w:val="clear" w:color="auto" w:fill="FFFFFF"/>
          </w:tcPr>
          <w:p w14:paraId="49F8CB7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50</w:t>
            </w:r>
          </w:p>
        </w:tc>
      </w:tr>
      <w:tr w:rsidR="0023308B" w14:paraId="0367D104" w14:textId="77777777">
        <w:tc>
          <w:tcPr>
            <w:tcW w:w="5529" w:type="dxa"/>
            <w:tcBorders>
              <w:top w:val="nil"/>
              <w:bottom w:val="single" w:sz="12" w:space="0" w:color="auto"/>
              <w:right w:val="single" w:sz="18" w:space="0" w:color="auto"/>
            </w:tcBorders>
          </w:tcPr>
          <w:p w14:paraId="2F6D1890"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Splenomegaly + dilated portal trunk + Hb&lt;12 g/dl</w:t>
            </w:r>
          </w:p>
        </w:tc>
        <w:tc>
          <w:tcPr>
            <w:tcW w:w="992" w:type="dxa"/>
            <w:tcBorders>
              <w:top w:val="nil"/>
              <w:left w:val="single" w:sz="18" w:space="0" w:color="auto"/>
              <w:bottom w:val="single" w:sz="12" w:space="0" w:color="auto"/>
            </w:tcBorders>
            <w:shd w:val="clear" w:color="auto" w:fill="FFFFFF"/>
          </w:tcPr>
          <w:p w14:paraId="075423D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3/9</w:t>
            </w:r>
          </w:p>
        </w:tc>
        <w:tc>
          <w:tcPr>
            <w:tcW w:w="1134" w:type="dxa"/>
            <w:tcBorders>
              <w:top w:val="nil"/>
              <w:bottom w:val="single" w:sz="12" w:space="0" w:color="auto"/>
            </w:tcBorders>
            <w:shd w:val="clear" w:color="auto" w:fill="FFFFFF"/>
          </w:tcPr>
          <w:p w14:paraId="41EF5BD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33,3</w:t>
            </w:r>
          </w:p>
        </w:tc>
        <w:tc>
          <w:tcPr>
            <w:tcW w:w="1134" w:type="dxa"/>
            <w:tcBorders>
              <w:top w:val="nil"/>
              <w:bottom w:val="single" w:sz="12" w:space="0" w:color="auto"/>
              <w:right w:val="nil"/>
            </w:tcBorders>
            <w:shd w:val="clear" w:color="auto" w:fill="FFFFFF"/>
          </w:tcPr>
          <w:p w14:paraId="16A379E3"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2/8</w:t>
            </w:r>
          </w:p>
        </w:tc>
        <w:tc>
          <w:tcPr>
            <w:tcW w:w="1134" w:type="dxa"/>
            <w:tcBorders>
              <w:top w:val="nil"/>
              <w:left w:val="nil"/>
              <w:bottom w:val="single" w:sz="12" w:space="0" w:color="auto"/>
            </w:tcBorders>
            <w:shd w:val="clear" w:color="auto" w:fill="FFFFFF"/>
          </w:tcPr>
          <w:p w14:paraId="1887BC1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25</w:t>
            </w:r>
          </w:p>
        </w:tc>
        <w:tc>
          <w:tcPr>
            <w:tcW w:w="1134" w:type="dxa"/>
            <w:tcBorders>
              <w:top w:val="nil"/>
              <w:bottom w:val="single" w:sz="12" w:space="0" w:color="auto"/>
            </w:tcBorders>
            <w:shd w:val="clear" w:color="auto" w:fill="FFFFFF"/>
          </w:tcPr>
          <w:p w14:paraId="2A47111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60</w:t>
            </w:r>
          </w:p>
        </w:tc>
      </w:tr>
      <w:tr w:rsidR="0023308B" w14:paraId="4E973662" w14:textId="77777777">
        <w:tc>
          <w:tcPr>
            <w:tcW w:w="5529" w:type="dxa"/>
            <w:tcBorders>
              <w:top w:val="single" w:sz="12" w:space="0" w:color="auto"/>
              <w:right w:val="single" w:sz="18" w:space="0" w:color="auto"/>
            </w:tcBorders>
          </w:tcPr>
          <w:p w14:paraId="40CA2D44"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CVC + hypertrophic liver + Hb&lt;12 g/dl</w:t>
            </w:r>
          </w:p>
        </w:tc>
        <w:tc>
          <w:tcPr>
            <w:tcW w:w="992" w:type="dxa"/>
            <w:tcBorders>
              <w:top w:val="single" w:sz="12" w:space="0" w:color="auto"/>
              <w:left w:val="single" w:sz="18" w:space="0" w:color="auto"/>
              <w:bottom w:val="nil"/>
              <w:right w:val="nil"/>
            </w:tcBorders>
            <w:shd w:val="clear" w:color="auto" w:fill="FFFFFF"/>
          </w:tcPr>
          <w:p w14:paraId="273766F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14/16</w:t>
            </w:r>
          </w:p>
        </w:tc>
        <w:tc>
          <w:tcPr>
            <w:tcW w:w="1134" w:type="dxa"/>
            <w:tcBorders>
              <w:top w:val="single" w:sz="12" w:space="0" w:color="auto"/>
              <w:left w:val="nil"/>
              <w:bottom w:val="nil"/>
              <w:right w:val="nil"/>
            </w:tcBorders>
            <w:shd w:val="clear" w:color="auto" w:fill="FFFFFF"/>
          </w:tcPr>
          <w:p w14:paraId="1376D73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87,5</w:t>
            </w:r>
          </w:p>
        </w:tc>
        <w:tc>
          <w:tcPr>
            <w:tcW w:w="1134" w:type="dxa"/>
            <w:tcBorders>
              <w:top w:val="single" w:sz="12" w:space="0" w:color="auto"/>
              <w:left w:val="nil"/>
              <w:bottom w:val="nil"/>
              <w:right w:val="nil"/>
            </w:tcBorders>
            <w:shd w:val="clear" w:color="auto" w:fill="FFFFFF"/>
          </w:tcPr>
          <w:p w14:paraId="512B5AF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single" w:sz="12" w:space="0" w:color="auto"/>
              <w:left w:val="nil"/>
              <w:bottom w:val="nil"/>
              <w:right w:val="nil"/>
            </w:tcBorders>
            <w:shd w:val="clear" w:color="auto" w:fill="FFFFFF"/>
          </w:tcPr>
          <w:p w14:paraId="074E2EA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single" w:sz="12" w:space="0" w:color="auto"/>
              <w:left w:val="nil"/>
              <w:bottom w:val="nil"/>
            </w:tcBorders>
            <w:shd w:val="clear" w:color="auto" w:fill="FFFFFF"/>
          </w:tcPr>
          <w:p w14:paraId="5D60332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100</w:t>
            </w:r>
          </w:p>
        </w:tc>
      </w:tr>
      <w:tr w:rsidR="0023308B" w14:paraId="06CAD444" w14:textId="77777777">
        <w:trPr>
          <w:trHeight w:val="89"/>
        </w:trPr>
        <w:tc>
          <w:tcPr>
            <w:tcW w:w="5529" w:type="dxa"/>
            <w:tcBorders>
              <w:top w:val="nil"/>
              <w:right w:val="single" w:sz="18" w:space="0" w:color="auto"/>
            </w:tcBorders>
          </w:tcPr>
          <w:p w14:paraId="1A0E37ED" w14:textId="77777777" w:rsidR="0023308B" w:rsidRDefault="00DF4A22">
            <w:pPr>
              <w:rPr>
                <w:rFonts w:ascii="Calibri" w:eastAsia="Calibri" w:hAnsi="Calibri" w:cs="Times New Roman"/>
                <w:b/>
                <w:kern w:val="2"/>
                <w:lang w:val="fr-FR"/>
                <w14:ligatures w14:val="standardContextual"/>
              </w:rPr>
            </w:pPr>
            <w:r>
              <w:rPr>
                <w:rFonts w:ascii="Calibri" w:eastAsia="Calibri" w:hAnsi="Calibri" w:cs="Times New Roman"/>
                <w:b/>
                <w:kern w:val="2"/>
                <w:lang w:val="fr-FR"/>
                <w14:ligatures w14:val="standardContextual"/>
              </w:rPr>
              <w:t xml:space="preserve">CVC + </w:t>
            </w:r>
            <w:proofErr w:type="spellStart"/>
            <w:r>
              <w:rPr>
                <w:rFonts w:ascii="Calibri" w:eastAsia="Calibri" w:hAnsi="Calibri" w:cs="Times New Roman"/>
                <w:b/>
                <w:kern w:val="2"/>
                <w:lang w:val="fr-FR"/>
                <w14:ligatures w14:val="standardContextual"/>
              </w:rPr>
              <w:t>heterogenous</w:t>
            </w:r>
            <w:proofErr w:type="spellEnd"/>
            <w:r>
              <w:rPr>
                <w:rFonts w:ascii="Calibri" w:eastAsia="Calibri" w:hAnsi="Calibri" w:cs="Times New Roman"/>
                <w:b/>
                <w:kern w:val="2"/>
                <w:lang w:val="fr-FR"/>
                <w14:ligatures w14:val="standardContextual"/>
              </w:rPr>
              <w:t xml:space="preserve"> </w:t>
            </w:r>
            <w:proofErr w:type="spellStart"/>
            <w:r>
              <w:rPr>
                <w:rFonts w:ascii="Calibri" w:eastAsia="Calibri" w:hAnsi="Calibri" w:cs="Times New Roman"/>
                <w:b/>
                <w:kern w:val="2"/>
                <w:lang w:val="fr-FR"/>
                <w14:ligatures w14:val="standardContextual"/>
              </w:rPr>
              <w:t>liver</w:t>
            </w:r>
            <w:proofErr w:type="spellEnd"/>
            <w:r>
              <w:rPr>
                <w:rFonts w:ascii="Calibri" w:eastAsia="Calibri" w:hAnsi="Calibri" w:cs="Times New Roman"/>
                <w:b/>
                <w:kern w:val="2"/>
                <w:lang w:val="fr-FR"/>
                <w14:ligatures w14:val="standardContextual"/>
              </w:rPr>
              <w:t xml:space="preserve"> + </w:t>
            </w:r>
            <w:proofErr w:type="spellStart"/>
            <w:r>
              <w:rPr>
                <w:rFonts w:ascii="Calibri" w:eastAsia="Calibri" w:hAnsi="Calibri" w:cs="Times New Roman"/>
                <w:b/>
                <w:kern w:val="2"/>
                <w:lang w:val="fr-FR"/>
                <w14:ligatures w14:val="standardContextual"/>
              </w:rPr>
              <w:t>Hb</w:t>
            </w:r>
            <w:proofErr w:type="spellEnd"/>
            <w:r>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right w:val="nil"/>
            </w:tcBorders>
            <w:shd w:val="clear" w:color="auto" w:fill="FFFFFF"/>
          </w:tcPr>
          <w:p w14:paraId="2E844F46"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7/16</w:t>
            </w:r>
          </w:p>
        </w:tc>
        <w:tc>
          <w:tcPr>
            <w:tcW w:w="1134" w:type="dxa"/>
            <w:tcBorders>
              <w:top w:val="nil"/>
              <w:left w:val="nil"/>
              <w:bottom w:val="nil"/>
              <w:right w:val="nil"/>
            </w:tcBorders>
            <w:shd w:val="clear" w:color="auto" w:fill="FFFFFF"/>
          </w:tcPr>
          <w:p w14:paraId="24E1F18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43,8</w:t>
            </w:r>
          </w:p>
        </w:tc>
        <w:tc>
          <w:tcPr>
            <w:tcW w:w="1134" w:type="dxa"/>
            <w:tcBorders>
              <w:top w:val="nil"/>
              <w:left w:val="nil"/>
              <w:bottom w:val="nil"/>
              <w:right w:val="nil"/>
            </w:tcBorders>
            <w:shd w:val="clear" w:color="auto" w:fill="FFFFFF"/>
          </w:tcPr>
          <w:p w14:paraId="0AFC356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nil"/>
              <w:right w:val="nil"/>
            </w:tcBorders>
            <w:shd w:val="clear" w:color="auto" w:fill="FFFFFF"/>
          </w:tcPr>
          <w:p w14:paraId="089A0E2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nil"/>
            </w:tcBorders>
            <w:shd w:val="clear" w:color="auto" w:fill="FFFFFF"/>
          </w:tcPr>
          <w:p w14:paraId="191CF40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100</w:t>
            </w:r>
          </w:p>
        </w:tc>
      </w:tr>
      <w:tr w:rsidR="0023308B" w14:paraId="66A1CB9F" w14:textId="77777777">
        <w:tc>
          <w:tcPr>
            <w:tcW w:w="5529" w:type="dxa"/>
            <w:tcBorders>
              <w:top w:val="nil"/>
              <w:right w:val="single" w:sz="18" w:space="0" w:color="auto"/>
            </w:tcBorders>
          </w:tcPr>
          <w:p w14:paraId="2E3DE3C2"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CVC + atrophic liver + Hb&lt;12 g/dl</w:t>
            </w:r>
          </w:p>
        </w:tc>
        <w:tc>
          <w:tcPr>
            <w:tcW w:w="992" w:type="dxa"/>
            <w:tcBorders>
              <w:top w:val="nil"/>
              <w:left w:val="single" w:sz="18" w:space="0" w:color="auto"/>
              <w:bottom w:val="nil"/>
              <w:right w:val="nil"/>
            </w:tcBorders>
            <w:shd w:val="clear" w:color="auto" w:fill="FFFFFF"/>
          </w:tcPr>
          <w:p w14:paraId="1757660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2/16</w:t>
            </w:r>
          </w:p>
        </w:tc>
        <w:tc>
          <w:tcPr>
            <w:tcW w:w="1134" w:type="dxa"/>
            <w:tcBorders>
              <w:top w:val="nil"/>
              <w:left w:val="nil"/>
              <w:bottom w:val="nil"/>
              <w:right w:val="nil"/>
            </w:tcBorders>
            <w:shd w:val="clear" w:color="auto" w:fill="FFFFFF"/>
          </w:tcPr>
          <w:p w14:paraId="0EF1677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12,35</w:t>
            </w:r>
          </w:p>
        </w:tc>
        <w:tc>
          <w:tcPr>
            <w:tcW w:w="1134" w:type="dxa"/>
            <w:tcBorders>
              <w:top w:val="nil"/>
              <w:left w:val="nil"/>
              <w:bottom w:val="nil"/>
              <w:right w:val="nil"/>
            </w:tcBorders>
            <w:shd w:val="clear" w:color="auto" w:fill="FFFFFF"/>
          </w:tcPr>
          <w:p w14:paraId="5E1A3889"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nil"/>
              <w:right w:val="nil"/>
            </w:tcBorders>
            <w:shd w:val="clear" w:color="auto" w:fill="FFFFFF"/>
          </w:tcPr>
          <w:p w14:paraId="2EF7BB7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nil"/>
            </w:tcBorders>
            <w:shd w:val="clear" w:color="auto" w:fill="FFFFFF"/>
          </w:tcPr>
          <w:p w14:paraId="70E0441C"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100</w:t>
            </w:r>
          </w:p>
        </w:tc>
      </w:tr>
      <w:tr w:rsidR="0023308B" w14:paraId="062FC824" w14:textId="77777777">
        <w:tc>
          <w:tcPr>
            <w:tcW w:w="5529" w:type="dxa"/>
            <w:tcBorders>
              <w:top w:val="nil"/>
              <w:bottom w:val="single" w:sz="12" w:space="0" w:color="auto"/>
              <w:right w:val="single" w:sz="18" w:space="0" w:color="auto"/>
            </w:tcBorders>
          </w:tcPr>
          <w:p w14:paraId="680D90DD"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CVC + dilated portal trunk + Hb&lt;12 g/dl</w:t>
            </w:r>
          </w:p>
        </w:tc>
        <w:tc>
          <w:tcPr>
            <w:tcW w:w="992" w:type="dxa"/>
            <w:tcBorders>
              <w:top w:val="nil"/>
              <w:left w:val="single" w:sz="18" w:space="0" w:color="auto"/>
              <w:bottom w:val="single" w:sz="12" w:space="0" w:color="auto"/>
              <w:right w:val="nil"/>
            </w:tcBorders>
            <w:shd w:val="clear" w:color="auto" w:fill="FFFFFF"/>
          </w:tcPr>
          <w:p w14:paraId="6B7B6305"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3/16</w:t>
            </w:r>
          </w:p>
        </w:tc>
        <w:tc>
          <w:tcPr>
            <w:tcW w:w="1134" w:type="dxa"/>
            <w:tcBorders>
              <w:top w:val="nil"/>
              <w:left w:val="nil"/>
              <w:bottom w:val="single" w:sz="12" w:space="0" w:color="auto"/>
              <w:right w:val="nil"/>
            </w:tcBorders>
            <w:shd w:val="clear" w:color="auto" w:fill="FFFFFF"/>
          </w:tcPr>
          <w:p w14:paraId="7792B6D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18,8</w:t>
            </w:r>
          </w:p>
        </w:tc>
        <w:tc>
          <w:tcPr>
            <w:tcW w:w="1134" w:type="dxa"/>
            <w:tcBorders>
              <w:top w:val="nil"/>
              <w:left w:val="nil"/>
              <w:bottom w:val="single" w:sz="12" w:space="0" w:color="auto"/>
              <w:right w:val="nil"/>
            </w:tcBorders>
            <w:shd w:val="clear" w:color="auto" w:fill="FFFFFF"/>
          </w:tcPr>
          <w:p w14:paraId="527E4CD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single" w:sz="12" w:space="0" w:color="auto"/>
              <w:right w:val="nil"/>
            </w:tcBorders>
            <w:shd w:val="clear" w:color="auto" w:fill="FFFFFF"/>
          </w:tcPr>
          <w:p w14:paraId="5255FCF7"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0</w:t>
            </w:r>
          </w:p>
        </w:tc>
        <w:tc>
          <w:tcPr>
            <w:tcW w:w="1134" w:type="dxa"/>
            <w:tcBorders>
              <w:top w:val="nil"/>
              <w:left w:val="nil"/>
              <w:bottom w:val="single" w:sz="12" w:space="0" w:color="auto"/>
            </w:tcBorders>
            <w:shd w:val="clear" w:color="auto" w:fill="FFFFFF"/>
          </w:tcPr>
          <w:p w14:paraId="47D6600E"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100</w:t>
            </w:r>
          </w:p>
        </w:tc>
      </w:tr>
      <w:tr w:rsidR="0023308B" w14:paraId="48D5EA62" w14:textId="77777777">
        <w:tc>
          <w:tcPr>
            <w:tcW w:w="5529" w:type="dxa"/>
            <w:tcBorders>
              <w:top w:val="single" w:sz="12" w:space="0" w:color="auto"/>
              <w:right w:val="single" w:sz="18" w:space="0" w:color="auto"/>
            </w:tcBorders>
          </w:tcPr>
          <w:p w14:paraId="721DB264" w14:textId="77777777" w:rsidR="0023308B" w:rsidRPr="00524B65" w:rsidRDefault="00DF4A22">
            <w:pPr>
              <w:rPr>
                <w:rFonts w:ascii="Calibri" w:eastAsia="Calibri" w:hAnsi="Calibri" w:cs="Times New Roman"/>
                <w:b/>
                <w:kern w:val="2"/>
                <w:lang w:val="en-IN"/>
                <w14:ligatures w14:val="standardContextual"/>
              </w:rPr>
            </w:pPr>
            <w:r w:rsidRPr="00524B65">
              <w:rPr>
                <w:rFonts w:ascii="Calibri" w:eastAsia="Calibri" w:hAnsi="Calibri" w:cs="Times New Roman"/>
                <w:b/>
                <w:kern w:val="2"/>
                <w:lang w:val="en-IN"/>
                <w14:ligatures w14:val="standardContextual"/>
              </w:rPr>
              <w:t>Hepatomegaly + hétérogenous liver + Hb&lt;12 g/dl</w:t>
            </w:r>
          </w:p>
        </w:tc>
        <w:tc>
          <w:tcPr>
            <w:tcW w:w="992" w:type="dxa"/>
            <w:tcBorders>
              <w:top w:val="single" w:sz="12" w:space="0" w:color="auto"/>
              <w:left w:val="single" w:sz="18" w:space="0" w:color="auto"/>
              <w:bottom w:val="nil"/>
              <w:right w:val="single" w:sz="12" w:space="0" w:color="auto"/>
            </w:tcBorders>
            <w:shd w:val="clear" w:color="auto" w:fill="FFFFFF"/>
          </w:tcPr>
          <w:p w14:paraId="785191B2"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15/18</w:t>
            </w:r>
          </w:p>
        </w:tc>
        <w:tc>
          <w:tcPr>
            <w:tcW w:w="1134" w:type="dxa"/>
            <w:tcBorders>
              <w:top w:val="single" w:sz="12" w:space="0" w:color="auto"/>
              <w:left w:val="single" w:sz="12" w:space="0" w:color="auto"/>
              <w:bottom w:val="nil"/>
              <w:right w:val="nil"/>
            </w:tcBorders>
            <w:shd w:val="clear" w:color="auto" w:fill="FFFFFF"/>
          </w:tcPr>
          <w:p w14:paraId="6C4F651A"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83,3</w:t>
            </w:r>
          </w:p>
        </w:tc>
        <w:tc>
          <w:tcPr>
            <w:tcW w:w="1134" w:type="dxa"/>
            <w:tcBorders>
              <w:top w:val="single" w:sz="12" w:space="0" w:color="auto"/>
              <w:left w:val="nil"/>
              <w:bottom w:val="nil"/>
              <w:right w:val="nil"/>
            </w:tcBorders>
            <w:shd w:val="clear" w:color="auto" w:fill="FFFFFF"/>
          </w:tcPr>
          <w:p w14:paraId="3CE697F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8/11</w:t>
            </w:r>
          </w:p>
        </w:tc>
        <w:tc>
          <w:tcPr>
            <w:tcW w:w="1134" w:type="dxa"/>
            <w:tcBorders>
              <w:top w:val="single" w:sz="12" w:space="0" w:color="auto"/>
              <w:left w:val="nil"/>
              <w:bottom w:val="nil"/>
              <w:right w:val="nil"/>
            </w:tcBorders>
            <w:shd w:val="clear" w:color="auto" w:fill="FFFFFF"/>
          </w:tcPr>
          <w:p w14:paraId="7561EDB8"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72,7</w:t>
            </w:r>
          </w:p>
        </w:tc>
        <w:tc>
          <w:tcPr>
            <w:tcW w:w="1134" w:type="dxa"/>
            <w:tcBorders>
              <w:top w:val="single" w:sz="12" w:space="0" w:color="auto"/>
              <w:left w:val="nil"/>
              <w:bottom w:val="nil"/>
            </w:tcBorders>
            <w:shd w:val="clear" w:color="auto" w:fill="FFFFFF"/>
          </w:tcPr>
          <w:p w14:paraId="48E9B51D"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65,2</w:t>
            </w:r>
          </w:p>
        </w:tc>
      </w:tr>
      <w:tr w:rsidR="0023308B" w14:paraId="28851F67" w14:textId="77777777">
        <w:tc>
          <w:tcPr>
            <w:tcW w:w="5529" w:type="dxa"/>
            <w:tcBorders>
              <w:top w:val="nil"/>
              <w:bottom w:val="single" w:sz="12" w:space="0" w:color="auto"/>
              <w:right w:val="single" w:sz="18" w:space="0" w:color="auto"/>
            </w:tcBorders>
          </w:tcPr>
          <w:p w14:paraId="518D8B11" w14:textId="77777777" w:rsidR="0023308B" w:rsidRPr="00524B65" w:rsidRDefault="00DF4A22">
            <w:pPr>
              <w:rPr>
                <w:rFonts w:ascii="Calibri" w:eastAsia="Calibri" w:hAnsi="Calibri" w:cs="Times New Roman"/>
                <w:b/>
                <w:kern w:val="2"/>
                <w:lang w:val="en-IN"/>
                <w14:ligatures w14:val="standardContextual"/>
              </w:rPr>
            </w:pPr>
            <w:r>
              <w:rPr>
                <w:rFonts w:ascii="Calibri" w:eastAsia="Calibri" w:hAnsi="Calibri" w:cs="Times New Roman"/>
                <w:b/>
                <w:kern w:val="2"/>
                <w:lang w:val="fr-FR"/>
                <w14:ligatures w14:val="standardContextual"/>
              </w:rPr>
              <w:t xml:space="preserve"> </w:t>
            </w:r>
            <w:r w:rsidRPr="00524B65">
              <w:rPr>
                <w:rFonts w:ascii="Calibri" w:eastAsia="Calibri" w:hAnsi="Calibri" w:cs="Times New Roman"/>
                <w:b/>
                <w:kern w:val="2"/>
                <w:lang w:val="en-IN"/>
                <w14:ligatures w14:val="standardContextual"/>
              </w:rPr>
              <w:t>dilated portal trunk + Hb&lt;12 g/dl</w:t>
            </w:r>
          </w:p>
        </w:tc>
        <w:tc>
          <w:tcPr>
            <w:tcW w:w="992" w:type="dxa"/>
            <w:tcBorders>
              <w:top w:val="nil"/>
              <w:left w:val="single" w:sz="18" w:space="0" w:color="auto"/>
              <w:bottom w:val="single" w:sz="12" w:space="0" w:color="auto"/>
              <w:right w:val="nil"/>
            </w:tcBorders>
            <w:shd w:val="clear" w:color="auto" w:fill="FFFFFF"/>
          </w:tcPr>
          <w:p w14:paraId="3E1CE05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3/18</w:t>
            </w:r>
          </w:p>
        </w:tc>
        <w:tc>
          <w:tcPr>
            <w:tcW w:w="1134" w:type="dxa"/>
            <w:tcBorders>
              <w:top w:val="nil"/>
              <w:left w:val="nil"/>
              <w:bottom w:val="single" w:sz="12" w:space="0" w:color="auto"/>
              <w:right w:val="nil"/>
            </w:tcBorders>
            <w:shd w:val="clear" w:color="auto" w:fill="FFFFFF"/>
          </w:tcPr>
          <w:p w14:paraId="74D8642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16,7</w:t>
            </w:r>
          </w:p>
        </w:tc>
        <w:tc>
          <w:tcPr>
            <w:tcW w:w="1134" w:type="dxa"/>
            <w:tcBorders>
              <w:top w:val="nil"/>
              <w:left w:val="nil"/>
              <w:bottom w:val="single" w:sz="12" w:space="0" w:color="auto"/>
              <w:right w:val="nil"/>
            </w:tcBorders>
            <w:shd w:val="clear" w:color="auto" w:fill="FFFFFF"/>
          </w:tcPr>
          <w:p w14:paraId="2C86ABCB"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1/11</w:t>
            </w:r>
          </w:p>
        </w:tc>
        <w:tc>
          <w:tcPr>
            <w:tcW w:w="1134" w:type="dxa"/>
            <w:tcBorders>
              <w:top w:val="nil"/>
              <w:left w:val="nil"/>
              <w:bottom w:val="single" w:sz="12" w:space="0" w:color="auto"/>
              <w:right w:val="nil"/>
            </w:tcBorders>
            <w:shd w:val="clear" w:color="auto" w:fill="FFFFFF"/>
          </w:tcPr>
          <w:p w14:paraId="4579682F"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9,1</w:t>
            </w:r>
          </w:p>
        </w:tc>
        <w:tc>
          <w:tcPr>
            <w:tcW w:w="1134" w:type="dxa"/>
            <w:tcBorders>
              <w:top w:val="nil"/>
              <w:left w:val="nil"/>
              <w:bottom w:val="single" w:sz="12" w:space="0" w:color="auto"/>
            </w:tcBorders>
            <w:shd w:val="clear" w:color="auto" w:fill="FFFFFF"/>
          </w:tcPr>
          <w:p w14:paraId="5D9E99F4" w14:textId="77777777" w:rsidR="0023308B" w:rsidRDefault="00DF4A22">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75</w:t>
            </w:r>
          </w:p>
        </w:tc>
      </w:tr>
    </w:tbl>
    <w:p w14:paraId="16126C44" w14:textId="77777777" w:rsidR="0023308B" w:rsidRDefault="0023308B">
      <w:pPr>
        <w:rPr>
          <w:bCs/>
          <w:sz w:val="32"/>
          <w:szCs w:val="32"/>
        </w:rPr>
      </w:pPr>
    </w:p>
    <w:p w14:paraId="5BD028DF" w14:textId="77777777" w:rsidR="0023308B" w:rsidRDefault="0023308B">
      <w:pPr>
        <w:rPr>
          <w:sz w:val="32"/>
          <w:szCs w:val="32"/>
        </w:rPr>
      </w:pPr>
    </w:p>
    <w:sectPr w:rsidR="002330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D8DA" w14:textId="77777777" w:rsidR="00BF35F1" w:rsidRDefault="00BF35F1">
      <w:pPr>
        <w:spacing w:line="240" w:lineRule="auto"/>
      </w:pPr>
      <w:r>
        <w:separator/>
      </w:r>
    </w:p>
  </w:endnote>
  <w:endnote w:type="continuationSeparator" w:id="0">
    <w:p w14:paraId="5C9E6198" w14:textId="77777777" w:rsidR="00BF35F1" w:rsidRDefault="00BF3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1490" w14:textId="77777777" w:rsidR="0023308B" w:rsidRDefault="00233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74661"/>
      <w:docPartObj>
        <w:docPartGallery w:val="AutoText"/>
      </w:docPartObj>
    </w:sdtPr>
    <w:sdtContent>
      <w:p w14:paraId="6F1134E0" w14:textId="77777777" w:rsidR="0023308B" w:rsidRDefault="00DF4A22">
        <w:pPr>
          <w:pStyle w:val="Footer"/>
        </w:pPr>
        <w:r>
          <w:rPr>
            <w:noProof/>
          </w:rPr>
          <mc:AlternateContent>
            <mc:Choice Requires="wps">
              <w:drawing>
                <wp:anchor distT="0" distB="0" distL="114300" distR="114300" simplePos="0" relativeHeight="251659264" behindDoc="0" locked="0" layoutInCell="0" allowOverlap="1" wp14:anchorId="271035E8" wp14:editId="33F0D827">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39053838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ln>
                        </wps:spPr>
                        <wps:txbx>
                          <w:txbxContent>
                            <w:p w14:paraId="763A2761" w14:textId="77777777" w:rsidR="0023308B" w:rsidRDefault="00DF4A22">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anchor>
              </w:drawing>
            </mc:Choice>
            <mc:Fallback>
              <w:pict>
                <v:shapetype w14:anchorId="271035E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top-percent:70;mso-wrap-distance-left:9pt;mso-wrap-distance-top:0;mso-wrap-distance-right:9pt;mso-wrap-distance-bottom:0;mso-position-horizontal:left;mso-position-horizontal-relative:right-margin-area;mso-position-vertical-relative:bottom-margin-area;mso-top-percent:70;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" o:allowincell="f" adj="14135" strokecolor="gray" strokeweight=".25pt">
                  <v:textbox>
                    <w:txbxContent>
                      <w:p w14:paraId="763A2761" w14:textId="77777777" w:rsidR="0023308B" w:rsidRDefault="00DF4A22">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02D0" w14:textId="77777777" w:rsidR="0023308B" w:rsidRDefault="0023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90F1" w14:textId="77777777" w:rsidR="00BF35F1" w:rsidRDefault="00BF35F1">
      <w:pPr>
        <w:spacing w:after="0"/>
      </w:pPr>
      <w:r>
        <w:separator/>
      </w:r>
    </w:p>
  </w:footnote>
  <w:footnote w:type="continuationSeparator" w:id="0">
    <w:p w14:paraId="71F306C7" w14:textId="77777777" w:rsidR="00BF35F1" w:rsidRDefault="00BF35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C6A" w14:textId="77777777" w:rsidR="0023308B" w:rsidRDefault="00000000">
    <w:pPr>
      <w:pStyle w:val="Header"/>
    </w:pPr>
    <w:r>
      <w:pict w14:anchorId="2FF28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1" o:spid="_x0000_s1026"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8CB3" w14:textId="77777777" w:rsidR="0023308B" w:rsidRDefault="00000000">
    <w:pPr>
      <w:pStyle w:val="Header"/>
    </w:pPr>
    <w:r>
      <w:pict w14:anchorId="0641D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2" o:spid="_x0000_s1027"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C912" w14:textId="77777777" w:rsidR="0023308B" w:rsidRDefault="00000000">
    <w:pPr>
      <w:pStyle w:val="Header"/>
    </w:pPr>
    <w:r>
      <w:pict w14:anchorId="39A12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0" o:spid="_x0000_s102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36"/>
    <w:multiLevelType w:val="multilevel"/>
    <w:tmpl w:val="04B25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443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sjA3srA0NTY1N7BQ0lEKTi0uzszPAykwrAUAtcdK7iwAAAA="/>
  </w:docVars>
  <w:rsids>
    <w:rsidRoot w:val="003154A1"/>
    <w:rsid w:val="00004652"/>
    <w:rsid w:val="00097B42"/>
    <w:rsid w:val="000A6EAC"/>
    <w:rsid w:val="001610A8"/>
    <w:rsid w:val="00180AFB"/>
    <w:rsid w:val="00195AC2"/>
    <w:rsid w:val="001B162B"/>
    <w:rsid w:val="0023308B"/>
    <w:rsid w:val="002567C3"/>
    <w:rsid w:val="002F607E"/>
    <w:rsid w:val="003154A1"/>
    <w:rsid w:val="00356B12"/>
    <w:rsid w:val="00382DA8"/>
    <w:rsid w:val="003A19F7"/>
    <w:rsid w:val="003E5FDE"/>
    <w:rsid w:val="003F0220"/>
    <w:rsid w:val="004166A0"/>
    <w:rsid w:val="00443FDF"/>
    <w:rsid w:val="00452994"/>
    <w:rsid w:val="00481594"/>
    <w:rsid w:val="004E2A8B"/>
    <w:rsid w:val="00524B65"/>
    <w:rsid w:val="00531F75"/>
    <w:rsid w:val="00554666"/>
    <w:rsid w:val="00603161"/>
    <w:rsid w:val="0068644E"/>
    <w:rsid w:val="00702B93"/>
    <w:rsid w:val="007506F7"/>
    <w:rsid w:val="00765A92"/>
    <w:rsid w:val="007B6B0B"/>
    <w:rsid w:val="00854FF8"/>
    <w:rsid w:val="00860DD9"/>
    <w:rsid w:val="008A0102"/>
    <w:rsid w:val="008E4A32"/>
    <w:rsid w:val="009148FB"/>
    <w:rsid w:val="00996B72"/>
    <w:rsid w:val="00A21736"/>
    <w:rsid w:val="00AB3BCA"/>
    <w:rsid w:val="00B338C9"/>
    <w:rsid w:val="00BC565D"/>
    <w:rsid w:val="00BF35F1"/>
    <w:rsid w:val="00C17563"/>
    <w:rsid w:val="00C234DE"/>
    <w:rsid w:val="00C3649E"/>
    <w:rsid w:val="00CE4485"/>
    <w:rsid w:val="00D922BA"/>
    <w:rsid w:val="00D93472"/>
    <w:rsid w:val="00DF4A22"/>
    <w:rsid w:val="00E05EE5"/>
    <w:rsid w:val="00EC038D"/>
    <w:rsid w:val="00FB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9DCC"/>
  <w15:docId w15:val="{3670DB31-407E-44B7-B85A-DEDD4469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uiPriority w:val="99"/>
    <w:semiHidden/>
    <w:unhideWhenUsed/>
    <w:pPr>
      <w:spacing w:beforeAutospacing="1" w:afterAutospacing="1"/>
    </w:pPr>
    <w:rPr>
      <w:rFonts w:cs="Times New Roman"/>
      <w:sz w:val="24"/>
      <w:szCs w:val="24"/>
      <w:lang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3279</Words>
  <Characters>17840</Characters>
  <Application>Microsoft Office Word</Application>
  <DocSecurity>0</DocSecurity>
  <Lines>660</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44</cp:revision>
  <dcterms:created xsi:type="dcterms:W3CDTF">2025-10-31T13:39:00Z</dcterms:created>
  <dcterms:modified xsi:type="dcterms:W3CDTF">2025-11-17T05:08:00Z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3C72E49329C6451186F9C72FCD0AD23B_12</vt:lpwstr>
  </property>
  <property fmtid="{D5CDD505-2E9C-101B-9397-08002B2CF9AE}" pid="4" name="GrammarlyDocumentId">
    <vt:lpwstr>0030af97-7076-4388-aa5d-a36f12fe5d1b</vt:lpwstr>
  </property>
</Properties>
</file>