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76AF76" w14:textId="77777777" w:rsidR="00754C9A" w:rsidRPr="001C1BAC" w:rsidRDefault="00754C9A" w:rsidP="00441B6F">
      <w:pPr>
        <w:pStyle w:val="Title"/>
        <w:spacing w:after="0"/>
        <w:jc w:val="both"/>
        <w:rPr>
          <w:rFonts w:ascii="Arial" w:hAnsi="Arial" w:cs="Arial"/>
        </w:rPr>
      </w:pPr>
    </w:p>
    <w:p w14:paraId="6BB24D5B" w14:textId="0A3AC1E0" w:rsidR="00A258C3" w:rsidRPr="001C1BAC" w:rsidRDefault="007332CB" w:rsidP="00441B6F">
      <w:pPr>
        <w:pStyle w:val="Author"/>
        <w:spacing w:line="240" w:lineRule="auto"/>
        <w:jc w:val="both"/>
        <w:rPr>
          <w:rFonts w:ascii="Arial" w:hAnsi="Arial" w:cs="Arial"/>
          <w:bCs/>
          <w:iCs/>
          <w:kern w:val="28"/>
          <w:sz w:val="36"/>
        </w:rPr>
      </w:pPr>
      <w:r w:rsidRPr="001C1BAC">
        <w:rPr>
          <w:rFonts w:ascii="Arial" w:hAnsi="Arial" w:cs="Arial"/>
          <w:bCs/>
          <w:iCs/>
          <w:kern w:val="28"/>
          <w:sz w:val="36"/>
        </w:rPr>
        <w:t>Integrated Management of Kidney Failure: Pathophysiological Pathways, Renal-Replacement Innovations, and Paramedical Competency</w:t>
      </w:r>
      <w:r w:rsidR="00520AA2">
        <w:rPr>
          <w:rFonts w:ascii="Arial" w:hAnsi="Arial" w:cs="Arial"/>
          <w:bCs/>
          <w:iCs/>
          <w:kern w:val="28"/>
          <w:sz w:val="36"/>
        </w:rPr>
        <w:t>:</w:t>
      </w:r>
      <w:r w:rsidRPr="001C1BAC">
        <w:rPr>
          <w:rFonts w:ascii="Arial" w:hAnsi="Arial" w:cs="Arial"/>
          <w:bCs/>
          <w:iCs/>
          <w:kern w:val="28"/>
          <w:sz w:val="36"/>
        </w:rPr>
        <w:t xml:space="preserve"> A PRISMA Narrative Review</w:t>
      </w:r>
    </w:p>
    <w:p w14:paraId="6D3600EB" w14:textId="77777777" w:rsidR="00E102D1" w:rsidRDefault="00E102D1" w:rsidP="00441B6F">
      <w:pPr>
        <w:pStyle w:val="Copyright"/>
        <w:spacing w:after="0" w:line="240" w:lineRule="auto"/>
        <w:jc w:val="both"/>
        <w:rPr>
          <w:rFonts w:ascii="Arial" w:hAnsi="Arial" w:cs="Arial"/>
        </w:rPr>
      </w:pPr>
    </w:p>
    <w:p w14:paraId="1DBD34AC" w14:textId="25489983" w:rsidR="00B01FCD" w:rsidRPr="001C1BAC" w:rsidRDefault="00DD57F6" w:rsidP="00441B6F">
      <w:pPr>
        <w:pStyle w:val="Copyright"/>
        <w:spacing w:after="0" w:line="240" w:lineRule="auto"/>
        <w:jc w:val="both"/>
        <w:rPr>
          <w:rFonts w:ascii="Arial" w:hAnsi="Arial" w:cs="Arial"/>
        </w:rPr>
        <w:sectPr w:rsidR="00B01FCD" w:rsidRPr="001C1BAC" w:rsidSect="00E102D1">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sidRPr="001C1BAC">
        <w:rPr>
          <w:rFonts w:ascii="Arial" w:hAnsi="Arial" w:cs="Arial"/>
          <w:noProof/>
        </w:rPr>
        <mc:AlternateContent>
          <mc:Choice Requires="wps">
            <w:drawing>
              <wp:inline distT="0" distB="0" distL="0" distR="0" wp14:anchorId="51635F2F" wp14:editId="7AC27D64">
                <wp:extent cx="5303520" cy="635"/>
                <wp:effectExtent l="11430" t="17780" r="9525" b="10795"/>
                <wp:docPr id="162268594"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71F3AABA"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sidRPr="001C1BAC">
        <w:rPr>
          <w:rFonts w:ascii="Arial" w:hAnsi="Arial" w:cs="Arial"/>
        </w:rPr>
        <w:t>.</w:t>
      </w:r>
    </w:p>
    <w:p w14:paraId="7E9A5F75" w14:textId="3D749F44" w:rsidR="00B01FCD" w:rsidRPr="001C1BAC" w:rsidRDefault="00B01FCD" w:rsidP="007332CB">
      <w:pPr>
        <w:pStyle w:val="AbstHead"/>
        <w:spacing w:after="0"/>
        <w:jc w:val="both"/>
        <w:rPr>
          <w:rFonts w:ascii="Arial" w:hAnsi="Arial" w:cs="Arial"/>
        </w:rPr>
      </w:pPr>
      <w:r w:rsidRPr="001C1BAC">
        <w:rPr>
          <w:rFonts w:ascii="Arial" w:hAnsi="Arial" w:cs="Arial"/>
        </w:rPr>
        <w:t>ABSTRACT</w:t>
      </w:r>
      <w:r w:rsidR="0066510A" w:rsidRPr="001C1BAC">
        <w:rPr>
          <w:rFonts w:ascii="Arial" w:hAnsi="Arial" w:cs="Arial"/>
        </w:rPr>
        <w:t xml:space="preserve"> </w:t>
      </w:r>
    </w:p>
    <w:p w14:paraId="034CF575" w14:textId="77777777" w:rsidR="00790ADA" w:rsidRPr="001C1BAC"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C1BAC" w14:paraId="5F240163" w14:textId="77777777" w:rsidTr="001E44FE">
        <w:tc>
          <w:tcPr>
            <w:tcW w:w="9576" w:type="dxa"/>
            <w:shd w:val="clear" w:color="auto" w:fill="F2F2F2"/>
          </w:tcPr>
          <w:p w14:paraId="5FC71C6E" w14:textId="77777777" w:rsidR="007332CB" w:rsidRPr="001C1BAC" w:rsidRDefault="007332CB" w:rsidP="007332CB">
            <w:pPr>
              <w:pStyle w:val="Body"/>
              <w:spacing w:after="0"/>
              <w:rPr>
                <w:rFonts w:ascii="Arial" w:eastAsia="Calibri" w:hAnsi="Arial" w:cs="Arial"/>
                <w:szCs w:val="22"/>
              </w:rPr>
            </w:pPr>
            <w:r w:rsidRPr="001C1BAC">
              <w:rPr>
                <w:rFonts w:ascii="Arial" w:eastAsia="Calibri" w:hAnsi="Arial" w:cs="Arial"/>
                <w:b/>
                <w:bCs/>
                <w:szCs w:val="22"/>
              </w:rPr>
              <w:t>Background and hypothesis.</w:t>
            </w:r>
          </w:p>
          <w:p w14:paraId="749A9F2B" w14:textId="2BD0C378" w:rsidR="007332CB" w:rsidRDefault="007332CB" w:rsidP="007332CB">
            <w:pPr>
              <w:pStyle w:val="Body"/>
              <w:spacing w:after="0"/>
              <w:rPr>
                <w:rFonts w:ascii="Arial" w:eastAsia="Calibri" w:hAnsi="Arial" w:cs="Arial"/>
                <w:szCs w:val="22"/>
              </w:rPr>
            </w:pPr>
            <w:r w:rsidRPr="001C1BAC">
              <w:rPr>
                <w:rFonts w:ascii="Arial" w:eastAsia="Calibri" w:hAnsi="Arial" w:cs="Arial"/>
                <w:szCs w:val="22"/>
              </w:rPr>
              <w:t>Chronic kidney disease (CKD) and acute kidney injury (AKI) share a pathobiological cascade—hyperfiltration, inflammation, oxidative stress, and fibrosis—that accelerates nephron loss and amplifies cardiovascular risk. Renal</w:t>
            </w:r>
            <w:r w:rsidRPr="001C1BAC">
              <w:rPr>
                <w:rFonts w:ascii="Arial" w:eastAsia="Calibri" w:hAnsi="Arial" w:cs="Arial"/>
                <w:szCs w:val="22"/>
              </w:rPr>
              <w:noBreakHyphen/>
              <w:t>replacement innovations (e.g., high</w:t>
            </w:r>
            <w:r w:rsidRPr="001C1BAC">
              <w:rPr>
                <w:rFonts w:ascii="Arial" w:eastAsia="Calibri" w:hAnsi="Arial" w:cs="Arial"/>
                <w:szCs w:val="22"/>
              </w:rPr>
              <w:noBreakHyphen/>
              <w:t>volume online hemodiafiltration, ol</w:t>
            </w:r>
            <w:r w:rsidRPr="001C1BAC">
              <w:rPr>
                <w:rFonts w:ascii="Arial" w:eastAsia="Calibri" w:hAnsi="Arial" w:cs="Arial"/>
                <w:szCs w:val="22"/>
              </w:rPr>
              <w:noBreakHyphen/>
              <w:t>HDF) and workforce interventions (</w:t>
            </w:r>
            <w:r w:rsidR="00380723" w:rsidRPr="006E6DEF">
              <w:rPr>
                <w:rFonts w:ascii="Arial" w:eastAsia="Calibri" w:hAnsi="Arial" w:cs="Arial"/>
                <w:szCs w:val="22"/>
                <w:highlight w:val="yellow"/>
              </w:rPr>
              <w:t>simulation-enhanced</w:t>
            </w:r>
            <w:r w:rsidRPr="001C1BAC">
              <w:rPr>
                <w:rFonts w:ascii="Arial" w:eastAsia="Calibri" w:hAnsi="Arial" w:cs="Arial"/>
                <w:szCs w:val="22"/>
              </w:rPr>
              <w:t xml:space="preserve"> training) are proposed levers to improve outcomes, but their effectiveness depends on infrastructure and process fidelity. Hypothesis: In adults with advanced CKD/</w:t>
            </w:r>
            <w:r w:rsidR="00380723" w:rsidRPr="006E6DEF">
              <w:rPr>
                <w:rFonts w:ascii="Arial" w:eastAsia="Calibri" w:hAnsi="Arial" w:cs="Arial"/>
                <w:szCs w:val="22"/>
                <w:highlight w:val="yellow"/>
              </w:rPr>
              <w:t>end-stage</w:t>
            </w:r>
            <w:r w:rsidRPr="006E6DEF">
              <w:rPr>
                <w:rFonts w:ascii="Arial" w:eastAsia="Calibri" w:hAnsi="Arial" w:cs="Arial"/>
                <w:szCs w:val="22"/>
                <w:highlight w:val="yellow"/>
              </w:rPr>
              <w:t xml:space="preserve"> </w:t>
            </w:r>
            <w:r w:rsidRPr="001C1BAC">
              <w:rPr>
                <w:rFonts w:ascii="Arial" w:eastAsia="Calibri" w:hAnsi="Arial" w:cs="Arial"/>
                <w:szCs w:val="22"/>
              </w:rPr>
              <w:t>kidney disease, programs that deliver high</w:t>
            </w:r>
            <w:r w:rsidRPr="001C1BAC">
              <w:rPr>
                <w:rFonts w:ascii="Arial" w:eastAsia="Calibri" w:hAnsi="Arial" w:cs="Arial"/>
                <w:szCs w:val="22"/>
              </w:rPr>
              <w:noBreakHyphen/>
              <w:t xml:space="preserve">volume </w:t>
            </w:r>
            <w:r w:rsidR="00380723" w:rsidRPr="006E6DEF">
              <w:rPr>
                <w:rFonts w:ascii="Arial" w:eastAsia="Calibri" w:hAnsi="Arial" w:cs="Arial"/>
                <w:szCs w:val="22"/>
                <w:highlight w:val="yellow"/>
              </w:rPr>
              <w:t>of</w:t>
            </w:r>
            <w:r w:rsidRPr="001C1BAC">
              <w:rPr>
                <w:rFonts w:ascii="Arial" w:eastAsia="Calibri" w:hAnsi="Arial" w:cs="Arial"/>
                <w:szCs w:val="22"/>
              </w:rPr>
              <w:noBreakHyphen/>
              <w:t>HDF (</w:t>
            </w:r>
            <w:r w:rsidR="00380723" w:rsidRPr="006E6DEF">
              <w:rPr>
                <w:rFonts w:ascii="Arial" w:eastAsia="Calibri" w:hAnsi="Arial" w:cs="Arial"/>
                <w:szCs w:val="22"/>
                <w:highlight w:val="yellow"/>
              </w:rPr>
              <w:t>post-dilution</w:t>
            </w:r>
            <w:r w:rsidRPr="006E6DEF">
              <w:rPr>
                <w:rFonts w:ascii="Arial" w:eastAsia="Calibri" w:hAnsi="Arial" w:cs="Arial"/>
                <w:szCs w:val="22"/>
                <w:highlight w:val="yellow"/>
              </w:rPr>
              <w:t xml:space="preserve"> </w:t>
            </w:r>
            <w:r w:rsidRPr="001C1BAC">
              <w:rPr>
                <w:rFonts w:ascii="Arial" w:eastAsia="Calibri" w:hAnsi="Arial" w:cs="Arial"/>
                <w:szCs w:val="22"/>
              </w:rPr>
              <w:t xml:space="preserve">convective volume ≥20 L/session) together with </w:t>
            </w:r>
            <w:r w:rsidR="00380723" w:rsidRPr="006E6DEF">
              <w:rPr>
                <w:rFonts w:ascii="Arial" w:eastAsia="Calibri" w:hAnsi="Arial" w:cs="Arial"/>
                <w:szCs w:val="22"/>
                <w:highlight w:val="yellow"/>
              </w:rPr>
              <w:t>standardised</w:t>
            </w:r>
            <w:r w:rsidRPr="001C1BAC">
              <w:rPr>
                <w:rFonts w:ascii="Arial" w:eastAsia="Calibri" w:hAnsi="Arial" w:cs="Arial"/>
                <w:szCs w:val="22"/>
              </w:rPr>
              <w:t xml:space="preserve">, </w:t>
            </w:r>
            <w:r w:rsidR="00380723" w:rsidRPr="006E6DEF">
              <w:rPr>
                <w:rFonts w:ascii="Arial" w:eastAsia="Calibri" w:hAnsi="Arial" w:cs="Arial"/>
                <w:szCs w:val="22"/>
                <w:highlight w:val="yellow"/>
              </w:rPr>
              <w:t>simulation-based</w:t>
            </w:r>
            <w:r w:rsidRPr="006E6DEF">
              <w:rPr>
                <w:rFonts w:ascii="Arial" w:eastAsia="Calibri" w:hAnsi="Arial" w:cs="Arial"/>
                <w:szCs w:val="22"/>
                <w:highlight w:val="yellow"/>
              </w:rPr>
              <w:t xml:space="preserve"> </w:t>
            </w:r>
            <w:r w:rsidRPr="001C1BAC">
              <w:rPr>
                <w:rFonts w:ascii="Arial" w:eastAsia="Calibri" w:hAnsi="Arial" w:cs="Arial"/>
                <w:szCs w:val="22"/>
              </w:rPr>
              <w:t xml:space="preserve">paramedical training will achieve ≥15% relative reduction in cardiovascular mortality and ≥25% reduction in </w:t>
            </w:r>
            <w:r w:rsidR="00380723" w:rsidRPr="006E6DEF">
              <w:rPr>
                <w:rFonts w:ascii="Arial" w:eastAsia="Calibri" w:hAnsi="Arial" w:cs="Arial"/>
                <w:szCs w:val="22"/>
                <w:highlight w:val="yellow"/>
              </w:rPr>
              <w:t>dialysis-related</w:t>
            </w:r>
            <w:r w:rsidRPr="001C1BAC">
              <w:rPr>
                <w:rFonts w:ascii="Arial" w:eastAsia="Calibri" w:hAnsi="Arial" w:cs="Arial"/>
                <w:szCs w:val="22"/>
              </w:rPr>
              <w:t xml:space="preserve"> incidents versus </w:t>
            </w:r>
            <w:r w:rsidR="00380723" w:rsidRPr="006E6DEF">
              <w:rPr>
                <w:rFonts w:ascii="Arial" w:eastAsia="Calibri" w:hAnsi="Arial" w:cs="Arial"/>
                <w:szCs w:val="22"/>
                <w:highlight w:val="yellow"/>
              </w:rPr>
              <w:t>high-flux</w:t>
            </w:r>
            <w:r w:rsidRPr="001C1BAC">
              <w:rPr>
                <w:rFonts w:ascii="Arial" w:eastAsia="Calibri" w:hAnsi="Arial" w:cs="Arial"/>
                <w:szCs w:val="22"/>
              </w:rPr>
              <w:t xml:space="preserve"> hemodialysis without such training.</w:t>
            </w:r>
          </w:p>
          <w:p w14:paraId="2E5A26E2" w14:textId="02E7950F" w:rsidR="0001295C" w:rsidRPr="001C1BAC" w:rsidRDefault="0001295C" w:rsidP="007332CB">
            <w:pPr>
              <w:pStyle w:val="Body"/>
              <w:spacing w:after="0"/>
              <w:rPr>
                <w:rFonts w:ascii="Arial" w:eastAsia="Calibri" w:hAnsi="Arial" w:cs="Arial"/>
                <w:szCs w:val="22"/>
              </w:rPr>
            </w:pPr>
            <w:r w:rsidRPr="0001295C">
              <w:rPr>
                <w:rFonts w:ascii="Arial" w:eastAsia="Calibri" w:hAnsi="Arial" w:cs="Arial"/>
                <w:b/>
                <w:bCs/>
                <w:szCs w:val="22"/>
              </w:rPr>
              <w:t>Aim</w:t>
            </w:r>
            <w:r>
              <w:rPr>
                <w:rFonts w:ascii="Arial" w:eastAsia="Calibri" w:hAnsi="Arial" w:cs="Arial"/>
                <w:szCs w:val="22"/>
              </w:rPr>
              <w:t xml:space="preserve">: </w:t>
            </w:r>
            <w:r>
              <w:rPr>
                <w:rFonts w:ascii="Arial" w:eastAsia="Calibri" w:hAnsi="Arial" w:cs="Arial"/>
                <w:szCs w:val="22"/>
                <w:highlight w:val="yellow"/>
              </w:rPr>
              <w:t>The</w:t>
            </w:r>
            <w:r w:rsidRPr="006E6DEF">
              <w:rPr>
                <w:rFonts w:ascii="Arial" w:eastAsia="Calibri" w:hAnsi="Arial" w:cs="Arial"/>
                <w:szCs w:val="22"/>
                <w:highlight w:val="yellow"/>
              </w:rPr>
              <w:t xml:space="preserve"> </w:t>
            </w:r>
            <w:r>
              <w:rPr>
                <w:rFonts w:ascii="Arial" w:eastAsia="Calibri" w:hAnsi="Arial" w:cs="Arial"/>
                <w:szCs w:val="22"/>
                <w:highlight w:val="yellow"/>
              </w:rPr>
              <w:t>review</w:t>
            </w:r>
            <w:r w:rsidRPr="006E6DEF">
              <w:rPr>
                <w:rFonts w:ascii="Arial" w:eastAsia="Calibri" w:hAnsi="Arial" w:cs="Arial"/>
                <w:szCs w:val="22"/>
                <w:highlight w:val="yellow"/>
              </w:rPr>
              <w:t xml:space="preserve"> aims to explore</w:t>
            </w:r>
            <w:r>
              <w:rPr>
                <w:rFonts w:ascii="Arial" w:eastAsia="Calibri" w:hAnsi="Arial" w:cs="Arial"/>
                <w:szCs w:val="22"/>
                <w:highlight w:val="yellow"/>
              </w:rPr>
              <w:t xml:space="preserve"> </w:t>
            </w:r>
            <w:r w:rsidRPr="006E6DEF">
              <w:rPr>
                <w:rFonts w:ascii="Arial" w:eastAsia="Calibri" w:hAnsi="Arial" w:cs="Arial"/>
                <w:szCs w:val="22"/>
                <w:highlight w:val="yellow"/>
              </w:rPr>
              <w:t>pathophysiological pathways, renal-replacement innovations, and paramedical competency for integrated management of kidney failure.</w:t>
            </w:r>
            <w:r>
              <w:rPr>
                <w:rFonts w:ascii="Arial" w:eastAsia="Calibri" w:hAnsi="Arial" w:cs="Arial"/>
                <w:szCs w:val="22"/>
              </w:rPr>
              <w:t xml:space="preserve"> </w:t>
            </w:r>
          </w:p>
          <w:p w14:paraId="6AD93472" w14:textId="6E3E76DE" w:rsidR="007332CB" w:rsidRPr="001C1BAC" w:rsidRDefault="007332CB" w:rsidP="007332CB">
            <w:pPr>
              <w:pStyle w:val="Body"/>
              <w:spacing w:after="0"/>
              <w:rPr>
                <w:rFonts w:ascii="Arial" w:eastAsia="Calibri" w:hAnsi="Arial" w:cs="Arial"/>
                <w:szCs w:val="22"/>
              </w:rPr>
            </w:pPr>
            <w:r w:rsidRPr="001C1BAC">
              <w:rPr>
                <w:rFonts w:ascii="Arial" w:eastAsia="Calibri" w:hAnsi="Arial" w:cs="Arial"/>
                <w:b/>
                <w:bCs/>
                <w:szCs w:val="22"/>
              </w:rPr>
              <w:t>Methods.</w:t>
            </w:r>
            <w:r w:rsidRPr="001C1BAC">
              <w:rPr>
                <w:rFonts w:ascii="Arial" w:eastAsia="Calibri" w:hAnsi="Arial" w:cs="Arial"/>
                <w:szCs w:val="22"/>
              </w:rPr>
              <w:br/>
              <w:t xml:space="preserve">We conducted a </w:t>
            </w:r>
            <w:r w:rsidR="00380723" w:rsidRPr="006E6DEF">
              <w:rPr>
                <w:rFonts w:ascii="Arial" w:eastAsia="Calibri" w:hAnsi="Arial" w:cs="Arial"/>
                <w:szCs w:val="22"/>
                <w:highlight w:val="yellow"/>
              </w:rPr>
              <w:t>PRISMA-guided</w:t>
            </w:r>
            <w:r w:rsidRPr="006E6DEF">
              <w:rPr>
                <w:rFonts w:ascii="Arial" w:eastAsia="Calibri" w:hAnsi="Arial" w:cs="Arial"/>
                <w:szCs w:val="22"/>
                <w:highlight w:val="yellow"/>
              </w:rPr>
              <w:t xml:space="preserve"> </w:t>
            </w:r>
            <w:r w:rsidRPr="001C1BAC">
              <w:rPr>
                <w:rFonts w:ascii="Arial" w:eastAsia="Calibri" w:hAnsi="Arial" w:cs="Arial"/>
                <w:szCs w:val="22"/>
              </w:rPr>
              <w:t xml:space="preserve">narrative review of a </w:t>
            </w:r>
            <w:r w:rsidR="00380723" w:rsidRPr="006E6DEF">
              <w:rPr>
                <w:rFonts w:ascii="Arial" w:eastAsia="Calibri" w:hAnsi="Arial" w:cs="Arial"/>
                <w:szCs w:val="22"/>
                <w:highlight w:val="yellow"/>
              </w:rPr>
              <w:t>pre-compiled</w:t>
            </w:r>
            <w:r w:rsidRPr="006E6DEF">
              <w:rPr>
                <w:rFonts w:ascii="Arial" w:eastAsia="Calibri" w:hAnsi="Arial" w:cs="Arial"/>
                <w:szCs w:val="22"/>
                <w:highlight w:val="yellow"/>
              </w:rPr>
              <w:t xml:space="preserve"> </w:t>
            </w:r>
            <w:r w:rsidRPr="001C1BAC">
              <w:rPr>
                <w:rFonts w:ascii="Arial" w:eastAsia="Calibri" w:hAnsi="Arial" w:cs="Arial"/>
                <w:szCs w:val="22"/>
              </w:rPr>
              <w:t xml:space="preserve">doctoral corpus (2022–March 2024). Records were </w:t>
            </w:r>
            <w:r w:rsidR="00380723" w:rsidRPr="006E6DEF">
              <w:rPr>
                <w:rFonts w:ascii="Arial" w:eastAsia="Calibri" w:hAnsi="Arial" w:cs="Arial"/>
                <w:szCs w:val="22"/>
                <w:highlight w:val="yellow"/>
              </w:rPr>
              <w:t>de-duplicated</w:t>
            </w:r>
            <w:r w:rsidRPr="001C1BAC">
              <w:rPr>
                <w:rFonts w:ascii="Arial" w:eastAsia="Calibri" w:hAnsi="Arial" w:cs="Arial"/>
                <w:szCs w:val="22"/>
              </w:rPr>
              <w:t xml:space="preserve">, </w:t>
            </w:r>
            <w:r w:rsidR="00380723" w:rsidRPr="006E6DEF">
              <w:rPr>
                <w:rFonts w:ascii="Arial" w:eastAsia="Calibri" w:hAnsi="Arial" w:cs="Arial"/>
                <w:szCs w:val="22"/>
                <w:highlight w:val="yellow"/>
              </w:rPr>
              <w:t>dual-screened</w:t>
            </w:r>
            <w:r w:rsidRPr="006E6DEF">
              <w:rPr>
                <w:rFonts w:ascii="Arial" w:eastAsia="Calibri" w:hAnsi="Arial" w:cs="Arial"/>
                <w:szCs w:val="22"/>
                <w:highlight w:val="yellow"/>
              </w:rPr>
              <w:t xml:space="preserve"> </w:t>
            </w:r>
            <w:r w:rsidRPr="001C1BAC">
              <w:rPr>
                <w:rFonts w:ascii="Arial" w:eastAsia="Calibri" w:hAnsi="Arial" w:cs="Arial"/>
                <w:szCs w:val="22"/>
              </w:rPr>
              <w:t xml:space="preserve">(titles/abstracts, then full text), and included if they addressed pathophysiology/biomarkers, extracorporeal technologies, or paramedical training/quality. Data were extracted in duplicate using a piloted form; </w:t>
            </w:r>
            <w:r w:rsidR="00380723" w:rsidRPr="006E6DEF">
              <w:rPr>
                <w:rFonts w:ascii="Arial" w:eastAsia="Calibri" w:hAnsi="Arial" w:cs="Arial"/>
                <w:szCs w:val="22"/>
                <w:highlight w:val="yellow"/>
              </w:rPr>
              <w:t>study-level</w:t>
            </w:r>
            <w:r w:rsidRPr="006E6DEF">
              <w:rPr>
                <w:rFonts w:ascii="Arial" w:eastAsia="Calibri" w:hAnsi="Arial" w:cs="Arial"/>
                <w:szCs w:val="22"/>
                <w:highlight w:val="yellow"/>
              </w:rPr>
              <w:t xml:space="preserve"> </w:t>
            </w:r>
            <w:r w:rsidRPr="001C1BAC">
              <w:rPr>
                <w:rFonts w:ascii="Arial" w:eastAsia="Calibri" w:hAnsi="Arial" w:cs="Arial"/>
                <w:szCs w:val="22"/>
              </w:rPr>
              <w:t>appraisal used RoB 2/ROBINS</w:t>
            </w:r>
            <w:r w:rsidRPr="001C1BAC">
              <w:rPr>
                <w:rFonts w:ascii="Arial" w:eastAsia="Calibri" w:hAnsi="Arial" w:cs="Arial"/>
                <w:szCs w:val="22"/>
              </w:rPr>
              <w:noBreakHyphen/>
              <w:t>I/STROBE/CONSORT/AMSTAR</w:t>
            </w:r>
            <w:r w:rsidRPr="001C1BAC">
              <w:rPr>
                <w:rFonts w:ascii="Arial" w:eastAsia="Calibri" w:hAnsi="Arial" w:cs="Arial"/>
                <w:szCs w:val="22"/>
              </w:rPr>
              <w:noBreakHyphen/>
              <w:t xml:space="preserve">2 as appropriate. Given heterogeneity, we performed thematic (inductive–deductive) synthesis rather than </w:t>
            </w:r>
            <w:r w:rsidR="00380723">
              <w:rPr>
                <w:rFonts w:ascii="Arial" w:eastAsia="Calibri" w:hAnsi="Arial" w:cs="Arial"/>
                <w:szCs w:val="22"/>
              </w:rPr>
              <w:t>meta-</w:t>
            </w:r>
            <w:r w:rsidR="00380723" w:rsidRPr="006E6DEF">
              <w:rPr>
                <w:rFonts w:ascii="Arial" w:eastAsia="Calibri" w:hAnsi="Arial" w:cs="Arial"/>
                <w:szCs w:val="22"/>
                <w:highlight w:val="yellow"/>
              </w:rPr>
              <w:t>analysis</w:t>
            </w:r>
            <w:r w:rsidRPr="001C1BAC">
              <w:rPr>
                <w:rFonts w:ascii="Arial" w:eastAsia="Calibri" w:hAnsi="Arial" w:cs="Arial"/>
                <w:szCs w:val="22"/>
              </w:rPr>
              <w:t>.</w:t>
            </w:r>
          </w:p>
          <w:p w14:paraId="29BDF51F" w14:textId="0A101487" w:rsidR="007332CB" w:rsidRPr="001C1BAC" w:rsidRDefault="007332CB" w:rsidP="007332CB">
            <w:pPr>
              <w:pStyle w:val="Body"/>
              <w:spacing w:after="0"/>
              <w:rPr>
                <w:rFonts w:ascii="Arial" w:eastAsia="Calibri" w:hAnsi="Arial" w:cs="Arial"/>
                <w:szCs w:val="22"/>
              </w:rPr>
            </w:pPr>
            <w:r w:rsidRPr="001C1BAC">
              <w:rPr>
                <w:rFonts w:ascii="Arial" w:eastAsia="Calibri" w:hAnsi="Arial" w:cs="Arial"/>
                <w:b/>
                <w:bCs/>
                <w:szCs w:val="22"/>
              </w:rPr>
              <w:t>Results.</w:t>
            </w:r>
            <w:r w:rsidRPr="001C1BAC">
              <w:rPr>
                <w:rFonts w:ascii="Arial" w:eastAsia="Calibri" w:hAnsi="Arial" w:cs="Arial"/>
                <w:szCs w:val="22"/>
              </w:rPr>
              <w:br/>
              <w:t>From 230 records, 28 duplicates were removed; 202 were screened</w:t>
            </w:r>
            <w:r w:rsidR="00380723">
              <w:rPr>
                <w:rFonts w:ascii="Arial" w:eastAsia="Calibri" w:hAnsi="Arial" w:cs="Arial"/>
                <w:szCs w:val="22"/>
              </w:rPr>
              <w:t>,</w:t>
            </w:r>
            <w:r w:rsidRPr="001C1BAC">
              <w:rPr>
                <w:rFonts w:ascii="Arial" w:eastAsia="Calibri" w:hAnsi="Arial" w:cs="Arial"/>
                <w:szCs w:val="22"/>
              </w:rPr>
              <w:t xml:space="preserve"> and 172 included. Evidence converged on a hyperfiltration→inflammation/oxidative stress→fibrosis pathway driving CKD progression; albuminuria, β</w:t>
            </w:r>
            <w:r w:rsidRPr="001C1BAC">
              <w:rPr>
                <w:rFonts w:ascii="Cambria Math" w:eastAsia="Calibri" w:hAnsi="Cambria Math" w:cs="Cambria Math"/>
                <w:szCs w:val="22"/>
              </w:rPr>
              <w:t>₂</w:t>
            </w:r>
            <w:r w:rsidRPr="001C1BAC">
              <w:rPr>
                <w:rFonts w:ascii="Arial" w:eastAsia="Calibri" w:hAnsi="Arial" w:cs="Arial"/>
                <w:szCs w:val="22"/>
              </w:rPr>
              <w:noBreakHyphen/>
              <w:t>microglobulin, and inflammatory cytokines were consistent risk markers. High</w:t>
            </w:r>
            <w:r w:rsidRPr="001C1BAC">
              <w:rPr>
                <w:rFonts w:ascii="Arial" w:eastAsia="Calibri" w:hAnsi="Arial" w:cs="Arial"/>
                <w:szCs w:val="22"/>
              </w:rPr>
              <w:noBreakHyphen/>
              <w:t>volume ol</w:t>
            </w:r>
            <w:r w:rsidRPr="001C1BAC">
              <w:rPr>
                <w:rFonts w:ascii="Arial" w:eastAsia="Calibri" w:hAnsi="Arial" w:cs="Arial"/>
                <w:szCs w:val="22"/>
              </w:rPr>
              <w:noBreakHyphen/>
              <w:t>HDF improved middle</w:t>
            </w:r>
            <w:r w:rsidRPr="001C1BAC">
              <w:rPr>
                <w:rFonts w:ascii="Arial" w:eastAsia="Calibri" w:hAnsi="Arial" w:cs="Arial"/>
                <w:szCs w:val="22"/>
              </w:rPr>
              <w:noBreakHyphen/>
              <w:t>molecule removal and was associated with 10–17% lower cardiovascular mortality versus high</w:t>
            </w:r>
            <w:r w:rsidRPr="001C1BAC">
              <w:rPr>
                <w:rFonts w:ascii="Arial" w:eastAsia="Calibri" w:hAnsi="Arial" w:cs="Arial"/>
                <w:szCs w:val="22"/>
              </w:rPr>
              <w:noBreakHyphen/>
              <w:t xml:space="preserve">flux hemodialysis in several trials/registries, though some </w:t>
            </w:r>
            <w:r w:rsidR="00380723" w:rsidRPr="006E6DEF">
              <w:rPr>
                <w:rFonts w:ascii="Arial" w:eastAsia="Calibri" w:hAnsi="Arial" w:cs="Arial"/>
                <w:szCs w:val="22"/>
                <w:highlight w:val="yellow"/>
              </w:rPr>
              <w:t xml:space="preserve">randomised </w:t>
            </w:r>
            <w:r w:rsidRPr="001C1BAC">
              <w:rPr>
                <w:rFonts w:ascii="Arial" w:eastAsia="Calibri" w:hAnsi="Arial" w:cs="Arial"/>
                <w:szCs w:val="22"/>
              </w:rPr>
              <w:t>studies were underpowered. Hybrid ICU modalities (SLED/SLED</w:t>
            </w:r>
            <w:r w:rsidRPr="001C1BAC">
              <w:rPr>
                <w:rFonts w:ascii="Arial" w:eastAsia="Calibri" w:hAnsi="Arial" w:cs="Arial"/>
                <w:szCs w:val="22"/>
              </w:rPr>
              <w:noBreakHyphen/>
              <w:t xml:space="preserve">f) were generally </w:t>
            </w:r>
            <w:r w:rsidR="00380723" w:rsidRPr="006E6DEF">
              <w:rPr>
                <w:rFonts w:ascii="Arial" w:eastAsia="Calibri" w:hAnsi="Arial" w:cs="Arial"/>
                <w:szCs w:val="22"/>
                <w:highlight w:val="yellow"/>
              </w:rPr>
              <w:t>non-inferior</w:t>
            </w:r>
            <w:r w:rsidRPr="006E6DEF">
              <w:rPr>
                <w:rFonts w:ascii="Arial" w:eastAsia="Calibri" w:hAnsi="Arial" w:cs="Arial"/>
                <w:szCs w:val="22"/>
                <w:highlight w:val="yellow"/>
              </w:rPr>
              <w:t xml:space="preserve"> </w:t>
            </w:r>
            <w:r w:rsidRPr="001C1BAC">
              <w:rPr>
                <w:rFonts w:ascii="Arial" w:eastAsia="Calibri" w:hAnsi="Arial" w:cs="Arial"/>
                <w:szCs w:val="22"/>
              </w:rPr>
              <w:t xml:space="preserve">to continuous RRT for survival with logistical advantages. Synthetic </w:t>
            </w:r>
            <w:r w:rsidR="00380723" w:rsidRPr="006E6DEF">
              <w:rPr>
                <w:rFonts w:ascii="Arial" w:eastAsia="Calibri" w:hAnsi="Arial" w:cs="Arial"/>
                <w:szCs w:val="22"/>
                <w:highlight w:val="yellow"/>
              </w:rPr>
              <w:t>high-flux</w:t>
            </w:r>
            <w:r w:rsidRPr="001C1BAC">
              <w:rPr>
                <w:rFonts w:ascii="Arial" w:eastAsia="Calibri" w:hAnsi="Arial" w:cs="Arial"/>
                <w:szCs w:val="22"/>
              </w:rPr>
              <w:t xml:space="preserve"> membranes (polysulfone/polyethersulfone) reduced complement activation versus cellulose. Continuing</w:t>
            </w:r>
            <w:r w:rsidRPr="001C1BAC">
              <w:rPr>
                <w:rFonts w:ascii="Arial" w:eastAsia="Calibri" w:hAnsi="Arial" w:cs="Arial"/>
                <w:szCs w:val="22"/>
              </w:rPr>
              <w:noBreakHyphen/>
              <w:t>education programs that applied adult</w:t>
            </w:r>
            <w:r w:rsidRPr="001C1BAC">
              <w:rPr>
                <w:rFonts w:ascii="Arial" w:eastAsia="Calibri" w:hAnsi="Arial" w:cs="Arial"/>
                <w:szCs w:val="22"/>
              </w:rPr>
              <w:noBreakHyphen/>
              <w:t>learning principles and high</w:t>
            </w:r>
            <w:r w:rsidRPr="001C1BAC">
              <w:rPr>
                <w:rFonts w:ascii="Arial" w:eastAsia="Calibri" w:hAnsi="Arial" w:cs="Arial"/>
                <w:szCs w:val="22"/>
              </w:rPr>
              <w:noBreakHyphen/>
              <w:t xml:space="preserve">fidelity simulation reduced </w:t>
            </w:r>
            <w:r w:rsidR="00380723" w:rsidRPr="006E6DEF">
              <w:rPr>
                <w:rFonts w:ascii="Arial" w:eastAsia="Calibri" w:hAnsi="Arial" w:cs="Arial"/>
                <w:szCs w:val="22"/>
                <w:highlight w:val="yellow"/>
              </w:rPr>
              <w:t>dialysis-related</w:t>
            </w:r>
            <w:r w:rsidRPr="006E6DEF">
              <w:rPr>
                <w:rFonts w:ascii="Arial" w:eastAsia="Calibri" w:hAnsi="Arial" w:cs="Arial"/>
                <w:szCs w:val="22"/>
                <w:highlight w:val="yellow"/>
              </w:rPr>
              <w:t xml:space="preserve"> </w:t>
            </w:r>
            <w:r w:rsidRPr="001C1BAC">
              <w:rPr>
                <w:rFonts w:ascii="Arial" w:eastAsia="Calibri" w:hAnsi="Arial" w:cs="Arial"/>
                <w:szCs w:val="22"/>
              </w:rPr>
              <w:t>incidents by ~20–30% and improved maintenance and alarm</w:t>
            </w:r>
            <w:r w:rsidRPr="001C1BAC">
              <w:rPr>
                <w:rFonts w:ascii="Arial" w:eastAsia="Calibri" w:hAnsi="Arial" w:cs="Arial"/>
                <w:szCs w:val="22"/>
              </w:rPr>
              <w:noBreakHyphen/>
              <w:t>response practices.</w:t>
            </w:r>
          </w:p>
          <w:p w14:paraId="77717BE7" w14:textId="531342C1" w:rsidR="007332CB" w:rsidRPr="001C1BAC" w:rsidRDefault="007332CB" w:rsidP="007332CB">
            <w:pPr>
              <w:pStyle w:val="Body"/>
              <w:spacing w:after="0"/>
              <w:rPr>
                <w:rFonts w:ascii="Arial" w:eastAsia="Calibri" w:hAnsi="Arial" w:cs="Arial"/>
                <w:szCs w:val="22"/>
              </w:rPr>
            </w:pPr>
            <w:r w:rsidRPr="001C1BAC">
              <w:rPr>
                <w:rFonts w:ascii="Arial" w:eastAsia="Calibri" w:hAnsi="Arial" w:cs="Arial"/>
                <w:b/>
                <w:bCs/>
                <w:szCs w:val="22"/>
              </w:rPr>
              <w:t>Conclusion.</w:t>
            </w:r>
            <w:r w:rsidRPr="001C1BAC">
              <w:rPr>
                <w:rFonts w:ascii="Arial" w:eastAsia="Calibri" w:hAnsi="Arial" w:cs="Arial"/>
                <w:szCs w:val="22"/>
              </w:rPr>
              <w:br/>
              <w:t>An integrated strategy that targets upstream biology, deploys ol</w:t>
            </w:r>
            <w:r w:rsidRPr="001C1BAC">
              <w:rPr>
                <w:rFonts w:ascii="Arial" w:eastAsia="Calibri" w:hAnsi="Arial" w:cs="Arial"/>
                <w:szCs w:val="22"/>
              </w:rPr>
              <w:noBreakHyphen/>
              <w:t xml:space="preserve">HDF where infrastructure allows, and </w:t>
            </w:r>
            <w:r w:rsidR="00380723" w:rsidRPr="006E6DEF">
              <w:rPr>
                <w:rFonts w:ascii="Arial" w:eastAsia="Calibri" w:hAnsi="Arial" w:cs="Arial"/>
                <w:szCs w:val="22"/>
                <w:highlight w:val="yellow"/>
              </w:rPr>
              <w:t xml:space="preserve">professionalises </w:t>
            </w:r>
            <w:r w:rsidRPr="001C1BAC">
              <w:rPr>
                <w:rFonts w:ascii="Arial" w:eastAsia="Calibri" w:hAnsi="Arial" w:cs="Arial"/>
                <w:szCs w:val="22"/>
              </w:rPr>
              <w:t xml:space="preserve">dialysis teams via </w:t>
            </w:r>
            <w:r w:rsidR="00380723" w:rsidRPr="006E6DEF">
              <w:rPr>
                <w:rFonts w:ascii="Arial" w:eastAsia="Calibri" w:hAnsi="Arial" w:cs="Arial"/>
                <w:szCs w:val="22"/>
                <w:highlight w:val="yellow"/>
              </w:rPr>
              <w:t>simulation-based</w:t>
            </w:r>
            <w:r w:rsidRPr="006E6DEF">
              <w:rPr>
                <w:rFonts w:ascii="Arial" w:eastAsia="Calibri" w:hAnsi="Arial" w:cs="Arial"/>
                <w:szCs w:val="22"/>
                <w:highlight w:val="yellow"/>
              </w:rPr>
              <w:t xml:space="preserve"> </w:t>
            </w:r>
            <w:r w:rsidRPr="001C1BAC">
              <w:rPr>
                <w:rFonts w:ascii="Arial" w:eastAsia="Calibri" w:hAnsi="Arial" w:cs="Arial"/>
                <w:szCs w:val="22"/>
              </w:rPr>
              <w:t>education is most likely to improve survival, safety, and patient experience. Priorities include validating early multimarker panels, adequately powered trials testing target convective volumes, rigorous implementation/</w:t>
            </w:r>
            <w:r w:rsidR="00380723" w:rsidRPr="006E6DEF">
              <w:rPr>
                <w:rFonts w:ascii="Arial" w:eastAsia="Calibri" w:hAnsi="Arial" w:cs="Arial"/>
                <w:szCs w:val="22"/>
                <w:highlight w:val="yellow"/>
              </w:rPr>
              <w:t>cost-effectiveness</w:t>
            </w:r>
            <w:r w:rsidRPr="006E6DEF">
              <w:rPr>
                <w:rFonts w:ascii="Arial" w:eastAsia="Calibri" w:hAnsi="Arial" w:cs="Arial"/>
                <w:szCs w:val="22"/>
                <w:highlight w:val="yellow"/>
              </w:rPr>
              <w:t xml:space="preserve"> </w:t>
            </w:r>
            <w:r w:rsidRPr="001C1BAC">
              <w:rPr>
                <w:rFonts w:ascii="Arial" w:eastAsia="Calibri" w:hAnsi="Arial" w:cs="Arial"/>
                <w:szCs w:val="22"/>
              </w:rPr>
              <w:t xml:space="preserve">evaluations, and accredited competency frameworks to </w:t>
            </w:r>
            <w:r w:rsidR="00380723" w:rsidRPr="006E6DEF">
              <w:rPr>
                <w:rFonts w:ascii="Arial" w:eastAsia="Calibri" w:hAnsi="Arial" w:cs="Arial"/>
                <w:szCs w:val="22"/>
                <w:highlight w:val="yellow"/>
              </w:rPr>
              <w:lastRenderedPageBreak/>
              <w:t xml:space="preserve">standardise </w:t>
            </w:r>
            <w:r w:rsidRPr="001C1BAC">
              <w:rPr>
                <w:rFonts w:ascii="Arial" w:eastAsia="Calibri" w:hAnsi="Arial" w:cs="Arial"/>
                <w:szCs w:val="22"/>
              </w:rPr>
              <w:t xml:space="preserve">practice across </w:t>
            </w:r>
            <w:r w:rsidR="006C565A">
              <w:rPr>
                <w:rFonts w:ascii="Arial" w:eastAsia="Calibri" w:hAnsi="Arial" w:cs="Arial"/>
                <w:szCs w:val="22"/>
                <w:highlight w:val="yellow"/>
              </w:rPr>
              <w:t>centres</w:t>
            </w:r>
            <w:r w:rsidRPr="001C1BAC">
              <w:rPr>
                <w:rFonts w:ascii="Arial" w:eastAsia="Calibri" w:hAnsi="Arial" w:cs="Arial"/>
                <w:szCs w:val="22"/>
              </w:rPr>
              <w:t>.</w:t>
            </w:r>
            <w:r w:rsidR="006C565A">
              <w:rPr>
                <w:rFonts w:ascii="Arial" w:eastAsia="Calibri" w:hAnsi="Arial" w:cs="Arial"/>
                <w:szCs w:val="22"/>
              </w:rPr>
              <w:t xml:space="preserve"> </w:t>
            </w:r>
            <w:r w:rsidR="006C565A" w:rsidRPr="006E6DEF">
              <w:rPr>
                <w:rFonts w:ascii="Arial" w:eastAsia="Calibri" w:hAnsi="Arial" w:cs="Arial"/>
                <w:szCs w:val="22"/>
                <w:highlight w:val="yellow"/>
              </w:rPr>
              <w:t>Future work should validate early multimarker panels for risk stratifiedrisk-stratified screening and therapeutic monitoring; test target convection volumes and patient-centred endpoints in sufficiently powered trials; and conduct implementation and cost effectivenesscost-effectiveness studies of olHDF and hybrid ICU modalities in resource-limited systems.</w:t>
            </w:r>
            <w:r w:rsidR="006C565A" w:rsidRPr="006C565A">
              <w:rPr>
                <w:rFonts w:ascii="Arial" w:eastAsia="Calibri" w:hAnsi="Arial" w:cs="Arial"/>
                <w:szCs w:val="22"/>
              </w:rPr>
              <w:t xml:space="preserve"> </w:t>
            </w:r>
          </w:p>
          <w:p w14:paraId="230A59CE" w14:textId="632005C1" w:rsidR="00505F06" w:rsidRPr="001C1BAC" w:rsidRDefault="00505F06" w:rsidP="00441B6F">
            <w:pPr>
              <w:pStyle w:val="Body"/>
              <w:spacing w:after="0"/>
              <w:rPr>
                <w:rFonts w:ascii="Arial" w:eastAsia="Calibri" w:hAnsi="Arial" w:cs="Arial"/>
                <w:szCs w:val="22"/>
              </w:rPr>
            </w:pPr>
          </w:p>
        </w:tc>
      </w:tr>
    </w:tbl>
    <w:p w14:paraId="03560CBC" w14:textId="77777777" w:rsidR="00636EB2" w:rsidRPr="001C1BAC" w:rsidRDefault="00636EB2" w:rsidP="00441B6F">
      <w:pPr>
        <w:pStyle w:val="Body"/>
        <w:spacing w:after="0"/>
        <w:rPr>
          <w:rFonts w:ascii="Arial" w:hAnsi="Arial" w:cs="Arial"/>
          <w:i/>
        </w:rPr>
      </w:pPr>
    </w:p>
    <w:p w14:paraId="17332CA4" w14:textId="24F4C68C" w:rsidR="00A24E7E" w:rsidRPr="001C1BAC" w:rsidRDefault="00A24E7E" w:rsidP="007332CB">
      <w:pPr>
        <w:pStyle w:val="Body"/>
        <w:spacing w:after="0"/>
        <w:rPr>
          <w:rFonts w:ascii="Arial" w:hAnsi="Arial" w:cs="Arial"/>
          <w:i/>
        </w:rPr>
      </w:pPr>
      <w:r w:rsidRPr="001C1BAC">
        <w:rPr>
          <w:rFonts w:ascii="Arial" w:hAnsi="Arial" w:cs="Arial"/>
          <w:i/>
        </w:rPr>
        <w:t xml:space="preserve">Keywords: </w:t>
      </w:r>
      <w:r w:rsidR="007332CB" w:rsidRPr="001C1BAC">
        <w:rPr>
          <w:rFonts w:ascii="Arial" w:eastAsia="Calibri" w:hAnsi="Arial" w:cs="Arial"/>
          <w:szCs w:val="22"/>
        </w:rPr>
        <w:t xml:space="preserve">Chronic kidney disease, </w:t>
      </w:r>
      <w:r w:rsidR="007332CB" w:rsidRPr="001C1BAC">
        <w:rPr>
          <w:rFonts w:ascii="Arial" w:hAnsi="Arial" w:cs="Arial"/>
        </w:rPr>
        <w:t xml:space="preserve">acute kidney injury, Replacement Innovations, Paramedical Competency, </w:t>
      </w:r>
      <w:r w:rsidR="00B55489" w:rsidRPr="006E6DEF">
        <w:rPr>
          <w:rFonts w:ascii="Arial" w:hAnsi="Arial" w:cs="Arial"/>
          <w:highlight w:val="yellow"/>
        </w:rPr>
        <w:t>renal replacement therapy</w:t>
      </w:r>
      <w:r w:rsidR="00B55489" w:rsidRPr="00B55489">
        <w:rPr>
          <w:rFonts w:ascii="Arial" w:hAnsi="Arial" w:cs="Arial"/>
        </w:rPr>
        <w:t xml:space="preserve"> </w:t>
      </w:r>
    </w:p>
    <w:p w14:paraId="3D92E835" w14:textId="77777777" w:rsidR="0024282C" w:rsidRPr="001C1BAC" w:rsidRDefault="0024282C" w:rsidP="00441B6F">
      <w:pPr>
        <w:pStyle w:val="Body"/>
        <w:spacing w:after="0"/>
        <w:rPr>
          <w:rFonts w:ascii="Arial" w:hAnsi="Arial" w:cs="Arial"/>
          <w:i/>
          <w:sz w:val="18"/>
        </w:rPr>
      </w:pPr>
    </w:p>
    <w:p w14:paraId="47E31F62" w14:textId="77777777" w:rsidR="00505F06" w:rsidRPr="001C1BAC" w:rsidRDefault="00505F06" w:rsidP="00441B6F">
      <w:pPr>
        <w:pStyle w:val="Body"/>
        <w:spacing w:after="0"/>
        <w:rPr>
          <w:rFonts w:ascii="Arial" w:hAnsi="Arial" w:cs="Arial"/>
          <w:i/>
        </w:rPr>
      </w:pPr>
    </w:p>
    <w:p w14:paraId="74E9CA21" w14:textId="32A1F3CA" w:rsidR="007332CB" w:rsidRPr="001C1BAC" w:rsidRDefault="00B01FCD" w:rsidP="007332CB">
      <w:pPr>
        <w:pStyle w:val="AbstHead"/>
        <w:numPr>
          <w:ilvl w:val="0"/>
          <w:numId w:val="31"/>
        </w:numPr>
        <w:spacing w:after="0"/>
        <w:jc w:val="both"/>
        <w:rPr>
          <w:rFonts w:ascii="Arial" w:hAnsi="Arial" w:cs="Arial"/>
        </w:rPr>
      </w:pPr>
      <w:r w:rsidRPr="001C1BAC">
        <w:rPr>
          <w:rFonts w:ascii="Arial" w:hAnsi="Arial" w:cs="Arial"/>
        </w:rPr>
        <w:t>INTRODUCTION</w:t>
      </w:r>
      <w:r w:rsidR="007F7B32" w:rsidRPr="001C1BAC">
        <w:rPr>
          <w:rFonts w:ascii="Arial" w:hAnsi="Arial" w:cs="Arial"/>
        </w:rPr>
        <w:t xml:space="preserve"> </w:t>
      </w:r>
    </w:p>
    <w:p w14:paraId="6709987A" w14:textId="77777777" w:rsidR="007332CB" w:rsidRPr="001C1BAC" w:rsidRDefault="007332CB" w:rsidP="007332CB">
      <w:pPr>
        <w:pStyle w:val="Body"/>
        <w:spacing w:after="0"/>
        <w:rPr>
          <w:rFonts w:ascii="Arial" w:hAnsi="Arial" w:cs="Arial"/>
        </w:rPr>
      </w:pPr>
    </w:p>
    <w:p w14:paraId="2226FB0A" w14:textId="5F9AF13C" w:rsidR="007332CB" w:rsidRPr="001C1BAC" w:rsidRDefault="007332CB" w:rsidP="007332CB">
      <w:pPr>
        <w:pStyle w:val="Body"/>
        <w:spacing w:after="0"/>
        <w:rPr>
          <w:rFonts w:ascii="Arial" w:hAnsi="Arial" w:cs="Arial"/>
        </w:rPr>
      </w:pPr>
      <w:r w:rsidRPr="001C1BAC">
        <w:rPr>
          <w:rFonts w:ascii="Arial" w:hAnsi="Arial" w:cs="Arial"/>
        </w:rPr>
        <w:t xml:space="preserve">Chronic kidney disease (CKD) and acute kidney injury (AKI) now constitute a convergent global burden that rivals or exceeds many noncommunicable diseases. </w:t>
      </w:r>
      <w:r w:rsidR="00DA01B6" w:rsidRPr="006E6DEF">
        <w:rPr>
          <w:rFonts w:ascii="Arial" w:hAnsi="Arial" w:cs="Arial"/>
          <w:highlight w:val="yellow"/>
        </w:rPr>
        <w:t>Acute kidney injury (AKI) and chronic kidney disease (CKD) are common interconnected syndromes that represent a public health problem. AKI and CKD predispose to each other in a vicious circle and may exert negative impacts independently or synergistically (Neyra &amp; Chawla, 2021</w:t>
      </w:r>
      <w:r w:rsidR="00DA01B6">
        <w:rPr>
          <w:rFonts w:ascii="Arial" w:hAnsi="Arial" w:cs="Arial"/>
          <w:highlight w:val="yellow"/>
        </w:rPr>
        <w:t xml:space="preserve">; </w:t>
      </w:r>
      <w:r w:rsidR="00DA01B6" w:rsidRPr="006E6DEF">
        <w:rPr>
          <w:rFonts w:ascii="Arial" w:hAnsi="Arial" w:cs="Arial"/>
          <w:highlight w:val="yellow"/>
        </w:rPr>
        <w:t xml:space="preserve">Allinson </w:t>
      </w:r>
      <w:r w:rsidR="00DA01B6" w:rsidRPr="006E6DEF">
        <w:rPr>
          <w:rFonts w:ascii="Arial" w:hAnsi="Arial" w:cs="Arial"/>
          <w:i/>
          <w:iCs/>
          <w:highlight w:val="yellow"/>
        </w:rPr>
        <w:t>et al</w:t>
      </w:r>
      <w:r w:rsidR="00DA01B6" w:rsidRPr="006E6DEF">
        <w:rPr>
          <w:rFonts w:ascii="Arial" w:hAnsi="Arial" w:cs="Arial"/>
          <w:highlight w:val="yellow"/>
        </w:rPr>
        <w:t>., 2023).</w:t>
      </w:r>
      <w:r w:rsidR="00DA01B6">
        <w:rPr>
          <w:rFonts w:ascii="Arial" w:hAnsi="Arial" w:cs="Arial"/>
        </w:rPr>
        <w:t xml:space="preserve"> </w:t>
      </w:r>
      <w:r w:rsidRPr="001C1BAC">
        <w:rPr>
          <w:rFonts w:ascii="Arial" w:hAnsi="Arial" w:cs="Arial"/>
        </w:rPr>
        <w:t xml:space="preserve">Recent estimates place CKD prevalence above 10% in several regions and project a continued rise driven by demographic change and cardiometabolic comorbidity, with the International Society of Nephrology reporting hundreds of millions affected worldwide (International Society of Nephrology, 2023). In </w:t>
      </w:r>
      <w:r w:rsidR="00380723" w:rsidRPr="006E6DEF">
        <w:rPr>
          <w:rFonts w:ascii="Arial" w:hAnsi="Arial" w:cs="Arial"/>
          <w:highlight w:val="yellow"/>
        </w:rPr>
        <w:t>middle-income</w:t>
      </w:r>
      <w:r w:rsidRPr="001C1BAC">
        <w:rPr>
          <w:rFonts w:ascii="Arial" w:hAnsi="Arial" w:cs="Arial"/>
        </w:rPr>
        <w:t xml:space="preserve"> settings, notably North and </w:t>
      </w:r>
      <w:r w:rsidR="00380723" w:rsidRPr="006E6DEF">
        <w:rPr>
          <w:rFonts w:ascii="Arial" w:hAnsi="Arial" w:cs="Arial"/>
          <w:highlight w:val="yellow"/>
        </w:rPr>
        <w:t>sub-Saharan</w:t>
      </w:r>
      <w:r w:rsidRPr="001C1BAC">
        <w:rPr>
          <w:rFonts w:ascii="Arial" w:hAnsi="Arial" w:cs="Arial"/>
        </w:rPr>
        <w:t xml:space="preserve"> Africa, type 2 diabetes and hypertension remain the dominant etiologies of advanced CKD, accounting for a large share of incident dialysis starts and amplifying cardiovascular risk. </w:t>
      </w:r>
      <w:r w:rsidR="00D61253" w:rsidRPr="006E6DEF">
        <w:rPr>
          <w:rFonts w:ascii="Arial" w:hAnsi="Arial" w:cs="Arial"/>
          <w:highlight w:val="yellow"/>
        </w:rPr>
        <w:t xml:space="preserve">It is a global public health problem. The awareness of this major burden is relatively recent and still incomplete. Unfortunately, the multifaceted burden of chronic kidney disease (prevalence, morbidity, mortality, costs) is relentlessly growing, particularly in low-income countries (LIC) (Jadoul </w:t>
      </w:r>
      <w:r w:rsidR="00D61253" w:rsidRPr="006E6DEF">
        <w:rPr>
          <w:rFonts w:ascii="Arial" w:hAnsi="Arial" w:cs="Arial"/>
          <w:i/>
          <w:iCs/>
          <w:highlight w:val="yellow"/>
        </w:rPr>
        <w:t>et al</w:t>
      </w:r>
      <w:r w:rsidR="00D61253" w:rsidRPr="006E6DEF">
        <w:rPr>
          <w:rFonts w:ascii="Arial" w:hAnsi="Arial" w:cs="Arial"/>
          <w:highlight w:val="yellow"/>
        </w:rPr>
        <w:t>., 2024).</w:t>
      </w:r>
      <w:r w:rsidR="00D61253">
        <w:rPr>
          <w:rFonts w:ascii="Arial" w:hAnsi="Arial" w:cs="Arial"/>
        </w:rPr>
        <w:t xml:space="preserve"> </w:t>
      </w:r>
      <w:r w:rsidRPr="001C1BAC">
        <w:rPr>
          <w:rFonts w:ascii="Arial" w:hAnsi="Arial" w:cs="Arial"/>
        </w:rPr>
        <w:t xml:space="preserve">Clinically, the disorder is insidious: large fractions of nephron mass may be lost before symptoms prompt testing, so many patients are first detected at stages 3–4, despite longstanding K/DOQI/KDIGO frameworks for staging and </w:t>
      </w:r>
      <w:r w:rsidR="00380723" w:rsidRPr="006E6DEF">
        <w:rPr>
          <w:rFonts w:ascii="Arial" w:hAnsi="Arial" w:cs="Arial"/>
          <w:highlight w:val="yellow"/>
        </w:rPr>
        <w:t>albuminuria-based</w:t>
      </w:r>
      <w:r w:rsidRPr="006E6DEF">
        <w:rPr>
          <w:rFonts w:ascii="Arial" w:hAnsi="Arial" w:cs="Arial"/>
          <w:highlight w:val="yellow"/>
        </w:rPr>
        <w:t xml:space="preserve"> </w:t>
      </w:r>
      <w:r w:rsidRPr="001C1BAC">
        <w:rPr>
          <w:rFonts w:ascii="Arial" w:hAnsi="Arial" w:cs="Arial"/>
        </w:rPr>
        <w:t xml:space="preserve">risk stratification (Levey, 2002). Mechanistically, a coherent cascade links early injury to late scarring. Initial hyperfiltration and intraglomerular hypertension—prominent in diabetic and hypertensive nephropathy—induce podocyte stress, proteinuria, and progressive tubulointerstitial inflammation and fibrosis, ultimately driving a </w:t>
      </w:r>
      <w:r w:rsidR="00380723" w:rsidRPr="006E6DEF">
        <w:rPr>
          <w:rFonts w:ascii="Arial" w:hAnsi="Arial" w:cs="Arial"/>
          <w:highlight w:val="yellow"/>
        </w:rPr>
        <w:t>near-linear</w:t>
      </w:r>
      <w:r w:rsidRPr="006E6DEF">
        <w:rPr>
          <w:rFonts w:ascii="Arial" w:hAnsi="Arial" w:cs="Arial"/>
          <w:highlight w:val="yellow"/>
        </w:rPr>
        <w:t xml:space="preserve"> </w:t>
      </w:r>
      <w:r w:rsidRPr="001C1BAC">
        <w:rPr>
          <w:rFonts w:ascii="Arial" w:hAnsi="Arial" w:cs="Arial"/>
        </w:rPr>
        <w:t>fall in glomerular filtration rate (Remuzzi &amp; Bertani, 1998; Djudjaj &amp; Boor, 2019; Meng, 2019). Oxidative stress and sterile inflammation further accelerate this trajectory (Vianna et al., 2011). These insights motivate earlier detection and targeted interventions along the hyperfiltration–inflammation–fibrosis axis, as well as evaluation of biomarkers that anticipate functional decline.</w:t>
      </w:r>
    </w:p>
    <w:p w14:paraId="4C7975F7" w14:textId="242E854B" w:rsidR="007332CB" w:rsidRPr="001C1BAC" w:rsidRDefault="007332CB" w:rsidP="007332CB">
      <w:pPr>
        <w:pStyle w:val="Body"/>
        <w:spacing w:after="0"/>
        <w:rPr>
          <w:rFonts w:ascii="Arial" w:hAnsi="Arial" w:cs="Arial"/>
        </w:rPr>
      </w:pPr>
      <w:r w:rsidRPr="001C1BAC">
        <w:rPr>
          <w:rFonts w:ascii="Arial" w:hAnsi="Arial" w:cs="Arial"/>
        </w:rPr>
        <w:t>Extracorporeal renal replacement therapy (RRT) has evolved in response to these challenges. While conventional high</w:t>
      </w:r>
      <w:r w:rsidRPr="001C1BAC">
        <w:rPr>
          <w:rFonts w:ascii="Arial" w:hAnsi="Arial" w:cs="Arial"/>
        </w:rPr>
        <w:noBreakHyphen/>
        <w:t>flux hemodialysis (HD) remains indispensable, limitations in middle</w:t>
      </w:r>
      <w:r w:rsidRPr="001C1BAC">
        <w:rPr>
          <w:rFonts w:ascii="Arial" w:hAnsi="Arial" w:cs="Arial"/>
        </w:rPr>
        <w:noBreakHyphen/>
        <w:t xml:space="preserve">molecule clearance and treatment tolerance have </w:t>
      </w:r>
      <w:r w:rsidR="00380723" w:rsidRPr="006E6DEF">
        <w:rPr>
          <w:rFonts w:ascii="Arial" w:hAnsi="Arial" w:cs="Arial"/>
          <w:highlight w:val="yellow"/>
        </w:rPr>
        <w:t xml:space="preserve">catalysed </w:t>
      </w:r>
      <w:r w:rsidRPr="001C1BAC">
        <w:rPr>
          <w:rFonts w:ascii="Arial" w:hAnsi="Arial" w:cs="Arial"/>
        </w:rPr>
        <w:t>uptake of online hemodiafiltration (olHDF), which augments convective removal and, when delivered at high convection volumes, has been associated with lower all</w:t>
      </w:r>
      <w:r w:rsidRPr="001C1BAC">
        <w:rPr>
          <w:rFonts w:ascii="Arial" w:hAnsi="Arial" w:cs="Arial"/>
        </w:rPr>
        <w:noBreakHyphen/>
        <w:t>cause and cardiovascular mortality than high</w:t>
      </w:r>
      <w:r w:rsidRPr="001C1BAC">
        <w:rPr>
          <w:rFonts w:ascii="Arial" w:hAnsi="Arial" w:cs="Arial"/>
        </w:rPr>
        <w:noBreakHyphen/>
        <w:t>flux HD in several trials and registries (Ok et al., 2013). In parallel, synthetic high</w:t>
      </w:r>
      <w:r w:rsidRPr="001C1BAC">
        <w:rPr>
          <w:rFonts w:ascii="Arial" w:hAnsi="Arial" w:cs="Arial"/>
        </w:rPr>
        <w:noBreakHyphen/>
        <w:t>flux membranes (polysulfone, polyethersulfone) have improved biocompatibility relative to cellulose, reducing complement activation and chronic microinflammation (Bowry, 2002; Develay et al., 2021). In critical care, sustained low</w:t>
      </w:r>
      <w:r w:rsidRPr="001C1BAC">
        <w:rPr>
          <w:rFonts w:ascii="Arial" w:hAnsi="Arial" w:cs="Arial"/>
        </w:rPr>
        <w:noBreakHyphen/>
        <w:t xml:space="preserve">efficiency dialysis (SLED/SLEDf) offers hemodynamic stability with </w:t>
      </w:r>
      <w:r w:rsidR="00380723" w:rsidRPr="006E6DEF">
        <w:rPr>
          <w:rFonts w:ascii="Arial" w:hAnsi="Arial" w:cs="Arial"/>
          <w:highlight w:val="yellow"/>
        </w:rPr>
        <w:t>noninferior</w:t>
      </w:r>
      <w:r w:rsidRPr="006E6DEF">
        <w:rPr>
          <w:rFonts w:ascii="Arial" w:hAnsi="Arial" w:cs="Arial"/>
          <w:highlight w:val="yellow"/>
        </w:rPr>
        <w:t xml:space="preserve"> </w:t>
      </w:r>
      <w:r w:rsidRPr="001C1BAC">
        <w:rPr>
          <w:rFonts w:ascii="Arial" w:hAnsi="Arial" w:cs="Arial"/>
        </w:rPr>
        <w:t xml:space="preserve">survival versus continuous modalities in many contexts (Fiaccadori et al., 2006). Looking ahead, wearable and bioartificial kidney concepts aim for continuous, </w:t>
      </w:r>
      <w:r w:rsidR="00380723" w:rsidRPr="006E6DEF">
        <w:rPr>
          <w:rFonts w:ascii="Arial" w:hAnsi="Arial" w:cs="Arial"/>
          <w:highlight w:val="yellow"/>
        </w:rPr>
        <w:t>physiology-aligned</w:t>
      </w:r>
      <w:r w:rsidRPr="006E6DEF">
        <w:rPr>
          <w:rFonts w:ascii="Arial" w:hAnsi="Arial" w:cs="Arial"/>
          <w:highlight w:val="yellow"/>
        </w:rPr>
        <w:t xml:space="preserve"> </w:t>
      </w:r>
      <w:r w:rsidRPr="001C1BAC">
        <w:rPr>
          <w:rFonts w:ascii="Arial" w:hAnsi="Arial" w:cs="Arial"/>
        </w:rPr>
        <w:t xml:space="preserve">clearance, though </w:t>
      </w:r>
      <w:r w:rsidR="00380723" w:rsidRPr="006E6DEF">
        <w:rPr>
          <w:rFonts w:ascii="Arial" w:hAnsi="Arial" w:cs="Arial"/>
          <w:highlight w:val="yellow"/>
        </w:rPr>
        <w:t>real-world</w:t>
      </w:r>
      <w:r w:rsidRPr="006E6DEF">
        <w:rPr>
          <w:rFonts w:ascii="Arial" w:hAnsi="Arial" w:cs="Arial"/>
          <w:highlight w:val="yellow"/>
        </w:rPr>
        <w:t xml:space="preserve"> </w:t>
      </w:r>
      <w:r w:rsidRPr="001C1BAC">
        <w:rPr>
          <w:rFonts w:ascii="Arial" w:hAnsi="Arial" w:cs="Arial"/>
        </w:rPr>
        <w:t xml:space="preserve">effectiveness and safety remain under study. Crucially, technological benefit depends on delivery systems and people. Structured continuing education, </w:t>
      </w:r>
      <w:r w:rsidR="00380723" w:rsidRPr="006E6DEF">
        <w:rPr>
          <w:rFonts w:ascii="Arial" w:hAnsi="Arial" w:cs="Arial"/>
          <w:highlight w:val="yellow"/>
        </w:rPr>
        <w:t>simulation-enhanced</w:t>
      </w:r>
      <w:r w:rsidRPr="006E6DEF">
        <w:rPr>
          <w:rFonts w:ascii="Arial" w:hAnsi="Arial" w:cs="Arial"/>
          <w:highlight w:val="yellow"/>
        </w:rPr>
        <w:t xml:space="preserve"> </w:t>
      </w:r>
      <w:r w:rsidRPr="001C1BAC">
        <w:rPr>
          <w:rFonts w:ascii="Arial" w:hAnsi="Arial" w:cs="Arial"/>
        </w:rPr>
        <w:t xml:space="preserve">training, and </w:t>
      </w:r>
      <w:r w:rsidR="00380723" w:rsidRPr="006E6DEF">
        <w:rPr>
          <w:rFonts w:ascii="Arial" w:hAnsi="Arial" w:cs="Arial"/>
          <w:highlight w:val="yellow"/>
        </w:rPr>
        <w:t xml:space="preserve">standardised </w:t>
      </w:r>
      <w:r w:rsidRPr="001C1BAC">
        <w:rPr>
          <w:rFonts w:ascii="Arial" w:hAnsi="Arial" w:cs="Arial"/>
        </w:rPr>
        <w:t xml:space="preserve">procedures </w:t>
      </w:r>
      <w:r w:rsidRPr="001C1BAC">
        <w:rPr>
          <w:rFonts w:ascii="Arial" w:hAnsi="Arial" w:cs="Arial"/>
        </w:rPr>
        <w:lastRenderedPageBreak/>
        <w:t xml:space="preserve">have reduced </w:t>
      </w:r>
      <w:r w:rsidR="00380723" w:rsidRPr="006E6DEF">
        <w:rPr>
          <w:rFonts w:ascii="Arial" w:hAnsi="Arial" w:cs="Arial"/>
          <w:highlight w:val="yellow"/>
        </w:rPr>
        <w:t>dialysis-related</w:t>
      </w:r>
      <w:r w:rsidRPr="006E6DEF">
        <w:rPr>
          <w:rFonts w:ascii="Arial" w:hAnsi="Arial" w:cs="Arial"/>
          <w:highlight w:val="yellow"/>
        </w:rPr>
        <w:t xml:space="preserve"> </w:t>
      </w:r>
      <w:r w:rsidRPr="001C1BAC">
        <w:rPr>
          <w:rFonts w:ascii="Arial" w:hAnsi="Arial" w:cs="Arial"/>
        </w:rPr>
        <w:t>incidents and improved process reliability across multiple programs (Bolton, 2019; Heckenauer, 2019). Interpreted through Donabedian’s structure–process–outcome model and the Triple Aim, the literature suggests that infrastructure (ultrapure water, reliable machines, modern membranes), process fidelity (checklists, alarm management), and workforce competency act synergistically to determine outcomes and costs (Donabedian, 1980; Berwick, Nolan, &amp; Whittington, 2008).</w:t>
      </w:r>
    </w:p>
    <w:p w14:paraId="6AAF5B92" w14:textId="77777777" w:rsidR="007332CB" w:rsidRPr="001C1BAC" w:rsidRDefault="007332CB" w:rsidP="007332CB">
      <w:pPr>
        <w:pStyle w:val="Body"/>
        <w:spacing w:after="0"/>
        <w:rPr>
          <w:rFonts w:ascii="Arial" w:hAnsi="Arial" w:cs="Arial"/>
        </w:rPr>
      </w:pPr>
      <w:r w:rsidRPr="001C1BAC">
        <w:rPr>
          <w:rFonts w:ascii="Arial" w:hAnsi="Arial" w:cs="Arial"/>
        </w:rPr>
        <w:t>Against this backdrop, the present PRISMA</w:t>
      </w:r>
      <w:r w:rsidRPr="001C1BAC">
        <w:rPr>
          <w:rFonts w:ascii="Arial" w:hAnsi="Arial" w:cs="Arial"/>
        </w:rPr>
        <w:noBreakHyphen/>
        <w:t>guided narrative review integrates evidence across three axes—pathophysiological pathways and biomarkers, extracorporeal innovations, and paramedical competency—to delineate where the evidence converges, where it diverges, and which levers most plausibly improve survival, safety, and patient experience in kidney failure care.</w:t>
      </w:r>
    </w:p>
    <w:p w14:paraId="33A772DC" w14:textId="77777777" w:rsidR="007332CB" w:rsidRPr="001C1BAC" w:rsidRDefault="007332CB" w:rsidP="007332CB">
      <w:pPr>
        <w:pStyle w:val="Body"/>
        <w:spacing w:after="0"/>
        <w:rPr>
          <w:rFonts w:ascii="Arial" w:hAnsi="Arial" w:cs="Arial"/>
        </w:rPr>
      </w:pPr>
      <w:proofErr w:type="gramStart"/>
      <w:r w:rsidRPr="001C1BAC">
        <w:rPr>
          <w:rFonts w:ascii="Arial" w:hAnsi="Arial" w:cs="Arial"/>
          <w:b/>
          <w:bCs/>
        </w:rPr>
        <w:t>Hypotheses :</w:t>
      </w:r>
      <w:proofErr w:type="gramEnd"/>
    </w:p>
    <w:p w14:paraId="40450BE1" w14:textId="592DD5BF" w:rsidR="007332CB" w:rsidRPr="001C1BAC" w:rsidRDefault="007332CB" w:rsidP="007332CB">
      <w:pPr>
        <w:pStyle w:val="Body"/>
        <w:spacing w:after="0"/>
        <w:rPr>
          <w:rFonts w:ascii="Arial" w:hAnsi="Arial" w:cs="Arial"/>
        </w:rPr>
      </w:pPr>
      <w:r w:rsidRPr="001C1BAC">
        <w:rPr>
          <w:rFonts w:ascii="Arial" w:hAnsi="Arial" w:cs="Arial"/>
        </w:rPr>
        <w:t xml:space="preserve">H1: Early interventions that reduce glomerular hypertension and dampen inflammatory/oxidative </w:t>
      </w:r>
      <w:r w:rsidR="00380723" w:rsidRPr="006E6DEF">
        <w:rPr>
          <w:rFonts w:ascii="Arial" w:hAnsi="Arial" w:cs="Arial"/>
          <w:highlight w:val="yellow"/>
        </w:rPr>
        <w:t xml:space="preserve">signalling </w:t>
      </w:r>
      <w:r w:rsidRPr="001C1BAC">
        <w:rPr>
          <w:rFonts w:ascii="Arial" w:hAnsi="Arial" w:cs="Arial"/>
        </w:rPr>
        <w:t>will slow CKD progression and the AKI</w:t>
      </w:r>
      <w:r w:rsidRPr="001C1BAC">
        <w:rPr>
          <w:rFonts w:ascii="Arial" w:hAnsi="Arial" w:cs="Arial"/>
        </w:rPr>
        <w:noBreakHyphen/>
        <w:t>to</w:t>
      </w:r>
      <w:r w:rsidRPr="001C1BAC">
        <w:rPr>
          <w:rFonts w:ascii="Arial" w:hAnsi="Arial" w:cs="Arial"/>
        </w:rPr>
        <w:noBreakHyphen/>
        <w:t>CKD transition.</w:t>
      </w:r>
      <w:r w:rsidRPr="001C1BAC">
        <w:rPr>
          <w:rFonts w:ascii="Arial" w:hAnsi="Arial" w:cs="Arial"/>
        </w:rPr>
        <w:br/>
        <w:t>H2: When delivered with adequate infrastructure and target convection volumes, olHDF produces superior hard outcomes (especially cardiovascular mortality) versus high</w:t>
      </w:r>
      <w:r w:rsidRPr="001C1BAC">
        <w:rPr>
          <w:rFonts w:ascii="Arial" w:hAnsi="Arial" w:cs="Arial"/>
        </w:rPr>
        <w:noBreakHyphen/>
        <w:t>flux HD.</w:t>
      </w:r>
      <w:r w:rsidRPr="001C1BAC">
        <w:rPr>
          <w:rFonts w:ascii="Arial" w:hAnsi="Arial" w:cs="Arial"/>
        </w:rPr>
        <w:br/>
        <w:t xml:space="preserve">H3: Structured, </w:t>
      </w:r>
      <w:r w:rsidR="00380723" w:rsidRPr="006E6DEF">
        <w:rPr>
          <w:rFonts w:ascii="Arial" w:hAnsi="Arial" w:cs="Arial"/>
          <w:highlight w:val="yellow"/>
        </w:rPr>
        <w:t>simulation-enhanced</w:t>
      </w:r>
      <w:r w:rsidRPr="006E6DEF">
        <w:rPr>
          <w:rFonts w:ascii="Arial" w:hAnsi="Arial" w:cs="Arial"/>
          <w:highlight w:val="yellow"/>
        </w:rPr>
        <w:t xml:space="preserve"> </w:t>
      </w:r>
      <w:r w:rsidRPr="001C1BAC">
        <w:rPr>
          <w:rFonts w:ascii="Arial" w:hAnsi="Arial" w:cs="Arial"/>
        </w:rPr>
        <w:t xml:space="preserve">continuing education for dialysis staff reduces adverse events and improves process reliability relative to standard </w:t>
      </w:r>
      <w:r w:rsidR="00380723" w:rsidRPr="006E6DEF">
        <w:rPr>
          <w:rFonts w:ascii="Arial" w:hAnsi="Arial" w:cs="Arial"/>
          <w:highlight w:val="yellow"/>
        </w:rPr>
        <w:t>in-service</w:t>
      </w:r>
      <w:r w:rsidRPr="001C1BAC">
        <w:rPr>
          <w:rFonts w:ascii="Arial" w:hAnsi="Arial" w:cs="Arial"/>
        </w:rPr>
        <w:t xml:space="preserve"> training.</w:t>
      </w:r>
    </w:p>
    <w:p w14:paraId="0D3BA01E" w14:textId="0A155BBA" w:rsidR="007332CB" w:rsidRPr="001C1BAC" w:rsidRDefault="007332CB" w:rsidP="007332CB">
      <w:pPr>
        <w:pStyle w:val="Body"/>
        <w:numPr>
          <w:ilvl w:val="0"/>
          <w:numId w:val="31"/>
        </w:numPr>
        <w:spacing w:after="0"/>
        <w:rPr>
          <w:rFonts w:ascii="Arial" w:hAnsi="Arial" w:cs="Arial"/>
          <w:sz w:val="24"/>
          <w:szCs w:val="24"/>
        </w:rPr>
      </w:pPr>
      <w:r w:rsidRPr="001C1BAC">
        <w:rPr>
          <w:rFonts w:ascii="Arial" w:hAnsi="Arial" w:cs="Arial"/>
          <w:b/>
          <w:bCs/>
          <w:sz w:val="24"/>
          <w:szCs w:val="24"/>
        </w:rPr>
        <w:t>MATERIALS AND METHODS</w:t>
      </w:r>
    </w:p>
    <w:p w14:paraId="03B06407" w14:textId="77777777" w:rsidR="00C848EF" w:rsidRDefault="00711780" w:rsidP="007332CB">
      <w:pPr>
        <w:pStyle w:val="Body"/>
        <w:spacing w:after="0"/>
        <w:rPr>
          <w:rFonts w:ascii="Arial" w:hAnsi="Arial" w:cs="Arial"/>
        </w:rPr>
      </w:pPr>
      <w:r w:rsidRPr="001C1BAC">
        <w:rPr>
          <w:noProof/>
        </w:rPr>
        <w:drawing>
          <wp:anchor distT="0" distB="0" distL="0" distR="0" simplePos="0" relativeHeight="251661312" behindDoc="0" locked="0" layoutInCell="0" allowOverlap="1" wp14:anchorId="35D76794" wp14:editId="7B997338">
            <wp:simplePos x="0" y="0"/>
            <wp:positionH relativeFrom="margin">
              <wp:posOffset>1272482</wp:posOffset>
            </wp:positionH>
            <wp:positionV relativeFrom="paragraph">
              <wp:posOffset>1346950</wp:posOffset>
            </wp:positionV>
            <wp:extent cx="2665845" cy="3532909"/>
            <wp:effectExtent l="0" t="0" r="1270" b="0"/>
            <wp:wrapTopAndBottom/>
            <wp:docPr id="1"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pic:cNvPicPr>
                      <a:picLocks noChangeAspect="1" noChangeArrowheads="1"/>
                    </pic:cNvPicPr>
                  </pic:nvPicPr>
                  <pic:blipFill>
                    <a:blip r:embed="rId14"/>
                    <a:stretch>
                      <a:fillRect/>
                    </a:stretch>
                  </pic:blipFill>
                  <pic:spPr bwMode="auto">
                    <a:xfrm>
                      <a:off x="0" y="0"/>
                      <a:ext cx="2665845" cy="3532909"/>
                    </a:xfrm>
                    <a:prstGeom prst="rect">
                      <a:avLst/>
                    </a:prstGeom>
                    <a:noFill/>
                  </pic:spPr>
                </pic:pic>
              </a:graphicData>
            </a:graphic>
            <wp14:sizeRelH relativeFrom="margin">
              <wp14:pctWidth>0</wp14:pctWidth>
            </wp14:sizeRelH>
            <wp14:sizeRelV relativeFrom="margin">
              <wp14:pctHeight>0</wp14:pctHeight>
            </wp14:sizeRelV>
          </wp:anchor>
        </w:drawing>
      </w:r>
      <w:r w:rsidR="007332CB" w:rsidRPr="001C1BAC">
        <w:rPr>
          <w:rFonts w:ascii="Arial" w:hAnsi="Arial" w:cs="Arial"/>
        </w:rPr>
        <w:t>This review was designed as a critical narrative synthesis that nevertheless followed key elements of PRISMA 2020 to ensure transparent identification, screening, eligibility assessment, and inclusion of records (Page et al., 2021). The approach was selected to integrate three heterogeneous domains—pathophysiology, renal</w:t>
      </w:r>
      <w:r w:rsidR="007332CB" w:rsidRPr="001C1BAC">
        <w:rPr>
          <w:rFonts w:ascii="Arial" w:hAnsi="Arial" w:cs="Arial"/>
        </w:rPr>
        <w:noBreakHyphen/>
        <w:t xml:space="preserve">replacement technologies, and paramedical training—where a single pooled effect is inappropriate but a reproducible selection pathway and structured synthesis are essential (Page et al., 2021). The protocol was </w:t>
      </w:r>
    </w:p>
    <w:p w14:paraId="192D30A6" w14:textId="77777777" w:rsidR="00C848EF" w:rsidRPr="00C848EF" w:rsidRDefault="00C848EF" w:rsidP="007332CB">
      <w:pPr>
        <w:pStyle w:val="Body"/>
        <w:spacing w:after="0"/>
        <w:rPr>
          <w:rFonts w:ascii="Arial" w:hAnsi="Arial" w:cs="Arial"/>
          <w:b/>
          <w:bCs/>
        </w:rPr>
      </w:pPr>
    </w:p>
    <w:p w14:paraId="29CEEB14" w14:textId="4E6DF0B4" w:rsidR="00C848EF" w:rsidRPr="00C848EF" w:rsidRDefault="00C848EF" w:rsidP="00C848EF">
      <w:pPr>
        <w:rPr>
          <w:b/>
          <w:bCs/>
        </w:rPr>
      </w:pPr>
      <w:r w:rsidRPr="00C848EF">
        <w:rPr>
          <w:b/>
          <w:bCs/>
        </w:rPr>
        <w:t xml:space="preserve">Figure 1. PRISMA flow diagram </w:t>
      </w:r>
      <w:r w:rsidR="006C565A" w:rsidRPr="006E6DEF">
        <w:rPr>
          <w:b/>
          <w:bCs/>
          <w:highlight w:val="yellow"/>
        </w:rPr>
        <w:t>summarising</w:t>
      </w:r>
      <w:r w:rsidR="006C565A" w:rsidRPr="00C848EF">
        <w:rPr>
          <w:b/>
          <w:bCs/>
        </w:rPr>
        <w:t xml:space="preserve"> </w:t>
      </w:r>
      <w:r w:rsidRPr="00C848EF">
        <w:rPr>
          <w:b/>
          <w:bCs/>
        </w:rPr>
        <w:t>the identification and selection of studies.</w:t>
      </w:r>
    </w:p>
    <w:p w14:paraId="640F68AB" w14:textId="77777777" w:rsidR="00C848EF" w:rsidRDefault="00C848EF" w:rsidP="007332CB">
      <w:pPr>
        <w:pStyle w:val="Body"/>
        <w:spacing w:after="0"/>
        <w:rPr>
          <w:rFonts w:ascii="Arial" w:hAnsi="Arial" w:cs="Arial"/>
        </w:rPr>
      </w:pPr>
    </w:p>
    <w:p w14:paraId="159BB7C6" w14:textId="77777777" w:rsidR="00C848EF" w:rsidRDefault="00C848EF" w:rsidP="007332CB">
      <w:pPr>
        <w:pStyle w:val="Body"/>
        <w:spacing w:after="0"/>
        <w:rPr>
          <w:rFonts w:ascii="Arial" w:hAnsi="Arial" w:cs="Arial"/>
        </w:rPr>
      </w:pPr>
    </w:p>
    <w:p w14:paraId="43AFBC6C" w14:textId="77777777" w:rsidR="00C848EF" w:rsidRDefault="00C848EF" w:rsidP="007332CB">
      <w:pPr>
        <w:pStyle w:val="Body"/>
        <w:spacing w:after="0"/>
        <w:rPr>
          <w:rFonts w:ascii="Arial" w:hAnsi="Arial" w:cs="Arial"/>
        </w:rPr>
      </w:pPr>
    </w:p>
    <w:p w14:paraId="33E59C58" w14:textId="1712B4D3" w:rsidR="007332CB" w:rsidRPr="001C1BAC" w:rsidRDefault="007332CB" w:rsidP="007332CB">
      <w:pPr>
        <w:pStyle w:val="Body"/>
        <w:spacing w:after="0"/>
        <w:rPr>
          <w:rFonts w:ascii="Arial" w:hAnsi="Arial" w:cs="Arial"/>
        </w:rPr>
      </w:pPr>
      <w:r w:rsidRPr="001C1BAC">
        <w:rPr>
          <w:rFonts w:ascii="Arial" w:hAnsi="Arial" w:cs="Arial"/>
        </w:rPr>
        <w:t>not prospectively registered. Reporting of information sources and search parameters reflects PRISMA</w:t>
      </w:r>
      <w:r w:rsidRPr="001C1BAC">
        <w:rPr>
          <w:rFonts w:ascii="Arial" w:hAnsi="Arial" w:cs="Arial"/>
        </w:rPr>
        <w:noBreakHyphen/>
        <w:t>S guidance insofar as it applies to a precompiled corpus (Rethlefsen et al., 2021).</w:t>
      </w:r>
    </w:p>
    <w:p w14:paraId="3D9A95BA" w14:textId="77777777" w:rsidR="007332CB" w:rsidRPr="001C1BAC" w:rsidRDefault="007332CB" w:rsidP="007332CB"/>
    <w:p w14:paraId="0C68353F" w14:textId="5BB5D4C7" w:rsidR="007332CB" w:rsidRPr="001C1BAC" w:rsidRDefault="007332CB" w:rsidP="007332CB">
      <w:pPr>
        <w:pStyle w:val="Body"/>
        <w:spacing w:after="0"/>
        <w:rPr>
          <w:rFonts w:ascii="Arial" w:hAnsi="Arial" w:cs="Arial"/>
        </w:rPr>
      </w:pPr>
    </w:p>
    <w:p w14:paraId="0AAB9B23" w14:textId="357E9207" w:rsidR="007332CB" w:rsidRPr="001C1BAC" w:rsidRDefault="007332CB" w:rsidP="007332CB">
      <w:pPr>
        <w:pStyle w:val="Body"/>
        <w:spacing w:after="0"/>
        <w:rPr>
          <w:rFonts w:ascii="Arial" w:hAnsi="Arial" w:cs="Arial"/>
        </w:rPr>
      </w:pPr>
      <w:r w:rsidRPr="001C1BAC">
        <w:rPr>
          <w:rFonts w:ascii="Arial" w:hAnsi="Arial" w:cs="Arial"/>
        </w:rPr>
        <w:t xml:space="preserve">Information sources consisted of a doctoral thesis corpus assembled between 2022 and March 2024 from biomedical databases and institutional repositories, then iteratively curated for relevance. Eligible document types included </w:t>
      </w:r>
      <w:r w:rsidR="00380723" w:rsidRPr="006E6DEF">
        <w:rPr>
          <w:rFonts w:ascii="Arial" w:hAnsi="Arial" w:cs="Arial"/>
          <w:highlight w:val="yellow"/>
        </w:rPr>
        <w:t>peer-reviewed</w:t>
      </w:r>
      <w:r w:rsidRPr="006E6DEF">
        <w:rPr>
          <w:rFonts w:ascii="Arial" w:hAnsi="Arial" w:cs="Arial"/>
          <w:highlight w:val="yellow"/>
        </w:rPr>
        <w:t xml:space="preserve"> </w:t>
      </w:r>
      <w:r w:rsidRPr="001C1BAC">
        <w:rPr>
          <w:rFonts w:ascii="Arial" w:hAnsi="Arial" w:cs="Arial"/>
        </w:rPr>
        <w:t xml:space="preserve">original studies, systematic and narrative reviews, guidelines and consensus statements, technical reports, and book chapters (English or French) without geographic restriction but with deliberate inclusion of evidence from </w:t>
      </w:r>
      <w:r w:rsidR="00380723" w:rsidRPr="006E6DEF">
        <w:rPr>
          <w:rFonts w:ascii="Arial" w:hAnsi="Arial" w:cs="Arial"/>
          <w:highlight w:val="yellow"/>
        </w:rPr>
        <w:t>middle-income</w:t>
      </w:r>
      <w:r w:rsidRPr="006E6DEF">
        <w:rPr>
          <w:rFonts w:ascii="Arial" w:hAnsi="Arial" w:cs="Arial"/>
          <w:highlight w:val="yellow"/>
        </w:rPr>
        <w:t xml:space="preserve"> </w:t>
      </w:r>
      <w:r w:rsidRPr="001C1BAC">
        <w:rPr>
          <w:rFonts w:ascii="Arial" w:hAnsi="Arial" w:cs="Arial"/>
        </w:rPr>
        <w:t>settings. To preserve coherence with the overarching doctoral project, no searches were conducted beyond this corpus; the coverage limitation was acknowledged a priori. The corpus was constructed using Boolean strings combining controlled vocabulary and free</w:t>
      </w:r>
      <w:r w:rsidRPr="001C1BAC">
        <w:rPr>
          <w:rFonts w:ascii="Arial" w:hAnsi="Arial" w:cs="Arial"/>
        </w:rPr>
        <w:noBreakHyphen/>
        <w:t>text keywords across the three axes. Renal physiology and disease terms included “glomerular filtration,” “hyperfiltration,” “proteinuria,” “oxidative stress,” “inflammation,” and “fibrosis.” The technology axis used “hemodialysis,” “hemodiafiltration,” “membrane,” “polysulfone,” “polyethersulfone,” “SLED,” “SLEDDf,” “wearable,” and “bioartificial kidney.” The education axis used “andragogy,” “simulation,” “virtual reality,” “</w:t>
      </w:r>
      <w:r w:rsidR="00380723" w:rsidRPr="006E6DEF">
        <w:rPr>
          <w:rFonts w:ascii="Arial" w:hAnsi="Arial" w:cs="Arial"/>
          <w:highlight w:val="yellow"/>
        </w:rPr>
        <w:t>competency-based</w:t>
      </w:r>
      <w:r w:rsidRPr="001C1BAC">
        <w:rPr>
          <w:rFonts w:ascii="Arial" w:hAnsi="Arial" w:cs="Arial"/>
        </w:rPr>
        <w:t>,” and “checklist.” Search construction and documentation conformed to PRISMA</w:t>
      </w:r>
      <w:r w:rsidRPr="001C1BAC">
        <w:rPr>
          <w:rFonts w:ascii="Arial" w:hAnsi="Arial" w:cs="Arial"/>
        </w:rPr>
        <w:noBreakHyphen/>
        <w:t xml:space="preserve">S recommendations regarding terms, operators, and limits; </w:t>
      </w:r>
      <w:r w:rsidR="00380723" w:rsidRPr="006E6DEF">
        <w:rPr>
          <w:rFonts w:ascii="Arial" w:hAnsi="Arial" w:cs="Arial"/>
          <w:highlight w:val="yellow"/>
        </w:rPr>
        <w:t>database-specific</w:t>
      </w:r>
      <w:r w:rsidRPr="006E6DEF">
        <w:rPr>
          <w:rFonts w:ascii="Arial" w:hAnsi="Arial" w:cs="Arial"/>
          <w:highlight w:val="yellow"/>
        </w:rPr>
        <w:t xml:space="preserve"> </w:t>
      </w:r>
      <w:r w:rsidRPr="001C1BAC">
        <w:rPr>
          <w:rFonts w:ascii="Arial" w:hAnsi="Arial" w:cs="Arial"/>
        </w:rPr>
        <w:t xml:space="preserve">syntaxes were </w:t>
      </w:r>
      <w:r w:rsidR="00380723" w:rsidRPr="006E6DEF">
        <w:rPr>
          <w:rFonts w:ascii="Arial" w:hAnsi="Arial" w:cs="Arial"/>
          <w:highlight w:val="yellow"/>
        </w:rPr>
        <w:t>harmonised</w:t>
      </w:r>
      <w:r w:rsidR="00380723" w:rsidRPr="001C1BAC">
        <w:rPr>
          <w:rFonts w:ascii="Arial" w:hAnsi="Arial" w:cs="Arial"/>
        </w:rPr>
        <w:t xml:space="preserve"> </w:t>
      </w:r>
      <w:r w:rsidRPr="001C1BAC">
        <w:rPr>
          <w:rFonts w:ascii="Arial" w:hAnsi="Arial" w:cs="Arial"/>
        </w:rPr>
        <w:t>to maintain conceptual equivalence (Rethlefsen et al., 2021).</w:t>
      </w:r>
    </w:p>
    <w:p w14:paraId="746B45E8" w14:textId="5BB0DCBA" w:rsidR="007332CB" w:rsidRPr="001C1BAC" w:rsidRDefault="007332CB" w:rsidP="007332CB">
      <w:pPr>
        <w:pStyle w:val="Body"/>
        <w:spacing w:after="0"/>
        <w:rPr>
          <w:rFonts w:ascii="Arial" w:hAnsi="Arial" w:cs="Arial"/>
        </w:rPr>
      </w:pPr>
      <w:r w:rsidRPr="001C1BAC">
        <w:rPr>
          <w:rFonts w:ascii="Arial" w:hAnsi="Arial" w:cs="Arial"/>
        </w:rPr>
        <w:t>After importation, duplicates were removed using Zotero’s exact and fuzzy matching plus manual verification. Study selection proceeded in two phases by two independent reviewers. Titles and abstracts were screened for relevance to at least one axis; disagreements were resolved by discussion, with third</w:t>
      </w:r>
      <w:r w:rsidRPr="001C1BAC">
        <w:rPr>
          <w:rFonts w:ascii="Arial" w:hAnsi="Arial" w:cs="Arial"/>
        </w:rPr>
        <w:noBreakHyphen/>
        <w:t xml:space="preserve">reviewer arbitration as needed. Full texts were then assessed against prespecified criteria. In total, 230 records were identified, 28 duplicates removed, 202 records screened, and 172 articles included in qualitative synthesis (PRISMA flow </w:t>
      </w:r>
      <w:r w:rsidR="00380723" w:rsidRPr="006E6DEF">
        <w:rPr>
          <w:rFonts w:ascii="Arial" w:hAnsi="Arial" w:cs="Arial"/>
          <w:highlight w:val="yellow"/>
        </w:rPr>
        <w:t xml:space="preserve">summarised </w:t>
      </w:r>
      <w:r w:rsidRPr="001C1BAC">
        <w:rPr>
          <w:rFonts w:ascii="Arial" w:hAnsi="Arial" w:cs="Arial"/>
        </w:rPr>
        <w:t>in the article). Inclusion required coverage of at least one theme: renal pathophysiology (AKI or CKD), etiological determinants, clinical/biological manifestations, extracorporeal RRT techniques/devices, or paramedical training and quality</w:t>
      </w:r>
      <w:r w:rsidRPr="001C1BAC">
        <w:rPr>
          <w:rFonts w:ascii="Arial" w:hAnsi="Arial" w:cs="Arial"/>
        </w:rPr>
        <w:noBreakHyphen/>
        <w:t>of</w:t>
      </w:r>
      <w:r w:rsidRPr="001C1BAC">
        <w:rPr>
          <w:rFonts w:ascii="Arial" w:hAnsi="Arial" w:cs="Arial"/>
        </w:rPr>
        <w:noBreakHyphen/>
        <w:t xml:space="preserve">care indicators. We accepted </w:t>
      </w:r>
      <w:r w:rsidR="00380723" w:rsidRPr="006E6DEF">
        <w:rPr>
          <w:rFonts w:ascii="Arial" w:hAnsi="Arial" w:cs="Arial"/>
          <w:highlight w:val="yellow"/>
        </w:rPr>
        <w:t xml:space="preserve">randomised </w:t>
      </w:r>
      <w:r w:rsidRPr="001C1BAC">
        <w:rPr>
          <w:rFonts w:ascii="Arial" w:hAnsi="Arial" w:cs="Arial"/>
        </w:rPr>
        <w:t>and nonrandomized clinical studies, observational cohorts and case</w:t>
      </w:r>
      <w:r w:rsidRPr="001C1BAC">
        <w:rPr>
          <w:rFonts w:ascii="Arial" w:hAnsi="Arial" w:cs="Arial"/>
        </w:rPr>
        <w:noBreakHyphen/>
        <w:t>control studies, mechanistic/translational work, guidelines, and systematic reviews. Letters without data, conference abstracts without full text, and inaccessible items were excluded. CKD staging followed K/DOQI; AKI definitions followed KDIGO 2012 (Levey, 2002; KDIGO AKI Work Group, 2012).</w:t>
      </w:r>
    </w:p>
    <w:p w14:paraId="5265DE53" w14:textId="2B10A88F" w:rsidR="007332CB" w:rsidRPr="001C1BAC" w:rsidRDefault="007332CB" w:rsidP="007332CB">
      <w:pPr>
        <w:pStyle w:val="Body"/>
        <w:spacing w:after="0"/>
        <w:rPr>
          <w:rFonts w:ascii="Arial" w:hAnsi="Arial" w:cs="Arial"/>
        </w:rPr>
      </w:pPr>
      <w:r w:rsidRPr="001C1BAC">
        <w:rPr>
          <w:rFonts w:ascii="Arial" w:hAnsi="Arial" w:cs="Arial"/>
        </w:rPr>
        <w:t xml:space="preserve">Data extraction used a piloted </w:t>
      </w:r>
      <w:r w:rsidR="00380723" w:rsidRPr="006E6DEF">
        <w:rPr>
          <w:rFonts w:ascii="Arial" w:hAnsi="Arial" w:cs="Arial"/>
          <w:highlight w:val="yellow"/>
        </w:rPr>
        <w:t xml:space="preserve">standardised </w:t>
      </w:r>
      <w:r w:rsidRPr="001C1BAC">
        <w:rPr>
          <w:rFonts w:ascii="Arial" w:hAnsi="Arial" w:cs="Arial"/>
        </w:rPr>
        <w:t>form aligned with PRISMA 2020 data</w:t>
      </w:r>
      <w:r w:rsidRPr="001C1BAC">
        <w:rPr>
          <w:rFonts w:ascii="Arial" w:hAnsi="Arial" w:cs="Arial"/>
        </w:rPr>
        <w:noBreakHyphen/>
        <w:t>items guidance (Page et al., 2021). Two reviewers independently captured study identifiers, design, population, intervention/exposure details (e.g., membrane type, convection volume, dialysis prescription, training modality), comparators, outcomes (mortality, cardiovascular events, infections, adequacy, biomarkers), context, and implementation prerequisites (water quality, staffing, preventive maintenance). Disagreements were reconciled by consensus. When critical data were missing yet inferable from figures or tables, we adopted conservative assumptions per the Cochrane Handbook and documented these for sensitivity analysis (Higgins et al., 2022). Risk</w:t>
      </w:r>
      <w:r w:rsidRPr="001C1BAC">
        <w:rPr>
          <w:rFonts w:ascii="Arial" w:hAnsi="Arial" w:cs="Arial"/>
        </w:rPr>
        <w:noBreakHyphen/>
        <w:t>of</w:t>
      </w:r>
      <w:r w:rsidRPr="001C1BAC">
        <w:rPr>
          <w:rFonts w:ascii="Arial" w:hAnsi="Arial" w:cs="Arial"/>
        </w:rPr>
        <w:noBreakHyphen/>
        <w:t>bias and reporting</w:t>
      </w:r>
      <w:r w:rsidRPr="001C1BAC">
        <w:rPr>
          <w:rFonts w:ascii="Arial" w:hAnsi="Arial" w:cs="Arial"/>
        </w:rPr>
        <w:noBreakHyphen/>
        <w:t>quality appraisal employed design</w:t>
      </w:r>
      <w:r w:rsidRPr="001C1BAC">
        <w:rPr>
          <w:rFonts w:ascii="Arial" w:hAnsi="Arial" w:cs="Arial"/>
        </w:rPr>
        <w:noBreakHyphen/>
        <w:t>appropriate tools without serving as inclusion criteria: RoB 2 for randomized trials (Sterne et al., 2019); ROBINS</w:t>
      </w:r>
      <w:r w:rsidRPr="001C1BAC">
        <w:rPr>
          <w:rFonts w:ascii="Arial" w:hAnsi="Arial" w:cs="Arial"/>
        </w:rPr>
        <w:noBreakHyphen/>
        <w:t>I for nonrandomized studies (Sterne et al., 2016); STROBE for observational reporting completeness (STROBE Initiative, 2007); AMSTAR 2 for systematic reviews (Shea et al., 2017); and CONSORT 2010 cross</w:t>
      </w:r>
      <w:r w:rsidRPr="001C1BAC">
        <w:rPr>
          <w:rFonts w:ascii="Arial" w:hAnsi="Arial" w:cs="Arial"/>
        </w:rPr>
        <w:noBreakHyphen/>
        <w:t>checks for trial reporting (CONSORT Group, 2010). Judgments informed interpretation and weighting</w:t>
      </w:r>
      <w:r w:rsidR="00380723">
        <w:rPr>
          <w:rFonts w:ascii="Arial" w:hAnsi="Arial" w:cs="Arial"/>
        </w:rPr>
        <w:t>,</w:t>
      </w:r>
      <w:r w:rsidRPr="001C1BAC">
        <w:rPr>
          <w:rFonts w:ascii="Arial" w:hAnsi="Arial" w:cs="Arial"/>
        </w:rPr>
        <w:t xml:space="preserve"> but were not converted to composite scores.</w:t>
      </w:r>
    </w:p>
    <w:p w14:paraId="290EF889" w14:textId="748E8807" w:rsidR="007332CB" w:rsidRPr="001C1BAC" w:rsidRDefault="007332CB" w:rsidP="007332CB">
      <w:pPr>
        <w:pStyle w:val="Body"/>
        <w:spacing w:after="0"/>
        <w:rPr>
          <w:rFonts w:ascii="Arial" w:hAnsi="Arial" w:cs="Arial"/>
        </w:rPr>
      </w:pPr>
      <w:r w:rsidRPr="001C1BAC">
        <w:rPr>
          <w:rFonts w:ascii="Arial" w:hAnsi="Arial" w:cs="Arial"/>
        </w:rPr>
        <w:t xml:space="preserve">Given </w:t>
      </w:r>
      <w:r w:rsidR="00380723" w:rsidRPr="006E6DEF">
        <w:rPr>
          <w:rFonts w:ascii="Arial" w:hAnsi="Arial" w:cs="Arial"/>
          <w:highlight w:val="yellow"/>
        </w:rPr>
        <w:t xml:space="preserve">the </w:t>
      </w:r>
      <w:r w:rsidRPr="001C1BAC">
        <w:rPr>
          <w:rFonts w:ascii="Arial" w:hAnsi="Arial" w:cs="Arial"/>
        </w:rPr>
        <w:t xml:space="preserve">heterogeneity of populations, interventions, and outcomes, no </w:t>
      </w:r>
      <w:r w:rsidR="00380723" w:rsidRPr="006E6DEF">
        <w:rPr>
          <w:rFonts w:ascii="Arial" w:hAnsi="Arial" w:cs="Arial"/>
          <w:highlight w:val="yellow"/>
        </w:rPr>
        <w:t>meta-analysis</w:t>
      </w:r>
      <w:r w:rsidRPr="006E6DEF">
        <w:rPr>
          <w:rFonts w:ascii="Arial" w:hAnsi="Arial" w:cs="Arial"/>
          <w:highlight w:val="yellow"/>
        </w:rPr>
        <w:t xml:space="preserve"> </w:t>
      </w:r>
      <w:r w:rsidRPr="001C1BAC">
        <w:rPr>
          <w:rFonts w:ascii="Arial" w:hAnsi="Arial" w:cs="Arial"/>
        </w:rPr>
        <w:t xml:space="preserve">was planned. We conducted a structured narrative synthesis following Popay et al. and, for the </w:t>
      </w:r>
      <w:r w:rsidRPr="001C1BAC">
        <w:rPr>
          <w:rFonts w:ascii="Arial" w:hAnsi="Arial" w:cs="Arial"/>
        </w:rPr>
        <w:lastRenderedPageBreak/>
        <w:t xml:space="preserve">training/implementation axis, an inductive–deductive thematic synthesis per Thomas and Harden (Popay et al., 2006; Thomas &amp; Harden, 2008). Coding in NVivo 14 used an initial codebook refined iteratively; dual coding on a subset enhanced reliability. Where feasible, we stratified findings by resource context, modality, and care setting, and examined moderators such as convection targets and water treatment standards. Certainty of evidence was conveyed narratively using GRADE concepts adapted to </w:t>
      </w:r>
      <w:r w:rsidR="00380723" w:rsidRPr="006E6DEF">
        <w:rPr>
          <w:rFonts w:ascii="Arial" w:hAnsi="Arial" w:cs="Arial"/>
          <w:highlight w:val="yellow"/>
        </w:rPr>
        <w:t>non-metametric</w:t>
      </w:r>
      <w:r w:rsidRPr="006E6DEF">
        <w:rPr>
          <w:rFonts w:ascii="Arial" w:hAnsi="Arial" w:cs="Arial"/>
          <w:highlight w:val="yellow"/>
        </w:rPr>
        <w:t xml:space="preserve"> </w:t>
      </w:r>
      <w:r w:rsidRPr="001C1BAC">
        <w:rPr>
          <w:rFonts w:ascii="Arial" w:hAnsi="Arial" w:cs="Arial"/>
        </w:rPr>
        <w:t>synthesis. Analyses used Zotero 6.0, NVivo 14, and Microsoft Excel. No human participants or individual</w:t>
      </w:r>
      <w:r w:rsidRPr="001C1BAC">
        <w:rPr>
          <w:rFonts w:ascii="Arial" w:hAnsi="Arial" w:cs="Arial"/>
        </w:rPr>
        <w:noBreakHyphen/>
        <w:t>level data were involved; ethics review was not required.</w:t>
      </w:r>
    </w:p>
    <w:p w14:paraId="399AA8D7" w14:textId="6FD19DAE" w:rsidR="007332CB" w:rsidRPr="001C1BAC" w:rsidRDefault="007332CB" w:rsidP="007332CB">
      <w:pPr>
        <w:pStyle w:val="Body"/>
        <w:rPr>
          <w:rFonts w:ascii="Arial" w:hAnsi="Arial" w:cs="Arial"/>
        </w:rPr>
      </w:pPr>
    </w:p>
    <w:p w14:paraId="01ABE311" w14:textId="77777777" w:rsidR="007332CB" w:rsidRPr="001C1BAC" w:rsidRDefault="007332CB" w:rsidP="007332CB">
      <w:pPr>
        <w:pStyle w:val="Body"/>
        <w:numPr>
          <w:ilvl w:val="0"/>
          <w:numId w:val="31"/>
        </w:numPr>
        <w:spacing w:after="0"/>
        <w:rPr>
          <w:rFonts w:ascii="Arial" w:hAnsi="Arial" w:cs="Arial"/>
        </w:rPr>
      </w:pPr>
      <w:r w:rsidRPr="001C1BAC">
        <w:rPr>
          <w:rFonts w:ascii="Arial" w:hAnsi="Arial" w:cs="Arial"/>
          <w:b/>
          <w:bCs/>
          <w:sz w:val="24"/>
          <w:szCs w:val="24"/>
        </w:rPr>
        <w:t>RESULTS</w:t>
      </w:r>
    </w:p>
    <w:p w14:paraId="7D4C12AC" w14:textId="7763E6EA" w:rsidR="007332CB" w:rsidRPr="001C1BAC" w:rsidRDefault="007332CB" w:rsidP="007332CB">
      <w:pPr>
        <w:pStyle w:val="Body"/>
        <w:spacing w:after="0"/>
        <w:rPr>
          <w:rFonts w:ascii="Arial" w:hAnsi="Arial" w:cs="Arial"/>
        </w:rPr>
      </w:pPr>
      <w:r w:rsidRPr="001C1BAC">
        <w:rPr>
          <w:rFonts w:ascii="Arial" w:hAnsi="Arial" w:cs="Arial"/>
        </w:rPr>
        <w:t xml:space="preserve">Across etiological analyses, type 2 diabetes and arterial hypertension were consistently the dominant determinants of CKD and progression to </w:t>
      </w:r>
      <w:r w:rsidR="00380723" w:rsidRPr="006E6DEF">
        <w:rPr>
          <w:rFonts w:ascii="Arial" w:hAnsi="Arial" w:cs="Arial"/>
          <w:highlight w:val="yellow"/>
        </w:rPr>
        <w:t>end-stage</w:t>
      </w:r>
      <w:r w:rsidRPr="006E6DEF">
        <w:rPr>
          <w:rFonts w:ascii="Arial" w:hAnsi="Arial" w:cs="Arial"/>
          <w:highlight w:val="yellow"/>
        </w:rPr>
        <w:t xml:space="preserve"> </w:t>
      </w:r>
      <w:r w:rsidRPr="001C1BAC">
        <w:rPr>
          <w:rFonts w:ascii="Arial" w:hAnsi="Arial" w:cs="Arial"/>
        </w:rPr>
        <w:t xml:space="preserve">kidney disease. National and regional series from </w:t>
      </w:r>
      <w:r w:rsidR="00380723" w:rsidRPr="006E6DEF">
        <w:rPr>
          <w:rFonts w:ascii="Arial" w:hAnsi="Arial" w:cs="Arial"/>
          <w:highlight w:val="yellow"/>
        </w:rPr>
        <w:t>middle-income</w:t>
      </w:r>
      <w:r w:rsidRPr="006E6DEF">
        <w:rPr>
          <w:rFonts w:ascii="Arial" w:hAnsi="Arial" w:cs="Arial"/>
          <w:highlight w:val="yellow"/>
        </w:rPr>
        <w:t xml:space="preserve"> </w:t>
      </w:r>
      <w:r w:rsidRPr="001C1BAC">
        <w:rPr>
          <w:rFonts w:ascii="Arial" w:hAnsi="Arial" w:cs="Arial"/>
        </w:rPr>
        <w:t xml:space="preserve">settings corroborated this pattern, with Moroccan data attributing nearly half of incident dialysis starts to the diabetes–hypertension dyad, in line with broader epidemiology from </w:t>
      </w:r>
      <w:r w:rsidR="00380723" w:rsidRPr="006E6DEF">
        <w:rPr>
          <w:rFonts w:ascii="Arial" w:hAnsi="Arial" w:cs="Arial"/>
          <w:highlight w:val="yellow"/>
        </w:rPr>
        <w:t>sub-Saharan</w:t>
      </w:r>
      <w:r w:rsidRPr="006E6DEF">
        <w:rPr>
          <w:rFonts w:ascii="Arial" w:hAnsi="Arial" w:cs="Arial"/>
          <w:highlight w:val="yellow"/>
        </w:rPr>
        <w:t xml:space="preserve"> </w:t>
      </w:r>
      <w:r w:rsidRPr="001C1BAC">
        <w:rPr>
          <w:rFonts w:ascii="Arial" w:hAnsi="Arial" w:cs="Arial"/>
        </w:rPr>
        <w:t xml:space="preserve">contexts (International Society of Nephrology, 2023). This etiological concentration aligns with mechanistic evidence linking prolonged glomerular hyperfiltration and intraglomerular hypertension in diabetic and hypertensive nephropathies to podocyte injury, segmental sclerosis, and subsequent nephron dropout (Remuzzi &amp; Bertani, 1998). Longitudinal descriptions across the corpus support a </w:t>
      </w:r>
      <w:r w:rsidR="00380723" w:rsidRPr="006E6DEF">
        <w:rPr>
          <w:rFonts w:ascii="Arial" w:hAnsi="Arial" w:cs="Arial"/>
          <w:highlight w:val="yellow"/>
        </w:rPr>
        <w:t>two-phase</w:t>
      </w:r>
      <w:r w:rsidRPr="006E6DEF">
        <w:rPr>
          <w:rFonts w:ascii="Arial" w:hAnsi="Arial" w:cs="Arial"/>
          <w:highlight w:val="yellow"/>
        </w:rPr>
        <w:t xml:space="preserve"> </w:t>
      </w:r>
      <w:r w:rsidRPr="001C1BAC">
        <w:rPr>
          <w:rFonts w:ascii="Arial" w:hAnsi="Arial" w:cs="Arial"/>
        </w:rPr>
        <w:t xml:space="preserve">trajectory in many CKD phenotypes: an early compensation phase </w:t>
      </w:r>
      <w:r w:rsidR="00380723" w:rsidRPr="006E6DEF">
        <w:rPr>
          <w:rFonts w:ascii="Arial" w:hAnsi="Arial" w:cs="Arial"/>
          <w:highlight w:val="yellow"/>
        </w:rPr>
        <w:t xml:space="preserve">characterised </w:t>
      </w:r>
      <w:r w:rsidRPr="001C1BAC">
        <w:rPr>
          <w:rFonts w:ascii="Arial" w:hAnsi="Arial" w:cs="Arial"/>
        </w:rPr>
        <w:t>by heightened single</w:t>
      </w:r>
      <w:r w:rsidRPr="001C1BAC">
        <w:rPr>
          <w:rFonts w:ascii="Arial" w:hAnsi="Arial" w:cs="Arial"/>
        </w:rPr>
        <w:noBreakHyphen/>
        <w:t>nephron GFR followed by a near</w:t>
      </w:r>
      <w:r w:rsidRPr="001C1BAC">
        <w:rPr>
          <w:rFonts w:ascii="Arial" w:hAnsi="Arial" w:cs="Arial"/>
        </w:rPr>
        <w:noBreakHyphen/>
        <w:t xml:space="preserve">linear decline of total GFR as fibrosis and glomerulosclerosis accumulate (Remuzzi &amp; Bertani, 1998; Djudjaj &amp; Boor, 2019). Heavy proteinuria—when present—was repeatedly associated with faster decline, consistent with tubular activation by filtered proteins that amplify inflammatory and fibrotic </w:t>
      </w:r>
      <w:r w:rsidR="00380723" w:rsidRPr="006E6DEF">
        <w:rPr>
          <w:rFonts w:ascii="Arial" w:hAnsi="Arial" w:cs="Arial"/>
          <w:highlight w:val="yellow"/>
        </w:rPr>
        <w:t xml:space="preserve">signalling </w:t>
      </w:r>
      <w:r w:rsidRPr="001C1BAC">
        <w:rPr>
          <w:rFonts w:ascii="Arial" w:hAnsi="Arial" w:cs="Arial"/>
        </w:rPr>
        <w:t xml:space="preserve">(Djudjaj &amp; Boor, 2019; Meng, 2019; Vianna et al., 2011). Evidence of increased oxidative stress and inflammatory mediators in advanced CKD, including higher levels of </w:t>
      </w:r>
      <w:r w:rsidR="00380723" w:rsidRPr="006E6DEF">
        <w:rPr>
          <w:rFonts w:ascii="Arial" w:hAnsi="Arial" w:cs="Arial"/>
          <w:highlight w:val="yellow"/>
        </w:rPr>
        <w:t>IL-6</w:t>
      </w:r>
      <w:r w:rsidRPr="006E6DEF">
        <w:rPr>
          <w:rFonts w:ascii="Arial" w:hAnsi="Arial" w:cs="Arial"/>
          <w:highlight w:val="yellow"/>
        </w:rPr>
        <w:t xml:space="preserve"> </w:t>
      </w:r>
      <w:r w:rsidRPr="001C1BAC">
        <w:rPr>
          <w:rFonts w:ascii="Arial" w:hAnsi="Arial" w:cs="Arial"/>
        </w:rPr>
        <w:t xml:space="preserve">and </w:t>
      </w:r>
      <w:r w:rsidR="00380723" w:rsidRPr="006E6DEF">
        <w:rPr>
          <w:rFonts w:ascii="Arial" w:hAnsi="Arial" w:cs="Arial"/>
          <w:highlight w:val="yellow"/>
        </w:rPr>
        <w:t>TNF-α</w:t>
      </w:r>
      <w:r w:rsidRPr="001C1BAC">
        <w:rPr>
          <w:rFonts w:ascii="Arial" w:hAnsi="Arial" w:cs="Arial"/>
        </w:rPr>
        <w:t>, was frequent, and these signals were linked qualitatively to symptom burden and adverse outcomes without consistent thresholds for clinical decision</w:t>
      </w:r>
      <w:r w:rsidRPr="001C1BAC">
        <w:rPr>
          <w:rFonts w:ascii="Arial" w:hAnsi="Arial" w:cs="Arial"/>
        </w:rPr>
        <w:noBreakHyphen/>
        <w:t xml:space="preserve">making across studies (Vianna et al., 2011). The silent clinical course of early CKD was a recurring theme; several cohorts reported </w:t>
      </w:r>
      <w:r w:rsidR="00380723" w:rsidRPr="006E6DEF">
        <w:rPr>
          <w:rFonts w:ascii="Arial" w:hAnsi="Arial" w:cs="Arial"/>
          <w:highlight w:val="yellow"/>
        </w:rPr>
        <w:t>late-stage</w:t>
      </w:r>
      <w:r w:rsidRPr="006E6DEF">
        <w:rPr>
          <w:rFonts w:ascii="Arial" w:hAnsi="Arial" w:cs="Arial"/>
          <w:highlight w:val="yellow"/>
        </w:rPr>
        <w:t xml:space="preserve"> </w:t>
      </w:r>
      <w:r w:rsidRPr="001C1BAC">
        <w:rPr>
          <w:rFonts w:ascii="Arial" w:hAnsi="Arial" w:cs="Arial"/>
        </w:rPr>
        <w:t xml:space="preserve">detection coincident with </w:t>
      </w:r>
      <w:r w:rsidR="00380723" w:rsidRPr="006E6DEF">
        <w:rPr>
          <w:rFonts w:ascii="Arial" w:hAnsi="Arial" w:cs="Arial"/>
          <w:highlight w:val="yellow"/>
        </w:rPr>
        <w:t>guideline-defined</w:t>
      </w:r>
      <w:r w:rsidRPr="006E6DEF">
        <w:rPr>
          <w:rFonts w:ascii="Arial" w:hAnsi="Arial" w:cs="Arial"/>
          <w:highlight w:val="yellow"/>
        </w:rPr>
        <w:t xml:space="preserve"> </w:t>
      </w:r>
      <w:r w:rsidRPr="001C1BAC">
        <w:rPr>
          <w:rFonts w:ascii="Arial" w:hAnsi="Arial" w:cs="Arial"/>
        </w:rPr>
        <w:t xml:space="preserve">stages 3–4, reinforcing the value of routine albuminuria assessment and </w:t>
      </w:r>
      <w:r w:rsidR="00380723" w:rsidRPr="006E6DEF">
        <w:rPr>
          <w:rFonts w:ascii="Arial" w:hAnsi="Arial" w:cs="Arial"/>
          <w:highlight w:val="yellow"/>
        </w:rPr>
        <w:t>guideline-concordant</w:t>
      </w:r>
      <w:r w:rsidRPr="006E6DEF">
        <w:rPr>
          <w:rFonts w:ascii="Arial" w:hAnsi="Arial" w:cs="Arial"/>
          <w:highlight w:val="yellow"/>
        </w:rPr>
        <w:t xml:space="preserve"> </w:t>
      </w:r>
      <w:r w:rsidRPr="001C1BAC">
        <w:rPr>
          <w:rFonts w:ascii="Arial" w:hAnsi="Arial" w:cs="Arial"/>
        </w:rPr>
        <w:t>staging to initiate renoprotective measures earlier in the disease course (Levey, 2002; KDIGO CKD</w:t>
      </w:r>
      <w:r w:rsidRPr="001C1BAC">
        <w:rPr>
          <w:rFonts w:ascii="Arial" w:hAnsi="Arial" w:cs="Arial"/>
        </w:rPr>
        <w:noBreakHyphen/>
        <w:t>MBD Update Work Group, 2017).</w:t>
      </w:r>
    </w:p>
    <w:p w14:paraId="6A755721" w14:textId="333B0FCD" w:rsidR="007332CB" w:rsidRDefault="007332CB" w:rsidP="007332CB">
      <w:pPr>
        <w:pStyle w:val="Body"/>
        <w:spacing w:after="0"/>
        <w:rPr>
          <w:rFonts w:ascii="Arial" w:hAnsi="Arial" w:cs="Arial"/>
          <w:i/>
          <w:iCs/>
        </w:rPr>
      </w:pPr>
      <w:r w:rsidRPr="001C1BAC">
        <w:rPr>
          <w:rFonts w:ascii="Arial" w:hAnsi="Arial" w:cs="Arial"/>
        </w:rPr>
        <w:t>Biomarker findings were heterogeneous but showed consistent directions of association. Microalbuminuria remained the most practicable early signal for diabetic nephropathy within K/DOQI/KDIGO frameworks (Levey, 2002). Markers of fibrogenic activity linked to TGF</w:t>
      </w:r>
      <w:r w:rsidRPr="001C1BAC">
        <w:rPr>
          <w:rFonts w:ascii="Arial" w:hAnsi="Arial" w:cs="Arial"/>
        </w:rPr>
        <w:noBreakHyphen/>
        <w:t xml:space="preserve">β/Smad </w:t>
      </w:r>
      <w:r w:rsidR="00380723" w:rsidRPr="006E6DEF">
        <w:rPr>
          <w:rFonts w:ascii="Arial" w:hAnsi="Arial" w:cs="Arial"/>
          <w:highlight w:val="yellow"/>
        </w:rPr>
        <w:t xml:space="preserve">signalling </w:t>
      </w:r>
      <w:r w:rsidRPr="001C1BAC">
        <w:rPr>
          <w:rFonts w:ascii="Arial" w:hAnsi="Arial" w:cs="Arial"/>
        </w:rPr>
        <w:t>appeared in translational and preclinical work and were associated with histologic fibrosis burden, while oxidative</w:t>
      </w:r>
      <w:r w:rsidRPr="001C1BAC">
        <w:rPr>
          <w:rFonts w:ascii="Arial" w:hAnsi="Arial" w:cs="Arial"/>
        </w:rPr>
        <w:noBreakHyphen/>
        <w:t>stress readouts aligned with systemic inflammation and symptomatology (Meng, 2019; Vianna et al., 2011). Middle</w:t>
      </w:r>
      <w:r w:rsidRPr="001C1BAC">
        <w:rPr>
          <w:rFonts w:ascii="Arial" w:hAnsi="Arial" w:cs="Arial"/>
        </w:rPr>
        <w:noBreakHyphen/>
        <w:t>molecule uremic toxins</w:t>
      </w:r>
      <w:r w:rsidR="00380723">
        <w:rPr>
          <w:rFonts w:ascii="Arial" w:hAnsi="Arial" w:cs="Arial"/>
        </w:rPr>
        <w:t>,</w:t>
      </w:r>
      <w:r w:rsidRPr="001C1BAC">
        <w:rPr>
          <w:rFonts w:ascii="Arial" w:hAnsi="Arial" w:cs="Arial"/>
        </w:rPr>
        <w:t xml:space="preserve"> such as β</w:t>
      </w:r>
      <w:r w:rsidRPr="001C1BAC">
        <w:rPr>
          <w:rFonts w:ascii="Cambria Math" w:hAnsi="Cambria Math" w:cs="Cambria Math"/>
        </w:rPr>
        <w:t>₂</w:t>
      </w:r>
      <w:r w:rsidRPr="001C1BAC">
        <w:rPr>
          <w:rFonts w:ascii="Arial" w:hAnsi="Arial" w:cs="Arial"/>
        </w:rPr>
        <w:noBreakHyphen/>
        <w:t>microglobulin</w:t>
      </w:r>
      <w:r w:rsidR="00380723">
        <w:rPr>
          <w:rFonts w:ascii="Arial" w:hAnsi="Arial" w:cs="Arial"/>
        </w:rPr>
        <w:t>,</w:t>
      </w:r>
      <w:r w:rsidRPr="001C1BAC">
        <w:rPr>
          <w:rFonts w:ascii="Arial" w:hAnsi="Arial" w:cs="Arial"/>
        </w:rPr>
        <w:t xml:space="preserve"> were frequently elevated in conventional high</w:t>
      </w:r>
      <w:r w:rsidRPr="001C1BAC">
        <w:rPr>
          <w:rFonts w:ascii="Arial" w:hAnsi="Arial" w:cs="Arial"/>
        </w:rPr>
        <w:noBreakHyphen/>
        <w:t>flux HD cohorts and were observed to fall more effectively with convective therapies, though direct biomarker</w:t>
      </w:r>
      <w:r w:rsidRPr="001C1BAC">
        <w:rPr>
          <w:rFonts w:ascii="Arial" w:hAnsi="Arial" w:cs="Arial"/>
        </w:rPr>
        <w:noBreakHyphen/>
        <w:t>to</w:t>
      </w:r>
      <w:r w:rsidRPr="001C1BAC">
        <w:rPr>
          <w:rFonts w:ascii="Arial" w:hAnsi="Arial" w:cs="Arial"/>
        </w:rPr>
        <w:noBreakHyphen/>
        <w:t xml:space="preserve">outcome mediation was variably reported (Bowry, 2002; Develay et al., 2021; Ok et al., 2013). </w:t>
      </w:r>
      <w:r w:rsidRPr="001C1BAC">
        <w:rPr>
          <w:rFonts w:ascii="Arial" w:hAnsi="Arial" w:cs="Arial"/>
          <w:i/>
          <w:iCs/>
        </w:rPr>
        <w:t xml:space="preserve">Table 1 </w:t>
      </w:r>
      <w:r w:rsidR="00380723" w:rsidRPr="006E6DEF">
        <w:rPr>
          <w:rFonts w:ascii="Arial" w:hAnsi="Arial" w:cs="Arial"/>
          <w:i/>
          <w:iCs/>
          <w:highlight w:val="yellow"/>
        </w:rPr>
        <w:t xml:space="preserve">summarises </w:t>
      </w:r>
      <w:r w:rsidRPr="001C1BAC">
        <w:rPr>
          <w:rFonts w:ascii="Arial" w:hAnsi="Arial" w:cs="Arial"/>
          <w:i/>
          <w:iCs/>
        </w:rPr>
        <w:t>the predominant biomarker or construct signals, their qualitative directions, and representative references.</w:t>
      </w:r>
    </w:p>
    <w:p w14:paraId="41D25558" w14:textId="77777777" w:rsidR="000F3AF4" w:rsidRPr="000F3AF4" w:rsidRDefault="000F3AF4" w:rsidP="000F3AF4">
      <w:pPr>
        <w:pStyle w:val="Body"/>
        <w:spacing w:after="0"/>
        <w:rPr>
          <w:rFonts w:ascii="Arial" w:hAnsi="Arial" w:cs="Arial"/>
          <w:b/>
          <w:bCs/>
          <w:lang w:val="fr-FR"/>
        </w:rPr>
      </w:pPr>
      <w:r w:rsidRPr="000F3AF4">
        <w:rPr>
          <w:rFonts w:ascii="Arial" w:hAnsi="Arial" w:cs="Arial"/>
          <w:b/>
          <w:bCs/>
          <w:lang w:val="fr-FR"/>
        </w:rPr>
        <w:t>Table 1. Predominant biomarker or construct signals, qualitative directions, and representative references</w:t>
      </w:r>
    </w:p>
    <w:tbl>
      <w:tblPr>
        <w:tblStyle w:val="PlainTable1"/>
        <w:tblW w:w="0" w:type="auto"/>
        <w:tblLook w:val="04A0" w:firstRow="1" w:lastRow="0" w:firstColumn="1" w:lastColumn="0" w:noHBand="0" w:noVBand="1"/>
      </w:tblPr>
      <w:tblGrid>
        <w:gridCol w:w="1626"/>
        <w:gridCol w:w="1777"/>
        <w:gridCol w:w="2727"/>
        <w:gridCol w:w="2068"/>
      </w:tblGrid>
      <w:tr w:rsidR="000F3AF4" w:rsidRPr="000F3AF4" w14:paraId="4B127DE2" w14:textId="77777777" w:rsidTr="000F3AF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D20DDB2" w14:textId="77777777" w:rsidR="000F3AF4" w:rsidRPr="000F3AF4" w:rsidRDefault="000F3AF4" w:rsidP="000F3AF4">
            <w:pPr>
              <w:pStyle w:val="Body"/>
              <w:rPr>
                <w:rFonts w:ascii="Arial" w:hAnsi="Arial" w:cs="Arial"/>
                <w:lang w:val="fr-FR"/>
              </w:rPr>
            </w:pPr>
            <w:r w:rsidRPr="000F3AF4">
              <w:rPr>
                <w:rFonts w:ascii="Arial" w:hAnsi="Arial" w:cs="Arial"/>
                <w:lang w:val="fr-FR"/>
              </w:rPr>
              <w:t>Domain / Construct</w:t>
            </w:r>
          </w:p>
        </w:tc>
        <w:tc>
          <w:tcPr>
            <w:tcW w:w="0" w:type="auto"/>
            <w:hideMark/>
          </w:tcPr>
          <w:p w14:paraId="30E5CF81" w14:textId="77777777" w:rsidR="000F3AF4" w:rsidRPr="000F3AF4" w:rsidRDefault="000F3AF4" w:rsidP="000F3AF4">
            <w:pPr>
              <w:pStyle w:val="Body"/>
              <w:cnfStyle w:val="100000000000" w:firstRow="1" w:lastRow="0" w:firstColumn="0" w:lastColumn="0" w:oddVBand="0" w:evenVBand="0" w:oddHBand="0" w:evenHBand="0" w:firstRowFirstColumn="0" w:firstRowLastColumn="0" w:lastRowFirstColumn="0" w:lastRowLastColumn="0"/>
              <w:rPr>
                <w:rFonts w:ascii="Arial" w:hAnsi="Arial" w:cs="Arial"/>
                <w:lang w:val="fr-FR"/>
              </w:rPr>
            </w:pPr>
            <w:r w:rsidRPr="000F3AF4">
              <w:rPr>
                <w:rFonts w:ascii="Arial" w:hAnsi="Arial" w:cs="Arial"/>
                <w:lang w:val="fr-FR"/>
              </w:rPr>
              <w:t>Candidate biomarker(s) or signal</w:t>
            </w:r>
          </w:p>
        </w:tc>
        <w:tc>
          <w:tcPr>
            <w:tcW w:w="0" w:type="auto"/>
            <w:hideMark/>
          </w:tcPr>
          <w:p w14:paraId="7B565988" w14:textId="77777777" w:rsidR="000F3AF4" w:rsidRPr="000F3AF4" w:rsidRDefault="000F3AF4" w:rsidP="000F3AF4">
            <w:pPr>
              <w:pStyle w:val="Body"/>
              <w:cnfStyle w:val="100000000000" w:firstRow="1" w:lastRow="0" w:firstColumn="0" w:lastColumn="0" w:oddVBand="0" w:evenVBand="0" w:oddHBand="0" w:evenHBand="0" w:firstRowFirstColumn="0" w:firstRowLastColumn="0" w:lastRowFirstColumn="0" w:lastRowLastColumn="0"/>
              <w:rPr>
                <w:rFonts w:ascii="Arial" w:hAnsi="Arial" w:cs="Arial"/>
                <w:lang w:val="fr-FR"/>
              </w:rPr>
            </w:pPr>
            <w:r w:rsidRPr="000F3AF4">
              <w:rPr>
                <w:rFonts w:ascii="Arial" w:hAnsi="Arial" w:cs="Arial"/>
                <w:lang w:val="fr-FR"/>
              </w:rPr>
              <w:t>Qualitative direction (typical finding)</w:t>
            </w:r>
          </w:p>
        </w:tc>
        <w:tc>
          <w:tcPr>
            <w:tcW w:w="0" w:type="auto"/>
            <w:hideMark/>
          </w:tcPr>
          <w:p w14:paraId="3AB5B629" w14:textId="77777777" w:rsidR="000F3AF4" w:rsidRPr="000F3AF4" w:rsidRDefault="000F3AF4" w:rsidP="000F3AF4">
            <w:pPr>
              <w:pStyle w:val="Body"/>
              <w:cnfStyle w:val="100000000000" w:firstRow="1" w:lastRow="0" w:firstColumn="0" w:lastColumn="0" w:oddVBand="0" w:evenVBand="0" w:oddHBand="0" w:evenHBand="0" w:firstRowFirstColumn="0" w:firstRowLastColumn="0" w:lastRowFirstColumn="0" w:lastRowLastColumn="0"/>
              <w:rPr>
                <w:rFonts w:ascii="Arial" w:hAnsi="Arial" w:cs="Arial"/>
                <w:lang w:val="fr-FR"/>
              </w:rPr>
            </w:pPr>
            <w:r w:rsidRPr="000F3AF4">
              <w:rPr>
                <w:rFonts w:ascii="Arial" w:hAnsi="Arial" w:cs="Arial"/>
                <w:lang w:val="fr-FR"/>
              </w:rPr>
              <w:t>Clinical / pathophysiologic association</w:t>
            </w:r>
          </w:p>
        </w:tc>
      </w:tr>
      <w:tr w:rsidR="000F3AF4" w:rsidRPr="000F3AF4" w14:paraId="458486AB" w14:textId="77777777" w:rsidTr="000F3A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F743553" w14:textId="77777777" w:rsidR="000F3AF4" w:rsidRPr="000F3AF4" w:rsidRDefault="000F3AF4" w:rsidP="000F3AF4">
            <w:pPr>
              <w:pStyle w:val="Body"/>
              <w:rPr>
                <w:rFonts w:ascii="Arial" w:hAnsi="Arial" w:cs="Arial"/>
                <w:lang w:val="fr-FR"/>
              </w:rPr>
            </w:pPr>
            <w:r w:rsidRPr="000F3AF4">
              <w:rPr>
                <w:rFonts w:ascii="Arial" w:hAnsi="Arial" w:cs="Arial"/>
                <w:lang w:val="fr-FR"/>
              </w:rPr>
              <w:t xml:space="preserve">Glomerular hyperfiltration &amp; </w:t>
            </w:r>
            <w:r w:rsidRPr="000F3AF4">
              <w:rPr>
                <w:rFonts w:ascii="Arial" w:hAnsi="Arial" w:cs="Arial"/>
                <w:lang w:val="fr-FR"/>
              </w:rPr>
              <w:lastRenderedPageBreak/>
              <w:t>intraglomerular hypertension</w:t>
            </w:r>
          </w:p>
        </w:tc>
        <w:tc>
          <w:tcPr>
            <w:tcW w:w="0" w:type="auto"/>
            <w:hideMark/>
          </w:tcPr>
          <w:p w14:paraId="482E6C0C" w14:textId="77777777" w:rsidR="000F3AF4" w:rsidRPr="000F3AF4" w:rsidRDefault="000F3AF4" w:rsidP="000F3AF4">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fr-FR"/>
              </w:rPr>
            </w:pPr>
            <w:r w:rsidRPr="000F3AF4">
              <w:rPr>
                <w:rFonts w:ascii="Arial" w:hAnsi="Arial" w:cs="Arial"/>
                <w:lang w:val="fr-FR"/>
              </w:rPr>
              <w:lastRenderedPageBreak/>
              <w:t>Single</w:t>
            </w:r>
            <w:r w:rsidRPr="000F3AF4">
              <w:rPr>
                <w:rFonts w:ascii="Arial" w:hAnsi="Arial" w:cs="Arial"/>
                <w:lang w:val="fr-FR"/>
              </w:rPr>
              <w:noBreakHyphen/>
              <w:t xml:space="preserve">nephron GFR (concept), </w:t>
            </w:r>
            <w:r w:rsidRPr="000F3AF4">
              <w:rPr>
                <w:rFonts w:ascii="Arial" w:hAnsi="Arial" w:cs="Arial"/>
                <w:lang w:val="fr-FR"/>
              </w:rPr>
              <w:lastRenderedPageBreak/>
              <w:t xml:space="preserve">early </w:t>
            </w:r>
            <w:r w:rsidRPr="000F3AF4">
              <w:rPr>
                <w:rFonts w:ascii="Arial" w:hAnsi="Arial" w:cs="Arial"/>
                <w:b/>
                <w:bCs/>
                <w:lang w:val="fr-FR"/>
              </w:rPr>
              <w:t>hyperfiltration</w:t>
            </w:r>
          </w:p>
        </w:tc>
        <w:tc>
          <w:tcPr>
            <w:tcW w:w="0" w:type="auto"/>
            <w:hideMark/>
          </w:tcPr>
          <w:p w14:paraId="37F3D95C" w14:textId="77777777" w:rsidR="000F3AF4" w:rsidRPr="000F3AF4" w:rsidRDefault="000F3AF4" w:rsidP="000F3AF4">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fr-FR"/>
              </w:rPr>
            </w:pPr>
            <w:r w:rsidRPr="000F3AF4">
              <w:rPr>
                <w:rFonts w:ascii="Arial" w:hAnsi="Arial" w:cs="Arial"/>
                <w:lang w:val="fr-FR"/>
              </w:rPr>
              <w:lastRenderedPageBreak/>
              <w:t>↑ early (compensatory)</w:t>
            </w:r>
          </w:p>
        </w:tc>
        <w:tc>
          <w:tcPr>
            <w:tcW w:w="0" w:type="auto"/>
            <w:hideMark/>
          </w:tcPr>
          <w:p w14:paraId="20E65F76" w14:textId="77777777" w:rsidR="000F3AF4" w:rsidRPr="000F3AF4" w:rsidRDefault="000F3AF4" w:rsidP="000F3AF4">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fr-FR"/>
              </w:rPr>
            </w:pPr>
            <w:r w:rsidRPr="000F3AF4">
              <w:rPr>
                <w:rFonts w:ascii="Arial" w:hAnsi="Arial" w:cs="Arial"/>
                <w:lang w:val="fr-FR"/>
              </w:rPr>
              <w:t xml:space="preserve">Podocyte stress → proteinuria → segmental </w:t>
            </w:r>
            <w:proofErr w:type="gramStart"/>
            <w:r w:rsidRPr="000F3AF4">
              <w:rPr>
                <w:rFonts w:ascii="Arial" w:hAnsi="Arial" w:cs="Arial"/>
                <w:lang w:val="fr-FR"/>
              </w:rPr>
              <w:t>sclerosis;</w:t>
            </w:r>
            <w:proofErr w:type="gramEnd"/>
            <w:r w:rsidRPr="000F3AF4">
              <w:rPr>
                <w:rFonts w:ascii="Arial" w:hAnsi="Arial" w:cs="Arial"/>
                <w:lang w:val="fr-FR"/>
              </w:rPr>
              <w:t xml:space="preserve"> </w:t>
            </w:r>
            <w:r w:rsidRPr="000F3AF4">
              <w:rPr>
                <w:rFonts w:ascii="Arial" w:hAnsi="Arial" w:cs="Arial"/>
                <w:lang w:val="fr-FR"/>
              </w:rPr>
              <w:lastRenderedPageBreak/>
              <w:t>initiates progression cascade</w:t>
            </w:r>
          </w:p>
        </w:tc>
      </w:tr>
      <w:tr w:rsidR="000F3AF4" w:rsidRPr="000F3AF4" w14:paraId="00A2CF7C" w14:textId="77777777" w:rsidTr="000F3AF4">
        <w:tc>
          <w:tcPr>
            <w:cnfStyle w:val="001000000000" w:firstRow="0" w:lastRow="0" w:firstColumn="1" w:lastColumn="0" w:oddVBand="0" w:evenVBand="0" w:oddHBand="0" w:evenHBand="0" w:firstRowFirstColumn="0" w:firstRowLastColumn="0" w:lastRowFirstColumn="0" w:lastRowLastColumn="0"/>
            <w:tcW w:w="0" w:type="auto"/>
            <w:hideMark/>
          </w:tcPr>
          <w:p w14:paraId="082F39CC" w14:textId="77777777" w:rsidR="000F3AF4" w:rsidRPr="000F3AF4" w:rsidRDefault="000F3AF4" w:rsidP="000F3AF4">
            <w:pPr>
              <w:pStyle w:val="Body"/>
              <w:rPr>
                <w:rFonts w:ascii="Arial" w:hAnsi="Arial" w:cs="Arial"/>
                <w:lang w:val="fr-FR"/>
              </w:rPr>
            </w:pPr>
            <w:r w:rsidRPr="000F3AF4">
              <w:rPr>
                <w:rFonts w:ascii="Arial" w:hAnsi="Arial" w:cs="Arial"/>
                <w:lang w:val="fr-FR"/>
              </w:rPr>
              <w:lastRenderedPageBreak/>
              <w:t>Albuminuria / Proteinuria</w:t>
            </w:r>
          </w:p>
        </w:tc>
        <w:tc>
          <w:tcPr>
            <w:tcW w:w="0" w:type="auto"/>
            <w:hideMark/>
          </w:tcPr>
          <w:p w14:paraId="16C8FB43" w14:textId="77777777" w:rsidR="000F3AF4" w:rsidRPr="000F3AF4" w:rsidRDefault="000F3AF4" w:rsidP="000F3AF4">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fr-FR"/>
              </w:rPr>
            </w:pPr>
            <w:r w:rsidRPr="000F3AF4">
              <w:rPr>
                <w:rFonts w:ascii="Arial" w:hAnsi="Arial" w:cs="Arial"/>
                <w:lang w:val="fr-FR"/>
              </w:rPr>
              <w:t xml:space="preserve">Urinary albumin (UACR), </w:t>
            </w:r>
            <w:proofErr w:type="gramStart"/>
            <w:r w:rsidRPr="000F3AF4">
              <w:rPr>
                <w:rFonts w:ascii="Arial" w:hAnsi="Arial" w:cs="Arial"/>
                <w:b/>
                <w:bCs/>
                <w:lang w:val="fr-FR"/>
              </w:rPr>
              <w:t>microalbuminuria</w:t>
            </w:r>
            <w:r w:rsidRPr="000F3AF4">
              <w:rPr>
                <w:rFonts w:ascii="Arial" w:hAnsi="Arial" w:cs="Arial"/>
                <w:lang w:val="fr-FR"/>
              </w:rPr>
              <w:t>;</w:t>
            </w:r>
            <w:proofErr w:type="gramEnd"/>
            <w:r w:rsidRPr="000F3AF4">
              <w:rPr>
                <w:rFonts w:ascii="Arial" w:hAnsi="Arial" w:cs="Arial"/>
                <w:lang w:val="fr-FR"/>
              </w:rPr>
              <w:t xml:space="preserve"> heavy proteinuria</w:t>
            </w:r>
          </w:p>
        </w:tc>
        <w:tc>
          <w:tcPr>
            <w:tcW w:w="0" w:type="auto"/>
            <w:hideMark/>
          </w:tcPr>
          <w:p w14:paraId="375BFD00" w14:textId="77777777" w:rsidR="000F3AF4" w:rsidRPr="000F3AF4" w:rsidRDefault="000F3AF4" w:rsidP="000F3AF4">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fr-FR"/>
              </w:rPr>
            </w:pPr>
            <w:r w:rsidRPr="000F3AF4">
              <w:rPr>
                <w:rFonts w:ascii="Arial" w:hAnsi="Arial" w:cs="Arial"/>
                <w:lang w:val="fr-FR"/>
              </w:rPr>
              <w:t xml:space="preserve">↑ associates with higher </w:t>
            </w:r>
            <w:proofErr w:type="gramStart"/>
            <w:r w:rsidRPr="000F3AF4">
              <w:rPr>
                <w:rFonts w:ascii="Arial" w:hAnsi="Arial" w:cs="Arial"/>
                <w:lang w:val="fr-FR"/>
              </w:rPr>
              <w:t>risk;</w:t>
            </w:r>
            <w:proofErr w:type="gramEnd"/>
            <w:r w:rsidRPr="000F3AF4">
              <w:rPr>
                <w:rFonts w:ascii="Arial" w:hAnsi="Arial" w:cs="Arial"/>
                <w:lang w:val="fr-FR"/>
              </w:rPr>
              <w:t xml:space="preserve"> heavy proteinuria accelerates decline</w:t>
            </w:r>
          </w:p>
        </w:tc>
        <w:tc>
          <w:tcPr>
            <w:tcW w:w="0" w:type="auto"/>
            <w:hideMark/>
          </w:tcPr>
          <w:p w14:paraId="5F05C3A9" w14:textId="77777777" w:rsidR="000F3AF4" w:rsidRPr="000F3AF4" w:rsidRDefault="000F3AF4" w:rsidP="000F3AF4">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fr-FR"/>
              </w:rPr>
            </w:pPr>
            <w:r w:rsidRPr="000F3AF4">
              <w:rPr>
                <w:rFonts w:ascii="Arial" w:hAnsi="Arial" w:cs="Arial"/>
                <w:lang w:val="fr-FR"/>
              </w:rPr>
              <w:t xml:space="preserve">Earliest practicable clinical </w:t>
            </w:r>
            <w:proofErr w:type="gramStart"/>
            <w:r w:rsidRPr="000F3AF4">
              <w:rPr>
                <w:rFonts w:ascii="Arial" w:hAnsi="Arial" w:cs="Arial"/>
                <w:lang w:val="fr-FR"/>
              </w:rPr>
              <w:t>signal;</w:t>
            </w:r>
            <w:proofErr w:type="gramEnd"/>
            <w:r w:rsidRPr="000F3AF4">
              <w:rPr>
                <w:rFonts w:ascii="Arial" w:hAnsi="Arial" w:cs="Arial"/>
                <w:lang w:val="fr-FR"/>
              </w:rPr>
              <w:t xml:space="preserve"> tubular activation by filtered proteins amplifies inflammation/fibrosis; faster eGFR loss</w:t>
            </w:r>
          </w:p>
        </w:tc>
      </w:tr>
      <w:tr w:rsidR="000F3AF4" w:rsidRPr="000F3AF4" w14:paraId="11C0E50E" w14:textId="77777777" w:rsidTr="000F3A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0FE7409" w14:textId="77777777" w:rsidR="000F3AF4" w:rsidRPr="000F3AF4" w:rsidRDefault="000F3AF4" w:rsidP="000F3AF4">
            <w:pPr>
              <w:pStyle w:val="Body"/>
              <w:rPr>
                <w:rFonts w:ascii="Arial" w:hAnsi="Arial" w:cs="Arial"/>
                <w:lang w:val="fr-FR"/>
              </w:rPr>
            </w:pPr>
            <w:r w:rsidRPr="000F3AF4">
              <w:rPr>
                <w:rFonts w:ascii="Arial" w:hAnsi="Arial" w:cs="Arial"/>
                <w:lang w:val="fr-FR"/>
              </w:rPr>
              <w:t>Inflammation</w:t>
            </w:r>
          </w:p>
        </w:tc>
        <w:tc>
          <w:tcPr>
            <w:tcW w:w="0" w:type="auto"/>
            <w:hideMark/>
          </w:tcPr>
          <w:p w14:paraId="3CB62249" w14:textId="77777777" w:rsidR="000F3AF4" w:rsidRPr="000F3AF4" w:rsidRDefault="000F3AF4" w:rsidP="000F3AF4">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fr-FR"/>
              </w:rPr>
            </w:pPr>
            <w:r w:rsidRPr="000F3AF4">
              <w:rPr>
                <w:rFonts w:ascii="Arial" w:hAnsi="Arial" w:cs="Arial"/>
                <w:lang w:val="fr-FR"/>
              </w:rPr>
              <w:t xml:space="preserve">Cytokines (e.g., </w:t>
            </w:r>
            <w:r w:rsidRPr="000F3AF4">
              <w:rPr>
                <w:rFonts w:ascii="Arial" w:hAnsi="Arial" w:cs="Arial"/>
                <w:b/>
                <w:bCs/>
                <w:lang w:val="fr-FR"/>
              </w:rPr>
              <w:t>IL</w:t>
            </w:r>
            <w:r w:rsidRPr="000F3AF4">
              <w:rPr>
                <w:rFonts w:ascii="Arial" w:hAnsi="Arial" w:cs="Arial"/>
                <w:b/>
                <w:bCs/>
                <w:lang w:val="fr-FR"/>
              </w:rPr>
              <w:noBreakHyphen/>
              <w:t>6</w:t>
            </w:r>
            <w:r w:rsidRPr="000F3AF4">
              <w:rPr>
                <w:rFonts w:ascii="Arial" w:hAnsi="Arial" w:cs="Arial"/>
                <w:lang w:val="fr-FR"/>
              </w:rPr>
              <w:t xml:space="preserve">, </w:t>
            </w:r>
            <w:r w:rsidRPr="000F3AF4">
              <w:rPr>
                <w:rFonts w:ascii="Arial" w:hAnsi="Arial" w:cs="Arial"/>
                <w:b/>
                <w:bCs/>
                <w:lang w:val="fr-FR"/>
              </w:rPr>
              <w:t>TNF</w:t>
            </w:r>
            <w:r w:rsidRPr="000F3AF4">
              <w:rPr>
                <w:rFonts w:ascii="Arial" w:hAnsi="Arial" w:cs="Arial"/>
                <w:b/>
                <w:bCs/>
                <w:lang w:val="fr-FR"/>
              </w:rPr>
              <w:noBreakHyphen/>
              <w:t>α</w:t>
            </w:r>
            <w:r w:rsidRPr="000F3AF4">
              <w:rPr>
                <w:rFonts w:ascii="Arial" w:hAnsi="Arial" w:cs="Arial"/>
                <w:lang w:val="fr-FR"/>
              </w:rPr>
              <w:t>)</w:t>
            </w:r>
          </w:p>
        </w:tc>
        <w:tc>
          <w:tcPr>
            <w:tcW w:w="0" w:type="auto"/>
            <w:hideMark/>
          </w:tcPr>
          <w:p w14:paraId="324E2585" w14:textId="77777777" w:rsidR="000F3AF4" w:rsidRPr="000F3AF4" w:rsidRDefault="000F3AF4" w:rsidP="000F3AF4">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fr-FR"/>
              </w:rPr>
            </w:pPr>
            <w:r w:rsidRPr="000F3AF4">
              <w:rPr>
                <w:rFonts w:ascii="Arial" w:hAnsi="Arial" w:cs="Arial"/>
                <w:lang w:val="fr-FR"/>
              </w:rPr>
              <w:t>↑ in advanced CKD</w:t>
            </w:r>
          </w:p>
        </w:tc>
        <w:tc>
          <w:tcPr>
            <w:tcW w:w="0" w:type="auto"/>
            <w:hideMark/>
          </w:tcPr>
          <w:p w14:paraId="7B02261F" w14:textId="77777777" w:rsidR="000F3AF4" w:rsidRPr="000F3AF4" w:rsidRDefault="000F3AF4" w:rsidP="000F3AF4">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fr-FR"/>
              </w:rPr>
            </w:pPr>
            <w:r w:rsidRPr="000F3AF4">
              <w:rPr>
                <w:rFonts w:ascii="Arial" w:hAnsi="Arial" w:cs="Arial"/>
                <w:lang w:val="fr-FR"/>
              </w:rPr>
              <w:t xml:space="preserve">Links to symptom burden and adverse </w:t>
            </w:r>
            <w:proofErr w:type="gramStart"/>
            <w:r w:rsidRPr="000F3AF4">
              <w:rPr>
                <w:rFonts w:ascii="Arial" w:hAnsi="Arial" w:cs="Arial"/>
                <w:lang w:val="fr-FR"/>
              </w:rPr>
              <w:t>outcomes;</w:t>
            </w:r>
            <w:proofErr w:type="gramEnd"/>
            <w:r w:rsidRPr="000F3AF4">
              <w:rPr>
                <w:rFonts w:ascii="Arial" w:hAnsi="Arial" w:cs="Arial"/>
                <w:lang w:val="fr-FR"/>
              </w:rPr>
              <w:t xml:space="preserve"> part of sterile inflammation milieu</w:t>
            </w:r>
          </w:p>
        </w:tc>
      </w:tr>
      <w:tr w:rsidR="000F3AF4" w:rsidRPr="000F3AF4" w14:paraId="35667615" w14:textId="77777777" w:rsidTr="000F3AF4">
        <w:tc>
          <w:tcPr>
            <w:cnfStyle w:val="001000000000" w:firstRow="0" w:lastRow="0" w:firstColumn="1" w:lastColumn="0" w:oddVBand="0" w:evenVBand="0" w:oddHBand="0" w:evenHBand="0" w:firstRowFirstColumn="0" w:firstRowLastColumn="0" w:lastRowFirstColumn="0" w:lastRowLastColumn="0"/>
            <w:tcW w:w="0" w:type="auto"/>
            <w:hideMark/>
          </w:tcPr>
          <w:p w14:paraId="302005E1" w14:textId="77777777" w:rsidR="000F3AF4" w:rsidRPr="000F3AF4" w:rsidRDefault="000F3AF4" w:rsidP="000F3AF4">
            <w:pPr>
              <w:pStyle w:val="Body"/>
              <w:rPr>
                <w:rFonts w:ascii="Arial" w:hAnsi="Arial" w:cs="Arial"/>
                <w:lang w:val="fr-FR"/>
              </w:rPr>
            </w:pPr>
            <w:r w:rsidRPr="000F3AF4">
              <w:rPr>
                <w:rFonts w:ascii="Arial" w:hAnsi="Arial" w:cs="Arial"/>
                <w:lang w:val="fr-FR"/>
              </w:rPr>
              <w:t>Oxidative stress</w:t>
            </w:r>
          </w:p>
        </w:tc>
        <w:tc>
          <w:tcPr>
            <w:tcW w:w="0" w:type="auto"/>
            <w:hideMark/>
          </w:tcPr>
          <w:p w14:paraId="578E60A1" w14:textId="77777777" w:rsidR="000F3AF4" w:rsidRPr="000F3AF4" w:rsidRDefault="000F3AF4" w:rsidP="000F3AF4">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fr-FR"/>
              </w:rPr>
            </w:pPr>
            <w:r w:rsidRPr="000F3AF4">
              <w:rPr>
                <w:rFonts w:ascii="Arial" w:hAnsi="Arial" w:cs="Arial"/>
                <w:lang w:val="fr-FR"/>
              </w:rPr>
              <w:t xml:space="preserve">Composite oxidative stress readouts (e.g., lipid/protein oxidation </w:t>
            </w:r>
            <w:proofErr w:type="gramStart"/>
            <w:r w:rsidRPr="000F3AF4">
              <w:rPr>
                <w:rFonts w:ascii="Arial" w:hAnsi="Arial" w:cs="Arial"/>
                <w:lang w:val="fr-FR"/>
              </w:rPr>
              <w:t>markers;</w:t>
            </w:r>
            <w:proofErr w:type="gramEnd"/>
            <w:r w:rsidRPr="000F3AF4">
              <w:rPr>
                <w:rFonts w:ascii="Arial" w:hAnsi="Arial" w:cs="Arial"/>
                <w:lang w:val="fr-FR"/>
              </w:rPr>
              <w:t xml:space="preserve"> conceptual in review)</w:t>
            </w:r>
          </w:p>
        </w:tc>
        <w:tc>
          <w:tcPr>
            <w:tcW w:w="0" w:type="auto"/>
            <w:hideMark/>
          </w:tcPr>
          <w:p w14:paraId="0C1DDCCE" w14:textId="77777777" w:rsidR="000F3AF4" w:rsidRPr="000F3AF4" w:rsidRDefault="000F3AF4" w:rsidP="000F3AF4">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fr-FR"/>
              </w:rPr>
            </w:pPr>
            <w:r w:rsidRPr="000F3AF4">
              <w:rPr>
                <w:rFonts w:ascii="Arial" w:hAnsi="Arial" w:cs="Arial"/>
                <w:lang w:val="fr-FR"/>
              </w:rPr>
              <w:t>↑ in CKD</w:t>
            </w:r>
          </w:p>
        </w:tc>
        <w:tc>
          <w:tcPr>
            <w:tcW w:w="0" w:type="auto"/>
            <w:hideMark/>
          </w:tcPr>
          <w:p w14:paraId="70AC75EB" w14:textId="77777777" w:rsidR="000F3AF4" w:rsidRPr="000F3AF4" w:rsidRDefault="000F3AF4" w:rsidP="000F3AF4">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fr-FR"/>
              </w:rPr>
            </w:pPr>
            <w:r w:rsidRPr="000F3AF4">
              <w:rPr>
                <w:rFonts w:ascii="Arial" w:hAnsi="Arial" w:cs="Arial"/>
                <w:lang w:val="fr-FR"/>
              </w:rPr>
              <w:t xml:space="preserve">Accelerates injury alongside </w:t>
            </w:r>
            <w:proofErr w:type="gramStart"/>
            <w:r w:rsidRPr="000F3AF4">
              <w:rPr>
                <w:rFonts w:ascii="Arial" w:hAnsi="Arial" w:cs="Arial"/>
                <w:lang w:val="fr-FR"/>
              </w:rPr>
              <w:t>inflammation;</w:t>
            </w:r>
            <w:proofErr w:type="gramEnd"/>
            <w:r w:rsidRPr="000F3AF4">
              <w:rPr>
                <w:rFonts w:ascii="Arial" w:hAnsi="Arial" w:cs="Arial"/>
                <w:lang w:val="fr-FR"/>
              </w:rPr>
              <w:t xml:space="preserve"> mechanistic amplifier of fibrosis</w:t>
            </w:r>
          </w:p>
        </w:tc>
      </w:tr>
      <w:tr w:rsidR="000F3AF4" w:rsidRPr="000F3AF4" w14:paraId="3C6EABB0" w14:textId="77777777" w:rsidTr="000F3A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6CCDC32" w14:textId="77777777" w:rsidR="000F3AF4" w:rsidRPr="000F3AF4" w:rsidRDefault="000F3AF4" w:rsidP="000F3AF4">
            <w:pPr>
              <w:pStyle w:val="Body"/>
              <w:rPr>
                <w:rFonts w:ascii="Arial" w:hAnsi="Arial" w:cs="Arial"/>
                <w:lang w:val="fr-FR"/>
              </w:rPr>
            </w:pPr>
            <w:r w:rsidRPr="000F3AF4">
              <w:rPr>
                <w:rFonts w:ascii="Arial" w:hAnsi="Arial" w:cs="Arial"/>
                <w:lang w:val="fr-FR"/>
              </w:rPr>
              <w:t>Fibrogenic signaling</w:t>
            </w:r>
          </w:p>
        </w:tc>
        <w:tc>
          <w:tcPr>
            <w:tcW w:w="0" w:type="auto"/>
            <w:hideMark/>
          </w:tcPr>
          <w:p w14:paraId="6C283876" w14:textId="77777777" w:rsidR="000F3AF4" w:rsidRPr="000F3AF4" w:rsidRDefault="000F3AF4" w:rsidP="000F3AF4">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fr-FR"/>
              </w:rPr>
            </w:pPr>
            <w:r w:rsidRPr="000F3AF4">
              <w:rPr>
                <w:rFonts w:ascii="Arial" w:hAnsi="Arial" w:cs="Arial"/>
                <w:b/>
                <w:bCs/>
                <w:lang w:val="fr-FR"/>
              </w:rPr>
              <w:t>TGF</w:t>
            </w:r>
            <w:r w:rsidRPr="000F3AF4">
              <w:rPr>
                <w:rFonts w:ascii="Arial" w:hAnsi="Arial" w:cs="Arial"/>
                <w:b/>
                <w:bCs/>
                <w:lang w:val="fr-FR"/>
              </w:rPr>
              <w:noBreakHyphen/>
              <w:t>β/Smad</w:t>
            </w:r>
            <w:r w:rsidRPr="000F3AF4">
              <w:rPr>
                <w:rFonts w:ascii="Arial" w:hAnsi="Arial" w:cs="Arial"/>
                <w:lang w:val="fr-FR"/>
              </w:rPr>
              <w:t xml:space="preserve"> pathway </w:t>
            </w:r>
            <w:proofErr w:type="gramStart"/>
            <w:r w:rsidRPr="000F3AF4">
              <w:rPr>
                <w:rFonts w:ascii="Arial" w:hAnsi="Arial" w:cs="Arial"/>
                <w:lang w:val="fr-FR"/>
              </w:rPr>
              <w:t>readouts;</w:t>
            </w:r>
            <w:proofErr w:type="gramEnd"/>
            <w:r w:rsidRPr="000F3AF4">
              <w:rPr>
                <w:rFonts w:ascii="Arial" w:hAnsi="Arial" w:cs="Arial"/>
                <w:lang w:val="fr-FR"/>
              </w:rPr>
              <w:t xml:space="preserve"> histologic fibrosis burden</w:t>
            </w:r>
          </w:p>
        </w:tc>
        <w:tc>
          <w:tcPr>
            <w:tcW w:w="0" w:type="auto"/>
            <w:hideMark/>
          </w:tcPr>
          <w:p w14:paraId="5E0AFFF3" w14:textId="77777777" w:rsidR="000F3AF4" w:rsidRPr="000F3AF4" w:rsidRDefault="000F3AF4" w:rsidP="000F3AF4">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fr-FR"/>
              </w:rPr>
            </w:pPr>
            <w:r w:rsidRPr="000F3AF4">
              <w:rPr>
                <w:rFonts w:ascii="Arial" w:hAnsi="Arial" w:cs="Arial"/>
                <w:lang w:val="fr-FR"/>
              </w:rPr>
              <w:t>↑ with progression</w:t>
            </w:r>
          </w:p>
        </w:tc>
        <w:tc>
          <w:tcPr>
            <w:tcW w:w="0" w:type="auto"/>
            <w:hideMark/>
          </w:tcPr>
          <w:p w14:paraId="6709FB7F" w14:textId="77777777" w:rsidR="000F3AF4" w:rsidRPr="000F3AF4" w:rsidRDefault="000F3AF4" w:rsidP="000F3AF4">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fr-FR"/>
              </w:rPr>
            </w:pPr>
            <w:r w:rsidRPr="000F3AF4">
              <w:rPr>
                <w:rFonts w:ascii="Arial" w:hAnsi="Arial" w:cs="Arial"/>
                <w:lang w:val="fr-FR"/>
              </w:rPr>
              <w:t xml:space="preserve">Tracks/mediates tubulointerstitial </w:t>
            </w:r>
            <w:proofErr w:type="gramStart"/>
            <w:r w:rsidRPr="000F3AF4">
              <w:rPr>
                <w:rFonts w:ascii="Arial" w:hAnsi="Arial" w:cs="Arial"/>
                <w:lang w:val="fr-FR"/>
              </w:rPr>
              <w:t>fibrosis;</w:t>
            </w:r>
            <w:proofErr w:type="gramEnd"/>
            <w:r w:rsidRPr="000F3AF4">
              <w:rPr>
                <w:rFonts w:ascii="Arial" w:hAnsi="Arial" w:cs="Arial"/>
                <w:lang w:val="fr-FR"/>
              </w:rPr>
              <w:t xml:space="preserve"> correlates with scarring severity</w:t>
            </w:r>
          </w:p>
        </w:tc>
      </w:tr>
      <w:tr w:rsidR="000F3AF4" w:rsidRPr="000F3AF4" w14:paraId="77B4E780" w14:textId="77777777" w:rsidTr="000F3AF4">
        <w:tc>
          <w:tcPr>
            <w:cnfStyle w:val="001000000000" w:firstRow="0" w:lastRow="0" w:firstColumn="1" w:lastColumn="0" w:oddVBand="0" w:evenVBand="0" w:oddHBand="0" w:evenHBand="0" w:firstRowFirstColumn="0" w:firstRowLastColumn="0" w:lastRowFirstColumn="0" w:lastRowLastColumn="0"/>
            <w:tcW w:w="0" w:type="auto"/>
            <w:hideMark/>
          </w:tcPr>
          <w:p w14:paraId="7CBD6656" w14:textId="77777777" w:rsidR="000F3AF4" w:rsidRPr="000F3AF4" w:rsidRDefault="000F3AF4" w:rsidP="000F3AF4">
            <w:pPr>
              <w:pStyle w:val="Body"/>
              <w:rPr>
                <w:rFonts w:ascii="Arial" w:hAnsi="Arial" w:cs="Arial"/>
                <w:lang w:val="fr-FR"/>
              </w:rPr>
            </w:pPr>
            <w:r w:rsidRPr="000F3AF4">
              <w:rPr>
                <w:rFonts w:ascii="Arial" w:hAnsi="Arial" w:cs="Arial"/>
                <w:lang w:val="fr-FR"/>
              </w:rPr>
              <w:t>Middle</w:t>
            </w:r>
            <w:r w:rsidRPr="000F3AF4">
              <w:rPr>
                <w:rFonts w:ascii="Arial" w:hAnsi="Arial" w:cs="Arial"/>
                <w:lang w:val="fr-FR"/>
              </w:rPr>
              <w:noBreakHyphen/>
              <w:t>molecule uremic toxins</w:t>
            </w:r>
          </w:p>
        </w:tc>
        <w:tc>
          <w:tcPr>
            <w:tcW w:w="0" w:type="auto"/>
            <w:hideMark/>
          </w:tcPr>
          <w:p w14:paraId="090BE48F" w14:textId="77777777" w:rsidR="000F3AF4" w:rsidRPr="000F3AF4" w:rsidRDefault="000F3AF4" w:rsidP="000F3AF4">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fr-FR"/>
              </w:rPr>
            </w:pPr>
            <w:proofErr w:type="gramStart"/>
            <w:r w:rsidRPr="000F3AF4">
              <w:rPr>
                <w:rFonts w:ascii="Arial" w:hAnsi="Arial" w:cs="Arial"/>
                <w:b/>
                <w:bCs/>
                <w:lang w:val="fr-FR"/>
              </w:rPr>
              <w:t>β</w:t>
            </w:r>
            <w:proofErr w:type="gramEnd"/>
            <w:r w:rsidRPr="000F3AF4">
              <w:rPr>
                <w:rFonts w:ascii="Cambria Math" w:hAnsi="Cambria Math" w:cs="Cambria Math"/>
                <w:b/>
                <w:bCs/>
                <w:lang w:val="fr-FR"/>
              </w:rPr>
              <w:t>₂</w:t>
            </w:r>
            <w:r w:rsidRPr="000F3AF4">
              <w:rPr>
                <w:rFonts w:ascii="Arial" w:hAnsi="Arial" w:cs="Arial"/>
                <w:b/>
                <w:bCs/>
                <w:lang w:val="fr-FR"/>
              </w:rPr>
              <w:noBreakHyphen/>
              <w:t>microglobulin (β</w:t>
            </w:r>
            <w:r w:rsidRPr="000F3AF4">
              <w:rPr>
                <w:rFonts w:ascii="Cambria Math" w:hAnsi="Cambria Math" w:cs="Cambria Math"/>
                <w:b/>
                <w:bCs/>
                <w:lang w:val="fr-FR"/>
              </w:rPr>
              <w:t>₂</w:t>
            </w:r>
            <w:r w:rsidRPr="000F3AF4">
              <w:rPr>
                <w:rFonts w:ascii="Arial" w:hAnsi="Arial" w:cs="Arial"/>
                <w:b/>
                <w:bCs/>
                <w:lang w:val="fr-FR"/>
              </w:rPr>
              <w:t>M)</w:t>
            </w:r>
            <w:r w:rsidRPr="000F3AF4">
              <w:rPr>
                <w:rFonts w:ascii="Arial" w:hAnsi="Arial" w:cs="Arial"/>
                <w:lang w:val="fr-FR"/>
              </w:rPr>
              <w:t xml:space="preserve"> (surrogate)</w:t>
            </w:r>
          </w:p>
        </w:tc>
        <w:tc>
          <w:tcPr>
            <w:tcW w:w="0" w:type="auto"/>
            <w:hideMark/>
          </w:tcPr>
          <w:p w14:paraId="284C0A68" w14:textId="77777777" w:rsidR="000F3AF4" w:rsidRPr="000F3AF4" w:rsidRDefault="000F3AF4" w:rsidP="000F3AF4">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fr-FR"/>
              </w:rPr>
            </w:pPr>
            <w:r w:rsidRPr="000F3AF4">
              <w:rPr>
                <w:rFonts w:ascii="Arial" w:hAnsi="Arial" w:cs="Arial"/>
                <w:lang w:val="fr-FR"/>
              </w:rPr>
              <w:t>↑ with conventional high</w:t>
            </w:r>
            <w:r w:rsidRPr="000F3AF4">
              <w:rPr>
                <w:rFonts w:ascii="Arial" w:hAnsi="Arial" w:cs="Arial"/>
                <w:lang w:val="fr-FR"/>
              </w:rPr>
              <w:noBreakHyphen/>
              <w:t xml:space="preserve">flux </w:t>
            </w:r>
            <w:proofErr w:type="gramStart"/>
            <w:r w:rsidRPr="000F3AF4">
              <w:rPr>
                <w:rFonts w:ascii="Arial" w:hAnsi="Arial" w:cs="Arial"/>
                <w:lang w:val="fr-FR"/>
              </w:rPr>
              <w:t>HD;</w:t>
            </w:r>
            <w:proofErr w:type="gramEnd"/>
            <w:r w:rsidRPr="000F3AF4">
              <w:rPr>
                <w:rFonts w:ascii="Arial" w:hAnsi="Arial" w:cs="Arial"/>
                <w:lang w:val="fr-FR"/>
              </w:rPr>
              <w:t xml:space="preserve"> ↓ more with convective therapies (olHDF)</w:t>
            </w:r>
          </w:p>
        </w:tc>
        <w:tc>
          <w:tcPr>
            <w:tcW w:w="0" w:type="auto"/>
            <w:hideMark/>
          </w:tcPr>
          <w:p w14:paraId="08380410" w14:textId="77777777" w:rsidR="000F3AF4" w:rsidRPr="000F3AF4" w:rsidRDefault="000F3AF4" w:rsidP="000F3AF4">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fr-FR"/>
              </w:rPr>
            </w:pPr>
            <w:r w:rsidRPr="000F3AF4">
              <w:rPr>
                <w:rFonts w:ascii="Arial" w:hAnsi="Arial" w:cs="Arial"/>
                <w:lang w:val="fr-FR"/>
              </w:rPr>
              <w:t xml:space="preserve">Burden of middle </w:t>
            </w:r>
            <w:proofErr w:type="gramStart"/>
            <w:r w:rsidRPr="000F3AF4">
              <w:rPr>
                <w:rFonts w:ascii="Arial" w:hAnsi="Arial" w:cs="Arial"/>
                <w:lang w:val="fr-FR"/>
              </w:rPr>
              <w:t>molecules;</w:t>
            </w:r>
            <w:proofErr w:type="gramEnd"/>
            <w:r w:rsidRPr="000F3AF4">
              <w:rPr>
                <w:rFonts w:ascii="Arial" w:hAnsi="Arial" w:cs="Arial"/>
                <w:lang w:val="fr-FR"/>
              </w:rPr>
              <w:t xml:space="preserve"> mechanistic link to inflammation/morbidity; improved clearance under olHDF</w:t>
            </w:r>
          </w:p>
        </w:tc>
      </w:tr>
      <w:tr w:rsidR="000F3AF4" w:rsidRPr="000F3AF4" w14:paraId="19B1AF96" w14:textId="77777777" w:rsidTr="000F3A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2221701" w14:textId="77777777" w:rsidR="000F3AF4" w:rsidRPr="000F3AF4" w:rsidRDefault="000F3AF4" w:rsidP="000F3AF4">
            <w:pPr>
              <w:pStyle w:val="Body"/>
              <w:rPr>
                <w:rFonts w:ascii="Arial" w:hAnsi="Arial" w:cs="Arial"/>
                <w:lang w:val="fr-FR"/>
              </w:rPr>
            </w:pPr>
            <w:r w:rsidRPr="000F3AF4">
              <w:rPr>
                <w:rFonts w:ascii="Arial" w:hAnsi="Arial" w:cs="Arial"/>
                <w:lang w:val="fr-FR"/>
              </w:rPr>
              <w:t>Complement / biocompatibility signals</w:t>
            </w:r>
          </w:p>
        </w:tc>
        <w:tc>
          <w:tcPr>
            <w:tcW w:w="0" w:type="auto"/>
            <w:hideMark/>
          </w:tcPr>
          <w:p w14:paraId="20D964CC" w14:textId="77777777" w:rsidR="000F3AF4" w:rsidRPr="000F3AF4" w:rsidRDefault="000F3AF4" w:rsidP="000F3AF4">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fr-FR"/>
              </w:rPr>
            </w:pPr>
            <w:r w:rsidRPr="000F3AF4">
              <w:rPr>
                <w:rFonts w:ascii="Arial" w:hAnsi="Arial" w:cs="Arial"/>
                <w:lang w:val="fr-FR"/>
              </w:rPr>
              <w:t>Complement activation fragments (e.g., C3a/C5</w:t>
            </w:r>
            <w:proofErr w:type="gramStart"/>
            <w:r w:rsidRPr="000F3AF4">
              <w:rPr>
                <w:rFonts w:ascii="Arial" w:hAnsi="Arial" w:cs="Arial"/>
                <w:lang w:val="fr-FR"/>
              </w:rPr>
              <w:t>a;</w:t>
            </w:r>
            <w:proofErr w:type="gramEnd"/>
            <w:r w:rsidRPr="000F3AF4">
              <w:rPr>
                <w:rFonts w:ascii="Arial" w:hAnsi="Arial" w:cs="Arial"/>
                <w:lang w:val="fr-FR"/>
              </w:rPr>
              <w:t xml:space="preserve"> conceptual surrogate)</w:t>
            </w:r>
          </w:p>
        </w:tc>
        <w:tc>
          <w:tcPr>
            <w:tcW w:w="0" w:type="auto"/>
            <w:hideMark/>
          </w:tcPr>
          <w:p w14:paraId="4EFC9B15" w14:textId="77777777" w:rsidR="000F3AF4" w:rsidRPr="000F3AF4" w:rsidRDefault="000F3AF4" w:rsidP="000F3AF4">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fr-FR"/>
              </w:rPr>
            </w:pPr>
            <w:r w:rsidRPr="000F3AF4">
              <w:rPr>
                <w:rFonts w:ascii="Arial" w:hAnsi="Arial" w:cs="Arial"/>
                <w:lang w:val="fr-FR"/>
              </w:rPr>
              <w:t xml:space="preserve">↓ with synthetic </w:t>
            </w:r>
            <w:r w:rsidRPr="000F3AF4">
              <w:rPr>
                <w:rFonts w:ascii="Arial" w:hAnsi="Arial" w:cs="Arial"/>
                <w:b/>
                <w:bCs/>
                <w:lang w:val="fr-FR"/>
              </w:rPr>
              <w:t>polysulfone/polyethersulfone</w:t>
            </w:r>
            <w:r w:rsidRPr="000F3AF4">
              <w:rPr>
                <w:rFonts w:ascii="Arial" w:hAnsi="Arial" w:cs="Arial"/>
                <w:lang w:val="fr-FR"/>
              </w:rPr>
              <w:t xml:space="preserve"> vs cellulose membranes</w:t>
            </w:r>
          </w:p>
        </w:tc>
        <w:tc>
          <w:tcPr>
            <w:tcW w:w="0" w:type="auto"/>
            <w:hideMark/>
          </w:tcPr>
          <w:p w14:paraId="4BD65E94" w14:textId="77777777" w:rsidR="000F3AF4" w:rsidRPr="000F3AF4" w:rsidRDefault="000F3AF4" w:rsidP="000F3AF4">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fr-FR"/>
              </w:rPr>
            </w:pPr>
            <w:r w:rsidRPr="000F3AF4">
              <w:rPr>
                <w:rFonts w:ascii="Arial" w:hAnsi="Arial" w:cs="Arial"/>
                <w:lang w:val="fr-FR"/>
              </w:rPr>
              <w:t xml:space="preserve">Lower microinflammatory </w:t>
            </w:r>
            <w:proofErr w:type="gramStart"/>
            <w:r w:rsidRPr="000F3AF4">
              <w:rPr>
                <w:rFonts w:ascii="Arial" w:hAnsi="Arial" w:cs="Arial"/>
                <w:lang w:val="fr-FR"/>
              </w:rPr>
              <w:t>activation;</w:t>
            </w:r>
            <w:proofErr w:type="gramEnd"/>
            <w:r w:rsidRPr="000F3AF4">
              <w:rPr>
                <w:rFonts w:ascii="Arial" w:hAnsi="Arial" w:cs="Arial"/>
                <w:lang w:val="fr-FR"/>
              </w:rPr>
              <w:t xml:space="preserve"> better treatment tolerance when biocompatibility is higher</w:t>
            </w:r>
          </w:p>
        </w:tc>
      </w:tr>
      <w:tr w:rsidR="000F3AF4" w:rsidRPr="000F3AF4" w14:paraId="37C45C81" w14:textId="77777777" w:rsidTr="000F3AF4">
        <w:tc>
          <w:tcPr>
            <w:cnfStyle w:val="001000000000" w:firstRow="0" w:lastRow="0" w:firstColumn="1" w:lastColumn="0" w:oddVBand="0" w:evenVBand="0" w:oddHBand="0" w:evenHBand="0" w:firstRowFirstColumn="0" w:firstRowLastColumn="0" w:lastRowFirstColumn="0" w:lastRowLastColumn="0"/>
            <w:tcW w:w="0" w:type="auto"/>
            <w:hideMark/>
          </w:tcPr>
          <w:p w14:paraId="50A9DF8A" w14:textId="77777777" w:rsidR="000F3AF4" w:rsidRPr="000F3AF4" w:rsidRDefault="000F3AF4" w:rsidP="000F3AF4">
            <w:pPr>
              <w:pStyle w:val="Body"/>
              <w:rPr>
                <w:rFonts w:ascii="Arial" w:hAnsi="Arial" w:cs="Arial"/>
                <w:lang w:val="fr-FR"/>
              </w:rPr>
            </w:pPr>
            <w:r w:rsidRPr="000F3AF4">
              <w:rPr>
                <w:rFonts w:ascii="Arial" w:hAnsi="Arial" w:cs="Arial"/>
                <w:lang w:val="fr-FR"/>
              </w:rPr>
              <w:t>Functional trajectory</w:t>
            </w:r>
          </w:p>
        </w:tc>
        <w:tc>
          <w:tcPr>
            <w:tcW w:w="0" w:type="auto"/>
            <w:hideMark/>
          </w:tcPr>
          <w:p w14:paraId="1FF18701" w14:textId="77777777" w:rsidR="000F3AF4" w:rsidRPr="000F3AF4" w:rsidRDefault="000F3AF4" w:rsidP="000F3AF4">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fr-FR"/>
              </w:rPr>
            </w:pPr>
            <w:r w:rsidRPr="000F3AF4">
              <w:rPr>
                <w:rFonts w:ascii="Arial" w:hAnsi="Arial" w:cs="Arial"/>
                <w:lang w:val="fr-FR"/>
              </w:rPr>
              <w:t>eGFR slope (construct)</w:t>
            </w:r>
          </w:p>
        </w:tc>
        <w:tc>
          <w:tcPr>
            <w:tcW w:w="0" w:type="auto"/>
            <w:hideMark/>
          </w:tcPr>
          <w:p w14:paraId="0FD4EAFD" w14:textId="77777777" w:rsidR="000F3AF4" w:rsidRPr="000F3AF4" w:rsidRDefault="000F3AF4" w:rsidP="000F3AF4">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fr-FR"/>
              </w:rPr>
            </w:pPr>
            <w:r w:rsidRPr="000F3AF4">
              <w:rPr>
                <w:rFonts w:ascii="Arial" w:hAnsi="Arial" w:cs="Arial"/>
                <w:lang w:val="fr-FR"/>
              </w:rPr>
              <w:t>Near</w:t>
            </w:r>
            <w:r w:rsidRPr="000F3AF4">
              <w:rPr>
                <w:rFonts w:ascii="Arial" w:hAnsi="Arial" w:cs="Arial"/>
                <w:lang w:val="fr-FR"/>
              </w:rPr>
              <w:noBreakHyphen/>
              <w:t>linear ↓ after early compensation phase</w:t>
            </w:r>
          </w:p>
        </w:tc>
        <w:tc>
          <w:tcPr>
            <w:tcW w:w="0" w:type="auto"/>
            <w:hideMark/>
          </w:tcPr>
          <w:p w14:paraId="7647932B" w14:textId="77777777" w:rsidR="000F3AF4" w:rsidRPr="000F3AF4" w:rsidRDefault="000F3AF4" w:rsidP="000F3AF4">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fr-FR"/>
              </w:rPr>
            </w:pPr>
            <w:r w:rsidRPr="000F3AF4">
              <w:rPr>
                <w:rFonts w:ascii="Arial" w:hAnsi="Arial" w:cs="Arial"/>
                <w:lang w:val="fr-FR"/>
              </w:rPr>
              <w:t xml:space="preserve">Captures cumulative </w:t>
            </w:r>
            <w:proofErr w:type="gramStart"/>
            <w:r w:rsidRPr="000F3AF4">
              <w:rPr>
                <w:rFonts w:ascii="Arial" w:hAnsi="Arial" w:cs="Arial"/>
                <w:lang w:val="fr-FR"/>
              </w:rPr>
              <w:t>scarring;</w:t>
            </w:r>
            <w:proofErr w:type="gramEnd"/>
            <w:r w:rsidRPr="000F3AF4">
              <w:rPr>
                <w:rFonts w:ascii="Arial" w:hAnsi="Arial" w:cs="Arial"/>
                <w:lang w:val="fr-FR"/>
              </w:rPr>
              <w:t xml:space="preserve"> clinical expression of the </w:t>
            </w:r>
            <w:r w:rsidRPr="000F3AF4">
              <w:rPr>
                <w:rFonts w:ascii="Arial" w:hAnsi="Arial" w:cs="Arial"/>
                <w:lang w:val="fr-FR"/>
              </w:rPr>
              <w:lastRenderedPageBreak/>
              <w:t>hyperfiltration→fibrosis cascade</w:t>
            </w:r>
          </w:p>
        </w:tc>
      </w:tr>
    </w:tbl>
    <w:p w14:paraId="308038B9" w14:textId="6EF56328" w:rsidR="000F3AF4" w:rsidRPr="001C1BAC" w:rsidRDefault="000F3AF4" w:rsidP="007332CB">
      <w:pPr>
        <w:pStyle w:val="Body"/>
        <w:spacing w:after="0"/>
        <w:rPr>
          <w:rFonts w:ascii="Arial" w:hAnsi="Arial" w:cs="Arial"/>
        </w:rPr>
      </w:pPr>
      <w:r>
        <w:rPr>
          <w:rFonts w:ascii="Arial" w:hAnsi="Arial" w:cs="Arial"/>
        </w:rPr>
        <w:lastRenderedPageBreak/>
        <w:t>Source: Author</w:t>
      </w:r>
    </w:p>
    <w:p w14:paraId="329C7690" w14:textId="4CCD6FE7" w:rsidR="007332CB" w:rsidRDefault="007332CB" w:rsidP="007332CB">
      <w:pPr>
        <w:pStyle w:val="Body"/>
        <w:spacing w:after="0"/>
        <w:rPr>
          <w:rFonts w:ascii="Arial" w:hAnsi="Arial" w:cs="Arial"/>
          <w:i/>
          <w:iCs/>
        </w:rPr>
      </w:pPr>
      <w:r w:rsidRPr="001C1BAC">
        <w:rPr>
          <w:rFonts w:ascii="Arial" w:hAnsi="Arial" w:cs="Arial"/>
        </w:rPr>
        <w:t>In the technology axis, the comparison between high</w:t>
      </w:r>
      <w:r w:rsidRPr="001C1BAC">
        <w:rPr>
          <w:rFonts w:ascii="Arial" w:hAnsi="Arial" w:cs="Arial"/>
        </w:rPr>
        <w:noBreakHyphen/>
        <w:t>flux HD and high</w:t>
      </w:r>
      <w:r w:rsidRPr="001C1BAC">
        <w:rPr>
          <w:rFonts w:ascii="Arial" w:hAnsi="Arial" w:cs="Arial"/>
        </w:rPr>
        <w:noBreakHyphen/>
        <w:t xml:space="preserve">volume online hemodiafiltration (olHDF) yielded the most consistent directional signal. Studies that achieved high convection volumes reported reductions in </w:t>
      </w:r>
      <w:r w:rsidR="00380723" w:rsidRPr="006E6DEF">
        <w:rPr>
          <w:rFonts w:ascii="Arial" w:hAnsi="Arial" w:cs="Arial"/>
          <w:highlight w:val="yellow"/>
        </w:rPr>
        <w:t>all-cause</w:t>
      </w:r>
      <w:r w:rsidRPr="006E6DEF">
        <w:rPr>
          <w:rFonts w:ascii="Arial" w:hAnsi="Arial" w:cs="Arial"/>
          <w:highlight w:val="yellow"/>
        </w:rPr>
        <w:t xml:space="preserve"> </w:t>
      </w:r>
      <w:r w:rsidRPr="001C1BAC">
        <w:rPr>
          <w:rFonts w:ascii="Arial" w:hAnsi="Arial" w:cs="Arial"/>
        </w:rPr>
        <w:t>and cardiovascular mortality with olHDF versus high</w:t>
      </w:r>
      <w:r w:rsidRPr="001C1BAC">
        <w:rPr>
          <w:rFonts w:ascii="Arial" w:hAnsi="Arial" w:cs="Arial"/>
        </w:rPr>
        <w:noBreakHyphen/>
        <w:t>flux HD, with effect sizes ranging from modest to clinically meaningful; where trials were underpowered or convection volumes were suboptimal, the survival advantage attenuated toward null (Ok et al., 2013). Registry and cohort analyses converged with trials on improved middle</w:t>
      </w:r>
      <w:r w:rsidRPr="001C1BAC">
        <w:rPr>
          <w:rFonts w:ascii="Arial" w:hAnsi="Arial" w:cs="Arial"/>
        </w:rPr>
        <w:noBreakHyphen/>
        <w:t xml:space="preserve">molecule clearance and reduced inflammatory burden under olHDF, supporting a mechanistic link to the observed outcome effects (Bowry, 2002; Develay et al., 2021; Ok et al., 2013). The dependency of outcomes on implementation fidelity was explicit across reports: ultrapure water availability, machine reliability, and staff proficiency in delivering target convective volumes were repeatedly cited as prerequisites for </w:t>
      </w:r>
      <w:r w:rsidR="00380723" w:rsidRPr="006E6DEF">
        <w:rPr>
          <w:rFonts w:ascii="Arial" w:hAnsi="Arial" w:cs="Arial"/>
          <w:highlight w:val="yellow"/>
        </w:rPr>
        <w:t xml:space="preserve">realising </w:t>
      </w:r>
      <w:r w:rsidRPr="001C1BAC">
        <w:rPr>
          <w:rFonts w:ascii="Arial" w:hAnsi="Arial" w:cs="Arial"/>
        </w:rPr>
        <w:t>olHDF benefits (Bowry, 2002; Develay et al., 2021; Ok et al., 2013). Synthetic high</w:t>
      </w:r>
      <w:r w:rsidRPr="001C1BAC">
        <w:rPr>
          <w:rFonts w:ascii="Arial" w:hAnsi="Arial" w:cs="Arial"/>
        </w:rPr>
        <w:noBreakHyphen/>
        <w:t xml:space="preserve">flux membranes—particularly polysulfone and polyethersulfone—were associated with lower complement activation and improved biocompatibility relative to </w:t>
      </w:r>
      <w:r w:rsidR="00380723" w:rsidRPr="006E6DEF">
        <w:rPr>
          <w:rFonts w:ascii="Arial" w:hAnsi="Arial" w:cs="Arial"/>
          <w:highlight w:val="yellow"/>
        </w:rPr>
        <w:t>cellulose-based</w:t>
      </w:r>
      <w:r w:rsidRPr="006E6DEF">
        <w:rPr>
          <w:rFonts w:ascii="Arial" w:hAnsi="Arial" w:cs="Arial"/>
          <w:highlight w:val="yellow"/>
        </w:rPr>
        <w:t xml:space="preserve"> </w:t>
      </w:r>
      <w:r w:rsidRPr="001C1BAC">
        <w:rPr>
          <w:rFonts w:ascii="Arial" w:hAnsi="Arial" w:cs="Arial"/>
        </w:rPr>
        <w:t>membranes, with several studies noting reduced chronic inflammation and better tolerance; again, these advantages were conditional on water quality and reprocessing practices (Bowry, 2002; Develay et al., 2021). In critical</w:t>
      </w:r>
      <w:r w:rsidRPr="001C1BAC">
        <w:rPr>
          <w:rFonts w:ascii="Arial" w:hAnsi="Arial" w:cs="Arial"/>
        </w:rPr>
        <w:noBreakHyphen/>
        <w:t xml:space="preserve">care settings, hybrid prolonged intermittent modalities such as SLED and SLEDf demonstrated </w:t>
      </w:r>
      <w:r w:rsidR="00380723" w:rsidRPr="006E6DEF">
        <w:rPr>
          <w:rFonts w:ascii="Arial" w:hAnsi="Arial" w:cs="Arial"/>
          <w:highlight w:val="yellow"/>
        </w:rPr>
        <w:t>noninferior</w:t>
      </w:r>
      <w:r w:rsidRPr="006E6DEF">
        <w:rPr>
          <w:rFonts w:ascii="Arial" w:hAnsi="Arial" w:cs="Arial"/>
          <w:highlight w:val="yellow"/>
        </w:rPr>
        <w:t xml:space="preserve"> </w:t>
      </w:r>
      <w:r w:rsidRPr="001C1BAC">
        <w:rPr>
          <w:rFonts w:ascii="Arial" w:hAnsi="Arial" w:cs="Arial"/>
        </w:rPr>
        <w:t xml:space="preserve">survival and renal recovery compared with continuous RRT in the included comparisons, with the added practical advantages of lower anticoagulation exposure and improved resource </w:t>
      </w:r>
      <w:r w:rsidR="00380723" w:rsidRPr="006E6DEF">
        <w:rPr>
          <w:rFonts w:ascii="Arial" w:hAnsi="Arial" w:cs="Arial"/>
          <w:highlight w:val="yellow"/>
        </w:rPr>
        <w:t>utilisation</w:t>
      </w:r>
      <w:r w:rsidRPr="001C1BAC">
        <w:rPr>
          <w:rFonts w:ascii="Arial" w:hAnsi="Arial" w:cs="Arial"/>
        </w:rPr>
        <w:t xml:space="preserve">; modality selection remained contingent on patient hemodynamics and unit logistics (Fiaccadori et al., 2006). Exploratory reports on wearable and implantable bioartificial kidneys documented progress in silicon nanopore membranes and tubule cell bioreactors, but clinical outcome data were not available within the corpus; the immediate implication for practice was limited to horizon scanning and defining translational milestones. </w:t>
      </w:r>
      <w:r w:rsidRPr="001C1BAC">
        <w:rPr>
          <w:rFonts w:ascii="Arial" w:hAnsi="Arial" w:cs="Arial"/>
          <w:i/>
          <w:iCs/>
        </w:rPr>
        <w:t xml:space="preserve">Table 2 </w:t>
      </w:r>
      <w:r w:rsidR="00380723" w:rsidRPr="006E6DEF">
        <w:rPr>
          <w:rFonts w:ascii="Arial" w:hAnsi="Arial" w:cs="Arial"/>
          <w:i/>
          <w:iCs/>
          <w:highlight w:val="yellow"/>
        </w:rPr>
        <w:t xml:space="preserve">synthesises </w:t>
      </w:r>
      <w:r w:rsidRPr="001C1BAC">
        <w:rPr>
          <w:rFonts w:ascii="Arial" w:hAnsi="Arial" w:cs="Arial"/>
          <w:i/>
          <w:iCs/>
        </w:rPr>
        <w:t>the principal comparative signals and their caveats.</w:t>
      </w:r>
    </w:p>
    <w:p w14:paraId="122D9BC1" w14:textId="77777777" w:rsidR="000F3AF4" w:rsidRPr="000F3AF4" w:rsidRDefault="000F3AF4" w:rsidP="000F3AF4">
      <w:pPr>
        <w:pStyle w:val="Body"/>
        <w:spacing w:after="0"/>
        <w:rPr>
          <w:rFonts w:ascii="Arial" w:hAnsi="Arial" w:cs="Arial"/>
          <w:b/>
          <w:bCs/>
          <w:lang w:val="fr-FR"/>
        </w:rPr>
      </w:pPr>
      <w:r w:rsidRPr="000F3AF4">
        <w:rPr>
          <w:rFonts w:ascii="Arial" w:hAnsi="Arial" w:cs="Arial"/>
          <w:b/>
          <w:bCs/>
          <w:lang w:val="fr-FR"/>
        </w:rPr>
        <w:t>Table 2. Principal comparative signals across technologies/training and their caveats</w:t>
      </w:r>
    </w:p>
    <w:tbl>
      <w:tblPr>
        <w:tblStyle w:val="PlainTable1"/>
        <w:tblW w:w="0" w:type="auto"/>
        <w:tblLook w:val="04A0" w:firstRow="1" w:lastRow="0" w:firstColumn="1" w:lastColumn="0" w:noHBand="0" w:noVBand="1"/>
      </w:tblPr>
      <w:tblGrid>
        <w:gridCol w:w="1961"/>
        <w:gridCol w:w="1664"/>
        <w:gridCol w:w="2287"/>
        <w:gridCol w:w="2286"/>
      </w:tblGrid>
      <w:tr w:rsidR="000F3AF4" w:rsidRPr="000F3AF4" w14:paraId="617868C0" w14:textId="77777777" w:rsidTr="000F3AF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ABCF807" w14:textId="77777777" w:rsidR="000F3AF4" w:rsidRPr="000F3AF4" w:rsidRDefault="000F3AF4" w:rsidP="000F3AF4">
            <w:pPr>
              <w:pStyle w:val="Body"/>
              <w:rPr>
                <w:rFonts w:ascii="Arial" w:hAnsi="Arial" w:cs="Arial"/>
                <w:lang w:val="fr-FR"/>
              </w:rPr>
            </w:pPr>
            <w:r w:rsidRPr="000F3AF4">
              <w:rPr>
                <w:rFonts w:ascii="Arial" w:hAnsi="Arial" w:cs="Arial"/>
                <w:lang w:val="fr-FR"/>
              </w:rPr>
              <w:t>Comparison</w:t>
            </w:r>
          </w:p>
        </w:tc>
        <w:tc>
          <w:tcPr>
            <w:tcW w:w="0" w:type="auto"/>
            <w:hideMark/>
          </w:tcPr>
          <w:p w14:paraId="3E84183C" w14:textId="77777777" w:rsidR="000F3AF4" w:rsidRPr="000F3AF4" w:rsidRDefault="000F3AF4" w:rsidP="000F3AF4">
            <w:pPr>
              <w:pStyle w:val="Body"/>
              <w:cnfStyle w:val="100000000000" w:firstRow="1" w:lastRow="0" w:firstColumn="0" w:lastColumn="0" w:oddVBand="0" w:evenVBand="0" w:oddHBand="0" w:evenHBand="0" w:firstRowFirstColumn="0" w:firstRowLastColumn="0" w:lastRowFirstColumn="0" w:lastRowLastColumn="0"/>
              <w:rPr>
                <w:rFonts w:ascii="Arial" w:hAnsi="Arial" w:cs="Arial"/>
                <w:lang w:val="fr-FR"/>
              </w:rPr>
            </w:pPr>
            <w:r w:rsidRPr="000F3AF4">
              <w:rPr>
                <w:rFonts w:ascii="Arial" w:hAnsi="Arial" w:cs="Arial"/>
                <w:lang w:val="fr-FR"/>
              </w:rPr>
              <w:t>Principal signal (direction &amp; magnitude)</w:t>
            </w:r>
          </w:p>
        </w:tc>
        <w:tc>
          <w:tcPr>
            <w:tcW w:w="0" w:type="auto"/>
            <w:hideMark/>
          </w:tcPr>
          <w:p w14:paraId="6CA27AA7" w14:textId="77777777" w:rsidR="000F3AF4" w:rsidRPr="000F3AF4" w:rsidRDefault="000F3AF4" w:rsidP="000F3AF4">
            <w:pPr>
              <w:pStyle w:val="Body"/>
              <w:cnfStyle w:val="100000000000" w:firstRow="1" w:lastRow="0" w:firstColumn="0" w:lastColumn="0" w:oddVBand="0" w:evenVBand="0" w:oddHBand="0" w:evenHBand="0" w:firstRowFirstColumn="0" w:firstRowLastColumn="0" w:lastRowFirstColumn="0" w:lastRowLastColumn="0"/>
              <w:rPr>
                <w:rFonts w:ascii="Arial" w:hAnsi="Arial" w:cs="Arial"/>
                <w:lang w:val="fr-FR"/>
              </w:rPr>
            </w:pPr>
            <w:r w:rsidRPr="000F3AF4">
              <w:rPr>
                <w:rFonts w:ascii="Arial" w:hAnsi="Arial" w:cs="Arial"/>
                <w:lang w:val="fr-FR"/>
              </w:rPr>
              <w:t>Conditions / prerequisites to realize benefit</w:t>
            </w:r>
          </w:p>
        </w:tc>
        <w:tc>
          <w:tcPr>
            <w:tcW w:w="0" w:type="auto"/>
            <w:hideMark/>
          </w:tcPr>
          <w:p w14:paraId="30485619" w14:textId="77777777" w:rsidR="000F3AF4" w:rsidRPr="000F3AF4" w:rsidRDefault="000F3AF4" w:rsidP="000F3AF4">
            <w:pPr>
              <w:pStyle w:val="Body"/>
              <w:cnfStyle w:val="100000000000" w:firstRow="1" w:lastRow="0" w:firstColumn="0" w:lastColumn="0" w:oddVBand="0" w:evenVBand="0" w:oddHBand="0" w:evenHBand="0" w:firstRowFirstColumn="0" w:firstRowLastColumn="0" w:lastRowFirstColumn="0" w:lastRowLastColumn="0"/>
              <w:rPr>
                <w:rFonts w:ascii="Arial" w:hAnsi="Arial" w:cs="Arial"/>
                <w:lang w:val="fr-FR"/>
              </w:rPr>
            </w:pPr>
            <w:r w:rsidRPr="000F3AF4">
              <w:rPr>
                <w:rFonts w:ascii="Arial" w:hAnsi="Arial" w:cs="Arial"/>
                <w:lang w:val="fr-FR"/>
              </w:rPr>
              <w:t>Key caveats / limitations</w:t>
            </w:r>
          </w:p>
        </w:tc>
      </w:tr>
      <w:tr w:rsidR="000F3AF4" w:rsidRPr="000F3AF4" w14:paraId="4DBFF3FF" w14:textId="77777777" w:rsidTr="000F3A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3576C3C" w14:textId="77777777" w:rsidR="000F3AF4" w:rsidRPr="000F3AF4" w:rsidRDefault="000F3AF4" w:rsidP="000F3AF4">
            <w:pPr>
              <w:pStyle w:val="Body"/>
              <w:rPr>
                <w:rFonts w:ascii="Arial" w:hAnsi="Arial" w:cs="Arial"/>
                <w:lang w:val="fr-FR"/>
              </w:rPr>
            </w:pPr>
            <w:r w:rsidRPr="000F3AF4">
              <w:rPr>
                <w:rFonts w:ascii="Arial" w:hAnsi="Arial" w:cs="Arial"/>
                <w:lang w:val="fr-FR"/>
              </w:rPr>
              <w:t>High</w:t>
            </w:r>
            <w:r w:rsidRPr="000F3AF4">
              <w:rPr>
                <w:rFonts w:ascii="Arial" w:hAnsi="Arial" w:cs="Arial"/>
                <w:lang w:val="fr-FR"/>
              </w:rPr>
              <w:noBreakHyphen/>
              <w:t>volume online hemodiafiltration (olHDF) vs high</w:t>
            </w:r>
            <w:r w:rsidRPr="000F3AF4">
              <w:rPr>
                <w:rFonts w:ascii="Arial" w:hAnsi="Arial" w:cs="Arial"/>
                <w:lang w:val="fr-FR"/>
              </w:rPr>
              <w:noBreakHyphen/>
              <w:t>flux HD</w:t>
            </w:r>
          </w:p>
        </w:tc>
        <w:tc>
          <w:tcPr>
            <w:tcW w:w="0" w:type="auto"/>
            <w:hideMark/>
          </w:tcPr>
          <w:p w14:paraId="2BE01583" w14:textId="77777777" w:rsidR="000F3AF4" w:rsidRPr="000F3AF4" w:rsidRDefault="000F3AF4" w:rsidP="000F3AF4">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fr-FR"/>
              </w:rPr>
            </w:pPr>
            <w:r w:rsidRPr="000F3AF4">
              <w:rPr>
                <w:rFonts w:ascii="Arial" w:hAnsi="Arial" w:cs="Arial"/>
                <w:lang w:val="fr-FR"/>
              </w:rPr>
              <w:t>↓ all</w:t>
            </w:r>
            <w:r w:rsidRPr="000F3AF4">
              <w:rPr>
                <w:rFonts w:ascii="Arial" w:hAnsi="Arial" w:cs="Arial"/>
                <w:lang w:val="fr-FR"/>
              </w:rPr>
              <w:noBreakHyphen/>
              <w:t>cause/CV mortality (≈ 10–17% in trials/registries when high convection achieved</w:t>
            </w:r>
            <w:proofErr w:type="gramStart"/>
            <w:r w:rsidRPr="000F3AF4">
              <w:rPr>
                <w:rFonts w:ascii="Arial" w:hAnsi="Arial" w:cs="Arial"/>
                <w:lang w:val="fr-FR"/>
              </w:rPr>
              <w:t>);</w:t>
            </w:r>
            <w:proofErr w:type="gramEnd"/>
            <w:r w:rsidRPr="000F3AF4">
              <w:rPr>
                <w:rFonts w:ascii="Arial" w:hAnsi="Arial" w:cs="Arial"/>
                <w:lang w:val="fr-FR"/>
              </w:rPr>
              <w:t xml:space="preserve"> ↑ middle</w:t>
            </w:r>
            <w:r w:rsidRPr="000F3AF4">
              <w:rPr>
                <w:rFonts w:ascii="Arial" w:hAnsi="Arial" w:cs="Arial"/>
                <w:lang w:val="fr-FR"/>
              </w:rPr>
              <w:noBreakHyphen/>
              <w:t>molecule removal; ↓ inflammatory burden</w:t>
            </w:r>
          </w:p>
        </w:tc>
        <w:tc>
          <w:tcPr>
            <w:tcW w:w="0" w:type="auto"/>
            <w:hideMark/>
          </w:tcPr>
          <w:p w14:paraId="4EA602A7" w14:textId="77777777" w:rsidR="000F3AF4" w:rsidRPr="000F3AF4" w:rsidRDefault="000F3AF4" w:rsidP="000F3AF4">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fr-FR"/>
              </w:rPr>
            </w:pPr>
            <w:r w:rsidRPr="000F3AF4">
              <w:rPr>
                <w:rFonts w:ascii="Arial" w:hAnsi="Arial" w:cs="Arial"/>
                <w:lang w:val="fr-FR"/>
              </w:rPr>
              <w:t>Consistently high post</w:t>
            </w:r>
            <w:r w:rsidRPr="000F3AF4">
              <w:rPr>
                <w:rFonts w:ascii="Arial" w:hAnsi="Arial" w:cs="Arial"/>
                <w:lang w:val="fr-FR"/>
              </w:rPr>
              <w:noBreakHyphen/>
              <w:t>dilution convective volume (target ≥ ~20 L/session as program goal), ultrapure water, reliable machines, trained staff to hit targets</w:t>
            </w:r>
          </w:p>
        </w:tc>
        <w:tc>
          <w:tcPr>
            <w:tcW w:w="0" w:type="auto"/>
            <w:hideMark/>
          </w:tcPr>
          <w:p w14:paraId="51C0A61F" w14:textId="77777777" w:rsidR="000F3AF4" w:rsidRPr="000F3AF4" w:rsidRDefault="000F3AF4" w:rsidP="000F3AF4">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fr-FR"/>
              </w:rPr>
            </w:pPr>
            <w:r w:rsidRPr="000F3AF4">
              <w:rPr>
                <w:rFonts w:ascii="Arial" w:hAnsi="Arial" w:cs="Arial"/>
                <w:lang w:val="fr-FR"/>
              </w:rPr>
              <w:t xml:space="preserve">Some RCTs </w:t>
            </w:r>
            <w:proofErr w:type="gramStart"/>
            <w:r w:rsidRPr="000F3AF4">
              <w:rPr>
                <w:rFonts w:ascii="Arial" w:hAnsi="Arial" w:cs="Arial"/>
                <w:lang w:val="fr-FR"/>
              </w:rPr>
              <w:t>underpowered;</w:t>
            </w:r>
            <w:proofErr w:type="gramEnd"/>
            <w:r w:rsidRPr="000F3AF4">
              <w:rPr>
                <w:rFonts w:ascii="Arial" w:hAnsi="Arial" w:cs="Arial"/>
                <w:lang w:val="fr-FR"/>
              </w:rPr>
              <w:t xml:space="preserve"> benefit attenuates with suboptimal convection; registry data susceptible to residual confounding; implementation fidelity critical</w:t>
            </w:r>
          </w:p>
        </w:tc>
      </w:tr>
      <w:tr w:rsidR="000F3AF4" w:rsidRPr="000F3AF4" w14:paraId="0FFAC2D9" w14:textId="77777777" w:rsidTr="000F3AF4">
        <w:tc>
          <w:tcPr>
            <w:cnfStyle w:val="001000000000" w:firstRow="0" w:lastRow="0" w:firstColumn="1" w:lastColumn="0" w:oddVBand="0" w:evenVBand="0" w:oddHBand="0" w:evenHBand="0" w:firstRowFirstColumn="0" w:firstRowLastColumn="0" w:lastRowFirstColumn="0" w:lastRowLastColumn="0"/>
            <w:tcW w:w="0" w:type="auto"/>
            <w:hideMark/>
          </w:tcPr>
          <w:p w14:paraId="58005F91" w14:textId="77777777" w:rsidR="000F3AF4" w:rsidRPr="000F3AF4" w:rsidRDefault="000F3AF4" w:rsidP="000F3AF4">
            <w:pPr>
              <w:pStyle w:val="Body"/>
              <w:rPr>
                <w:rFonts w:ascii="Arial" w:hAnsi="Arial" w:cs="Arial"/>
                <w:lang w:val="fr-FR"/>
              </w:rPr>
            </w:pPr>
            <w:r w:rsidRPr="000F3AF4">
              <w:rPr>
                <w:rFonts w:ascii="Arial" w:hAnsi="Arial" w:cs="Arial"/>
                <w:lang w:val="fr-FR"/>
              </w:rPr>
              <w:t>Synthetic high</w:t>
            </w:r>
            <w:r w:rsidRPr="000F3AF4">
              <w:rPr>
                <w:rFonts w:ascii="Arial" w:hAnsi="Arial" w:cs="Arial"/>
                <w:lang w:val="fr-FR"/>
              </w:rPr>
              <w:noBreakHyphen/>
              <w:t>flux membranes (PS/PES) vs cellulose</w:t>
            </w:r>
            <w:r w:rsidRPr="000F3AF4">
              <w:rPr>
                <w:rFonts w:ascii="Arial" w:hAnsi="Arial" w:cs="Arial"/>
                <w:lang w:val="fr-FR"/>
              </w:rPr>
              <w:noBreakHyphen/>
              <w:t>based</w:t>
            </w:r>
          </w:p>
        </w:tc>
        <w:tc>
          <w:tcPr>
            <w:tcW w:w="0" w:type="auto"/>
            <w:hideMark/>
          </w:tcPr>
          <w:p w14:paraId="215F2707" w14:textId="77777777" w:rsidR="000F3AF4" w:rsidRPr="000F3AF4" w:rsidRDefault="000F3AF4" w:rsidP="000F3AF4">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fr-FR"/>
              </w:rPr>
            </w:pPr>
            <w:r w:rsidRPr="000F3AF4">
              <w:rPr>
                <w:rFonts w:ascii="Arial" w:hAnsi="Arial" w:cs="Arial"/>
                <w:lang w:val="fr-FR"/>
              </w:rPr>
              <w:t xml:space="preserve">↓ complement activation / </w:t>
            </w:r>
            <w:proofErr w:type="gramStart"/>
            <w:r w:rsidRPr="000F3AF4">
              <w:rPr>
                <w:rFonts w:ascii="Arial" w:hAnsi="Arial" w:cs="Arial"/>
                <w:lang w:val="fr-FR"/>
              </w:rPr>
              <w:t>microinflammation;</w:t>
            </w:r>
            <w:proofErr w:type="gramEnd"/>
            <w:r w:rsidRPr="000F3AF4">
              <w:rPr>
                <w:rFonts w:ascii="Arial" w:hAnsi="Arial" w:cs="Arial"/>
                <w:lang w:val="fr-FR"/>
              </w:rPr>
              <w:t xml:space="preserve"> improved </w:t>
            </w:r>
            <w:r w:rsidRPr="000F3AF4">
              <w:rPr>
                <w:rFonts w:ascii="Arial" w:hAnsi="Arial" w:cs="Arial"/>
                <w:lang w:val="fr-FR"/>
              </w:rPr>
              <w:lastRenderedPageBreak/>
              <w:t>biocompatibility and tolerance</w:t>
            </w:r>
          </w:p>
        </w:tc>
        <w:tc>
          <w:tcPr>
            <w:tcW w:w="0" w:type="auto"/>
            <w:hideMark/>
          </w:tcPr>
          <w:p w14:paraId="5A68F9DA" w14:textId="77777777" w:rsidR="000F3AF4" w:rsidRPr="000F3AF4" w:rsidRDefault="000F3AF4" w:rsidP="000F3AF4">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fr-FR"/>
              </w:rPr>
            </w:pPr>
            <w:r w:rsidRPr="000F3AF4">
              <w:rPr>
                <w:rFonts w:ascii="Arial" w:hAnsi="Arial" w:cs="Arial"/>
                <w:lang w:val="fr-FR"/>
              </w:rPr>
              <w:lastRenderedPageBreak/>
              <w:t xml:space="preserve">Ultrapure </w:t>
            </w:r>
            <w:proofErr w:type="gramStart"/>
            <w:r w:rsidRPr="000F3AF4">
              <w:rPr>
                <w:rFonts w:ascii="Arial" w:hAnsi="Arial" w:cs="Arial"/>
                <w:lang w:val="fr-FR"/>
              </w:rPr>
              <w:t>fluids;</w:t>
            </w:r>
            <w:proofErr w:type="gramEnd"/>
            <w:r w:rsidRPr="000F3AF4">
              <w:rPr>
                <w:rFonts w:ascii="Arial" w:hAnsi="Arial" w:cs="Arial"/>
                <w:lang w:val="fr-FR"/>
              </w:rPr>
              <w:t xml:space="preserve"> appropriate reprocessing/maintenance; membrane </w:t>
            </w:r>
            <w:r w:rsidRPr="000F3AF4">
              <w:rPr>
                <w:rFonts w:ascii="Arial" w:hAnsi="Arial" w:cs="Arial"/>
                <w:lang w:val="fr-FR"/>
              </w:rPr>
              <w:lastRenderedPageBreak/>
              <w:t>selection aligned with patient needs</w:t>
            </w:r>
          </w:p>
        </w:tc>
        <w:tc>
          <w:tcPr>
            <w:tcW w:w="0" w:type="auto"/>
            <w:hideMark/>
          </w:tcPr>
          <w:p w14:paraId="084616E3" w14:textId="77777777" w:rsidR="000F3AF4" w:rsidRPr="000F3AF4" w:rsidRDefault="000F3AF4" w:rsidP="000F3AF4">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fr-FR"/>
              </w:rPr>
            </w:pPr>
            <w:r w:rsidRPr="000F3AF4">
              <w:rPr>
                <w:rFonts w:ascii="Arial" w:hAnsi="Arial" w:cs="Arial"/>
                <w:lang w:val="fr-FR"/>
              </w:rPr>
              <w:lastRenderedPageBreak/>
              <w:t>Heterogeneity in study endpoints/</w:t>
            </w:r>
            <w:proofErr w:type="gramStart"/>
            <w:r w:rsidRPr="000F3AF4">
              <w:rPr>
                <w:rFonts w:ascii="Arial" w:hAnsi="Arial" w:cs="Arial"/>
                <w:lang w:val="fr-FR"/>
              </w:rPr>
              <w:t>assays;</w:t>
            </w:r>
            <w:proofErr w:type="gramEnd"/>
            <w:r w:rsidRPr="000F3AF4">
              <w:rPr>
                <w:rFonts w:ascii="Arial" w:hAnsi="Arial" w:cs="Arial"/>
                <w:lang w:val="fr-FR"/>
              </w:rPr>
              <w:t xml:space="preserve"> effects contingent on water quality and local practices</w:t>
            </w:r>
          </w:p>
        </w:tc>
      </w:tr>
      <w:tr w:rsidR="000F3AF4" w:rsidRPr="000F3AF4" w14:paraId="54DB3440" w14:textId="77777777" w:rsidTr="000F3A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211C3D8" w14:textId="77777777" w:rsidR="000F3AF4" w:rsidRPr="000F3AF4" w:rsidRDefault="000F3AF4" w:rsidP="000F3AF4">
            <w:pPr>
              <w:pStyle w:val="Body"/>
              <w:rPr>
                <w:rFonts w:ascii="Arial" w:hAnsi="Arial" w:cs="Arial"/>
                <w:lang w:val="fr-FR"/>
              </w:rPr>
            </w:pPr>
            <w:r w:rsidRPr="000F3AF4">
              <w:rPr>
                <w:rFonts w:ascii="Arial" w:hAnsi="Arial" w:cs="Arial"/>
                <w:lang w:val="fr-FR"/>
              </w:rPr>
              <w:lastRenderedPageBreak/>
              <w:t>Hybrid prolonged intermittent RRT (SLED/SLEDf) vs CRRT (ICU AKI)</w:t>
            </w:r>
          </w:p>
        </w:tc>
        <w:tc>
          <w:tcPr>
            <w:tcW w:w="0" w:type="auto"/>
            <w:hideMark/>
          </w:tcPr>
          <w:p w14:paraId="1E92F41C" w14:textId="77777777" w:rsidR="000F3AF4" w:rsidRPr="000F3AF4" w:rsidRDefault="000F3AF4" w:rsidP="000F3AF4">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fr-FR"/>
              </w:rPr>
            </w:pPr>
            <w:r w:rsidRPr="000F3AF4">
              <w:rPr>
                <w:rFonts w:ascii="Arial" w:hAnsi="Arial" w:cs="Arial"/>
                <w:lang w:val="fr-FR"/>
              </w:rPr>
              <w:t>Non</w:t>
            </w:r>
            <w:r w:rsidRPr="000F3AF4">
              <w:rPr>
                <w:rFonts w:ascii="Arial" w:hAnsi="Arial" w:cs="Arial"/>
                <w:lang w:val="fr-FR"/>
              </w:rPr>
              <w:noBreakHyphen/>
              <w:t xml:space="preserve">inferior survival and renal recovery in many </w:t>
            </w:r>
            <w:proofErr w:type="gramStart"/>
            <w:r w:rsidRPr="000F3AF4">
              <w:rPr>
                <w:rFonts w:ascii="Arial" w:hAnsi="Arial" w:cs="Arial"/>
                <w:lang w:val="fr-FR"/>
              </w:rPr>
              <w:t>contexts;</w:t>
            </w:r>
            <w:proofErr w:type="gramEnd"/>
            <w:r w:rsidRPr="000F3AF4">
              <w:rPr>
                <w:rFonts w:ascii="Arial" w:hAnsi="Arial" w:cs="Arial"/>
                <w:lang w:val="fr-FR"/>
              </w:rPr>
              <w:t xml:space="preserve"> logistical advantages (less anticoagulation exposure, resource flexibility)</w:t>
            </w:r>
          </w:p>
        </w:tc>
        <w:tc>
          <w:tcPr>
            <w:tcW w:w="0" w:type="auto"/>
            <w:hideMark/>
          </w:tcPr>
          <w:p w14:paraId="06ABAA52" w14:textId="77777777" w:rsidR="000F3AF4" w:rsidRPr="000F3AF4" w:rsidRDefault="000F3AF4" w:rsidP="000F3AF4">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fr-FR"/>
              </w:rPr>
            </w:pPr>
            <w:r w:rsidRPr="000F3AF4">
              <w:rPr>
                <w:rFonts w:ascii="Arial" w:hAnsi="Arial" w:cs="Arial"/>
                <w:lang w:val="fr-FR"/>
              </w:rPr>
              <w:t xml:space="preserve">Patient hemodynamic </w:t>
            </w:r>
            <w:proofErr w:type="gramStart"/>
            <w:r w:rsidRPr="000F3AF4">
              <w:rPr>
                <w:rFonts w:ascii="Arial" w:hAnsi="Arial" w:cs="Arial"/>
                <w:lang w:val="fr-FR"/>
              </w:rPr>
              <w:t>suitability;</w:t>
            </w:r>
            <w:proofErr w:type="gramEnd"/>
            <w:r w:rsidRPr="000F3AF4">
              <w:rPr>
                <w:rFonts w:ascii="Arial" w:hAnsi="Arial" w:cs="Arial"/>
                <w:lang w:val="fr-FR"/>
              </w:rPr>
              <w:t xml:space="preserve"> staffing and scheduling to deliver prolonged sessions reliably</w:t>
            </w:r>
          </w:p>
        </w:tc>
        <w:tc>
          <w:tcPr>
            <w:tcW w:w="0" w:type="auto"/>
            <w:hideMark/>
          </w:tcPr>
          <w:p w14:paraId="02B1BE98" w14:textId="77777777" w:rsidR="000F3AF4" w:rsidRPr="000F3AF4" w:rsidRDefault="000F3AF4" w:rsidP="000F3AF4">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fr-FR"/>
              </w:rPr>
            </w:pPr>
            <w:r w:rsidRPr="000F3AF4">
              <w:rPr>
                <w:rFonts w:ascii="Arial" w:hAnsi="Arial" w:cs="Arial"/>
                <w:lang w:val="fr-FR"/>
              </w:rPr>
              <w:t>Evidence base often observational/</w:t>
            </w:r>
            <w:proofErr w:type="gramStart"/>
            <w:r w:rsidRPr="000F3AF4">
              <w:rPr>
                <w:rFonts w:ascii="Arial" w:hAnsi="Arial" w:cs="Arial"/>
                <w:lang w:val="fr-FR"/>
              </w:rPr>
              <w:t>pragmatic;</w:t>
            </w:r>
            <w:proofErr w:type="gramEnd"/>
            <w:r w:rsidRPr="000F3AF4">
              <w:rPr>
                <w:rFonts w:ascii="Arial" w:hAnsi="Arial" w:cs="Arial"/>
                <w:lang w:val="fr-FR"/>
              </w:rPr>
              <w:t xml:space="preserve"> modality choice individualized; definitional variability across studies</w:t>
            </w:r>
          </w:p>
        </w:tc>
      </w:tr>
      <w:tr w:rsidR="000F3AF4" w:rsidRPr="000F3AF4" w14:paraId="1A36799A" w14:textId="77777777" w:rsidTr="000F3AF4">
        <w:tc>
          <w:tcPr>
            <w:cnfStyle w:val="001000000000" w:firstRow="0" w:lastRow="0" w:firstColumn="1" w:lastColumn="0" w:oddVBand="0" w:evenVBand="0" w:oddHBand="0" w:evenHBand="0" w:firstRowFirstColumn="0" w:firstRowLastColumn="0" w:lastRowFirstColumn="0" w:lastRowLastColumn="0"/>
            <w:tcW w:w="0" w:type="auto"/>
            <w:hideMark/>
          </w:tcPr>
          <w:p w14:paraId="78705D2E" w14:textId="77777777" w:rsidR="000F3AF4" w:rsidRPr="000F3AF4" w:rsidRDefault="000F3AF4" w:rsidP="000F3AF4">
            <w:pPr>
              <w:pStyle w:val="Body"/>
              <w:rPr>
                <w:rFonts w:ascii="Arial" w:hAnsi="Arial" w:cs="Arial"/>
                <w:lang w:val="fr-FR"/>
              </w:rPr>
            </w:pPr>
            <w:r w:rsidRPr="000F3AF4">
              <w:rPr>
                <w:rFonts w:ascii="Arial" w:hAnsi="Arial" w:cs="Arial"/>
                <w:lang w:val="fr-FR"/>
              </w:rPr>
              <w:t>Simulation</w:t>
            </w:r>
            <w:r w:rsidRPr="000F3AF4">
              <w:rPr>
                <w:rFonts w:ascii="Arial" w:hAnsi="Arial" w:cs="Arial"/>
                <w:lang w:val="fr-FR"/>
              </w:rPr>
              <w:noBreakHyphen/>
              <w:t>enhanced / structured continuing education vs standard in</w:t>
            </w:r>
            <w:r w:rsidRPr="000F3AF4">
              <w:rPr>
                <w:rFonts w:ascii="Arial" w:hAnsi="Arial" w:cs="Arial"/>
                <w:lang w:val="fr-FR"/>
              </w:rPr>
              <w:noBreakHyphen/>
              <w:t>service</w:t>
            </w:r>
          </w:p>
        </w:tc>
        <w:tc>
          <w:tcPr>
            <w:tcW w:w="0" w:type="auto"/>
            <w:hideMark/>
          </w:tcPr>
          <w:p w14:paraId="09B39710" w14:textId="77777777" w:rsidR="000F3AF4" w:rsidRPr="000F3AF4" w:rsidRDefault="000F3AF4" w:rsidP="000F3AF4">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fr-FR"/>
              </w:rPr>
            </w:pPr>
            <w:r w:rsidRPr="000F3AF4">
              <w:rPr>
                <w:rFonts w:ascii="Arial" w:hAnsi="Arial" w:cs="Arial"/>
                <w:lang w:val="fr-FR"/>
              </w:rPr>
              <w:t>↓ dialysis</w:t>
            </w:r>
            <w:r w:rsidRPr="000F3AF4">
              <w:rPr>
                <w:rFonts w:ascii="Arial" w:hAnsi="Arial" w:cs="Arial"/>
                <w:lang w:val="fr-FR"/>
              </w:rPr>
              <w:noBreakHyphen/>
              <w:t>related incidents by ~20–30</w:t>
            </w:r>
            <w:proofErr w:type="gramStart"/>
            <w:r w:rsidRPr="000F3AF4">
              <w:rPr>
                <w:rFonts w:ascii="Arial" w:hAnsi="Arial" w:cs="Arial"/>
                <w:lang w:val="fr-FR"/>
              </w:rPr>
              <w:t>%;</w:t>
            </w:r>
            <w:proofErr w:type="gramEnd"/>
            <w:r w:rsidRPr="000F3AF4">
              <w:rPr>
                <w:rFonts w:ascii="Arial" w:hAnsi="Arial" w:cs="Arial"/>
                <w:lang w:val="fr-FR"/>
              </w:rPr>
              <w:t xml:space="preserve"> ↑ emergency recognition/first response; ↓ procedural errors at skills testing</w:t>
            </w:r>
          </w:p>
        </w:tc>
        <w:tc>
          <w:tcPr>
            <w:tcW w:w="0" w:type="auto"/>
            <w:hideMark/>
          </w:tcPr>
          <w:p w14:paraId="49B70346" w14:textId="77777777" w:rsidR="000F3AF4" w:rsidRPr="000F3AF4" w:rsidRDefault="000F3AF4" w:rsidP="000F3AF4">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fr-FR"/>
              </w:rPr>
            </w:pPr>
            <w:r w:rsidRPr="000F3AF4">
              <w:rPr>
                <w:rFonts w:ascii="Arial" w:hAnsi="Arial" w:cs="Arial"/>
                <w:lang w:val="fr-FR"/>
              </w:rPr>
              <w:t>Programs grounded in adult learning, high</w:t>
            </w:r>
            <w:r w:rsidRPr="000F3AF4">
              <w:rPr>
                <w:rFonts w:ascii="Arial" w:hAnsi="Arial" w:cs="Arial"/>
                <w:lang w:val="fr-FR"/>
              </w:rPr>
              <w:noBreakHyphen/>
              <w:t xml:space="preserve">fidelity simulation, checklists, and standardized </w:t>
            </w:r>
            <w:proofErr w:type="gramStart"/>
            <w:r w:rsidRPr="000F3AF4">
              <w:rPr>
                <w:rFonts w:ascii="Arial" w:hAnsi="Arial" w:cs="Arial"/>
                <w:lang w:val="fr-FR"/>
              </w:rPr>
              <w:t>protocols;</w:t>
            </w:r>
            <w:proofErr w:type="gramEnd"/>
            <w:r w:rsidRPr="000F3AF4">
              <w:rPr>
                <w:rFonts w:ascii="Arial" w:hAnsi="Arial" w:cs="Arial"/>
                <w:lang w:val="fr-FR"/>
              </w:rPr>
              <w:t xml:space="preserve"> leadership support</w:t>
            </w:r>
          </w:p>
        </w:tc>
        <w:tc>
          <w:tcPr>
            <w:tcW w:w="0" w:type="auto"/>
            <w:hideMark/>
          </w:tcPr>
          <w:p w14:paraId="0D0572B1" w14:textId="77777777" w:rsidR="000F3AF4" w:rsidRPr="000F3AF4" w:rsidRDefault="000F3AF4" w:rsidP="000F3AF4">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fr-FR"/>
              </w:rPr>
            </w:pPr>
            <w:r w:rsidRPr="000F3AF4">
              <w:rPr>
                <w:rFonts w:ascii="Arial" w:hAnsi="Arial" w:cs="Arial"/>
                <w:lang w:val="fr-FR"/>
              </w:rPr>
              <w:t>Many studies single</w:t>
            </w:r>
            <w:r w:rsidRPr="000F3AF4">
              <w:rPr>
                <w:rFonts w:ascii="Arial" w:hAnsi="Arial" w:cs="Arial"/>
                <w:lang w:val="fr-FR"/>
              </w:rPr>
              <w:noBreakHyphen/>
              <w:t>center, quasi</w:t>
            </w:r>
            <w:r w:rsidRPr="000F3AF4">
              <w:rPr>
                <w:rFonts w:ascii="Arial" w:hAnsi="Arial" w:cs="Arial"/>
                <w:lang w:val="fr-FR"/>
              </w:rPr>
              <w:noBreakHyphen/>
            </w:r>
            <w:proofErr w:type="gramStart"/>
            <w:r w:rsidRPr="000F3AF4">
              <w:rPr>
                <w:rFonts w:ascii="Arial" w:hAnsi="Arial" w:cs="Arial"/>
                <w:lang w:val="fr-FR"/>
              </w:rPr>
              <w:t>experimental;</w:t>
            </w:r>
            <w:proofErr w:type="gramEnd"/>
            <w:r w:rsidRPr="000F3AF4">
              <w:rPr>
                <w:rFonts w:ascii="Arial" w:hAnsi="Arial" w:cs="Arial"/>
                <w:lang w:val="fr-FR"/>
              </w:rPr>
              <w:t xml:space="preserve"> limited long</w:t>
            </w:r>
            <w:r w:rsidRPr="000F3AF4">
              <w:rPr>
                <w:rFonts w:ascii="Arial" w:hAnsi="Arial" w:cs="Arial"/>
                <w:lang w:val="fr-FR"/>
              </w:rPr>
              <w:noBreakHyphen/>
              <w:t>term durability data; potential Hawthorne effects; effect size scales with training intensity</w:t>
            </w:r>
          </w:p>
        </w:tc>
      </w:tr>
      <w:tr w:rsidR="000F3AF4" w:rsidRPr="000F3AF4" w14:paraId="01E54BF8" w14:textId="77777777" w:rsidTr="000F3A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6E3C6E9" w14:textId="77777777" w:rsidR="000F3AF4" w:rsidRPr="000F3AF4" w:rsidRDefault="000F3AF4" w:rsidP="000F3AF4">
            <w:pPr>
              <w:pStyle w:val="Body"/>
              <w:rPr>
                <w:rFonts w:ascii="Arial" w:hAnsi="Arial" w:cs="Arial"/>
                <w:lang w:val="fr-FR"/>
              </w:rPr>
            </w:pPr>
            <w:r w:rsidRPr="000F3AF4">
              <w:rPr>
                <w:rFonts w:ascii="Arial" w:hAnsi="Arial" w:cs="Arial"/>
                <w:lang w:val="fr-FR"/>
              </w:rPr>
              <w:t>Wearable / bioartificial kidney concepts vs conventional center</w:t>
            </w:r>
            <w:r w:rsidRPr="000F3AF4">
              <w:rPr>
                <w:rFonts w:ascii="Arial" w:hAnsi="Arial" w:cs="Arial"/>
                <w:lang w:val="fr-FR"/>
              </w:rPr>
              <w:noBreakHyphen/>
              <w:t>based HD</w:t>
            </w:r>
          </w:p>
        </w:tc>
        <w:tc>
          <w:tcPr>
            <w:tcW w:w="0" w:type="auto"/>
            <w:hideMark/>
          </w:tcPr>
          <w:p w14:paraId="5B52BACD" w14:textId="77777777" w:rsidR="000F3AF4" w:rsidRPr="000F3AF4" w:rsidRDefault="000F3AF4" w:rsidP="000F3AF4">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fr-FR"/>
              </w:rPr>
            </w:pPr>
            <w:r w:rsidRPr="000F3AF4">
              <w:rPr>
                <w:rFonts w:ascii="Arial" w:hAnsi="Arial" w:cs="Arial"/>
                <w:lang w:val="fr-FR"/>
              </w:rPr>
              <w:t xml:space="preserve">Feasibility </w:t>
            </w:r>
            <w:proofErr w:type="gramStart"/>
            <w:r w:rsidRPr="000F3AF4">
              <w:rPr>
                <w:rFonts w:ascii="Arial" w:hAnsi="Arial" w:cs="Arial"/>
                <w:lang w:val="fr-FR"/>
              </w:rPr>
              <w:t>signals:</w:t>
            </w:r>
            <w:proofErr w:type="gramEnd"/>
            <w:r w:rsidRPr="000F3AF4">
              <w:rPr>
                <w:rFonts w:ascii="Arial" w:hAnsi="Arial" w:cs="Arial"/>
                <w:lang w:val="fr-FR"/>
              </w:rPr>
              <w:t xml:space="preserve"> ambulatory 24</w:t>
            </w:r>
            <w:r w:rsidRPr="000F3AF4">
              <w:rPr>
                <w:rFonts w:ascii="Arial" w:hAnsi="Arial" w:cs="Arial"/>
                <w:lang w:val="fr-FR"/>
              </w:rPr>
              <w:noBreakHyphen/>
              <w:t>h sorbent</w:t>
            </w:r>
            <w:r w:rsidRPr="000F3AF4">
              <w:rPr>
                <w:rFonts w:ascii="Arial" w:hAnsi="Arial" w:cs="Arial"/>
                <w:lang w:val="fr-FR"/>
              </w:rPr>
              <w:noBreakHyphen/>
              <w:t>based dialysis with acceptable solute/fluid control; potential QoL gains</w:t>
            </w:r>
          </w:p>
        </w:tc>
        <w:tc>
          <w:tcPr>
            <w:tcW w:w="0" w:type="auto"/>
            <w:hideMark/>
          </w:tcPr>
          <w:p w14:paraId="0FD5225E" w14:textId="77777777" w:rsidR="000F3AF4" w:rsidRPr="000F3AF4" w:rsidRDefault="000F3AF4" w:rsidP="000F3AF4">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fr-FR"/>
              </w:rPr>
            </w:pPr>
            <w:r w:rsidRPr="000F3AF4">
              <w:rPr>
                <w:rFonts w:ascii="Arial" w:hAnsi="Arial" w:cs="Arial"/>
                <w:lang w:val="fr-FR"/>
              </w:rPr>
              <w:t xml:space="preserve">Robust device reliability and </w:t>
            </w:r>
            <w:proofErr w:type="gramStart"/>
            <w:r w:rsidRPr="000F3AF4">
              <w:rPr>
                <w:rFonts w:ascii="Arial" w:hAnsi="Arial" w:cs="Arial"/>
                <w:lang w:val="fr-FR"/>
              </w:rPr>
              <w:t>safety;</w:t>
            </w:r>
            <w:proofErr w:type="gramEnd"/>
            <w:r w:rsidRPr="000F3AF4">
              <w:rPr>
                <w:rFonts w:ascii="Arial" w:hAnsi="Arial" w:cs="Arial"/>
                <w:lang w:val="fr-FR"/>
              </w:rPr>
              <w:t xml:space="preserve"> regulatory clearance; patient selection; infrastructure for monitoring</w:t>
            </w:r>
          </w:p>
        </w:tc>
        <w:tc>
          <w:tcPr>
            <w:tcW w:w="0" w:type="auto"/>
            <w:hideMark/>
          </w:tcPr>
          <w:p w14:paraId="7E942618" w14:textId="77777777" w:rsidR="000F3AF4" w:rsidRPr="000F3AF4" w:rsidRDefault="000F3AF4" w:rsidP="000F3AF4">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fr-FR"/>
              </w:rPr>
            </w:pPr>
            <w:r w:rsidRPr="000F3AF4">
              <w:rPr>
                <w:rFonts w:ascii="Arial" w:hAnsi="Arial" w:cs="Arial"/>
                <w:lang w:val="fr-FR"/>
              </w:rPr>
              <w:t>Early</w:t>
            </w:r>
            <w:r w:rsidRPr="000F3AF4">
              <w:rPr>
                <w:rFonts w:ascii="Arial" w:hAnsi="Arial" w:cs="Arial"/>
                <w:lang w:val="fr-FR"/>
              </w:rPr>
              <w:noBreakHyphen/>
              <w:t>phase/first</w:t>
            </w:r>
            <w:r w:rsidRPr="000F3AF4">
              <w:rPr>
                <w:rFonts w:ascii="Arial" w:hAnsi="Arial" w:cs="Arial"/>
                <w:lang w:val="fr-FR"/>
              </w:rPr>
              <w:noBreakHyphen/>
              <w:t>in</w:t>
            </w:r>
            <w:r w:rsidRPr="000F3AF4">
              <w:rPr>
                <w:rFonts w:ascii="Arial" w:hAnsi="Arial" w:cs="Arial"/>
                <w:lang w:val="fr-FR"/>
              </w:rPr>
              <w:noBreakHyphen/>
            </w:r>
            <w:proofErr w:type="gramStart"/>
            <w:r w:rsidRPr="000F3AF4">
              <w:rPr>
                <w:rFonts w:ascii="Arial" w:hAnsi="Arial" w:cs="Arial"/>
                <w:lang w:val="fr-FR"/>
              </w:rPr>
              <w:t>human;</w:t>
            </w:r>
            <w:proofErr w:type="gramEnd"/>
            <w:r w:rsidRPr="000F3AF4">
              <w:rPr>
                <w:rFonts w:ascii="Arial" w:hAnsi="Arial" w:cs="Arial"/>
                <w:lang w:val="fr-FR"/>
              </w:rPr>
              <w:t xml:space="preserve"> no hard outcome data in current corpus; implementation and safety questions remain</w:t>
            </w:r>
          </w:p>
        </w:tc>
      </w:tr>
    </w:tbl>
    <w:p w14:paraId="6D214E47" w14:textId="62A693D5" w:rsidR="000F3AF4" w:rsidRPr="001C1BAC" w:rsidRDefault="000F3AF4" w:rsidP="007332CB">
      <w:pPr>
        <w:pStyle w:val="Body"/>
        <w:spacing w:after="0"/>
        <w:rPr>
          <w:rFonts w:ascii="Arial" w:hAnsi="Arial" w:cs="Arial"/>
        </w:rPr>
      </w:pPr>
      <w:r>
        <w:rPr>
          <w:rFonts w:ascii="Arial" w:hAnsi="Arial" w:cs="Arial"/>
        </w:rPr>
        <w:t>Source: Author</w:t>
      </w:r>
    </w:p>
    <w:p w14:paraId="377D4988" w14:textId="7D09BE2D" w:rsidR="007332CB" w:rsidRPr="001C1BAC" w:rsidRDefault="007332CB" w:rsidP="007332CB">
      <w:pPr>
        <w:pStyle w:val="Body"/>
        <w:spacing w:after="0"/>
        <w:rPr>
          <w:rFonts w:ascii="Arial" w:hAnsi="Arial" w:cs="Arial"/>
        </w:rPr>
      </w:pPr>
      <w:r w:rsidRPr="001C1BAC">
        <w:rPr>
          <w:rFonts w:ascii="Arial" w:hAnsi="Arial" w:cs="Arial"/>
        </w:rPr>
        <w:t>In the training and implementation axis, educational interventions targeting paramedical staff were associated with improved process reliability and reductions in adverse events. Programs that combined adult</w:t>
      </w:r>
      <w:r w:rsidRPr="001C1BAC">
        <w:rPr>
          <w:rFonts w:ascii="Arial" w:hAnsi="Arial" w:cs="Arial"/>
        </w:rPr>
        <w:noBreakHyphen/>
        <w:t xml:space="preserve">learning principles with </w:t>
      </w:r>
      <w:r w:rsidR="00380723" w:rsidRPr="006E6DEF">
        <w:rPr>
          <w:rFonts w:ascii="Arial" w:hAnsi="Arial" w:cs="Arial"/>
          <w:highlight w:val="yellow"/>
        </w:rPr>
        <w:t>hands-on</w:t>
      </w:r>
      <w:r w:rsidRPr="006E6DEF">
        <w:rPr>
          <w:rFonts w:ascii="Arial" w:hAnsi="Arial" w:cs="Arial"/>
          <w:highlight w:val="yellow"/>
        </w:rPr>
        <w:t xml:space="preserve"> </w:t>
      </w:r>
      <w:r w:rsidRPr="001C1BAC">
        <w:rPr>
          <w:rFonts w:ascii="Arial" w:hAnsi="Arial" w:cs="Arial"/>
        </w:rPr>
        <w:t xml:space="preserve">workshops or simulation reported decreases in </w:t>
      </w:r>
      <w:r w:rsidR="00380723" w:rsidRPr="006E6DEF">
        <w:rPr>
          <w:rFonts w:ascii="Arial" w:hAnsi="Arial" w:cs="Arial"/>
          <w:highlight w:val="yellow"/>
        </w:rPr>
        <w:t>dialysis-related</w:t>
      </w:r>
      <w:r w:rsidRPr="006E6DEF">
        <w:rPr>
          <w:rFonts w:ascii="Arial" w:hAnsi="Arial" w:cs="Arial"/>
          <w:highlight w:val="yellow"/>
        </w:rPr>
        <w:t xml:space="preserve"> </w:t>
      </w:r>
      <w:r w:rsidRPr="001C1BAC">
        <w:rPr>
          <w:rFonts w:ascii="Arial" w:hAnsi="Arial" w:cs="Arial"/>
        </w:rPr>
        <w:t xml:space="preserve">incidents, particularly </w:t>
      </w:r>
      <w:r w:rsidR="00380723" w:rsidRPr="006E6DEF">
        <w:rPr>
          <w:rFonts w:ascii="Arial" w:hAnsi="Arial" w:cs="Arial"/>
          <w:highlight w:val="yellow"/>
        </w:rPr>
        <w:t>catheter-related</w:t>
      </w:r>
      <w:r w:rsidRPr="006E6DEF">
        <w:rPr>
          <w:rFonts w:ascii="Arial" w:hAnsi="Arial" w:cs="Arial"/>
          <w:highlight w:val="yellow"/>
        </w:rPr>
        <w:t xml:space="preserve"> </w:t>
      </w:r>
      <w:r w:rsidRPr="001C1BAC">
        <w:rPr>
          <w:rFonts w:ascii="Arial" w:hAnsi="Arial" w:cs="Arial"/>
        </w:rPr>
        <w:t xml:space="preserve">infections and intradialytic hypotension, with relative reductions commonly in the 20–30% range across the included series (Bolton, 2019; Heckenauer, 2019). A </w:t>
      </w:r>
      <w:r w:rsidR="00380723" w:rsidRPr="006E6DEF">
        <w:rPr>
          <w:rFonts w:ascii="Arial" w:hAnsi="Arial" w:cs="Arial"/>
          <w:highlight w:val="yellow"/>
        </w:rPr>
        <w:t>quasi-experimental</w:t>
      </w:r>
      <w:r w:rsidRPr="006E6DEF">
        <w:rPr>
          <w:rFonts w:ascii="Arial" w:hAnsi="Arial" w:cs="Arial"/>
          <w:highlight w:val="yellow"/>
        </w:rPr>
        <w:t xml:space="preserve"> </w:t>
      </w:r>
      <w:r w:rsidRPr="001C1BAC">
        <w:rPr>
          <w:rFonts w:ascii="Arial" w:hAnsi="Arial" w:cs="Arial"/>
        </w:rPr>
        <w:t xml:space="preserve">study highlighted improved recognition and first response to emergencies after </w:t>
      </w:r>
      <w:r w:rsidR="00380723" w:rsidRPr="006E6DEF">
        <w:rPr>
          <w:rFonts w:ascii="Arial" w:hAnsi="Arial" w:cs="Arial"/>
          <w:highlight w:val="yellow"/>
        </w:rPr>
        <w:t>simulation-based</w:t>
      </w:r>
      <w:r w:rsidRPr="006E6DEF">
        <w:rPr>
          <w:rFonts w:ascii="Arial" w:hAnsi="Arial" w:cs="Arial"/>
          <w:highlight w:val="yellow"/>
        </w:rPr>
        <w:t xml:space="preserve"> </w:t>
      </w:r>
      <w:r w:rsidRPr="001C1BAC">
        <w:rPr>
          <w:rFonts w:ascii="Arial" w:hAnsi="Arial" w:cs="Arial"/>
        </w:rPr>
        <w:t>training, and a pilot evaluation of virtual</w:t>
      </w:r>
      <w:r w:rsidRPr="001C1BAC">
        <w:rPr>
          <w:rFonts w:ascii="Arial" w:hAnsi="Arial" w:cs="Arial"/>
        </w:rPr>
        <w:noBreakHyphen/>
        <w:t xml:space="preserve">reality modules documented fewer procedural errors at skills testing compared with traditional instruction, suggesting that </w:t>
      </w:r>
      <w:r w:rsidR="00380723" w:rsidRPr="006E6DEF">
        <w:rPr>
          <w:rFonts w:ascii="Arial" w:hAnsi="Arial" w:cs="Arial"/>
          <w:highlight w:val="yellow"/>
        </w:rPr>
        <w:t>technology-enabled</w:t>
      </w:r>
      <w:r w:rsidRPr="006E6DEF">
        <w:rPr>
          <w:rFonts w:ascii="Arial" w:hAnsi="Arial" w:cs="Arial"/>
          <w:highlight w:val="yellow"/>
        </w:rPr>
        <w:t xml:space="preserve"> </w:t>
      </w:r>
      <w:r w:rsidRPr="001C1BAC">
        <w:rPr>
          <w:rFonts w:ascii="Arial" w:hAnsi="Arial" w:cs="Arial"/>
        </w:rPr>
        <w:t xml:space="preserve">education can translate to measurable performance gains in core dialysis tasks (Bolton, 2019; Heckenauer, 2019). Studies grounded in checklists and </w:t>
      </w:r>
      <w:r w:rsidR="00380723" w:rsidRPr="006E6DEF">
        <w:rPr>
          <w:rFonts w:ascii="Arial" w:hAnsi="Arial" w:cs="Arial"/>
          <w:highlight w:val="yellow"/>
        </w:rPr>
        <w:t xml:space="preserve">standardised </w:t>
      </w:r>
      <w:r w:rsidRPr="001C1BAC">
        <w:rPr>
          <w:rFonts w:ascii="Arial" w:hAnsi="Arial" w:cs="Arial"/>
        </w:rPr>
        <w:t>protocols for catheter connection/disconnection and alarm management consistently showed fewer breaches and lower contamination events, reinforcing the process</w:t>
      </w:r>
      <w:r w:rsidRPr="001C1BAC">
        <w:rPr>
          <w:rFonts w:ascii="Arial" w:hAnsi="Arial" w:cs="Arial"/>
        </w:rPr>
        <w:noBreakHyphen/>
      </w:r>
      <w:r w:rsidR="00380723" w:rsidRPr="006E6DEF">
        <w:rPr>
          <w:rFonts w:ascii="Arial" w:hAnsi="Arial" w:cs="Arial"/>
          <w:highlight w:val="yellow"/>
        </w:rPr>
        <w:t xml:space="preserve">standardisation </w:t>
      </w:r>
      <w:r w:rsidRPr="001C1BAC">
        <w:rPr>
          <w:rFonts w:ascii="Arial" w:hAnsi="Arial" w:cs="Arial"/>
        </w:rPr>
        <w:t>pathway to safer outcomes (Bolton, 2019; Heckenauer, 2019).</w:t>
      </w:r>
    </w:p>
    <w:p w14:paraId="5C7AAA5D" w14:textId="7F098B6B" w:rsidR="007332CB" w:rsidRPr="001C1BAC" w:rsidRDefault="007332CB" w:rsidP="007332CB">
      <w:pPr>
        <w:pStyle w:val="Body"/>
        <w:spacing w:after="0"/>
        <w:rPr>
          <w:rFonts w:ascii="Arial" w:hAnsi="Arial" w:cs="Arial"/>
        </w:rPr>
      </w:pPr>
      <w:r w:rsidRPr="001C1BAC">
        <w:rPr>
          <w:rFonts w:ascii="Arial" w:hAnsi="Arial" w:cs="Arial"/>
        </w:rPr>
        <w:lastRenderedPageBreak/>
        <w:t>Integrative patterns emerged when findings were reframed through quality</w:t>
      </w:r>
      <w:r w:rsidRPr="001C1BAC">
        <w:rPr>
          <w:rFonts w:ascii="Arial" w:hAnsi="Arial" w:cs="Arial"/>
        </w:rPr>
        <w:noBreakHyphen/>
        <w:t>of</w:t>
      </w:r>
      <w:r w:rsidRPr="001C1BAC">
        <w:rPr>
          <w:rFonts w:ascii="Arial" w:hAnsi="Arial" w:cs="Arial"/>
        </w:rPr>
        <w:noBreakHyphen/>
        <w:t>care and health</w:t>
      </w:r>
      <w:r w:rsidRPr="001C1BAC">
        <w:rPr>
          <w:rFonts w:ascii="Arial" w:hAnsi="Arial" w:cs="Arial"/>
        </w:rPr>
        <w:noBreakHyphen/>
        <w:t xml:space="preserve">system lenses. Using Donabedian’s structure–process–outcome framework, </w:t>
      </w:r>
      <w:r w:rsidR="00380723" w:rsidRPr="006E6DEF">
        <w:rPr>
          <w:rFonts w:ascii="Arial" w:hAnsi="Arial" w:cs="Arial"/>
          <w:highlight w:val="yellow"/>
        </w:rPr>
        <w:t>centres</w:t>
      </w:r>
      <w:r w:rsidR="00380723" w:rsidRPr="001C1BAC">
        <w:rPr>
          <w:rFonts w:ascii="Arial" w:hAnsi="Arial" w:cs="Arial"/>
        </w:rPr>
        <w:t xml:space="preserve"> </w:t>
      </w:r>
      <w:r w:rsidRPr="001C1BAC">
        <w:rPr>
          <w:rFonts w:ascii="Arial" w:hAnsi="Arial" w:cs="Arial"/>
        </w:rPr>
        <w:t xml:space="preserve">that combined modern infrastructure (ultrapure water systems, synthetic membranes, olHDF capability) with </w:t>
      </w:r>
      <w:r w:rsidR="00380723" w:rsidRPr="006E6DEF">
        <w:rPr>
          <w:rFonts w:ascii="Arial" w:hAnsi="Arial" w:cs="Arial"/>
          <w:highlight w:val="yellow"/>
        </w:rPr>
        <w:t>standardised</w:t>
      </w:r>
      <w:r w:rsidR="00380723" w:rsidRPr="001C1BAC">
        <w:rPr>
          <w:rFonts w:ascii="Arial" w:hAnsi="Arial" w:cs="Arial"/>
        </w:rPr>
        <w:t xml:space="preserve"> </w:t>
      </w:r>
      <w:r w:rsidRPr="001C1BAC">
        <w:rPr>
          <w:rFonts w:ascii="Arial" w:hAnsi="Arial" w:cs="Arial"/>
        </w:rPr>
        <w:t xml:space="preserve">procedures and trained teams reported better patient outcomes and fewer treatment interruptions than </w:t>
      </w:r>
      <w:r w:rsidR="00380723" w:rsidRPr="006E6DEF">
        <w:rPr>
          <w:rFonts w:ascii="Arial" w:hAnsi="Arial" w:cs="Arial"/>
          <w:highlight w:val="yellow"/>
        </w:rPr>
        <w:t xml:space="preserve">centres </w:t>
      </w:r>
      <w:r w:rsidRPr="001C1BAC">
        <w:rPr>
          <w:rFonts w:ascii="Arial" w:hAnsi="Arial" w:cs="Arial"/>
        </w:rPr>
        <w:t xml:space="preserve">lacking one or more of these elements (Donabedian, 1980). This triad aligns with the Triple Aim: fewer complications and improved adequacy improve patient experience and population health while reducing avoidable </w:t>
      </w:r>
      <w:r w:rsidR="00380723" w:rsidRPr="006E6DEF">
        <w:rPr>
          <w:rFonts w:ascii="Arial" w:hAnsi="Arial" w:cs="Arial"/>
          <w:highlight w:val="yellow"/>
        </w:rPr>
        <w:t xml:space="preserve">hospitalisations </w:t>
      </w:r>
      <w:r w:rsidRPr="001C1BAC">
        <w:rPr>
          <w:rFonts w:ascii="Arial" w:hAnsi="Arial" w:cs="Arial"/>
        </w:rPr>
        <w:t xml:space="preserve">and associated costs (Berwick et al., 2008). The evidence </w:t>
      </w:r>
      <w:proofErr w:type="gramStart"/>
      <w:r w:rsidRPr="001C1BAC">
        <w:rPr>
          <w:rFonts w:ascii="Arial" w:hAnsi="Arial" w:cs="Arial"/>
        </w:rPr>
        <w:t>base</w:t>
      </w:r>
      <w:proofErr w:type="gramEnd"/>
      <w:r w:rsidRPr="001C1BAC">
        <w:rPr>
          <w:rFonts w:ascii="Arial" w:hAnsi="Arial" w:cs="Arial"/>
        </w:rPr>
        <w:t xml:space="preserve"> also highlighted context as a determinant of effect size. For example, olHDF’s apparent survival benefit was most convincing where high convection volumes were consistently delivered, whereas </w:t>
      </w:r>
      <w:r w:rsidR="00380723" w:rsidRPr="006E6DEF">
        <w:rPr>
          <w:rFonts w:ascii="Arial" w:hAnsi="Arial" w:cs="Arial"/>
          <w:highlight w:val="yellow"/>
        </w:rPr>
        <w:t xml:space="preserve">centres </w:t>
      </w:r>
      <w:r w:rsidRPr="001C1BAC">
        <w:rPr>
          <w:rFonts w:ascii="Arial" w:hAnsi="Arial" w:cs="Arial"/>
        </w:rPr>
        <w:t>unable to assure ultrapure water or staff expertise saw diminished or absent gains (Bowry, 2002; Develay et al., 2021; Ok et al., 2013). Similarly, the safety impact of education programs scaled with the depth of simulation and the robustness of checklist adherence; programs reliant on didactics alone tended to report smaller or transient effects (Bolton, 2019; Heckenauer, 2019).</w:t>
      </w:r>
    </w:p>
    <w:p w14:paraId="68E6A852" w14:textId="73C319FC" w:rsidR="007332CB" w:rsidRPr="001C1BAC" w:rsidRDefault="007332CB" w:rsidP="007332CB">
      <w:pPr>
        <w:pStyle w:val="Body"/>
        <w:spacing w:after="0"/>
        <w:rPr>
          <w:rFonts w:ascii="Arial" w:hAnsi="Arial" w:cs="Arial"/>
        </w:rPr>
      </w:pPr>
      <w:r w:rsidRPr="001C1BAC">
        <w:rPr>
          <w:rFonts w:ascii="Arial" w:hAnsi="Arial" w:cs="Arial"/>
        </w:rPr>
        <w:t>Uncertainty and gaps were also evident. Biomarker studies varied in assay methods and thresholds, limiting cross</w:t>
      </w:r>
      <w:r w:rsidRPr="001C1BAC">
        <w:rPr>
          <w:rFonts w:ascii="Arial" w:hAnsi="Arial" w:cs="Arial"/>
        </w:rPr>
        <w:noBreakHyphen/>
        <w:t xml:space="preserve">study comparability, and few directly linked temporal biomarker changes to hard outcomes after specific interventions beyond the broad association of albuminuria with decline (Remuzzi &amp; Bertani, 1998; Djudjaj &amp; Boor, 2019; Meng, 2019; Vianna et al., 2011; Levey, 2002). RRT trials were occasionally underpowered for mortality and differed in convection targets, which complicates precise effect estimation for olHDF despite a consistent </w:t>
      </w:r>
      <w:r w:rsidR="00380723" w:rsidRPr="006E6DEF">
        <w:rPr>
          <w:rFonts w:ascii="Arial" w:hAnsi="Arial" w:cs="Arial"/>
          <w:highlight w:val="yellow"/>
        </w:rPr>
        <w:t xml:space="preserve">favourable </w:t>
      </w:r>
      <w:r w:rsidRPr="001C1BAC">
        <w:rPr>
          <w:rFonts w:ascii="Arial" w:hAnsi="Arial" w:cs="Arial"/>
        </w:rPr>
        <w:t xml:space="preserve">direction (Ok et al., 2013). Evidence for hybrid ICU modalities, while supportive of </w:t>
      </w:r>
      <w:r w:rsidR="00380723" w:rsidRPr="006E6DEF">
        <w:rPr>
          <w:rFonts w:ascii="Arial" w:hAnsi="Arial" w:cs="Arial"/>
          <w:highlight w:val="yellow"/>
        </w:rPr>
        <w:t>non-inferiority</w:t>
      </w:r>
      <w:r w:rsidRPr="001C1BAC">
        <w:rPr>
          <w:rFonts w:ascii="Arial" w:hAnsi="Arial" w:cs="Arial"/>
        </w:rPr>
        <w:t>, was predominantly observational or pragmatic, underscoring the need for larger trials under contemporary critical</w:t>
      </w:r>
      <w:r w:rsidRPr="001C1BAC">
        <w:rPr>
          <w:rFonts w:ascii="Arial" w:hAnsi="Arial" w:cs="Arial"/>
        </w:rPr>
        <w:noBreakHyphen/>
        <w:t>care practices (Fiaccadori et al., 2006). Educational intervention studies were often single</w:t>
      </w:r>
      <w:r w:rsidRPr="001C1BAC">
        <w:rPr>
          <w:rFonts w:ascii="Arial" w:hAnsi="Arial" w:cs="Arial"/>
        </w:rPr>
        <w:noBreakHyphen/>
        <w:t xml:space="preserve">center with </w:t>
      </w:r>
      <w:r w:rsidR="00380723" w:rsidRPr="006E6DEF">
        <w:rPr>
          <w:rFonts w:ascii="Arial" w:hAnsi="Arial" w:cs="Arial"/>
          <w:highlight w:val="yellow"/>
        </w:rPr>
        <w:t>quasi-experimental</w:t>
      </w:r>
      <w:r w:rsidRPr="006E6DEF">
        <w:rPr>
          <w:rFonts w:ascii="Arial" w:hAnsi="Arial" w:cs="Arial"/>
          <w:highlight w:val="yellow"/>
        </w:rPr>
        <w:t xml:space="preserve"> </w:t>
      </w:r>
      <w:r w:rsidRPr="001C1BAC">
        <w:rPr>
          <w:rFonts w:ascii="Arial" w:hAnsi="Arial" w:cs="Arial"/>
        </w:rPr>
        <w:t xml:space="preserve">designs and limited </w:t>
      </w:r>
      <w:r w:rsidR="00380723">
        <w:rPr>
          <w:rFonts w:ascii="Arial" w:hAnsi="Arial" w:cs="Arial"/>
        </w:rPr>
        <w:t>long-term follow-up</w:t>
      </w:r>
      <w:r w:rsidRPr="001C1BAC">
        <w:rPr>
          <w:rFonts w:ascii="Arial" w:hAnsi="Arial" w:cs="Arial"/>
        </w:rPr>
        <w:t xml:space="preserve">, suggesting that future multicenter </w:t>
      </w:r>
      <w:r w:rsidR="00380723" w:rsidRPr="006E6DEF">
        <w:rPr>
          <w:rFonts w:ascii="Arial" w:hAnsi="Arial" w:cs="Arial"/>
          <w:highlight w:val="yellow"/>
        </w:rPr>
        <w:t xml:space="preserve">randomised </w:t>
      </w:r>
      <w:r w:rsidRPr="001C1BAC">
        <w:rPr>
          <w:rFonts w:ascii="Arial" w:hAnsi="Arial" w:cs="Arial"/>
        </w:rPr>
        <w:t>or stepped</w:t>
      </w:r>
      <w:r w:rsidRPr="001C1BAC">
        <w:rPr>
          <w:rFonts w:ascii="Arial" w:hAnsi="Arial" w:cs="Arial"/>
        </w:rPr>
        <w:noBreakHyphen/>
        <w:t>wedge designs could better quantify durability and generalizability of training effects (Bolton, 2019; Heckenauer, 2019). Notwithstanding these limitations, the convergence of mechanistic plausibility, directional clinical effects, and implementation case studies across the corpus supports the review’s central thesis: interrupting the hyperfiltration–inflammation–fibrosis pathway early, deploying convective clearance where infrastructure allows, and professionalizing dialysis teams through simulation</w:t>
      </w:r>
      <w:r w:rsidRPr="001C1BAC">
        <w:rPr>
          <w:rFonts w:ascii="Arial" w:hAnsi="Arial" w:cs="Arial"/>
        </w:rPr>
        <w:noBreakHyphen/>
        <w:t>enhanced education are mutually reinforcing strategies that can improve safety and outcomes in kidney failure management (Remuzzi &amp; Bertani, 1998; Djudjaj &amp; Boor, 2019; Meng, 2019; Vianna et al., 2011; Bowry, 2002; Develay et al., 2021; Ok et al., 2013; Fiaccadori et al., 2006; Bolton, 2019; Heckenauer, 2019; Donabedian, 1980; Berwick et al., 2008).</w:t>
      </w:r>
    </w:p>
    <w:p w14:paraId="73D43943" w14:textId="24D8EB6F" w:rsidR="007332CB" w:rsidRPr="001C1BAC" w:rsidRDefault="007332CB" w:rsidP="007332CB">
      <w:pPr>
        <w:pStyle w:val="Body"/>
        <w:rPr>
          <w:rFonts w:ascii="Arial" w:hAnsi="Arial" w:cs="Arial"/>
        </w:rPr>
      </w:pPr>
    </w:p>
    <w:p w14:paraId="4E09A184" w14:textId="6F3715AE" w:rsidR="007332CB" w:rsidRPr="001C1BAC" w:rsidRDefault="000F3AF4" w:rsidP="007332CB">
      <w:pPr>
        <w:rPr>
          <w:b/>
          <w:bCs/>
        </w:rPr>
      </w:pPr>
      <w:r w:rsidRPr="001C1BAC">
        <w:rPr>
          <w:noProof/>
        </w:rPr>
        <w:drawing>
          <wp:anchor distT="0" distB="0" distL="0" distR="0" simplePos="0" relativeHeight="251653632" behindDoc="0" locked="0" layoutInCell="0" allowOverlap="1" wp14:anchorId="4ED69DBA" wp14:editId="6ABADB33">
            <wp:simplePos x="0" y="0"/>
            <wp:positionH relativeFrom="margin">
              <wp:align>right</wp:align>
            </wp:positionH>
            <wp:positionV relativeFrom="paragraph">
              <wp:posOffset>207010</wp:posOffset>
            </wp:positionV>
            <wp:extent cx="5848985" cy="895350"/>
            <wp:effectExtent l="0" t="0" r="0" b="0"/>
            <wp:wrapSquare wrapText="largest"/>
            <wp:docPr id="2" name="Ima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pic:cNvPicPr>
                      <a:picLocks noChangeAspect="1" noChangeArrowheads="1"/>
                    </pic:cNvPicPr>
                  </pic:nvPicPr>
                  <pic:blipFill rotWithShape="1">
                    <a:blip r:embed="rId15"/>
                    <a:srcRect t="27233" b="26634"/>
                    <a:stretch/>
                  </pic:blipFill>
                  <pic:spPr bwMode="auto">
                    <a:xfrm>
                      <a:off x="0" y="0"/>
                      <a:ext cx="5848985" cy="895350"/>
                    </a:xfrm>
                    <a:prstGeom prst="rect">
                      <a:avLst/>
                    </a:prstGeom>
                    <a:noFill/>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sidR="007332CB" w:rsidRPr="001C1BAC">
        <w:rPr>
          <w:b/>
          <w:bCs/>
        </w:rPr>
        <w:t>Figure 2. Mechanistic cascade from hyperfiltration to fibrosis in CKD progression.</w:t>
      </w:r>
    </w:p>
    <w:p w14:paraId="09B7E18B" w14:textId="0BE2E529" w:rsidR="007332CB" w:rsidRPr="001C1BAC" w:rsidRDefault="007332CB" w:rsidP="007332CB">
      <w:pPr>
        <w:pStyle w:val="Body"/>
        <w:rPr>
          <w:rFonts w:ascii="Arial" w:hAnsi="Arial" w:cs="Arial"/>
        </w:rPr>
      </w:pPr>
      <w:r w:rsidRPr="001C1BAC">
        <w:t xml:space="preserve">Source: </w:t>
      </w:r>
      <w:r w:rsidR="00380723" w:rsidRPr="006E6DEF">
        <w:rPr>
          <w:highlight w:val="yellow"/>
        </w:rPr>
        <w:t xml:space="preserve">Synthesised </w:t>
      </w:r>
      <w:r w:rsidRPr="001C1BAC">
        <w:t>from Remuzzi &amp; Bertani (1998)</w:t>
      </w:r>
    </w:p>
    <w:p w14:paraId="2112D14C" w14:textId="4610CE1C" w:rsidR="007332CB" w:rsidRPr="005E5066" w:rsidRDefault="007332CB" w:rsidP="005E5066">
      <w:pPr>
        <w:pStyle w:val="Body"/>
        <w:numPr>
          <w:ilvl w:val="0"/>
          <w:numId w:val="31"/>
        </w:numPr>
        <w:spacing w:after="0"/>
        <w:rPr>
          <w:rFonts w:ascii="Arial" w:hAnsi="Arial" w:cs="Arial"/>
          <w:sz w:val="22"/>
          <w:szCs w:val="22"/>
        </w:rPr>
      </w:pPr>
      <w:r w:rsidRPr="001C1BAC">
        <w:rPr>
          <w:rFonts w:ascii="Arial" w:hAnsi="Arial" w:cs="Arial"/>
          <w:b/>
          <w:bCs/>
          <w:sz w:val="22"/>
          <w:szCs w:val="22"/>
        </w:rPr>
        <w:t>DISCUSSION</w:t>
      </w:r>
    </w:p>
    <w:p w14:paraId="7041D4EB" w14:textId="52CBAED4" w:rsidR="005E5066" w:rsidRPr="005E5066" w:rsidRDefault="005E5066" w:rsidP="005E5066">
      <w:pPr>
        <w:pStyle w:val="Body"/>
        <w:rPr>
          <w:rFonts w:ascii="Arial" w:hAnsi="Arial" w:cs="Arial"/>
          <w:lang w:val="fr-FR"/>
        </w:rPr>
      </w:pPr>
      <w:r w:rsidRPr="005E5066">
        <w:rPr>
          <w:rFonts w:ascii="Arial" w:hAnsi="Arial" w:cs="Arial"/>
          <w:lang w:val="fr-FR"/>
        </w:rPr>
        <w:t xml:space="preserve">This synthesis maps two adjoining </w:t>
      </w:r>
      <w:proofErr w:type="gramStart"/>
      <w:r w:rsidRPr="005E5066">
        <w:rPr>
          <w:rFonts w:ascii="Arial" w:hAnsi="Arial" w:cs="Arial"/>
          <w:lang w:val="fr-FR"/>
        </w:rPr>
        <w:t>literatures:</w:t>
      </w:r>
      <w:proofErr w:type="gramEnd"/>
      <w:r w:rsidRPr="005E5066">
        <w:rPr>
          <w:rFonts w:ascii="Arial" w:hAnsi="Arial" w:cs="Arial"/>
          <w:lang w:val="fr-FR"/>
        </w:rPr>
        <w:t xml:space="preserve"> (i) ICU studies evaluating kidney biomarkers—especially urinary angiotensinogen (uAGT) and proenkephalin A (penKid)—for early AKI detection, risk stratification, and renal replacement therapy (RRT) decision</w:t>
      </w:r>
      <w:r w:rsidRPr="005E5066">
        <w:rPr>
          <w:rFonts w:ascii="Arial" w:hAnsi="Arial" w:cs="Arial"/>
          <w:lang w:val="fr-FR"/>
        </w:rPr>
        <w:noBreakHyphen/>
        <w:t>making; and (ii) stage 4–5 CKD studies assessing multidisciplinary care (MDC) models for survival, hospitalization, and eGFR trajectories. Designs span prospective cohorts, post</w:t>
      </w:r>
      <w:r w:rsidRPr="005E5066">
        <w:rPr>
          <w:rFonts w:ascii="Arial" w:hAnsi="Arial" w:cs="Arial"/>
          <w:lang w:val="fr-FR"/>
        </w:rPr>
        <w:noBreakHyphen/>
        <w:t xml:space="preserve">hoc analyses </w:t>
      </w:r>
      <w:r w:rsidRPr="005E5066">
        <w:rPr>
          <w:rFonts w:ascii="Arial" w:hAnsi="Arial" w:cs="Arial"/>
          <w:lang w:val="fr-FR"/>
        </w:rPr>
        <w:lastRenderedPageBreak/>
        <w:t xml:space="preserve">of </w:t>
      </w:r>
      <w:r w:rsidR="00380723" w:rsidRPr="006E6DEF">
        <w:rPr>
          <w:rFonts w:ascii="Arial" w:hAnsi="Arial" w:cs="Arial"/>
          <w:highlight w:val="yellow"/>
          <w:lang w:val="fr-FR"/>
        </w:rPr>
        <w:t xml:space="preserve">randomised </w:t>
      </w:r>
      <w:r w:rsidRPr="005E5066">
        <w:rPr>
          <w:rFonts w:ascii="Arial" w:hAnsi="Arial" w:cs="Arial"/>
          <w:lang w:val="fr-FR"/>
        </w:rPr>
        <w:t xml:space="preserve">trials, and </w:t>
      </w:r>
      <w:r w:rsidR="00380723" w:rsidRPr="006E6DEF">
        <w:rPr>
          <w:rFonts w:ascii="Arial" w:hAnsi="Arial" w:cs="Arial"/>
          <w:highlight w:val="yellow"/>
          <w:lang w:val="fr-FR"/>
        </w:rPr>
        <w:t>meta-analyses</w:t>
      </w:r>
      <w:r w:rsidRPr="006E6DEF">
        <w:rPr>
          <w:rFonts w:ascii="Arial" w:hAnsi="Arial" w:cs="Arial"/>
          <w:highlight w:val="yellow"/>
          <w:lang w:val="fr-FR"/>
        </w:rPr>
        <w:t xml:space="preserve"> </w:t>
      </w:r>
      <w:r w:rsidRPr="005E5066">
        <w:rPr>
          <w:rFonts w:ascii="Arial" w:hAnsi="Arial" w:cs="Arial"/>
          <w:lang w:val="fr-FR"/>
        </w:rPr>
        <w:t xml:space="preserve">across cardiac surgery, sepsis, and mixed ICU settings, and across outpatient CKD programs. Together, they </w:t>
      </w:r>
      <w:r w:rsidR="00380723" w:rsidRPr="006E6DEF">
        <w:rPr>
          <w:rFonts w:ascii="Arial" w:hAnsi="Arial" w:cs="Arial"/>
          <w:highlight w:val="yellow"/>
          <w:lang w:val="fr-FR"/>
        </w:rPr>
        <w:t>contextualise</w:t>
      </w:r>
      <w:r w:rsidR="00380723" w:rsidRPr="005E5066">
        <w:rPr>
          <w:rFonts w:ascii="Arial" w:hAnsi="Arial" w:cs="Arial"/>
          <w:lang w:val="fr-FR"/>
        </w:rPr>
        <w:t xml:space="preserve"> </w:t>
      </w:r>
      <w:r w:rsidRPr="005E5066">
        <w:rPr>
          <w:rFonts w:ascii="Arial" w:hAnsi="Arial" w:cs="Arial"/>
          <w:lang w:val="fr-FR"/>
        </w:rPr>
        <w:t>how mechanistic and care</w:t>
      </w:r>
      <w:r w:rsidRPr="005E5066">
        <w:rPr>
          <w:rFonts w:ascii="Arial" w:hAnsi="Arial" w:cs="Arial"/>
          <w:lang w:val="fr-FR"/>
        </w:rPr>
        <w:noBreakHyphen/>
        <w:t xml:space="preserve">delivery signals can be translated into clinical decisions. </w:t>
      </w:r>
    </w:p>
    <w:p w14:paraId="61717BCD" w14:textId="77777777" w:rsidR="00E93F51" w:rsidRDefault="005E5066" w:rsidP="005E5066">
      <w:pPr>
        <w:pStyle w:val="Body"/>
        <w:rPr>
          <w:rFonts w:ascii="Arial" w:hAnsi="Arial" w:cs="Arial"/>
          <w:lang w:val="fr-FR"/>
        </w:rPr>
      </w:pPr>
      <w:r w:rsidRPr="005E5066">
        <w:rPr>
          <w:rFonts w:ascii="Arial" w:hAnsi="Arial" w:cs="Arial"/>
          <w:b/>
          <w:bCs/>
          <w:lang w:val="fr-FR"/>
        </w:rPr>
        <w:t>Predictive Accuracy and Risk Stratification</w:t>
      </w:r>
    </w:p>
    <w:p w14:paraId="28921DD4" w14:textId="69FE9C3D" w:rsidR="005E5066" w:rsidRPr="005E5066" w:rsidRDefault="005E5066" w:rsidP="005E5066">
      <w:pPr>
        <w:pStyle w:val="Body"/>
        <w:rPr>
          <w:rFonts w:ascii="Arial" w:hAnsi="Arial" w:cs="Arial"/>
          <w:lang w:val="fr-FR"/>
        </w:rPr>
      </w:pPr>
      <w:r w:rsidRPr="005E5066">
        <w:rPr>
          <w:rFonts w:ascii="Arial" w:hAnsi="Arial" w:cs="Arial"/>
          <w:lang w:val="fr-FR"/>
        </w:rPr>
        <w:t xml:space="preserve">Across ICU cohorts, penKid consistently shows good to excellent discrimination for </w:t>
      </w:r>
      <w:r w:rsidR="00380723" w:rsidRPr="006E6DEF">
        <w:rPr>
          <w:rFonts w:ascii="Arial" w:hAnsi="Arial" w:cs="Arial"/>
          <w:highlight w:val="yellow"/>
          <w:lang w:val="fr-FR"/>
        </w:rPr>
        <w:t>short-term</w:t>
      </w:r>
      <w:r w:rsidRPr="006E6DEF">
        <w:rPr>
          <w:rFonts w:ascii="Arial" w:hAnsi="Arial" w:cs="Arial"/>
          <w:highlight w:val="yellow"/>
          <w:lang w:val="fr-FR"/>
        </w:rPr>
        <w:t xml:space="preserve"> </w:t>
      </w:r>
      <w:r w:rsidRPr="005E5066">
        <w:rPr>
          <w:rFonts w:ascii="Arial" w:hAnsi="Arial" w:cs="Arial"/>
          <w:lang w:val="fr-FR"/>
        </w:rPr>
        <w:t xml:space="preserve">outcomes. In a prospective AKI ICU cohort, plasma penKid and NGAL independently predicted </w:t>
      </w:r>
      <w:r w:rsidR="00380723" w:rsidRPr="006E6DEF">
        <w:rPr>
          <w:rFonts w:ascii="Arial" w:hAnsi="Arial" w:cs="Arial"/>
          <w:highlight w:val="yellow"/>
          <w:lang w:val="fr-FR"/>
        </w:rPr>
        <w:t>28-day</w:t>
      </w:r>
      <w:r w:rsidRPr="005E5066">
        <w:rPr>
          <w:rFonts w:ascii="Arial" w:hAnsi="Arial" w:cs="Arial"/>
          <w:lang w:val="fr-FR"/>
        </w:rPr>
        <w:t xml:space="preserve"> mortality, with the combination improving AUCs further (n=150) (Zhang et al., 2024). In the ELAIN trial’s post</w:t>
      </w:r>
      <w:r w:rsidRPr="005E5066">
        <w:rPr>
          <w:rFonts w:ascii="Arial" w:hAnsi="Arial" w:cs="Arial"/>
          <w:lang w:val="fr-FR"/>
        </w:rPr>
        <w:noBreakHyphen/>
        <w:t>hoc analysis, lower penKid concentrations identified patients who could be liberated earlier and successfully from CRRT (Van Groote et al., 2022). In severe sepsis/shock, penKid predicted incident AKI, need for RRT, and renal function improvement (Caironi et al., 2018). Machine</w:t>
      </w:r>
      <w:r w:rsidRPr="005E5066">
        <w:rPr>
          <w:rFonts w:ascii="Arial" w:hAnsi="Arial" w:cs="Arial"/>
          <w:lang w:val="fr-FR"/>
        </w:rPr>
        <w:noBreakHyphen/>
        <w:t xml:space="preserve">learning work integrating longitudinal clinical data with biomarkers further boosts early prediction for AKI and CRRT </w:t>
      </w:r>
      <w:r w:rsidR="00380723" w:rsidRPr="006E6DEF">
        <w:rPr>
          <w:rFonts w:ascii="Arial" w:hAnsi="Arial" w:cs="Arial"/>
          <w:highlight w:val="yellow"/>
          <w:lang w:val="fr-FR"/>
        </w:rPr>
        <w:t xml:space="preserve">utilisation </w:t>
      </w:r>
      <w:r w:rsidRPr="005E5066">
        <w:rPr>
          <w:rFonts w:ascii="Arial" w:hAnsi="Arial" w:cs="Arial"/>
          <w:lang w:val="fr-FR"/>
        </w:rPr>
        <w:t xml:space="preserve">(Tan et al., 2024). Urinary panels can also stratify recovery trajectories, including successful weaning from acute dialysis (Pan et al., 2022). </w:t>
      </w:r>
    </w:p>
    <w:p w14:paraId="1C6073A0" w14:textId="77777777" w:rsidR="00E93F51" w:rsidRDefault="005E5066" w:rsidP="005E5066">
      <w:pPr>
        <w:pStyle w:val="Body"/>
        <w:rPr>
          <w:rFonts w:ascii="Arial" w:hAnsi="Arial" w:cs="Arial"/>
          <w:lang w:val="fr-FR"/>
        </w:rPr>
      </w:pPr>
      <w:r w:rsidRPr="005E5066">
        <w:rPr>
          <w:rFonts w:ascii="Arial" w:hAnsi="Arial" w:cs="Arial"/>
          <w:b/>
          <w:bCs/>
          <w:lang w:val="fr-FR"/>
        </w:rPr>
        <w:t>Comparative Biomarker Utility and Clinical Correlates</w:t>
      </w:r>
    </w:p>
    <w:p w14:paraId="088F1B92" w14:textId="685F61FB" w:rsidR="005E5066" w:rsidRPr="005E5066" w:rsidRDefault="00380723" w:rsidP="005E5066">
      <w:pPr>
        <w:pStyle w:val="Body"/>
        <w:rPr>
          <w:rFonts w:ascii="Arial" w:hAnsi="Arial" w:cs="Arial"/>
          <w:lang w:val="fr-FR"/>
        </w:rPr>
      </w:pPr>
      <w:r w:rsidRPr="006E6DEF">
        <w:rPr>
          <w:rFonts w:ascii="Arial" w:hAnsi="Arial" w:cs="Arial"/>
          <w:highlight w:val="yellow"/>
          <w:lang w:val="fr-FR"/>
        </w:rPr>
        <w:t>Head-to-head</w:t>
      </w:r>
      <w:r w:rsidR="005E5066" w:rsidRPr="006E6DEF">
        <w:rPr>
          <w:rFonts w:ascii="Arial" w:hAnsi="Arial" w:cs="Arial"/>
          <w:highlight w:val="yellow"/>
          <w:lang w:val="fr-FR"/>
        </w:rPr>
        <w:t xml:space="preserve"> </w:t>
      </w:r>
      <w:r w:rsidR="005E5066" w:rsidRPr="005E5066">
        <w:rPr>
          <w:rFonts w:ascii="Arial" w:hAnsi="Arial" w:cs="Arial"/>
          <w:lang w:val="fr-FR"/>
        </w:rPr>
        <w:t xml:space="preserve">comparisons show plasma biomarkers often outperform urinary </w:t>
      </w:r>
      <w:proofErr w:type="gramStart"/>
      <w:r w:rsidR="005E5066" w:rsidRPr="005E5066">
        <w:rPr>
          <w:rFonts w:ascii="Arial" w:hAnsi="Arial" w:cs="Arial"/>
          <w:lang w:val="fr-FR"/>
        </w:rPr>
        <w:t>counterparts;</w:t>
      </w:r>
      <w:proofErr w:type="gramEnd"/>
      <w:r w:rsidR="005E5066" w:rsidRPr="005E5066">
        <w:rPr>
          <w:rFonts w:ascii="Arial" w:hAnsi="Arial" w:cs="Arial"/>
          <w:lang w:val="fr-FR"/>
        </w:rPr>
        <w:t xml:space="preserve"> penKid at ICU admission compared </w:t>
      </w:r>
      <w:r w:rsidRPr="006E6DEF">
        <w:rPr>
          <w:rFonts w:ascii="Arial" w:hAnsi="Arial" w:cs="Arial"/>
          <w:highlight w:val="yellow"/>
          <w:lang w:val="fr-FR"/>
        </w:rPr>
        <w:t xml:space="preserve">favourably </w:t>
      </w:r>
      <w:r w:rsidR="005E5066" w:rsidRPr="005E5066">
        <w:rPr>
          <w:rFonts w:ascii="Arial" w:hAnsi="Arial" w:cs="Arial"/>
          <w:lang w:val="fr-FR"/>
        </w:rPr>
        <w:t>with NephroCheck® (TIMP</w:t>
      </w:r>
      <w:r w:rsidR="005E5066" w:rsidRPr="005E5066">
        <w:rPr>
          <w:rFonts w:ascii="Arial" w:hAnsi="Arial" w:cs="Arial"/>
          <w:lang w:val="fr-FR"/>
        </w:rPr>
        <w:noBreakHyphen/>
        <w:t xml:space="preserve">2·IGFBP7) for AKI detection (Gayat et al., 2018). </w:t>
      </w:r>
      <w:r w:rsidRPr="006E6DEF">
        <w:rPr>
          <w:rFonts w:ascii="Arial" w:hAnsi="Arial" w:cs="Arial"/>
          <w:highlight w:val="yellow"/>
          <w:lang w:val="fr-FR"/>
        </w:rPr>
        <w:t>Meta-analytically</w:t>
      </w:r>
      <w:r w:rsidR="005E5066" w:rsidRPr="005E5066">
        <w:rPr>
          <w:rFonts w:ascii="Arial" w:hAnsi="Arial" w:cs="Arial"/>
          <w:lang w:val="fr-FR"/>
        </w:rPr>
        <w:t xml:space="preserve">, penKid demonstrates moderate diagnostic accuracy for AKI across settings (Lin et al., 2023). Mechanistically anchored markers add complementary </w:t>
      </w:r>
      <w:proofErr w:type="gramStart"/>
      <w:r w:rsidR="005E5066" w:rsidRPr="005E5066">
        <w:rPr>
          <w:rFonts w:ascii="Arial" w:hAnsi="Arial" w:cs="Arial"/>
          <w:lang w:val="fr-FR"/>
        </w:rPr>
        <w:t>signal:</w:t>
      </w:r>
      <w:proofErr w:type="gramEnd"/>
      <w:r w:rsidR="005E5066" w:rsidRPr="005E5066">
        <w:rPr>
          <w:rFonts w:ascii="Arial" w:hAnsi="Arial" w:cs="Arial"/>
          <w:lang w:val="fr-FR"/>
        </w:rPr>
        <w:t xml:space="preserve"> uAGT, a readout of intrarenal RAS activation, predicts progression to severe AKI and composite adverse outcomes after cardiac surgery (Alge et al., 2013). For treatment</w:t>
      </w:r>
      <w:r w:rsidR="005E5066" w:rsidRPr="005E5066">
        <w:rPr>
          <w:rFonts w:ascii="Arial" w:hAnsi="Arial" w:cs="Arial"/>
          <w:lang w:val="fr-FR"/>
        </w:rPr>
        <w:noBreakHyphen/>
        <w:t xml:space="preserve">course decisions, pooled evidence suggests several biomarkers have “reasonable” ability to predict need for RRT, but routine initiation decisions still require clinical context (Klein et al., 2018). </w:t>
      </w:r>
    </w:p>
    <w:p w14:paraId="3998D2CA" w14:textId="2E3EBFA3" w:rsidR="00E93F51" w:rsidRDefault="005E5066" w:rsidP="005E5066">
      <w:pPr>
        <w:pStyle w:val="Body"/>
        <w:rPr>
          <w:rFonts w:ascii="Arial" w:hAnsi="Arial" w:cs="Arial"/>
          <w:lang w:val="fr-FR"/>
        </w:rPr>
      </w:pPr>
      <w:r w:rsidRPr="005E5066">
        <w:rPr>
          <w:rFonts w:ascii="Arial" w:hAnsi="Arial" w:cs="Arial"/>
          <w:b/>
          <w:bCs/>
          <w:lang w:val="fr-FR"/>
        </w:rPr>
        <w:t>Multidisciplinary Care and Patient</w:t>
      </w:r>
      <w:r w:rsidRPr="005E5066">
        <w:rPr>
          <w:rFonts w:ascii="Arial" w:hAnsi="Arial" w:cs="Arial"/>
          <w:b/>
          <w:bCs/>
          <w:lang w:val="fr-FR"/>
        </w:rPr>
        <w:noBreakHyphen/>
      </w:r>
      <w:r w:rsidR="00380723" w:rsidRPr="006E6DEF">
        <w:rPr>
          <w:rFonts w:ascii="Arial" w:hAnsi="Arial" w:cs="Arial"/>
          <w:b/>
          <w:bCs/>
          <w:highlight w:val="yellow"/>
          <w:lang w:val="fr-FR"/>
        </w:rPr>
        <w:t>Centred</w:t>
      </w:r>
      <w:r w:rsidR="00380723" w:rsidRPr="005E5066">
        <w:rPr>
          <w:rFonts w:ascii="Arial" w:hAnsi="Arial" w:cs="Arial"/>
          <w:b/>
          <w:bCs/>
          <w:lang w:val="fr-FR"/>
        </w:rPr>
        <w:t xml:space="preserve"> </w:t>
      </w:r>
      <w:r w:rsidRPr="005E5066">
        <w:rPr>
          <w:rFonts w:ascii="Arial" w:hAnsi="Arial" w:cs="Arial"/>
          <w:b/>
          <w:bCs/>
          <w:lang w:val="fr-FR"/>
        </w:rPr>
        <w:t>Outcomes in Advanced CKD</w:t>
      </w:r>
    </w:p>
    <w:p w14:paraId="75216370" w14:textId="6A207EFA" w:rsidR="005E5066" w:rsidRPr="005E5066" w:rsidRDefault="005E5066" w:rsidP="005E5066">
      <w:pPr>
        <w:pStyle w:val="Body"/>
        <w:rPr>
          <w:rFonts w:ascii="Arial" w:hAnsi="Arial" w:cs="Arial"/>
          <w:lang w:val="fr-FR"/>
        </w:rPr>
      </w:pPr>
      <w:r w:rsidRPr="005E5066">
        <w:rPr>
          <w:rFonts w:ascii="Arial" w:hAnsi="Arial" w:cs="Arial"/>
          <w:lang w:val="fr-FR"/>
        </w:rPr>
        <w:t xml:space="preserve">For CKD stage 4–5, MDC programs are consistently associated with lower mortality and better care processes. A systematic review found MDC slows eGFR decline and reduces mortality and emergent dialysis (Hsu et al., 2021). National cohort work from Japan suggests inpatient MDC can prevent renal function deterioration (Abe et al., 2023). In </w:t>
      </w:r>
      <w:r w:rsidR="00380723" w:rsidRPr="006E6DEF">
        <w:rPr>
          <w:rFonts w:ascii="Arial" w:hAnsi="Arial" w:cs="Arial"/>
          <w:highlight w:val="yellow"/>
          <w:lang w:val="fr-FR"/>
        </w:rPr>
        <w:t>real-world</w:t>
      </w:r>
      <w:r w:rsidRPr="005E5066">
        <w:rPr>
          <w:rFonts w:ascii="Arial" w:hAnsi="Arial" w:cs="Arial"/>
          <w:lang w:val="fr-FR"/>
        </w:rPr>
        <w:t xml:space="preserve"> outpatient programs, adherence to MDC was linked to lower mortality and more timely KRT starts (Ríos et al., 2022). A </w:t>
      </w:r>
      <w:r w:rsidR="00380723" w:rsidRPr="006E6DEF">
        <w:rPr>
          <w:rFonts w:ascii="Arial" w:hAnsi="Arial" w:cs="Arial"/>
          <w:highlight w:val="yellow"/>
          <w:lang w:val="fr-FR"/>
        </w:rPr>
        <w:t>decade-long</w:t>
      </w:r>
      <w:r w:rsidRPr="006E6DEF">
        <w:rPr>
          <w:rFonts w:ascii="Arial" w:hAnsi="Arial" w:cs="Arial"/>
          <w:highlight w:val="yellow"/>
          <w:lang w:val="fr-FR"/>
        </w:rPr>
        <w:t xml:space="preserve"> </w:t>
      </w:r>
      <w:r w:rsidRPr="005E5066">
        <w:rPr>
          <w:rFonts w:ascii="Arial" w:hAnsi="Arial" w:cs="Arial"/>
          <w:lang w:val="fr-FR"/>
        </w:rPr>
        <w:t>CKD</w:t>
      </w:r>
      <w:r w:rsidRPr="005E5066">
        <w:rPr>
          <w:rFonts w:ascii="Arial" w:hAnsi="Arial" w:cs="Arial"/>
          <w:lang w:val="fr-FR"/>
        </w:rPr>
        <w:noBreakHyphen/>
        <w:t>5 clinic experience associated MDC plus education with fewer admissions and delayed dialysis (Terlizzi et al., 2022). Integrated diabetes</w:t>
      </w:r>
      <w:r w:rsidRPr="005E5066">
        <w:rPr>
          <w:rFonts w:ascii="Arial" w:hAnsi="Arial" w:cs="Arial"/>
          <w:lang w:val="fr-FR"/>
        </w:rPr>
        <w:noBreakHyphen/>
        <w:t xml:space="preserve">kidney pathways improved </w:t>
      </w:r>
      <w:r w:rsidR="00380723" w:rsidRPr="006E6DEF">
        <w:rPr>
          <w:rFonts w:ascii="Arial" w:hAnsi="Arial" w:cs="Arial"/>
          <w:highlight w:val="yellow"/>
          <w:lang w:val="fr-FR"/>
        </w:rPr>
        <w:t>all-cause</w:t>
      </w:r>
      <w:r w:rsidRPr="006E6DEF">
        <w:rPr>
          <w:rFonts w:ascii="Arial" w:hAnsi="Arial" w:cs="Arial"/>
          <w:highlight w:val="yellow"/>
          <w:lang w:val="fr-FR"/>
        </w:rPr>
        <w:t xml:space="preserve"> </w:t>
      </w:r>
      <w:r w:rsidRPr="005E5066">
        <w:rPr>
          <w:rFonts w:ascii="Arial" w:hAnsi="Arial" w:cs="Arial"/>
          <w:lang w:val="fr-FR"/>
        </w:rPr>
        <w:t xml:space="preserve">mortality with shorter lengths of stay despite more planned </w:t>
      </w:r>
      <w:r w:rsidR="00380723" w:rsidRPr="006E6DEF">
        <w:rPr>
          <w:rFonts w:ascii="Arial" w:hAnsi="Arial" w:cs="Arial"/>
          <w:highlight w:val="yellow"/>
          <w:lang w:val="fr-FR"/>
        </w:rPr>
        <w:t xml:space="preserve">hospitalisations </w:t>
      </w:r>
      <w:r w:rsidRPr="005E5066">
        <w:rPr>
          <w:rFonts w:ascii="Arial" w:hAnsi="Arial" w:cs="Arial"/>
          <w:lang w:val="fr-FR"/>
        </w:rPr>
        <w:t xml:space="preserve">(Zimbudzi et al., 2022). </w:t>
      </w:r>
    </w:p>
    <w:p w14:paraId="61961857" w14:textId="77777777" w:rsidR="00E93F51" w:rsidRDefault="005E5066" w:rsidP="005E5066">
      <w:pPr>
        <w:pStyle w:val="Body"/>
        <w:rPr>
          <w:rFonts w:ascii="Arial" w:hAnsi="Arial" w:cs="Arial"/>
          <w:lang w:val="fr-FR"/>
        </w:rPr>
      </w:pPr>
      <w:r w:rsidRPr="005E5066">
        <w:rPr>
          <w:rFonts w:ascii="Arial" w:hAnsi="Arial" w:cs="Arial"/>
          <w:b/>
          <w:bCs/>
          <w:lang w:val="fr-FR"/>
        </w:rPr>
        <w:t>Methodological Considerations and Practice Implications</w:t>
      </w:r>
    </w:p>
    <w:p w14:paraId="1CF0B0C2" w14:textId="4A79792A" w:rsidR="005E5066" w:rsidRPr="005E5066" w:rsidRDefault="005E5066" w:rsidP="005E5066">
      <w:pPr>
        <w:pStyle w:val="Body"/>
        <w:rPr>
          <w:rFonts w:ascii="Arial" w:hAnsi="Arial" w:cs="Arial"/>
          <w:lang w:val="fr-FR"/>
        </w:rPr>
      </w:pPr>
      <w:r w:rsidRPr="005E5066">
        <w:rPr>
          <w:rFonts w:ascii="Arial" w:hAnsi="Arial" w:cs="Arial"/>
          <w:lang w:val="fr-FR"/>
        </w:rPr>
        <w:t xml:space="preserve">Most ICU biomarker studies are prospective, multicenter, or embedded in trials, with growing external </w:t>
      </w:r>
      <w:proofErr w:type="gramStart"/>
      <w:r w:rsidRPr="005E5066">
        <w:rPr>
          <w:rFonts w:ascii="Arial" w:hAnsi="Arial" w:cs="Arial"/>
          <w:lang w:val="fr-FR"/>
        </w:rPr>
        <w:t>validation;</w:t>
      </w:r>
      <w:proofErr w:type="gramEnd"/>
      <w:r w:rsidRPr="005E5066">
        <w:rPr>
          <w:rFonts w:ascii="Arial" w:hAnsi="Arial" w:cs="Arial"/>
          <w:lang w:val="fr-FR"/>
        </w:rPr>
        <w:t xml:space="preserve"> still, assay </w:t>
      </w:r>
      <w:r w:rsidR="00380723" w:rsidRPr="006E6DEF">
        <w:rPr>
          <w:rFonts w:ascii="Arial" w:hAnsi="Arial" w:cs="Arial"/>
          <w:highlight w:val="yellow"/>
          <w:lang w:val="fr-FR"/>
        </w:rPr>
        <w:t xml:space="preserve">standardisation </w:t>
      </w:r>
      <w:r w:rsidRPr="005E5066">
        <w:rPr>
          <w:rFonts w:ascii="Arial" w:hAnsi="Arial" w:cs="Arial"/>
          <w:lang w:val="fr-FR"/>
        </w:rPr>
        <w:t>and threshold calibration remain priorities. Evidence syntheses underscore heterogeneity in populations and endpoints, and recommend combining biomarkers with clinical models for robust risk stratification (e.g., sTNFR</w:t>
      </w:r>
      <w:r w:rsidRPr="005E5066">
        <w:rPr>
          <w:rFonts w:ascii="Arial" w:hAnsi="Arial" w:cs="Arial"/>
          <w:lang w:val="fr-FR"/>
        </w:rPr>
        <w:noBreakHyphen/>
        <w:t>1 models for severe AKI) and for operational decisions such as CRRT weaning. For CKD, MDC effectiveness is strongest when teams include nephrologists, nurses, dietitians, and pharmacists and when patient education is embedded</w:t>
      </w:r>
      <w:r w:rsidR="00380723">
        <w:rPr>
          <w:rFonts w:ascii="Arial" w:hAnsi="Arial" w:cs="Arial"/>
          <w:lang w:val="fr-FR"/>
        </w:rPr>
        <w:t xml:space="preserve">, </w:t>
      </w:r>
      <w:r w:rsidRPr="005E5066">
        <w:rPr>
          <w:rFonts w:ascii="Arial" w:hAnsi="Arial" w:cs="Arial"/>
          <w:lang w:val="fr-FR"/>
        </w:rPr>
        <w:t xml:space="preserve">pointing to implementation science as the next frontier. </w:t>
      </w:r>
    </w:p>
    <w:p w14:paraId="465CDA72" w14:textId="77777777" w:rsidR="005E5066" w:rsidRPr="001C1BAC" w:rsidRDefault="005E5066" w:rsidP="007332CB">
      <w:pPr>
        <w:pStyle w:val="Body"/>
        <w:rPr>
          <w:rFonts w:ascii="Arial" w:hAnsi="Arial" w:cs="Arial"/>
        </w:rPr>
      </w:pPr>
    </w:p>
    <w:p w14:paraId="041B2D2F" w14:textId="104CFEEB" w:rsidR="00790ADA" w:rsidRPr="001C1BAC" w:rsidRDefault="007332CB" w:rsidP="007332CB">
      <w:pPr>
        <w:pStyle w:val="Body"/>
        <w:spacing w:after="0"/>
        <w:rPr>
          <w:rFonts w:ascii="Arial" w:hAnsi="Arial" w:cs="Arial"/>
        </w:rPr>
      </w:pPr>
      <w:r w:rsidRPr="001C1BAC">
        <w:rPr>
          <w:rFonts w:ascii="Arial" w:hAnsi="Arial" w:cs="Arial"/>
          <w:b/>
          <w:bCs/>
          <w:sz w:val="24"/>
          <w:szCs w:val="24"/>
        </w:rPr>
        <w:lastRenderedPageBreak/>
        <w:t>CONCLUSION</w:t>
      </w:r>
      <w:r w:rsidRPr="001C1BAC">
        <w:rPr>
          <w:rFonts w:ascii="Arial" w:hAnsi="Arial" w:cs="Arial"/>
        </w:rPr>
        <w:br/>
        <w:t>This review underscores a systems reality: kidney</w:t>
      </w:r>
      <w:r w:rsidRPr="001C1BAC">
        <w:rPr>
          <w:rFonts w:ascii="Arial" w:hAnsi="Arial" w:cs="Arial"/>
        </w:rPr>
        <w:noBreakHyphen/>
        <w:t>failure outcomes improve most when biomedical insight, appropriate technology, and trained teams align. Pathophysiologically, interrupting the hyperfiltration–inflammation–fibrosis cascade early remains pivotal. Technologically, olHDF, biocompatible high</w:t>
      </w:r>
      <w:r w:rsidRPr="001C1BAC">
        <w:rPr>
          <w:rFonts w:ascii="Arial" w:hAnsi="Arial" w:cs="Arial"/>
        </w:rPr>
        <w:noBreakHyphen/>
        <w:t xml:space="preserve">flux membranes, and </w:t>
      </w:r>
      <w:r w:rsidR="00380723" w:rsidRPr="006E6DEF">
        <w:rPr>
          <w:rFonts w:ascii="Arial" w:hAnsi="Arial" w:cs="Arial"/>
          <w:highlight w:val="yellow"/>
        </w:rPr>
        <w:t>context-appropriate</w:t>
      </w:r>
      <w:r w:rsidRPr="006E6DEF">
        <w:rPr>
          <w:rFonts w:ascii="Arial" w:hAnsi="Arial" w:cs="Arial"/>
          <w:highlight w:val="yellow"/>
        </w:rPr>
        <w:t xml:space="preserve"> </w:t>
      </w:r>
      <w:r w:rsidRPr="001C1BAC">
        <w:rPr>
          <w:rFonts w:ascii="Arial" w:hAnsi="Arial" w:cs="Arial"/>
        </w:rPr>
        <w:t xml:space="preserve">ICU modalities can confer advantages, but only when prerequisite infrastructure and maintenance standards are met. Organizationally, </w:t>
      </w:r>
      <w:r w:rsidR="00380723" w:rsidRPr="006E6DEF">
        <w:rPr>
          <w:rFonts w:ascii="Arial" w:hAnsi="Arial" w:cs="Arial"/>
          <w:highlight w:val="yellow"/>
        </w:rPr>
        <w:t>simulation-enabled</w:t>
      </w:r>
      <w:r w:rsidRPr="006E6DEF">
        <w:rPr>
          <w:rFonts w:ascii="Arial" w:hAnsi="Arial" w:cs="Arial"/>
          <w:highlight w:val="yellow"/>
        </w:rPr>
        <w:t xml:space="preserve"> </w:t>
      </w:r>
      <w:r w:rsidRPr="001C1BAC">
        <w:rPr>
          <w:rFonts w:ascii="Arial" w:hAnsi="Arial" w:cs="Arial"/>
        </w:rPr>
        <w:t xml:space="preserve">education and </w:t>
      </w:r>
      <w:r w:rsidR="00380723" w:rsidRPr="006E6DEF">
        <w:rPr>
          <w:rFonts w:ascii="Arial" w:hAnsi="Arial" w:cs="Arial"/>
          <w:highlight w:val="yellow"/>
        </w:rPr>
        <w:t xml:space="preserve">standardised </w:t>
      </w:r>
      <w:r w:rsidRPr="001C1BAC">
        <w:rPr>
          <w:rFonts w:ascii="Arial" w:hAnsi="Arial" w:cs="Arial"/>
        </w:rPr>
        <w:t>procedures translate capability into reliability, echoing quality</w:t>
      </w:r>
      <w:r w:rsidRPr="001C1BAC">
        <w:rPr>
          <w:rFonts w:ascii="Arial" w:hAnsi="Arial" w:cs="Arial"/>
        </w:rPr>
        <w:noBreakHyphen/>
        <w:t>of</w:t>
      </w:r>
      <w:r w:rsidRPr="001C1BAC">
        <w:rPr>
          <w:rFonts w:ascii="Arial" w:hAnsi="Arial" w:cs="Arial"/>
        </w:rPr>
        <w:noBreakHyphen/>
        <w:t xml:space="preserve">care frameworks. Several limitations temper these conclusions. The synthesis privileges studies within a precompiled corpus, risking omission of </w:t>
      </w:r>
      <w:r w:rsidR="00380723" w:rsidRPr="006E6DEF">
        <w:rPr>
          <w:rFonts w:ascii="Arial" w:hAnsi="Arial" w:cs="Arial"/>
          <w:highlight w:val="yellow"/>
        </w:rPr>
        <w:t>post-2024</w:t>
      </w:r>
      <w:r w:rsidRPr="006E6DEF">
        <w:rPr>
          <w:rFonts w:ascii="Arial" w:hAnsi="Arial" w:cs="Arial"/>
          <w:highlight w:val="yellow"/>
        </w:rPr>
        <w:t xml:space="preserve"> </w:t>
      </w:r>
      <w:r w:rsidRPr="001C1BAC">
        <w:rPr>
          <w:rFonts w:ascii="Arial" w:hAnsi="Arial" w:cs="Arial"/>
        </w:rPr>
        <w:t xml:space="preserve">evidence. Heterogeneity in designs, outcomes, and reporting precluded </w:t>
      </w:r>
      <w:r w:rsidR="00380723" w:rsidRPr="006E6DEF">
        <w:rPr>
          <w:rFonts w:ascii="Arial" w:hAnsi="Arial" w:cs="Arial"/>
          <w:highlight w:val="yellow"/>
        </w:rPr>
        <w:t>meta-analysis</w:t>
      </w:r>
      <w:r w:rsidRPr="006E6DEF">
        <w:rPr>
          <w:rFonts w:ascii="Arial" w:hAnsi="Arial" w:cs="Arial"/>
          <w:highlight w:val="yellow"/>
        </w:rPr>
        <w:t xml:space="preserve"> </w:t>
      </w:r>
      <w:r w:rsidRPr="001C1BAC">
        <w:rPr>
          <w:rFonts w:ascii="Arial" w:hAnsi="Arial" w:cs="Arial"/>
        </w:rPr>
        <w:t>and complicates precise effect estimates, particularly for mortality in RRT trials. Biomarker studies vary in assays and thresholds, limiting immediate clinical generalizability. Educational evaluations are often single</w:t>
      </w:r>
      <w:r w:rsidRPr="001C1BAC">
        <w:rPr>
          <w:rFonts w:ascii="Arial" w:hAnsi="Arial" w:cs="Arial"/>
        </w:rPr>
        <w:noBreakHyphen/>
        <w:t xml:space="preserve">center and </w:t>
      </w:r>
      <w:r w:rsidR="00380723" w:rsidRPr="006E6DEF">
        <w:rPr>
          <w:rFonts w:ascii="Arial" w:hAnsi="Arial" w:cs="Arial"/>
          <w:highlight w:val="yellow"/>
        </w:rPr>
        <w:t>quasi-experimental</w:t>
      </w:r>
      <w:r w:rsidRPr="001C1BAC">
        <w:rPr>
          <w:rFonts w:ascii="Arial" w:hAnsi="Arial" w:cs="Arial"/>
        </w:rPr>
        <w:t xml:space="preserve">, with uncertain durability. Future work should validate early multimarker panels for </w:t>
      </w:r>
      <w:r w:rsidR="00380723" w:rsidRPr="006E6DEF">
        <w:rPr>
          <w:rFonts w:ascii="Arial" w:hAnsi="Arial" w:cs="Arial"/>
          <w:highlight w:val="yellow"/>
        </w:rPr>
        <w:t>risk-stratified</w:t>
      </w:r>
      <w:r w:rsidRPr="006E6DEF">
        <w:rPr>
          <w:rFonts w:ascii="Arial" w:hAnsi="Arial" w:cs="Arial"/>
          <w:highlight w:val="yellow"/>
        </w:rPr>
        <w:t xml:space="preserve"> </w:t>
      </w:r>
      <w:r w:rsidRPr="001C1BAC">
        <w:rPr>
          <w:rFonts w:ascii="Arial" w:hAnsi="Arial" w:cs="Arial"/>
        </w:rPr>
        <w:t>screening and therapeutic monitoring; test target convection volumes and patient</w:t>
      </w:r>
      <w:r w:rsidRPr="001C1BAC">
        <w:rPr>
          <w:rFonts w:ascii="Arial" w:hAnsi="Arial" w:cs="Arial"/>
        </w:rPr>
        <w:noBreakHyphen/>
        <w:t xml:space="preserve">centered endpoints in sufficiently powered trials; and conduct implementation and </w:t>
      </w:r>
      <w:r w:rsidR="00380723" w:rsidRPr="006E6DEF">
        <w:rPr>
          <w:rFonts w:ascii="Arial" w:hAnsi="Arial" w:cs="Arial"/>
          <w:highlight w:val="yellow"/>
        </w:rPr>
        <w:t>cost-effectiveness</w:t>
      </w:r>
      <w:r w:rsidRPr="006E6DEF">
        <w:rPr>
          <w:rFonts w:ascii="Arial" w:hAnsi="Arial" w:cs="Arial"/>
          <w:highlight w:val="yellow"/>
        </w:rPr>
        <w:t xml:space="preserve"> </w:t>
      </w:r>
      <w:r w:rsidRPr="001C1BAC">
        <w:rPr>
          <w:rFonts w:ascii="Arial" w:hAnsi="Arial" w:cs="Arial"/>
        </w:rPr>
        <w:t>studies of olHDF and hybrid ICU modalities in resource</w:t>
      </w:r>
      <w:r w:rsidRPr="001C1BAC">
        <w:rPr>
          <w:rFonts w:ascii="Arial" w:hAnsi="Arial" w:cs="Arial"/>
        </w:rPr>
        <w:noBreakHyphen/>
        <w:t xml:space="preserve">variable systems. At the workforce level, national competency frameworks with accredited curricula and simulation capacity should be developed and evaluated using pragmatic multicenter designs. Together, these steps can </w:t>
      </w:r>
      <w:r w:rsidR="00380723" w:rsidRPr="006E6DEF">
        <w:rPr>
          <w:rFonts w:ascii="Arial" w:hAnsi="Arial" w:cs="Arial"/>
          <w:highlight w:val="yellow"/>
        </w:rPr>
        <w:t xml:space="preserve">operationalise </w:t>
      </w:r>
      <w:r w:rsidRPr="001C1BAC">
        <w:rPr>
          <w:rFonts w:ascii="Arial" w:hAnsi="Arial" w:cs="Arial"/>
        </w:rPr>
        <w:t>an integrated, equitable model of kidney</w:t>
      </w:r>
      <w:r w:rsidRPr="001C1BAC">
        <w:rPr>
          <w:rFonts w:ascii="Arial" w:hAnsi="Arial" w:cs="Arial"/>
        </w:rPr>
        <w:noBreakHyphen/>
        <w:t>failure care that is safer, more effective, and economically sustainable.</w:t>
      </w:r>
    </w:p>
    <w:p w14:paraId="3B9B1737" w14:textId="77777777" w:rsidR="00790ADA" w:rsidRPr="001C1BAC" w:rsidRDefault="00790ADA" w:rsidP="00441B6F">
      <w:pPr>
        <w:pStyle w:val="Body"/>
        <w:spacing w:after="0"/>
        <w:rPr>
          <w:rFonts w:ascii="Arial" w:hAnsi="Arial" w:cs="Arial"/>
        </w:rPr>
      </w:pPr>
    </w:p>
    <w:p w14:paraId="064DD301" w14:textId="77777777" w:rsidR="00790ADA" w:rsidRPr="001C1BAC" w:rsidRDefault="00790ADA" w:rsidP="00441B6F">
      <w:pPr>
        <w:pStyle w:val="AcknHead"/>
        <w:spacing w:after="0"/>
        <w:jc w:val="both"/>
        <w:rPr>
          <w:rFonts w:ascii="Arial" w:hAnsi="Arial" w:cs="Arial"/>
        </w:rPr>
      </w:pPr>
    </w:p>
    <w:p w14:paraId="5A79547B" w14:textId="77777777" w:rsidR="00711780" w:rsidRPr="001C1BAC" w:rsidRDefault="00711780" w:rsidP="00711780">
      <w:pPr>
        <w:jc w:val="both"/>
        <w:rPr>
          <w:rFonts w:ascii="Arial" w:hAnsi="Arial" w:cs="Arial"/>
          <w:b/>
          <w:bCs/>
        </w:rPr>
      </w:pPr>
      <w:r w:rsidRPr="001C1BAC">
        <w:rPr>
          <w:rFonts w:ascii="Arial" w:hAnsi="Arial" w:cs="Arial"/>
          <w:b/>
          <w:bCs/>
        </w:rPr>
        <w:t>Data availability statement:</w:t>
      </w:r>
    </w:p>
    <w:p w14:paraId="7BAACA45" w14:textId="74DC42D4" w:rsidR="00711780" w:rsidRPr="001C1BAC" w:rsidRDefault="00711780" w:rsidP="00711780">
      <w:pPr>
        <w:jc w:val="both"/>
        <w:rPr>
          <w:rFonts w:ascii="Arial" w:hAnsi="Arial" w:cs="Arial"/>
        </w:rPr>
      </w:pPr>
      <w:r w:rsidRPr="001C1BAC">
        <w:rPr>
          <w:rFonts w:ascii="Arial" w:hAnsi="Arial" w:cs="Arial"/>
        </w:rPr>
        <w:t xml:space="preserve">No new datasets were generated or </w:t>
      </w:r>
      <w:r w:rsidR="00380723" w:rsidRPr="006E6DEF">
        <w:rPr>
          <w:rFonts w:ascii="Arial" w:hAnsi="Arial" w:cs="Arial"/>
          <w:highlight w:val="yellow"/>
        </w:rPr>
        <w:t xml:space="preserve">analysed </w:t>
      </w:r>
      <w:r w:rsidRPr="001C1BAC">
        <w:rPr>
          <w:rFonts w:ascii="Arial" w:hAnsi="Arial" w:cs="Arial"/>
        </w:rPr>
        <w:t>for this PRISMA</w:t>
      </w:r>
      <w:r w:rsidRPr="001C1BAC">
        <w:rPr>
          <w:rFonts w:ascii="Arial" w:hAnsi="Arial" w:cs="Arial"/>
        </w:rPr>
        <w:noBreakHyphen/>
        <w:t>guided narrative review. All data underlying the conclusions are contained within the articles, guidelines, and reports cited in the manuscript. The screening/extraction matrices, risk</w:t>
      </w:r>
      <w:r w:rsidRPr="001C1BAC">
        <w:rPr>
          <w:rFonts w:ascii="Arial" w:hAnsi="Arial" w:cs="Arial"/>
        </w:rPr>
        <w:noBreakHyphen/>
        <w:t>of</w:t>
      </w:r>
      <w:r w:rsidRPr="001C1BAC">
        <w:rPr>
          <w:rFonts w:ascii="Arial" w:hAnsi="Arial" w:cs="Arial"/>
        </w:rPr>
        <w:noBreakHyphen/>
        <w:t>bias notes, and the final NVivo codebook used for thematic synthesis are available from the corresponding author upon reasonable request.</w:t>
      </w:r>
    </w:p>
    <w:p w14:paraId="74A38FCC" w14:textId="77777777" w:rsidR="00597287" w:rsidRDefault="00597287" w:rsidP="00711780">
      <w:pPr>
        <w:jc w:val="both"/>
        <w:rPr>
          <w:rFonts w:ascii="Arial" w:hAnsi="Arial" w:cs="Arial"/>
        </w:rPr>
      </w:pPr>
    </w:p>
    <w:p w14:paraId="2AEDE09C" w14:textId="77777777" w:rsidR="00597287" w:rsidRDefault="00597287" w:rsidP="00711780">
      <w:pPr>
        <w:jc w:val="both"/>
        <w:rPr>
          <w:rFonts w:ascii="Arial" w:hAnsi="Arial" w:cs="Arial"/>
        </w:rPr>
      </w:pPr>
    </w:p>
    <w:p w14:paraId="286D5103" w14:textId="77777777" w:rsidR="00597287" w:rsidRDefault="00597287" w:rsidP="00711780">
      <w:pPr>
        <w:jc w:val="both"/>
        <w:rPr>
          <w:rFonts w:ascii="Arial" w:hAnsi="Arial" w:cs="Arial"/>
        </w:rPr>
      </w:pPr>
    </w:p>
    <w:p w14:paraId="0717F8C2" w14:textId="77777777" w:rsidR="00597287" w:rsidRPr="00597287" w:rsidRDefault="00597287" w:rsidP="00597287">
      <w:pPr>
        <w:spacing w:after="200" w:line="276" w:lineRule="auto"/>
        <w:jc w:val="both"/>
        <w:outlineLvl w:val="0"/>
        <w:rPr>
          <w:rFonts w:ascii="Arial" w:eastAsiaTheme="minorEastAsia" w:hAnsi="Arial" w:cs="Arial"/>
          <w:sz w:val="22"/>
          <w:szCs w:val="22"/>
          <w:lang w:val="en-GB" w:eastAsia="en-GB"/>
        </w:rPr>
      </w:pPr>
      <w:r w:rsidRPr="00597287">
        <w:rPr>
          <w:rFonts w:ascii="Arial" w:eastAsiaTheme="minorEastAsia" w:hAnsi="Arial" w:cs="Arial"/>
          <w:b/>
          <w:bCs/>
          <w:sz w:val="22"/>
          <w:szCs w:val="22"/>
          <w:lang w:val="en-GB" w:eastAsia="en-GB"/>
        </w:rPr>
        <w:t>COMPETING INTERESTS DISCLAIMER:</w:t>
      </w:r>
    </w:p>
    <w:p w14:paraId="3DAED0B1" w14:textId="4D2EF21D" w:rsidR="00597287" w:rsidRDefault="00597287" w:rsidP="00597287">
      <w:pPr>
        <w:spacing w:after="200" w:line="276" w:lineRule="auto"/>
        <w:rPr>
          <w:rFonts w:asciiTheme="minorHAnsi" w:eastAsiaTheme="minorEastAsia" w:hAnsiTheme="minorHAnsi" w:cstheme="minorBidi"/>
          <w:sz w:val="22"/>
          <w:szCs w:val="22"/>
          <w:lang w:val="en-GB" w:eastAsia="en-GB"/>
        </w:rPr>
      </w:pPr>
      <w:r w:rsidRPr="00597287">
        <w:rPr>
          <w:rFonts w:asciiTheme="minorHAnsi" w:eastAsiaTheme="minorEastAsia" w:hAnsiTheme="minorHAnsi" w:cstheme="minorBidi"/>
          <w:sz w:val="22"/>
          <w:szCs w:val="22"/>
          <w:lang w:val="en-GB" w:eastAsia="en-GB"/>
        </w:rPr>
        <w:t>Authors have declared that they have no known competing financial interests OR non-financial interests OR personal relationships that could have appeared to influence the work reported in this paper.</w:t>
      </w:r>
    </w:p>
    <w:p w14:paraId="1D0B16E8" w14:textId="77777777" w:rsidR="00A354D7" w:rsidRPr="00597287" w:rsidRDefault="00A354D7" w:rsidP="00597287">
      <w:pPr>
        <w:spacing w:after="200" w:line="276" w:lineRule="auto"/>
        <w:rPr>
          <w:rFonts w:asciiTheme="minorHAnsi" w:eastAsiaTheme="minorEastAsia" w:hAnsiTheme="minorHAnsi" w:cstheme="minorBidi"/>
          <w:sz w:val="22"/>
          <w:szCs w:val="22"/>
          <w:lang w:val="en-GB" w:eastAsia="en-GB"/>
        </w:rPr>
      </w:pPr>
    </w:p>
    <w:p w14:paraId="6F8D2496" w14:textId="77777777" w:rsidR="00A354D7" w:rsidRPr="00270720" w:rsidRDefault="00A354D7" w:rsidP="00A354D7">
      <w:pPr>
        <w:rPr>
          <w:highlight w:val="yellow"/>
        </w:rPr>
      </w:pPr>
      <w:r w:rsidRPr="00270720">
        <w:rPr>
          <w:highlight w:val="yellow"/>
        </w:rPr>
        <w:t>Disclaimer (Artificial intelligence)</w:t>
      </w:r>
    </w:p>
    <w:p w14:paraId="14C18BC6" w14:textId="77777777" w:rsidR="00A354D7" w:rsidRPr="00270720" w:rsidRDefault="00A354D7" w:rsidP="00A354D7">
      <w:pPr>
        <w:rPr>
          <w:highlight w:val="yellow"/>
        </w:rPr>
      </w:pPr>
    </w:p>
    <w:p w14:paraId="601BF961" w14:textId="77777777" w:rsidR="00A354D7" w:rsidRPr="00270720" w:rsidRDefault="00A354D7" w:rsidP="00A354D7">
      <w:pPr>
        <w:rPr>
          <w:highlight w:val="yellow"/>
        </w:rPr>
      </w:pPr>
      <w:r w:rsidRPr="00270720">
        <w:rPr>
          <w:highlight w:val="yellow"/>
        </w:rPr>
        <w:t xml:space="preserve">Option 1: </w:t>
      </w:r>
    </w:p>
    <w:p w14:paraId="2C3ADEE6" w14:textId="77777777" w:rsidR="00A354D7" w:rsidRPr="00270720" w:rsidRDefault="00A354D7" w:rsidP="00A354D7">
      <w:pPr>
        <w:rPr>
          <w:highlight w:val="yellow"/>
        </w:rPr>
      </w:pPr>
    </w:p>
    <w:p w14:paraId="6985DD2B" w14:textId="77777777" w:rsidR="00A354D7" w:rsidRPr="00270720" w:rsidRDefault="00A354D7" w:rsidP="00A354D7">
      <w:pPr>
        <w:rPr>
          <w:highlight w:val="yellow"/>
        </w:rPr>
      </w:pPr>
      <w:r w:rsidRPr="00270720">
        <w:rPr>
          <w:highlight w:val="yellow"/>
        </w:rPr>
        <w:t xml:space="preserve">Author(s) hereby declare that NO generative AI technologies such as Large Language Models (ChatGPT, COPILOT, etc.) and text-to-image generators have been used during the writing or editing of this manuscript. </w:t>
      </w:r>
    </w:p>
    <w:p w14:paraId="4F829CA0" w14:textId="77777777" w:rsidR="00A354D7" w:rsidRPr="00270720" w:rsidRDefault="00A354D7" w:rsidP="00A354D7">
      <w:pPr>
        <w:rPr>
          <w:highlight w:val="yellow"/>
        </w:rPr>
      </w:pPr>
    </w:p>
    <w:p w14:paraId="60BF9671" w14:textId="77777777" w:rsidR="00A354D7" w:rsidRPr="00270720" w:rsidRDefault="00A354D7" w:rsidP="00A354D7">
      <w:pPr>
        <w:rPr>
          <w:highlight w:val="yellow"/>
        </w:rPr>
      </w:pPr>
      <w:r w:rsidRPr="00270720">
        <w:rPr>
          <w:highlight w:val="yellow"/>
        </w:rPr>
        <w:t xml:space="preserve">Option 2: </w:t>
      </w:r>
    </w:p>
    <w:p w14:paraId="30FB519B" w14:textId="77777777" w:rsidR="00A354D7" w:rsidRPr="00270720" w:rsidRDefault="00A354D7" w:rsidP="00A354D7">
      <w:pPr>
        <w:rPr>
          <w:highlight w:val="yellow"/>
        </w:rPr>
      </w:pPr>
    </w:p>
    <w:p w14:paraId="34767802" w14:textId="77777777" w:rsidR="00A354D7" w:rsidRPr="00270720" w:rsidRDefault="00A354D7" w:rsidP="00A354D7">
      <w:pPr>
        <w:rPr>
          <w:highlight w:val="yellow"/>
        </w:rPr>
      </w:pPr>
      <w:r w:rsidRPr="00270720">
        <w:rPr>
          <w:highlight w:val="yellow"/>
        </w:rPr>
        <w:t xml:space="preserve">Author(s) hereby declare that generative AI technologies such as Large Language Models, etc. have been used during the writing or editing of manuscripts. This explanation will include </w:t>
      </w:r>
      <w:r w:rsidRPr="00270720">
        <w:rPr>
          <w:highlight w:val="yellow"/>
        </w:rPr>
        <w:lastRenderedPageBreak/>
        <w:t>the name, version, model, and source of the generative AI technology and as well as all input prompts provided to the generative AI technology</w:t>
      </w:r>
    </w:p>
    <w:p w14:paraId="3FE6B041" w14:textId="77777777" w:rsidR="00A354D7" w:rsidRPr="00270720" w:rsidRDefault="00A354D7" w:rsidP="00A354D7">
      <w:pPr>
        <w:rPr>
          <w:highlight w:val="yellow"/>
        </w:rPr>
      </w:pPr>
    </w:p>
    <w:p w14:paraId="10048B0D" w14:textId="77777777" w:rsidR="00A354D7" w:rsidRPr="00270720" w:rsidRDefault="00A354D7" w:rsidP="00A354D7">
      <w:pPr>
        <w:rPr>
          <w:highlight w:val="yellow"/>
        </w:rPr>
      </w:pPr>
      <w:r w:rsidRPr="00270720">
        <w:rPr>
          <w:highlight w:val="yellow"/>
        </w:rPr>
        <w:t>Details of the AI usage are given below:</w:t>
      </w:r>
    </w:p>
    <w:p w14:paraId="1957389C" w14:textId="77777777" w:rsidR="00A354D7" w:rsidRPr="00270720" w:rsidRDefault="00A354D7" w:rsidP="00A354D7">
      <w:pPr>
        <w:rPr>
          <w:highlight w:val="yellow"/>
        </w:rPr>
      </w:pPr>
      <w:r w:rsidRPr="00270720">
        <w:rPr>
          <w:highlight w:val="yellow"/>
        </w:rPr>
        <w:t>1.</w:t>
      </w:r>
    </w:p>
    <w:p w14:paraId="422365B4" w14:textId="77777777" w:rsidR="00A354D7" w:rsidRPr="00270720" w:rsidRDefault="00A354D7" w:rsidP="00A354D7">
      <w:pPr>
        <w:rPr>
          <w:highlight w:val="yellow"/>
        </w:rPr>
      </w:pPr>
      <w:r w:rsidRPr="00270720">
        <w:rPr>
          <w:highlight w:val="yellow"/>
        </w:rPr>
        <w:t>2.</w:t>
      </w:r>
    </w:p>
    <w:p w14:paraId="63018A99" w14:textId="77777777" w:rsidR="00A354D7" w:rsidRPr="00270720" w:rsidRDefault="00A354D7" w:rsidP="00A354D7">
      <w:r w:rsidRPr="00270720">
        <w:rPr>
          <w:highlight w:val="yellow"/>
        </w:rPr>
        <w:t>3.</w:t>
      </w:r>
    </w:p>
    <w:p w14:paraId="7688E233" w14:textId="77777777" w:rsidR="00597287" w:rsidRPr="00597287" w:rsidRDefault="00597287" w:rsidP="00597287">
      <w:pPr>
        <w:spacing w:after="200" w:line="276" w:lineRule="auto"/>
        <w:rPr>
          <w:rFonts w:asciiTheme="minorHAnsi" w:eastAsiaTheme="minorEastAsia" w:hAnsiTheme="minorHAnsi" w:cstheme="minorBidi"/>
          <w:sz w:val="22"/>
          <w:szCs w:val="22"/>
          <w:lang w:val="en-GB" w:eastAsia="en-GB"/>
        </w:rPr>
      </w:pPr>
    </w:p>
    <w:p w14:paraId="587BB4BB" w14:textId="77777777" w:rsidR="00597287" w:rsidRDefault="00597287" w:rsidP="00711780">
      <w:pPr>
        <w:jc w:val="both"/>
        <w:rPr>
          <w:rFonts w:ascii="Arial" w:hAnsi="Arial" w:cs="Arial"/>
        </w:rPr>
      </w:pPr>
    </w:p>
    <w:p w14:paraId="49E9079C" w14:textId="77777777" w:rsidR="00E93F51" w:rsidRDefault="00E93F51" w:rsidP="00711780">
      <w:pPr>
        <w:jc w:val="both"/>
        <w:rPr>
          <w:rFonts w:ascii="Arial" w:hAnsi="Arial" w:cs="Arial"/>
        </w:rPr>
      </w:pPr>
    </w:p>
    <w:p w14:paraId="08DBB41E" w14:textId="77777777" w:rsidR="00E93F51" w:rsidRPr="001C1BAC" w:rsidRDefault="00E93F51" w:rsidP="00E93F51">
      <w:pPr>
        <w:pStyle w:val="ReferHead"/>
        <w:spacing w:after="0"/>
        <w:jc w:val="both"/>
        <w:rPr>
          <w:rFonts w:ascii="Arial" w:hAnsi="Arial" w:cs="Arial"/>
        </w:rPr>
      </w:pPr>
      <w:r w:rsidRPr="001C1BAC">
        <w:rPr>
          <w:rFonts w:ascii="Arial" w:hAnsi="Arial" w:cs="Arial"/>
        </w:rPr>
        <w:t>References</w:t>
      </w:r>
    </w:p>
    <w:p w14:paraId="5DEFDA17" w14:textId="77777777" w:rsidR="00E93F51" w:rsidRPr="001C1BAC" w:rsidRDefault="00E93F51" w:rsidP="00711780">
      <w:pPr>
        <w:jc w:val="both"/>
        <w:rPr>
          <w:rFonts w:ascii="Arial" w:hAnsi="Arial" w:cs="Arial"/>
        </w:rPr>
      </w:pPr>
    </w:p>
    <w:p w14:paraId="5D130996" w14:textId="77777777" w:rsidR="00527650" w:rsidRPr="00E10A6F" w:rsidRDefault="00527650" w:rsidP="00E10A6F">
      <w:pPr>
        <w:pStyle w:val="ListParagraph"/>
        <w:numPr>
          <w:ilvl w:val="0"/>
          <w:numId w:val="32"/>
        </w:numPr>
        <w:jc w:val="both"/>
        <w:rPr>
          <w:lang w:val="fr-FR"/>
        </w:rPr>
      </w:pPr>
      <w:proofErr w:type="gramStart"/>
      <w:r w:rsidRPr="00E10A6F">
        <w:rPr>
          <w:lang w:val="fr-FR"/>
        </w:rPr>
        <w:t>Abe ,</w:t>
      </w:r>
      <w:proofErr w:type="gramEnd"/>
      <w:r w:rsidRPr="00E10A6F">
        <w:rPr>
          <w:lang w:val="fr-FR"/>
        </w:rPr>
        <w:t xml:space="preserve"> M. , Hatta , T. , Imamura , Y. , Sakurada , T. , &amp; Kaname , S. (2023). Inpatient multidisciplinary care can prevent deterioration of renal function in patients with chronic kidney </w:t>
      </w:r>
      <w:proofErr w:type="gramStart"/>
      <w:r w:rsidRPr="00E10A6F">
        <w:rPr>
          <w:lang w:val="fr-FR"/>
        </w:rPr>
        <w:t>disease:</w:t>
      </w:r>
      <w:proofErr w:type="gramEnd"/>
      <w:r w:rsidRPr="00E10A6F">
        <w:rPr>
          <w:lang w:val="fr-FR"/>
        </w:rPr>
        <w:t xml:space="preserve"> A nationwide cohort study. Frontiers in Endocrinology, 14, 1180477. https://doi.org/10.3389/fendo.2023.1180477</w:t>
      </w:r>
    </w:p>
    <w:p w14:paraId="3E63B47E" w14:textId="77777777" w:rsidR="00527650" w:rsidRPr="00E10A6F" w:rsidRDefault="00527650" w:rsidP="00E10A6F">
      <w:pPr>
        <w:pStyle w:val="ListParagraph"/>
        <w:numPr>
          <w:ilvl w:val="0"/>
          <w:numId w:val="32"/>
        </w:numPr>
        <w:jc w:val="both"/>
        <w:rPr>
          <w:lang w:val="fr-FR"/>
        </w:rPr>
      </w:pPr>
      <w:proofErr w:type="gramStart"/>
      <w:r w:rsidRPr="00E10A6F">
        <w:rPr>
          <w:lang w:val="fr-FR"/>
        </w:rPr>
        <w:t>Alge ,</w:t>
      </w:r>
      <w:proofErr w:type="gramEnd"/>
      <w:r w:rsidRPr="00E10A6F">
        <w:rPr>
          <w:lang w:val="fr-FR"/>
        </w:rPr>
        <w:t xml:space="preserve"> J. L. , Karakala , N. , Neely , B. A. , Janech , M. G. , Tumlin , J. A. , Chawla , L. S. , Shaw , A. D. , &amp; Arthur , J. M. (2013). Urinary angiotensinogen and risk of severe AKI. Clinical Journal of the American Society of Nephrology, 8(2), 184–193. https://doi.org/10.2215/CJN.06280612</w:t>
      </w:r>
    </w:p>
    <w:p w14:paraId="105A330C" w14:textId="77777777" w:rsidR="00527650" w:rsidRPr="00E10A6F" w:rsidRDefault="00527650" w:rsidP="00E10A6F">
      <w:pPr>
        <w:pStyle w:val="ListParagraph"/>
        <w:numPr>
          <w:ilvl w:val="0"/>
          <w:numId w:val="32"/>
        </w:numPr>
        <w:jc w:val="both"/>
        <w:rPr>
          <w:lang w:val="fr-FR"/>
        </w:rPr>
      </w:pPr>
      <w:proofErr w:type="gramStart"/>
      <w:r w:rsidRPr="00E10A6F">
        <w:rPr>
          <w:lang w:val="fr-FR"/>
        </w:rPr>
        <w:t>Berwick ,</w:t>
      </w:r>
      <w:proofErr w:type="gramEnd"/>
      <w:r w:rsidRPr="00E10A6F">
        <w:rPr>
          <w:lang w:val="fr-FR"/>
        </w:rPr>
        <w:t xml:space="preserve"> D. M. , Nolan , T. W. , &amp; Whittington , J. (2008). The Triple </w:t>
      </w:r>
      <w:proofErr w:type="gramStart"/>
      <w:r w:rsidRPr="00E10A6F">
        <w:rPr>
          <w:lang w:val="fr-FR"/>
        </w:rPr>
        <w:t>Aim:</w:t>
      </w:r>
      <w:proofErr w:type="gramEnd"/>
      <w:r w:rsidRPr="00E10A6F">
        <w:rPr>
          <w:lang w:val="fr-FR"/>
        </w:rPr>
        <w:t xml:space="preserve"> Care, Health, and Cost. Health Affairs, 27(3), 759–769.</w:t>
      </w:r>
    </w:p>
    <w:p w14:paraId="6F64FED1" w14:textId="77777777" w:rsidR="00527650" w:rsidRPr="000C5E31" w:rsidRDefault="00527650" w:rsidP="00E10A6F">
      <w:pPr>
        <w:pStyle w:val="ListParagraph"/>
        <w:numPr>
          <w:ilvl w:val="0"/>
          <w:numId w:val="32"/>
        </w:numPr>
        <w:jc w:val="both"/>
        <w:rPr>
          <w:lang w:val="fr-FR"/>
        </w:rPr>
      </w:pPr>
      <w:proofErr w:type="gramStart"/>
      <w:r w:rsidRPr="00E10A6F">
        <w:rPr>
          <w:lang w:val="fr-FR"/>
        </w:rPr>
        <w:t>Bhatraju ,</w:t>
      </w:r>
      <w:proofErr w:type="gramEnd"/>
      <w:r w:rsidRPr="00E10A6F">
        <w:rPr>
          <w:lang w:val="fr-FR"/>
        </w:rPr>
        <w:t xml:space="preserve"> P. K. , Zelnick , L. R. , Katz , R. , Mikacenic , C. , Kosamo , S. , Hahn , W. O. , ... Wurfel , M. M. (2019). A prediction model for severe AKI in critically ill adults that incorporates clinical and biomarker data. Clinical Journal of the American Society </w:t>
      </w:r>
      <w:r w:rsidRPr="000C5E31">
        <w:rPr>
          <w:lang w:val="fr-FR"/>
        </w:rPr>
        <w:t>of Nephrology, 14(4), 506–514. https://doi.org/10.2215/CJN.04100318</w:t>
      </w:r>
    </w:p>
    <w:p w14:paraId="10907F41" w14:textId="77777777" w:rsidR="00527650" w:rsidRPr="000C5E31" w:rsidRDefault="00527650" w:rsidP="00E10A6F">
      <w:pPr>
        <w:pStyle w:val="ListParagraph"/>
        <w:numPr>
          <w:ilvl w:val="0"/>
          <w:numId w:val="32"/>
        </w:numPr>
        <w:jc w:val="both"/>
        <w:rPr>
          <w:lang w:val="fr-FR"/>
        </w:rPr>
      </w:pPr>
      <w:r w:rsidRPr="000C5E31">
        <w:rPr>
          <w:lang w:val="fr-FR"/>
        </w:rPr>
        <w:t xml:space="preserve">Bolton, P. (2019). Simulation based education in dialysis </w:t>
      </w:r>
      <w:proofErr w:type="gramStart"/>
      <w:r w:rsidRPr="000C5E31">
        <w:rPr>
          <w:lang w:val="fr-FR"/>
        </w:rPr>
        <w:t>nursing:</w:t>
      </w:r>
      <w:proofErr w:type="gramEnd"/>
      <w:r w:rsidRPr="000C5E31">
        <w:rPr>
          <w:lang w:val="fr-FR"/>
        </w:rPr>
        <w:t xml:space="preserve"> A quasi experimental study. Journal of Renal Nursing, 11(2), 57–64.</w:t>
      </w:r>
    </w:p>
    <w:p w14:paraId="126EA6AD" w14:textId="77777777" w:rsidR="00527650" w:rsidRPr="000C5E31" w:rsidRDefault="00527650" w:rsidP="00E10A6F">
      <w:pPr>
        <w:pStyle w:val="ListParagraph"/>
        <w:numPr>
          <w:ilvl w:val="0"/>
          <w:numId w:val="32"/>
        </w:numPr>
        <w:jc w:val="both"/>
        <w:rPr>
          <w:lang w:val="fr-FR"/>
        </w:rPr>
      </w:pPr>
      <w:proofErr w:type="gramStart"/>
      <w:r w:rsidRPr="000C5E31">
        <w:rPr>
          <w:lang w:val="fr-FR"/>
        </w:rPr>
        <w:t>Bowry ,</w:t>
      </w:r>
      <w:proofErr w:type="gramEnd"/>
      <w:r w:rsidRPr="000C5E31">
        <w:rPr>
          <w:lang w:val="fr-FR"/>
        </w:rPr>
        <w:t xml:space="preserve"> S. K. ( 2002 ). Polysulfone and polyethersulfone dialyzer membranes. Contributions to Nephrology, 138, 111–119.</w:t>
      </w:r>
    </w:p>
    <w:p w14:paraId="39FCE7F5" w14:textId="77777777" w:rsidR="00527650" w:rsidRPr="00E10A6F" w:rsidRDefault="00527650" w:rsidP="00E10A6F">
      <w:pPr>
        <w:pStyle w:val="ListParagraph"/>
        <w:numPr>
          <w:ilvl w:val="0"/>
          <w:numId w:val="32"/>
        </w:numPr>
        <w:jc w:val="both"/>
        <w:rPr>
          <w:lang w:val="fr-FR"/>
        </w:rPr>
      </w:pPr>
      <w:proofErr w:type="gramStart"/>
      <w:r w:rsidRPr="000C5E31">
        <w:rPr>
          <w:lang w:val="fr-FR"/>
        </w:rPr>
        <w:t>Caironi ,</w:t>
      </w:r>
      <w:proofErr w:type="gramEnd"/>
      <w:r w:rsidRPr="000C5E31">
        <w:rPr>
          <w:lang w:val="fr-FR"/>
        </w:rPr>
        <w:t xml:space="preserve"> P. , Latini , R. , Struck , J. , Hartmann</w:t>
      </w:r>
      <w:r w:rsidRPr="00E10A6F">
        <w:rPr>
          <w:lang w:val="fr-FR"/>
        </w:rPr>
        <w:t xml:space="preserve"> , O. , Bergmann , A. , Bellato , V. , … Masson, S. (2018). Circulating proenkephalin, acute kidney injury, and its improvement in patients with severe sepsis or shock. Clinical Chemistry, 64(9), 1361–1369. https://doi.org/10.1373/clinchem.2018.288068</w:t>
      </w:r>
    </w:p>
    <w:p w14:paraId="365B62D1" w14:textId="77777777" w:rsidR="00527650" w:rsidRPr="000C5E31" w:rsidRDefault="00527650" w:rsidP="00E10A6F">
      <w:pPr>
        <w:pStyle w:val="ListParagraph"/>
        <w:numPr>
          <w:ilvl w:val="0"/>
          <w:numId w:val="32"/>
        </w:numPr>
        <w:jc w:val="both"/>
        <w:rPr>
          <w:lang w:val="fr-FR"/>
        </w:rPr>
      </w:pPr>
      <w:r w:rsidRPr="000C5E31">
        <w:rPr>
          <w:lang w:val="fr-FR"/>
        </w:rPr>
        <w:t>CONSORT Group. (2010). CONSORT 2010. BMJ, 340, c332.</w:t>
      </w:r>
    </w:p>
    <w:p w14:paraId="6AEACA55" w14:textId="77777777" w:rsidR="00527650" w:rsidRPr="00E10A6F" w:rsidRDefault="00527650" w:rsidP="00E10A6F">
      <w:pPr>
        <w:pStyle w:val="ListParagraph"/>
        <w:numPr>
          <w:ilvl w:val="0"/>
          <w:numId w:val="32"/>
        </w:numPr>
        <w:jc w:val="both"/>
        <w:rPr>
          <w:lang w:val="fr-FR"/>
        </w:rPr>
      </w:pPr>
      <w:proofErr w:type="gramStart"/>
      <w:r w:rsidRPr="00E10A6F">
        <w:rPr>
          <w:lang w:val="fr-FR"/>
        </w:rPr>
        <w:t>Develay ,</w:t>
      </w:r>
      <w:proofErr w:type="gramEnd"/>
      <w:r w:rsidRPr="00E10A6F">
        <w:rPr>
          <w:lang w:val="fr-FR"/>
        </w:rPr>
        <w:t xml:space="preserve"> A. , Gatti , E. , &amp; Wautier , J. L. (2021). Biocompatibility of new generation hemodialysis membranes. Nephrology &amp; Therapeutics, 17(6), 401–410.</w:t>
      </w:r>
    </w:p>
    <w:p w14:paraId="4C6119FC" w14:textId="77777777" w:rsidR="00527650" w:rsidRPr="00E10A6F" w:rsidRDefault="00527650" w:rsidP="00E10A6F">
      <w:pPr>
        <w:pStyle w:val="ListParagraph"/>
        <w:numPr>
          <w:ilvl w:val="0"/>
          <w:numId w:val="32"/>
        </w:numPr>
        <w:jc w:val="both"/>
        <w:rPr>
          <w:lang w:val="fr-FR"/>
        </w:rPr>
      </w:pPr>
      <w:proofErr w:type="gramStart"/>
      <w:r w:rsidRPr="00E10A6F">
        <w:rPr>
          <w:lang w:val="fr-FR"/>
        </w:rPr>
        <w:t>Djudjaj ,</w:t>
      </w:r>
      <w:proofErr w:type="gramEnd"/>
      <w:r w:rsidRPr="00E10A6F">
        <w:rPr>
          <w:lang w:val="fr-FR"/>
        </w:rPr>
        <w:t xml:space="preserve"> S. , &amp; Boor , P. (2019). Cellular and molecular mechanisms of kidney fibrosis. Cells, 8(7),</w:t>
      </w:r>
    </w:p>
    <w:p w14:paraId="442EC32B" w14:textId="77777777" w:rsidR="00527650" w:rsidRPr="00E10A6F" w:rsidRDefault="00527650" w:rsidP="00E10A6F">
      <w:pPr>
        <w:pStyle w:val="ListParagraph"/>
        <w:numPr>
          <w:ilvl w:val="0"/>
          <w:numId w:val="32"/>
        </w:numPr>
        <w:jc w:val="both"/>
        <w:rPr>
          <w:lang w:val="fr-FR"/>
        </w:rPr>
      </w:pPr>
      <w:proofErr w:type="gramStart"/>
      <w:r w:rsidRPr="00E10A6F">
        <w:rPr>
          <w:lang w:val="fr-FR"/>
        </w:rPr>
        <w:t>Donabedian ,</w:t>
      </w:r>
      <w:proofErr w:type="gramEnd"/>
      <w:r w:rsidRPr="00E10A6F">
        <w:rPr>
          <w:lang w:val="fr-FR"/>
        </w:rPr>
        <w:t xml:space="preserve"> A. ( 1980 ). Explorations in Quality Assessment and Monitoring. Vol. </w:t>
      </w:r>
      <w:proofErr w:type="gramStart"/>
      <w:r w:rsidRPr="00E10A6F">
        <w:rPr>
          <w:lang w:val="fr-FR"/>
        </w:rPr>
        <w:t>1:</w:t>
      </w:r>
      <w:proofErr w:type="gramEnd"/>
      <w:r w:rsidRPr="00E10A6F">
        <w:rPr>
          <w:lang w:val="fr-FR"/>
        </w:rPr>
        <w:t xml:space="preserve"> The Definition of Quality and Approaches to Its Assessment. Ann Arbor, </w:t>
      </w:r>
      <w:proofErr w:type="gramStart"/>
      <w:r w:rsidRPr="00E10A6F">
        <w:rPr>
          <w:lang w:val="fr-FR"/>
        </w:rPr>
        <w:t>MI:</w:t>
      </w:r>
      <w:proofErr w:type="gramEnd"/>
      <w:r w:rsidRPr="00E10A6F">
        <w:rPr>
          <w:lang w:val="fr-FR"/>
        </w:rPr>
        <w:t xml:space="preserve"> Health Administration Press.</w:t>
      </w:r>
    </w:p>
    <w:p w14:paraId="510234AB" w14:textId="77777777" w:rsidR="00527650" w:rsidRPr="00E10A6F" w:rsidRDefault="00527650" w:rsidP="00E10A6F">
      <w:pPr>
        <w:pStyle w:val="ListParagraph"/>
        <w:numPr>
          <w:ilvl w:val="0"/>
          <w:numId w:val="32"/>
        </w:numPr>
        <w:jc w:val="both"/>
        <w:rPr>
          <w:lang w:val="fr-FR"/>
        </w:rPr>
      </w:pPr>
      <w:proofErr w:type="gramStart"/>
      <w:r w:rsidRPr="00E10A6F">
        <w:rPr>
          <w:lang w:val="fr-FR"/>
        </w:rPr>
        <w:t>Fiaccadori ,</w:t>
      </w:r>
      <w:proofErr w:type="gramEnd"/>
      <w:r w:rsidRPr="00E10A6F">
        <w:rPr>
          <w:lang w:val="fr-FR"/>
        </w:rPr>
        <w:t xml:space="preserve"> E. , Regolsti , G. , &amp; Brunori , G. (2006). Sustained low efficiency dialysis in acute kidney injury. Kidney International, 70(5), 960–968.</w:t>
      </w:r>
    </w:p>
    <w:p w14:paraId="34D33CF4" w14:textId="77777777" w:rsidR="00527650" w:rsidRPr="00E10A6F" w:rsidRDefault="00527650" w:rsidP="00E10A6F">
      <w:pPr>
        <w:pStyle w:val="ListParagraph"/>
        <w:numPr>
          <w:ilvl w:val="0"/>
          <w:numId w:val="32"/>
        </w:numPr>
        <w:jc w:val="both"/>
        <w:rPr>
          <w:lang w:val="fr-FR"/>
        </w:rPr>
      </w:pPr>
      <w:proofErr w:type="gramStart"/>
      <w:r w:rsidRPr="00E10A6F">
        <w:rPr>
          <w:lang w:val="fr-FR"/>
        </w:rPr>
        <w:t>Gayat ,</w:t>
      </w:r>
      <w:proofErr w:type="gramEnd"/>
      <w:r w:rsidRPr="00E10A6F">
        <w:rPr>
          <w:lang w:val="fr-FR"/>
        </w:rPr>
        <w:t xml:space="preserve"> E. , Touchard , C. , Hollinger , A. , Vieillard Baron , A. , Mebaza , A. , &amp; Legrand , M. (2018). Back to back comparison of penKid with NephroCheck® to predict acute kidney injury at admission in intensive care unit. Critical Care, 22, 24. https://doi.org/10.1186/s13054-018-1945-9</w:t>
      </w:r>
    </w:p>
    <w:p w14:paraId="31036140" w14:textId="77777777" w:rsidR="00527650" w:rsidRPr="00E10A6F" w:rsidRDefault="00527650" w:rsidP="00527650">
      <w:pPr>
        <w:jc w:val="both"/>
        <w:rPr>
          <w:lang w:val="fr-FR"/>
        </w:rPr>
      </w:pPr>
    </w:p>
    <w:p w14:paraId="037B7652" w14:textId="77777777" w:rsidR="00527650" w:rsidRPr="00E10A6F" w:rsidRDefault="00527650" w:rsidP="00E10A6F">
      <w:pPr>
        <w:pStyle w:val="ListParagraph"/>
        <w:numPr>
          <w:ilvl w:val="0"/>
          <w:numId w:val="32"/>
        </w:numPr>
        <w:jc w:val="both"/>
        <w:rPr>
          <w:lang w:val="fr-FR"/>
        </w:rPr>
      </w:pPr>
      <w:r w:rsidRPr="00E10A6F">
        <w:rPr>
          <w:lang w:val="fr-FR"/>
        </w:rPr>
        <w:t>Higgins, J. P. T., Thomas, J., Chandler, J., Cumpston, M., Li, T., Page, M. J., &amp; Welch, V. A. (Eds.). (2022). Cochrane Handbook for Systematic Reviews of Interventions (v6.3). Cochrane.</w:t>
      </w:r>
    </w:p>
    <w:p w14:paraId="3276CF94" w14:textId="77777777" w:rsidR="00527650" w:rsidRPr="00E10A6F" w:rsidRDefault="00527650" w:rsidP="00E10A6F">
      <w:pPr>
        <w:pStyle w:val="ListParagraph"/>
        <w:numPr>
          <w:ilvl w:val="0"/>
          <w:numId w:val="32"/>
        </w:numPr>
        <w:jc w:val="both"/>
        <w:rPr>
          <w:lang w:val="fr-FR"/>
        </w:rPr>
      </w:pPr>
      <w:r w:rsidRPr="00E10A6F">
        <w:rPr>
          <w:lang w:val="fr-FR"/>
        </w:rPr>
        <w:lastRenderedPageBreak/>
        <w:t xml:space="preserve">Hoste, E. A. J., Bihorac, A., Al Khafaji, A., Ortega, L. M., Ostermann, M., Haase, M., … Chawla, L. S. (2020). Identification and validation of biomarkers of persistent acute kidney </w:t>
      </w:r>
      <w:proofErr w:type="gramStart"/>
      <w:r w:rsidRPr="00E10A6F">
        <w:rPr>
          <w:lang w:val="fr-FR"/>
        </w:rPr>
        <w:t>injury:</w:t>
      </w:r>
      <w:proofErr w:type="gramEnd"/>
      <w:r w:rsidRPr="00E10A6F">
        <w:rPr>
          <w:lang w:val="fr-FR"/>
        </w:rPr>
        <w:t xml:space="preserve"> The RUBY study. Intensive Care Medicine, 46(5), 943–953. https://doi.org/10.1007/s00134-019-05919-0</w:t>
      </w:r>
    </w:p>
    <w:p w14:paraId="1306258E" w14:textId="77777777" w:rsidR="00527650" w:rsidRPr="00E10A6F" w:rsidRDefault="00527650" w:rsidP="00E10A6F">
      <w:pPr>
        <w:pStyle w:val="ListParagraph"/>
        <w:numPr>
          <w:ilvl w:val="0"/>
          <w:numId w:val="32"/>
        </w:numPr>
        <w:jc w:val="both"/>
        <w:rPr>
          <w:lang w:val="fr-FR"/>
        </w:rPr>
      </w:pPr>
      <w:r w:rsidRPr="00E10A6F">
        <w:rPr>
          <w:lang w:val="fr-FR"/>
        </w:rPr>
        <w:t xml:space="preserve">Hsu, H. T., Chiang, Y. C., Lai, Y. H., Lin, L. Y., Hsieh, H. F., &amp; Chen, J. L. (2021). Effectiveness of multidisciplinary care for chronic kidney </w:t>
      </w:r>
      <w:proofErr w:type="gramStart"/>
      <w:r w:rsidRPr="00E10A6F">
        <w:rPr>
          <w:lang w:val="fr-FR"/>
        </w:rPr>
        <w:t>disease:</w:t>
      </w:r>
      <w:proofErr w:type="gramEnd"/>
      <w:r w:rsidRPr="00E10A6F">
        <w:rPr>
          <w:lang w:val="fr-FR"/>
        </w:rPr>
        <w:t xml:space="preserve"> A systematic review. Worldviews on Evidence Based Nursing, 18(1), 33–41. https://doi.org/10.1111/wvn.12483</w:t>
      </w:r>
    </w:p>
    <w:p w14:paraId="6DDB6252" w14:textId="77777777" w:rsidR="00527650" w:rsidRPr="00E10A6F" w:rsidRDefault="00527650" w:rsidP="00E10A6F">
      <w:pPr>
        <w:pStyle w:val="ListParagraph"/>
        <w:numPr>
          <w:ilvl w:val="0"/>
          <w:numId w:val="32"/>
        </w:numPr>
        <w:jc w:val="both"/>
        <w:rPr>
          <w:lang w:val="fr-FR"/>
        </w:rPr>
      </w:pPr>
      <w:r w:rsidRPr="00E10A6F">
        <w:rPr>
          <w:lang w:val="fr-FR"/>
        </w:rPr>
        <w:t>International Society of Nephrology. (2023). Global Kidney Health Atlas (3rd ed.).</w:t>
      </w:r>
    </w:p>
    <w:p w14:paraId="1457C44D" w14:textId="77777777" w:rsidR="00527650" w:rsidRPr="00E10A6F" w:rsidRDefault="00527650" w:rsidP="00E10A6F">
      <w:pPr>
        <w:pStyle w:val="ListParagraph"/>
        <w:numPr>
          <w:ilvl w:val="0"/>
          <w:numId w:val="32"/>
        </w:numPr>
        <w:jc w:val="both"/>
        <w:rPr>
          <w:lang w:val="fr-FR"/>
        </w:rPr>
      </w:pPr>
      <w:r w:rsidRPr="00E10A6F">
        <w:rPr>
          <w:lang w:val="fr-FR"/>
        </w:rPr>
        <w:t>KDIGO AKI Work Group. (2012). KDIGO clinical practice guideline for acute kidney injury. Kidney International Supplements, 2(1), 1–138.</w:t>
      </w:r>
    </w:p>
    <w:p w14:paraId="06126FA7" w14:textId="77777777" w:rsidR="00527650" w:rsidRPr="00E10A6F" w:rsidRDefault="00527650" w:rsidP="00E10A6F">
      <w:pPr>
        <w:pStyle w:val="ListParagraph"/>
        <w:numPr>
          <w:ilvl w:val="0"/>
          <w:numId w:val="32"/>
        </w:numPr>
        <w:jc w:val="both"/>
        <w:rPr>
          <w:lang w:val="fr-FR"/>
        </w:rPr>
      </w:pPr>
      <w:r w:rsidRPr="00E10A6F">
        <w:rPr>
          <w:lang w:val="fr-FR"/>
        </w:rPr>
        <w:t>KDIGO CKD MBD Update Work Group. (2017). KDIGO 2017 clinical practice guideline update for CKD MBD. Kidney International Supplements, 7(1), 1–59.</w:t>
      </w:r>
    </w:p>
    <w:p w14:paraId="0C521D8E" w14:textId="77777777" w:rsidR="00527650" w:rsidRPr="00E10A6F" w:rsidRDefault="00527650" w:rsidP="00E10A6F">
      <w:pPr>
        <w:pStyle w:val="ListParagraph"/>
        <w:numPr>
          <w:ilvl w:val="0"/>
          <w:numId w:val="32"/>
        </w:numPr>
        <w:jc w:val="both"/>
        <w:rPr>
          <w:lang w:val="fr-FR"/>
        </w:rPr>
      </w:pPr>
      <w:r w:rsidRPr="00E10A6F">
        <w:rPr>
          <w:lang w:val="fr-FR"/>
        </w:rPr>
        <w:t xml:space="preserve">Klein, S. J., Brandtner, A. K., Lehner, G. F., Ulmer, H., Bagshaw, S. M., Wiedermann, C. J., &amp; Joannidis, M. (2018). Biomarkers for prediction of renal replacement therapy in acute kidney </w:t>
      </w:r>
      <w:proofErr w:type="gramStart"/>
      <w:r w:rsidRPr="00E10A6F">
        <w:rPr>
          <w:lang w:val="fr-FR"/>
        </w:rPr>
        <w:t>injury:</w:t>
      </w:r>
      <w:proofErr w:type="gramEnd"/>
      <w:r w:rsidRPr="00E10A6F">
        <w:rPr>
          <w:lang w:val="fr-FR"/>
        </w:rPr>
        <w:t xml:space="preserve"> A systematic review and meta analysis. Intensive Care Medicine, 44(3), 323–336. https://doi.org/10.1007/s00134-018-5126-8</w:t>
      </w:r>
    </w:p>
    <w:p w14:paraId="454499CA" w14:textId="77777777" w:rsidR="00527650" w:rsidRPr="00E10A6F" w:rsidRDefault="00527650" w:rsidP="00E10A6F">
      <w:pPr>
        <w:pStyle w:val="ListParagraph"/>
        <w:numPr>
          <w:ilvl w:val="0"/>
          <w:numId w:val="32"/>
        </w:numPr>
        <w:jc w:val="both"/>
        <w:rPr>
          <w:lang w:val="fr-FR"/>
        </w:rPr>
      </w:pPr>
      <w:r w:rsidRPr="00E10A6F">
        <w:rPr>
          <w:lang w:val="fr-FR"/>
        </w:rPr>
        <w:t>Levey, A.S. (2002). K/DOQI clinical practice guidelines for chronic kidney disease. American Journal of Kidney Diseases, 39(2 Suppl 1), S1–S246.</w:t>
      </w:r>
    </w:p>
    <w:p w14:paraId="73CCC5FA" w14:textId="77777777" w:rsidR="00527650" w:rsidRPr="00E10A6F" w:rsidRDefault="00527650" w:rsidP="00E10A6F">
      <w:pPr>
        <w:pStyle w:val="ListParagraph"/>
        <w:numPr>
          <w:ilvl w:val="0"/>
          <w:numId w:val="32"/>
        </w:numPr>
        <w:jc w:val="both"/>
        <w:rPr>
          <w:lang w:val="fr-FR"/>
        </w:rPr>
      </w:pPr>
      <w:r w:rsidRPr="00E10A6F">
        <w:rPr>
          <w:lang w:val="fr-FR"/>
        </w:rPr>
        <w:t xml:space="preserve">Lin, L., Chuan, M., Liu, J., Liao, H., Ng, L. L., Magnusson, M., … Forni, L. G. (2023). Proenkephalin as a biomarker correlates with acute kidney </w:t>
      </w:r>
      <w:proofErr w:type="gramStart"/>
      <w:r w:rsidRPr="00E10A6F">
        <w:rPr>
          <w:lang w:val="fr-FR"/>
        </w:rPr>
        <w:t>injury:</w:t>
      </w:r>
      <w:proofErr w:type="gramEnd"/>
      <w:r w:rsidRPr="00E10A6F">
        <w:rPr>
          <w:lang w:val="fr-FR"/>
        </w:rPr>
        <w:t xml:space="preserve"> A systematic review with meta analysis and trial sequential analysis. Critical Care, 27, 481. https://doi.org/10.1186/s13054-023-04747-5</w:t>
      </w:r>
    </w:p>
    <w:p w14:paraId="11D401BB" w14:textId="77777777" w:rsidR="00527650" w:rsidRPr="00E10A6F" w:rsidRDefault="00527650" w:rsidP="00E10A6F">
      <w:pPr>
        <w:pStyle w:val="ListParagraph"/>
        <w:numPr>
          <w:ilvl w:val="0"/>
          <w:numId w:val="32"/>
        </w:numPr>
        <w:jc w:val="both"/>
        <w:rPr>
          <w:lang w:val="fr-FR"/>
        </w:rPr>
      </w:pPr>
      <w:r w:rsidRPr="00E10A6F">
        <w:rPr>
          <w:lang w:val="fr-FR"/>
        </w:rPr>
        <w:t>Meng, X.M. (2019). Role of TGF β/Smad signaling in kidney fibrosis. Frontiers in Physiology, 10, 162.</w:t>
      </w:r>
    </w:p>
    <w:p w14:paraId="4A9D68A4" w14:textId="77777777" w:rsidR="00527650" w:rsidRPr="000C5E31" w:rsidRDefault="00527650" w:rsidP="00E10A6F">
      <w:pPr>
        <w:pStyle w:val="ListParagraph"/>
        <w:numPr>
          <w:ilvl w:val="0"/>
          <w:numId w:val="32"/>
        </w:numPr>
        <w:jc w:val="both"/>
        <w:rPr>
          <w:lang w:val="fr-FR"/>
        </w:rPr>
      </w:pPr>
      <w:r w:rsidRPr="000C5E31">
        <w:rPr>
          <w:lang w:val="fr-FR"/>
        </w:rPr>
        <w:t>Ok, E., Asci, G., Toz, H., Ok, E. S., &amp; Ozkahya, M. (2013). Mortality and cardiovascular events in online haemodiafiltration compared with high flux dialysis. Nephrology Dialysis Transplantation, 28(1), 192–202.</w:t>
      </w:r>
    </w:p>
    <w:p w14:paraId="13C42C94" w14:textId="423BC02B" w:rsidR="00527650" w:rsidRPr="00747D14" w:rsidRDefault="00527650" w:rsidP="00E10A6F">
      <w:pPr>
        <w:pStyle w:val="ListParagraph"/>
        <w:numPr>
          <w:ilvl w:val="0"/>
          <w:numId w:val="32"/>
        </w:numPr>
        <w:jc w:val="both"/>
        <w:rPr>
          <w:highlight w:val="yellow"/>
          <w:lang w:val="fr-FR"/>
        </w:rPr>
      </w:pPr>
      <w:r w:rsidRPr="00E10A6F">
        <w:rPr>
          <w:lang w:val="fr-FR"/>
        </w:rPr>
        <w:t>Page, M. J., McKenzie, J. E., Bossuyt, P. M., Boutron, I., Hoffmann, T. C., Mulrow, C. D., … Moher, D. (2021). The PRISMA 2020 statement. BMJ, 372, n71.</w:t>
      </w:r>
      <w:r w:rsidR="00747D14">
        <w:rPr>
          <w:lang w:val="fr-FR"/>
        </w:rPr>
        <w:t xml:space="preserve">  (</w:t>
      </w:r>
      <w:r w:rsidR="00747D14" w:rsidRPr="00747D14">
        <w:rPr>
          <w:highlight w:val="yellow"/>
          <w:lang w:val="fr-FR"/>
        </w:rPr>
        <w:t>TITLE PROPERLY NOT MATCH)</w:t>
      </w:r>
    </w:p>
    <w:p w14:paraId="67EEEACD" w14:textId="77777777" w:rsidR="00527650" w:rsidRPr="00E10A6F" w:rsidRDefault="00527650" w:rsidP="00E10A6F">
      <w:pPr>
        <w:pStyle w:val="ListParagraph"/>
        <w:numPr>
          <w:ilvl w:val="0"/>
          <w:numId w:val="32"/>
        </w:numPr>
        <w:jc w:val="both"/>
        <w:rPr>
          <w:lang w:val="fr-FR"/>
        </w:rPr>
      </w:pPr>
      <w:r w:rsidRPr="00E10A6F">
        <w:rPr>
          <w:lang w:val="fr-FR"/>
        </w:rPr>
        <w:t>Pan, H. C., Huang, T. M., Huang, C. T., Sun, C. Y., Chen, Y. M., &amp; Wu, V. C. (2022). Urinary biomarkers can predict weaning from acute dialysis therapy in critically ill patients. Archives of Pathology &amp; Laboratory Medicine, 146(11), 1353–1363. https://doi.org/10.5858/arpa.2021-0411-OA</w:t>
      </w:r>
    </w:p>
    <w:p w14:paraId="53B2ADC9" w14:textId="77777777" w:rsidR="00527650" w:rsidRPr="00E10A6F" w:rsidRDefault="00527650" w:rsidP="00E10A6F">
      <w:pPr>
        <w:pStyle w:val="ListParagraph"/>
        <w:numPr>
          <w:ilvl w:val="0"/>
          <w:numId w:val="32"/>
        </w:numPr>
        <w:jc w:val="both"/>
        <w:rPr>
          <w:lang w:val="fr-FR"/>
        </w:rPr>
      </w:pPr>
      <w:r w:rsidRPr="00E10A6F">
        <w:rPr>
          <w:lang w:val="fr-FR"/>
        </w:rPr>
        <w:t>Popay, J., Roberts, H., Sowden, A., Petticrew, M., Arai, L., Rodgers, M., … Duffy, S. (2006). Guidance on the Conduct of Narrative Synthesis. ESRC.</w:t>
      </w:r>
    </w:p>
    <w:p w14:paraId="5BD3261A" w14:textId="77777777" w:rsidR="00527650" w:rsidRPr="00E10A6F" w:rsidRDefault="00527650" w:rsidP="00E10A6F">
      <w:pPr>
        <w:pStyle w:val="ListParagraph"/>
        <w:numPr>
          <w:ilvl w:val="0"/>
          <w:numId w:val="32"/>
        </w:numPr>
        <w:jc w:val="both"/>
        <w:rPr>
          <w:lang w:val="fr-FR"/>
        </w:rPr>
      </w:pPr>
      <w:r w:rsidRPr="00E10A6F">
        <w:rPr>
          <w:lang w:val="fr-FR"/>
        </w:rPr>
        <w:t>Remuzzi, G., &amp; Bertani, T. (1998). Pathophysiology of progressive nephropathy. The New England Journal of Medicine, 339(20), 1448–1456.</w:t>
      </w:r>
    </w:p>
    <w:p w14:paraId="4E699D78" w14:textId="77777777" w:rsidR="00527650" w:rsidRPr="00E10A6F" w:rsidRDefault="00527650" w:rsidP="00E10A6F">
      <w:pPr>
        <w:pStyle w:val="ListParagraph"/>
        <w:numPr>
          <w:ilvl w:val="0"/>
          <w:numId w:val="32"/>
        </w:numPr>
        <w:jc w:val="both"/>
        <w:rPr>
          <w:lang w:val="fr-FR"/>
        </w:rPr>
      </w:pPr>
      <w:r w:rsidRPr="00E10A6F">
        <w:rPr>
          <w:lang w:val="fr-FR"/>
        </w:rPr>
        <w:t>Rethlefsen, M. L., Kirtley, S., Waffenschmidt, S., Ayala, A. P., Moher, D., Page, M. J., … PRISMA S Group. (2021). PRISMA S. Systematic Reviews, 10, 39.</w:t>
      </w:r>
    </w:p>
    <w:p w14:paraId="44CADF42" w14:textId="77777777" w:rsidR="00527650" w:rsidRPr="00E10A6F" w:rsidRDefault="00527650" w:rsidP="00E10A6F">
      <w:pPr>
        <w:pStyle w:val="ListParagraph"/>
        <w:numPr>
          <w:ilvl w:val="0"/>
          <w:numId w:val="32"/>
        </w:numPr>
        <w:jc w:val="both"/>
        <w:rPr>
          <w:lang w:val="fr-FR"/>
        </w:rPr>
      </w:pPr>
      <w:r w:rsidRPr="00E10A6F">
        <w:rPr>
          <w:lang w:val="fr-FR"/>
        </w:rPr>
        <w:t>Shea, B. J., Reeves, B. C., Wells, G., Thuku, M., Hamel, C., Moran, J., … Grimshaw, J. (2017). AMSTAR 2. BMJ, 358, j4008.</w:t>
      </w:r>
    </w:p>
    <w:p w14:paraId="35E3B893" w14:textId="77777777" w:rsidR="00527650" w:rsidRPr="00E10A6F" w:rsidRDefault="00527650" w:rsidP="00E10A6F">
      <w:pPr>
        <w:pStyle w:val="ListParagraph"/>
        <w:numPr>
          <w:ilvl w:val="0"/>
          <w:numId w:val="32"/>
        </w:numPr>
        <w:jc w:val="both"/>
        <w:rPr>
          <w:lang w:val="fr-FR"/>
        </w:rPr>
      </w:pPr>
      <w:r w:rsidRPr="00E10A6F">
        <w:rPr>
          <w:lang w:val="fr-FR"/>
        </w:rPr>
        <w:t>Sterne, J.A.C., Hernán, M.A., Reeves, B.C., Savović, J., Berkman, N.D., Viswanathan, M., …Higgins, J.P.T. (2016). ROBINS I. BMJ, 355, i4919.</w:t>
      </w:r>
    </w:p>
    <w:p w14:paraId="7C2CB1D2" w14:textId="77777777" w:rsidR="00527650" w:rsidRPr="00E10A6F" w:rsidRDefault="00527650" w:rsidP="00E10A6F">
      <w:pPr>
        <w:pStyle w:val="ListParagraph"/>
        <w:numPr>
          <w:ilvl w:val="0"/>
          <w:numId w:val="32"/>
        </w:numPr>
        <w:jc w:val="both"/>
        <w:rPr>
          <w:lang w:val="fr-FR"/>
        </w:rPr>
      </w:pPr>
      <w:r w:rsidRPr="00E10A6F">
        <w:rPr>
          <w:lang w:val="fr-FR"/>
        </w:rPr>
        <w:t>Sterne, J. A. C., Savović, J., Page, M. J., Elbers, R. G., Blencowe, N. S., Boutron, I., … Higgins, J. P. T. (2019). RoB 2. BMJ, 366, l4898.</w:t>
      </w:r>
    </w:p>
    <w:p w14:paraId="50AF78FB" w14:textId="77777777" w:rsidR="00527650" w:rsidRPr="000C5E31" w:rsidRDefault="00527650" w:rsidP="00E10A6F">
      <w:pPr>
        <w:pStyle w:val="ListParagraph"/>
        <w:numPr>
          <w:ilvl w:val="0"/>
          <w:numId w:val="32"/>
        </w:numPr>
        <w:jc w:val="both"/>
        <w:rPr>
          <w:lang w:val="fr-FR"/>
        </w:rPr>
      </w:pPr>
      <w:r w:rsidRPr="000C5E31">
        <w:rPr>
          <w:lang w:val="fr-FR"/>
        </w:rPr>
        <w:t>STROBE Initiative. (2007). STROBE statement. BMJ, 335, 806–808.</w:t>
      </w:r>
    </w:p>
    <w:p w14:paraId="3B974A8A" w14:textId="77777777" w:rsidR="00527650" w:rsidRPr="00E10A6F" w:rsidRDefault="00527650" w:rsidP="00527650">
      <w:pPr>
        <w:jc w:val="both"/>
        <w:rPr>
          <w:lang w:val="fr-FR"/>
        </w:rPr>
      </w:pPr>
    </w:p>
    <w:p w14:paraId="11CBB02A" w14:textId="77777777" w:rsidR="00527650" w:rsidRPr="00E10A6F" w:rsidRDefault="00527650" w:rsidP="00E10A6F">
      <w:pPr>
        <w:pStyle w:val="ListParagraph"/>
        <w:numPr>
          <w:ilvl w:val="0"/>
          <w:numId w:val="32"/>
        </w:numPr>
        <w:jc w:val="both"/>
        <w:rPr>
          <w:lang w:val="fr-FR"/>
        </w:rPr>
      </w:pPr>
      <w:r w:rsidRPr="00E10A6F">
        <w:rPr>
          <w:lang w:val="fr-FR"/>
        </w:rPr>
        <w:t xml:space="preserve">Tan, Y., Dede, M., Mohanty, V., Dou, J., Hill, H., Bernstam, E., &amp; Chen, K. (2024). Forecasting acute kidney injury and resource utilization in ICU patients using longitudinal, multimodal models. </w:t>
      </w:r>
      <w:proofErr w:type="gramStart"/>
      <w:r w:rsidRPr="00E10A6F">
        <w:rPr>
          <w:lang w:val="fr-FR"/>
        </w:rPr>
        <w:t>medRxiv</w:t>
      </w:r>
      <w:proofErr w:type="gramEnd"/>
      <w:r w:rsidRPr="00E10A6F">
        <w:rPr>
          <w:lang w:val="fr-FR"/>
        </w:rPr>
        <w:t>. https://doi.org/10.1101/2024.03.14.24304230</w:t>
      </w:r>
    </w:p>
    <w:p w14:paraId="4E31E943" w14:textId="77777777" w:rsidR="00527650" w:rsidRPr="00E10A6F" w:rsidRDefault="00527650" w:rsidP="00E10A6F">
      <w:pPr>
        <w:pStyle w:val="ListParagraph"/>
        <w:numPr>
          <w:ilvl w:val="0"/>
          <w:numId w:val="32"/>
        </w:numPr>
        <w:jc w:val="both"/>
        <w:rPr>
          <w:lang w:val="fr-FR"/>
        </w:rPr>
      </w:pPr>
      <w:r w:rsidRPr="00E10A6F">
        <w:rPr>
          <w:lang w:val="fr-FR"/>
        </w:rPr>
        <w:lastRenderedPageBreak/>
        <w:t>Terlizzi, V., Sandrini, M., Vizzardi, V., Tonoli, M., Facchini, A., Manili, L., Zeni, L., &amp; Cancarini, G. (2022). Ten year experience of an outpatient clinic for CKD 5 patients with multidisciplinary team and educational support. International Urology and Nephrology, 54(4), 949–957. https://doi.org/10.1007/s11255-021-02963-y</w:t>
      </w:r>
    </w:p>
    <w:p w14:paraId="6BCE9D68" w14:textId="77777777" w:rsidR="00527650" w:rsidRPr="00E10A6F" w:rsidRDefault="00527650" w:rsidP="00E10A6F">
      <w:pPr>
        <w:pStyle w:val="ListParagraph"/>
        <w:numPr>
          <w:ilvl w:val="0"/>
          <w:numId w:val="32"/>
        </w:numPr>
        <w:jc w:val="both"/>
        <w:rPr>
          <w:lang w:val="fr-FR"/>
        </w:rPr>
      </w:pPr>
      <w:r w:rsidRPr="00E10A6F">
        <w:rPr>
          <w:lang w:val="fr-FR"/>
        </w:rPr>
        <w:t>Thomas, J., &amp; Harden, A. (2008). Thematic synthesis. BMC Medical Research Methodology, 8, 45.</w:t>
      </w:r>
    </w:p>
    <w:p w14:paraId="70799876" w14:textId="77777777" w:rsidR="00527650" w:rsidRPr="00E10A6F" w:rsidRDefault="00527650" w:rsidP="00E10A6F">
      <w:pPr>
        <w:pStyle w:val="ListParagraph"/>
        <w:numPr>
          <w:ilvl w:val="0"/>
          <w:numId w:val="32"/>
        </w:numPr>
        <w:jc w:val="both"/>
        <w:rPr>
          <w:lang w:val="fr-FR"/>
        </w:rPr>
      </w:pPr>
      <w:r w:rsidRPr="00E10A6F">
        <w:rPr>
          <w:lang w:val="fr-FR"/>
        </w:rPr>
        <w:t xml:space="preserve">VanGroote, T. C., Albert, F., Meersch, M., Koch, R., Porschen, C., Hartmann, O., … Zarbock, A. (2022). Proenkephalin A 119–159 predicts early and successful release from renal replacement therapy in critically ill patients with acute kidney </w:t>
      </w:r>
      <w:proofErr w:type="gramStart"/>
      <w:r w:rsidRPr="00E10A6F">
        <w:rPr>
          <w:lang w:val="fr-FR"/>
        </w:rPr>
        <w:t>injury:</w:t>
      </w:r>
      <w:proofErr w:type="gramEnd"/>
      <w:r w:rsidRPr="00E10A6F">
        <w:rPr>
          <w:lang w:val="fr-FR"/>
        </w:rPr>
        <w:t xml:space="preserve"> A post hoc analysis of the ELAIN trial. Critical Care, 26, 333. https://doi.org/10.1186/s13054-022-04217-4</w:t>
      </w:r>
    </w:p>
    <w:p w14:paraId="03DAE679" w14:textId="77777777" w:rsidR="00527650" w:rsidRPr="00E10A6F" w:rsidRDefault="00527650" w:rsidP="00E10A6F">
      <w:pPr>
        <w:pStyle w:val="ListParagraph"/>
        <w:numPr>
          <w:ilvl w:val="0"/>
          <w:numId w:val="32"/>
        </w:numPr>
        <w:jc w:val="both"/>
        <w:rPr>
          <w:lang w:val="fr-FR"/>
        </w:rPr>
      </w:pPr>
      <w:r w:rsidRPr="00E10A6F">
        <w:rPr>
          <w:lang w:val="fr-FR"/>
        </w:rPr>
        <w:t xml:space="preserve">Vianna, H. R., Soares, C. M., &amp; Teles, F. (2011). Inflammation in chronic kidney </w:t>
      </w:r>
      <w:proofErr w:type="gramStart"/>
      <w:r w:rsidRPr="00E10A6F">
        <w:rPr>
          <w:lang w:val="fr-FR"/>
        </w:rPr>
        <w:t>disease:</w:t>
      </w:r>
      <w:proofErr w:type="gramEnd"/>
      <w:r w:rsidRPr="00E10A6F">
        <w:rPr>
          <w:lang w:val="fr-FR"/>
        </w:rPr>
        <w:t xml:space="preserve"> Role of cytokines. Artificial Organs, 35(3), 301–310.</w:t>
      </w:r>
    </w:p>
    <w:p w14:paraId="0DB3B760" w14:textId="77777777" w:rsidR="00527650" w:rsidRPr="00E10A6F" w:rsidRDefault="00527650" w:rsidP="00E10A6F">
      <w:pPr>
        <w:pStyle w:val="ListParagraph"/>
        <w:numPr>
          <w:ilvl w:val="0"/>
          <w:numId w:val="32"/>
        </w:numPr>
        <w:jc w:val="both"/>
        <w:rPr>
          <w:lang w:val="fr-FR"/>
        </w:rPr>
      </w:pPr>
      <w:bookmarkStart w:id="0" w:name="_GoBack"/>
      <w:bookmarkEnd w:id="0"/>
      <w:r w:rsidRPr="00E10A6F">
        <w:rPr>
          <w:lang w:val="fr-FR"/>
        </w:rPr>
        <w:t>Zhang, M., Yang, Y., Zhu, L., Cui, K., Zhang, S., Xu, Y., &amp; Jiang, Y. (2024). Plasma proenkephalin and neutrophil gelatinase associated lipocalin predict mortality in ICU patients with acute kidney injury. BMC Nephrology, 25, 181. https://doi.org/10.1186/s12882-024-03611-0</w:t>
      </w:r>
    </w:p>
    <w:p w14:paraId="3AFE85E4" w14:textId="004EF10A" w:rsidR="00B01FCD" w:rsidRPr="00E10A6F" w:rsidRDefault="00527650" w:rsidP="00E10A6F">
      <w:pPr>
        <w:pStyle w:val="ListParagraph"/>
        <w:numPr>
          <w:ilvl w:val="0"/>
          <w:numId w:val="32"/>
        </w:numPr>
        <w:jc w:val="both"/>
        <w:rPr>
          <w:lang w:val="fr-FR"/>
        </w:rPr>
      </w:pPr>
      <w:r w:rsidRPr="00E10A6F">
        <w:rPr>
          <w:lang w:val="fr-FR"/>
        </w:rPr>
        <w:t xml:space="preserve">Zimbudzi, E., Lo, C., Ranasinha, S., Earnest, A., Teede, H., Usherwood, T., … Zoungas, S. (2022). A co designed integrated kidney and diabetes model of care improves mortality, glycaemic control and self care. Nephrology Dialysis Transplantation, 37(8), 1472–1481. </w:t>
      </w:r>
      <w:hyperlink r:id="rId16" w:history="1">
        <w:r w:rsidR="00DA01B6" w:rsidRPr="00E10A6F">
          <w:rPr>
            <w:rStyle w:val="Hyperlink"/>
            <w:lang w:val="fr-FR"/>
          </w:rPr>
          <w:t>https://doi.org/10.1093/ndt/gfab230</w:t>
        </w:r>
      </w:hyperlink>
    </w:p>
    <w:p w14:paraId="03D0D8AC" w14:textId="77777777" w:rsidR="00DA01B6" w:rsidRPr="00E10A6F" w:rsidRDefault="00DA01B6" w:rsidP="00527650">
      <w:pPr>
        <w:jc w:val="both"/>
        <w:rPr>
          <w:lang w:val="fr-FR"/>
        </w:rPr>
      </w:pPr>
    </w:p>
    <w:p w14:paraId="70C01C2D" w14:textId="308D3255" w:rsidR="00DA01B6" w:rsidRPr="00E10A6F" w:rsidRDefault="00DA01B6" w:rsidP="00E10A6F">
      <w:pPr>
        <w:pStyle w:val="ListParagraph"/>
        <w:numPr>
          <w:ilvl w:val="0"/>
          <w:numId w:val="32"/>
        </w:numPr>
        <w:jc w:val="both"/>
        <w:rPr>
          <w:rFonts w:ascii="Arial" w:hAnsi="Arial" w:cs="Arial"/>
          <w:bCs/>
        </w:rPr>
      </w:pPr>
      <w:r w:rsidRPr="00E10A6F">
        <w:rPr>
          <w:rFonts w:ascii="Arial" w:hAnsi="Arial" w:cs="Arial"/>
          <w:bCs/>
        </w:rPr>
        <w:t xml:space="preserve">Neyra, j. A., &amp; chawla, l. S. (2021). Acute kidney disease to chronic kidney disease. Critical care clinics, 37(2), 453-474.    </w:t>
      </w:r>
    </w:p>
    <w:p w14:paraId="04471D91" w14:textId="77777777" w:rsidR="00DA01B6" w:rsidRPr="00E10A6F" w:rsidRDefault="00DA01B6" w:rsidP="00527650">
      <w:pPr>
        <w:jc w:val="both"/>
        <w:rPr>
          <w:rFonts w:ascii="Arial" w:hAnsi="Arial" w:cs="Arial"/>
          <w:bCs/>
        </w:rPr>
      </w:pPr>
    </w:p>
    <w:p w14:paraId="5C8A8AFF" w14:textId="36545250" w:rsidR="00DA01B6" w:rsidRPr="00E10A6F" w:rsidRDefault="00DA01B6" w:rsidP="00E10A6F">
      <w:pPr>
        <w:pStyle w:val="ListParagraph"/>
        <w:numPr>
          <w:ilvl w:val="0"/>
          <w:numId w:val="32"/>
        </w:numPr>
        <w:jc w:val="both"/>
        <w:rPr>
          <w:rFonts w:ascii="Arial" w:hAnsi="Arial" w:cs="Arial"/>
          <w:color w:val="222222"/>
          <w:shd w:val="clear" w:color="auto" w:fill="FFFFFF"/>
        </w:rPr>
      </w:pPr>
      <w:r w:rsidRPr="00E10A6F">
        <w:rPr>
          <w:rFonts w:ascii="Arial" w:hAnsi="Arial" w:cs="Arial"/>
          <w:color w:val="222222"/>
          <w:shd w:val="clear" w:color="auto" w:fill="FFFFFF"/>
        </w:rPr>
        <w:t>Allinson, C. S., Pollock, C. A., &amp; Chen, X. (2023). Mesenchymal stem cells in the treatment of acute kidney injury (AKI), chronic kidney disease (CKD) and the AKI-to-CKD transition. </w:t>
      </w:r>
      <w:r w:rsidRPr="00E10A6F">
        <w:rPr>
          <w:rFonts w:ascii="Arial" w:hAnsi="Arial" w:cs="Arial"/>
          <w:i/>
          <w:iCs/>
          <w:color w:val="222222"/>
          <w:shd w:val="clear" w:color="auto" w:fill="FFFFFF"/>
        </w:rPr>
        <w:t>Integrative Medicine in Nephrology and Andrology</w:t>
      </w:r>
      <w:r w:rsidRPr="00E10A6F">
        <w:rPr>
          <w:rFonts w:ascii="Arial" w:hAnsi="Arial" w:cs="Arial"/>
          <w:color w:val="222222"/>
          <w:shd w:val="clear" w:color="auto" w:fill="FFFFFF"/>
        </w:rPr>
        <w:t>, </w:t>
      </w:r>
      <w:r w:rsidRPr="00E10A6F">
        <w:rPr>
          <w:rFonts w:ascii="Arial" w:hAnsi="Arial" w:cs="Arial"/>
          <w:i/>
          <w:iCs/>
          <w:color w:val="222222"/>
          <w:shd w:val="clear" w:color="auto" w:fill="FFFFFF"/>
        </w:rPr>
        <w:t>10</w:t>
      </w:r>
      <w:r w:rsidRPr="00E10A6F">
        <w:rPr>
          <w:rFonts w:ascii="Arial" w:hAnsi="Arial" w:cs="Arial"/>
          <w:color w:val="222222"/>
          <w:shd w:val="clear" w:color="auto" w:fill="FFFFFF"/>
        </w:rPr>
        <w:t xml:space="preserve">(1), e00014.  </w:t>
      </w:r>
    </w:p>
    <w:p w14:paraId="45097144" w14:textId="77777777" w:rsidR="00D61253" w:rsidRPr="00E10A6F" w:rsidRDefault="00D61253" w:rsidP="00527650">
      <w:pPr>
        <w:jc w:val="both"/>
        <w:rPr>
          <w:rFonts w:ascii="Arial" w:hAnsi="Arial" w:cs="Arial"/>
          <w:color w:val="222222"/>
          <w:shd w:val="clear" w:color="auto" w:fill="FFFFFF"/>
        </w:rPr>
      </w:pPr>
    </w:p>
    <w:p w14:paraId="51A23A48" w14:textId="63868FFB" w:rsidR="00D61253" w:rsidRPr="00E10A6F" w:rsidRDefault="00D61253" w:rsidP="00E10A6F">
      <w:pPr>
        <w:pStyle w:val="ListParagraph"/>
        <w:numPr>
          <w:ilvl w:val="0"/>
          <w:numId w:val="32"/>
        </w:numPr>
        <w:jc w:val="both"/>
        <w:rPr>
          <w:rFonts w:ascii="Arial" w:hAnsi="Arial" w:cs="Arial"/>
          <w:bCs/>
          <w:caps/>
        </w:rPr>
      </w:pPr>
      <w:r w:rsidRPr="00E10A6F">
        <w:rPr>
          <w:rFonts w:ascii="Arial" w:hAnsi="Arial" w:cs="Arial"/>
          <w:color w:val="222222"/>
          <w:shd w:val="clear" w:color="auto" w:fill="FFFFFF"/>
        </w:rPr>
        <w:t>Jadoul, M., Aoun, M., &amp; Imani, M. M. (2024). The major global burden of chronic kidney disease. </w:t>
      </w:r>
      <w:r w:rsidRPr="00E10A6F">
        <w:rPr>
          <w:rFonts w:ascii="Arial" w:hAnsi="Arial" w:cs="Arial"/>
          <w:i/>
          <w:iCs/>
          <w:color w:val="222222"/>
          <w:shd w:val="clear" w:color="auto" w:fill="FFFFFF"/>
        </w:rPr>
        <w:t>The Lancet Global Health</w:t>
      </w:r>
      <w:r w:rsidRPr="00E10A6F">
        <w:rPr>
          <w:rFonts w:ascii="Arial" w:hAnsi="Arial" w:cs="Arial"/>
          <w:color w:val="222222"/>
          <w:shd w:val="clear" w:color="auto" w:fill="FFFFFF"/>
        </w:rPr>
        <w:t>, </w:t>
      </w:r>
      <w:r w:rsidRPr="00E10A6F">
        <w:rPr>
          <w:rFonts w:ascii="Arial" w:hAnsi="Arial" w:cs="Arial"/>
          <w:i/>
          <w:iCs/>
          <w:color w:val="222222"/>
          <w:shd w:val="clear" w:color="auto" w:fill="FFFFFF"/>
        </w:rPr>
        <w:t>12</w:t>
      </w:r>
      <w:r w:rsidRPr="00E10A6F">
        <w:rPr>
          <w:rFonts w:ascii="Arial" w:hAnsi="Arial" w:cs="Arial"/>
          <w:color w:val="222222"/>
          <w:shd w:val="clear" w:color="auto" w:fill="FFFFFF"/>
        </w:rPr>
        <w:t xml:space="preserve">(3), e342-e343.  </w:t>
      </w:r>
    </w:p>
    <w:sectPr w:rsidR="00D61253" w:rsidRPr="00E10A6F" w:rsidSect="00E102D1">
      <w:headerReference w:type="even" r:id="rId17"/>
      <w:headerReference w:type="default" r:id="rId18"/>
      <w:footerReference w:type="default" r:id="rId19"/>
      <w:headerReference w:type="first" r:id="rId20"/>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CE696E" w14:textId="77777777" w:rsidR="00427663" w:rsidRDefault="00427663" w:rsidP="00C37E61">
      <w:r>
        <w:separator/>
      </w:r>
    </w:p>
  </w:endnote>
  <w:endnote w:type="continuationSeparator" w:id="0">
    <w:p w14:paraId="10731240" w14:textId="77777777" w:rsidR="00427663" w:rsidRDefault="00427663"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erif">
    <w:altName w:val="Times New Roman"/>
    <w:charset w:val="01"/>
    <w:family w:val="roman"/>
    <w:pitch w:val="variable"/>
  </w:font>
  <w:font w:name="Noto Serif CJK SC">
    <w:panose1 w:val="00000000000000000000"/>
    <w:charset w:val="00"/>
    <w:family w:val="roman"/>
    <w:notTrueType/>
    <w:pitch w:val="default"/>
  </w:font>
  <w:font w:name="Noto Sans Devanagari">
    <w:charset w:val="00"/>
    <w:family w:val="swiss"/>
    <w:pitch w:val="variable"/>
    <w:sig w:usb0="80008023" w:usb1="00002046"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737A62" w14:textId="77777777" w:rsidR="00E102D1" w:rsidRDefault="00E102D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1CD9C3" w14:textId="77777777" w:rsidR="00E102D1" w:rsidRDefault="00E102D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219D67" w14:textId="51CBB871" w:rsidR="00754C9A" w:rsidRPr="00E102D1" w:rsidRDefault="00754C9A" w:rsidP="00E102D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ABC937"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04B057" w14:textId="77777777" w:rsidR="00427663" w:rsidRDefault="00427663" w:rsidP="00C37E61">
      <w:r>
        <w:separator/>
      </w:r>
    </w:p>
  </w:footnote>
  <w:footnote w:type="continuationSeparator" w:id="0">
    <w:p w14:paraId="308EE1E4" w14:textId="77777777" w:rsidR="00427663" w:rsidRDefault="00427663"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8B09F3" w14:textId="34918428" w:rsidR="00E102D1" w:rsidRDefault="000C5E31">
    <w:pPr>
      <w:pStyle w:val="Header"/>
    </w:pPr>
    <w:r>
      <w:rPr>
        <w:noProof/>
      </w:rPr>
      <w:pict w14:anchorId="1CE266E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89284407"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0C3F03" w14:textId="78588D20" w:rsidR="00E102D1" w:rsidRDefault="000C5E31">
    <w:pPr>
      <w:pStyle w:val="Header"/>
    </w:pPr>
    <w:r>
      <w:rPr>
        <w:noProof/>
      </w:rPr>
      <w:pict w14:anchorId="64E6766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89284408"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A2C3B7" w14:textId="0FE336A7" w:rsidR="00296529" w:rsidRPr="00296529" w:rsidRDefault="000C5E31" w:rsidP="00296529">
    <w:pPr>
      <w:ind w:left="2160"/>
      <w:jc w:val="center"/>
      <w:rPr>
        <w:rFonts w:ascii="Times New Roman" w:eastAsia="Calibri" w:hAnsi="Times New Roman"/>
        <w:i/>
        <w:sz w:val="18"/>
        <w:szCs w:val="22"/>
      </w:rPr>
    </w:pPr>
    <w:r>
      <w:rPr>
        <w:noProof/>
      </w:rPr>
      <w:pict w14:anchorId="383CCF2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89284406"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643AFA2D"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459C811D"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20121D8A"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7203EF1A"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1BF8AC96"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2E01BEF3"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00D81D" w14:textId="1C36DB8D" w:rsidR="00E102D1" w:rsidRDefault="000C5E31">
    <w:pPr>
      <w:pStyle w:val="Header"/>
    </w:pPr>
    <w:r>
      <w:rPr>
        <w:noProof/>
      </w:rPr>
      <w:pict w14:anchorId="628ED2B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89284410"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8DB17C" w14:textId="17C3E8EE" w:rsidR="00E102D1" w:rsidRDefault="000C5E31">
    <w:pPr>
      <w:pStyle w:val="Header"/>
    </w:pPr>
    <w:r>
      <w:rPr>
        <w:noProof/>
      </w:rPr>
      <w:pict w14:anchorId="2DE07A6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89284411"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4540AD" w14:textId="3E7E7012" w:rsidR="00E102D1" w:rsidRDefault="000C5E31">
    <w:pPr>
      <w:pStyle w:val="Header"/>
    </w:pPr>
    <w:r>
      <w:rPr>
        <w:noProof/>
      </w:rPr>
      <w:pict w14:anchorId="59521F0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89284409"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4B35642E"/>
    <w:multiLevelType w:val="hybridMultilevel"/>
    <w:tmpl w:val="2990F28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52652964"/>
    <w:multiLevelType w:val="hybridMultilevel"/>
    <w:tmpl w:val="534E453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2"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4"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6"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5"/>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7"/>
  </w:num>
  <w:num w:numId="10">
    <w:abstractNumId w:val="2"/>
  </w:num>
  <w:num w:numId="11">
    <w:abstractNumId w:val="20"/>
  </w:num>
  <w:num w:numId="12">
    <w:abstractNumId w:val="3"/>
  </w:num>
  <w:num w:numId="13">
    <w:abstractNumId w:val="19"/>
  </w:num>
  <w:num w:numId="14">
    <w:abstractNumId w:val="8"/>
  </w:num>
  <w:num w:numId="15">
    <w:abstractNumId w:val="23"/>
  </w:num>
  <w:num w:numId="16">
    <w:abstractNumId w:val="5"/>
  </w:num>
  <w:num w:numId="17">
    <w:abstractNumId w:val="24"/>
  </w:num>
  <w:num w:numId="18">
    <w:abstractNumId w:val="14"/>
  </w:num>
  <w:num w:numId="19">
    <w:abstractNumId w:val="30"/>
  </w:num>
  <w:num w:numId="20">
    <w:abstractNumId w:val="11"/>
  </w:num>
  <w:num w:numId="21">
    <w:abstractNumId w:val="9"/>
  </w:num>
  <w:num w:numId="22">
    <w:abstractNumId w:val="13"/>
  </w:num>
  <w:num w:numId="23">
    <w:abstractNumId w:val="21"/>
  </w:num>
  <w:num w:numId="24">
    <w:abstractNumId w:val="28"/>
  </w:num>
  <w:num w:numId="25">
    <w:abstractNumId w:val="4"/>
  </w:num>
  <w:num w:numId="26">
    <w:abstractNumId w:val="18"/>
  </w:num>
  <w:num w:numId="27">
    <w:abstractNumId w:val="22"/>
  </w:num>
  <w:num w:numId="28">
    <w:abstractNumId w:val="29"/>
  </w:num>
  <w:num w:numId="29">
    <w:abstractNumId w:val="26"/>
  </w:num>
  <w:num w:numId="30">
    <w:abstractNumId w:val="10"/>
  </w:num>
  <w:num w:numId="31">
    <w:abstractNumId w:val="16"/>
  </w:num>
  <w:num w:numId="3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fr-FR" w:vendorID="64" w:dllVersion="4096" w:nlCheck="1" w:checkStyle="0"/>
  <w:activeWritingStyle w:appName="MSWord" w:lang="en-GB" w:vendorID="64" w:dllVersion="4096" w:nlCheck="1" w:checkStyle="0"/>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LEwsLAwNjE0MjMyNjdQ0lEKTi0uzszPAykwqgUA6TuW9iwAAAA="/>
  </w:docVars>
  <w:rsids>
    <w:rsidRoot w:val="00AA6219"/>
    <w:rsid w:val="00000F8F"/>
    <w:rsid w:val="00007FC8"/>
    <w:rsid w:val="0001295C"/>
    <w:rsid w:val="00030174"/>
    <w:rsid w:val="0004579C"/>
    <w:rsid w:val="000A47FA"/>
    <w:rsid w:val="000A65D3"/>
    <w:rsid w:val="000B1E33"/>
    <w:rsid w:val="000C5E31"/>
    <w:rsid w:val="000D689F"/>
    <w:rsid w:val="000E7B7B"/>
    <w:rsid w:val="000E7D62"/>
    <w:rsid w:val="000F3AF4"/>
    <w:rsid w:val="00103357"/>
    <w:rsid w:val="00123C9F"/>
    <w:rsid w:val="00126190"/>
    <w:rsid w:val="00130F17"/>
    <w:rsid w:val="001320BF"/>
    <w:rsid w:val="00163BC4"/>
    <w:rsid w:val="00191062"/>
    <w:rsid w:val="00192B72"/>
    <w:rsid w:val="001A29D8"/>
    <w:rsid w:val="001A5378"/>
    <w:rsid w:val="001A5CAA"/>
    <w:rsid w:val="001B0427"/>
    <w:rsid w:val="001C1BAC"/>
    <w:rsid w:val="001D3A51"/>
    <w:rsid w:val="001E10D2"/>
    <w:rsid w:val="001E25B4"/>
    <w:rsid w:val="001E44FE"/>
    <w:rsid w:val="00200595"/>
    <w:rsid w:val="00204835"/>
    <w:rsid w:val="0023135C"/>
    <w:rsid w:val="00231920"/>
    <w:rsid w:val="0023195C"/>
    <w:rsid w:val="0024282C"/>
    <w:rsid w:val="002460DC"/>
    <w:rsid w:val="00250985"/>
    <w:rsid w:val="002556F6"/>
    <w:rsid w:val="00283105"/>
    <w:rsid w:val="00284C4C"/>
    <w:rsid w:val="00287E68"/>
    <w:rsid w:val="00290100"/>
    <w:rsid w:val="00296529"/>
    <w:rsid w:val="002B27FB"/>
    <w:rsid w:val="002B685A"/>
    <w:rsid w:val="002C57D2"/>
    <w:rsid w:val="002E0D56"/>
    <w:rsid w:val="0030144F"/>
    <w:rsid w:val="00315186"/>
    <w:rsid w:val="0033343E"/>
    <w:rsid w:val="003512C2"/>
    <w:rsid w:val="00371FB6"/>
    <w:rsid w:val="003763C1"/>
    <w:rsid w:val="00376BBE"/>
    <w:rsid w:val="00380723"/>
    <w:rsid w:val="00381C79"/>
    <w:rsid w:val="00382257"/>
    <w:rsid w:val="0039224F"/>
    <w:rsid w:val="003A43A4"/>
    <w:rsid w:val="003A7E18"/>
    <w:rsid w:val="003C4C86"/>
    <w:rsid w:val="003C6258"/>
    <w:rsid w:val="003E2904"/>
    <w:rsid w:val="00401927"/>
    <w:rsid w:val="0041027F"/>
    <w:rsid w:val="00412475"/>
    <w:rsid w:val="004179F9"/>
    <w:rsid w:val="00423789"/>
    <w:rsid w:val="00427663"/>
    <w:rsid w:val="00440F43"/>
    <w:rsid w:val="00441B6F"/>
    <w:rsid w:val="00446221"/>
    <w:rsid w:val="00450E62"/>
    <w:rsid w:val="004539DB"/>
    <w:rsid w:val="00471A80"/>
    <w:rsid w:val="004B1BC1"/>
    <w:rsid w:val="004D305E"/>
    <w:rsid w:val="004D4277"/>
    <w:rsid w:val="004F77B6"/>
    <w:rsid w:val="00502516"/>
    <w:rsid w:val="00505F06"/>
    <w:rsid w:val="00506828"/>
    <w:rsid w:val="00520AA2"/>
    <w:rsid w:val="00527650"/>
    <w:rsid w:val="0053056E"/>
    <w:rsid w:val="00554FDA"/>
    <w:rsid w:val="00597287"/>
    <w:rsid w:val="005A6875"/>
    <w:rsid w:val="005C784C"/>
    <w:rsid w:val="005D17F6"/>
    <w:rsid w:val="005E5066"/>
    <w:rsid w:val="005E5539"/>
    <w:rsid w:val="00602BF5"/>
    <w:rsid w:val="00617FDD"/>
    <w:rsid w:val="00633614"/>
    <w:rsid w:val="00633F68"/>
    <w:rsid w:val="00636EB2"/>
    <w:rsid w:val="006375B8"/>
    <w:rsid w:val="0066510A"/>
    <w:rsid w:val="00673F9F"/>
    <w:rsid w:val="00686953"/>
    <w:rsid w:val="00687DEA"/>
    <w:rsid w:val="00687E67"/>
    <w:rsid w:val="006967F7"/>
    <w:rsid w:val="006A250C"/>
    <w:rsid w:val="006B21D3"/>
    <w:rsid w:val="006B57D0"/>
    <w:rsid w:val="006C565A"/>
    <w:rsid w:val="006D30FF"/>
    <w:rsid w:val="006D6940"/>
    <w:rsid w:val="006E6DEF"/>
    <w:rsid w:val="006F11EC"/>
    <w:rsid w:val="0070082C"/>
    <w:rsid w:val="00706AE9"/>
    <w:rsid w:val="00711780"/>
    <w:rsid w:val="007332CB"/>
    <w:rsid w:val="007369E6"/>
    <w:rsid w:val="00746E59"/>
    <w:rsid w:val="007477E5"/>
    <w:rsid w:val="00747D14"/>
    <w:rsid w:val="00754C9A"/>
    <w:rsid w:val="0075599A"/>
    <w:rsid w:val="00761D52"/>
    <w:rsid w:val="0077749E"/>
    <w:rsid w:val="00790ADA"/>
    <w:rsid w:val="007D2288"/>
    <w:rsid w:val="007E088F"/>
    <w:rsid w:val="007F0537"/>
    <w:rsid w:val="007F7B32"/>
    <w:rsid w:val="00804BC2"/>
    <w:rsid w:val="0081431A"/>
    <w:rsid w:val="0083216F"/>
    <w:rsid w:val="00860000"/>
    <w:rsid w:val="00863BD3"/>
    <w:rsid w:val="008641ED"/>
    <w:rsid w:val="00866218"/>
    <w:rsid w:val="00866D66"/>
    <w:rsid w:val="008671C6"/>
    <w:rsid w:val="00875803"/>
    <w:rsid w:val="008A563D"/>
    <w:rsid w:val="008B459E"/>
    <w:rsid w:val="008E13AE"/>
    <w:rsid w:val="008E1506"/>
    <w:rsid w:val="008E710C"/>
    <w:rsid w:val="008F69D6"/>
    <w:rsid w:val="00902823"/>
    <w:rsid w:val="00915CA6"/>
    <w:rsid w:val="00927834"/>
    <w:rsid w:val="00941C32"/>
    <w:rsid w:val="009500A6"/>
    <w:rsid w:val="00957C18"/>
    <w:rsid w:val="009659BA"/>
    <w:rsid w:val="00983040"/>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354D7"/>
    <w:rsid w:val="00A436CD"/>
    <w:rsid w:val="00A51431"/>
    <w:rsid w:val="00A539AD"/>
    <w:rsid w:val="00A94063"/>
    <w:rsid w:val="00AA0AAF"/>
    <w:rsid w:val="00AA6219"/>
    <w:rsid w:val="00AA74E0"/>
    <w:rsid w:val="00AB703F"/>
    <w:rsid w:val="00AC6BB8"/>
    <w:rsid w:val="00AE008F"/>
    <w:rsid w:val="00B01FCD"/>
    <w:rsid w:val="00B1776C"/>
    <w:rsid w:val="00B52583"/>
    <w:rsid w:val="00B52896"/>
    <w:rsid w:val="00B55489"/>
    <w:rsid w:val="00B95236"/>
    <w:rsid w:val="00B96BD9"/>
    <w:rsid w:val="00BA1B01"/>
    <w:rsid w:val="00BA2641"/>
    <w:rsid w:val="00BB37AA"/>
    <w:rsid w:val="00BC53A0"/>
    <w:rsid w:val="00BE1B53"/>
    <w:rsid w:val="00BE62AD"/>
    <w:rsid w:val="00BF121F"/>
    <w:rsid w:val="00BF1F80"/>
    <w:rsid w:val="00C166EF"/>
    <w:rsid w:val="00C17EB0"/>
    <w:rsid w:val="00C27F5F"/>
    <w:rsid w:val="00C30A0F"/>
    <w:rsid w:val="00C37E61"/>
    <w:rsid w:val="00C70F1B"/>
    <w:rsid w:val="00C71A47"/>
    <w:rsid w:val="00C7464C"/>
    <w:rsid w:val="00C848EF"/>
    <w:rsid w:val="00C85588"/>
    <w:rsid w:val="00CD6755"/>
    <w:rsid w:val="00CD6856"/>
    <w:rsid w:val="00CE0089"/>
    <w:rsid w:val="00CE793C"/>
    <w:rsid w:val="00CF193C"/>
    <w:rsid w:val="00D173F1"/>
    <w:rsid w:val="00D61253"/>
    <w:rsid w:val="00D74CB0"/>
    <w:rsid w:val="00D8295D"/>
    <w:rsid w:val="00DA01B6"/>
    <w:rsid w:val="00DC2A65"/>
    <w:rsid w:val="00DD57F6"/>
    <w:rsid w:val="00DE15F0"/>
    <w:rsid w:val="00DE5663"/>
    <w:rsid w:val="00DE78AA"/>
    <w:rsid w:val="00E053D0"/>
    <w:rsid w:val="00E102D1"/>
    <w:rsid w:val="00E10A6F"/>
    <w:rsid w:val="00E15994"/>
    <w:rsid w:val="00E3114E"/>
    <w:rsid w:val="00E31A70"/>
    <w:rsid w:val="00E35B02"/>
    <w:rsid w:val="00E66496"/>
    <w:rsid w:val="00E66B35"/>
    <w:rsid w:val="00E66E10"/>
    <w:rsid w:val="00E769F6"/>
    <w:rsid w:val="00E8407C"/>
    <w:rsid w:val="00E84F3C"/>
    <w:rsid w:val="00E93F51"/>
    <w:rsid w:val="00EA012C"/>
    <w:rsid w:val="00EC6A55"/>
    <w:rsid w:val="00ED0288"/>
    <w:rsid w:val="00EE52CB"/>
    <w:rsid w:val="00EF3220"/>
    <w:rsid w:val="00EF581D"/>
    <w:rsid w:val="00EF7FD8"/>
    <w:rsid w:val="00F06F59"/>
    <w:rsid w:val="00F17988"/>
    <w:rsid w:val="00F469F0"/>
    <w:rsid w:val="00F53273"/>
    <w:rsid w:val="00F63877"/>
    <w:rsid w:val="00F755E4"/>
    <w:rsid w:val="00F77D02"/>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29C3A6EC"/>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semiHidden/>
    <w:unhideWhenUsed/>
    <w:qFormat/>
    <w:rsid w:val="000F3AF4"/>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styleId="List">
    <w:name w:val="List"/>
    <w:basedOn w:val="BodyText"/>
    <w:rsid w:val="007332CB"/>
    <w:pPr>
      <w:suppressAutoHyphens/>
      <w:spacing w:after="140" w:line="276" w:lineRule="auto"/>
    </w:pPr>
    <w:rPr>
      <w:rFonts w:ascii="Liberation Serif" w:eastAsia="Noto Serif CJK SC" w:hAnsi="Liberation Serif" w:cs="Noto Sans Devanagari"/>
      <w:kern w:val="2"/>
      <w:sz w:val="24"/>
      <w:szCs w:val="24"/>
      <w:lang w:eastAsia="zh-CN" w:bidi="hi-IN"/>
    </w:rPr>
  </w:style>
  <w:style w:type="paragraph" w:styleId="BodyText">
    <w:name w:val="Body Text"/>
    <w:basedOn w:val="Normal"/>
    <w:link w:val="BodyTextChar"/>
    <w:semiHidden/>
    <w:unhideWhenUsed/>
    <w:rsid w:val="007332CB"/>
    <w:pPr>
      <w:spacing w:after="120"/>
    </w:pPr>
  </w:style>
  <w:style w:type="character" w:customStyle="1" w:styleId="BodyTextChar">
    <w:name w:val="Body Text Char"/>
    <w:basedOn w:val="DefaultParagraphFont"/>
    <w:link w:val="BodyText"/>
    <w:semiHidden/>
    <w:rsid w:val="007332CB"/>
    <w:rPr>
      <w:rFonts w:ascii="Helvetica" w:hAnsi="Helvetica"/>
    </w:rPr>
  </w:style>
  <w:style w:type="character" w:customStyle="1" w:styleId="Heading3Char">
    <w:name w:val="Heading 3 Char"/>
    <w:basedOn w:val="DefaultParagraphFont"/>
    <w:link w:val="Heading3"/>
    <w:semiHidden/>
    <w:rsid w:val="000F3AF4"/>
    <w:rPr>
      <w:rFonts w:asciiTheme="majorHAnsi" w:eastAsiaTheme="majorEastAsia" w:hAnsiTheme="majorHAnsi" w:cstheme="majorBidi"/>
      <w:color w:val="243F60" w:themeColor="accent1" w:themeShade="7F"/>
      <w:sz w:val="24"/>
      <w:szCs w:val="24"/>
    </w:rPr>
  </w:style>
  <w:style w:type="table" w:styleId="PlainTable1">
    <w:name w:val="Plain Table 1"/>
    <w:basedOn w:val="TableNormal"/>
    <w:uiPriority w:val="41"/>
    <w:rsid w:val="000F3AF4"/>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ListParagraph">
    <w:name w:val="List Paragraph"/>
    <w:basedOn w:val="Normal"/>
    <w:uiPriority w:val="34"/>
    <w:qFormat/>
    <w:rsid w:val="00290100"/>
    <w:pPr>
      <w:ind w:left="720"/>
      <w:contextualSpacing/>
    </w:pPr>
  </w:style>
  <w:style w:type="paragraph" w:styleId="Revision">
    <w:name w:val="Revision"/>
    <w:hidden/>
    <w:uiPriority w:val="99"/>
    <w:semiHidden/>
    <w:rsid w:val="0001295C"/>
    <w:rPr>
      <w:rFonts w:ascii="Helvetica" w:hAnsi="Helvetica"/>
    </w:rPr>
  </w:style>
  <w:style w:type="character" w:styleId="UnresolvedMention">
    <w:name w:val="Unresolved Mention"/>
    <w:basedOn w:val="DefaultParagraphFont"/>
    <w:uiPriority w:val="99"/>
    <w:semiHidden/>
    <w:unhideWhenUsed/>
    <w:rsid w:val="00DA01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196286163">
      <w:bodyDiv w:val="1"/>
      <w:marLeft w:val="0"/>
      <w:marRight w:val="0"/>
      <w:marTop w:val="0"/>
      <w:marBottom w:val="0"/>
      <w:divBdr>
        <w:top w:val="none" w:sz="0" w:space="0" w:color="auto"/>
        <w:left w:val="none" w:sz="0" w:space="0" w:color="auto"/>
        <w:bottom w:val="none" w:sz="0" w:space="0" w:color="auto"/>
        <w:right w:val="none" w:sz="0" w:space="0" w:color="auto"/>
      </w:divBdr>
      <w:divsChild>
        <w:div w:id="1575050156">
          <w:marLeft w:val="0"/>
          <w:marRight w:val="0"/>
          <w:marTop w:val="0"/>
          <w:marBottom w:val="0"/>
          <w:divBdr>
            <w:top w:val="none" w:sz="0" w:space="0" w:color="auto"/>
            <w:left w:val="none" w:sz="0" w:space="0" w:color="auto"/>
            <w:bottom w:val="none" w:sz="0" w:space="0" w:color="auto"/>
            <w:right w:val="none" w:sz="0" w:space="0" w:color="auto"/>
          </w:divBdr>
          <w:divsChild>
            <w:div w:id="2021853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471796998">
      <w:bodyDiv w:val="1"/>
      <w:marLeft w:val="0"/>
      <w:marRight w:val="0"/>
      <w:marTop w:val="0"/>
      <w:marBottom w:val="0"/>
      <w:divBdr>
        <w:top w:val="none" w:sz="0" w:space="0" w:color="auto"/>
        <w:left w:val="none" w:sz="0" w:space="0" w:color="auto"/>
        <w:bottom w:val="none" w:sz="0" w:space="0" w:color="auto"/>
        <w:right w:val="none" w:sz="0" w:space="0" w:color="auto"/>
      </w:divBdr>
    </w:div>
    <w:div w:id="591357688">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29241528">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298561635">
      <w:bodyDiv w:val="1"/>
      <w:marLeft w:val="0"/>
      <w:marRight w:val="0"/>
      <w:marTop w:val="0"/>
      <w:marBottom w:val="0"/>
      <w:divBdr>
        <w:top w:val="none" w:sz="0" w:space="0" w:color="auto"/>
        <w:left w:val="none" w:sz="0" w:space="0" w:color="auto"/>
        <w:bottom w:val="none" w:sz="0" w:space="0" w:color="auto"/>
        <w:right w:val="none" w:sz="0" w:space="0" w:color="auto"/>
      </w:divBdr>
    </w:div>
    <w:div w:id="1407530079">
      <w:bodyDiv w:val="1"/>
      <w:marLeft w:val="0"/>
      <w:marRight w:val="0"/>
      <w:marTop w:val="0"/>
      <w:marBottom w:val="0"/>
      <w:divBdr>
        <w:top w:val="none" w:sz="0" w:space="0" w:color="auto"/>
        <w:left w:val="none" w:sz="0" w:space="0" w:color="auto"/>
        <w:bottom w:val="none" w:sz="0" w:space="0" w:color="auto"/>
        <w:right w:val="none" w:sz="0" w:space="0" w:color="auto"/>
      </w:divBdr>
      <w:divsChild>
        <w:div w:id="1460026307">
          <w:marLeft w:val="0"/>
          <w:marRight w:val="0"/>
          <w:marTop w:val="0"/>
          <w:marBottom w:val="0"/>
          <w:divBdr>
            <w:top w:val="none" w:sz="0" w:space="0" w:color="auto"/>
            <w:left w:val="none" w:sz="0" w:space="0" w:color="auto"/>
            <w:bottom w:val="none" w:sz="0" w:space="0" w:color="auto"/>
            <w:right w:val="none" w:sz="0" w:space="0" w:color="auto"/>
          </w:divBdr>
          <w:divsChild>
            <w:div w:id="1061173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2967395">
      <w:bodyDiv w:val="1"/>
      <w:marLeft w:val="0"/>
      <w:marRight w:val="0"/>
      <w:marTop w:val="0"/>
      <w:marBottom w:val="0"/>
      <w:divBdr>
        <w:top w:val="none" w:sz="0" w:space="0" w:color="auto"/>
        <w:left w:val="none" w:sz="0" w:space="0" w:color="auto"/>
        <w:bottom w:val="none" w:sz="0" w:space="0" w:color="auto"/>
        <w:right w:val="none" w:sz="0" w:space="0" w:color="auto"/>
      </w:divBdr>
      <w:divsChild>
        <w:div w:id="1318219993">
          <w:marLeft w:val="0"/>
          <w:marRight w:val="0"/>
          <w:marTop w:val="0"/>
          <w:marBottom w:val="0"/>
          <w:divBdr>
            <w:top w:val="none" w:sz="0" w:space="0" w:color="auto"/>
            <w:left w:val="none" w:sz="0" w:space="0" w:color="auto"/>
            <w:bottom w:val="none" w:sz="0" w:space="0" w:color="auto"/>
            <w:right w:val="none" w:sz="0" w:space="0" w:color="auto"/>
          </w:divBdr>
          <w:divsChild>
            <w:div w:id="188194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577540">
      <w:bodyDiv w:val="1"/>
      <w:marLeft w:val="0"/>
      <w:marRight w:val="0"/>
      <w:marTop w:val="0"/>
      <w:marBottom w:val="0"/>
      <w:divBdr>
        <w:top w:val="none" w:sz="0" w:space="0" w:color="auto"/>
        <w:left w:val="none" w:sz="0" w:space="0" w:color="auto"/>
        <w:bottom w:val="none" w:sz="0" w:space="0" w:color="auto"/>
        <w:right w:val="none" w:sz="0" w:space="0" w:color="auto"/>
      </w:divBdr>
    </w:div>
    <w:div w:id="1589580671">
      <w:bodyDiv w:val="1"/>
      <w:marLeft w:val="0"/>
      <w:marRight w:val="0"/>
      <w:marTop w:val="0"/>
      <w:marBottom w:val="0"/>
      <w:divBdr>
        <w:top w:val="none" w:sz="0" w:space="0" w:color="auto"/>
        <w:left w:val="none" w:sz="0" w:space="0" w:color="auto"/>
        <w:bottom w:val="none" w:sz="0" w:space="0" w:color="auto"/>
        <w:right w:val="none" w:sz="0" w:space="0" w:color="auto"/>
      </w:divBdr>
      <w:divsChild>
        <w:div w:id="677737943">
          <w:marLeft w:val="0"/>
          <w:marRight w:val="0"/>
          <w:marTop w:val="0"/>
          <w:marBottom w:val="0"/>
          <w:divBdr>
            <w:top w:val="none" w:sz="0" w:space="0" w:color="auto"/>
            <w:left w:val="none" w:sz="0" w:space="0" w:color="auto"/>
            <w:bottom w:val="none" w:sz="0" w:space="0" w:color="auto"/>
            <w:right w:val="none" w:sz="0" w:space="0" w:color="auto"/>
          </w:divBdr>
          <w:divsChild>
            <w:div w:id="368990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 w:id="2011135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yperlink" Target="https://doi.org/10.1093/ndt/gfab230" TargetMode="Externa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footer" Target="footer1.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B7B90F-88C4-4D26-94FD-CE128B9849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173</TotalTime>
  <Pages>14</Pages>
  <Words>5677</Words>
  <Characters>38080</Characters>
  <Application>Microsoft Office Word</Application>
  <DocSecurity>0</DocSecurity>
  <Lines>317</Lines>
  <Paragraphs>87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Paper Template</vt:lpstr>
      <vt:lpstr>Paper Template</vt:lpstr>
    </vt:vector>
  </TitlesOfParts>
  <Company>aaaa</Company>
  <LinksUpToDate>false</LinksUpToDate>
  <CharactersWithSpaces>43670</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PC New 16</cp:lastModifiedBy>
  <cp:revision>34</cp:revision>
  <cp:lastPrinted>1999-07-06T11:00:00Z</cp:lastPrinted>
  <dcterms:created xsi:type="dcterms:W3CDTF">2025-09-23T18:21:00Z</dcterms:created>
  <dcterms:modified xsi:type="dcterms:W3CDTF">2025-11-04T04:24:00Z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c3bd5105-3e67-446f-9d77-8b477d303eca</vt:lpwstr>
  </property>
</Properties>
</file>